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F9" w:rsidRPr="00A34E9C" w:rsidRDefault="000D5CF9" w:rsidP="006542AC">
      <w:pPr>
        <w:pStyle w:val="Subtitle"/>
      </w:pPr>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0D5CF9" w:rsidRPr="00A34E9C" w:rsidTr="00D61C4E">
        <w:tc>
          <w:tcPr>
            <w:tcW w:w="5000" w:type="pct"/>
          </w:tcPr>
          <w:p w:rsidR="00D40E8C" w:rsidRDefault="00D40E8C" w:rsidP="00D61C4E">
            <w:pPr>
              <w:pStyle w:val="NoSpacing"/>
              <w:rPr>
                <w:rFonts w:ascii="Tahoma" w:hAnsi="Tahoma" w:cs="Tahoma"/>
                <w:sz w:val="44"/>
                <w:szCs w:val="56"/>
                <w:lang w:val="en-AU"/>
              </w:rPr>
            </w:pPr>
            <w:r>
              <w:rPr>
                <w:rFonts w:ascii="Tahoma" w:hAnsi="Tahoma" w:cs="Tahoma"/>
                <w:sz w:val="44"/>
                <w:szCs w:val="56"/>
                <w:lang w:val="en-AU"/>
              </w:rPr>
              <w:t>Application 1367</w:t>
            </w:r>
          </w:p>
          <w:p w:rsidR="00D40E8C" w:rsidRDefault="00D40E8C" w:rsidP="00D61C4E">
            <w:pPr>
              <w:pStyle w:val="NoSpacing"/>
              <w:rPr>
                <w:rFonts w:ascii="Tahoma" w:hAnsi="Tahoma" w:cs="Tahoma"/>
                <w:sz w:val="44"/>
                <w:szCs w:val="56"/>
                <w:lang w:val="en-AU"/>
              </w:rPr>
            </w:pPr>
          </w:p>
          <w:p w:rsidR="000D5CF9" w:rsidRPr="00A34E9C" w:rsidRDefault="002D11CB" w:rsidP="00D61C4E">
            <w:pPr>
              <w:pStyle w:val="NoSpacing"/>
              <w:rPr>
                <w:rFonts w:ascii="Tahoma" w:hAnsi="Tahoma" w:cs="Tahoma"/>
                <w:sz w:val="44"/>
                <w:szCs w:val="56"/>
                <w:lang w:val="en-AU"/>
              </w:rPr>
            </w:pPr>
            <w:r>
              <w:rPr>
                <w:rFonts w:ascii="Tahoma" w:hAnsi="Tahoma" w:cs="Tahoma"/>
                <w:sz w:val="44"/>
                <w:szCs w:val="56"/>
                <w:lang w:val="en-AU"/>
              </w:rPr>
              <w:t>Final</w:t>
            </w:r>
            <w:r w:rsidR="00FA47DE">
              <w:rPr>
                <w:rFonts w:ascii="Tahoma" w:hAnsi="Tahoma" w:cs="Tahoma"/>
                <w:sz w:val="44"/>
                <w:szCs w:val="56"/>
                <w:lang w:val="en-AU"/>
              </w:rPr>
              <w:t xml:space="preserve"> Protocol </w:t>
            </w:r>
            <w:r w:rsidR="000D5CF9" w:rsidRPr="00A34E9C">
              <w:rPr>
                <w:rFonts w:ascii="Tahoma" w:hAnsi="Tahoma" w:cs="Tahoma"/>
                <w:sz w:val="44"/>
                <w:szCs w:val="56"/>
                <w:lang w:val="en-AU"/>
              </w:rPr>
              <w:t xml:space="preserve">to guide the assessment of </w:t>
            </w:r>
            <w:r w:rsidR="000D5CF9" w:rsidRPr="00AA5FBF">
              <w:rPr>
                <w:sz w:val="16"/>
              </w:rPr>
              <w:t xml:space="preserve"> </w:t>
            </w:r>
            <w:r w:rsidR="00A64E6E">
              <w:rPr>
                <w:rFonts w:ascii="Tahoma" w:hAnsi="Tahoma" w:cs="Tahoma"/>
                <w:sz w:val="44"/>
                <w:szCs w:val="56"/>
                <w:lang w:val="en-AU"/>
              </w:rPr>
              <w:t>a duo</w:t>
            </w:r>
            <w:r w:rsidR="00F175DE">
              <w:rPr>
                <w:rFonts w:ascii="Tahoma" w:hAnsi="Tahoma" w:cs="Tahoma"/>
                <w:sz w:val="44"/>
                <w:szCs w:val="56"/>
                <w:lang w:val="en-AU"/>
              </w:rPr>
              <w:t xml:space="preserve">denal jejunal bypass </w:t>
            </w:r>
            <w:r w:rsidR="00E067F2">
              <w:rPr>
                <w:rFonts w:ascii="Tahoma" w:hAnsi="Tahoma" w:cs="Tahoma"/>
                <w:sz w:val="44"/>
                <w:szCs w:val="56"/>
                <w:lang w:val="en-AU"/>
              </w:rPr>
              <w:t xml:space="preserve">liner </w:t>
            </w:r>
            <w:r w:rsidR="00F175DE">
              <w:rPr>
                <w:rFonts w:ascii="Tahoma" w:hAnsi="Tahoma" w:cs="Tahoma"/>
                <w:sz w:val="44"/>
                <w:szCs w:val="56"/>
                <w:lang w:val="en-AU"/>
              </w:rPr>
              <w:t xml:space="preserve">for the treatment of </w:t>
            </w:r>
            <w:r w:rsidR="00BC051D">
              <w:rPr>
                <w:rFonts w:ascii="Tahoma" w:hAnsi="Tahoma" w:cs="Tahoma"/>
                <w:sz w:val="44"/>
                <w:szCs w:val="56"/>
                <w:lang w:val="en-AU"/>
              </w:rPr>
              <w:t>clinically severe o</w:t>
            </w:r>
            <w:r w:rsidR="00F175DE">
              <w:rPr>
                <w:rFonts w:ascii="Tahoma" w:hAnsi="Tahoma" w:cs="Tahoma"/>
                <w:sz w:val="44"/>
                <w:szCs w:val="56"/>
                <w:lang w:val="en-AU"/>
              </w:rPr>
              <w:t>besity</w:t>
            </w:r>
          </w:p>
          <w:p w:rsidR="000D5CF9" w:rsidRPr="00A34E9C" w:rsidRDefault="000D5CF9" w:rsidP="00D61C4E">
            <w:pPr>
              <w:pStyle w:val="NoSpacing"/>
              <w:rPr>
                <w:rFonts w:ascii="Tahoma" w:hAnsi="Tahoma" w:cs="Tahoma"/>
                <w:sz w:val="44"/>
                <w:szCs w:val="56"/>
              </w:rPr>
            </w:pPr>
          </w:p>
          <w:p w:rsidR="000D5CF9" w:rsidRPr="00A34E9C" w:rsidRDefault="000D5CF9" w:rsidP="003F5D96">
            <w:pPr>
              <w:pStyle w:val="NoSpacing"/>
              <w:jc w:val="center"/>
              <w:rPr>
                <w:rFonts w:ascii="Tahoma" w:hAnsi="Tahoma" w:cs="Tahoma"/>
                <w:sz w:val="48"/>
                <w:szCs w:val="56"/>
              </w:rPr>
            </w:pPr>
          </w:p>
        </w:tc>
      </w:tr>
      <w:tr w:rsidR="000D5CF9" w:rsidRPr="00A34E9C" w:rsidTr="00D61C4E">
        <w:tc>
          <w:tcPr>
            <w:tcW w:w="5000" w:type="pct"/>
          </w:tcPr>
          <w:p w:rsidR="000D5CF9" w:rsidRPr="00AA5FBF" w:rsidRDefault="002D11CB" w:rsidP="000A050B">
            <w:pPr>
              <w:pStyle w:val="NoSpacing"/>
              <w:rPr>
                <w:rFonts w:ascii="Tahoma" w:hAnsi="Tahoma" w:cs="Tahoma"/>
                <w:sz w:val="32"/>
                <w:szCs w:val="40"/>
              </w:rPr>
            </w:pPr>
            <w:r>
              <w:rPr>
                <w:rFonts w:ascii="Tahoma" w:hAnsi="Tahoma" w:cs="Tahoma"/>
                <w:sz w:val="32"/>
                <w:szCs w:val="40"/>
                <w:lang w:val="en-AU"/>
              </w:rPr>
              <w:t>June</w:t>
            </w:r>
            <w:r w:rsidR="000A050B">
              <w:rPr>
                <w:rFonts w:ascii="Tahoma" w:hAnsi="Tahoma" w:cs="Tahoma"/>
                <w:sz w:val="32"/>
                <w:szCs w:val="40"/>
                <w:lang w:val="en-AU"/>
              </w:rPr>
              <w:t xml:space="preserve"> 2014</w:t>
            </w:r>
          </w:p>
        </w:tc>
      </w:tr>
    </w:tbl>
    <w:p w:rsidR="000D5CF9" w:rsidRPr="00A34E9C" w:rsidRDefault="000D5CF9" w:rsidP="000901A8"/>
    <w:p w:rsidR="000D5CF9" w:rsidRPr="00A34E9C" w:rsidRDefault="000D5CF9" w:rsidP="000901A8">
      <w:pPr>
        <w:rPr>
          <w:rFonts w:ascii="Cambria" w:eastAsia="Times New Roman" w:hAnsi="Cambria" w:cs="Times New Roman"/>
          <w:b/>
          <w:i/>
          <w:color w:val="365F91"/>
          <w:sz w:val="22"/>
          <w:szCs w:val="28"/>
          <w:lang w:val="en-US" w:eastAsia="en-US"/>
        </w:rPr>
      </w:pPr>
      <w:r w:rsidRPr="00A34E9C">
        <w:br w:type="page"/>
      </w:r>
    </w:p>
    <w:p w:rsidR="000D5CF9" w:rsidRPr="00A34E9C" w:rsidRDefault="000D5CF9" w:rsidP="000901A8">
      <w:pPr>
        <w:pStyle w:val="TOCHeading0"/>
      </w:pPr>
      <w:r w:rsidRPr="00A34E9C">
        <w:lastRenderedPageBreak/>
        <w:t>Table of Contents</w:t>
      </w:r>
    </w:p>
    <w:p w:rsidR="009553DA" w:rsidRDefault="004D5C85">
      <w:pPr>
        <w:pStyle w:val="TOC2"/>
        <w:rPr>
          <w:rFonts w:asciiTheme="minorHAnsi" w:eastAsiaTheme="minorEastAsia" w:hAnsiTheme="minorHAnsi" w:cstheme="minorBidi"/>
          <w:sz w:val="22"/>
          <w:szCs w:val="22"/>
          <w:lang w:val="en-AU" w:eastAsia="en-AU"/>
        </w:rPr>
      </w:pPr>
      <w:r w:rsidRPr="00A34E9C">
        <w:fldChar w:fldCharType="begin"/>
      </w:r>
      <w:r w:rsidR="000D5CF9" w:rsidRPr="00A34E9C">
        <w:instrText xml:space="preserve"> TOC \o "1-3" \h \z \u </w:instrText>
      </w:r>
      <w:r w:rsidRPr="00A34E9C">
        <w:fldChar w:fldCharType="separate"/>
      </w:r>
      <w:hyperlink w:anchor="_Toc389834049" w:history="1">
        <w:r w:rsidR="009553DA" w:rsidRPr="00B17B36">
          <w:rPr>
            <w:rStyle w:val="Hyperlink"/>
          </w:rPr>
          <w:t>MSAC and PASC</w:t>
        </w:r>
        <w:r w:rsidR="009553DA">
          <w:rPr>
            <w:webHidden/>
          </w:rPr>
          <w:tab/>
        </w:r>
        <w:r>
          <w:rPr>
            <w:webHidden/>
          </w:rPr>
          <w:fldChar w:fldCharType="begin"/>
        </w:r>
        <w:r w:rsidR="009553DA">
          <w:rPr>
            <w:webHidden/>
          </w:rPr>
          <w:instrText xml:space="preserve"> PAGEREF _Toc389834049 \h </w:instrText>
        </w:r>
        <w:r>
          <w:rPr>
            <w:webHidden/>
          </w:rPr>
        </w:r>
        <w:r>
          <w:rPr>
            <w:webHidden/>
          </w:rPr>
          <w:fldChar w:fldCharType="separate"/>
        </w:r>
        <w:r w:rsidR="008850CD">
          <w:rPr>
            <w:webHidden/>
          </w:rPr>
          <w:t>3</w:t>
        </w:r>
        <w:r>
          <w:rPr>
            <w:webHidden/>
          </w:rPr>
          <w:fldChar w:fldCharType="end"/>
        </w:r>
      </w:hyperlink>
    </w:p>
    <w:p w:rsidR="009553DA" w:rsidRDefault="008850CD">
      <w:pPr>
        <w:pStyle w:val="TOC2"/>
        <w:rPr>
          <w:rFonts w:asciiTheme="minorHAnsi" w:eastAsiaTheme="minorEastAsia" w:hAnsiTheme="minorHAnsi" w:cstheme="minorBidi"/>
          <w:sz w:val="22"/>
          <w:szCs w:val="22"/>
          <w:lang w:val="en-AU" w:eastAsia="en-AU"/>
        </w:rPr>
      </w:pPr>
      <w:hyperlink w:anchor="_Toc389834050" w:history="1">
        <w:r w:rsidR="009553DA" w:rsidRPr="00B17B36">
          <w:rPr>
            <w:rStyle w:val="Hyperlink"/>
          </w:rPr>
          <w:t>Purpose of this document</w:t>
        </w:r>
        <w:r w:rsidR="009553DA">
          <w:rPr>
            <w:webHidden/>
          </w:rPr>
          <w:tab/>
        </w:r>
        <w:r w:rsidR="004D5C85">
          <w:rPr>
            <w:webHidden/>
          </w:rPr>
          <w:fldChar w:fldCharType="begin"/>
        </w:r>
        <w:r w:rsidR="009553DA">
          <w:rPr>
            <w:webHidden/>
          </w:rPr>
          <w:instrText xml:space="preserve"> PAGEREF _Toc389834050 \h </w:instrText>
        </w:r>
        <w:r w:rsidR="004D5C85">
          <w:rPr>
            <w:webHidden/>
          </w:rPr>
        </w:r>
        <w:r w:rsidR="004D5C85">
          <w:rPr>
            <w:webHidden/>
          </w:rPr>
          <w:fldChar w:fldCharType="separate"/>
        </w:r>
        <w:r>
          <w:rPr>
            <w:webHidden/>
          </w:rPr>
          <w:t>3</w:t>
        </w:r>
        <w:r w:rsidR="004D5C85">
          <w:rPr>
            <w:webHidden/>
          </w:rPr>
          <w:fldChar w:fldCharType="end"/>
        </w:r>
      </w:hyperlink>
    </w:p>
    <w:p w:rsidR="009553DA" w:rsidRDefault="008850CD">
      <w:pPr>
        <w:pStyle w:val="TOC1"/>
        <w:rPr>
          <w:rFonts w:asciiTheme="minorHAnsi" w:eastAsiaTheme="minorEastAsia" w:hAnsiTheme="minorHAnsi" w:cstheme="minorBidi"/>
          <w:b w:val="0"/>
          <w:sz w:val="22"/>
          <w:szCs w:val="22"/>
          <w:lang w:eastAsia="en-AU"/>
        </w:rPr>
      </w:pPr>
      <w:hyperlink w:anchor="_Toc389834051" w:history="1">
        <w:r w:rsidR="009553DA" w:rsidRPr="00B17B36">
          <w:rPr>
            <w:rStyle w:val="Hyperlink"/>
          </w:rPr>
          <w:t>Purpose of application</w:t>
        </w:r>
        <w:r w:rsidR="009553DA">
          <w:rPr>
            <w:webHidden/>
          </w:rPr>
          <w:tab/>
        </w:r>
        <w:r w:rsidR="004D5C85">
          <w:rPr>
            <w:webHidden/>
          </w:rPr>
          <w:fldChar w:fldCharType="begin"/>
        </w:r>
        <w:r w:rsidR="009553DA">
          <w:rPr>
            <w:webHidden/>
          </w:rPr>
          <w:instrText xml:space="preserve"> PAGEREF _Toc389834051 \h </w:instrText>
        </w:r>
        <w:r w:rsidR="004D5C85">
          <w:rPr>
            <w:webHidden/>
          </w:rPr>
        </w:r>
        <w:r w:rsidR="004D5C85">
          <w:rPr>
            <w:webHidden/>
          </w:rPr>
          <w:fldChar w:fldCharType="separate"/>
        </w:r>
        <w:r>
          <w:rPr>
            <w:webHidden/>
          </w:rPr>
          <w:t>4</w:t>
        </w:r>
        <w:r w:rsidR="004D5C85">
          <w:rPr>
            <w:webHidden/>
          </w:rPr>
          <w:fldChar w:fldCharType="end"/>
        </w:r>
      </w:hyperlink>
    </w:p>
    <w:p w:rsidR="009553DA" w:rsidRDefault="008850CD">
      <w:pPr>
        <w:pStyle w:val="TOC1"/>
        <w:rPr>
          <w:rFonts w:asciiTheme="minorHAnsi" w:eastAsiaTheme="minorEastAsia" w:hAnsiTheme="minorHAnsi" w:cstheme="minorBidi"/>
          <w:b w:val="0"/>
          <w:sz w:val="22"/>
          <w:szCs w:val="22"/>
          <w:lang w:eastAsia="en-AU"/>
        </w:rPr>
      </w:pPr>
      <w:hyperlink w:anchor="_Toc389834052" w:history="1">
        <w:r w:rsidR="009553DA" w:rsidRPr="00B17B36">
          <w:rPr>
            <w:rStyle w:val="Hyperlink"/>
          </w:rPr>
          <w:t>Background</w:t>
        </w:r>
        <w:r w:rsidR="009553DA">
          <w:rPr>
            <w:webHidden/>
          </w:rPr>
          <w:tab/>
        </w:r>
        <w:r w:rsidR="004D5C85">
          <w:rPr>
            <w:webHidden/>
          </w:rPr>
          <w:fldChar w:fldCharType="begin"/>
        </w:r>
        <w:r w:rsidR="009553DA">
          <w:rPr>
            <w:webHidden/>
          </w:rPr>
          <w:instrText xml:space="preserve"> PAGEREF _Toc389834052 \h </w:instrText>
        </w:r>
        <w:r w:rsidR="004D5C85">
          <w:rPr>
            <w:webHidden/>
          </w:rPr>
        </w:r>
        <w:r w:rsidR="004D5C85">
          <w:rPr>
            <w:webHidden/>
          </w:rPr>
          <w:fldChar w:fldCharType="separate"/>
        </w:r>
        <w:r>
          <w:rPr>
            <w:webHidden/>
          </w:rPr>
          <w:t>4</w:t>
        </w:r>
        <w:r w:rsidR="004D5C85">
          <w:rPr>
            <w:webHidden/>
          </w:rPr>
          <w:fldChar w:fldCharType="end"/>
        </w:r>
      </w:hyperlink>
    </w:p>
    <w:p w:rsidR="009553DA" w:rsidRDefault="008850CD">
      <w:pPr>
        <w:pStyle w:val="TOC2"/>
        <w:rPr>
          <w:rFonts w:asciiTheme="minorHAnsi" w:eastAsiaTheme="minorEastAsia" w:hAnsiTheme="minorHAnsi" w:cstheme="minorBidi"/>
          <w:sz w:val="22"/>
          <w:szCs w:val="22"/>
          <w:lang w:val="en-AU" w:eastAsia="en-AU"/>
        </w:rPr>
      </w:pPr>
      <w:hyperlink w:anchor="_Toc389834053" w:history="1">
        <w:r w:rsidR="009553DA" w:rsidRPr="00B17B36">
          <w:rPr>
            <w:rStyle w:val="Hyperlink"/>
          </w:rPr>
          <w:t>Current arrangements for public reimbursement</w:t>
        </w:r>
        <w:r w:rsidR="009553DA">
          <w:rPr>
            <w:webHidden/>
          </w:rPr>
          <w:tab/>
        </w:r>
        <w:r w:rsidR="004D5C85">
          <w:rPr>
            <w:webHidden/>
          </w:rPr>
          <w:fldChar w:fldCharType="begin"/>
        </w:r>
        <w:r w:rsidR="009553DA">
          <w:rPr>
            <w:webHidden/>
          </w:rPr>
          <w:instrText xml:space="preserve"> PAGEREF _Toc389834053 \h </w:instrText>
        </w:r>
        <w:r w:rsidR="004D5C85">
          <w:rPr>
            <w:webHidden/>
          </w:rPr>
        </w:r>
        <w:r w:rsidR="004D5C85">
          <w:rPr>
            <w:webHidden/>
          </w:rPr>
          <w:fldChar w:fldCharType="separate"/>
        </w:r>
        <w:r>
          <w:rPr>
            <w:webHidden/>
          </w:rPr>
          <w:t>4</w:t>
        </w:r>
        <w:r w:rsidR="004D5C85">
          <w:rPr>
            <w:webHidden/>
          </w:rPr>
          <w:fldChar w:fldCharType="end"/>
        </w:r>
      </w:hyperlink>
    </w:p>
    <w:p w:rsidR="009553DA" w:rsidRDefault="008850CD">
      <w:pPr>
        <w:pStyle w:val="TOC2"/>
        <w:rPr>
          <w:rFonts w:asciiTheme="minorHAnsi" w:eastAsiaTheme="minorEastAsia" w:hAnsiTheme="minorHAnsi" w:cstheme="minorBidi"/>
          <w:sz w:val="22"/>
          <w:szCs w:val="22"/>
          <w:lang w:val="en-AU" w:eastAsia="en-AU"/>
        </w:rPr>
      </w:pPr>
      <w:hyperlink w:anchor="_Toc389834054" w:history="1">
        <w:r w:rsidR="009553DA" w:rsidRPr="00B17B36">
          <w:rPr>
            <w:rStyle w:val="Hyperlink"/>
          </w:rPr>
          <w:t>Regulatory status</w:t>
        </w:r>
        <w:r w:rsidR="009553DA">
          <w:rPr>
            <w:webHidden/>
          </w:rPr>
          <w:tab/>
        </w:r>
        <w:r w:rsidR="004D5C85">
          <w:rPr>
            <w:webHidden/>
          </w:rPr>
          <w:fldChar w:fldCharType="begin"/>
        </w:r>
        <w:r w:rsidR="009553DA">
          <w:rPr>
            <w:webHidden/>
          </w:rPr>
          <w:instrText xml:space="preserve"> PAGEREF _Toc389834054 \h </w:instrText>
        </w:r>
        <w:r w:rsidR="004D5C85">
          <w:rPr>
            <w:webHidden/>
          </w:rPr>
        </w:r>
        <w:r w:rsidR="004D5C85">
          <w:rPr>
            <w:webHidden/>
          </w:rPr>
          <w:fldChar w:fldCharType="separate"/>
        </w:r>
        <w:r>
          <w:rPr>
            <w:webHidden/>
          </w:rPr>
          <w:t>5</w:t>
        </w:r>
        <w:r w:rsidR="004D5C85">
          <w:rPr>
            <w:webHidden/>
          </w:rPr>
          <w:fldChar w:fldCharType="end"/>
        </w:r>
      </w:hyperlink>
    </w:p>
    <w:p w:rsidR="009553DA" w:rsidRDefault="008850CD">
      <w:pPr>
        <w:pStyle w:val="TOC1"/>
        <w:rPr>
          <w:rFonts w:asciiTheme="minorHAnsi" w:eastAsiaTheme="minorEastAsia" w:hAnsiTheme="minorHAnsi" w:cstheme="minorBidi"/>
          <w:b w:val="0"/>
          <w:sz w:val="22"/>
          <w:szCs w:val="22"/>
          <w:lang w:eastAsia="en-AU"/>
        </w:rPr>
      </w:pPr>
      <w:hyperlink w:anchor="_Toc389834055" w:history="1">
        <w:r w:rsidR="009553DA" w:rsidRPr="00B17B36">
          <w:rPr>
            <w:rStyle w:val="Hyperlink"/>
          </w:rPr>
          <w:t>Intervention</w:t>
        </w:r>
        <w:r w:rsidR="009553DA">
          <w:rPr>
            <w:webHidden/>
          </w:rPr>
          <w:tab/>
        </w:r>
        <w:r w:rsidR="004D5C85">
          <w:rPr>
            <w:webHidden/>
          </w:rPr>
          <w:fldChar w:fldCharType="begin"/>
        </w:r>
        <w:r w:rsidR="009553DA">
          <w:rPr>
            <w:webHidden/>
          </w:rPr>
          <w:instrText xml:space="preserve"> PAGEREF _Toc389834055 \h </w:instrText>
        </w:r>
        <w:r w:rsidR="004D5C85">
          <w:rPr>
            <w:webHidden/>
          </w:rPr>
        </w:r>
        <w:r w:rsidR="004D5C85">
          <w:rPr>
            <w:webHidden/>
          </w:rPr>
          <w:fldChar w:fldCharType="separate"/>
        </w:r>
        <w:r>
          <w:rPr>
            <w:webHidden/>
          </w:rPr>
          <w:t>5</w:t>
        </w:r>
        <w:r w:rsidR="004D5C85">
          <w:rPr>
            <w:webHidden/>
          </w:rPr>
          <w:fldChar w:fldCharType="end"/>
        </w:r>
      </w:hyperlink>
    </w:p>
    <w:p w:rsidR="009553DA" w:rsidRDefault="008850CD">
      <w:pPr>
        <w:pStyle w:val="TOC2"/>
        <w:rPr>
          <w:rFonts w:asciiTheme="minorHAnsi" w:eastAsiaTheme="minorEastAsia" w:hAnsiTheme="minorHAnsi" w:cstheme="minorBidi"/>
          <w:sz w:val="22"/>
          <w:szCs w:val="22"/>
          <w:lang w:val="en-AU" w:eastAsia="en-AU"/>
        </w:rPr>
      </w:pPr>
      <w:hyperlink w:anchor="_Toc389834056" w:history="1">
        <w:r w:rsidR="009553DA" w:rsidRPr="00B17B36">
          <w:rPr>
            <w:rStyle w:val="Hyperlink"/>
          </w:rPr>
          <w:t>Description</w:t>
        </w:r>
        <w:r w:rsidR="009553DA">
          <w:rPr>
            <w:webHidden/>
          </w:rPr>
          <w:tab/>
        </w:r>
        <w:r w:rsidR="004D5C85">
          <w:rPr>
            <w:webHidden/>
          </w:rPr>
          <w:fldChar w:fldCharType="begin"/>
        </w:r>
        <w:r w:rsidR="009553DA">
          <w:rPr>
            <w:webHidden/>
          </w:rPr>
          <w:instrText xml:space="preserve"> PAGEREF _Toc389834056 \h </w:instrText>
        </w:r>
        <w:r w:rsidR="004D5C85">
          <w:rPr>
            <w:webHidden/>
          </w:rPr>
        </w:r>
        <w:r w:rsidR="004D5C85">
          <w:rPr>
            <w:webHidden/>
          </w:rPr>
          <w:fldChar w:fldCharType="separate"/>
        </w:r>
        <w:r>
          <w:rPr>
            <w:webHidden/>
          </w:rPr>
          <w:t>5</w:t>
        </w:r>
        <w:r w:rsidR="004D5C85">
          <w:rPr>
            <w:webHidden/>
          </w:rPr>
          <w:fldChar w:fldCharType="end"/>
        </w:r>
      </w:hyperlink>
    </w:p>
    <w:p w:rsidR="009553DA" w:rsidRDefault="008850CD">
      <w:pPr>
        <w:pStyle w:val="TOC2"/>
        <w:rPr>
          <w:rFonts w:asciiTheme="minorHAnsi" w:eastAsiaTheme="minorEastAsia" w:hAnsiTheme="minorHAnsi" w:cstheme="minorBidi"/>
          <w:sz w:val="22"/>
          <w:szCs w:val="22"/>
          <w:lang w:val="en-AU" w:eastAsia="en-AU"/>
        </w:rPr>
      </w:pPr>
      <w:hyperlink w:anchor="_Toc389834057" w:history="1">
        <w:r w:rsidR="009553DA" w:rsidRPr="00B17B36">
          <w:rPr>
            <w:rStyle w:val="Hyperlink"/>
          </w:rPr>
          <w:t>Delivery of the intervention</w:t>
        </w:r>
        <w:r w:rsidR="009553DA">
          <w:rPr>
            <w:webHidden/>
          </w:rPr>
          <w:tab/>
        </w:r>
        <w:r w:rsidR="004D5C85">
          <w:rPr>
            <w:webHidden/>
          </w:rPr>
          <w:fldChar w:fldCharType="begin"/>
        </w:r>
        <w:r w:rsidR="009553DA">
          <w:rPr>
            <w:webHidden/>
          </w:rPr>
          <w:instrText xml:space="preserve"> PAGEREF _Toc389834057 \h </w:instrText>
        </w:r>
        <w:r w:rsidR="004D5C85">
          <w:rPr>
            <w:webHidden/>
          </w:rPr>
        </w:r>
        <w:r w:rsidR="004D5C85">
          <w:rPr>
            <w:webHidden/>
          </w:rPr>
          <w:fldChar w:fldCharType="separate"/>
        </w:r>
        <w:r>
          <w:rPr>
            <w:webHidden/>
          </w:rPr>
          <w:t>6</w:t>
        </w:r>
        <w:r w:rsidR="004D5C85">
          <w:rPr>
            <w:webHidden/>
          </w:rPr>
          <w:fldChar w:fldCharType="end"/>
        </w:r>
      </w:hyperlink>
    </w:p>
    <w:p w:rsidR="009553DA" w:rsidRDefault="008850CD">
      <w:pPr>
        <w:pStyle w:val="TOC2"/>
        <w:rPr>
          <w:rFonts w:asciiTheme="minorHAnsi" w:eastAsiaTheme="minorEastAsia" w:hAnsiTheme="minorHAnsi" w:cstheme="minorBidi"/>
          <w:sz w:val="22"/>
          <w:szCs w:val="22"/>
          <w:lang w:val="en-AU" w:eastAsia="en-AU"/>
        </w:rPr>
      </w:pPr>
      <w:hyperlink w:anchor="_Toc389834058" w:history="1">
        <w:r w:rsidR="009553DA" w:rsidRPr="00B17B36">
          <w:rPr>
            <w:rStyle w:val="Hyperlink"/>
          </w:rPr>
          <w:t>Prerequisites</w:t>
        </w:r>
        <w:r w:rsidR="009553DA">
          <w:rPr>
            <w:webHidden/>
          </w:rPr>
          <w:tab/>
        </w:r>
        <w:r w:rsidR="004D5C85">
          <w:rPr>
            <w:webHidden/>
          </w:rPr>
          <w:fldChar w:fldCharType="begin"/>
        </w:r>
        <w:r w:rsidR="009553DA">
          <w:rPr>
            <w:webHidden/>
          </w:rPr>
          <w:instrText xml:space="preserve"> PAGEREF _Toc389834058 \h </w:instrText>
        </w:r>
        <w:r w:rsidR="004D5C85">
          <w:rPr>
            <w:webHidden/>
          </w:rPr>
        </w:r>
        <w:r w:rsidR="004D5C85">
          <w:rPr>
            <w:webHidden/>
          </w:rPr>
          <w:fldChar w:fldCharType="separate"/>
        </w:r>
        <w:r>
          <w:rPr>
            <w:webHidden/>
          </w:rPr>
          <w:t>7</w:t>
        </w:r>
        <w:r w:rsidR="004D5C85">
          <w:rPr>
            <w:webHidden/>
          </w:rPr>
          <w:fldChar w:fldCharType="end"/>
        </w:r>
      </w:hyperlink>
    </w:p>
    <w:p w:rsidR="009553DA" w:rsidRDefault="008850CD">
      <w:pPr>
        <w:pStyle w:val="TOC2"/>
        <w:rPr>
          <w:rFonts w:asciiTheme="minorHAnsi" w:eastAsiaTheme="minorEastAsia" w:hAnsiTheme="minorHAnsi" w:cstheme="minorBidi"/>
          <w:sz w:val="22"/>
          <w:szCs w:val="22"/>
          <w:lang w:val="en-AU" w:eastAsia="en-AU"/>
        </w:rPr>
      </w:pPr>
      <w:hyperlink w:anchor="_Toc389834059" w:history="1">
        <w:r w:rsidR="009553DA" w:rsidRPr="00B17B36">
          <w:rPr>
            <w:rStyle w:val="Hyperlink"/>
          </w:rPr>
          <w:t>Co-administered and associated interventions</w:t>
        </w:r>
        <w:r w:rsidR="009553DA">
          <w:rPr>
            <w:webHidden/>
          </w:rPr>
          <w:tab/>
        </w:r>
        <w:r w:rsidR="004D5C85">
          <w:rPr>
            <w:webHidden/>
          </w:rPr>
          <w:fldChar w:fldCharType="begin"/>
        </w:r>
        <w:r w:rsidR="009553DA">
          <w:rPr>
            <w:webHidden/>
          </w:rPr>
          <w:instrText xml:space="preserve"> PAGEREF _Toc389834059 \h </w:instrText>
        </w:r>
        <w:r w:rsidR="004D5C85">
          <w:rPr>
            <w:webHidden/>
          </w:rPr>
        </w:r>
        <w:r w:rsidR="004D5C85">
          <w:rPr>
            <w:webHidden/>
          </w:rPr>
          <w:fldChar w:fldCharType="separate"/>
        </w:r>
        <w:r>
          <w:rPr>
            <w:webHidden/>
          </w:rPr>
          <w:t>7</w:t>
        </w:r>
        <w:r w:rsidR="004D5C85">
          <w:rPr>
            <w:webHidden/>
          </w:rPr>
          <w:fldChar w:fldCharType="end"/>
        </w:r>
      </w:hyperlink>
    </w:p>
    <w:p w:rsidR="009553DA" w:rsidRDefault="008850CD">
      <w:pPr>
        <w:pStyle w:val="TOC1"/>
        <w:rPr>
          <w:rFonts w:asciiTheme="minorHAnsi" w:eastAsiaTheme="minorEastAsia" w:hAnsiTheme="minorHAnsi" w:cstheme="minorBidi"/>
          <w:b w:val="0"/>
          <w:sz w:val="22"/>
          <w:szCs w:val="22"/>
          <w:lang w:eastAsia="en-AU"/>
        </w:rPr>
      </w:pPr>
      <w:hyperlink w:anchor="_Toc389834060" w:history="1">
        <w:r w:rsidR="009553DA" w:rsidRPr="00B17B36">
          <w:rPr>
            <w:rStyle w:val="Hyperlink"/>
          </w:rPr>
          <w:t>Listing proposed and options for MSAC consideration</w:t>
        </w:r>
        <w:r w:rsidR="009553DA">
          <w:rPr>
            <w:webHidden/>
          </w:rPr>
          <w:tab/>
        </w:r>
        <w:r w:rsidR="004D5C85">
          <w:rPr>
            <w:webHidden/>
          </w:rPr>
          <w:fldChar w:fldCharType="begin"/>
        </w:r>
        <w:r w:rsidR="009553DA">
          <w:rPr>
            <w:webHidden/>
          </w:rPr>
          <w:instrText xml:space="preserve"> PAGEREF _Toc389834060 \h </w:instrText>
        </w:r>
        <w:r w:rsidR="004D5C85">
          <w:rPr>
            <w:webHidden/>
          </w:rPr>
        </w:r>
        <w:r w:rsidR="004D5C85">
          <w:rPr>
            <w:webHidden/>
          </w:rPr>
          <w:fldChar w:fldCharType="separate"/>
        </w:r>
        <w:r>
          <w:rPr>
            <w:webHidden/>
          </w:rPr>
          <w:t>8</w:t>
        </w:r>
        <w:r w:rsidR="004D5C85">
          <w:rPr>
            <w:webHidden/>
          </w:rPr>
          <w:fldChar w:fldCharType="end"/>
        </w:r>
      </w:hyperlink>
    </w:p>
    <w:p w:rsidR="009553DA" w:rsidRDefault="008850CD">
      <w:pPr>
        <w:pStyle w:val="TOC2"/>
        <w:rPr>
          <w:rFonts w:asciiTheme="minorHAnsi" w:eastAsiaTheme="minorEastAsia" w:hAnsiTheme="minorHAnsi" w:cstheme="minorBidi"/>
          <w:sz w:val="22"/>
          <w:szCs w:val="22"/>
          <w:lang w:val="en-AU" w:eastAsia="en-AU"/>
        </w:rPr>
      </w:pPr>
      <w:hyperlink w:anchor="_Toc389834061" w:history="1">
        <w:r w:rsidR="009553DA" w:rsidRPr="00B17B36">
          <w:rPr>
            <w:rStyle w:val="Hyperlink"/>
          </w:rPr>
          <w:t>Proposed MBS listing</w:t>
        </w:r>
        <w:r w:rsidR="009553DA">
          <w:rPr>
            <w:webHidden/>
          </w:rPr>
          <w:tab/>
        </w:r>
        <w:r w:rsidR="004D5C85">
          <w:rPr>
            <w:webHidden/>
          </w:rPr>
          <w:fldChar w:fldCharType="begin"/>
        </w:r>
        <w:r w:rsidR="009553DA">
          <w:rPr>
            <w:webHidden/>
          </w:rPr>
          <w:instrText xml:space="preserve"> PAGEREF _Toc389834061 \h </w:instrText>
        </w:r>
        <w:r w:rsidR="004D5C85">
          <w:rPr>
            <w:webHidden/>
          </w:rPr>
        </w:r>
        <w:r w:rsidR="004D5C85">
          <w:rPr>
            <w:webHidden/>
          </w:rPr>
          <w:fldChar w:fldCharType="separate"/>
        </w:r>
        <w:r>
          <w:rPr>
            <w:webHidden/>
          </w:rPr>
          <w:t>8</w:t>
        </w:r>
        <w:r w:rsidR="004D5C85">
          <w:rPr>
            <w:webHidden/>
          </w:rPr>
          <w:fldChar w:fldCharType="end"/>
        </w:r>
      </w:hyperlink>
    </w:p>
    <w:p w:rsidR="009553DA" w:rsidRDefault="008850CD">
      <w:pPr>
        <w:pStyle w:val="TOC2"/>
        <w:rPr>
          <w:rFonts w:asciiTheme="minorHAnsi" w:eastAsiaTheme="minorEastAsia" w:hAnsiTheme="minorHAnsi" w:cstheme="minorBidi"/>
          <w:sz w:val="22"/>
          <w:szCs w:val="22"/>
          <w:lang w:val="en-AU" w:eastAsia="en-AU"/>
        </w:rPr>
      </w:pPr>
      <w:hyperlink w:anchor="_Toc389834062" w:history="1">
        <w:r w:rsidR="009553DA" w:rsidRPr="00B17B36">
          <w:rPr>
            <w:rStyle w:val="Hyperlink"/>
          </w:rPr>
          <w:t>Clinical place for proposed intervention</w:t>
        </w:r>
        <w:r w:rsidR="009553DA">
          <w:rPr>
            <w:webHidden/>
          </w:rPr>
          <w:tab/>
        </w:r>
        <w:r w:rsidR="004D5C85">
          <w:rPr>
            <w:webHidden/>
          </w:rPr>
          <w:fldChar w:fldCharType="begin"/>
        </w:r>
        <w:r w:rsidR="009553DA">
          <w:rPr>
            <w:webHidden/>
          </w:rPr>
          <w:instrText xml:space="preserve"> PAGEREF _Toc389834062 \h </w:instrText>
        </w:r>
        <w:r w:rsidR="004D5C85">
          <w:rPr>
            <w:webHidden/>
          </w:rPr>
        </w:r>
        <w:r w:rsidR="004D5C85">
          <w:rPr>
            <w:webHidden/>
          </w:rPr>
          <w:fldChar w:fldCharType="separate"/>
        </w:r>
        <w:r>
          <w:rPr>
            <w:webHidden/>
          </w:rPr>
          <w:t>9</w:t>
        </w:r>
        <w:r w:rsidR="004D5C85">
          <w:rPr>
            <w:webHidden/>
          </w:rPr>
          <w:fldChar w:fldCharType="end"/>
        </w:r>
      </w:hyperlink>
    </w:p>
    <w:p w:rsidR="009553DA" w:rsidRDefault="008850CD">
      <w:pPr>
        <w:pStyle w:val="TOC1"/>
        <w:rPr>
          <w:rFonts w:asciiTheme="minorHAnsi" w:eastAsiaTheme="minorEastAsia" w:hAnsiTheme="minorHAnsi" w:cstheme="minorBidi"/>
          <w:b w:val="0"/>
          <w:sz w:val="22"/>
          <w:szCs w:val="22"/>
          <w:lang w:eastAsia="en-AU"/>
        </w:rPr>
      </w:pPr>
      <w:hyperlink w:anchor="_Toc389834063" w:history="1">
        <w:r w:rsidR="009553DA" w:rsidRPr="00B17B36">
          <w:rPr>
            <w:rStyle w:val="Hyperlink"/>
          </w:rPr>
          <w:t>Comparator</w:t>
        </w:r>
        <w:r w:rsidR="009553DA">
          <w:rPr>
            <w:webHidden/>
          </w:rPr>
          <w:tab/>
        </w:r>
        <w:r w:rsidR="004D5C85">
          <w:rPr>
            <w:webHidden/>
          </w:rPr>
          <w:fldChar w:fldCharType="begin"/>
        </w:r>
        <w:r w:rsidR="009553DA">
          <w:rPr>
            <w:webHidden/>
          </w:rPr>
          <w:instrText xml:space="preserve"> PAGEREF _Toc389834063 \h </w:instrText>
        </w:r>
        <w:r w:rsidR="004D5C85">
          <w:rPr>
            <w:webHidden/>
          </w:rPr>
        </w:r>
        <w:r w:rsidR="004D5C85">
          <w:rPr>
            <w:webHidden/>
          </w:rPr>
          <w:fldChar w:fldCharType="separate"/>
        </w:r>
        <w:r>
          <w:rPr>
            <w:webHidden/>
          </w:rPr>
          <w:t>14</w:t>
        </w:r>
        <w:r w:rsidR="004D5C85">
          <w:rPr>
            <w:webHidden/>
          </w:rPr>
          <w:fldChar w:fldCharType="end"/>
        </w:r>
      </w:hyperlink>
    </w:p>
    <w:p w:rsidR="009553DA" w:rsidRDefault="008850CD">
      <w:pPr>
        <w:pStyle w:val="TOC1"/>
        <w:rPr>
          <w:rFonts w:asciiTheme="minorHAnsi" w:eastAsiaTheme="minorEastAsia" w:hAnsiTheme="minorHAnsi" w:cstheme="minorBidi"/>
          <w:b w:val="0"/>
          <w:sz w:val="22"/>
          <w:szCs w:val="22"/>
          <w:lang w:eastAsia="en-AU"/>
        </w:rPr>
      </w:pPr>
      <w:hyperlink w:anchor="_Toc389834064" w:history="1">
        <w:r w:rsidR="009553DA" w:rsidRPr="00B17B36">
          <w:rPr>
            <w:rStyle w:val="Hyperlink"/>
          </w:rPr>
          <w:t>Clinical claim</w:t>
        </w:r>
        <w:r w:rsidR="009553DA">
          <w:rPr>
            <w:webHidden/>
          </w:rPr>
          <w:tab/>
        </w:r>
        <w:r w:rsidR="004D5C85">
          <w:rPr>
            <w:webHidden/>
          </w:rPr>
          <w:fldChar w:fldCharType="begin"/>
        </w:r>
        <w:r w:rsidR="009553DA">
          <w:rPr>
            <w:webHidden/>
          </w:rPr>
          <w:instrText xml:space="preserve"> PAGEREF _Toc389834064 \h </w:instrText>
        </w:r>
        <w:r w:rsidR="004D5C85">
          <w:rPr>
            <w:webHidden/>
          </w:rPr>
        </w:r>
        <w:r w:rsidR="004D5C85">
          <w:rPr>
            <w:webHidden/>
          </w:rPr>
          <w:fldChar w:fldCharType="separate"/>
        </w:r>
        <w:r>
          <w:rPr>
            <w:webHidden/>
          </w:rPr>
          <w:t>15</w:t>
        </w:r>
        <w:r w:rsidR="004D5C85">
          <w:rPr>
            <w:webHidden/>
          </w:rPr>
          <w:fldChar w:fldCharType="end"/>
        </w:r>
      </w:hyperlink>
    </w:p>
    <w:p w:rsidR="009553DA" w:rsidRDefault="008850CD">
      <w:pPr>
        <w:pStyle w:val="TOC1"/>
        <w:rPr>
          <w:rFonts w:asciiTheme="minorHAnsi" w:eastAsiaTheme="minorEastAsia" w:hAnsiTheme="minorHAnsi" w:cstheme="minorBidi"/>
          <w:b w:val="0"/>
          <w:sz w:val="22"/>
          <w:szCs w:val="22"/>
          <w:lang w:eastAsia="en-AU"/>
        </w:rPr>
      </w:pPr>
      <w:hyperlink w:anchor="_Toc389834065" w:history="1">
        <w:r w:rsidR="009553DA" w:rsidRPr="00B17B36">
          <w:rPr>
            <w:rStyle w:val="Hyperlink"/>
          </w:rPr>
          <w:t>Outcomes and health care resources affected by introduction of proposed intervention</w:t>
        </w:r>
        <w:r w:rsidR="009553DA">
          <w:rPr>
            <w:webHidden/>
          </w:rPr>
          <w:tab/>
        </w:r>
        <w:r w:rsidR="004D5C85">
          <w:rPr>
            <w:webHidden/>
          </w:rPr>
          <w:fldChar w:fldCharType="begin"/>
        </w:r>
        <w:r w:rsidR="009553DA">
          <w:rPr>
            <w:webHidden/>
          </w:rPr>
          <w:instrText xml:space="preserve"> PAGEREF _Toc389834065 \h </w:instrText>
        </w:r>
        <w:r w:rsidR="004D5C85">
          <w:rPr>
            <w:webHidden/>
          </w:rPr>
        </w:r>
        <w:r w:rsidR="004D5C85">
          <w:rPr>
            <w:webHidden/>
          </w:rPr>
          <w:fldChar w:fldCharType="separate"/>
        </w:r>
        <w:r>
          <w:rPr>
            <w:webHidden/>
          </w:rPr>
          <w:t>17</w:t>
        </w:r>
        <w:r w:rsidR="004D5C85">
          <w:rPr>
            <w:webHidden/>
          </w:rPr>
          <w:fldChar w:fldCharType="end"/>
        </w:r>
      </w:hyperlink>
    </w:p>
    <w:p w:rsidR="009553DA" w:rsidRDefault="008850CD">
      <w:pPr>
        <w:pStyle w:val="TOC2"/>
        <w:rPr>
          <w:rFonts w:asciiTheme="minorHAnsi" w:eastAsiaTheme="minorEastAsia" w:hAnsiTheme="minorHAnsi" w:cstheme="minorBidi"/>
          <w:sz w:val="22"/>
          <w:szCs w:val="22"/>
          <w:lang w:val="en-AU" w:eastAsia="en-AU"/>
        </w:rPr>
      </w:pPr>
      <w:hyperlink w:anchor="_Toc389834066" w:history="1">
        <w:r w:rsidR="009553DA" w:rsidRPr="00B17B36">
          <w:rPr>
            <w:rStyle w:val="Hyperlink"/>
          </w:rPr>
          <w:t>Outcomes</w:t>
        </w:r>
        <w:r w:rsidR="009553DA">
          <w:rPr>
            <w:webHidden/>
          </w:rPr>
          <w:tab/>
        </w:r>
        <w:r w:rsidR="004D5C85">
          <w:rPr>
            <w:webHidden/>
          </w:rPr>
          <w:fldChar w:fldCharType="begin"/>
        </w:r>
        <w:r w:rsidR="009553DA">
          <w:rPr>
            <w:webHidden/>
          </w:rPr>
          <w:instrText xml:space="preserve"> PAGEREF _Toc389834066 \h </w:instrText>
        </w:r>
        <w:r w:rsidR="004D5C85">
          <w:rPr>
            <w:webHidden/>
          </w:rPr>
        </w:r>
        <w:r w:rsidR="004D5C85">
          <w:rPr>
            <w:webHidden/>
          </w:rPr>
          <w:fldChar w:fldCharType="separate"/>
        </w:r>
        <w:r>
          <w:rPr>
            <w:webHidden/>
          </w:rPr>
          <w:t>17</w:t>
        </w:r>
        <w:r w:rsidR="004D5C85">
          <w:rPr>
            <w:webHidden/>
          </w:rPr>
          <w:fldChar w:fldCharType="end"/>
        </w:r>
      </w:hyperlink>
    </w:p>
    <w:p w:rsidR="009553DA" w:rsidRDefault="008850CD">
      <w:pPr>
        <w:pStyle w:val="TOC3"/>
        <w:rPr>
          <w:rFonts w:asciiTheme="minorHAnsi" w:eastAsiaTheme="minorEastAsia" w:hAnsiTheme="minorHAnsi" w:cstheme="minorBidi"/>
          <w:szCs w:val="22"/>
          <w:lang w:val="en-AU" w:eastAsia="en-AU"/>
        </w:rPr>
      </w:pPr>
      <w:hyperlink w:anchor="_Toc389834067" w:history="1">
        <w:r w:rsidR="009553DA" w:rsidRPr="00B17B36">
          <w:rPr>
            <w:rStyle w:val="Hyperlink"/>
          </w:rPr>
          <w:t>Weight loss</w:t>
        </w:r>
        <w:r w:rsidR="009553DA">
          <w:rPr>
            <w:webHidden/>
          </w:rPr>
          <w:tab/>
        </w:r>
        <w:r w:rsidR="004D5C85">
          <w:rPr>
            <w:webHidden/>
          </w:rPr>
          <w:fldChar w:fldCharType="begin"/>
        </w:r>
        <w:r w:rsidR="009553DA">
          <w:rPr>
            <w:webHidden/>
          </w:rPr>
          <w:instrText xml:space="preserve"> PAGEREF _Toc389834067 \h </w:instrText>
        </w:r>
        <w:r w:rsidR="004D5C85">
          <w:rPr>
            <w:webHidden/>
          </w:rPr>
        </w:r>
        <w:r w:rsidR="004D5C85">
          <w:rPr>
            <w:webHidden/>
          </w:rPr>
          <w:fldChar w:fldCharType="separate"/>
        </w:r>
        <w:r>
          <w:rPr>
            <w:webHidden/>
          </w:rPr>
          <w:t>17</w:t>
        </w:r>
        <w:r w:rsidR="004D5C85">
          <w:rPr>
            <w:webHidden/>
          </w:rPr>
          <w:fldChar w:fldCharType="end"/>
        </w:r>
      </w:hyperlink>
    </w:p>
    <w:p w:rsidR="009553DA" w:rsidRDefault="008850CD">
      <w:pPr>
        <w:pStyle w:val="TOC3"/>
        <w:rPr>
          <w:rFonts w:asciiTheme="minorHAnsi" w:eastAsiaTheme="minorEastAsia" w:hAnsiTheme="minorHAnsi" w:cstheme="minorBidi"/>
          <w:szCs w:val="22"/>
          <w:lang w:val="en-AU" w:eastAsia="en-AU"/>
        </w:rPr>
      </w:pPr>
      <w:hyperlink w:anchor="_Toc389834068" w:history="1">
        <w:r w:rsidR="009553DA" w:rsidRPr="00B17B36">
          <w:rPr>
            <w:rStyle w:val="Hyperlink"/>
          </w:rPr>
          <w:t>HbA1c levels</w:t>
        </w:r>
        <w:r w:rsidR="009553DA">
          <w:rPr>
            <w:webHidden/>
          </w:rPr>
          <w:tab/>
        </w:r>
        <w:r w:rsidR="004D5C85">
          <w:rPr>
            <w:webHidden/>
          </w:rPr>
          <w:fldChar w:fldCharType="begin"/>
        </w:r>
        <w:r w:rsidR="009553DA">
          <w:rPr>
            <w:webHidden/>
          </w:rPr>
          <w:instrText xml:space="preserve"> PAGEREF _Toc389834068 \h </w:instrText>
        </w:r>
        <w:r w:rsidR="004D5C85">
          <w:rPr>
            <w:webHidden/>
          </w:rPr>
        </w:r>
        <w:r w:rsidR="004D5C85">
          <w:rPr>
            <w:webHidden/>
          </w:rPr>
          <w:fldChar w:fldCharType="separate"/>
        </w:r>
        <w:r>
          <w:rPr>
            <w:webHidden/>
          </w:rPr>
          <w:t>17</w:t>
        </w:r>
        <w:r w:rsidR="004D5C85">
          <w:rPr>
            <w:webHidden/>
          </w:rPr>
          <w:fldChar w:fldCharType="end"/>
        </w:r>
      </w:hyperlink>
    </w:p>
    <w:p w:rsidR="009553DA" w:rsidRDefault="008850CD">
      <w:pPr>
        <w:pStyle w:val="TOC3"/>
        <w:rPr>
          <w:rFonts w:asciiTheme="minorHAnsi" w:eastAsiaTheme="minorEastAsia" w:hAnsiTheme="minorHAnsi" w:cstheme="minorBidi"/>
          <w:szCs w:val="22"/>
          <w:lang w:val="en-AU" w:eastAsia="en-AU"/>
        </w:rPr>
      </w:pPr>
      <w:hyperlink w:anchor="_Toc389834069" w:history="1">
        <w:r w:rsidR="009553DA" w:rsidRPr="00B17B36">
          <w:rPr>
            <w:rStyle w:val="Hyperlink"/>
          </w:rPr>
          <w:t>Adverse events</w:t>
        </w:r>
        <w:r w:rsidR="009553DA">
          <w:rPr>
            <w:webHidden/>
          </w:rPr>
          <w:tab/>
        </w:r>
        <w:r w:rsidR="004D5C85">
          <w:rPr>
            <w:webHidden/>
          </w:rPr>
          <w:fldChar w:fldCharType="begin"/>
        </w:r>
        <w:r w:rsidR="009553DA">
          <w:rPr>
            <w:webHidden/>
          </w:rPr>
          <w:instrText xml:space="preserve"> PAGEREF _Toc389834069 \h </w:instrText>
        </w:r>
        <w:r w:rsidR="004D5C85">
          <w:rPr>
            <w:webHidden/>
          </w:rPr>
        </w:r>
        <w:r w:rsidR="004D5C85">
          <w:rPr>
            <w:webHidden/>
          </w:rPr>
          <w:fldChar w:fldCharType="separate"/>
        </w:r>
        <w:r>
          <w:rPr>
            <w:webHidden/>
          </w:rPr>
          <w:t>18</w:t>
        </w:r>
        <w:r w:rsidR="004D5C85">
          <w:rPr>
            <w:webHidden/>
          </w:rPr>
          <w:fldChar w:fldCharType="end"/>
        </w:r>
      </w:hyperlink>
    </w:p>
    <w:p w:rsidR="009553DA" w:rsidRDefault="008850CD">
      <w:pPr>
        <w:pStyle w:val="TOC3"/>
        <w:rPr>
          <w:rFonts w:asciiTheme="minorHAnsi" w:eastAsiaTheme="minorEastAsia" w:hAnsiTheme="minorHAnsi" w:cstheme="minorBidi"/>
          <w:szCs w:val="22"/>
          <w:lang w:val="en-AU" w:eastAsia="en-AU"/>
        </w:rPr>
      </w:pPr>
      <w:hyperlink w:anchor="_Toc389834070" w:history="1">
        <w:r w:rsidR="009553DA" w:rsidRPr="00B17B36">
          <w:rPr>
            <w:rStyle w:val="Hyperlink"/>
          </w:rPr>
          <w:t>Other outcomes</w:t>
        </w:r>
        <w:r w:rsidR="009553DA">
          <w:rPr>
            <w:webHidden/>
          </w:rPr>
          <w:tab/>
        </w:r>
        <w:r w:rsidR="004D5C85">
          <w:rPr>
            <w:webHidden/>
          </w:rPr>
          <w:fldChar w:fldCharType="begin"/>
        </w:r>
        <w:r w:rsidR="009553DA">
          <w:rPr>
            <w:webHidden/>
          </w:rPr>
          <w:instrText xml:space="preserve"> PAGEREF _Toc389834070 \h </w:instrText>
        </w:r>
        <w:r w:rsidR="004D5C85">
          <w:rPr>
            <w:webHidden/>
          </w:rPr>
        </w:r>
        <w:r w:rsidR="004D5C85">
          <w:rPr>
            <w:webHidden/>
          </w:rPr>
          <w:fldChar w:fldCharType="separate"/>
        </w:r>
        <w:r>
          <w:rPr>
            <w:webHidden/>
          </w:rPr>
          <w:t>18</w:t>
        </w:r>
        <w:r w:rsidR="004D5C85">
          <w:rPr>
            <w:webHidden/>
          </w:rPr>
          <w:fldChar w:fldCharType="end"/>
        </w:r>
      </w:hyperlink>
    </w:p>
    <w:p w:rsidR="009553DA" w:rsidRDefault="008850CD">
      <w:pPr>
        <w:pStyle w:val="TOC2"/>
        <w:rPr>
          <w:rFonts w:asciiTheme="minorHAnsi" w:eastAsiaTheme="minorEastAsia" w:hAnsiTheme="minorHAnsi" w:cstheme="minorBidi"/>
          <w:sz w:val="22"/>
          <w:szCs w:val="22"/>
          <w:lang w:val="en-AU" w:eastAsia="en-AU"/>
        </w:rPr>
      </w:pPr>
      <w:hyperlink w:anchor="_Toc389834071" w:history="1">
        <w:r w:rsidR="009553DA" w:rsidRPr="00B17B36">
          <w:rPr>
            <w:rStyle w:val="Hyperlink"/>
          </w:rPr>
          <w:t>Health care resources</w:t>
        </w:r>
        <w:r w:rsidR="009553DA">
          <w:rPr>
            <w:webHidden/>
          </w:rPr>
          <w:tab/>
        </w:r>
        <w:r w:rsidR="004D5C85">
          <w:rPr>
            <w:webHidden/>
          </w:rPr>
          <w:fldChar w:fldCharType="begin"/>
        </w:r>
        <w:r w:rsidR="009553DA">
          <w:rPr>
            <w:webHidden/>
          </w:rPr>
          <w:instrText xml:space="preserve"> PAGEREF _Toc389834071 \h </w:instrText>
        </w:r>
        <w:r w:rsidR="004D5C85">
          <w:rPr>
            <w:webHidden/>
          </w:rPr>
        </w:r>
        <w:r w:rsidR="004D5C85">
          <w:rPr>
            <w:webHidden/>
          </w:rPr>
          <w:fldChar w:fldCharType="separate"/>
        </w:r>
        <w:r>
          <w:rPr>
            <w:webHidden/>
          </w:rPr>
          <w:t>19</w:t>
        </w:r>
        <w:r w:rsidR="004D5C85">
          <w:rPr>
            <w:webHidden/>
          </w:rPr>
          <w:fldChar w:fldCharType="end"/>
        </w:r>
      </w:hyperlink>
    </w:p>
    <w:p w:rsidR="009553DA" w:rsidRDefault="008850CD">
      <w:pPr>
        <w:pStyle w:val="TOC3"/>
        <w:rPr>
          <w:rFonts w:asciiTheme="minorHAnsi" w:eastAsiaTheme="minorEastAsia" w:hAnsiTheme="minorHAnsi" w:cstheme="minorBidi"/>
          <w:szCs w:val="22"/>
          <w:lang w:val="en-AU" w:eastAsia="en-AU"/>
        </w:rPr>
      </w:pPr>
      <w:hyperlink w:anchor="_Toc389834072" w:history="1">
        <w:r w:rsidR="009553DA" w:rsidRPr="00B17B36">
          <w:rPr>
            <w:rStyle w:val="Hyperlink"/>
          </w:rPr>
          <w:t>Resources to deliver proposed intervention</w:t>
        </w:r>
        <w:r w:rsidR="009553DA">
          <w:rPr>
            <w:webHidden/>
          </w:rPr>
          <w:tab/>
        </w:r>
        <w:r w:rsidR="004D5C85">
          <w:rPr>
            <w:webHidden/>
          </w:rPr>
          <w:fldChar w:fldCharType="begin"/>
        </w:r>
        <w:r w:rsidR="009553DA">
          <w:rPr>
            <w:webHidden/>
          </w:rPr>
          <w:instrText xml:space="preserve"> PAGEREF _Toc389834072 \h </w:instrText>
        </w:r>
        <w:r w:rsidR="004D5C85">
          <w:rPr>
            <w:webHidden/>
          </w:rPr>
        </w:r>
        <w:r w:rsidR="004D5C85">
          <w:rPr>
            <w:webHidden/>
          </w:rPr>
          <w:fldChar w:fldCharType="separate"/>
        </w:r>
        <w:r>
          <w:rPr>
            <w:webHidden/>
          </w:rPr>
          <w:t>19</w:t>
        </w:r>
        <w:r w:rsidR="004D5C85">
          <w:rPr>
            <w:webHidden/>
          </w:rPr>
          <w:fldChar w:fldCharType="end"/>
        </w:r>
      </w:hyperlink>
    </w:p>
    <w:p w:rsidR="009553DA" w:rsidRDefault="008850CD">
      <w:pPr>
        <w:pStyle w:val="TOC3"/>
        <w:rPr>
          <w:rFonts w:asciiTheme="minorHAnsi" w:eastAsiaTheme="minorEastAsia" w:hAnsiTheme="minorHAnsi" w:cstheme="minorBidi"/>
          <w:szCs w:val="22"/>
          <w:lang w:val="en-AU" w:eastAsia="en-AU"/>
        </w:rPr>
      </w:pPr>
      <w:hyperlink w:anchor="_Toc389834073" w:history="1">
        <w:r w:rsidR="009553DA" w:rsidRPr="00B17B36">
          <w:rPr>
            <w:rStyle w:val="Hyperlink"/>
          </w:rPr>
          <w:t>Resources provided in association with the proposed intervention</w:t>
        </w:r>
        <w:r w:rsidR="009553DA">
          <w:rPr>
            <w:webHidden/>
          </w:rPr>
          <w:tab/>
        </w:r>
        <w:r w:rsidR="004D5C85">
          <w:rPr>
            <w:webHidden/>
          </w:rPr>
          <w:fldChar w:fldCharType="begin"/>
        </w:r>
        <w:r w:rsidR="009553DA">
          <w:rPr>
            <w:webHidden/>
          </w:rPr>
          <w:instrText xml:space="preserve"> PAGEREF _Toc389834073 \h </w:instrText>
        </w:r>
        <w:r w:rsidR="004D5C85">
          <w:rPr>
            <w:webHidden/>
          </w:rPr>
        </w:r>
        <w:r w:rsidR="004D5C85">
          <w:rPr>
            <w:webHidden/>
          </w:rPr>
          <w:fldChar w:fldCharType="separate"/>
        </w:r>
        <w:r>
          <w:rPr>
            <w:webHidden/>
          </w:rPr>
          <w:t>19</w:t>
        </w:r>
        <w:r w:rsidR="004D5C85">
          <w:rPr>
            <w:webHidden/>
          </w:rPr>
          <w:fldChar w:fldCharType="end"/>
        </w:r>
      </w:hyperlink>
    </w:p>
    <w:p w:rsidR="009553DA" w:rsidRDefault="008850CD">
      <w:pPr>
        <w:pStyle w:val="TOC3"/>
        <w:rPr>
          <w:rFonts w:asciiTheme="minorHAnsi" w:eastAsiaTheme="minorEastAsia" w:hAnsiTheme="minorHAnsi" w:cstheme="minorBidi"/>
          <w:szCs w:val="22"/>
          <w:lang w:val="en-AU" w:eastAsia="en-AU"/>
        </w:rPr>
      </w:pPr>
      <w:hyperlink w:anchor="_Toc389834074" w:history="1">
        <w:r w:rsidR="009553DA" w:rsidRPr="00B17B36">
          <w:rPr>
            <w:rStyle w:val="Hyperlink"/>
          </w:rPr>
          <w:t>Resources provided to deliver comparator</w:t>
        </w:r>
        <w:r w:rsidR="009553DA">
          <w:rPr>
            <w:webHidden/>
          </w:rPr>
          <w:tab/>
        </w:r>
        <w:r w:rsidR="004D5C85">
          <w:rPr>
            <w:webHidden/>
          </w:rPr>
          <w:fldChar w:fldCharType="begin"/>
        </w:r>
        <w:r w:rsidR="009553DA">
          <w:rPr>
            <w:webHidden/>
          </w:rPr>
          <w:instrText xml:space="preserve"> PAGEREF _Toc389834074 \h </w:instrText>
        </w:r>
        <w:r w:rsidR="004D5C85">
          <w:rPr>
            <w:webHidden/>
          </w:rPr>
        </w:r>
        <w:r w:rsidR="004D5C85">
          <w:rPr>
            <w:webHidden/>
          </w:rPr>
          <w:fldChar w:fldCharType="separate"/>
        </w:r>
        <w:r>
          <w:rPr>
            <w:webHidden/>
          </w:rPr>
          <w:t>20</w:t>
        </w:r>
        <w:r w:rsidR="004D5C85">
          <w:rPr>
            <w:webHidden/>
          </w:rPr>
          <w:fldChar w:fldCharType="end"/>
        </w:r>
      </w:hyperlink>
    </w:p>
    <w:p w:rsidR="009553DA" w:rsidRDefault="008850CD">
      <w:pPr>
        <w:pStyle w:val="TOC3"/>
        <w:rPr>
          <w:rFonts w:asciiTheme="minorHAnsi" w:eastAsiaTheme="minorEastAsia" w:hAnsiTheme="minorHAnsi" w:cstheme="minorBidi"/>
          <w:szCs w:val="22"/>
          <w:lang w:val="en-AU" w:eastAsia="en-AU"/>
        </w:rPr>
      </w:pPr>
      <w:hyperlink w:anchor="_Toc389834075" w:history="1">
        <w:r w:rsidR="009553DA" w:rsidRPr="00B17B36">
          <w:rPr>
            <w:rStyle w:val="Hyperlink"/>
          </w:rPr>
          <w:t>Resources provided in association with the comparator (SOC)</w:t>
        </w:r>
        <w:r w:rsidR="009553DA">
          <w:rPr>
            <w:webHidden/>
          </w:rPr>
          <w:tab/>
        </w:r>
        <w:r w:rsidR="004D5C85">
          <w:rPr>
            <w:webHidden/>
          </w:rPr>
          <w:fldChar w:fldCharType="begin"/>
        </w:r>
        <w:r w:rsidR="009553DA">
          <w:rPr>
            <w:webHidden/>
          </w:rPr>
          <w:instrText xml:space="preserve"> PAGEREF _Toc389834075 \h </w:instrText>
        </w:r>
        <w:r w:rsidR="004D5C85">
          <w:rPr>
            <w:webHidden/>
          </w:rPr>
        </w:r>
        <w:r w:rsidR="004D5C85">
          <w:rPr>
            <w:webHidden/>
          </w:rPr>
          <w:fldChar w:fldCharType="separate"/>
        </w:r>
        <w:r>
          <w:rPr>
            <w:webHidden/>
          </w:rPr>
          <w:t>20</w:t>
        </w:r>
        <w:r w:rsidR="004D5C85">
          <w:rPr>
            <w:webHidden/>
          </w:rPr>
          <w:fldChar w:fldCharType="end"/>
        </w:r>
      </w:hyperlink>
    </w:p>
    <w:p w:rsidR="009553DA" w:rsidRDefault="008850CD">
      <w:pPr>
        <w:pStyle w:val="TOC1"/>
        <w:rPr>
          <w:rFonts w:asciiTheme="minorHAnsi" w:eastAsiaTheme="minorEastAsia" w:hAnsiTheme="minorHAnsi" w:cstheme="minorBidi"/>
          <w:b w:val="0"/>
          <w:sz w:val="22"/>
          <w:szCs w:val="22"/>
          <w:lang w:eastAsia="en-AU"/>
        </w:rPr>
      </w:pPr>
      <w:hyperlink w:anchor="_Toc389834076" w:history="1">
        <w:r w:rsidR="009553DA" w:rsidRPr="00B17B36">
          <w:rPr>
            <w:rStyle w:val="Hyperlink"/>
          </w:rPr>
          <w:t>Proposed structure of economic evaluation (decision-analytic)</w:t>
        </w:r>
        <w:r w:rsidR="009553DA">
          <w:rPr>
            <w:webHidden/>
          </w:rPr>
          <w:tab/>
        </w:r>
        <w:r w:rsidR="004D5C85">
          <w:rPr>
            <w:webHidden/>
          </w:rPr>
          <w:fldChar w:fldCharType="begin"/>
        </w:r>
        <w:r w:rsidR="009553DA">
          <w:rPr>
            <w:webHidden/>
          </w:rPr>
          <w:instrText xml:space="preserve"> PAGEREF _Toc389834076 \h </w:instrText>
        </w:r>
        <w:r w:rsidR="004D5C85">
          <w:rPr>
            <w:webHidden/>
          </w:rPr>
        </w:r>
        <w:r w:rsidR="004D5C85">
          <w:rPr>
            <w:webHidden/>
          </w:rPr>
          <w:fldChar w:fldCharType="separate"/>
        </w:r>
        <w:r>
          <w:rPr>
            <w:webHidden/>
          </w:rPr>
          <w:t>21</w:t>
        </w:r>
        <w:r w:rsidR="004D5C85">
          <w:rPr>
            <w:webHidden/>
          </w:rPr>
          <w:fldChar w:fldCharType="end"/>
        </w:r>
      </w:hyperlink>
    </w:p>
    <w:p w:rsidR="009553DA" w:rsidRDefault="008850CD">
      <w:pPr>
        <w:pStyle w:val="TOC1"/>
        <w:rPr>
          <w:rFonts w:asciiTheme="minorHAnsi" w:eastAsiaTheme="minorEastAsia" w:hAnsiTheme="minorHAnsi" w:cstheme="minorBidi"/>
          <w:b w:val="0"/>
          <w:sz w:val="22"/>
          <w:szCs w:val="22"/>
          <w:lang w:eastAsia="en-AU"/>
        </w:rPr>
      </w:pPr>
      <w:hyperlink w:anchor="_Toc389834077" w:history="1">
        <w:r w:rsidR="009553DA" w:rsidRPr="00B17B36">
          <w:rPr>
            <w:rStyle w:val="Hyperlink"/>
          </w:rPr>
          <w:t>References</w:t>
        </w:r>
        <w:r w:rsidR="009553DA">
          <w:rPr>
            <w:webHidden/>
          </w:rPr>
          <w:tab/>
        </w:r>
        <w:r w:rsidR="004D5C85">
          <w:rPr>
            <w:webHidden/>
          </w:rPr>
          <w:fldChar w:fldCharType="begin"/>
        </w:r>
        <w:r w:rsidR="009553DA">
          <w:rPr>
            <w:webHidden/>
          </w:rPr>
          <w:instrText xml:space="preserve"> PAGEREF _Toc389834077 \h </w:instrText>
        </w:r>
        <w:r w:rsidR="004D5C85">
          <w:rPr>
            <w:webHidden/>
          </w:rPr>
        </w:r>
        <w:r w:rsidR="004D5C85">
          <w:rPr>
            <w:webHidden/>
          </w:rPr>
          <w:fldChar w:fldCharType="separate"/>
        </w:r>
        <w:r>
          <w:rPr>
            <w:webHidden/>
          </w:rPr>
          <w:t>24</w:t>
        </w:r>
        <w:r w:rsidR="004D5C85">
          <w:rPr>
            <w:webHidden/>
          </w:rPr>
          <w:fldChar w:fldCharType="end"/>
        </w:r>
      </w:hyperlink>
    </w:p>
    <w:p w:rsidR="000D5CF9" w:rsidRPr="00A34E9C" w:rsidRDefault="004D5C85" w:rsidP="000901A8">
      <w:r w:rsidRPr="00A34E9C">
        <w:fldChar w:fldCharType="end"/>
      </w:r>
    </w:p>
    <w:p w:rsidR="000D5CF9" w:rsidRPr="00A34E9C" w:rsidRDefault="000D5CF9" w:rsidP="007C6FCD">
      <w:pPr>
        <w:pStyle w:val="Heading2"/>
      </w:pPr>
      <w:r w:rsidRPr="00A34E9C">
        <w:br w:type="page"/>
      </w:r>
      <w:bookmarkStart w:id="1" w:name="_Toc389834049"/>
      <w:bookmarkEnd w:id="0"/>
      <w:r w:rsidRPr="00A34E9C">
        <w:lastRenderedPageBreak/>
        <w:t>MSAC and PASC</w:t>
      </w:r>
      <w:bookmarkEnd w:id="1"/>
    </w:p>
    <w:p w:rsidR="000D5CF9" w:rsidRPr="00A34E9C" w:rsidRDefault="000D5CF9" w:rsidP="000901A8">
      <w:r w:rsidRPr="00A34E9C">
        <w:t>The Medical Services Advisory Committee (MSAC) is an independent expert committee appointed by the Australian Government Health Minister to strengthen the role of evidence in health financing decisions in Australia. MSAC advises the Co</w:t>
      </w:r>
      <w:r w:rsidR="00062678">
        <w:t xml:space="preserve">mmonwealth Minister for Health </w:t>
      </w:r>
      <w:r w:rsidRPr="00A34E9C">
        <w:t>on the evidence relating to the safety, effectiveness, and cost-effectiveness of new and existing medical technologies and procedures and under what circumstances public funding should be supported.</w:t>
      </w:r>
    </w:p>
    <w:p w:rsidR="000D5CF9" w:rsidRPr="000901A8" w:rsidRDefault="000D5CF9" w:rsidP="000901A8">
      <w:r w:rsidRPr="000901A8">
        <w:t>The Protocol Advisory Sub-Committee (PASC) is a standing sub-committee of MSAC. Its primary objective is the determination of protocols to guide clinical and economic assessments of medical interventions proposed for public funding.</w:t>
      </w:r>
    </w:p>
    <w:p w:rsidR="000D5CF9" w:rsidRPr="00A34E9C" w:rsidRDefault="000D5CF9" w:rsidP="000901A8">
      <w:pPr>
        <w:pStyle w:val="Heading2"/>
      </w:pPr>
      <w:bookmarkStart w:id="2" w:name="_Toc389834050"/>
      <w:r w:rsidRPr="00A34E9C">
        <w:t>Purpose of this document</w:t>
      </w:r>
      <w:bookmarkEnd w:id="2"/>
    </w:p>
    <w:p w:rsidR="000D5CF9" w:rsidRPr="00A34E9C" w:rsidRDefault="000D5CF9" w:rsidP="000901A8">
      <w:r w:rsidRPr="00A34E9C">
        <w:t>This document is intended to provide a draft protocol that will be used to guide the assessment of an intervention for a particular population of patients. The draft protocol that will be finalised after inviting relevant stakeholders to provide input to the protocol. The final protocol will provide the basis for the assessment of the intervention.</w:t>
      </w:r>
    </w:p>
    <w:p w:rsidR="000D5CF9" w:rsidRPr="00A34E9C" w:rsidRDefault="000D5CF9" w:rsidP="000901A8">
      <w:r w:rsidRPr="00A34E9C">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0D5CF9" w:rsidRPr="00A34E9C" w:rsidRDefault="000D5CF9" w:rsidP="000901A8">
      <w:pPr>
        <w:pStyle w:val="ListParagraph"/>
      </w:pPr>
      <w:r w:rsidRPr="00A34E9C">
        <w:rPr>
          <w:b/>
          <w:u w:val="single"/>
        </w:rPr>
        <w:t>P</w:t>
      </w:r>
      <w:r w:rsidRPr="00A34E9C">
        <w:t>atients – specification of the characteristics of the patients in whom the intervention is to be considered for use;</w:t>
      </w:r>
    </w:p>
    <w:p w:rsidR="000D5CF9" w:rsidRPr="00A34E9C" w:rsidRDefault="000D5CF9" w:rsidP="000901A8">
      <w:pPr>
        <w:pStyle w:val="ListParagraph"/>
      </w:pPr>
      <w:r w:rsidRPr="00A34E9C">
        <w:rPr>
          <w:b/>
          <w:u w:val="single"/>
        </w:rPr>
        <w:t>I</w:t>
      </w:r>
      <w:r w:rsidRPr="00A34E9C">
        <w:t>ntervention – specification of the proposed intervention</w:t>
      </w:r>
    </w:p>
    <w:p w:rsidR="000D5CF9" w:rsidRPr="00A34E9C" w:rsidRDefault="000D5CF9" w:rsidP="000901A8">
      <w:pPr>
        <w:pStyle w:val="ListParagraph"/>
      </w:pPr>
      <w:r w:rsidRPr="00A34E9C">
        <w:rPr>
          <w:b/>
          <w:u w:val="single"/>
        </w:rPr>
        <w:t>C</w:t>
      </w:r>
      <w:r w:rsidRPr="00A34E9C">
        <w:t>omparator – specification of the therapy most likely to be replaced by the proposed intervention</w:t>
      </w:r>
    </w:p>
    <w:p w:rsidR="000D5CF9" w:rsidRDefault="000D5CF9" w:rsidP="000901A8">
      <w:pPr>
        <w:pStyle w:val="ListParagraph"/>
      </w:pPr>
      <w:r w:rsidRPr="00A34E9C">
        <w:rPr>
          <w:b/>
          <w:u w:val="single"/>
        </w:rPr>
        <w:t>O</w:t>
      </w:r>
      <w:r w:rsidRPr="00A34E9C">
        <w:t>utcomes – specification of the health outcomes and the healthcare resources likely to be affected by the introduction of the proposed intervention</w:t>
      </w:r>
    </w:p>
    <w:p w:rsidR="00BA712D" w:rsidRPr="00A34E9C" w:rsidRDefault="00BA712D" w:rsidP="000901A8">
      <w:pPr>
        <w:pStyle w:val="ListParagraph"/>
      </w:pPr>
    </w:p>
    <w:p w:rsidR="000D5CF9" w:rsidRPr="00CC5957" w:rsidRDefault="000D5CF9" w:rsidP="00943B66">
      <w:pPr>
        <w:pStyle w:val="Heading1"/>
      </w:pPr>
      <w:r w:rsidRPr="00A34E9C">
        <w:br w:type="page"/>
      </w:r>
      <w:bookmarkStart w:id="3" w:name="_Toc389834051"/>
      <w:r w:rsidRPr="00CC5957">
        <w:lastRenderedPageBreak/>
        <w:t>Purpose of application</w:t>
      </w:r>
      <w:bookmarkEnd w:id="3"/>
    </w:p>
    <w:p w:rsidR="000D5CF9" w:rsidRDefault="000D5CF9" w:rsidP="000901A8">
      <w:r w:rsidRPr="00CC5957">
        <w:t xml:space="preserve">A proposal for an application requesting </w:t>
      </w:r>
      <w:r w:rsidR="009A56E0">
        <w:t xml:space="preserve">the </w:t>
      </w:r>
      <w:r w:rsidR="009671B0">
        <w:t>Medicare Benefits Schedule (</w:t>
      </w:r>
      <w:r w:rsidRPr="00CC5957">
        <w:t>MBS</w:t>
      </w:r>
      <w:r w:rsidR="009671B0">
        <w:t>)</w:t>
      </w:r>
      <w:r w:rsidRPr="00CC5957">
        <w:t xml:space="preserve"> listing of </w:t>
      </w:r>
      <w:r w:rsidR="00BC6C7F">
        <w:t>a duo</w:t>
      </w:r>
      <w:r w:rsidR="00CC5957" w:rsidRPr="00CC5957">
        <w:t xml:space="preserve">denal jejunal bypass </w:t>
      </w:r>
      <w:r w:rsidR="00E067F2">
        <w:t>liner</w:t>
      </w:r>
      <w:r w:rsidR="00E067F2" w:rsidRPr="00CC5957">
        <w:t xml:space="preserve"> </w:t>
      </w:r>
      <w:r w:rsidR="00061285">
        <w:t>(EndoBarrier</w:t>
      </w:r>
      <w:r w:rsidR="00061285" w:rsidRPr="00061285">
        <w:rPr>
          <w:vertAlign w:val="superscript"/>
        </w:rPr>
        <w:t>®</w:t>
      </w:r>
      <w:r w:rsidR="00061285">
        <w:t xml:space="preserve">) </w:t>
      </w:r>
      <w:r w:rsidRPr="00CC5957">
        <w:t xml:space="preserve">was received from </w:t>
      </w:r>
      <w:r w:rsidR="00CC5957" w:rsidRPr="00CC5957">
        <w:t xml:space="preserve">GI Dynamics </w:t>
      </w:r>
      <w:r w:rsidRPr="00CC5957">
        <w:t xml:space="preserve">by the Department of Health in </w:t>
      </w:r>
      <w:r w:rsidR="00CC5957" w:rsidRPr="00CC5957">
        <w:t>September 2013. The proposal relates to a new intervention</w:t>
      </w:r>
      <w:r w:rsidR="00227085">
        <w:t xml:space="preserve"> </w:t>
      </w:r>
      <w:r w:rsidR="00227085" w:rsidRPr="00CC5957">
        <w:t>for the treatment of</w:t>
      </w:r>
      <w:r w:rsidR="00367454">
        <w:t xml:space="preserve"> patients with</w:t>
      </w:r>
      <w:r w:rsidR="00A54CE8">
        <w:t xml:space="preserve"> </w:t>
      </w:r>
      <w:r w:rsidR="00227085">
        <w:t>clinically severe obesity</w:t>
      </w:r>
      <w:r w:rsidR="002742D0">
        <w:t>.</w:t>
      </w:r>
      <w:r w:rsidR="00227085">
        <w:t xml:space="preserve"> </w:t>
      </w:r>
    </w:p>
    <w:p w:rsidR="000545A4" w:rsidRDefault="000545A4" w:rsidP="000545A4">
      <w:r w:rsidRPr="00BC69C3">
        <w:t xml:space="preserve">It is proposed that this </w:t>
      </w:r>
      <w:r>
        <w:t>protocol should</w:t>
      </w:r>
      <w:r w:rsidRPr="00BC69C3">
        <w:t xml:space="preserve"> guide the assessment of the safety, effectiveness and cost-effectiveness of </w:t>
      </w:r>
      <w:r>
        <w:t>EndoBarrier</w:t>
      </w:r>
      <w:r w:rsidRPr="00BC69C3">
        <w:t xml:space="preserve"> in </w:t>
      </w:r>
      <w:r>
        <w:t>the requested populations</w:t>
      </w:r>
      <w:r w:rsidRPr="00BC69C3">
        <w:t xml:space="preserve"> to inform MSACs decision-making regarding public funding of the </w:t>
      </w:r>
      <w:r>
        <w:t>procedure</w:t>
      </w:r>
      <w:r w:rsidRPr="00BC69C3">
        <w:t>.</w:t>
      </w:r>
    </w:p>
    <w:p w:rsidR="00061285" w:rsidRPr="00061285" w:rsidRDefault="00A26DA0" w:rsidP="00061285">
      <w:r>
        <w:t xml:space="preserve">Although </w:t>
      </w:r>
      <w:r w:rsidR="00061285">
        <w:t>GI Dynamics</w:t>
      </w:r>
      <w:r w:rsidR="00061285" w:rsidRPr="00061285">
        <w:t xml:space="preserve"> is not </w:t>
      </w:r>
      <w:r>
        <w:t xml:space="preserve">seeking branded MBS listing, the </w:t>
      </w:r>
      <w:r w:rsidR="00DD1B1D">
        <w:t xml:space="preserve">protocol </w:t>
      </w:r>
      <w:r>
        <w:t>frequently refers to the EndoBarrier brand name for clarity and simplicity.</w:t>
      </w:r>
      <w:r w:rsidRPr="00A26DA0">
        <w:t xml:space="preserve"> </w:t>
      </w:r>
      <w:r>
        <w:t>If implemented, the</w:t>
      </w:r>
      <w:r w:rsidR="00061285" w:rsidRPr="00061285">
        <w:t xml:space="preserve"> </w:t>
      </w:r>
      <w:r>
        <w:t xml:space="preserve">proposed </w:t>
      </w:r>
      <w:r w:rsidR="00061285" w:rsidRPr="00061285">
        <w:t>MBS item</w:t>
      </w:r>
      <w:r>
        <w:t xml:space="preserve"> descriptors</w:t>
      </w:r>
      <w:r w:rsidR="00061285" w:rsidRPr="00061285">
        <w:t xml:space="preserve"> would apply to all </w:t>
      </w:r>
      <w:r w:rsidR="00061285">
        <w:t>duo</w:t>
      </w:r>
      <w:r w:rsidR="00061285" w:rsidRPr="00CC5957">
        <w:t xml:space="preserve">denal jejunal bypass </w:t>
      </w:r>
      <w:r w:rsidR="00E067F2">
        <w:t xml:space="preserve">liners </w:t>
      </w:r>
      <w:r w:rsidR="00061285">
        <w:t>registered for use in Australia</w:t>
      </w:r>
      <w:r>
        <w:t xml:space="preserve">; however, to the Sponsor’s knowledge, the EndoBarrier is the only currently available product that fits this description. </w:t>
      </w:r>
    </w:p>
    <w:p w:rsidR="000D5CF9" w:rsidRDefault="000D5CF9" w:rsidP="00AC07F7">
      <w:pPr>
        <w:pStyle w:val="Heading1"/>
      </w:pPr>
      <w:bookmarkStart w:id="4" w:name="_Toc389834052"/>
      <w:r>
        <w:t>Background</w:t>
      </w:r>
      <w:bookmarkEnd w:id="4"/>
    </w:p>
    <w:p w:rsidR="00E8414F" w:rsidRPr="009E7A9F" w:rsidRDefault="00820A51" w:rsidP="002B680A">
      <w:r>
        <w:t>Th</w:t>
      </w:r>
      <w:r w:rsidR="000E5359">
        <w:t>is</w:t>
      </w:r>
      <w:r>
        <w:t xml:space="preserve"> </w:t>
      </w:r>
      <w:r w:rsidR="000E5359">
        <w:t>P</w:t>
      </w:r>
      <w:r>
        <w:t xml:space="preserve">rotocol for </w:t>
      </w:r>
      <w:r w:rsidR="00E760EA">
        <w:t>EndoBarrier</w:t>
      </w:r>
      <w:r>
        <w:t xml:space="preserve"> request</w:t>
      </w:r>
      <w:r w:rsidR="00C17A44">
        <w:t>s</w:t>
      </w:r>
      <w:r>
        <w:t xml:space="preserve"> reimbursement for </w:t>
      </w:r>
      <w:r w:rsidR="00E760EA">
        <w:t xml:space="preserve">a duodenal jejunal bypass </w:t>
      </w:r>
      <w:r w:rsidR="00E067F2">
        <w:t xml:space="preserve">liner </w:t>
      </w:r>
      <w:r w:rsidR="00943B66">
        <w:t>that is temporarily implanted in patients to treat</w:t>
      </w:r>
      <w:r w:rsidR="00E760EA">
        <w:t xml:space="preserve"> </w:t>
      </w:r>
      <w:r w:rsidR="00C17A44">
        <w:t xml:space="preserve">clinically severe obesity. </w:t>
      </w:r>
      <w:r w:rsidR="002B680A" w:rsidRPr="00BA3026">
        <w:t>For implantation, it is proposed</w:t>
      </w:r>
      <w:r w:rsidR="00665E39">
        <w:t xml:space="preserve"> by the applicant</w:t>
      </w:r>
      <w:r w:rsidR="002B680A" w:rsidRPr="00BA3026">
        <w:t xml:space="preserve"> that the service will be available to patients with clinically severe obesity</w:t>
      </w:r>
      <w:r w:rsidR="00F26C6E">
        <w:t xml:space="preserve">. Within this broad population, the following </w:t>
      </w:r>
      <w:r w:rsidR="009E7A9F">
        <w:t>subpopulations</w:t>
      </w:r>
      <w:r w:rsidR="00F26C6E">
        <w:t xml:space="preserve"> will be examined separately</w:t>
      </w:r>
      <w:r w:rsidR="002B680A" w:rsidRPr="009E7A9F">
        <w:t>:</w:t>
      </w:r>
    </w:p>
    <w:p w:rsidR="002B680A" w:rsidRPr="009E7A9F" w:rsidRDefault="0094038A" w:rsidP="00DC1456">
      <w:pPr>
        <w:pStyle w:val="ListParagraph"/>
        <w:numPr>
          <w:ilvl w:val="0"/>
          <w:numId w:val="31"/>
        </w:numPr>
      </w:pPr>
      <w:r>
        <w:t xml:space="preserve">Patients </w:t>
      </w:r>
      <w:r w:rsidR="002B680A" w:rsidRPr="009E7A9F">
        <w:t>with uncontrolled type 2 diabetes mellitus;</w:t>
      </w:r>
    </w:p>
    <w:p w:rsidR="002B680A" w:rsidRPr="009E7A9F" w:rsidRDefault="0094038A" w:rsidP="00DC1456">
      <w:pPr>
        <w:pStyle w:val="ListParagraph"/>
        <w:numPr>
          <w:ilvl w:val="0"/>
          <w:numId w:val="31"/>
        </w:numPr>
      </w:pPr>
      <w:r>
        <w:t xml:space="preserve">Patients </w:t>
      </w:r>
      <w:r w:rsidR="002B680A" w:rsidRPr="009E7A9F">
        <w:t xml:space="preserve">who are not suitable for bariatric surgery (including patients </w:t>
      </w:r>
      <w:r w:rsidR="000A4A46">
        <w:t>who</w:t>
      </w:r>
      <w:r w:rsidR="000A4A46" w:rsidRPr="009E7A9F">
        <w:t xml:space="preserve"> </w:t>
      </w:r>
      <w:r w:rsidR="002B680A" w:rsidRPr="009E7A9F">
        <w:t xml:space="preserve">are contra-indicated for surgery and “bridge” patients); and </w:t>
      </w:r>
    </w:p>
    <w:p w:rsidR="002B680A" w:rsidRDefault="0094038A" w:rsidP="0094038A">
      <w:pPr>
        <w:pStyle w:val="ListParagraph"/>
        <w:numPr>
          <w:ilvl w:val="0"/>
          <w:numId w:val="31"/>
        </w:numPr>
      </w:pPr>
      <w:r>
        <w:t xml:space="preserve">Patients </w:t>
      </w:r>
      <w:r w:rsidR="002B680A" w:rsidRPr="009E7A9F">
        <w:t xml:space="preserve">who are eligible for bariatric surgery but have a preference for EndoBarrier. </w:t>
      </w:r>
    </w:p>
    <w:p w:rsidR="00D06433" w:rsidRDefault="00D06433" w:rsidP="00D06433">
      <w:r>
        <w:t>Obesity is a medical condition in which excess body fat has accumulated to the extent that it may have an adverse effect on health and result in reduced life expectancy. Excess weight</w:t>
      </w:r>
      <w:r w:rsidRPr="001B2307">
        <w:t xml:space="preserve"> </w:t>
      </w:r>
      <w:r>
        <w:t>is a risk factor for a range of serious diseases, including</w:t>
      </w:r>
      <w:r w:rsidRPr="001B2307">
        <w:t xml:space="preserve"> type 2 diabetes</w:t>
      </w:r>
      <w:r>
        <w:t>,</w:t>
      </w:r>
      <w:r w:rsidRPr="001B2307">
        <w:t xml:space="preserve"> </w:t>
      </w:r>
      <w:r>
        <w:t>osteoarthritis</w:t>
      </w:r>
      <w:r w:rsidRPr="001B2307">
        <w:t xml:space="preserve">, </w:t>
      </w:r>
      <w:r>
        <w:t>cardiovascular disease,</w:t>
      </w:r>
      <w:r w:rsidRPr="001B2307">
        <w:t xml:space="preserve"> and </w:t>
      </w:r>
      <w:r>
        <w:t>a variety of c</w:t>
      </w:r>
      <w:r w:rsidRPr="001B2307">
        <w:t>ancer</w:t>
      </w:r>
      <w:r>
        <w:t>s</w:t>
      </w:r>
      <w:r w:rsidRPr="001B2307">
        <w:t xml:space="preserve"> (Preventative Health Taskforce, 2009). </w:t>
      </w:r>
      <w:r w:rsidRPr="00F2491E">
        <w:t>Direct benefits of weight loss include an increase in insulin sensitivity, improvement</w:t>
      </w:r>
      <w:r>
        <w:t xml:space="preserve"> </w:t>
      </w:r>
      <w:r w:rsidRPr="00F2491E">
        <w:t>in glycaemic control, improved lipid profiles, decreased triglycerides and LDL cholesterol</w:t>
      </w:r>
      <w:r>
        <w:t xml:space="preserve"> </w:t>
      </w:r>
      <w:r w:rsidRPr="00F2491E">
        <w:t>and improved blood pressure, mental health and quality of life (Wing et al., 1991; Maggio</w:t>
      </w:r>
      <w:r>
        <w:t xml:space="preserve"> </w:t>
      </w:r>
      <w:r w:rsidRPr="00F2491E">
        <w:t>and Pi-Sunyer, 1997; Pi-Sunyer, 2000).</w:t>
      </w:r>
    </w:p>
    <w:p w:rsidR="000D5CF9" w:rsidRPr="00D5182D" w:rsidRDefault="000D5CF9" w:rsidP="00AC07F7">
      <w:pPr>
        <w:pStyle w:val="Heading2"/>
      </w:pPr>
      <w:bookmarkStart w:id="5" w:name="_Toc389834053"/>
      <w:r w:rsidRPr="00D5182D">
        <w:t>Current arrangements for public reimbursement</w:t>
      </w:r>
      <w:bookmarkEnd w:id="5"/>
    </w:p>
    <w:p w:rsidR="00CD4840" w:rsidRDefault="00F559AA" w:rsidP="00AC07F7">
      <w:r w:rsidRPr="001C2EED">
        <w:t xml:space="preserve">Currently, the implantation of </w:t>
      </w:r>
      <w:r w:rsidR="00CD3E72" w:rsidRPr="001C2EED">
        <w:t>EndoBarrier is</w:t>
      </w:r>
      <w:r w:rsidR="00A26DA0">
        <w:t xml:space="preserve"> not</w:t>
      </w:r>
      <w:r w:rsidR="00CD3E72" w:rsidRPr="001C2EED">
        <w:t xml:space="preserve"> </w:t>
      </w:r>
      <w:r w:rsidRPr="001C2EED">
        <w:t>reimbursed through Medicare or subject to public funding by any other means. P</w:t>
      </w:r>
      <w:r w:rsidR="00CD3E72" w:rsidRPr="001C2EED">
        <w:t xml:space="preserve">atients who </w:t>
      </w:r>
      <w:r w:rsidR="001C2EED" w:rsidRPr="001C2EED">
        <w:t>would like access to</w:t>
      </w:r>
      <w:r w:rsidR="00CD3E72" w:rsidRPr="001C2EED">
        <w:t xml:space="preserve"> treatm</w:t>
      </w:r>
      <w:r w:rsidR="006542AC" w:rsidRPr="001C2EED">
        <w:t xml:space="preserve">ent </w:t>
      </w:r>
      <w:r w:rsidR="001C2EED" w:rsidRPr="001C2EED">
        <w:t xml:space="preserve">must </w:t>
      </w:r>
      <w:r w:rsidR="006542AC" w:rsidRPr="001C2EED">
        <w:t xml:space="preserve">currently </w:t>
      </w:r>
      <w:r w:rsidR="001C2EED" w:rsidRPr="001C2EED">
        <w:t xml:space="preserve">pay for the </w:t>
      </w:r>
      <w:r w:rsidR="0051534E">
        <w:t>device</w:t>
      </w:r>
      <w:r w:rsidR="001C2EED" w:rsidRPr="001C2EED">
        <w:t xml:space="preserve">, </w:t>
      </w:r>
      <w:r w:rsidR="006542AC" w:rsidRPr="001C2EED">
        <w:t xml:space="preserve">implantation </w:t>
      </w:r>
      <w:r w:rsidR="001C2EED" w:rsidRPr="001C2EED">
        <w:t>and removal of the device</w:t>
      </w:r>
      <w:r w:rsidR="00CD3E72" w:rsidRPr="001C2EED">
        <w:t xml:space="preserve"> </w:t>
      </w:r>
      <w:r w:rsidR="006542AC" w:rsidRPr="001C2EED">
        <w:t>out of their own pocket</w:t>
      </w:r>
      <w:r w:rsidR="00CD3E72" w:rsidRPr="001C2EED">
        <w:t>.</w:t>
      </w:r>
      <w:r w:rsidR="006542AC" w:rsidRPr="001C2EED">
        <w:t xml:space="preserve"> In most cases, EndoBar</w:t>
      </w:r>
      <w:r w:rsidR="001C2EED" w:rsidRPr="001C2EED">
        <w:t xml:space="preserve">rier is delivered </w:t>
      </w:r>
      <w:r w:rsidR="0051534E">
        <w:t>in</w:t>
      </w:r>
      <w:r w:rsidR="0051534E" w:rsidRPr="001C2EED">
        <w:t xml:space="preserve"> </w:t>
      </w:r>
      <w:r w:rsidR="006542AC" w:rsidRPr="001C2EED">
        <w:t xml:space="preserve">private </w:t>
      </w:r>
      <w:r w:rsidR="00605014">
        <w:t xml:space="preserve">hospitals and </w:t>
      </w:r>
      <w:r w:rsidR="001C2EED" w:rsidRPr="001C2EED">
        <w:t>obesity clinics,</w:t>
      </w:r>
      <w:r w:rsidR="006542AC" w:rsidRPr="001C2EED">
        <w:t xml:space="preserve"> </w:t>
      </w:r>
      <w:r w:rsidR="001C2EED" w:rsidRPr="001C2EED">
        <w:t xml:space="preserve">with the service provided by a </w:t>
      </w:r>
      <w:r w:rsidR="00605014">
        <w:t>physician trained in endoscopy</w:t>
      </w:r>
      <w:r w:rsidR="001C2EED" w:rsidRPr="001C2EED">
        <w:t xml:space="preserve">. </w:t>
      </w:r>
    </w:p>
    <w:p w:rsidR="000D5CF9" w:rsidRDefault="001C2EED" w:rsidP="00AC07F7">
      <w:r w:rsidRPr="001C2EED">
        <w:lastRenderedPageBreak/>
        <w:t>GI Dynamics has initiated an application to have the EndoBarrier device included on the Prostheses List. If the current MSAC application is successful, it is expected the gastrointestinal liner</w:t>
      </w:r>
      <w:r w:rsidR="00CD4840">
        <w:t xml:space="preserve"> and the associated delivery and removal systems for EndoBarrier</w:t>
      </w:r>
      <w:r w:rsidRPr="001C2EED">
        <w:t xml:space="preserve"> will </w:t>
      </w:r>
      <w:r w:rsidR="00DD1B1D" w:rsidRPr="001C2EED">
        <w:t xml:space="preserve">be </w:t>
      </w:r>
      <w:r w:rsidR="00DD1B1D">
        <w:t>included on the Prostheses list and</w:t>
      </w:r>
      <w:r w:rsidRPr="001C2EED">
        <w:t xml:space="preserve"> funded by priva</w:t>
      </w:r>
      <w:r w:rsidR="00CD4840">
        <w:t xml:space="preserve">te health insurance companies. </w:t>
      </w:r>
    </w:p>
    <w:p w:rsidR="00BE5302" w:rsidRDefault="00BE5302" w:rsidP="00AC07F7">
      <w:r>
        <w:t>In Australia, EndoBarrier is available at a number of medical cent</w:t>
      </w:r>
      <w:r w:rsidR="00F725EC">
        <w:t>res and has been used in over 100</w:t>
      </w:r>
      <w:r>
        <w:t xml:space="preserve"> patients.  </w:t>
      </w:r>
    </w:p>
    <w:p w:rsidR="000D5CF9" w:rsidRPr="00A34E9C" w:rsidRDefault="000D5CF9" w:rsidP="00AC07F7">
      <w:pPr>
        <w:pStyle w:val="Heading2"/>
      </w:pPr>
      <w:bookmarkStart w:id="6" w:name="_Toc389834054"/>
      <w:r w:rsidRPr="00A34E9C">
        <w:t>Regulatory status</w:t>
      </w:r>
      <w:bookmarkEnd w:id="6"/>
    </w:p>
    <w:p w:rsidR="00A64E6E" w:rsidRDefault="00A64E6E" w:rsidP="00AC07F7">
      <w:r w:rsidRPr="00A64E6E">
        <w:t>EndoBarrier </w:t>
      </w:r>
      <w:r w:rsidR="000A6A60">
        <w:t xml:space="preserve">was approved by the Therapeutic Goods </w:t>
      </w:r>
      <w:r w:rsidR="009671B0">
        <w:t>Administration</w:t>
      </w:r>
      <w:r w:rsidR="000A6A60">
        <w:t xml:space="preserve"> (TGA) in July 2011</w:t>
      </w:r>
      <w:r w:rsidRPr="00A64E6E">
        <w:t xml:space="preserve">. </w:t>
      </w:r>
      <w:r>
        <w:t>The TGA-approved indication for the liner is as follows:</w:t>
      </w:r>
    </w:p>
    <w:p w:rsidR="00A64E6E" w:rsidRPr="00A64E6E" w:rsidRDefault="00A64E6E" w:rsidP="00A64E6E">
      <w:pPr>
        <w:rPr>
          <w:i/>
        </w:rPr>
      </w:pPr>
      <w:r w:rsidRPr="00A64E6E">
        <w:rPr>
          <w:i/>
        </w:rPr>
        <w:t>“The gastrointestinal liner system is used for the treatment of type 2 diabetes and obesity. It is provided sterile and consists of an implant (anchor and liner), preloaded in a catheter that delivers the implant to the proximal intestine”.</w:t>
      </w:r>
    </w:p>
    <w:p w:rsidR="000D5CF9" w:rsidRPr="00A34E9C" w:rsidRDefault="000D5CF9" w:rsidP="000901A8">
      <w:pPr>
        <w:pStyle w:val="Heading1"/>
      </w:pPr>
      <w:bookmarkStart w:id="7" w:name="_Toc389834055"/>
      <w:r w:rsidRPr="00A34E9C">
        <w:t>Intervention</w:t>
      </w:r>
      <w:bookmarkEnd w:id="7"/>
    </w:p>
    <w:p w:rsidR="000D5CF9" w:rsidRPr="00A34E9C" w:rsidRDefault="000D5CF9" w:rsidP="000901A8">
      <w:pPr>
        <w:pStyle w:val="Heading2"/>
      </w:pPr>
      <w:bookmarkStart w:id="8" w:name="_Toc389834056"/>
      <w:r w:rsidRPr="00A34E9C">
        <w:t>Description</w:t>
      </w:r>
      <w:bookmarkEnd w:id="8"/>
    </w:p>
    <w:p w:rsidR="00CD4840" w:rsidRPr="00CD4840" w:rsidRDefault="00A64E6E" w:rsidP="00CD4840">
      <w:r>
        <w:t>EndoBarrier is a duo</w:t>
      </w:r>
      <w:r w:rsidR="00B32F24">
        <w:t xml:space="preserve">denal jejunal bypass </w:t>
      </w:r>
      <w:r w:rsidR="00E067F2">
        <w:t xml:space="preserve">liner </w:t>
      </w:r>
      <w:r w:rsidR="00B32F24">
        <w:t xml:space="preserve">that achieves the metabolic effects of a surgical gastric bypass, with </w:t>
      </w:r>
      <w:r w:rsidR="00E73F66">
        <w:t xml:space="preserve">the potential for </w:t>
      </w:r>
      <w:r w:rsidR="00B32F24">
        <w:t xml:space="preserve">reduced risk. </w:t>
      </w:r>
      <w:r w:rsidR="00F36C5E">
        <w:t xml:space="preserve">EndoBarrier has been implanted in more than </w:t>
      </w:r>
      <w:r w:rsidR="00551077">
        <w:t>1</w:t>
      </w:r>
      <w:r w:rsidR="00051B7A">
        <w:t>3</w:t>
      </w:r>
      <w:r w:rsidR="00551077">
        <w:t>00</w:t>
      </w:r>
      <w:r w:rsidR="00DD1B1D">
        <w:t xml:space="preserve"> </w:t>
      </w:r>
      <w:r w:rsidR="00F36C5E">
        <w:t xml:space="preserve">patients </w:t>
      </w:r>
      <w:r w:rsidR="00DC1456">
        <w:t>worldwide</w:t>
      </w:r>
      <w:r w:rsidR="00E73F66">
        <w:t xml:space="preserve"> as of </w:t>
      </w:r>
      <w:r w:rsidR="00051B7A">
        <w:t>March 2014.</w:t>
      </w:r>
      <w:r w:rsidR="00DC1456">
        <w:t xml:space="preserve"> The</w:t>
      </w:r>
      <w:r w:rsidR="00F15696">
        <w:t xml:space="preserve"> system </w:t>
      </w:r>
      <w:r w:rsidR="00F15696" w:rsidRPr="00251E74">
        <w:t>consists of two components</w:t>
      </w:r>
      <w:r w:rsidR="00F15696">
        <w:t>: the EndoBarrier delivery s</w:t>
      </w:r>
      <w:r w:rsidR="00F15696" w:rsidRPr="00CD4840">
        <w:t xml:space="preserve">ystem </w:t>
      </w:r>
      <w:r w:rsidR="00F15696">
        <w:t>and the EndoBarrier retrieval s</w:t>
      </w:r>
      <w:r w:rsidR="00F15696" w:rsidRPr="00CD4840">
        <w:t>ystem.</w:t>
      </w:r>
      <w:r w:rsidR="00F15696">
        <w:t xml:space="preserve"> The EndoBarrier delivery system includes the g</w:t>
      </w:r>
      <w:r w:rsidR="00F15696" w:rsidRPr="00CD4840">
        <w:t>as</w:t>
      </w:r>
      <w:r w:rsidR="00F15696">
        <w:t xml:space="preserve">trointestinal liner preloaded on a custom delivery catheter, while the EndoBarrier retrieval system consists of a Grasper and Retrieval Hood, used with an endoscope to remove the liner upon completion of therapy. </w:t>
      </w:r>
      <w:r w:rsidR="00CD4840" w:rsidRPr="00CD4840">
        <w:t xml:space="preserve">The role of each component in the placement, mechanism and removal of the GI liner is illustrated in </w:t>
      </w:r>
      <w:r w:rsidR="004D5C85">
        <w:fldChar w:fldCharType="begin"/>
      </w:r>
      <w:r w:rsidR="00510693">
        <w:instrText xml:space="preserve"> REF _Ref370999629 \h </w:instrText>
      </w:r>
      <w:r w:rsidR="004D5C85">
        <w:fldChar w:fldCharType="separate"/>
      </w:r>
      <w:r w:rsidR="008850CD">
        <w:t xml:space="preserve">Figure </w:t>
      </w:r>
      <w:r w:rsidR="008850CD">
        <w:rPr>
          <w:noProof/>
        </w:rPr>
        <w:t>1</w:t>
      </w:r>
      <w:r w:rsidR="004D5C85">
        <w:fldChar w:fldCharType="end"/>
      </w:r>
      <w:r w:rsidR="00123B2D">
        <w:t xml:space="preserve"> below. </w:t>
      </w:r>
    </w:p>
    <w:p w:rsidR="00CD4840" w:rsidRDefault="00CD4840" w:rsidP="00CD4840">
      <w:pPr>
        <w:pStyle w:val="Caption"/>
        <w:jc w:val="both"/>
      </w:pPr>
      <w:bookmarkStart w:id="9" w:name="_Ref370999629"/>
      <w:r>
        <w:t xml:space="preserve">Figure </w:t>
      </w:r>
      <w:r w:rsidR="004D5C85">
        <w:fldChar w:fldCharType="begin"/>
      </w:r>
      <w:r w:rsidR="00D06433">
        <w:instrText xml:space="preserve"> SEQ Figure \* ARABIC </w:instrText>
      </w:r>
      <w:r w:rsidR="004D5C85">
        <w:fldChar w:fldCharType="separate"/>
      </w:r>
      <w:r w:rsidR="008850CD">
        <w:rPr>
          <w:noProof/>
        </w:rPr>
        <w:t>1</w:t>
      </w:r>
      <w:r w:rsidR="004D5C85">
        <w:rPr>
          <w:noProof/>
        </w:rPr>
        <w:fldChar w:fldCharType="end"/>
      </w:r>
      <w:bookmarkEnd w:id="9"/>
      <w:r w:rsidR="00CF1A17">
        <w:t xml:space="preserve">: </w:t>
      </w:r>
      <w:r>
        <w:t xml:space="preserve">EndoBarrier placement, mechanism and removal </w:t>
      </w:r>
    </w:p>
    <w:p w:rsidR="00CD4840" w:rsidRDefault="00A10F1D" w:rsidP="00680826">
      <w:pPr>
        <w:spacing w:after="0"/>
        <w:jc w:val="center"/>
        <w:rPr>
          <w:rFonts w:ascii="Arial" w:hAnsi="Arial"/>
          <w:sz w:val="22"/>
          <w:szCs w:val="22"/>
        </w:rPr>
      </w:pPr>
      <w:r>
        <w:object w:dxaOrig="8969"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EndoBarrier placement, mechanism and removal" style="width:361.25pt;height:132.7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PBrush" ShapeID="_x0000_i1025" DrawAspect="Content" ObjectID="_1465714756" r:id="rId10"/>
        </w:object>
      </w:r>
    </w:p>
    <w:p w:rsidR="00CD4840" w:rsidRPr="00DB7907" w:rsidRDefault="00CD4840" w:rsidP="00680826">
      <w:pPr>
        <w:pStyle w:val="Source"/>
      </w:pPr>
      <w:r w:rsidRPr="00DB7907">
        <w:t>Source: Schouten et al 2010</w:t>
      </w:r>
    </w:p>
    <w:p w:rsidR="00B32F24" w:rsidRDefault="00D47C0D" w:rsidP="00B32F24">
      <w:r w:rsidRPr="00111A70">
        <w:t>This EndoBarrier gastroint</w:t>
      </w:r>
      <w:r w:rsidR="00B972A1" w:rsidRPr="00111A70">
        <w:t xml:space="preserve">estinal liner is a </w:t>
      </w:r>
      <w:r w:rsidRPr="00111A70">
        <w:t>fluoropolymer sheath which is placed in the duodenum just beyond the stomach and stretches into the first part of the small bowel.  Its</w:t>
      </w:r>
      <w:r w:rsidR="00680826" w:rsidRPr="00111A70">
        <w:t xml:space="preserve"> mechanism of action m</w:t>
      </w:r>
      <w:r w:rsidR="00A64E6E" w:rsidRPr="00111A70">
        <w:t xml:space="preserve">ost closely </w:t>
      </w:r>
      <w:r w:rsidRPr="00111A70">
        <w:t>resembles</w:t>
      </w:r>
      <w:r w:rsidR="00A64E6E" w:rsidRPr="00111A70">
        <w:t xml:space="preserve"> surgical duo</w:t>
      </w:r>
      <w:r w:rsidR="00680826" w:rsidRPr="00111A70">
        <w:t xml:space="preserve">denal jejunal gastric bypass. Both procedures produce an effect </w:t>
      </w:r>
      <w:r w:rsidR="00680826" w:rsidRPr="00111A70">
        <w:lastRenderedPageBreak/>
        <w:t xml:space="preserve">on weight-loss and </w:t>
      </w:r>
      <w:r w:rsidR="00123B2D" w:rsidRPr="00111A70">
        <w:t xml:space="preserve">glucose </w:t>
      </w:r>
      <w:r w:rsidR="00680826" w:rsidRPr="00111A70">
        <w:t>metabolism through preventing</w:t>
      </w:r>
      <w:r w:rsidR="00B32F24" w:rsidRPr="00111A70">
        <w:t xml:space="preserve"> nutrient contact with the proximal intestinal mucosa. </w:t>
      </w:r>
      <w:r w:rsidR="00680826" w:rsidRPr="00111A70">
        <w:t>With EndoBarrier, b</w:t>
      </w:r>
      <w:r w:rsidR="00B32F24" w:rsidRPr="00111A70">
        <w:t>ile and pancreatic secretions pass along the</w:t>
      </w:r>
      <w:r w:rsidR="00B32F24">
        <w:t xml:space="preserve"> outer wall of the </w:t>
      </w:r>
      <w:r w:rsidR="00B972A1">
        <w:t xml:space="preserve">impermeable 60-cm </w:t>
      </w:r>
      <w:r w:rsidR="00B32F24">
        <w:t xml:space="preserve">liner and mix with the chyme as it exits distal to the liner in the jejunum. By creating a physical barrier to food absorption, EndoBarrier reduces the uptake of nutrients from the first part of the small bowel and may also have an effect on key metabolic hormones, including incretin. </w:t>
      </w:r>
      <w:r w:rsidR="00123B2D">
        <w:t>By modifying normal processes of nutrient absorp</w:t>
      </w:r>
      <w:r w:rsidR="00B8122B">
        <w:t>tion</w:t>
      </w:r>
      <w:r w:rsidR="00123B2D">
        <w:t xml:space="preserve">, EndoBarrier </w:t>
      </w:r>
      <w:r w:rsidR="00E73F66">
        <w:t xml:space="preserve">may result </w:t>
      </w:r>
      <w:r w:rsidR="00123B2D">
        <w:t>in</w:t>
      </w:r>
      <w:r w:rsidR="00B8122B">
        <w:t xml:space="preserve"> </w:t>
      </w:r>
      <w:r w:rsidR="00B32F24">
        <w:t>substantial clinical benefits in terms of weight loss and glycaemic status.</w:t>
      </w:r>
      <w:r w:rsidR="00551077">
        <w:t xml:space="preserve"> </w:t>
      </w:r>
    </w:p>
    <w:p w:rsidR="000F7EEA" w:rsidRDefault="00021E90" w:rsidP="00021E90">
      <w:r w:rsidRPr="00021E90">
        <w:t>Clinical</w:t>
      </w:r>
      <w:r w:rsidR="00383D10">
        <w:t xml:space="preserve"> data suggest that EndoBarrier t</w:t>
      </w:r>
      <w:r w:rsidRPr="00021E90">
        <w:t xml:space="preserve">herapy </w:t>
      </w:r>
      <w:r>
        <w:t>improves glycaemic levels</w:t>
      </w:r>
      <w:r w:rsidRPr="00021E90">
        <w:t xml:space="preserve"> by affecting</w:t>
      </w:r>
      <w:r>
        <w:t xml:space="preserve"> </w:t>
      </w:r>
      <w:r w:rsidRPr="00021E90">
        <w:t>key hormones involved in insulin sensitivity, glucose metabolism, satiety</w:t>
      </w:r>
      <w:r>
        <w:t xml:space="preserve"> </w:t>
      </w:r>
      <w:r w:rsidRPr="00021E90">
        <w:t xml:space="preserve">and food intake. </w:t>
      </w:r>
      <w:r w:rsidR="00383D10">
        <w:t>EndoBarrier t</w:t>
      </w:r>
      <w:r w:rsidR="00383D10" w:rsidRPr="00021E90">
        <w:t>herapy has also been shown to</w:t>
      </w:r>
      <w:r w:rsidR="00383D10">
        <w:t xml:space="preserve"> produce rapid and sustained weight loss, </w:t>
      </w:r>
      <w:r w:rsidR="00E73F66">
        <w:t xml:space="preserve">and may </w:t>
      </w:r>
      <w:r w:rsidRPr="00021E90">
        <w:t>improve cardiometabolic risks, including blood pressure, LDL</w:t>
      </w:r>
      <w:r w:rsidR="00383D10">
        <w:t xml:space="preserve"> </w:t>
      </w:r>
      <w:r w:rsidRPr="00021E90">
        <w:t>and triglycerides</w:t>
      </w:r>
      <w:r w:rsidR="00383D10">
        <w:t xml:space="preserve">. A summary of the effects of EndoBarrier on metabolic control is provided </w:t>
      </w:r>
      <w:r w:rsidR="002B2C14">
        <w:t>in</w:t>
      </w:r>
      <w:r w:rsidR="00383D10">
        <w:t xml:space="preserve"> </w:t>
      </w:r>
      <w:r w:rsidR="002B2C14">
        <w:t>A</w:t>
      </w:r>
      <w:r w:rsidR="00383D10">
        <w:t xml:space="preserve">ttachment </w:t>
      </w:r>
      <w:r w:rsidR="00D96487">
        <w:t>A</w:t>
      </w:r>
      <w:r w:rsidR="00383D10">
        <w:t xml:space="preserve">. </w:t>
      </w:r>
    </w:p>
    <w:p w:rsidR="000D5CF9" w:rsidRDefault="000D5CF9" w:rsidP="000901A8">
      <w:pPr>
        <w:pStyle w:val="Heading2"/>
      </w:pPr>
      <w:bookmarkStart w:id="10" w:name="_Toc389834057"/>
      <w:r>
        <w:t>Delivery of the intervention</w:t>
      </w:r>
      <w:bookmarkEnd w:id="10"/>
    </w:p>
    <w:p w:rsidR="00F15696" w:rsidRDefault="000A6A60" w:rsidP="005B2DC9">
      <w:r>
        <w:rPr>
          <w:lang w:val="en-GB" w:eastAsia="ja-JP"/>
        </w:rPr>
        <w:t xml:space="preserve">The EndoBarrier </w:t>
      </w:r>
      <w:r w:rsidR="00510693">
        <w:rPr>
          <w:lang w:val="en-GB" w:eastAsia="ja-JP"/>
        </w:rPr>
        <w:t>delivery system is provided sterile, and consists of a gastrointestinal liner (anchor and liner), preloaded in a catheter that delivers the liner to the proximal intestine. The catheter</w:t>
      </w:r>
      <w:r>
        <w:rPr>
          <w:lang w:val="en-GB" w:eastAsia="ja-JP"/>
        </w:rPr>
        <w:t xml:space="preserve"> is inserted through the mouth </w:t>
      </w:r>
      <w:r w:rsidR="00510693">
        <w:rPr>
          <w:lang w:val="en-GB" w:eastAsia="ja-JP"/>
        </w:rPr>
        <w:t>and</w:t>
      </w:r>
      <w:r>
        <w:t xml:space="preserve"> guides the</w:t>
      </w:r>
      <w:r w:rsidR="000D1101">
        <w:t xml:space="preserve"> gastrointestinal liner through the stomach, and into the duodenum. A small anchoring device on the liner keeps the </w:t>
      </w:r>
      <w:r w:rsidR="00E067F2">
        <w:t xml:space="preserve">liner </w:t>
      </w:r>
      <w:r w:rsidR="000D1101">
        <w:t xml:space="preserve">in place. </w:t>
      </w:r>
    </w:p>
    <w:p w:rsidR="00F15696" w:rsidRDefault="00F15696" w:rsidP="00F15696">
      <w:r>
        <w:t xml:space="preserve">Patients require anaesthesia before the device is implanted with endoscopy used to guide its placement. The endoscopy also serves a diagnostic purpose to determine if a patient is anatomically suitable for implantation with the EndoBarrier device. If a patient is found to be suitable, implantation of the EndoBarrier can take place immediately. X-ray is used during the procedure to ensure that the liner is in the correct position. </w:t>
      </w:r>
    </w:p>
    <w:p w:rsidR="005B2DC9" w:rsidRDefault="005B2DC9" w:rsidP="005B2DC9">
      <w:r>
        <w:t xml:space="preserve">An experienced physician </w:t>
      </w:r>
      <w:r w:rsidR="007D2BA9">
        <w:t xml:space="preserve">with training for endoscopy </w:t>
      </w:r>
      <w:r w:rsidR="00F15696">
        <w:t xml:space="preserve">can perform the implantation, usually with the </w:t>
      </w:r>
      <w:r w:rsidR="00F15696" w:rsidRPr="00F94CE9">
        <w:t>assistance of a nurse o</w:t>
      </w:r>
      <w:r w:rsidR="00F15696">
        <w:t>r assistant. In Australia EndoBarrier insertion is typically a (hospital</w:t>
      </w:r>
      <w:r w:rsidR="00235185">
        <w:t xml:space="preserve"> inpatient</w:t>
      </w:r>
      <w:r w:rsidR="00F15696">
        <w:t>) day procedure</w:t>
      </w:r>
      <w:r w:rsidR="005E73C6">
        <w:t xml:space="preserve"> centre</w:t>
      </w:r>
      <w:r w:rsidR="00F15696">
        <w:t xml:space="preserve">; however in some cases hospitalisation may be required. </w:t>
      </w:r>
      <w:r>
        <w:t xml:space="preserve">The EndoBarrier device is approved for </w:t>
      </w:r>
      <w:r w:rsidR="00510693">
        <w:t>implantation for up to 12 months</w:t>
      </w:r>
      <w:r>
        <w:t>; however it may be removed earlier at the patient's request or if it is clinically warranted. Removal of the device is undertaken through another endoscopic pr</w:t>
      </w:r>
      <w:r w:rsidR="00823D0B">
        <w:t>ocedure,</w:t>
      </w:r>
      <w:r w:rsidR="003C7B42">
        <w:t xml:space="preserve"> using the EndoBarrier Liner Retrieval System, consisting of a Grasper and a Retrieval Hood, which are compatible with standard endoscopes</w:t>
      </w:r>
      <w:r>
        <w:t>.</w:t>
      </w:r>
    </w:p>
    <w:p w:rsidR="00F85261" w:rsidRDefault="00F85261" w:rsidP="005B2DC9">
      <w:r>
        <w:t xml:space="preserve">The training protocol for EndoBarrier strongly emphasises that the device is indicated for a placement period of up to 12 months. Any use beyond this duration is unsupported by clinical evidence. Furthermore, to be eligible for implantation, patients should be screened to ensure they are not </w:t>
      </w:r>
      <w:r w:rsidR="00D15778">
        <w:t xml:space="preserve">considered </w:t>
      </w:r>
      <w:r>
        <w:t>at high risk of loss to follow-up.</w:t>
      </w:r>
      <w:r w:rsidR="00E82CD0">
        <w:t xml:space="preserve"> </w:t>
      </w:r>
    </w:p>
    <w:p w:rsidR="003C7B42" w:rsidRDefault="00BD0854" w:rsidP="005B2DC9">
      <w:r>
        <w:t>The “Instructions for Use”</w:t>
      </w:r>
      <w:r w:rsidR="003C7B42">
        <w:t xml:space="preserve"> </w:t>
      </w:r>
      <w:r>
        <w:t xml:space="preserve">for the </w:t>
      </w:r>
      <w:r w:rsidR="003C7B42">
        <w:t>deliver</w:t>
      </w:r>
      <w:r>
        <w:t>y and removal of</w:t>
      </w:r>
      <w:r w:rsidR="003C7B42">
        <w:t xml:space="preserve"> EndoBarrier are provided in </w:t>
      </w:r>
      <w:r w:rsidR="009671B0">
        <w:t>Attachment B and A</w:t>
      </w:r>
      <w:r w:rsidR="00D96487">
        <w:t xml:space="preserve">ttachment </w:t>
      </w:r>
      <w:r w:rsidR="009671B0">
        <w:t xml:space="preserve"> C</w:t>
      </w:r>
      <w:r w:rsidR="00DD1B1D">
        <w:t>, respectively</w:t>
      </w:r>
      <w:r w:rsidR="003C7B42">
        <w:t>.</w:t>
      </w:r>
    </w:p>
    <w:p w:rsidR="000D5CF9" w:rsidRPr="0004489D" w:rsidRDefault="000D5CF9" w:rsidP="0004489D">
      <w:pPr>
        <w:pStyle w:val="Heading2"/>
      </w:pPr>
      <w:bookmarkStart w:id="11" w:name="_Toc389834058"/>
      <w:r w:rsidRPr="0004489D">
        <w:lastRenderedPageBreak/>
        <w:t>Prerequisites</w:t>
      </w:r>
      <w:bookmarkEnd w:id="11"/>
    </w:p>
    <w:p w:rsidR="009D46E5" w:rsidRPr="00F94CE9" w:rsidRDefault="009D46E5" w:rsidP="0004489D">
      <w:r w:rsidRPr="009D46E5">
        <w:t xml:space="preserve">It is expected that EndoBarrier will be delivered </w:t>
      </w:r>
      <w:r>
        <w:t xml:space="preserve">by </w:t>
      </w:r>
      <w:r w:rsidR="007D2BA9">
        <w:t>a physician with training for endoscopy</w:t>
      </w:r>
      <w:r w:rsidR="007F69DE">
        <w:t xml:space="preserve"> that is recognised by the Conjoint Committee for the Recognition of Training in Gastrointestinal Endoscopy</w:t>
      </w:r>
      <w:r>
        <w:t xml:space="preserve">. GI Dynamics currently provides specialists with training on how to implant and remove the device; however this training is not </w:t>
      </w:r>
      <w:r w:rsidRPr="00F94CE9">
        <w:t xml:space="preserve">associated with any formal accreditation. </w:t>
      </w:r>
    </w:p>
    <w:p w:rsidR="00CE73E9" w:rsidRDefault="00CE353F" w:rsidP="0004489D">
      <w:r>
        <w:t>T</w:t>
      </w:r>
      <w:r w:rsidR="00F94CE9">
        <w:t xml:space="preserve">he </w:t>
      </w:r>
      <w:r>
        <w:t>insertion of the liner</w:t>
      </w:r>
      <w:r w:rsidR="00F94CE9" w:rsidRPr="00F94CE9">
        <w:t xml:space="preserve"> will </w:t>
      </w:r>
      <w:r w:rsidR="00F94CE9">
        <w:t>require the attendance</w:t>
      </w:r>
      <w:r w:rsidR="00F94CE9" w:rsidRPr="00F94CE9">
        <w:t xml:space="preserve"> </w:t>
      </w:r>
      <w:r w:rsidR="00F94CE9">
        <w:t xml:space="preserve">of </w:t>
      </w:r>
      <w:r>
        <w:t>at least one</w:t>
      </w:r>
      <w:r w:rsidR="00F94CE9" w:rsidRPr="00F94CE9">
        <w:t xml:space="preserve"> trained specialist</w:t>
      </w:r>
      <w:r w:rsidR="00111A70">
        <w:t xml:space="preserve"> in bariatric surgery and/or gastroenterology</w:t>
      </w:r>
      <w:r>
        <w:t xml:space="preserve"> and </w:t>
      </w:r>
      <w:r w:rsidRPr="00F94CE9">
        <w:t>the assistance of a nurse o</w:t>
      </w:r>
      <w:r>
        <w:t>r assistant</w:t>
      </w:r>
      <w:r w:rsidR="00F94CE9" w:rsidRPr="00F94CE9">
        <w:t xml:space="preserve">. </w:t>
      </w:r>
      <w:r w:rsidR="009D69C9">
        <w:t xml:space="preserve">The main infrastructure needs for the procedure are associated with administering anaesthesia and performing </w:t>
      </w:r>
      <w:r w:rsidR="00F15696">
        <w:t xml:space="preserve">x-ray and </w:t>
      </w:r>
      <w:r w:rsidR="009D69C9">
        <w:t>endoscopy.</w:t>
      </w:r>
      <w:r w:rsidR="00CE73E9">
        <w:t xml:space="preserve"> This equipment is already available at most hospitals. Therefore, the use of EndoBarrier will not require additional resources in terms of capital equipment or infrastructure.</w:t>
      </w:r>
      <w:r>
        <w:t xml:space="preserve"> </w:t>
      </w:r>
      <w:r w:rsidR="00F15696" w:rsidRPr="001033D4">
        <w:t xml:space="preserve">Removal of the device is </w:t>
      </w:r>
      <w:r w:rsidR="00F15696">
        <w:t>also</w:t>
      </w:r>
      <w:r w:rsidR="00F15696" w:rsidRPr="001033D4">
        <w:t xml:space="preserve"> not associated with any specific infrastructure requirements other than </w:t>
      </w:r>
      <w:r w:rsidR="00F15696" w:rsidRPr="00605628">
        <w:t>anaesthesia</w:t>
      </w:r>
      <w:r w:rsidR="00F15696">
        <w:t xml:space="preserve"> and x-ray equipment</w:t>
      </w:r>
      <w:r w:rsidR="00F15696" w:rsidRPr="00213498">
        <w:t>.</w:t>
      </w:r>
      <w:r w:rsidR="00E5371C">
        <w:t xml:space="preserve"> </w:t>
      </w:r>
    </w:p>
    <w:p w:rsidR="00CE73E9" w:rsidRPr="00F94CE9" w:rsidRDefault="00CE73E9" w:rsidP="0004489D">
      <w:r w:rsidRPr="00CE73E9">
        <w:t xml:space="preserve">As an elective procedure, patients </w:t>
      </w:r>
      <w:r w:rsidR="000A4A46">
        <w:t>who</w:t>
      </w:r>
      <w:r w:rsidR="000A4A46" w:rsidRPr="00CE73E9">
        <w:t xml:space="preserve"> </w:t>
      </w:r>
      <w:r w:rsidRPr="00CE73E9">
        <w:t>do not have close access to a centre with endoscopy facilities and an appropriate specialist have the option to travel in order to receive EndoBarrier therapy. As EndoBarrier can be implanted in any centre that currently performs bariatric surgery, access to treatment will be at least as broad.</w:t>
      </w:r>
    </w:p>
    <w:p w:rsidR="000D5CF9" w:rsidRPr="00A34E9C" w:rsidRDefault="000D5CF9" w:rsidP="000901A8">
      <w:pPr>
        <w:pStyle w:val="Heading2"/>
      </w:pPr>
      <w:bookmarkStart w:id="12" w:name="_Toc389834059"/>
      <w:r w:rsidRPr="00A34E9C">
        <w:t xml:space="preserve">Co-administered </w:t>
      </w:r>
      <w:r>
        <w:t xml:space="preserve">and associated </w:t>
      </w:r>
      <w:r w:rsidRPr="00A34E9C">
        <w:t>interventions</w:t>
      </w:r>
      <w:bookmarkEnd w:id="12"/>
    </w:p>
    <w:p w:rsidR="003B4569" w:rsidRDefault="003C7B42" w:rsidP="003B4569">
      <w:r>
        <w:t>To minimise the risk of bleeding, p</w:t>
      </w:r>
      <w:r w:rsidR="00CE73E9" w:rsidRPr="008742D6">
        <w:t xml:space="preserve">atients receiving treatment with EndoBarrier </w:t>
      </w:r>
      <w:r>
        <w:t>are required to take a proton pump inhibitor</w:t>
      </w:r>
      <w:r w:rsidR="003B4569">
        <w:t xml:space="preserve"> (PPI)</w:t>
      </w:r>
      <w:r>
        <w:t xml:space="preserve"> for the duration of therapy</w:t>
      </w:r>
      <w:r w:rsidR="00DD1B1D">
        <w:t xml:space="preserve"> (e.g. </w:t>
      </w:r>
      <w:r w:rsidR="00A26DA0">
        <w:t>omeprazole)</w:t>
      </w:r>
      <w:r>
        <w:t xml:space="preserve">. </w:t>
      </w:r>
      <w:r w:rsidR="003B4569">
        <w:t xml:space="preserve">The recommendation to use a PPI with EndoBarrier was developed in response to bleeding events observed in early clinical trials </w:t>
      </w:r>
      <w:r w:rsidR="003B4569" w:rsidRPr="003B4569">
        <w:t>us</w:t>
      </w:r>
      <w:r w:rsidR="003B4569">
        <w:t>ing the first generation device</w:t>
      </w:r>
      <w:r w:rsidR="00C86427">
        <w:t>; however improvements in the bleeding rate have been observed in recent trials.</w:t>
      </w:r>
      <w:r w:rsidR="003B4569">
        <w:t xml:space="preserve"> </w:t>
      </w:r>
    </w:p>
    <w:p w:rsidR="008742D6" w:rsidRDefault="00605628" w:rsidP="003B4569">
      <w:r>
        <w:t>The submission will present evidence</w:t>
      </w:r>
      <w:r w:rsidR="00383D10">
        <w:t xml:space="preserve"> from clinical trials of EndoBarrier</w:t>
      </w:r>
      <w:r>
        <w:t xml:space="preserve"> to assess the risk of bleeding</w:t>
      </w:r>
      <w:r w:rsidR="00035546">
        <w:t>, including the use of PPIs to prevent bleeding,</w:t>
      </w:r>
      <w:r>
        <w:t xml:space="preserve"> as part of its evaluation of clinical safety. </w:t>
      </w:r>
      <w:r w:rsidR="003B4569">
        <w:t xml:space="preserve">The costs of PPI therapy will be included in the economic evaluation. </w:t>
      </w:r>
      <w:r w:rsidR="003C7B42">
        <w:t xml:space="preserve">Aside from this, patients </w:t>
      </w:r>
      <w:r w:rsidR="00A26DA0">
        <w:t>implanted with EndoBarrier do not require</w:t>
      </w:r>
      <w:r w:rsidR="003C7B42">
        <w:t xml:space="preserve"> </w:t>
      </w:r>
      <w:r w:rsidR="00A26DA0">
        <w:t xml:space="preserve">any co-administered interventions </w:t>
      </w:r>
      <w:r w:rsidR="00346B59">
        <w:t>other than</w:t>
      </w:r>
      <w:r w:rsidR="003C7B42">
        <w:t xml:space="preserve"> </w:t>
      </w:r>
      <w:r w:rsidR="00346B59">
        <w:t xml:space="preserve">anti-diabetic medications </w:t>
      </w:r>
      <w:r w:rsidR="003C7B42">
        <w:t>al</w:t>
      </w:r>
      <w:r w:rsidR="00DD1B1D">
        <w:t>ready being taken</w:t>
      </w:r>
      <w:r w:rsidR="003C7B42">
        <w:t xml:space="preserve">. </w:t>
      </w:r>
    </w:p>
    <w:p w:rsidR="00744D56" w:rsidRPr="008742D6" w:rsidRDefault="000E0DD5" w:rsidP="000901A8">
      <w:r>
        <w:t>The implantation of EndoBarrier will require an endoscopy to determine if a patient is physiologically suitable for treatment</w:t>
      </w:r>
      <w:r w:rsidR="001221F2">
        <w:t xml:space="preserve">; however, this procedure is </w:t>
      </w:r>
      <w:r w:rsidR="00BD0854">
        <w:t>included in the proposed MBS item for the insertion of the duodenal-jejunal liner</w:t>
      </w:r>
      <w:r>
        <w:t xml:space="preserve">. </w:t>
      </w:r>
      <w:r w:rsidR="00BD0854">
        <w:t xml:space="preserve">If no issues are identified during endoscopy, the EndoBarrier will be implanted in the same </w:t>
      </w:r>
      <w:r w:rsidR="00DD1B1D">
        <w:t>visit</w:t>
      </w:r>
      <w:r w:rsidR="00BD0854">
        <w:t>. A small minority of patients will be excluded from treatment with EndoBarrier based on the results of endoscopic imaging. These patients will incur an MBS item fee for diagnostic endoscopy only</w:t>
      </w:r>
      <w:r w:rsidR="00744D56">
        <w:t xml:space="preserve"> </w:t>
      </w:r>
      <w:r w:rsidR="00BD0854">
        <w:t>(</w:t>
      </w:r>
      <w:r w:rsidR="00DD1B1D">
        <w:t>MBS item 30473</w:t>
      </w:r>
      <w:r w:rsidR="00BD0854">
        <w:t>)</w:t>
      </w:r>
      <w:r w:rsidR="00235185">
        <w:t xml:space="preserve"> or the MBS item for discontinued operative procedures (MBS item 30001)</w:t>
      </w:r>
      <w:r w:rsidR="00BD0854">
        <w:t>.</w:t>
      </w:r>
      <w:r w:rsidR="00744D56">
        <w:t xml:space="preserve"> </w:t>
      </w:r>
    </w:p>
    <w:p w:rsidR="000D5CF9" w:rsidRPr="00A34E9C" w:rsidRDefault="000D5CF9" w:rsidP="000901A8">
      <w:pPr>
        <w:pStyle w:val="Heading1"/>
      </w:pPr>
      <w:bookmarkStart w:id="13" w:name="_Toc389834060"/>
      <w:r>
        <w:lastRenderedPageBreak/>
        <w:t>Listing proposed and options for MSAC consideration</w:t>
      </w:r>
      <w:bookmarkEnd w:id="13"/>
    </w:p>
    <w:p w:rsidR="000D5CF9" w:rsidRPr="00A34E9C" w:rsidRDefault="000D5CF9" w:rsidP="000901A8">
      <w:pPr>
        <w:pStyle w:val="Heading2"/>
      </w:pPr>
      <w:bookmarkStart w:id="14" w:name="_Toc389834061"/>
      <w:r w:rsidRPr="00A34E9C">
        <w:t>Proposed MBS listing</w:t>
      </w:r>
      <w:bookmarkEnd w:id="14"/>
    </w:p>
    <w:p w:rsidR="00C5554A" w:rsidRDefault="00CF1A17" w:rsidP="00BD75E0">
      <w:r>
        <w:t>The proposed MBS item descriptors for the insertion and removal of EndoBarrier are provided in</w:t>
      </w:r>
      <w:r w:rsidR="00805AFB">
        <w:t xml:space="preserve"> </w:t>
      </w:r>
      <w:r w:rsidR="004D5C85">
        <w:fldChar w:fldCharType="begin"/>
      </w:r>
      <w:r w:rsidR="00805AFB">
        <w:instrText xml:space="preserve"> REF _Ref373931492 \h </w:instrText>
      </w:r>
      <w:r w:rsidR="004D5C85">
        <w:fldChar w:fldCharType="separate"/>
      </w:r>
      <w:r w:rsidR="008850CD">
        <w:t xml:space="preserve">Table </w:t>
      </w:r>
      <w:r w:rsidR="008850CD">
        <w:rPr>
          <w:noProof/>
        </w:rPr>
        <w:t>1</w:t>
      </w:r>
      <w:r w:rsidR="004D5C85">
        <w:fldChar w:fldCharType="end"/>
      </w:r>
      <w:r>
        <w:t>.</w:t>
      </w:r>
      <w:r w:rsidR="00D56818">
        <w:t xml:space="preserve"> </w:t>
      </w:r>
      <w:r w:rsidR="00C5554A">
        <w:t xml:space="preserve">Two separate item descriptors are proposed: for the implantation of EndoBarrier and the removal of the device. </w:t>
      </w:r>
    </w:p>
    <w:p w:rsidR="000771F3" w:rsidRDefault="00C5554A" w:rsidP="003806A2">
      <w:r>
        <w:t xml:space="preserve">For implantation, it is proposed that the service will be </w:t>
      </w:r>
      <w:r w:rsidR="001158F0">
        <w:t>available to patients with clinically severe obesity</w:t>
      </w:r>
      <w:r w:rsidR="00E73F66">
        <w:t xml:space="preserve"> either in those who </w:t>
      </w:r>
      <w:r w:rsidR="00227085" w:rsidRPr="009E7A9F">
        <w:t>are not suitable for bariatric surgery</w:t>
      </w:r>
      <w:r w:rsidR="007F5BCE" w:rsidRPr="009E7A9F">
        <w:t xml:space="preserve"> (</w:t>
      </w:r>
      <w:r w:rsidR="00E73F66">
        <w:t xml:space="preserve">in </w:t>
      </w:r>
      <w:r w:rsidR="007F5BCE" w:rsidRPr="009E7A9F">
        <w:t xml:space="preserve">patients </w:t>
      </w:r>
      <w:r w:rsidR="000A4A46">
        <w:t>who</w:t>
      </w:r>
      <w:r w:rsidR="000A4A46" w:rsidRPr="009E7A9F">
        <w:t xml:space="preserve"> </w:t>
      </w:r>
      <w:r w:rsidR="007F5BCE" w:rsidRPr="009E7A9F">
        <w:t>are contra-indicated for surgery and “bridge” patients)</w:t>
      </w:r>
      <w:r w:rsidR="00B17A2E" w:rsidRPr="009E7A9F">
        <w:t>;</w:t>
      </w:r>
      <w:r w:rsidR="001158F0" w:rsidRPr="009E7A9F">
        <w:t xml:space="preserve"> and </w:t>
      </w:r>
      <w:r w:rsidR="00E73F66">
        <w:t>in p</w:t>
      </w:r>
      <w:r w:rsidR="00B548D7">
        <w:t xml:space="preserve">atients </w:t>
      </w:r>
      <w:r w:rsidR="007F5BCE" w:rsidRPr="009E7A9F">
        <w:t>who are eligible for bariatric surgery</w:t>
      </w:r>
      <w:r w:rsidR="00937D5B" w:rsidRPr="009E7A9F">
        <w:t xml:space="preserve"> but have a preference for EndoBarrier</w:t>
      </w:r>
      <w:r w:rsidR="007F5BCE" w:rsidRPr="009E7A9F">
        <w:t xml:space="preserve">. </w:t>
      </w:r>
    </w:p>
    <w:p w:rsidR="00DD1B1D" w:rsidRDefault="00B52D23" w:rsidP="00DD1B1D">
      <w:r>
        <w:t>The EndoBarrier will be delivered to patients once, and will remain implanted for up to a year. At this stage, patients will be eligible for implantation</w:t>
      </w:r>
      <w:r w:rsidR="00F16149">
        <w:t xml:space="preserve"> once</w:t>
      </w:r>
      <w:r>
        <w:t xml:space="preserve"> per lifetime; however, there is an emerging body of evidence to support the clinical benefits of re-implantation. </w:t>
      </w:r>
      <w:r w:rsidR="00DD1B1D">
        <w:t>It is proposed this emerging body of evidence be reviewed in a future MSAC submission and/or review at which point the words “</w:t>
      </w:r>
      <w:r w:rsidR="0055409B">
        <w:t>t</w:t>
      </w:r>
      <w:r w:rsidR="00DD1B1D" w:rsidRPr="00A20516">
        <w:t>o be claimed once</w:t>
      </w:r>
      <w:r w:rsidR="00DD1B1D">
        <w:t xml:space="preserve"> in the patient’s lifetime” could be removed from the item descriptor should the evidence support this.</w:t>
      </w:r>
    </w:p>
    <w:p w:rsidR="000D5CF9" w:rsidRPr="00A34E9C" w:rsidRDefault="00805AFB" w:rsidP="00805AFB">
      <w:pPr>
        <w:pStyle w:val="Caption"/>
      </w:pPr>
      <w:bookmarkStart w:id="15" w:name="_Ref373931492"/>
      <w:r>
        <w:t xml:space="preserve">Table </w:t>
      </w:r>
      <w:r w:rsidR="004D5C85">
        <w:fldChar w:fldCharType="begin"/>
      </w:r>
      <w:r w:rsidR="00D06433">
        <w:instrText xml:space="preserve"> SEQ Table \* ARABIC </w:instrText>
      </w:r>
      <w:r w:rsidR="004D5C85">
        <w:fldChar w:fldCharType="separate"/>
      </w:r>
      <w:r w:rsidR="008850CD">
        <w:rPr>
          <w:noProof/>
        </w:rPr>
        <w:t>1</w:t>
      </w:r>
      <w:r w:rsidR="004D5C85">
        <w:rPr>
          <w:noProof/>
        </w:rPr>
        <w:fldChar w:fldCharType="end"/>
      </w:r>
      <w:bookmarkEnd w:id="15"/>
      <w:r w:rsidR="000D5CF9" w:rsidRPr="00A34E9C">
        <w:t>:</w:t>
      </w:r>
      <w:r w:rsidR="000D5CF9" w:rsidRPr="00A34E9C">
        <w:tab/>
      </w:r>
      <w:r w:rsidR="000D5CF9">
        <w:t>Propo</w:t>
      </w:r>
      <w:bookmarkStart w:id="16" w:name="_GoBack"/>
      <w:bookmarkEnd w:id="16"/>
      <w:r w:rsidR="000D5CF9">
        <w:t xml:space="preserve">sed </w:t>
      </w:r>
      <w:r w:rsidR="000D5CF9" w:rsidRPr="00A34E9C">
        <w:t>MBS item descriptor for</w:t>
      </w:r>
      <w:r w:rsidR="00C5554A">
        <w:t xml:space="preserve"> insertion and removal of</w:t>
      </w:r>
      <w:r w:rsidR="000D5CF9" w:rsidRPr="00A34E9C">
        <w:t xml:space="preserve"> </w:t>
      </w:r>
      <w:r w:rsidR="00D56818">
        <w:t>EndoBarrier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0D5CF9" w:rsidRPr="00A34E9C" w:rsidTr="00927A51">
        <w:tc>
          <w:tcPr>
            <w:tcW w:w="9134" w:type="dxa"/>
            <w:shd w:val="clear" w:color="auto" w:fill="D9D9D9"/>
          </w:tcPr>
          <w:p w:rsidR="000D5CF9" w:rsidRPr="00A012FA" w:rsidRDefault="00C5554A" w:rsidP="00A10F1D">
            <w:pPr>
              <w:tabs>
                <w:tab w:val="right" w:pos="8823"/>
              </w:tabs>
              <w:spacing w:after="120" w:line="240" w:lineRule="auto"/>
              <w:rPr>
                <w:rFonts w:ascii="Arial Narrow" w:hAnsi="Arial Narrow"/>
                <w:lang w:eastAsia="ja-JP"/>
              </w:rPr>
            </w:pPr>
            <w:r>
              <w:rPr>
                <w:rFonts w:ascii="Arial Narrow" w:hAnsi="Arial Narrow"/>
                <w:lang w:eastAsia="ja-JP"/>
              </w:rPr>
              <w:t>MBS [TBD</w:t>
            </w:r>
            <w:r w:rsidR="000E0DD5" w:rsidRPr="000E0DD5">
              <w:rPr>
                <w:rFonts w:ascii="Arial Narrow" w:hAnsi="Arial Narrow"/>
                <w:lang w:eastAsia="ja-JP"/>
              </w:rPr>
              <w:t>] (</w:t>
            </w:r>
            <w:r>
              <w:rPr>
                <w:rFonts w:ascii="Arial Narrow" w:hAnsi="Arial Narrow"/>
                <w:lang w:eastAsia="ja-JP"/>
              </w:rPr>
              <w:t>Insertion of device</w:t>
            </w:r>
            <w:r w:rsidR="000E0DD5" w:rsidRPr="000E0DD5">
              <w:rPr>
                <w:rFonts w:ascii="Arial Narrow" w:hAnsi="Arial Narrow"/>
                <w:lang w:eastAsia="ja-JP"/>
              </w:rPr>
              <w:t>)</w:t>
            </w:r>
            <w:r w:rsidR="000E0DD5">
              <w:rPr>
                <w:rFonts w:ascii="Arial Narrow" w:hAnsi="Arial Narrow"/>
                <w:lang w:eastAsia="ja-JP"/>
              </w:rPr>
              <w:tab/>
            </w:r>
            <w:r w:rsidR="000D5CF9" w:rsidRPr="00A012FA">
              <w:rPr>
                <w:rFonts w:ascii="Arial Narrow" w:hAnsi="Arial Narrow"/>
                <w:lang w:eastAsia="ja-JP"/>
              </w:rPr>
              <w:t xml:space="preserve">Category </w:t>
            </w:r>
            <w:r w:rsidR="000D5CF9" w:rsidRPr="000E0DD5">
              <w:rPr>
                <w:rFonts w:ascii="Arial Narrow" w:hAnsi="Arial Narrow"/>
                <w:lang w:eastAsia="ja-JP"/>
              </w:rPr>
              <w:t>[category number]</w:t>
            </w:r>
            <w:r w:rsidR="000D5CF9" w:rsidRPr="00A012FA">
              <w:rPr>
                <w:rFonts w:ascii="Arial Narrow" w:hAnsi="Arial Narrow"/>
                <w:lang w:eastAsia="ja-JP"/>
              </w:rPr>
              <w:t xml:space="preserve"> – </w:t>
            </w:r>
            <w:r w:rsidR="000D5CF9" w:rsidRPr="000E0DD5">
              <w:rPr>
                <w:rFonts w:ascii="Arial Narrow" w:hAnsi="Arial Narrow"/>
                <w:lang w:eastAsia="ja-JP"/>
              </w:rPr>
              <w:t>[Category description]</w:t>
            </w:r>
          </w:p>
        </w:tc>
      </w:tr>
      <w:tr w:rsidR="000D5CF9" w:rsidRPr="00A34E9C" w:rsidTr="009B59B7">
        <w:tc>
          <w:tcPr>
            <w:tcW w:w="9134" w:type="dxa"/>
          </w:tcPr>
          <w:p w:rsidR="000D5CF9" w:rsidRDefault="000E0DD5" w:rsidP="00BC051D">
            <w:pPr>
              <w:spacing w:after="120" w:line="240" w:lineRule="auto"/>
              <w:rPr>
                <w:rFonts w:ascii="Arial Narrow" w:hAnsi="Arial Narrow"/>
                <w:lang w:val="en-US" w:eastAsia="ja-JP"/>
              </w:rPr>
            </w:pPr>
            <w:r>
              <w:rPr>
                <w:rFonts w:ascii="Arial Narrow" w:hAnsi="Arial Narrow"/>
                <w:lang w:val="en-US" w:eastAsia="ja-JP"/>
              </w:rPr>
              <w:t>DUODENAL-JEJUNAL BYPASS LINER, implantation of</w:t>
            </w:r>
            <w:r w:rsidR="00D00D05">
              <w:rPr>
                <w:rFonts w:ascii="Arial Narrow" w:hAnsi="Arial Narrow"/>
                <w:lang w:val="en-US" w:eastAsia="ja-JP"/>
              </w:rPr>
              <w:t>,</w:t>
            </w:r>
            <w:r>
              <w:rPr>
                <w:rFonts w:ascii="Arial Narrow" w:hAnsi="Arial Narrow"/>
                <w:lang w:val="en-US" w:eastAsia="ja-JP"/>
              </w:rPr>
              <w:t xml:space="preserve"> </w:t>
            </w:r>
            <w:r w:rsidR="009C69F0">
              <w:rPr>
                <w:rFonts w:ascii="Arial Narrow" w:hAnsi="Arial Narrow"/>
                <w:lang w:val="en-US" w:eastAsia="ja-JP"/>
              </w:rPr>
              <w:t xml:space="preserve">including diagnostic </w:t>
            </w:r>
            <w:r w:rsidR="0055409B">
              <w:rPr>
                <w:rFonts w:ascii="Arial Narrow" w:hAnsi="Arial Narrow"/>
                <w:lang w:val="en-US" w:eastAsia="ja-JP"/>
              </w:rPr>
              <w:t>endoscopy in</w:t>
            </w:r>
            <w:r w:rsidR="009C69F0">
              <w:rPr>
                <w:rFonts w:ascii="Arial Narrow" w:hAnsi="Arial Narrow"/>
                <w:lang w:val="en-US" w:eastAsia="ja-JP"/>
              </w:rPr>
              <w:t xml:space="preserve"> a </w:t>
            </w:r>
            <w:r w:rsidR="0015616B">
              <w:rPr>
                <w:rFonts w:ascii="Arial Narrow" w:hAnsi="Arial Narrow"/>
                <w:lang w:val="en-US" w:eastAsia="ja-JP"/>
              </w:rPr>
              <w:t>patient</w:t>
            </w:r>
            <w:r w:rsidR="009C69F0">
              <w:rPr>
                <w:rFonts w:ascii="Arial Narrow" w:hAnsi="Arial Narrow"/>
                <w:lang w:val="en-US" w:eastAsia="ja-JP"/>
              </w:rPr>
              <w:t xml:space="preserve"> who has</w:t>
            </w:r>
            <w:r w:rsidR="0000701F">
              <w:rPr>
                <w:rFonts w:ascii="Arial Narrow" w:hAnsi="Arial Narrow"/>
                <w:lang w:val="en-US" w:eastAsia="ja-JP"/>
              </w:rPr>
              <w:t xml:space="preserve"> clinically severe obesity</w:t>
            </w:r>
            <w:r w:rsidR="00FE35CD">
              <w:rPr>
                <w:rFonts w:ascii="Arial Narrow" w:hAnsi="Arial Narrow"/>
                <w:lang w:val="en-US" w:eastAsia="ja-JP"/>
              </w:rPr>
              <w:t>.</w:t>
            </w:r>
            <w:r w:rsidR="0000701F">
              <w:rPr>
                <w:rFonts w:ascii="Arial Narrow" w:hAnsi="Arial Narrow"/>
                <w:lang w:val="en-US" w:eastAsia="ja-JP"/>
              </w:rPr>
              <w:t xml:space="preserve"> </w:t>
            </w:r>
          </w:p>
          <w:p w:rsidR="009C69F0" w:rsidRDefault="009C69F0" w:rsidP="005C2416">
            <w:pPr>
              <w:spacing w:after="120" w:line="240" w:lineRule="auto"/>
              <w:ind w:left="360"/>
              <w:rPr>
                <w:rFonts w:ascii="Arial Narrow" w:hAnsi="Arial Narrow"/>
                <w:lang w:val="en-US" w:eastAsia="ja-JP"/>
              </w:rPr>
            </w:pPr>
            <w:r>
              <w:rPr>
                <w:rFonts w:ascii="Arial Narrow" w:hAnsi="Arial Narrow"/>
                <w:lang w:val="en-US" w:eastAsia="ja-JP"/>
              </w:rPr>
              <w:t>Claimed once per patient’s lifetime.</w:t>
            </w:r>
          </w:p>
          <w:p w:rsidR="003B4DD9" w:rsidRPr="00A012FA" w:rsidRDefault="003B4DD9" w:rsidP="005C2416">
            <w:pPr>
              <w:spacing w:after="120" w:line="240" w:lineRule="auto"/>
              <w:ind w:left="360"/>
              <w:rPr>
                <w:rFonts w:ascii="Arial Narrow" w:hAnsi="Arial Narrow"/>
                <w:lang w:val="en-US" w:eastAsia="ja-JP"/>
              </w:rPr>
            </w:pPr>
            <w:r>
              <w:rPr>
                <w:rFonts w:ascii="Arial Narrow" w:hAnsi="Arial Narrow"/>
                <w:lang w:val="en-US" w:eastAsia="ja-JP"/>
              </w:rPr>
              <w:t xml:space="preserve">The service is performed by a specialist with endoscopic training </w:t>
            </w:r>
            <w:r w:rsidR="00BF53AD" w:rsidRPr="00BF53AD">
              <w:rPr>
                <w:rFonts w:ascii="Arial Narrow" w:hAnsi="Arial Narrow"/>
                <w:lang w:val="en-US" w:eastAsia="ja-JP"/>
              </w:rPr>
              <w:t>that is recognised by The Conjoint Committee for the Recognition of Training in Gastrointestinal Endoscopy.</w:t>
            </w:r>
          </w:p>
          <w:p w:rsidR="00D56818" w:rsidRDefault="00D56818" w:rsidP="009B59B7">
            <w:pPr>
              <w:spacing w:after="120" w:line="240" w:lineRule="auto"/>
              <w:rPr>
                <w:rFonts w:ascii="Arial Narrow" w:hAnsi="Arial Narrow"/>
                <w:lang w:val="en-US" w:eastAsia="ja-JP"/>
              </w:rPr>
            </w:pPr>
            <w:r w:rsidRPr="00D56818">
              <w:rPr>
                <w:rFonts w:ascii="Arial Narrow" w:hAnsi="Arial Narrow"/>
                <w:lang w:val="en-US" w:eastAsia="ja-JP"/>
              </w:rPr>
              <w:t>(Anaes.) (Assist.)</w:t>
            </w:r>
          </w:p>
          <w:p w:rsidR="000D5CF9" w:rsidRPr="00A012FA" w:rsidRDefault="000D5CF9" w:rsidP="009B59B7">
            <w:pPr>
              <w:spacing w:after="120" w:line="240" w:lineRule="auto"/>
              <w:rPr>
                <w:rFonts w:ascii="Arial Narrow" w:hAnsi="Arial Narrow"/>
                <w:lang w:val="en-US" w:eastAsia="ja-JP"/>
              </w:rPr>
            </w:pPr>
            <w:r w:rsidRPr="00F725EC">
              <w:rPr>
                <w:rFonts w:ascii="Arial Narrow" w:hAnsi="Arial Narrow"/>
                <w:lang w:val="en-US" w:eastAsia="ja-JP"/>
              </w:rPr>
              <w:t xml:space="preserve">Fee: </w:t>
            </w:r>
            <w:r w:rsidR="00D00D05" w:rsidRPr="00F725EC">
              <w:rPr>
                <w:rFonts w:ascii="Arial Narrow" w:hAnsi="Arial Narrow"/>
                <w:lang w:val="en-US" w:eastAsia="ja-JP"/>
              </w:rPr>
              <w:t>$[TBD</w:t>
            </w:r>
            <w:r w:rsidRPr="00F725EC">
              <w:rPr>
                <w:rFonts w:ascii="Arial Narrow" w:hAnsi="Arial Narrow"/>
                <w:lang w:val="en-US" w:eastAsia="ja-JP"/>
              </w:rPr>
              <w:t>]</w:t>
            </w:r>
          </w:p>
          <w:p w:rsidR="006337B2" w:rsidRPr="00A012FA" w:rsidRDefault="00D56818" w:rsidP="00BF53AD">
            <w:pPr>
              <w:spacing w:after="120" w:line="240" w:lineRule="auto"/>
              <w:rPr>
                <w:rFonts w:ascii="Arial Narrow" w:hAnsi="Arial Narrow"/>
                <w:lang w:val="en-US" w:eastAsia="ja-JP"/>
              </w:rPr>
            </w:pPr>
            <w:r>
              <w:rPr>
                <w:rFonts w:ascii="Arial Narrow" w:hAnsi="Arial Narrow"/>
                <w:lang w:val="en-US" w:eastAsia="ja-JP"/>
              </w:rPr>
              <w:t xml:space="preserve">Note: </w:t>
            </w:r>
            <w:r w:rsidRPr="00D56818">
              <w:rPr>
                <w:rFonts w:ascii="Arial Narrow" w:hAnsi="Arial Narrow"/>
                <w:lang w:val="en-US" w:eastAsia="ja-JP"/>
              </w:rPr>
              <w:t>The term clinically severe obesity generally refers to a patient with a Body Mass Index (BMI) of 40kg/m2 or more, or a patient with a BMI of 35kg/m</w:t>
            </w:r>
            <w:r w:rsidRPr="00D56818">
              <w:rPr>
                <w:rFonts w:ascii="Arial Narrow" w:hAnsi="Arial Narrow"/>
                <w:vertAlign w:val="superscript"/>
                <w:lang w:val="en-US" w:eastAsia="ja-JP"/>
              </w:rPr>
              <w:t>2</w:t>
            </w:r>
            <w:r w:rsidRPr="00D56818">
              <w:rPr>
                <w:rFonts w:ascii="Arial Narrow" w:hAnsi="Arial Narrow"/>
                <w:lang w:val="en-US" w:eastAsia="ja-JP"/>
              </w:rPr>
              <w:t> or more with other major medical co-morbidities (such as diabetes, cardiovascular disease, cancer).  The BMI values in different population groups may vary due, in part, to different body proportions which affect the percentage of body fat and body fat distribution.  Consequently, different ethnic groups may experience major health risks at a BMI that is below the 35-40 kg/m</w:t>
            </w:r>
            <w:r w:rsidRPr="00D56818">
              <w:rPr>
                <w:rFonts w:ascii="Arial Narrow" w:hAnsi="Arial Narrow"/>
                <w:vertAlign w:val="superscript"/>
                <w:lang w:val="en-US" w:eastAsia="ja-JP"/>
              </w:rPr>
              <w:t>2</w:t>
            </w:r>
            <w:r w:rsidRPr="00D56818">
              <w:rPr>
                <w:rFonts w:ascii="Arial Narrow" w:hAnsi="Arial Narrow"/>
                <w:lang w:val="en-US" w:eastAsia="ja-JP"/>
              </w:rPr>
              <w:t> provided for in the definition.  The decision to undertake obesity surgery remains a matter for the clinical judgment of the surgeon.</w:t>
            </w:r>
          </w:p>
        </w:tc>
      </w:tr>
    </w:tbl>
    <w:p w:rsidR="009C69F0" w:rsidRDefault="009C69F0"/>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C5554A" w:rsidRPr="00A10F1D" w:rsidTr="00927A51">
        <w:tc>
          <w:tcPr>
            <w:tcW w:w="9134" w:type="dxa"/>
            <w:tcBorders>
              <w:top w:val="single" w:sz="4" w:space="0" w:color="000000"/>
              <w:left w:val="single" w:sz="4" w:space="0" w:color="000000"/>
              <w:bottom w:val="single" w:sz="4" w:space="0" w:color="000000"/>
              <w:right w:val="single" w:sz="4" w:space="0" w:color="000000"/>
            </w:tcBorders>
            <w:shd w:val="clear" w:color="auto" w:fill="D9D9D9"/>
          </w:tcPr>
          <w:p w:rsidR="00C5554A" w:rsidRPr="00A10F1D" w:rsidRDefault="00C5554A" w:rsidP="00A10F1D">
            <w:pPr>
              <w:tabs>
                <w:tab w:val="right" w:pos="8823"/>
              </w:tabs>
              <w:spacing w:after="120" w:line="240" w:lineRule="auto"/>
              <w:rPr>
                <w:rFonts w:ascii="Arial Narrow" w:hAnsi="Arial Narrow"/>
                <w:lang w:eastAsia="ja-JP"/>
              </w:rPr>
            </w:pPr>
            <w:r w:rsidRPr="00A10F1D">
              <w:rPr>
                <w:rFonts w:ascii="Arial Narrow" w:hAnsi="Arial Narrow"/>
                <w:lang w:eastAsia="ja-JP"/>
              </w:rPr>
              <w:t>MBS [TBD] (Removal of device</w:t>
            </w:r>
            <w:r w:rsidR="00A10F1D">
              <w:rPr>
                <w:rFonts w:ascii="Arial Narrow" w:hAnsi="Arial Narrow"/>
                <w:lang w:eastAsia="ja-JP"/>
              </w:rPr>
              <w:t>)</w:t>
            </w:r>
            <w:r w:rsidR="00A10F1D">
              <w:rPr>
                <w:rFonts w:ascii="Arial Narrow" w:hAnsi="Arial Narrow"/>
                <w:lang w:eastAsia="ja-JP"/>
              </w:rPr>
              <w:tab/>
            </w:r>
            <w:r w:rsidRPr="00A10F1D">
              <w:rPr>
                <w:rFonts w:ascii="Arial Narrow" w:hAnsi="Arial Narrow"/>
                <w:lang w:eastAsia="ja-JP"/>
              </w:rPr>
              <w:t>Category [category number] – [Category description]</w:t>
            </w:r>
          </w:p>
        </w:tc>
      </w:tr>
      <w:tr w:rsidR="00C5554A" w:rsidRPr="00A34E9C" w:rsidTr="00C5554A">
        <w:tc>
          <w:tcPr>
            <w:tcW w:w="9134" w:type="dxa"/>
            <w:tcBorders>
              <w:top w:val="single" w:sz="4" w:space="0" w:color="000000"/>
              <w:left w:val="single" w:sz="4" w:space="0" w:color="000000"/>
              <w:bottom w:val="single" w:sz="4" w:space="0" w:color="000000"/>
              <w:right w:val="single" w:sz="4" w:space="0" w:color="000000"/>
            </w:tcBorders>
          </w:tcPr>
          <w:p w:rsidR="00C5554A" w:rsidRDefault="00C5554A" w:rsidP="00C5554A">
            <w:pPr>
              <w:spacing w:after="120" w:line="240" w:lineRule="auto"/>
              <w:rPr>
                <w:rFonts w:ascii="Arial Narrow" w:hAnsi="Arial Narrow"/>
                <w:lang w:val="en-US" w:eastAsia="ja-JP"/>
              </w:rPr>
            </w:pPr>
            <w:r>
              <w:rPr>
                <w:rFonts w:ascii="Arial Narrow" w:hAnsi="Arial Narrow"/>
                <w:lang w:val="en-US" w:eastAsia="ja-JP"/>
              </w:rPr>
              <w:t>DUODENAL-JEJUNAL BYPASS LINER, removal of</w:t>
            </w:r>
            <w:r w:rsidR="009C69F0">
              <w:rPr>
                <w:rFonts w:ascii="Arial Narrow" w:hAnsi="Arial Narrow"/>
                <w:lang w:val="en-US" w:eastAsia="ja-JP"/>
              </w:rPr>
              <w:t xml:space="preserve"> within 12 months of placement or prior due to medical reasons, including endoscopy</w:t>
            </w:r>
            <w:r>
              <w:rPr>
                <w:rFonts w:ascii="Arial Narrow" w:hAnsi="Arial Narrow"/>
                <w:lang w:val="en-US" w:eastAsia="ja-JP"/>
              </w:rPr>
              <w:t>.</w:t>
            </w:r>
          </w:p>
          <w:p w:rsidR="00C5554A" w:rsidRDefault="00C5554A" w:rsidP="00C5554A">
            <w:pPr>
              <w:spacing w:after="120" w:line="240" w:lineRule="auto"/>
              <w:rPr>
                <w:rFonts w:ascii="Arial Narrow" w:hAnsi="Arial Narrow"/>
                <w:lang w:val="en-US" w:eastAsia="ja-JP"/>
              </w:rPr>
            </w:pPr>
            <w:r w:rsidRPr="00D56818">
              <w:rPr>
                <w:rFonts w:ascii="Arial Narrow" w:hAnsi="Arial Narrow"/>
                <w:lang w:val="en-US" w:eastAsia="ja-JP"/>
              </w:rPr>
              <w:t>(Anaes.) (Assist.)</w:t>
            </w:r>
          </w:p>
          <w:p w:rsidR="00C5554A" w:rsidRPr="00A012FA" w:rsidRDefault="00C5554A" w:rsidP="00C5554A">
            <w:pPr>
              <w:spacing w:after="120" w:line="240" w:lineRule="auto"/>
              <w:rPr>
                <w:rFonts w:ascii="Arial Narrow" w:hAnsi="Arial Narrow"/>
                <w:lang w:val="en-US" w:eastAsia="ja-JP"/>
              </w:rPr>
            </w:pPr>
            <w:r w:rsidRPr="00A012FA">
              <w:rPr>
                <w:rFonts w:ascii="Arial Narrow" w:hAnsi="Arial Narrow"/>
                <w:lang w:val="en-US" w:eastAsia="ja-JP"/>
              </w:rPr>
              <w:t xml:space="preserve">Fee: </w:t>
            </w:r>
            <w:r w:rsidRPr="00C5554A">
              <w:rPr>
                <w:rFonts w:ascii="Arial Narrow" w:hAnsi="Arial Narrow"/>
                <w:lang w:val="en-US" w:eastAsia="ja-JP"/>
              </w:rPr>
              <w:t>$[TBD]</w:t>
            </w:r>
          </w:p>
        </w:tc>
      </w:tr>
    </w:tbl>
    <w:p w:rsidR="001062AE" w:rsidRDefault="001062AE" w:rsidP="001062AE"/>
    <w:p w:rsidR="00BB794C" w:rsidRDefault="001062AE" w:rsidP="0085162B">
      <w:r>
        <w:lastRenderedPageBreak/>
        <w:t>Current MBS item descriptors for the surgical treatment of clinically severe obesity (MBS items 31569 to 31581) define c</w:t>
      </w:r>
      <w:r w:rsidR="005B2DC9">
        <w:rPr>
          <w:rFonts w:hint="eastAsia"/>
        </w:rPr>
        <w:t xml:space="preserve">linically severe obesity as BMI </w:t>
      </w:r>
      <w:r w:rsidR="005B2DC9">
        <w:rPr>
          <w:rFonts w:hint="eastAsia"/>
        </w:rPr>
        <w:t>≥</w:t>
      </w:r>
      <w:r w:rsidR="005B2DC9">
        <w:rPr>
          <w:rFonts w:hint="eastAsia"/>
        </w:rPr>
        <w:t xml:space="preserve"> 40 or between 35 and 40 where there are other major medical conditions suc</w:t>
      </w:r>
      <w:r w:rsidR="005B2DC9">
        <w:t>h as hig</w:t>
      </w:r>
      <w:r>
        <w:t xml:space="preserve">h blood pressure and diabetes. However, </w:t>
      </w:r>
      <w:r w:rsidR="00DF5BD4">
        <w:t>due to some variability in the health risks between individuals of the same BMI</w:t>
      </w:r>
      <w:r w:rsidR="001221F2">
        <w:t xml:space="preserve"> (especially on the basis of ethnicity)</w:t>
      </w:r>
      <w:r w:rsidR="005B2DC9">
        <w:t xml:space="preserve">, </w:t>
      </w:r>
      <w:r w:rsidR="00DF5BD4">
        <w:t>the definition</w:t>
      </w:r>
      <w:r w:rsidR="005B2DC9">
        <w:t xml:space="preserve"> </w:t>
      </w:r>
      <w:r w:rsidR="001221F2">
        <w:t xml:space="preserve">of clinically severe obesity </w:t>
      </w:r>
      <w:r>
        <w:t>is accompanied by a note stating that "t</w:t>
      </w:r>
      <w:r w:rsidR="005B2DC9">
        <w:t>he decision to undertake obesity surgery remains a matter for the cl</w:t>
      </w:r>
      <w:r w:rsidR="001221F2">
        <w:t>inical judgment of the surgeon” (MBS note T8.30).</w:t>
      </w:r>
    </w:p>
    <w:p w:rsidR="005B2DC9" w:rsidRDefault="00F725EC" w:rsidP="0085162B">
      <w:r>
        <w:t>I</w:t>
      </w:r>
      <w:r w:rsidR="001062AE">
        <w:t>t is proposed that the item descriptor for the implantation of EndoBarrier should include a note to define “clinically severe obesity”, similar or identical to the note (</w:t>
      </w:r>
      <w:r w:rsidR="001221F2">
        <w:t xml:space="preserve">MBS note </w:t>
      </w:r>
      <w:r w:rsidR="001062AE">
        <w:t>T8</w:t>
      </w:r>
      <w:r w:rsidR="001221F2">
        <w:t>.30) currently associated with b</w:t>
      </w:r>
      <w:r w:rsidR="001062AE">
        <w:t>ariatri</w:t>
      </w:r>
      <w:r w:rsidR="001221F2">
        <w:t>c p</w:t>
      </w:r>
      <w:r w:rsidR="001062AE">
        <w:t xml:space="preserve">rocedures on the MBS (Items 31569 to 31581). </w:t>
      </w:r>
      <w:r w:rsidR="006C195C">
        <w:t xml:space="preserve">This is consistent with the clinical trial evidence for EndoBarrier in obese patients, which mostly consists of patients with </w:t>
      </w:r>
      <w:r w:rsidR="006C195C" w:rsidRPr="006C195C">
        <w:t>BMI ≥40 kg/m</w:t>
      </w:r>
      <w:r w:rsidR="006C195C" w:rsidRPr="006C195C">
        <w:rPr>
          <w:vertAlign w:val="superscript"/>
        </w:rPr>
        <w:t>2</w:t>
      </w:r>
      <w:r w:rsidR="006C195C" w:rsidRPr="006C195C">
        <w:t xml:space="preserve"> or 35 kg/m</w:t>
      </w:r>
      <w:r w:rsidR="006C195C" w:rsidRPr="006C195C">
        <w:rPr>
          <w:vertAlign w:val="superscript"/>
        </w:rPr>
        <w:t>2</w:t>
      </w:r>
      <w:r w:rsidR="006C195C" w:rsidRPr="006C195C">
        <w:t xml:space="preserve"> with significant co-morbidities</w:t>
      </w:r>
      <w:r w:rsidR="006C195C">
        <w:t>.</w:t>
      </w:r>
      <w:r w:rsidR="008E20BD">
        <w:t xml:space="preserve"> Patients with clinically severe obesity, but who are unsuitable for treatment with bariatric surgery, have limited treatment options. It is proposed that this population should be eligible for treatment with EndoBarrier</w:t>
      </w:r>
      <w:r w:rsidR="00E73F66">
        <w:t>.</w:t>
      </w:r>
    </w:p>
    <w:p w:rsidR="000D5CF9" w:rsidRDefault="000D5CF9" w:rsidP="009B59B7">
      <w:pPr>
        <w:pStyle w:val="Heading2"/>
      </w:pPr>
      <w:bookmarkStart w:id="17" w:name="_Toc389834062"/>
      <w:r w:rsidRPr="00A34E9C">
        <w:t>Clinical place for proposed intervention</w:t>
      </w:r>
      <w:bookmarkEnd w:id="17"/>
    </w:p>
    <w:p w:rsidR="00C9737C" w:rsidRPr="00C9737C" w:rsidRDefault="00C9737C" w:rsidP="00C9737C">
      <w:pPr>
        <w:rPr>
          <w:lang w:val="en-GB" w:eastAsia="ja-JP"/>
        </w:rPr>
      </w:pPr>
      <w:r w:rsidRPr="00C9737C">
        <w:rPr>
          <w:lang w:val="en-GB" w:eastAsia="ja-JP"/>
        </w:rPr>
        <w:t>It is proposed that the population eligible for treatment with EndoBarrier will consist of patients with clinically severe obesity. Most obesity guidelines agree that all patients should initially attempt behavioural, lifestyle and dietary modifications to lose weight. Despite these interventions, it is generally agreed that obesity is a chronic disorder with a high likelihood of recurrence. This is especially true of severely obese patients, who generally require more intensive care strategies to produce sustainable weight loss (NHMRC, 2013). Table 2 summarises recommendations from some key evidence-based clinical practice guidelines. Only recommendations relating specifically to the management of clinically severely obese patients are listed. The guideline</w:t>
      </w:r>
      <w:r w:rsidRPr="00C9737C">
        <w:rPr>
          <w:rFonts w:hint="eastAsia"/>
          <w:lang w:val="en-GB" w:eastAsia="ja-JP"/>
        </w:rPr>
        <w:t xml:space="preserve">s are generally consistent in their advice that for severely obese patients (i.e. patients with a BMI </w:t>
      </w:r>
      <w:r w:rsidRPr="00C9737C">
        <w:rPr>
          <w:rFonts w:hint="eastAsia"/>
          <w:lang w:val="en-GB" w:eastAsia="ja-JP"/>
        </w:rPr>
        <w:t>≥</w:t>
      </w:r>
      <w:r w:rsidRPr="00C9737C">
        <w:rPr>
          <w:rFonts w:hint="eastAsia"/>
          <w:lang w:val="en-GB" w:eastAsia="ja-JP"/>
        </w:rPr>
        <w:t>40 kg/m2, or between 35 kg/m2 and 40 kg/m2 and other significant disease), consideration of some form of bariatric surgery is strongly recommended if beh</w:t>
      </w:r>
      <w:r w:rsidRPr="00C9737C">
        <w:rPr>
          <w:lang w:val="en-GB" w:eastAsia="ja-JP"/>
        </w:rPr>
        <w:t>avioural modifications have been unsuccessful. In addition to producing weight-loss, bariatric surgery can be effective in achieving glycaemic control. This outcome is especially relevant for patients with clinically severe obesity who also have type 2 diabetes mellitus as a co-morbidity.</w:t>
      </w:r>
    </w:p>
    <w:p w:rsidR="009D7048" w:rsidRPr="003438C8" w:rsidRDefault="009D7048" w:rsidP="009D7048">
      <w:pPr>
        <w:pStyle w:val="Caption"/>
        <w:keepLines/>
        <w:jc w:val="both"/>
      </w:pPr>
      <w:bookmarkStart w:id="18" w:name="_Ref347930765"/>
      <w:r w:rsidRPr="003438C8">
        <w:lastRenderedPageBreak/>
        <w:t xml:space="preserve">Table </w:t>
      </w:r>
      <w:r w:rsidR="004D5C85">
        <w:fldChar w:fldCharType="begin"/>
      </w:r>
      <w:r w:rsidR="00D06433">
        <w:instrText xml:space="preserve"> SEQ Table \* ARABIC </w:instrText>
      </w:r>
      <w:r w:rsidR="004D5C85">
        <w:fldChar w:fldCharType="separate"/>
      </w:r>
      <w:r w:rsidR="008850CD">
        <w:rPr>
          <w:noProof/>
        </w:rPr>
        <w:t>2</w:t>
      </w:r>
      <w:r w:rsidR="004D5C85">
        <w:rPr>
          <w:noProof/>
        </w:rPr>
        <w:fldChar w:fldCharType="end"/>
      </w:r>
      <w:bookmarkEnd w:id="18"/>
      <w:r w:rsidRPr="003438C8">
        <w:tab/>
        <w:t>Clinical practice guideline recommendations for morbid (severe) obesity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4"/>
        <w:gridCol w:w="6728"/>
      </w:tblGrid>
      <w:tr w:rsidR="009D7048" w:rsidRPr="009717DA" w:rsidTr="009D7048">
        <w:trPr>
          <w:cantSplit/>
          <w:tblHeader/>
        </w:trPr>
        <w:tc>
          <w:tcPr>
            <w:tcW w:w="2524" w:type="dxa"/>
            <w:shd w:val="clear" w:color="auto" w:fill="auto"/>
          </w:tcPr>
          <w:p w:rsidR="009D7048" w:rsidRPr="009717DA" w:rsidRDefault="009D7048" w:rsidP="009D7048">
            <w:pPr>
              <w:keepNext/>
              <w:keepLines/>
              <w:spacing w:after="120" w:line="240" w:lineRule="auto"/>
              <w:rPr>
                <w:rFonts w:ascii="Arial Narrow" w:hAnsi="Arial Narrow"/>
                <w:b/>
                <w:lang w:val="en-US" w:eastAsia="ja-JP"/>
              </w:rPr>
            </w:pPr>
            <w:r w:rsidRPr="009717DA">
              <w:rPr>
                <w:rFonts w:ascii="Arial Narrow" w:hAnsi="Arial Narrow"/>
                <w:b/>
                <w:lang w:val="en-US" w:eastAsia="ja-JP"/>
              </w:rPr>
              <w:t>Guideline</w:t>
            </w:r>
          </w:p>
        </w:tc>
        <w:tc>
          <w:tcPr>
            <w:tcW w:w="6728" w:type="dxa"/>
            <w:shd w:val="clear" w:color="auto" w:fill="auto"/>
          </w:tcPr>
          <w:p w:rsidR="009D7048" w:rsidRPr="009717DA" w:rsidRDefault="009D7048" w:rsidP="009D7048">
            <w:pPr>
              <w:keepNext/>
              <w:keepLines/>
              <w:tabs>
                <w:tab w:val="left" w:pos="3288"/>
              </w:tabs>
              <w:spacing w:after="120" w:line="240" w:lineRule="auto"/>
              <w:rPr>
                <w:rFonts w:ascii="Arial Narrow" w:hAnsi="Arial Narrow"/>
                <w:b/>
                <w:lang w:val="en-US" w:eastAsia="ja-JP"/>
              </w:rPr>
            </w:pPr>
            <w:r w:rsidRPr="009717DA">
              <w:rPr>
                <w:rFonts w:ascii="Arial Narrow" w:hAnsi="Arial Narrow"/>
                <w:b/>
                <w:lang w:val="en-US" w:eastAsia="ja-JP"/>
              </w:rPr>
              <w:t xml:space="preserve">Recommendations for </w:t>
            </w:r>
            <w:r>
              <w:rPr>
                <w:rFonts w:ascii="Arial Narrow" w:hAnsi="Arial Narrow"/>
                <w:b/>
                <w:lang w:val="en-US" w:eastAsia="ja-JP"/>
              </w:rPr>
              <w:t>clinically severe</w:t>
            </w:r>
            <w:r w:rsidRPr="009717DA">
              <w:rPr>
                <w:rFonts w:ascii="Arial Narrow" w:hAnsi="Arial Narrow"/>
                <w:b/>
                <w:lang w:val="en-US" w:eastAsia="ja-JP"/>
              </w:rPr>
              <w:t xml:space="preserve"> obesity</w:t>
            </w:r>
          </w:p>
        </w:tc>
      </w:tr>
      <w:tr w:rsidR="009D7048" w:rsidRPr="00E1284C" w:rsidTr="009D7048">
        <w:trPr>
          <w:cantSplit/>
        </w:trPr>
        <w:tc>
          <w:tcPr>
            <w:tcW w:w="2524" w:type="dxa"/>
            <w:shd w:val="clear" w:color="auto" w:fill="auto"/>
          </w:tcPr>
          <w:p w:rsidR="009D7048" w:rsidRPr="009717DA" w:rsidRDefault="009D7048" w:rsidP="000F7EEA">
            <w:pPr>
              <w:keepNext/>
              <w:keepLines/>
              <w:spacing w:after="120" w:line="240" w:lineRule="auto"/>
              <w:jc w:val="left"/>
              <w:rPr>
                <w:rFonts w:ascii="Arial Narrow" w:hAnsi="Arial Narrow"/>
                <w:lang w:val="en-US" w:eastAsia="ja-JP"/>
              </w:rPr>
            </w:pPr>
            <w:r>
              <w:rPr>
                <w:rFonts w:ascii="Arial Narrow" w:hAnsi="Arial Narrow"/>
                <w:lang w:val="en-US" w:eastAsia="ja-JP"/>
              </w:rPr>
              <w:t>NHMRC (2013</w:t>
            </w:r>
            <w:r w:rsidRPr="009717DA">
              <w:rPr>
                <w:rFonts w:ascii="Arial Narrow" w:hAnsi="Arial Narrow"/>
                <w:lang w:val="en-US" w:eastAsia="ja-JP"/>
              </w:rPr>
              <w:t>) Clinical Practice Guidelines for the Management of Overweight and Obesity in Adults. Canberra: National Health and Medical Research Council.</w:t>
            </w:r>
          </w:p>
        </w:tc>
        <w:tc>
          <w:tcPr>
            <w:tcW w:w="6728" w:type="dxa"/>
            <w:shd w:val="clear" w:color="auto" w:fill="auto"/>
          </w:tcPr>
          <w:p w:rsidR="009D7048" w:rsidRPr="00DA0F4D" w:rsidRDefault="009D7048" w:rsidP="009D7048">
            <w:pPr>
              <w:keepNext/>
              <w:keepLines/>
              <w:spacing w:after="120" w:line="240" w:lineRule="auto"/>
              <w:rPr>
                <w:rFonts w:ascii="Arial Narrow" w:hAnsi="Arial Narrow"/>
                <w:lang w:val="en-US" w:eastAsia="ja-JP"/>
              </w:rPr>
            </w:pPr>
            <w:r w:rsidRPr="00DA0F4D">
              <w:rPr>
                <w:rFonts w:ascii="Arial Narrow" w:hAnsi="Arial Narrow"/>
                <w:lang w:val="en-US" w:eastAsia="ja-JP"/>
              </w:rPr>
              <w:t>For adults with BMI &gt; 40 kg/m</w:t>
            </w:r>
            <w:r w:rsidRPr="00DA0F4D">
              <w:rPr>
                <w:rFonts w:ascii="Arial Narrow" w:hAnsi="Arial Narrow"/>
                <w:vertAlign w:val="superscript"/>
                <w:lang w:val="en-US" w:eastAsia="ja-JP"/>
              </w:rPr>
              <w:t>2</w:t>
            </w:r>
            <w:r w:rsidRPr="00DA0F4D">
              <w:rPr>
                <w:rFonts w:ascii="Arial Narrow" w:hAnsi="Arial Narrow"/>
                <w:lang w:val="en-US" w:eastAsia="ja-JP"/>
              </w:rPr>
              <w:t>, or adults with BMI &gt; 35 kg/m</w:t>
            </w:r>
            <w:r w:rsidRPr="00DA0F4D">
              <w:rPr>
                <w:rFonts w:ascii="Arial Narrow" w:hAnsi="Arial Narrow"/>
                <w:vertAlign w:val="superscript"/>
                <w:lang w:val="en-US" w:eastAsia="ja-JP"/>
              </w:rPr>
              <w:t>2</w:t>
            </w:r>
            <w:r w:rsidRPr="00DA0F4D">
              <w:rPr>
                <w:rFonts w:ascii="Arial Narrow" w:hAnsi="Arial Narrow"/>
                <w:lang w:val="en-US" w:eastAsia="ja-JP"/>
              </w:rPr>
              <w:t xml:space="preserve"> and comorbidities that may improve with weight loss, bariatric surgery may be considered, taking into account the individual situation (Grade A). </w:t>
            </w:r>
          </w:p>
          <w:p w:rsidR="009D7048" w:rsidRPr="00DA0F4D" w:rsidRDefault="009D7048" w:rsidP="009D7048">
            <w:pPr>
              <w:keepNext/>
              <w:keepLines/>
              <w:spacing w:after="120" w:line="240" w:lineRule="auto"/>
              <w:rPr>
                <w:rFonts w:ascii="Arial Narrow" w:hAnsi="Arial Narrow"/>
                <w:lang w:val="en-US" w:eastAsia="ja-JP"/>
              </w:rPr>
            </w:pPr>
            <w:r w:rsidRPr="00DA0F4D">
              <w:rPr>
                <w:rFonts w:ascii="Arial Narrow" w:hAnsi="Arial Narrow"/>
                <w:lang w:val="en-US" w:eastAsia="ja-JP"/>
              </w:rPr>
              <w:t>For adults with BMI ≥ 30 kg/m</w:t>
            </w:r>
            <w:r w:rsidRPr="00DA0F4D">
              <w:rPr>
                <w:rFonts w:ascii="Arial Narrow" w:hAnsi="Arial Narrow"/>
                <w:vertAlign w:val="superscript"/>
                <w:lang w:val="en-US" w:eastAsia="ja-JP"/>
              </w:rPr>
              <w:t>2</w:t>
            </w:r>
            <w:r w:rsidRPr="00DA0F4D">
              <w:rPr>
                <w:rFonts w:ascii="Arial Narrow" w:hAnsi="Arial Narrow"/>
                <w:lang w:val="en-US" w:eastAsia="ja-JP"/>
              </w:rPr>
              <w:t>, or adults with BMI ≥ 27 kg/m</w:t>
            </w:r>
            <w:r w:rsidRPr="00DA0F4D">
              <w:rPr>
                <w:rFonts w:ascii="Arial Narrow" w:hAnsi="Arial Narrow"/>
                <w:vertAlign w:val="superscript"/>
                <w:lang w:val="en-US" w:eastAsia="ja-JP"/>
              </w:rPr>
              <w:t>2</w:t>
            </w:r>
            <w:r w:rsidRPr="00DA0F4D">
              <w:rPr>
                <w:rFonts w:ascii="Arial Narrow" w:hAnsi="Arial Narrow"/>
                <w:lang w:val="en-US" w:eastAsia="ja-JP"/>
              </w:rPr>
              <w:t xml:space="preserve"> and comorbidities, orlistat may be considered as an adjunct to lifestyle interventions, taking into account the individual situation (Grade A).</w:t>
            </w:r>
          </w:p>
        </w:tc>
      </w:tr>
      <w:tr w:rsidR="009D7048" w:rsidRPr="00E1284C" w:rsidTr="009D7048">
        <w:trPr>
          <w:cantSplit/>
        </w:trPr>
        <w:tc>
          <w:tcPr>
            <w:tcW w:w="2524" w:type="dxa"/>
            <w:shd w:val="clear" w:color="auto" w:fill="auto"/>
          </w:tcPr>
          <w:p w:rsidR="009D7048" w:rsidRPr="009717DA" w:rsidRDefault="009D7048" w:rsidP="000F7EEA">
            <w:pPr>
              <w:spacing w:after="120" w:line="240" w:lineRule="auto"/>
              <w:jc w:val="left"/>
              <w:rPr>
                <w:rFonts w:ascii="Arial Narrow" w:hAnsi="Arial Narrow"/>
                <w:lang w:val="en-US" w:eastAsia="ja-JP"/>
              </w:rPr>
            </w:pPr>
            <w:r w:rsidRPr="009717DA">
              <w:rPr>
                <w:rFonts w:ascii="Arial Narrow" w:hAnsi="Arial Narrow"/>
                <w:lang w:val="en-US" w:eastAsia="ja-JP"/>
              </w:rPr>
              <w:t>NICE (2006) Obesity: guidance on the prevention, identification, assessment and management of overweight and obesity in adults and children: National Institute for Health and Clinical Excellence</w:t>
            </w:r>
          </w:p>
          <w:p w:rsidR="009D7048" w:rsidRPr="009717DA" w:rsidRDefault="009D7048" w:rsidP="000F7EEA">
            <w:pPr>
              <w:spacing w:after="120" w:line="240" w:lineRule="auto"/>
              <w:jc w:val="left"/>
              <w:rPr>
                <w:rFonts w:ascii="Arial Narrow" w:hAnsi="Arial Narrow"/>
                <w:lang w:val="en-US" w:eastAsia="ja-JP"/>
              </w:rPr>
            </w:pPr>
          </w:p>
        </w:tc>
        <w:tc>
          <w:tcPr>
            <w:tcW w:w="6728" w:type="dxa"/>
            <w:shd w:val="clear" w:color="auto" w:fill="auto"/>
          </w:tcPr>
          <w:p w:rsidR="009D7048" w:rsidRPr="009717DA" w:rsidRDefault="009D7048" w:rsidP="009D7048">
            <w:pPr>
              <w:spacing w:after="120" w:line="240" w:lineRule="auto"/>
              <w:rPr>
                <w:rFonts w:ascii="Arial Narrow" w:hAnsi="Arial Narrow"/>
                <w:lang w:val="en-US" w:eastAsia="ja-JP"/>
              </w:rPr>
            </w:pPr>
            <w:r w:rsidRPr="009717DA">
              <w:rPr>
                <w:rFonts w:ascii="Arial Narrow" w:hAnsi="Arial Narrow"/>
                <w:lang w:val="en-US" w:eastAsia="ja-JP"/>
              </w:rPr>
              <w:t xml:space="preserve">Bariatric surgery is recommended as a treatment option for adults with obesity if all of the following criteria are fulfilled: </w:t>
            </w:r>
          </w:p>
          <w:p w:rsidR="009D7048" w:rsidRPr="009717DA" w:rsidRDefault="009D7048" w:rsidP="00321A6F">
            <w:pPr>
              <w:numPr>
                <w:ilvl w:val="0"/>
                <w:numId w:val="5"/>
              </w:numPr>
              <w:spacing w:after="120" w:line="240" w:lineRule="auto"/>
              <w:ind w:left="459"/>
              <w:jc w:val="left"/>
              <w:rPr>
                <w:rFonts w:ascii="Arial Narrow" w:hAnsi="Arial Narrow"/>
                <w:lang w:val="en-US" w:eastAsia="ja-JP"/>
              </w:rPr>
            </w:pPr>
            <w:r w:rsidRPr="009717DA">
              <w:rPr>
                <w:rFonts w:ascii="Arial Narrow" w:hAnsi="Arial Narrow"/>
                <w:lang w:val="en-US" w:eastAsia="ja-JP"/>
              </w:rPr>
              <w:t xml:space="preserve">they have a BMI of 40 kg/m2 or more, or between 35 kg/m2 and 40 kg/m2 and other significant disease (for example, type 2 diabetes or high blood pressure) that could be improved if they lost weight </w:t>
            </w:r>
          </w:p>
          <w:p w:rsidR="009D7048" w:rsidRPr="009717DA" w:rsidRDefault="009D7048" w:rsidP="00321A6F">
            <w:pPr>
              <w:numPr>
                <w:ilvl w:val="0"/>
                <w:numId w:val="5"/>
              </w:numPr>
              <w:spacing w:after="120" w:line="240" w:lineRule="auto"/>
              <w:ind w:left="459"/>
              <w:jc w:val="left"/>
              <w:rPr>
                <w:rFonts w:ascii="Arial Narrow" w:hAnsi="Arial Narrow"/>
                <w:lang w:val="en-US" w:eastAsia="ja-JP"/>
              </w:rPr>
            </w:pPr>
            <w:r w:rsidRPr="009717DA">
              <w:rPr>
                <w:rFonts w:ascii="Arial Narrow" w:hAnsi="Arial Narrow"/>
                <w:lang w:val="en-US" w:eastAsia="ja-JP"/>
              </w:rPr>
              <w:t xml:space="preserve">all appropriate non-surgical measures have been tried but have failed to achieve or maintain adequate, clinically beneficial weight loss for at least 6 months  </w:t>
            </w:r>
          </w:p>
          <w:p w:rsidR="009D7048" w:rsidRPr="009717DA" w:rsidRDefault="009D7048" w:rsidP="00321A6F">
            <w:pPr>
              <w:numPr>
                <w:ilvl w:val="0"/>
                <w:numId w:val="5"/>
              </w:numPr>
              <w:spacing w:after="120" w:line="240" w:lineRule="auto"/>
              <w:ind w:left="459"/>
              <w:jc w:val="left"/>
              <w:rPr>
                <w:rFonts w:ascii="Arial Narrow" w:hAnsi="Arial Narrow"/>
                <w:lang w:val="en-US" w:eastAsia="ja-JP"/>
              </w:rPr>
            </w:pPr>
            <w:r w:rsidRPr="009717DA">
              <w:rPr>
                <w:rFonts w:ascii="Arial Narrow" w:hAnsi="Arial Narrow"/>
                <w:lang w:val="en-US" w:eastAsia="ja-JP"/>
              </w:rPr>
              <w:t xml:space="preserve">the person has been receiving or will receive intensive management in a specialist obesity service  </w:t>
            </w:r>
          </w:p>
          <w:p w:rsidR="009D7048" w:rsidRPr="009717DA" w:rsidRDefault="009D7048" w:rsidP="00321A6F">
            <w:pPr>
              <w:numPr>
                <w:ilvl w:val="0"/>
                <w:numId w:val="5"/>
              </w:numPr>
              <w:spacing w:after="120" w:line="240" w:lineRule="auto"/>
              <w:ind w:left="459"/>
              <w:jc w:val="left"/>
              <w:rPr>
                <w:rFonts w:ascii="Arial Narrow" w:hAnsi="Arial Narrow"/>
                <w:lang w:val="en-US" w:eastAsia="ja-JP"/>
              </w:rPr>
            </w:pPr>
            <w:r w:rsidRPr="009717DA">
              <w:rPr>
                <w:rFonts w:ascii="Arial Narrow" w:hAnsi="Arial Narrow"/>
                <w:lang w:val="en-US" w:eastAsia="ja-JP"/>
              </w:rPr>
              <w:t xml:space="preserve">the person is generally fit for anaesthesia and surgery  </w:t>
            </w:r>
          </w:p>
          <w:p w:rsidR="009D7048" w:rsidRPr="009717DA" w:rsidRDefault="009D7048" w:rsidP="00321A6F">
            <w:pPr>
              <w:numPr>
                <w:ilvl w:val="0"/>
                <w:numId w:val="5"/>
              </w:numPr>
              <w:spacing w:after="120" w:line="240" w:lineRule="auto"/>
              <w:ind w:left="459"/>
              <w:jc w:val="left"/>
              <w:rPr>
                <w:rFonts w:ascii="Arial Narrow" w:hAnsi="Arial Narrow"/>
                <w:lang w:val="en-US" w:eastAsia="ja-JP"/>
              </w:rPr>
            </w:pPr>
            <w:r w:rsidRPr="009717DA">
              <w:rPr>
                <w:rFonts w:ascii="Arial Narrow" w:hAnsi="Arial Narrow"/>
                <w:lang w:val="en-US" w:eastAsia="ja-JP"/>
              </w:rPr>
              <w:t xml:space="preserve">the person commits to the need for long-term follow-up  </w:t>
            </w:r>
          </w:p>
          <w:p w:rsidR="009D7048" w:rsidRPr="009717DA" w:rsidRDefault="009D7048" w:rsidP="009D7048">
            <w:pPr>
              <w:spacing w:after="120" w:line="240" w:lineRule="auto"/>
              <w:rPr>
                <w:rFonts w:ascii="Arial Narrow" w:hAnsi="Arial Narrow"/>
                <w:lang w:val="en-US" w:eastAsia="ja-JP"/>
              </w:rPr>
            </w:pPr>
            <w:r w:rsidRPr="009717DA">
              <w:rPr>
                <w:rFonts w:ascii="Arial Narrow" w:hAnsi="Arial Narrow"/>
                <w:lang w:val="en-US" w:eastAsia="ja-JP"/>
              </w:rPr>
              <w:t>Bariatric surgery is also recommended as a first-line option (instead of lifestyle interventions or drug treatment) for adults with a BMI of more than 50 kg/m</w:t>
            </w:r>
            <w:r w:rsidRPr="00DA0F4D">
              <w:rPr>
                <w:rFonts w:ascii="Arial Narrow" w:hAnsi="Arial Narrow"/>
                <w:vertAlign w:val="superscript"/>
                <w:lang w:val="en-US" w:eastAsia="ja-JP"/>
              </w:rPr>
              <w:t>2</w:t>
            </w:r>
            <w:r w:rsidRPr="009717DA">
              <w:rPr>
                <w:rFonts w:ascii="Arial Narrow" w:hAnsi="Arial Narrow"/>
                <w:lang w:val="en-US" w:eastAsia="ja-JP"/>
              </w:rPr>
              <w:t xml:space="preserve"> in whom surgical intervention is considered appropriate.  </w:t>
            </w:r>
          </w:p>
          <w:p w:rsidR="009D7048" w:rsidRPr="009717DA" w:rsidRDefault="009D7048" w:rsidP="009D7048">
            <w:pPr>
              <w:spacing w:after="120" w:line="240" w:lineRule="auto"/>
              <w:rPr>
                <w:rFonts w:ascii="Arial Narrow" w:hAnsi="Arial Narrow"/>
                <w:lang w:val="en-US" w:eastAsia="ja-JP"/>
              </w:rPr>
            </w:pPr>
            <w:r w:rsidRPr="009717DA">
              <w:rPr>
                <w:rFonts w:ascii="Arial Narrow" w:hAnsi="Arial Narrow"/>
                <w:lang w:val="en-US" w:eastAsia="ja-JP"/>
              </w:rPr>
              <w:t xml:space="preserve">Orlistat should be prescribed only as part of an overall plan for managing obesity in adults who meet one of the following criteria: </w:t>
            </w:r>
          </w:p>
          <w:p w:rsidR="009D7048" w:rsidRPr="009717DA" w:rsidRDefault="009D7048" w:rsidP="00321A6F">
            <w:pPr>
              <w:numPr>
                <w:ilvl w:val="0"/>
                <w:numId w:val="5"/>
              </w:numPr>
              <w:spacing w:after="120" w:line="240" w:lineRule="auto"/>
              <w:ind w:left="459"/>
              <w:jc w:val="left"/>
              <w:rPr>
                <w:rFonts w:ascii="Arial Narrow" w:hAnsi="Arial Narrow"/>
                <w:lang w:val="en-US" w:eastAsia="ja-JP"/>
              </w:rPr>
            </w:pPr>
            <w:r w:rsidRPr="009717DA">
              <w:rPr>
                <w:rFonts w:ascii="Arial Narrow" w:hAnsi="Arial Narrow"/>
                <w:lang w:val="en-US" w:eastAsia="ja-JP"/>
              </w:rPr>
              <w:t xml:space="preserve">a BMI of 28.0 kg/m2 or more with associated risk factors </w:t>
            </w:r>
          </w:p>
          <w:p w:rsidR="009D7048" w:rsidRPr="009717DA" w:rsidRDefault="009D7048" w:rsidP="00321A6F">
            <w:pPr>
              <w:numPr>
                <w:ilvl w:val="0"/>
                <w:numId w:val="5"/>
              </w:numPr>
              <w:spacing w:after="120" w:line="240" w:lineRule="auto"/>
              <w:ind w:left="459"/>
              <w:jc w:val="left"/>
              <w:rPr>
                <w:rFonts w:ascii="Arial Narrow" w:hAnsi="Arial Narrow"/>
                <w:lang w:val="en-US" w:eastAsia="ja-JP"/>
              </w:rPr>
            </w:pPr>
            <w:r w:rsidRPr="009717DA">
              <w:rPr>
                <w:rFonts w:ascii="Arial Narrow" w:hAnsi="Arial Narrow"/>
                <w:lang w:val="en-US" w:eastAsia="ja-JP"/>
              </w:rPr>
              <w:t>a BMI of 30.0 kg/m2 or more</w:t>
            </w:r>
          </w:p>
        </w:tc>
      </w:tr>
      <w:tr w:rsidR="009D7048" w:rsidRPr="00E1284C" w:rsidTr="009D7048">
        <w:trPr>
          <w:cantSplit/>
        </w:trPr>
        <w:tc>
          <w:tcPr>
            <w:tcW w:w="2524" w:type="dxa"/>
            <w:shd w:val="clear" w:color="auto" w:fill="auto"/>
          </w:tcPr>
          <w:p w:rsidR="009D7048" w:rsidRPr="009717DA" w:rsidRDefault="009D7048" w:rsidP="000F7EEA">
            <w:pPr>
              <w:spacing w:after="120" w:line="240" w:lineRule="auto"/>
              <w:jc w:val="left"/>
              <w:rPr>
                <w:rFonts w:ascii="Arial Narrow" w:hAnsi="Arial Narrow"/>
                <w:lang w:val="en-US" w:eastAsia="ja-JP"/>
              </w:rPr>
            </w:pPr>
            <w:r w:rsidRPr="009717DA">
              <w:rPr>
                <w:rFonts w:ascii="Arial Narrow" w:hAnsi="Arial Narrow"/>
                <w:lang w:val="en-US" w:eastAsia="ja-JP"/>
              </w:rPr>
              <w:t>Lau DCW, Douketis JD, Morrison KM, et al., for the Obesity Canada Clinical Practice Guidelines Expert Panel 2006. Canadian clinical practice guidelines on the management and prevention of obesity in adults and children. CMAJ 2007;176(8 Suppl): online 1-117</w:t>
            </w:r>
          </w:p>
        </w:tc>
        <w:tc>
          <w:tcPr>
            <w:tcW w:w="6728" w:type="dxa"/>
            <w:shd w:val="clear" w:color="auto" w:fill="auto"/>
          </w:tcPr>
          <w:p w:rsidR="009D7048" w:rsidRPr="009717DA" w:rsidRDefault="009D7048" w:rsidP="009D7048">
            <w:pPr>
              <w:spacing w:after="120" w:line="240" w:lineRule="auto"/>
              <w:rPr>
                <w:rFonts w:ascii="Arial Narrow" w:hAnsi="Arial Narrow"/>
                <w:lang w:val="en-US" w:eastAsia="ja-JP"/>
              </w:rPr>
            </w:pPr>
            <w:r>
              <w:rPr>
                <w:rFonts w:ascii="Arial Narrow" w:hAnsi="Arial Narrow"/>
                <w:lang w:val="en-US" w:eastAsia="ja-JP"/>
              </w:rPr>
              <w:t>A</w:t>
            </w:r>
            <w:r w:rsidRPr="009717DA">
              <w:rPr>
                <w:rFonts w:ascii="Arial Narrow" w:hAnsi="Arial Narrow"/>
                <w:lang w:val="en-US" w:eastAsia="ja-JP"/>
              </w:rPr>
              <w:t>dults with clinically severe obesity (BMI ≥ 40 kg/m</w:t>
            </w:r>
            <w:r w:rsidRPr="00DA0F4D">
              <w:rPr>
                <w:rFonts w:ascii="Arial Narrow" w:hAnsi="Arial Narrow"/>
                <w:vertAlign w:val="superscript"/>
                <w:lang w:val="en-US" w:eastAsia="ja-JP"/>
              </w:rPr>
              <w:t>2</w:t>
            </w:r>
            <w:r w:rsidRPr="009717DA">
              <w:rPr>
                <w:rFonts w:ascii="Arial Narrow" w:hAnsi="Arial Narrow"/>
                <w:lang w:val="en-US" w:eastAsia="ja-JP"/>
              </w:rPr>
              <w:t xml:space="preserve"> or ≥ 35 kg/m</w:t>
            </w:r>
            <w:r w:rsidRPr="00DA0F4D">
              <w:rPr>
                <w:rFonts w:ascii="Arial Narrow" w:hAnsi="Arial Narrow"/>
                <w:vertAlign w:val="superscript"/>
                <w:lang w:val="en-US" w:eastAsia="ja-JP"/>
              </w:rPr>
              <w:t>2</w:t>
            </w:r>
            <w:r w:rsidRPr="009717DA">
              <w:rPr>
                <w:rFonts w:ascii="Arial Narrow" w:hAnsi="Arial Narrow"/>
                <w:lang w:val="en-US" w:eastAsia="ja-JP"/>
              </w:rPr>
              <w:t xml:space="preserve"> with severe comorbid disease) may be considered for bariatric surgery when lifestyle intervention is inadequate to achieve healthy weight goals (Grade B). </w:t>
            </w:r>
          </w:p>
          <w:p w:rsidR="009D7048" w:rsidRPr="009717DA" w:rsidRDefault="009D7048" w:rsidP="009D7048">
            <w:pPr>
              <w:spacing w:after="120" w:line="240" w:lineRule="auto"/>
              <w:rPr>
                <w:rFonts w:ascii="Arial Narrow" w:hAnsi="Arial Narrow"/>
                <w:lang w:val="en-US" w:eastAsia="ja-JP"/>
              </w:rPr>
            </w:pPr>
          </w:p>
        </w:tc>
      </w:tr>
      <w:tr w:rsidR="009D7048" w:rsidRPr="00E1284C" w:rsidTr="009D7048">
        <w:trPr>
          <w:cantSplit/>
        </w:trPr>
        <w:tc>
          <w:tcPr>
            <w:tcW w:w="2524" w:type="dxa"/>
            <w:shd w:val="clear" w:color="auto" w:fill="auto"/>
          </w:tcPr>
          <w:p w:rsidR="009D7048" w:rsidRPr="009717DA" w:rsidRDefault="009D7048" w:rsidP="000F7EEA">
            <w:pPr>
              <w:spacing w:after="120" w:line="240" w:lineRule="auto"/>
              <w:jc w:val="left"/>
              <w:rPr>
                <w:rFonts w:ascii="Arial Narrow" w:hAnsi="Arial Narrow"/>
                <w:lang w:val="en-US" w:eastAsia="ja-JP"/>
              </w:rPr>
            </w:pPr>
            <w:r w:rsidRPr="009717DA">
              <w:rPr>
                <w:rFonts w:ascii="Arial Narrow" w:hAnsi="Arial Narrow"/>
                <w:lang w:val="en-US" w:eastAsia="ja-JP"/>
              </w:rPr>
              <w:t>SIGN (2010) </w:t>
            </w:r>
            <w:hyperlink r:id="rId11" w:tooltip="Guideline #7642" w:history="1">
              <w:r w:rsidRPr="009717DA">
                <w:rPr>
                  <w:rFonts w:ascii="Arial Narrow" w:hAnsi="Arial Narrow"/>
                  <w:lang w:val="en-US" w:eastAsia="ja-JP"/>
                </w:rPr>
                <w:t>Management of obesity. A national clinical guideline</w:t>
              </w:r>
            </w:hyperlink>
            <w:r w:rsidRPr="009717DA">
              <w:rPr>
                <w:rFonts w:ascii="Arial Narrow" w:hAnsi="Arial Narrow"/>
                <w:lang w:val="en-US" w:eastAsia="ja-JP"/>
              </w:rPr>
              <w:t xml:space="preserve">. Edinburgh (Scotland): Scottish Intercollegiate Guidelines Network </w:t>
            </w:r>
          </w:p>
        </w:tc>
        <w:tc>
          <w:tcPr>
            <w:tcW w:w="6728" w:type="dxa"/>
            <w:shd w:val="clear" w:color="auto" w:fill="auto"/>
          </w:tcPr>
          <w:p w:rsidR="009D7048" w:rsidRPr="009717DA" w:rsidRDefault="009D7048" w:rsidP="009D7048">
            <w:pPr>
              <w:spacing w:after="120" w:line="240" w:lineRule="auto"/>
              <w:rPr>
                <w:rFonts w:ascii="Arial Narrow" w:hAnsi="Arial Narrow"/>
                <w:lang w:val="en-US" w:eastAsia="ja-JP"/>
              </w:rPr>
            </w:pPr>
            <w:r w:rsidRPr="009717DA">
              <w:rPr>
                <w:rFonts w:ascii="Arial Narrow" w:hAnsi="Arial Narrow"/>
                <w:lang w:val="en-US" w:eastAsia="ja-JP"/>
              </w:rPr>
              <w:t>Bariatric surgery should be considered on an individual case basis following assessment of risk/benefit in patients who fulfil the following criteria:</w:t>
            </w:r>
          </w:p>
          <w:p w:rsidR="009D7048" w:rsidRPr="009717DA" w:rsidRDefault="009D7048" w:rsidP="00321A6F">
            <w:pPr>
              <w:numPr>
                <w:ilvl w:val="0"/>
                <w:numId w:val="5"/>
              </w:numPr>
              <w:spacing w:after="120" w:line="240" w:lineRule="auto"/>
              <w:ind w:left="459"/>
              <w:jc w:val="left"/>
              <w:rPr>
                <w:rFonts w:ascii="Arial Narrow" w:hAnsi="Arial Narrow"/>
                <w:lang w:val="en-US" w:eastAsia="ja-JP"/>
              </w:rPr>
            </w:pPr>
            <w:r w:rsidRPr="009717DA">
              <w:rPr>
                <w:rFonts w:ascii="Arial Narrow" w:hAnsi="Arial Narrow"/>
                <w:lang w:val="en-US" w:eastAsia="ja-JP"/>
              </w:rPr>
              <w:t>BMI ≥35 kg/m</w:t>
            </w:r>
            <w:r w:rsidRPr="00DA0F4D">
              <w:rPr>
                <w:rFonts w:ascii="Arial Narrow" w:hAnsi="Arial Narrow"/>
                <w:vertAlign w:val="superscript"/>
                <w:lang w:val="en-US" w:eastAsia="ja-JP"/>
              </w:rPr>
              <w:t>2</w:t>
            </w:r>
          </w:p>
          <w:p w:rsidR="009D7048" w:rsidRPr="009717DA" w:rsidRDefault="009D7048" w:rsidP="00321A6F">
            <w:pPr>
              <w:numPr>
                <w:ilvl w:val="0"/>
                <w:numId w:val="5"/>
              </w:numPr>
              <w:spacing w:after="120" w:line="240" w:lineRule="auto"/>
              <w:ind w:left="459"/>
              <w:jc w:val="left"/>
              <w:rPr>
                <w:rFonts w:ascii="Arial Narrow" w:hAnsi="Arial Narrow"/>
                <w:lang w:val="en-US" w:eastAsia="ja-JP"/>
              </w:rPr>
            </w:pPr>
            <w:r w:rsidRPr="009717DA">
              <w:rPr>
                <w:rFonts w:ascii="Arial Narrow" w:hAnsi="Arial Narrow"/>
                <w:lang w:val="en-US" w:eastAsia="ja-JP"/>
              </w:rPr>
              <w:t>presence of one or more severe comorbidities which are expected to improve significantly with weight reduction (e.g. severe mobility problems, arthritis, type 2 diabetes)</w:t>
            </w:r>
          </w:p>
          <w:p w:rsidR="009D7048" w:rsidRPr="009717DA" w:rsidRDefault="009D7048" w:rsidP="009D7048">
            <w:pPr>
              <w:spacing w:after="120" w:line="240" w:lineRule="auto"/>
              <w:rPr>
                <w:rFonts w:ascii="Arial Narrow" w:hAnsi="Arial Narrow"/>
                <w:lang w:val="en-US" w:eastAsia="ja-JP"/>
              </w:rPr>
            </w:pPr>
            <w:r w:rsidRPr="009717DA">
              <w:rPr>
                <w:rFonts w:ascii="Arial Narrow" w:hAnsi="Arial Narrow"/>
                <w:lang w:val="en-US" w:eastAsia="ja-JP"/>
              </w:rPr>
              <w:t>Orlistat should be considered as an adjunct to lifestyle interventions in the management of weight loss. Patients with BMI ≥28 kg/m</w:t>
            </w:r>
            <w:r w:rsidRPr="00DA0F4D">
              <w:rPr>
                <w:rFonts w:ascii="Arial Narrow" w:hAnsi="Arial Narrow"/>
                <w:vertAlign w:val="superscript"/>
                <w:lang w:val="en-US" w:eastAsia="ja-JP"/>
              </w:rPr>
              <w:t>2</w:t>
            </w:r>
            <w:r w:rsidRPr="009717DA">
              <w:rPr>
                <w:rFonts w:ascii="Arial Narrow" w:hAnsi="Arial Narrow"/>
                <w:lang w:val="en-US" w:eastAsia="ja-JP"/>
              </w:rPr>
              <w:t xml:space="preserve"> (with comorbidities) or BMI ≥30 kg/m2 should be considered on an individual case basis following assessment of risk and benefit.</w:t>
            </w:r>
          </w:p>
        </w:tc>
      </w:tr>
    </w:tbl>
    <w:p w:rsidR="009D7048" w:rsidRDefault="009D7048" w:rsidP="00017170"/>
    <w:p w:rsidR="00017170" w:rsidRDefault="00017170" w:rsidP="00017170">
      <w:r>
        <w:lastRenderedPageBreak/>
        <w:t xml:space="preserve">Despite these recommendations, only a small proportion of obese patients in Australia eventually resort to surgery. </w:t>
      </w:r>
      <w:r w:rsidR="004D5C85">
        <w:fldChar w:fldCharType="begin"/>
      </w:r>
      <w:r w:rsidR="009C2115">
        <w:instrText xml:space="preserve"> REF _Ref371693377 \h </w:instrText>
      </w:r>
      <w:r w:rsidR="004D5C85">
        <w:fldChar w:fldCharType="separate"/>
      </w:r>
      <w:r w:rsidR="008850CD" w:rsidRPr="00D22CC9">
        <w:t xml:space="preserve">Table </w:t>
      </w:r>
      <w:r w:rsidR="008850CD">
        <w:rPr>
          <w:noProof/>
        </w:rPr>
        <w:t>3</w:t>
      </w:r>
      <w:r w:rsidR="004D5C85">
        <w:fldChar w:fldCharType="end"/>
      </w:r>
      <w:r>
        <w:t xml:space="preserve"> summarises t</w:t>
      </w:r>
      <w:r w:rsidRPr="001B2307">
        <w:t>he var</w:t>
      </w:r>
      <w:r>
        <w:t>ious types of bariatric surgery and provides the number of MBS services provided for each procedure based on Medicare statistics</w:t>
      </w:r>
      <w:r w:rsidRPr="001B2307">
        <w:t xml:space="preserve">. </w:t>
      </w:r>
      <w:r>
        <w:t xml:space="preserve">Until July 2013, the MBS items under which bariatric surgery procedures were billed included a range of </w:t>
      </w:r>
      <w:r w:rsidR="009E7A9F">
        <w:t>bariatric procedures</w:t>
      </w:r>
      <w:r>
        <w:t xml:space="preserve">. On the basis of recommendations made in the recent MBS review of items for the surgical treatment of obesity (MBS Review 3), a number of </w:t>
      </w:r>
      <w:r w:rsidR="009E7A9F">
        <w:t xml:space="preserve">surgical </w:t>
      </w:r>
      <w:r>
        <w:t>item</w:t>
      </w:r>
      <w:r w:rsidR="009E7A9F">
        <w:t>s</w:t>
      </w:r>
      <w:r>
        <w:t xml:space="preserve"> numbers have been created so that each specific surgery procedure is associated with an individual item. Therefore, data on the utilisation of different surgical procedures is only available from the period between July 2013</w:t>
      </w:r>
      <w:r w:rsidR="009E7A9F">
        <w:t xml:space="preserve"> and December 2013</w:t>
      </w:r>
      <w:r>
        <w:t>. Based on these data, it appears that currently, the two most common bariatric procedures are gastric banding and sleeve gastrectomy. Other surgical procedures such as g</w:t>
      </w:r>
      <w:r w:rsidRPr="001B2307">
        <w:t xml:space="preserve">astroplasty </w:t>
      </w:r>
      <w:r>
        <w:t>and gastric bypass surgery are</w:t>
      </w:r>
      <w:r w:rsidRPr="001B2307">
        <w:t xml:space="preserve"> declining due to the advent of less invasive procedures.</w:t>
      </w:r>
      <w:r>
        <w:t xml:space="preserve"> Relative to the total number of patients with clinically severe obesity, it is apparent that only a small proportion of patients receive bariatric surgery, and the vast majority of patients are likely to persist with standard of care. </w:t>
      </w:r>
      <w:r w:rsidRPr="001B2307">
        <w:t xml:space="preserve">The </w:t>
      </w:r>
      <w:r>
        <w:t>NHMRC</w:t>
      </w:r>
      <w:r w:rsidRPr="001B2307">
        <w:t xml:space="preserve"> guideline </w:t>
      </w:r>
      <w:r>
        <w:t xml:space="preserve">(2013) </w:t>
      </w:r>
      <w:r w:rsidRPr="001B2307">
        <w:t>observes that in Australia, access to surgery under the public health system is limited and services for bariatric surgery and necessary follow-up may be even more limited in rural and remote areas. In addition, it is noted that while bariatric surgery can achieve long-term weight</w:t>
      </w:r>
      <w:r w:rsidR="009553DA">
        <w:t>-loss</w:t>
      </w:r>
      <w:r w:rsidRPr="001B2307">
        <w:t>, the surgery is not always successful and r</w:t>
      </w:r>
      <w:r>
        <w:t>evision is frequently required.</w:t>
      </w:r>
    </w:p>
    <w:p w:rsidR="00017170" w:rsidRPr="00D22CC9" w:rsidRDefault="00017170" w:rsidP="00017170">
      <w:pPr>
        <w:pStyle w:val="Caption"/>
        <w:jc w:val="both"/>
      </w:pPr>
      <w:bookmarkStart w:id="19" w:name="_Ref371693377"/>
      <w:r w:rsidRPr="00D22CC9">
        <w:t xml:space="preserve">Table </w:t>
      </w:r>
      <w:r w:rsidR="004D5C85">
        <w:fldChar w:fldCharType="begin"/>
      </w:r>
      <w:r w:rsidR="00D06433">
        <w:instrText xml:space="preserve"> SEQ Table \* ARABIC </w:instrText>
      </w:r>
      <w:r w:rsidR="004D5C85">
        <w:fldChar w:fldCharType="separate"/>
      </w:r>
      <w:r w:rsidR="008850CD">
        <w:rPr>
          <w:noProof/>
        </w:rPr>
        <w:t>3</w:t>
      </w:r>
      <w:r w:rsidR="004D5C85">
        <w:rPr>
          <w:noProof/>
        </w:rPr>
        <w:fldChar w:fldCharType="end"/>
      </w:r>
      <w:bookmarkEnd w:id="19"/>
      <w:r>
        <w:tab/>
      </w:r>
      <w:r w:rsidRPr="00D22CC9">
        <w:t>Summary of different types of bariatric surgery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0"/>
        <w:gridCol w:w="2978"/>
        <w:gridCol w:w="993"/>
        <w:gridCol w:w="1460"/>
        <w:gridCol w:w="1152"/>
      </w:tblGrid>
      <w:tr w:rsidR="00017170" w:rsidRPr="00D22CC9" w:rsidTr="009D7048">
        <w:trPr>
          <w:tblHeader/>
        </w:trPr>
        <w:tc>
          <w:tcPr>
            <w:tcW w:w="979" w:type="pct"/>
            <w:shd w:val="clear" w:color="auto" w:fill="auto"/>
          </w:tcPr>
          <w:p w:rsidR="00017170" w:rsidRPr="00D22CC9" w:rsidRDefault="00017170" w:rsidP="00017170">
            <w:pPr>
              <w:keepNext/>
              <w:spacing w:after="120" w:line="240" w:lineRule="auto"/>
              <w:rPr>
                <w:rFonts w:ascii="Arial Narrow" w:hAnsi="Arial Narrow"/>
                <w:b/>
                <w:lang w:val="en-US" w:eastAsia="ja-JP"/>
              </w:rPr>
            </w:pPr>
            <w:r w:rsidRPr="00D22CC9">
              <w:rPr>
                <w:rFonts w:ascii="Arial Narrow" w:hAnsi="Arial Narrow"/>
                <w:b/>
                <w:lang w:val="en-US" w:eastAsia="ja-JP"/>
              </w:rPr>
              <w:t>Surgical procedure</w:t>
            </w:r>
          </w:p>
        </w:tc>
        <w:tc>
          <w:tcPr>
            <w:tcW w:w="460" w:type="pct"/>
            <w:shd w:val="clear" w:color="auto" w:fill="auto"/>
          </w:tcPr>
          <w:p w:rsidR="00017170" w:rsidRPr="00D22CC9" w:rsidRDefault="00017170" w:rsidP="00017170">
            <w:pPr>
              <w:keepNext/>
              <w:spacing w:after="120" w:line="240" w:lineRule="auto"/>
              <w:rPr>
                <w:rFonts w:ascii="Arial Narrow" w:hAnsi="Arial Narrow"/>
                <w:b/>
                <w:lang w:val="en-US" w:eastAsia="ja-JP"/>
              </w:rPr>
            </w:pPr>
            <w:r w:rsidRPr="00D22CC9">
              <w:rPr>
                <w:rFonts w:ascii="Arial Narrow" w:hAnsi="Arial Narrow"/>
                <w:b/>
                <w:lang w:val="en-US" w:eastAsia="ja-JP"/>
              </w:rPr>
              <w:t>Current MBS item</w:t>
            </w:r>
          </w:p>
        </w:tc>
        <w:tc>
          <w:tcPr>
            <w:tcW w:w="1611" w:type="pct"/>
            <w:shd w:val="clear" w:color="auto" w:fill="auto"/>
          </w:tcPr>
          <w:p w:rsidR="00017170" w:rsidRPr="00D22CC9" w:rsidRDefault="00017170" w:rsidP="00017170">
            <w:pPr>
              <w:keepNext/>
              <w:spacing w:after="120" w:line="240" w:lineRule="auto"/>
              <w:rPr>
                <w:rFonts w:ascii="Arial Narrow" w:hAnsi="Arial Narrow"/>
                <w:b/>
                <w:lang w:val="en-US" w:eastAsia="ja-JP"/>
              </w:rPr>
            </w:pPr>
            <w:r w:rsidRPr="00D22CC9">
              <w:rPr>
                <w:rFonts w:ascii="Arial Narrow" w:hAnsi="Arial Narrow"/>
                <w:b/>
                <w:lang w:val="en-US" w:eastAsia="ja-JP"/>
              </w:rPr>
              <w:t>Description</w:t>
            </w:r>
          </w:p>
        </w:tc>
        <w:tc>
          <w:tcPr>
            <w:tcW w:w="537" w:type="pct"/>
          </w:tcPr>
          <w:p w:rsidR="00017170" w:rsidRPr="00D22CC9" w:rsidRDefault="00017170" w:rsidP="00017170">
            <w:pPr>
              <w:keepNext/>
              <w:spacing w:after="120" w:line="240" w:lineRule="auto"/>
              <w:rPr>
                <w:rFonts w:ascii="Arial Narrow" w:hAnsi="Arial Narrow"/>
                <w:b/>
                <w:lang w:val="en-US" w:eastAsia="ja-JP"/>
              </w:rPr>
            </w:pPr>
            <w:r>
              <w:rPr>
                <w:rFonts w:ascii="Arial Narrow" w:hAnsi="Arial Narrow"/>
                <w:b/>
                <w:lang w:val="en-US" w:eastAsia="ja-JP"/>
              </w:rPr>
              <w:t>Fee</w:t>
            </w:r>
          </w:p>
        </w:tc>
        <w:tc>
          <w:tcPr>
            <w:tcW w:w="790" w:type="pct"/>
          </w:tcPr>
          <w:p w:rsidR="00017170" w:rsidRPr="00D22CC9" w:rsidRDefault="00017170" w:rsidP="00017170">
            <w:pPr>
              <w:keepNext/>
              <w:spacing w:after="120" w:line="240" w:lineRule="auto"/>
              <w:rPr>
                <w:rFonts w:ascii="Arial Narrow" w:hAnsi="Arial Narrow"/>
                <w:b/>
                <w:lang w:val="en-US" w:eastAsia="ja-JP"/>
              </w:rPr>
            </w:pPr>
            <w:r>
              <w:rPr>
                <w:rFonts w:ascii="Arial Narrow" w:hAnsi="Arial Narrow"/>
                <w:b/>
                <w:lang w:val="en-US" w:eastAsia="ja-JP"/>
              </w:rPr>
              <w:t>Number of MBS items processed July-</w:t>
            </w:r>
            <w:r w:rsidR="00435950">
              <w:rPr>
                <w:rFonts w:ascii="Arial Narrow" w:hAnsi="Arial Narrow"/>
                <w:b/>
                <w:lang w:val="en-US" w:eastAsia="ja-JP"/>
              </w:rPr>
              <w:t>Dec</w:t>
            </w:r>
            <w:r>
              <w:rPr>
                <w:rFonts w:ascii="Arial Narrow" w:hAnsi="Arial Narrow"/>
                <w:b/>
                <w:lang w:val="en-US" w:eastAsia="ja-JP"/>
              </w:rPr>
              <w:t xml:space="preserve"> 2013</w:t>
            </w:r>
          </w:p>
        </w:tc>
        <w:tc>
          <w:tcPr>
            <w:tcW w:w="624" w:type="pct"/>
            <w:shd w:val="clear" w:color="auto" w:fill="auto"/>
          </w:tcPr>
          <w:p w:rsidR="00017170" w:rsidRPr="00D22CC9" w:rsidRDefault="00017170" w:rsidP="00017170">
            <w:pPr>
              <w:keepNext/>
              <w:spacing w:after="120" w:line="240" w:lineRule="auto"/>
              <w:rPr>
                <w:rFonts w:ascii="Arial Narrow" w:hAnsi="Arial Narrow"/>
                <w:b/>
                <w:lang w:val="en-US" w:eastAsia="ja-JP"/>
              </w:rPr>
            </w:pPr>
            <w:r w:rsidRPr="00D22CC9">
              <w:rPr>
                <w:rFonts w:ascii="Arial Narrow" w:hAnsi="Arial Narrow"/>
                <w:b/>
                <w:lang w:val="en-US" w:eastAsia="ja-JP"/>
              </w:rPr>
              <w:t>Eligible population</w:t>
            </w:r>
          </w:p>
        </w:tc>
      </w:tr>
      <w:tr w:rsidR="00017170" w:rsidRPr="00D22CC9" w:rsidTr="00017170">
        <w:tc>
          <w:tcPr>
            <w:tcW w:w="5000" w:type="pct"/>
            <w:gridSpan w:val="6"/>
          </w:tcPr>
          <w:p w:rsidR="00017170" w:rsidRPr="00D22CC9" w:rsidRDefault="00017170" w:rsidP="00017170">
            <w:pPr>
              <w:keepNext/>
              <w:spacing w:after="120" w:line="240" w:lineRule="auto"/>
              <w:rPr>
                <w:rFonts w:ascii="Arial Narrow" w:hAnsi="Arial Narrow"/>
                <w:i/>
                <w:lang w:val="en-US" w:eastAsia="ja-JP"/>
              </w:rPr>
            </w:pPr>
            <w:r w:rsidRPr="00D22CC9">
              <w:rPr>
                <w:rFonts w:ascii="Arial Narrow" w:hAnsi="Arial Narrow"/>
                <w:i/>
                <w:lang w:val="en-US" w:eastAsia="ja-JP"/>
              </w:rPr>
              <w:t>Gastric reduction/gastroplasty</w:t>
            </w:r>
          </w:p>
        </w:tc>
      </w:tr>
      <w:tr w:rsidR="00017170" w:rsidRPr="00835B27" w:rsidTr="00017170">
        <w:tc>
          <w:tcPr>
            <w:tcW w:w="979" w:type="pct"/>
            <w:shd w:val="clear" w:color="auto" w:fill="auto"/>
          </w:tcPr>
          <w:p w:rsidR="00017170" w:rsidRPr="00D22CC9" w:rsidRDefault="00017170" w:rsidP="00017170">
            <w:pPr>
              <w:keepNext/>
              <w:spacing w:after="120" w:line="240" w:lineRule="auto"/>
              <w:jc w:val="left"/>
              <w:rPr>
                <w:rFonts w:ascii="Arial Narrow" w:hAnsi="Arial Narrow"/>
                <w:lang w:val="en-US" w:eastAsia="ja-JP"/>
              </w:rPr>
            </w:pPr>
            <w:r w:rsidRPr="00D22CC9">
              <w:rPr>
                <w:rFonts w:ascii="Arial Narrow" w:hAnsi="Arial Narrow"/>
                <w:lang w:val="en-US" w:eastAsia="ja-JP"/>
              </w:rPr>
              <w:t>Adjustable gastric banding (AGB)/Laparoscopic adjustable gastric banding (LAGB)</w:t>
            </w:r>
          </w:p>
        </w:tc>
        <w:tc>
          <w:tcPr>
            <w:tcW w:w="460" w:type="pct"/>
            <w:shd w:val="clear" w:color="auto" w:fill="auto"/>
          </w:tcPr>
          <w:p w:rsidR="00017170" w:rsidRPr="00D22CC9" w:rsidRDefault="00017170" w:rsidP="00017170">
            <w:pPr>
              <w:keepNext/>
              <w:spacing w:after="120" w:line="240" w:lineRule="auto"/>
              <w:jc w:val="left"/>
              <w:rPr>
                <w:rFonts w:ascii="Arial Narrow" w:hAnsi="Arial Narrow"/>
                <w:lang w:val="en-US" w:eastAsia="ja-JP"/>
              </w:rPr>
            </w:pPr>
            <w:r>
              <w:rPr>
                <w:rFonts w:ascii="Arial Narrow" w:hAnsi="Arial Narrow"/>
                <w:lang w:val="en-US" w:eastAsia="ja-JP"/>
              </w:rPr>
              <w:t>31569</w:t>
            </w:r>
          </w:p>
        </w:tc>
        <w:tc>
          <w:tcPr>
            <w:tcW w:w="1611" w:type="pct"/>
            <w:shd w:val="clear" w:color="auto" w:fill="auto"/>
          </w:tcPr>
          <w:p w:rsidR="00017170" w:rsidRPr="00D22CC9" w:rsidRDefault="00017170" w:rsidP="00017170">
            <w:pPr>
              <w:keepNext/>
              <w:spacing w:after="120" w:line="240" w:lineRule="auto"/>
              <w:jc w:val="left"/>
              <w:rPr>
                <w:rFonts w:ascii="Arial Narrow" w:hAnsi="Arial Narrow"/>
                <w:lang w:val="en-US" w:eastAsia="ja-JP"/>
              </w:rPr>
            </w:pPr>
            <w:r w:rsidRPr="00D22CC9">
              <w:rPr>
                <w:rFonts w:ascii="Arial Narrow" w:hAnsi="Arial Narrow"/>
                <w:lang w:val="en-US" w:eastAsia="ja-JP"/>
              </w:rPr>
              <w:t>A surgical procedure in which a small silicone band is placed around the top of the stomach to produce a small pouch about the size of a thumb, thereby limiting food intake.</w:t>
            </w:r>
          </w:p>
        </w:tc>
        <w:tc>
          <w:tcPr>
            <w:tcW w:w="537" w:type="pct"/>
          </w:tcPr>
          <w:p w:rsidR="00017170" w:rsidRPr="00D22CC9" w:rsidRDefault="00017170" w:rsidP="00017170">
            <w:pPr>
              <w:keepNext/>
              <w:spacing w:after="120" w:line="240" w:lineRule="auto"/>
              <w:jc w:val="left"/>
              <w:rPr>
                <w:rFonts w:ascii="Arial Narrow" w:hAnsi="Arial Narrow"/>
                <w:lang w:val="en-US" w:eastAsia="ja-JP"/>
              </w:rPr>
            </w:pPr>
            <w:r w:rsidRPr="00DF6502">
              <w:rPr>
                <w:rFonts w:ascii="Arial Narrow" w:hAnsi="Arial Narrow"/>
                <w:lang w:val="en-US" w:eastAsia="ja-JP"/>
              </w:rPr>
              <w:t xml:space="preserve"> $849.55</w:t>
            </w:r>
          </w:p>
        </w:tc>
        <w:tc>
          <w:tcPr>
            <w:tcW w:w="790" w:type="pct"/>
          </w:tcPr>
          <w:p w:rsidR="00017170" w:rsidRDefault="00435950" w:rsidP="00017170">
            <w:pPr>
              <w:keepNext/>
              <w:spacing w:after="120" w:line="240" w:lineRule="auto"/>
              <w:jc w:val="left"/>
              <w:rPr>
                <w:rFonts w:ascii="Arial Narrow" w:hAnsi="Arial Narrow"/>
                <w:lang w:val="en-US" w:eastAsia="ja-JP"/>
              </w:rPr>
            </w:pPr>
            <w:r>
              <w:rPr>
                <w:rFonts w:ascii="Arial Narrow" w:hAnsi="Arial Narrow"/>
                <w:lang w:val="en-US" w:eastAsia="ja-JP"/>
              </w:rPr>
              <w:t>1</w:t>
            </w:r>
            <w:r w:rsidR="008E6CB0">
              <w:rPr>
                <w:rFonts w:ascii="Arial Narrow" w:hAnsi="Arial Narrow"/>
                <w:lang w:val="en-US" w:eastAsia="ja-JP"/>
              </w:rPr>
              <w:t>,</w:t>
            </w:r>
            <w:r>
              <w:rPr>
                <w:rFonts w:ascii="Arial Narrow" w:hAnsi="Arial Narrow"/>
                <w:lang w:val="en-US" w:eastAsia="ja-JP"/>
              </w:rPr>
              <w:t>871</w:t>
            </w:r>
          </w:p>
        </w:tc>
        <w:tc>
          <w:tcPr>
            <w:tcW w:w="624" w:type="pct"/>
            <w:shd w:val="clear" w:color="auto" w:fill="auto"/>
          </w:tcPr>
          <w:p w:rsidR="00017170" w:rsidRPr="00D22CC9" w:rsidRDefault="00017170" w:rsidP="00017170">
            <w:pPr>
              <w:keepNext/>
              <w:spacing w:after="120" w:line="240" w:lineRule="auto"/>
              <w:jc w:val="left"/>
              <w:rPr>
                <w:rFonts w:ascii="Arial Narrow" w:hAnsi="Arial Narrow"/>
                <w:lang w:val="en-US" w:eastAsia="ja-JP"/>
              </w:rPr>
            </w:pPr>
            <w:r>
              <w:rPr>
                <w:rFonts w:ascii="Arial Narrow" w:hAnsi="Arial Narrow"/>
                <w:lang w:val="en-US" w:eastAsia="ja-JP"/>
              </w:rPr>
              <w:t>Clinically severe obesity</w:t>
            </w:r>
            <w:r w:rsidRPr="004C775E">
              <w:rPr>
                <w:rFonts w:ascii="Arial Narrow" w:hAnsi="Arial Narrow"/>
                <w:vertAlign w:val="superscript"/>
                <w:lang w:val="en-US" w:eastAsia="ja-JP"/>
              </w:rPr>
              <w:t>a</w:t>
            </w:r>
          </w:p>
        </w:tc>
      </w:tr>
      <w:tr w:rsidR="00017170" w:rsidRPr="00835B27" w:rsidTr="00017170">
        <w:tc>
          <w:tcPr>
            <w:tcW w:w="979" w:type="pct"/>
            <w:shd w:val="clear" w:color="auto" w:fill="auto"/>
          </w:tcPr>
          <w:p w:rsidR="00017170" w:rsidRPr="00D22CC9" w:rsidRDefault="00017170" w:rsidP="00017170">
            <w:pPr>
              <w:keepNext/>
              <w:spacing w:after="120" w:line="240" w:lineRule="auto"/>
              <w:jc w:val="left"/>
              <w:rPr>
                <w:rFonts w:ascii="Arial Narrow" w:hAnsi="Arial Narrow"/>
                <w:lang w:val="en-US" w:eastAsia="ja-JP"/>
              </w:rPr>
            </w:pPr>
            <w:r w:rsidRPr="00D22CC9">
              <w:rPr>
                <w:rFonts w:ascii="Arial Narrow" w:hAnsi="Arial Narrow"/>
                <w:lang w:val="en-US" w:eastAsia="ja-JP"/>
              </w:rPr>
              <w:t>Sleeve gastrectomy (SG)</w:t>
            </w:r>
          </w:p>
        </w:tc>
        <w:tc>
          <w:tcPr>
            <w:tcW w:w="460" w:type="pct"/>
            <w:shd w:val="clear" w:color="auto" w:fill="auto"/>
          </w:tcPr>
          <w:p w:rsidR="00017170" w:rsidRPr="00D22CC9" w:rsidRDefault="00017170" w:rsidP="00017170">
            <w:pPr>
              <w:keepNext/>
              <w:spacing w:after="120" w:line="240" w:lineRule="auto"/>
              <w:jc w:val="left"/>
              <w:rPr>
                <w:rFonts w:ascii="Arial Narrow" w:hAnsi="Arial Narrow"/>
                <w:lang w:val="en-US" w:eastAsia="ja-JP"/>
              </w:rPr>
            </w:pPr>
            <w:r>
              <w:rPr>
                <w:rFonts w:ascii="Arial Narrow" w:hAnsi="Arial Narrow"/>
                <w:lang w:val="en-US" w:eastAsia="ja-JP"/>
              </w:rPr>
              <w:t>31575</w:t>
            </w:r>
          </w:p>
        </w:tc>
        <w:tc>
          <w:tcPr>
            <w:tcW w:w="1611" w:type="pct"/>
            <w:shd w:val="clear" w:color="auto" w:fill="auto"/>
          </w:tcPr>
          <w:p w:rsidR="00017170" w:rsidRPr="00D22CC9" w:rsidRDefault="00017170" w:rsidP="00017170">
            <w:pPr>
              <w:keepNext/>
              <w:spacing w:after="120" w:line="240" w:lineRule="auto"/>
              <w:jc w:val="left"/>
              <w:rPr>
                <w:rFonts w:ascii="Arial Narrow" w:hAnsi="Arial Narrow"/>
                <w:lang w:val="en-US" w:eastAsia="ja-JP"/>
              </w:rPr>
            </w:pPr>
            <w:r w:rsidRPr="00D22CC9">
              <w:rPr>
                <w:rFonts w:ascii="Arial Narrow" w:hAnsi="Arial Narrow"/>
                <w:lang w:val="en-US" w:eastAsia="ja-JP"/>
              </w:rPr>
              <w:t>Involves removing the lateral 2/3 of the stomach with a stapling device. It leaves a stomach tube instead of a stomach sack.</w:t>
            </w:r>
          </w:p>
        </w:tc>
        <w:tc>
          <w:tcPr>
            <w:tcW w:w="537" w:type="pct"/>
          </w:tcPr>
          <w:p w:rsidR="00017170" w:rsidRPr="00D22CC9" w:rsidRDefault="00017170" w:rsidP="00017170">
            <w:pPr>
              <w:keepNext/>
              <w:spacing w:after="120" w:line="240" w:lineRule="auto"/>
              <w:jc w:val="left"/>
              <w:rPr>
                <w:rFonts w:ascii="Arial Narrow" w:hAnsi="Arial Narrow"/>
                <w:lang w:val="en-US" w:eastAsia="ja-JP"/>
              </w:rPr>
            </w:pPr>
            <w:r w:rsidRPr="00DF6502">
              <w:rPr>
                <w:rFonts w:ascii="Arial Narrow" w:hAnsi="Arial Narrow"/>
                <w:lang w:val="en-US" w:eastAsia="ja-JP"/>
              </w:rPr>
              <w:t xml:space="preserve"> $849.55</w:t>
            </w:r>
          </w:p>
        </w:tc>
        <w:tc>
          <w:tcPr>
            <w:tcW w:w="790" w:type="pct"/>
          </w:tcPr>
          <w:p w:rsidR="00017170" w:rsidRDefault="00435950" w:rsidP="00017170">
            <w:pPr>
              <w:keepNext/>
              <w:spacing w:after="120" w:line="240" w:lineRule="auto"/>
              <w:jc w:val="left"/>
              <w:rPr>
                <w:rFonts w:ascii="Arial Narrow" w:hAnsi="Arial Narrow"/>
                <w:lang w:val="en-US" w:eastAsia="ja-JP"/>
              </w:rPr>
            </w:pPr>
            <w:r>
              <w:rPr>
                <w:rFonts w:ascii="Arial Narrow" w:hAnsi="Arial Narrow"/>
                <w:lang w:val="en-US" w:eastAsia="ja-JP"/>
              </w:rPr>
              <w:t>3,654</w:t>
            </w:r>
          </w:p>
        </w:tc>
        <w:tc>
          <w:tcPr>
            <w:tcW w:w="624" w:type="pct"/>
            <w:shd w:val="clear" w:color="auto" w:fill="auto"/>
          </w:tcPr>
          <w:p w:rsidR="00017170" w:rsidRPr="00D22CC9" w:rsidRDefault="00017170" w:rsidP="00017170">
            <w:pPr>
              <w:keepNext/>
              <w:spacing w:after="120" w:line="240" w:lineRule="auto"/>
              <w:jc w:val="left"/>
              <w:rPr>
                <w:rFonts w:ascii="Arial Narrow" w:hAnsi="Arial Narrow"/>
                <w:lang w:val="en-US" w:eastAsia="ja-JP"/>
              </w:rPr>
            </w:pPr>
            <w:r>
              <w:rPr>
                <w:rFonts w:ascii="Arial Narrow" w:hAnsi="Arial Narrow"/>
                <w:lang w:val="en-US" w:eastAsia="ja-JP"/>
              </w:rPr>
              <w:t>Clinically severe obesity</w:t>
            </w:r>
            <w:r w:rsidRPr="004C775E">
              <w:rPr>
                <w:rFonts w:ascii="Arial Narrow" w:hAnsi="Arial Narrow"/>
                <w:vertAlign w:val="superscript"/>
                <w:lang w:val="en-US" w:eastAsia="ja-JP"/>
              </w:rPr>
              <w:t>a</w:t>
            </w:r>
          </w:p>
        </w:tc>
      </w:tr>
      <w:tr w:rsidR="00017170" w:rsidRPr="00835B27" w:rsidTr="00017170">
        <w:tc>
          <w:tcPr>
            <w:tcW w:w="979" w:type="pct"/>
            <w:shd w:val="clear" w:color="auto" w:fill="auto"/>
          </w:tcPr>
          <w:p w:rsidR="00017170" w:rsidRPr="00D22CC9" w:rsidRDefault="00017170" w:rsidP="00017170">
            <w:pPr>
              <w:keepNext/>
              <w:spacing w:after="120" w:line="240" w:lineRule="auto"/>
              <w:jc w:val="left"/>
              <w:rPr>
                <w:rFonts w:ascii="Arial Narrow" w:hAnsi="Arial Narrow"/>
                <w:lang w:val="en-US" w:eastAsia="ja-JP"/>
              </w:rPr>
            </w:pPr>
            <w:r w:rsidRPr="00D22CC9">
              <w:rPr>
                <w:rFonts w:ascii="Arial Narrow" w:hAnsi="Arial Narrow"/>
                <w:lang w:val="en-US" w:eastAsia="ja-JP"/>
              </w:rPr>
              <w:t>Vertical banded gastroplasty (stomach stapling) (VGB)</w:t>
            </w:r>
          </w:p>
        </w:tc>
        <w:tc>
          <w:tcPr>
            <w:tcW w:w="460" w:type="pct"/>
            <w:shd w:val="clear" w:color="auto" w:fill="auto"/>
          </w:tcPr>
          <w:p w:rsidR="00017170" w:rsidRPr="00D22CC9" w:rsidRDefault="00017170" w:rsidP="00017170">
            <w:pPr>
              <w:keepNext/>
              <w:spacing w:after="120" w:line="240" w:lineRule="auto"/>
              <w:jc w:val="left"/>
              <w:rPr>
                <w:rFonts w:ascii="Arial Narrow" w:hAnsi="Arial Narrow"/>
                <w:lang w:val="en-US" w:eastAsia="ja-JP"/>
              </w:rPr>
            </w:pPr>
            <w:r>
              <w:rPr>
                <w:rFonts w:ascii="Arial Narrow" w:hAnsi="Arial Narrow"/>
                <w:lang w:val="en-US" w:eastAsia="ja-JP"/>
              </w:rPr>
              <w:t>31578</w:t>
            </w:r>
          </w:p>
        </w:tc>
        <w:tc>
          <w:tcPr>
            <w:tcW w:w="1611" w:type="pct"/>
            <w:shd w:val="clear" w:color="auto" w:fill="auto"/>
          </w:tcPr>
          <w:p w:rsidR="00017170" w:rsidRPr="00D22CC9" w:rsidRDefault="00017170" w:rsidP="00017170">
            <w:pPr>
              <w:keepNext/>
              <w:spacing w:after="120" w:line="240" w:lineRule="auto"/>
              <w:jc w:val="left"/>
              <w:rPr>
                <w:rFonts w:ascii="Arial Narrow" w:hAnsi="Arial Narrow"/>
                <w:lang w:val="en-US" w:eastAsia="ja-JP"/>
              </w:rPr>
            </w:pPr>
            <w:r w:rsidRPr="00D22CC9">
              <w:rPr>
                <w:rFonts w:ascii="Arial Narrow" w:hAnsi="Arial Narrow"/>
                <w:lang w:val="en-US" w:eastAsia="ja-JP"/>
              </w:rPr>
              <w:t>The upper stomach near the oesophagus is stapled vertically to create a small pouch along the inner curve of the stomach. The outlet from the pouch to the rest of the stomach is restricted by a band.</w:t>
            </w:r>
          </w:p>
        </w:tc>
        <w:tc>
          <w:tcPr>
            <w:tcW w:w="537" w:type="pct"/>
          </w:tcPr>
          <w:p w:rsidR="00017170" w:rsidRPr="00D22CC9" w:rsidRDefault="00017170" w:rsidP="00017170">
            <w:pPr>
              <w:keepNext/>
              <w:spacing w:after="120" w:line="240" w:lineRule="auto"/>
              <w:jc w:val="left"/>
              <w:rPr>
                <w:rFonts w:ascii="Arial Narrow" w:hAnsi="Arial Narrow"/>
                <w:lang w:val="en-US" w:eastAsia="ja-JP"/>
              </w:rPr>
            </w:pPr>
            <w:r w:rsidRPr="00DF6502">
              <w:rPr>
                <w:rFonts w:ascii="Arial Narrow" w:hAnsi="Arial Narrow"/>
                <w:lang w:val="en-US" w:eastAsia="ja-JP"/>
              </w:rPr>
              <w:t xml:space="preserve"> $849.55</w:t>
            </w:r>
          </w:p>
        </w:tc>
        <w:tc>
          <w:tcPr>
            <w:tcW w:w="790" w:type="pct"/>
          </w:tcPr>
          <w:p w:rsidR="00017170" w:rsidRDefault="00435950" w:rsidP="00017170">
            <w:pPr>
              <w:keepNext/>
              <w:spacing w:after="120" w:line="240" w:lineRule="auto"/>
              <w:jc w:val="left"/>
              <w:rPr>
                <w:rFonts w:ascii="Arial Narrow" w:hAnsi="Arial Narrow"/>
                <w:lang w:val="en-US" w:eastAsia="ja-JP"/>
              </w:rPr>
            </w:pPr>
            <w:r>
              <w:rPr>
                <w:rFonts w:ascii="Arial Narrow" w:hAnsi="Arial Narrow"/>
                <w:lang w:val="en-US" w:eastAsia="ja-JP"/>
              </w:rPr>
              <w:t>15</w:t>
            </w:r>
          </w:p>
        </w:tc>
        <w:tc>
          <w:tcPr>
            <w:tcW w:w="624" w:type="pct"/>
            <w:shd w:val="clear" w:color="auto" w:fill="auto"/>
          </w:tcPr>
          <w:p w:rsidR="00017170" w:rsidRPr="00D22CC9" w:rsidRDefault="00017170" w:rsidP="00017170">
            <w:pPr>
              <w:keepNext/>
              <w:spacing w:after="120" w:line="240" w:lineRule="auto"/>
              <w:jc w:val="left"/>
              <w:rPr>
                <w:rFonts w:ascii="Arial Narrow" w:hAnsi="Arial Narrow"/>
                <w:lang w:val="en-US" w:eastAsia="ja-JP"/>
              </w:rPr>
            </w:pPr>
            <w:r>
              <w:rPr>
                <w:rFonts w:ascii="Arial Narrow" w:hAnsi="Arial Narrow"/>
                <w:lang w:val="en-US" w:eastAsia="ja-JP"/>
              </w:rPr>
              <w:t>Clinically severe obesity</w:t>
            </w:r>
            <w:r w:rsidRPr="004C775E">
              <w:rPr>
                <w:rFonts w:ascii="Arial Narrow" w:hAnsi="Arial Narrow"/>
                <w:vertAlign w:val="superscript"/>
                <w:lang w:val="en-US" w:eastAsia="ja-JP"/>
              </w:rPr>
              <w:t>a</w:t>
            </w:r>
          </w:p>
        </w:tc>
      </w:tr>
      <w:tr w:rsidR="00017170" w:rsidRPr="00D22CC9" w:rsidTr="00017170">
        <w:tc>
          <w:tcPr>
            <w:tcW w:w="5000" w:type="pct"/>
            <w:gridSpan w:val="6"/>
          </w:tcPr>
          <w:p w:rsidR="00017170" w:rsidRPr="00D22CC9" w:rsidRDefault="00017170" w:rsidP="00017170">
            <w:pPr>
              <w:spacing w:after="120" w:line="240" w:lineRule="auto"/>
              <w:jc w:val="left"/>
              <w:rPr>
                <w:rFonts w:ascii="Arial Narrow" w:hAnsi="Arial Narrow"/>
                <w:i/>
                <w:lang w:val="en-US" w:eastAsia="ja-JP"/>
              </w:rPr>
            </w:pPr>
            <w:r w:rsidRPr="00D22CC9">
              <w:rPr>
                <w:rFonts w:ascii="Arial Narrow" w:hAnsi="Arial Narrow"/>
                <w:i/>
                <w:lang w:val="en-US" w:eastAsia="ja-JP"/>
              </w:rPr>
              <w:t>Gastric bypass</w:t>
            </w:r>
          </w:p>
        </w:tc>
      </w:tr>
      <w:tr w:rsidR="00017170" w:rsidRPr="00835B27" w:rsidTr="00017170">
        <w:tc>
          <w:tcPr>
            <w:tcW w:w="979" w:type="pct"/>
            <w:shd w:val="clear" w:color="auto" w:fill="auto"/>
          </w:tcPr>
          <w:p w:rsidR="00017170" w:rsidRPr="00D22CC9" w:rsidRDefault="00017170" w:rsidP="00017170">
            <w:pPr>
              <w:spacing w:after="120" w:line="240" w:lineRule="auto"/>
              <w:jc w:val="left"/>
              <w:rPr>
                <w:rFonts w:ascii="Arial Narrow" w:hAnsi="Arial Narrow"/>
                <w:lang w:val="en-US" w:eastAsia="ja-JP"/>
              </w:rPr>
            </w:pPr>
            <w:r w:rsidRPr="00D22CC9">
              <w:rPr>
                <w:rFonts w:ascii="Arial Narrow" w:hAnsi="Arial Narrow"/>
                <w:lang w:val="en-US" w:eastAsia="ja-JP"/>
              </w:rPr>
              <w:t xml:space="preserve">Biliopancreatic diversion (BPD)  </w:t>
            </w:r>
          </w:p>
          <w:p w:rsidR="00017170" w:rsidRPr="00D22CC9" w:rsidRDefault="00017170" w:rsidP="00017170">
            <w:pPr>
              <w:spacing w:after="120" w:line="240" w:lineRule="auto"/>
              <w:jc w:val="left"/>
              <w:rPr>
                <w:rFonts w:ascii="Arial Narrow" w:hAnsi="Arial Narrow"/>
                <w:lang w:val="en-US" w:eastAsia="ja-JP"/>
              </w:rPr>
            </w:pPr>
            <w:r w:rsidRPr="00D22CC9">
              <w:rPr>
                <w:rFonts w:ascii="Arial Narrow" w:hAnsi="Arial Narrow"/>
                <w:lang w:val="en-US" w:eastAsia="ja-JP"/>
              </w:rPr>
              <w:t>Biliopancreatic  diversion with  duodenal  switch (BPD-DS)</w:t>
            </w:r>
          </w:p>
        </w:tc>
        <w:tc>
          <w:tcPr>
            <w:tcW w:w="460" w:type="pct"/>
            <w:shd w:val="clear" w:color="auto" w:fill="auto"/>
          </w:tcPr>
          <w:p w:rsidR="00017170" w:rsidRPr="00D22CC9" w:rsidRDefault="00017170" w:rsidP="00017170">
            <w:pPr>
              <w:spacing w:after="120" w:line="240" w:lineRule="auto"/>
              <w:jc w:val="left"/>
              <w:rPr>
                <w:rFonts w:ascii="Arial Narrow" w:hAnsi="Arial Narrow"/>
                <w:lang w:val="en-US" w:eastAsia="ja-JP"/>
              </w:rPr>
            </w:pPr>
            <w:r>
              <w:rPr>
                <w:rFonts w:ascii="Arial Narrow" w:hAnsi="Arial Narrow"/>
                <w:lang w:val="en-US" w:eastAsia="ja-JP"/>
              </w:rPr>
              <w:t>31581</w:t>
            </w:r>
          </w:p>
        </w:tc>
        <w:tc>
          <w:tcPr>
            <w:tcW w:w="1611" w:type="pct"/>
            <w:shd w:val="clear" w:color="auto" w:fill="auto"/>
          </w:tcPr>
          <w:p w:rsidR="00017170" w:rsidRPr="00D22CC9" w:rsidRDefault="00017170" w:rsidP="00017170">
            <w:pPr>
              <w:spacing w:after="120" w:line="240" w:lineRule="auto"/>
              <w:jc w:val="left"/>
              <w:rPr>
                <w:rFonts w:ascii="Arial Narrow" w:hAnsi="Arial Narrow"/>
                <w:lang w:val="en-US" w:eastAsia="ja-JP"/>
              </w:rPr>
            </w:pPr>
            <w:r w:rsidRPr="00D22CC9">
              <w:rPr>
                <w:rFonts w:ascii="Arial Narrow" w:hAnsi="Arial Narrow"/>
                <w:lang w:val="en-US" w:eastAsia="ja-JP"/>
              </w:rPr>
              <w:t>The first two segments of the small intestine, the duodenum and jejunum, are bypassed and the stomach pouch is attached to the ileum.</w:t>
            </w:r>
          </w:p>
          <w:p w:rsidR="00017170" w:rsidRPr="00D22CC9" w:rsidRDefault="00017170" w:rsidP="00017170">
            <w:pPr>
              <w:spacing w:after="120" w:line="240" w:lineRule="auto"/>
              <w:jc w:val="left"/>
              <w:rPr>
                <w:rFonts w:ascii="Arial Narrow" w:hAnsi="Arial Narrow"/>
                <w:lang w:val="en-US" w:eastAsia="ja-JP"/>
              </w:rPr>
            </w:pPr>
            <w:r w:rsidRPr="00D22CC9">
              <w:rPr>
                <w:rFonts w:ascii="Arial Narrow" w:hAnsi="Arial Narrow"/>
                <w:lang w:val="en-US" w:eastAsia="ja-JP"/>
              </w:rPr>
              <w:t xml:space="preserve"> BPD in conjunction with DS is an additional adaptation where a proportion of the duodenum remains attached to the stomach.</w:t>
            </w:r>
          </w:p>
        </w:tc>
        <w:tc>
          <w:tcPr>
            <w:tcW w:w="537" w:type="pct"/>
          </w:tcPr>
          <w:p w:rsidR="00017170" w:rsidRPr="00D22CC9" w:rsidRDefault="00017170" w:rsidP="00017170">
            <w:pPr>
              <w:spacing w:after="120" w:line="240" w:lineRule="auto"/>
              <w:jc w:val="left"/>
              <w:rPr>
                <w:rFonts w:ascii="Arial Narrow" w:hAnsi="Arial Narrow"/>
                <w:lang w:val="en-US" w:eastAsia="ja-JP"/>
              </w:rPr>
            </w:pPr>
            <w:r>
              <w:rPr>
                <w:rFonts w:ascii="Arial Narrow" w:hAnsi="Arial Narrow"/>
                <w:lang w:val="en-US" w:eastAsia="ja-JP"/>
              </w:rPr>
              <w:t>$1,045.40</w:t>
            </w:r>
          </w:p>
        </w:tc>
        <w:tc>
          <w:tcPr>
            <w:tcW w:w="790" w:type="pct"/>
          </w:tcPr>
          <w:p w:rsidR="00017170" w:rsidRDefault="00435950" w:rsidP="00017170">
            <w:pPr>
              <w:keepNext/>
              <w:spacing w:after="120" w:line="240" w:lineRule="auto"/>
              <w:jc w:val="left"/>
              <w:rPr>
                <w:rFonts w:ascii="Arial Narrow" w:hAnsi="Arial Narrow"/>
                <w:lang w:val="en-US" w:eastAsia="ja-JP"/>
              </w:rPr>
            </w:pPr>
            <w:r>
              <w:rPr>
                <w:rFonts w:ascii="Arial Narrow" w:hAnsi="Arial Narrow"/>
                <w:lang w:val="en-US" w:eastAsia="ja-JP"/>
              </w:rPr>
              <w:t>7</w:t>
            </w:r>
          </w:p>
        </w:tc>
        <w:tc>
          <w:tcPr>
            <w:tcW w:w="624" w:type="pct"/>
            <w:shd w:val="clear" w:color="auto" w:fill="auto"/>
          </w:tcPr>
          <w:p w:rsidR="00017170" w:rsidRPr="00D22CC9" w:rsidRDefault="00017170" w:rsidP="00017170">
            <w:pPr>
              <w:keepNext/>
              <w:spacing w:after="120" w:line="240" w:lineRule="auto"/>
              <w:jc w:val="left"/>
              <w:rPr>
                <w:rFonts w:ascii="Arial Narrow" w:hAnsi="Arial Narrow"/>
                <w:lang w:val="en-US" w:eastAsia="ja-JP"/>
              </w:rPr>
            </w:pPr>
            <w:r>
              <w:rPr>
                <w:rFonts w:ascii="Arial Narrow" w:hAnsi="Arial Narrow"/>
                <w:lang w:val="en-US" w:eastAsia="ja-JP"/>
              </w:rPr>
              <w:t>Clinically severe obesity</w:t>
            </w:r>
            <w:r w:rsidRPr="004C775E">
              <w:rPr>
                <w:rFonts w:ascii="Arial Narrow" w:hAnsi="Arial Narrow"/>
                <w:vertAlign w:val="superscript"/>
                <w:lang w:val="en-US" w:eastAsia="ja-JP"/>
              </w:rPr>
              <w:t>a</w:t>
            </w:r>
          </w:p>
        </w:tc>
      </w:tr>
      <w:tr w:rsidR="00017170" w:rsidRPr="00835B27" w:rsidTr="00017170">
        <w:tc>
          <w:tcPr>
            <w:tcW w:w="979" w:type="pct"/>
            <w:shd w:val="clear" w:color="auto" w:fill="auto"/>
          </w:tcPr>
          <w:p w:rsidR="00017170" w:rsidRPr="00D22CC9" w:rsidRDefault="00017170" w:rsidP="00017170">
            <w:pPr>
              <w:spacing w:after="120" w:line="240" w:lineRule="auto"/>
              <w:jc w:val="left"/>
              <w:rPr>
                <w:rFonts w:ascii="Arial Narrow" w:hAnsi="Arial Narrow"/>
                <w:lang w:val="en-US" w:eastAsia="ja-JP"/>
              </w:rPr>
            </w:pPr>
            <w:r w:rsidRPr="00D22CC9">
              <w:rPr>
                <w:rFonts w:ascii="Arial Narrow" w:hAnsi="Arial Narrow"/>
                <w:lang w:val="en-US" w:eastAsia="ja-JP"/>
              </w:rPr>
              <w:lastRenderedPageBreak/>
              <w:t>Roux-en-Y gastric bypass (RYGB)</w:t>
            </w:r>
          </w:p>
        </w:tc>
        <w:tc>
          <w:tcPr>
            <w:tcW w:w="460" w:type="pct"/>
            <w:shd w:val="clear" w:color="auto" w:fill="auto"/>
          </w:tcPr>
          <w:p w:rsidR="00017170" w:rsidRPr="00D22CC9" w:rsidRDefault="00017170" w:rsidP="00017170">
            <w:pPr>
              <w:spacing w:after="120" w:line="240" w:lineRule="auto"/>
              <w:jc w:val="left"/>
              <w:rPr>
                <w:rFonts w:ascii="Arial Narrow" w:hAnsi="Arial Narrow"/>
                <w:lang w:val="en-US" w:eastAsia="ja-JP"/>
              </w:rPr>
            </w:pPr>
            <w:r w:rsidRPr="00D22CC9">
              <w:rPr>
                <w:rFonts w:ascii="Arial Narrow" w:hAnsi="Arial Narrow"/>
                <w:lang w:val="en-US" w:eastAsia="ja-JP"/>
              </w:rPr>
              <w:t>31572</w:t>
            </w:r>
          </w:p>
        </w:tc>
        <w:tc>
          <w:tcPr>
            <w:tcW w:w="1611" w:type="pct"/>
            <w:shd w:val="clear" w:color="auto" w:fill="auto"/>
          </w:tcPr>
          <w:p w:rsidR="00017170" w:rsidRPr="00D22CC9" w:rsidRDefault="00017170" w:rsidP="00017170">
            <w:pPr>
              <w:spacing w:after="120" w:line="240" w:lineRule="auto"/>
              <w:jc w:val="left"/>
              <w:rPr>
                <w:rFonts w:ascii="Arial Narrow" w:hAnsi="Arial Narrow"/>
                <w:lang w:val="en-US" w:eastAsia="ja-JP"/>
              </w:rPr>
            </w:pPr>
            <w:r w:rsidRPr="00D22CC9">
              <w:rPr>
                <w:rFonts w:ascii="Arial Narrow" w:hAnsi="Arial Narrow"/>
                <w:lang w:val="en-US" w:eastAsia="ja-JP"/>
              </w:rPr>
              <w:t>A small stomach pouch is created to restrict food intake. Next, a Y-shaped section of the small intestine is attached to the pouch to allow food to bypass the lower stomach, the duodenum (the first segment of the small intestine), and the first portion of the jejunum (the second segment of the small intestine).</w:t>
            </w:r>
          </w:p>
        </w:tc>
        <w:tc>
          <w:tcPr>
            <w:tcW w:w="537" w:type="pct"/>
          </w:tcPr>
          <w:p w:rsidR="00017170" w:rsidRPr="00D22CC9" w:rsidRDefault="00017170" w:rsidP="00017170">
            <w:pPr>
              <w:spacing w:after="120" w:line="240" w:lineRule="auto"/>
              <w:jc w:val="left"/>
              <w:rPr>
                <w:rFonts w:ascii="Arial Narrow" w:hAnsi="Arial Narrow"/>
                <w:lang w:val="en-US" w:eastAsia="ja-JP"/>
              </w:rPr>
            </w:pPr>
            <w:r>
              <w:rPr>
                <w:rFonts w:ascii="Arial Narrow" w:hAnsi="Arial Narrow"/>
                <w:lang w:val="en-US" w:eastAsia="ja-JP"/>
              </w:rPr>
              <w:t>$1,045.40</w:t>
            </w:r>
          </w:p>
        </w:tc>
        <w:tc>
          <w:tcPr>
            <w:tcW w:w="790" w:type="pct"/>
          </w:tcPr>
          <w:p w:rsidR="00017170" w:rsidRDefault="00435950" w:rsidP="00017170">
            <w:pPr>
              <w:keepNext/>
              <w:spacing w:after="120" w:line="240" w:lineRule="auto"/>
              <w:jc w:val="left"/>
              <w:rPr>
                <w:rFonts w:ascii="Arial Narrow" w:hAnsi="Arial Narrow"/>
                <w:lang w:val="en-US" w:eastAsia="ja-JP"/>
              </w:rPr>
            </w:pPr>
            <w:r>
              <w:rPr>
                <w:rFonts w:ascii="Arial Narrow" w:hAnsi="Arial Narrow"/>
                <w:lang w:val="en-US" w:eastAsia="ja-JP"/>
              </w:rPr>
              <w:t>355</w:t>
            </w:r>
          </w:p>
        </w:tc>
        <w:tc>
          <w:tcPr>
            <w:tcW w:w="624" w:type="pct"/>
            <w:shd w:val="clear" w:color="auto" w:fill="auto"/>
          </w:tcPr>
          <w:p w:rsidR="00017170" w:rsidRPr="00D22CC9" w:rsidRDefault="00017170" w:rsidP="00017170">
            <w:pPr>
              <w:keepNext/>
              <w:spacing w:after="120" w:line="240" w:lineRule="auto"/>
              <w:jc w:val="left"/>
              <w:rPr>
                <w:rFonts w:ascii="Arial Narrow" w:hAnsi="Arial Narrow"/>
                <w:lang w:val="en-US" w:eastAsia="ja-JP"/>
              </w:rPr>
            </w:pPr>
            <w:r>
              <w:rPr>
                <w:rFonts w:ascii="Arial Narrow" w:hAnsi="Arial Narrow"/>
                <w:lang w:val="en-US" w:eastAsia="ja-JP"/>
              </w:rPr>
              <w:t>Clinically severe obesity</w:t>
            </w:r>
            <w:r w:rsidRPr="004C775E">
              <w:rPr>
                <w:rFonts w:ascii="Arial Narrow" w:hAnsi="Arial Narrow"/>
                <w:vertAlign w:val="superscript"/>
                <w:lang w:val="en-US" w:eastAsia="ja-JP"/>
              </w:rPr>
              <w:t>a</w:t>
            </w:r>
          </w:p>
        </w:tc>
      </w:tr>
    </w:tbl>
    <w:p w:rsidR="00017170" w:rsidRPr="00DF6502" w:rsidRDefault="00017170" w:rsidP="00017170">
      <w:pPr>
        <w:pStyle w:val="Source"/>
        <w:spacing w:after="0"/>
        <w:ind w:left="0" w:firstLine="0"/>
      </w:pPr>
    </w:p>
    <w:p w:rsidR="00017170" w:rsidRPr="00DF6502" w:rsidRDefault="00017170" w:rsidP="00017170">
      <w:pPr>
        <w:pStyle w:val="Source"/>
        <w:spacing w:after="0"/>
        <w:ind w:left="0" w:firstLine="0"/>
      </w:pPr>
      <w:r w:rsidRPr="00DF6502">
        <w:t>Sources:</w:t>
      </w:r>
      <w:r w:rsidRPr="004C775E">
        <w:t xml:space="preserve"> </w:t>
      </w:r>
      <w:r w:rsidRPr="00DF6502">
        <w:t>Schouten R., RijsBegg S, Vos T, Barker B, Stevenson C, Stanley L, Lopez AD (2007) The burden of disease and injury in Australia in 2003, AIHW</w:t>
      </w:r>
    </w:p>
    <w:p w:rsidR="00017170" w:rsidRPr="00DF6502" w:rsidRDefault="00017170" w:rsidP="00017170">
      <w:pPr>
        <w:pStyle w:val="Source"/>
        <w:spacing w:after="0"/>
        <w:ind w:left="0" w:firstLine="0"/>
      </w:pPr>
      <w:r w:rsidRPr="00DF6502">
        <w:t>Preventative Health Taskforce (2009) Australia: the healthiest country by 2020, http://www.health.gov.au/internet/preventativehealth/publishing.nsf/Content/E233F8695823F16CCA2574DD00818E64/$File/obesity-jul09.pdf, accessed 12 April 2013.</w:t>
      </w:r>
    </w:p>
    <w:p w:rsidR="00017170" w:rsidRDefault="00017170" w:rsidP="00017170">
      <w:pPr>
        <w:pStyle w:val="Source"/>
        <w:spacing w:after="0"/>
        <w:ind w:left="0" w:firstLine="0"/>
        <w:rPr>
          <w:color w:val="000000"/>
          <w:shd w:val="clear" w:color="auto" w:fill="FFFFFF"/>
        </w:rPr>
      </w:pPr>
      <w:r w:rsidRPr="004C775E">
        <w:rPr>
          <w:vertAlign w:val="superscript"/>
        </w:rPr>
        <w:t>a</w:t>
      </w:r>
      <w:r>
        <w:t xml:space="preserve"> </w:t>
      </w:r>
      <w:r>
        <w:rPr>
          <w:color w:val="000000"/>
          <w:shd w:val="clear" w:color="auto" w:fill="FFFFFF"/>
        </w:rPr>
        <w:t>The term clinically severe obesity generally refers to a patient with a Body Mass Index (BMI) of 40kg/m</w:t>
      </w:r>
      <w:r>
        <w:rPr>
          <w:color w:val="000000"/>
          <w:vertAlign w:val="superscript"/>
        </w:rPr>
        <w:t>2</w:t>
      </w:r>
      <w:r>
        <w:rPr>
          <w:rStyle w:val="apple-converted-space"/>
          <w:color w:val="000000"/>
          <w:shd w:val="clear" w:color="auto" w:fill="FFFFFF"/>
        </w:rPr>
        <w:t> </w:t>
      </w:r>
      <w:r>
        <w:rPr>
          <w:color w:val="000000"/>
          <w:shd w:val="clear" w:color="auto" w:fill="FFFFFF"/>
        </w:rPr>
        <w:t>or more, or a patient with a BMI of 35kg/m</w:t>
      </w:r>
      <w:r>
        <w:rPr>
          <w:color w:val="000000"/>
          <w:vertAlign w:val="superscript"/>
        </w:rPr>
        <w:t>2</w:t>
      </w:r>
      <w:r>
        <w:rPr>
          <w:rStyle w:val="apple-converted-space"/>
          <w:color w:val="000000"/>
          <w:shd w:val="clear" w:color="auto" w:fill="FFFFFF"/>
        </w:rPr>
        <w:t> </w:t>
      </w:r>
      <w:r>
        <w:rPr>
          <w:color w:val="000000"/>
          <w:shd w:val="clear" w:color="auto" w:fill="FFFFFF"/>
        </w:rPr>
        <w:t>or more with other major medical co-morbidities (such as diabetes, cardiovascular disease, cancer).  The BMI values in different population groups may vary due, in part, to different body proportions which affect the percentage of body fat and body fat distribution.  Consequently, different ethnic groups may experience major health risks at a BMI that is below the 35-40 kg/m</w:t>
      </w:r>
      <w:r>
        <w:rPr>
          <w:color w:val="000000"/>
          <w:vertAlign w:val="superscript"/>
        </w:rPr>
        <w:t>2</w:t>
      </w:r>
      <w:r>
        <w:rPr>
          <w:rStyle w:val="apple-converted-space"/>
          <w:color w:val="000000"/>
          <w:shd w:val="clear" w:color="auto" w:fill="FFFFFF"/>
        </w:rPr>
        <w:t> </w:t>
      </w:r>
      <w:r>
        <w:rPr>
          <w:color w:val="000000"/>
          <w:shd w:val="clear" w:color="auto" w:fill="FFFFFF"/>
        </w:rPr>
        <w:t>provided for in the definition.  The decision to undertake obesity surgery remains a matter for the clinical judgment of the surgeon.</w:t>
      </w:r>
    </w:p>
    <w:p w:rsidR="00017170" w:rsidRDefault="00017170" w:rsidP="00017170"/>
    <w:p w:rsidR="00017170" w:rsidRPr="001D68AB" w:rsidRDefault="00017170" w:rsidP="00017170">
      <w:pPr>
        <w:rPr>
          <w:u w:val="single"/>
        </w:rPr>
      </w:pPr>
      <w:r w:rsidRPr="001D68AB">
        <w:rPr>
          <w:u w:val="single"/>
        </w:rPr>
        <w:t>On this basis, the clinical place for EndoBarrier in patients with</w:t>
      </w:r>
      <w:r w:rsidR="000E3460" w:rsidRPr="001D68AB">
        <w:rPr>
          <w:u w:val="single"/>
        </w:rPr>
        <w:t xml:space="preserve"> </w:t>
      </w:r>
      <w:r w:rsidRPr="001D68AB">
        <w:rPr>
          <w:u w:val="single"/>
        </w:rPr>
        <w:t>clinically severe obesity</w:t>
      </w:r>
      <w:r w:rsidR="00DC2965" w:rsidRPr="001D68AB">
        <w:rPr>
          <w:u w:val="single"/>
        </w:rPr>
        <w:t xml:space="preserve"> </w:t>
      </w:r>
      <w:r w:rsidRPr="001D68AB">
        <w:rPr>
          <w:u w:val="single"/>
        </w:rPr>
        <w:t xml:space="preserve">is likely to be </w:t>
      </w:r>
      <w:r w:rsidR="000D2D38">
        <w:rPr>
          <w:u w:val="single"/>
        </w:rPr>
        <w:t xml:space="preserve">used as an addition </w:t>
      </w:r>
      <w:r w:rsidR="001D68AB" w:rsidRPr="001D68AB">
        <w:rPr>
          <w:u w:val="single"/>
        </w:rPr>
        <w:t>to behavioural, lifestyle and dietary modifications (standard of care; SOC) in the majority of patients, and</w:t>
      </w:r>
      <w:r w:rsidRPr="001D68AB">
        <w:rPr>
          <w:u w:val="single"/>
        </w:rPr>
        <w:t xml:space="preserve"> as a substitute for bariatric surgery in a small proportion of patients. </w:t>
      </w:r>
    </w:p>
    <w:p w:rsidR="003645F0" w:rsidRDefault="00205EFD" w:rsidP="00106EA0">
      <w:pPr>
        <w:spacing w:before="120" w:after="120"/>
      </w:pPr>
      <w:r>
        <w:t>In p</w:t>
      </w:r>
      <w:r w:rsidR="009C050D">
        <w:t>atients</w:t>
      </w:r>
      <w:r w:rsidR="00227085">
        <w:t xml:space="preserve"> with clinically severe obesity who are not suitable for bariatric surgery</w:t>
      </w:r>
      <w:r>
        <w:t xml:space="preserve">, there are </w:t>
      </w:r>
      <w:r w:rsidR="001E69B3">
        <w:t xml:space="preserve">two </w:t>
      </w:r>
      <w:r>
        <w:t xml:space="preserve">relevant </w:t>
      </w:r>
      <w:r w:rsidR="001E69B3">
        <w:t>subpopulations:</w:t>
      </w:r>
    </w:p>
    <w:p w:rsidR="001E69B3" w:rsidRDefault="001E69B3" w:rsidP="001E69B3">
      <w:pPr>
        <w:numPr>
          <w:ilvl w:val="0"/>
          <w:numId w:val="20"/>
        </w:numPr>
      </w:pPr>
      <w:r>
        <w:t xml:space="preserve">Patients with contra-indications for </w:t>
      </w:r>
      <w:r w:rsidR="00B36079">
        <w:t xml:space="preserve">bariatric </w:t>
      </w:r>
      <w:r>
        <w:t>surgery</w:t>
      </w:r>
    </w:p>
    <w:p w:rsidR="00E76DB0" w:rsidRDefault="001E69B3" w:rsidP="004636F7">
      <w:pPr>
        <w:numPr>
          <w:ilvl w:val="0"/>
          <w:numId w:val="20"/>
        </w:numPr>
      </w:pPr>
      <w:r>
        <w:t>“</w:t>
      </w:r>
      <w:r w:rsidR="00B36079">
        <w:t>B</w:t>
      </w:r>
      <w:r>
        <w:t xml:space="preserve">ridge” patients who are currently not suitable for </w:t>
      </w:r>
      <w:r w:rsidR="00B36079">
        <w:t xml:space="preserve">bariatric </w:t>
      </w:r>
      <w:r>
        <w:t xml:space="preserve">surgery due to excess weight and co-morbidities, but may become eligible through </w:t>
      </w:r>
      <w:r w:rsidR="00E82CD0">
        <w:t>significant</w:t>
      </w:r>
      <w:r w:rsidR="00B36079">
        <w:t xml:space="preserve"> weight-loss </w:t>
      </w:r>
      <w:r w:rsidR="0001507E">
        <w:t xml:space="preserve">or improvement of other metabolic outcomes </w:t>
      </w:r>
      <w:r w:rsidR="00B36079">
        <w:t>using EndoBarrier</w:t>
      </w:r>
    </w:p>
    <w:p w:rsidR="00E76DB0" w:rsidRDefault="00E76DB0" w:rsidP="00EB4572">
      <w:pPr>
        <w:autoSpaceDE w:val="0"/>
        <w:autoSpaceDN w:val="0"/>
      </w:pPr>
      <w:r>
        <w:t xml:space="preserve">The first group of patients </w:t>
      </w:r>
      <w:r w:rsidR="0020457F">
        <w:t xml:space="preserve">is difficult to define as there are no absolute contraindications to bariatric surgery. </w:t>
      </w:r>
      <w:r w:rsidR="0020457F" w:rsidRPr="0020457F">
        <w:t xml:space="preserve">Relative </w:t>
      </w:r>
      <w:r w:rsidR="0001507E">
        <w:t xml:space="preserve">medical </w:t>
      </w:r>
      <w:r w:rsidR="0020457F" w:rsidRPr="0020457F">
        <w:t>contraindications to</w:t>
      </w:r>
      <w:r w:rsidR="0020457F">
        <w:t xml:space="preserve"> </w:t>
      </w:r>
      <w:r w:rsidR="0020457F" w:rsidRPr="0020457F">
        <w:t xml:space="preserve">surgery may include </w:t>
      </w:r>
      <w:r w:rsidR="00EB4572">
        <w:t xml:space="preserve">severe gastrointestinal disease, </w:t>
      </w:r>
      <w:r w:rsidR="00EB4572" w:rsidRPr="00EB4572">
        <w:t>uncontrolled obstructive sleep apnoea with portal hypertension, and serious blood or autoimmune</w:t>
      </w:r>
      <w:r w:rsidR="00EB4572">
        <w:t xml:space="preserve"> </w:t>
      </w:r>
      <w:r w:rsidR="00EB4572" w:rsidRPr="00EB4572">
        <w:t>disorders</w:t>
      </w:r>
      <w:r w:rsidR="00EB4572">
        <w:t xml:space="preserve">, </w:t>
      </w:r>
      <w:r w:rsidR="0020457F" w:rsidRPr="0020457F">
        <w:t>severe heart failure, unstable coronary artery disease, end-stage lung</w:t>
      </w:r>
      <w:r w:rsidR="0020457F">
        <w:t xml:space="preserve"> </w:t>
      </w:r>
      <w:r w:rsidR="0020457F" w:rsidRPr="0020457F">
        <w:t>disease, active</w:t>
      </w:r>
      <w:r w:rsidR="0001507E">
        <w:t xml:space="preserve"> cancer diagnosis/treatment or</w:t>
      </w:r>
      <w:r w:rsidR="0020457F" w:rsidRPr="0020457F">
        <w:t xml:space="preserve"> cirrhosis with portal hypertension. Laparoscopic surgery may be difficult or impossible in patients with giant ventral hernias, severe</w:t>
      </w:r>
      <w:r w:rsidR="0020457F">
        <w:t xml:space="preserve"> </w:t>
      </w:r>
      <w:r w:rsidR="0020457F" w:rsidRPr="0020457F">
        <w:t>intra-abdominal adhesions, large liver, high BMI with central obesity or physiological intolerance of pneumoperitoneum</w:t>
      </w:r>
      <w:r w:rsidR="0020457F">
        <w:t xml:space="preserve"> (SAGES, 2008)</w:t>
      </w:r>
      <w:r w:rsidR="0020457F" w:rsidRPr="0020457F">
        <w:t xml:space="preserve">. </w:t>
      </w:r>
      <w:r w:rsidR="00EB4572">
        <w:t xml:space="preserve">In addition, </w:t>
      </w:r>
      <w:r w:rsidR="0001507E">
        <w:t>p</w:t>
      </w:r>
      <w:r w:rsidR="00EB4572" w:rsidRPr="00EB4572">
        <w:t>atients must be able to give fully informed consent to bariatric surgery and commit to post-operative</w:t>
      </w:r>
      <w:r w:rsidR="0001507E">
        <w:t xml:space="preserve"> </w:t>
      </w:r>
      <w:r w:rsidR="00EB4572" w:rsidRPr="00EB4572">
        <w:t>care plans. Therefore, bariatric surgery should not be performed on patients who have</w:t>
      </w:r>
      <w:r w:rsidR="0001507E">
        <w:t xml:space="preserve"> serious psychological or psychiatric disorders such as drug/alcohol dependency, significant intellectual </w:t>
      </w:r>
      <w:r w:rsidR="0001507E">
        <w:lastRenderedPageBreak/>
        <w:t>impairment or active psychosis.</w:t>
      </w:r>
      <w:r w:rsidR="00EB4572" w:rsidRPr="00EB4572">
        <w:t xml:space="preserve"> </w:t>
      </w:r>
      <w:r w:rsidR="0020457F">
        <w:t>These contraindications are supported by a r</w:t>
      </w:r>
      <w:r>
        <w:t xml:space="preserve">ange of international guidelines </w:t>
      </w:r>
      <w:r w:rsidR="0020457F">
        <w:t xml:space="preserve">(Fried et al., 2008; </w:t>
      </w:r>
      <w:r w:rsidR="004636F7">
        <w:t>Dixon et al.</w:t>
      </w:r>
      <w:r w:rsidR="0020457F">
        <w:t xml:space="preserve">, 2011). </w:t>
      </w:r>
    </w:p>
    <w:p w:rsidR="00583507" w:rsidRDefault="00583507" w:rsidP="004636F7">
      <w:pPr>
        <w:autoSpaceDE w:val="0"/>
        <w:autoSpaceDN w:val="0"/>
      </w:pPr>
      <w:r>
        <w:t xml:space="preserve">While most patients with the aforementioned contraindications will never be eligible for bariatric surgery, another group (“bridge” patients) may become eligible for bariatric surgery after a successful weight-loss intervention. </w:t>
      </w:r>
      <w:r w:rsidRPr="00583507">
        <w:t xml:space="preserve">The intent of </w:t>
      </w:r>
      <w:r>
        <w:t>this approach</w:t>
      </w:r>
      <w:r w:rsidRPr="00583507">
        <w:t xml:space="preserve"> is to promote weight</w:t>
      </w:r>
      <w:r>
        <w:t xml:space="preserve"> </w:t>
      </w:r>
      <w:r w:rsidRPr="00583507">
        <w:t>loss specifically to reduce the risk from a subsequent</w:t>
      </w:r>
      <w:r>
        <w:t xml:space="preserve"> </w:t>
      </w:r>
      <w:r w:rsidRPr="00583507">
        <w:t xml:space="preserve">intervention, including bariatric surgery. </w:t>
      </w:r>
      <w:r>
        <w:t xml:space="preserve">The </w:t>
      </w:r>
      <w:r w:rsidRPr="00583507">
        <w:t>American Society for Gastrointestinal Endoscopy (ASGE) and the American Society for Metabolic &amp; Bariatric Surgery (ASMBS) </w:t>
      </w:r>
      <w:r>
        <w:t xml:space="preserve"> Task Force on Endoscopic Bariatric Therapy states in a white paper on the topic that p</w:t>
      </w:r>
      <w:r w:rsidRPr="00583507">
        <w:t>atients with</w:t>
      </w:r>
      <w:r>
        <w:t xml:space="preserve"> </w:t>
      </w:r>
      <w:r w:rsidRPr="00583507">
        <w:t xml:space="preserve">Class III (BMI </w:t>
      </w:r>
      <w:r>
        <w:t>&gt;</w:t>
      </w:r>
      <w:r w:rsidRPr="00583507">
        <w:t>50) obesity and those with metabolic</w:t>
      </w:r>
      <w:r>
        <w:t xml:space="preserve"> </w:t>
      </w:r>
      <w:r w:rsidRPr="00583507">
        <w:t>co-morbidities present greater technical challenges and</w:t>
      </w:r>
      <w:r>
        <w:t xml:space="preserve"> </w:t>
      </w:r>
      <w:r w:rsidRPr="00583507">
        <w:t>surgical risk than less obese, healthier patients. Furthermore,</w:t>
      </w:r>
      <w:r>
        <w:t xml:space="preserve"> </w:t>
      </w:r>
      <w:r w:rsidRPr="00583507">
        <w:t xml:space="preserve">these effects are more pronounced in </w:t>
      </w:r>
      <w:r w:rsidR="00DC1456" w:rsidRPr="00583507">
        <w:t>patients</w:t>
      </w:r>
      <w:r w:rsidR="00DC1456">
        <w:t xml:space="preserve"> with</w:t>
      </w:r>
      <w:r w:rsidRPr="00583507">
        <w:t xml:space="preserve"> BMI </w:t>
      </w:r>
      <w:r w:rsidR="004636F7">
        <w:t>&gt;</w:t>
      </w:r>
      <w:r w:rsidRPr="00583507">
        <w:t>60 where there is a greater risk of morbidity or</w:t>
      </w:r>
      <w:r w:rsidR="004636F7">
        <w:t xml:space="preserve"> </w:t>
      </w:r>
      <w:r w:rsidRPr="00583507">
        <w:t>mortality than patients with BMI 45-60</w:t>
      </w:r>
      <w:r w:rsidR="004636F7">
        <w:t xml:space="preserve"> (ASGE/ASMBS, 2011).</w:t>
      </w:r>
    </w:p>
    <w:p w:rsidR="00B36079" w:rsidRDefault="00B36079" w:rsidP="00106EA0">
      <w:pPr>
        <w:spacing w:before="120" w:after="120"/>
      </w:pPr>
      <w:r>
        <w:t xml:space="preserve">Both groups of patients follow the same clinical algorithm for weight-loss as outlined in </w:t>
      </w:r>
      <w:r w:rsidR="004D5C85">
        <w:fldChar w:fldCharType="begin"/>
      </w:r>
      <w:r>
        <w:instrText xml:space="preserve"> REF _Ref347930765 \h </w:instrText>
      </w:r>
      <w:r w:rsidR="004D5C85">
        <w:fldChar w:fldCharType="separate"/>
      </w:r>
      <w:r w:rsidR="008850CD" w:rsidRPr="003438C8">
        <w:t xml:space="preserve">Table </w:t>
      </w:r>
      <w:r w:rsidR="008850CD">
        <w:rPr>
          <w:noProof/>
        </w:rPr>
        <w:t>2</w:t>
      </w:r>
      <w:r w:rsidR="004D5C85">
        <w:fldChar w:fldCharType="end"/>
      </w:r>
      <w:r>
        <w:t xml:space="preserve">, that is to say </w:t>
      </w:r>
      <w:r w:rsidRPr="001B2307">
        <w:t xml:space="preserve">patients should initially attempt behavioural, lifestyle and dietary modifications to lose weight. </w:t>
      </w:r>
      <w:r>
        <w:t xml:space="preserve">If these initial strategies are unsuccessful, bariatric surgery is not an option (by definition). </w:t>
      </w:r>
      <w:r w:rsidR="00106EA0">
        <w:t>In these patients, EndoBarrier will provide a treatment option where few alternatives currently exist, and will prevent many from experiencing substantial deterioration in health outcomes over time.</w:t>
      </w:r>
      <w:r>
        <w:t xml:space="preserve"> </w:t>
      </w:r>
    </w:p>
    <w:p w:rsidR="00106EA0" w:rsidRDefault="00106EA0" w:rsidP="00B36079">
      <w:pPr>
        <w:spacing w:before="120" w:after="120"/>
        <w:rPr>
          <w:u w:val="single"/>
        </w:rPr>
      </w:pPr>
      <w:r>
        <w:rPr>
          <w:u w:val="single"/>
        </w:rPr>
        <w:t xml:space="preserve">In the proposed clinical algorithm </w:t>
      </w:r>
      <w:r w:rsidRPr="00017170">
        <w:rPr>
          <w:u w:val="single"/>
        </w:rPr>
        <w:t>patients with clinically severe obesity</w:t>
      </w:r>
      <w:r>
        <w:rPr>
          <w:u w:val="single"/>
        </w:rPr>
        <w:t>,</w:t>
      </w:r>
      <w:r w:rsidRPr="00017170">
        <w:rPr>
          <w:u w:val="single"/>
        </w:rPr>
        <w:t xml:space="preserve"> </w:t>
      </w:r>
      <w:r w:rsidR="0086759D">
        <w:rPr>
          <w:u w:val="single"/>
        </w:rPr>
        <w:t xml:space="preserve">but for whom bariatric surgery is not considered suitable, </w:t>
      </w:r>
      <w:r w:rsidRPr="00017170">
        <w:rPr>
          <w:u w:val="single"/>
        </w:rPr>
        <w:t xml:space="preserve">EndoBarrier </w:t>
      </w:r>
      <w:r>
        <w:rPr>
          <w:u w:val="single"/>
        </w:rPr>
        <w:t xml:space="preserve">will be used </w:t>
      </w:r>
      <w:r w:rsidRPr="00017170">
        <w:rPr>
          <w:u w:val="single"/>
        </w:rPr>
        <w:t xml:space="preserve">in addition to </w:t>
      </w:r>
      <w:r w:rsidR="00DE3199">
        <w:rPr>
          <w:u w:val="single"/>
        </w:rPr>
        <w:t>SOC</w:t>
      </w:r>
      <w:r w:rsidR="0086759D">
        <w:rPr>
          <w:u w:val="single"/>
        </w:rPr>
        <w:t>.</w:t>
      </w:r>
      <w:r w:rsidRPr="00017170">
        <w:rPr>
          <w:u w:val="single"/>
        </w:rPr>
        <w:t xml:space="preserve"> </w:t>
      </w:r>
      <w:r w:rsidR="00B36079">
        <w:rPr>
          <w:u w:val="single"/>
        </w:rPr>
        <w:t xml:space="preserve">For “bridge” patients, </w:t>
      </w:r>
      <w:r w:rsidR="003B29AF">
        <w:rPr>
          <w:u w:val="single"/>
        </w:rPr>
        <w:t xml:space="preserve">subsequent </w:t>
      </w:r>
      <w:r w:rsidR="00B36079">
        <w:rPr>
          <w:u w:val="single"/>
        </w:rPr>
        <w:t>bariatric surgery may be considered as a downstream option after successful weight-loss using EndoBarrier.</w:t>
      </w:r>
    </w:p>
    <w:p w:rsidR="001025E1" w:rsidRPr="00FD3324" w:rsidRDefault="004D5C85" w:rsidP="00205EFD">
      <w:r>
        <w:fldChar w:fldCharType="begin"/>
      </w:r>
      <w:r w:rsidR="00DE3199">
        <w:instrText xml:space="preserve"> REF _Ref370475270 \h </w:instrText>
      </w:r>
      <w:r>
        <w:fldChar w:fldCharType="separate"/>
      </w:r>
      <w:r w:rsidR="008850CD">
        <w:t xml:space="preserve">Figure </w:t>
      </w:r>
      <w:r w:rsidR="008850CD">
        <w:rPr>
          <w:noProof/>
        </w:rPr>
        <w:t>2</w:t>
      </w:r>
      <w:r>
        <w:fldChar w:fldCharType="end"/>
      </w:r>
      <w:r w:rsidR="00DE3199">
        <w:t xml:space="preserve"> presents the proposed clinical management algorithm for EndoBarrier in the treatment of </w:t>
      </w:r>
      <w:r w:rsidR="001025E1">
        <w:t>patients with clinically severe obesity</w:t>
      </w:r>
      <w:r w:rsidR="00205EFD">
        <w:t>.</w:t>
      </w:r>
    </w:p>
    <w:p w:rsidR="00435950" w:rsidRPr="00435950" w:rsidRDefault="00244BE2" w:rsidP="00435950">
      <w:pPr>
        <w:pStyle w:val="Caption"/>
        <w:jc w:val="both"/>
      </w:pPr>
      <w:bookmarkStart w:id="20" w:name="_Ref370475270"/>
      <w:r>
        <w:lastRenderedPageBreak/>
        <w:t xml:space="preserve">Figure </w:t>
      </w:r>
      <w:r w:rsidR="004D5C85">
        <w:fldChar w:fldCharType="begin"/>
      </w:r>
      <w:r w:rsidR="00D06433">
        <w:instrText xml:space="preserve"> SEQ Figure \* ARABIC </w:instrText>
      </w:r>
      <w:r w:rsidR="004D5C85">
        <w:fldChar w:fldCharType="separate"/>
      </w:r>
      <w:r w:rsidR="008850CD">
        <w:rPr>
          <w:noProof/>
        </w:rPr>
        <w:t>2</w:t>
      </w:r>
      <w:r w:rsidR="004D5C85">
        <w:rPr>
          <w:noProof/>
        </w:rPr>
        <w:fldChar w:fldCharType="end"/>
      </w:r>
      <w:bookmarkEnd w:id="20"/>
      <w:r>
        <w:tab/>
        <w:t xml:space="preserve">Clinical management algorithm for </w:t>
      </w:r>
      <w:r w:rsidR="006F05AE">
        <w:t xml:space="preserve">clinically severe </w:t>
      </w:r>
      <w:r>
        <w:t>obesity</w:t>
      </w:r>
      <w:r w:rsidR="00A562D7">
        <w:t xml:space="preserve"> </w:t>
      </w:r>
    </w:p>
    <w:p w:rsidR="00244BE2" w:rsidRDefault="000771F3" w:rsidP="00021E90">
      <w:pPr>
        <w:spacing w:before="120" w:after="120"/>
      </w:pPr>
      <w:r>
        <w:rPr>
          <w:noProof/>
          <w:lang w:eastAsia="en-AU"/>
        </w:rPr>
        <w:drawing>
          <wp:inline distT="0" distB="0" distL="0" distR="0" wp14:anchorId="10D8EE55" wp14:editId="6D3BF351">
            <wp:extent cx="5534025" cy="4802505"/>
            <wp:effectExtent l="0" t="0" r="0" b="0"/>
            <wp:docPr id="115" name="Picture 115" title="Figure 2 Clinical management algorithm for clinically severe obe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4025" cy="4802505"/>
                    </a:xfrm>
                    <a:prstGeom prst="rect">
                      <a:avLst/>
                    </a:prstGeom>
                    <a:noFill/>
                    <a:ln>
                      <a:noFill/>
                    </a:ln>
                  </pic:spPr>
                </pic:pic>
              </a:graphicData>
            </a:graphic>
          </wp:inline>
        </w:drawing>
      </w:r>
      <w:r w:rsidR="00BF6E6F" w:rsidRPr="00BF6E6F">
        <w:t xml:space="preserve"> </w:t>
      </w:r>
    </w:p>
    <w:p w:rsidR="00CB317D" w:rsidRPr="00DF6502" w:rsidRDefault="00CB317D" w:rsidP="00CB317D">
      <w:pPr>
        <w:pStyle w:val="Source"/>
        <w:spacing w:after="0"/>
        <w:ind w:left="0" w:firstLine="0"/>
      </w:pPr>
      <w:r>
        <w:t>Abbreviations: SOC, standard of care</w:t>
      </w:r>
    </w:p>
    <w:p w:rsidR="00B32F24" w:rsidRDefault="000D5CF9" w:rsidP="005C7284">
      <w:pPr>
        <w:pStyle w:val="Heading1"/>
      </w:pPr>
      <w:bookmarkStart w:id="21" w:name="_Toc389834063"/>
      <w:r w:rsidRPr="00A34E9C">
        <w:t>Comparator</w:t>
      </w:r>
      <w:bookmarkEnd w:id="21"/>
    </w:p>
    <w:p w:rsidR="005868F8" w:rsidRPr="005868F8" w:rsidRDefault="005868F8" w:rsidP="005868F8">
      <w:r w:rsidRPr="005868F8">
        <w:t xml:space="preserve">As discussed above, </w:t>
      </w:r>
      <w:r>
        <w:t xml:space="preserve">it is expected that in patients with clinically severe obesity, EndoBarrier will be an </w:t>
      </w:r>
      <w:r w:rsidR="000D2D38">
        <w:t xml:space="preserve"> add-on </w:t>
      </w:r>
      <w:r w:rsidRPr="005868F8">
        <w:t xml:space="preserve">to </w:t>
      </w:r>
      <w:r>
        <w:t xml:space="preserve">SOC (including </w:t>
      </w:r>
      <w:r w:rsidRPr="005868F8">
        <w:t>behavioural, lifestyle and dietary modifications</w:t>
      </w:r>
      <w:r>
        <w:t>) or</w:t>
      </w:r>
      <w:r w:rsidRPr="005868F8">
        <w:t xml:space="preserve"> bariatric surgery</w:t>
      </w:r>
      <w:r>
        <w:t>.</w:t>
      </w:r>
      <w:r w:rsidRPr="005868F8">
        <w:t xml:space="preserve"> </w:t>
      </w:r>
    </w:p>
    <w:p w:rsidR="005868F8" w:rsidRDefault="005868F8" w:rsidP="00CB317D">
      <w:r>
        <w:t xml:space="preserve">SOC consists of </w:t>
      </w:r>
      <w:r w:rsidRPr="001B2307">
        <w:t>behavioural, life</w:t>
      </w:r>
      <w:r>
        <w:t>style and dietary modifications, as well as pharmacological therapy with anti-diabetic medications in the subgroup of patients with comorbid type 2 diabetes mellitus.</w:t>
      </w:r>
    </w:p>
    <w:p w:rsidR="00CB317D" w:rsidRDefault="00CB317D" w:rsidP="00CB317D">
      <w:r>
        <w:t xml:space="preserve">Bariatric surgery includes a variety of procedures that aim to reduce the size of the stomach with a gastric band (gastric reduction), removal of a portion of the stomach (gastroplasty) or by resecting and re-routing the small intestines to a small stomach pouch (gastric bypass surgery). </w:t>
      </w:r>
      <w:r w:rsidRPr="001B2307">
        <w:t>The choice of procedure will depend on a patient’s weight-loss goals,</w:t>
      </w:r>
      <w:r>
        <w:t xml:space="preserve"> resources, and current health. Of the different types of bariatric surgery, it is expected that gastric banding is </w:t>
      </w:r>
      <w:r w:rsidR="00A476BD">
        <w:t xml:space="preserve">the </w:t>
      </w:r>
      <w:r>
        <w:t>most likely to be replaced by EndoBarrier if it were approved for reimbursement in patients with clinically severe obesity. Like g</w:t>
      </w:r>
      <w:r w:rsidRPr="001B2307">
        <w:t>astric banding</w:t>
      </w:r>
      <w:r>
        <w:t>, EndoBarrier has the advantages of no alter</w:t>
      </w:r>
      <w:r w:rsidRPr="001B2307">
        <w:t xml:space="preserve">ation to gastrointestinal tract or anastomosisreversibility, and lower operative mortality and morbidity compared with other bariatric </w:t>
      </w:r>
      <w:r w:rsidRPr="001B2307">
        <w:lastRenderedPageBreak/>
        <w:t>procedures.</w:t>
      </w:r>
      <w:r>
        <w:t xml:space="preserve"> Although sleeve gastrectomy appears to be widely used, it is relatively radical procedure that </w:t>
      </w:r>
      <w:r w:rsidRPr="009D1288">
        <w:t>involves dividing the stomach vertically to reduce its size to about 25%.</w:t>
      </w:r>
      <w:r>
        <w:t xml:space="preserve"> The operation is</w:t>
      </w:r>
      <w:r w:rsidRPr="009D1288">
        <w:t xml:space="preserve"> non-reversible and </w:t>
      </w:r>
      <w:r>
        <w:t xml:space="preserve">is </w:t>
      </w:r>
      <w:r w:rsidRPr="009D1288">
        <w:t>usua</w:t>
      </w:r>
      <w:r>
        <w:t>lly performed laparoscopically. The mechanism of action of EndoBarrier most closely mimics surgical duodenal jejunal gastric bypass (</w:t>
      </w:r>
      <w:r w:rsidRPr="00AD466D">
        <w:t>Roux-en-Y gastric bypass)</w:t>
      </w:r>
      <w:r>
        <w:t xml:space="preserve">; however the number of these procedures performed is relatively low </w:t>
      </w:r>
      <w:r w:rsidR="00383D10" w:rsidRPr="00383D10">
        <w:t>due to an increasing reluctance for procedures that involve extreme and permanent modification of the anatomy.</w:t>
      </w:r>
      <w:r>
        <w:t xml:space="preserve"> The MBS item descriptor for gastric banding is presented in </w:t>
      </w:r>
      <w:r w:rsidR="004D5C85">
        <w:fldChar w:fldCharType="begin"/>
      </w:r>
      <w:r w:rsidR="009C2115">
        <w:instrText xml:space="preserve"> REF _Ref371693389 \h </w:instrText>
      </w:r>
      <w:r w:rsidR="004D5C85">
        <w:fldChar w:fldCharType="separate"/>
      </w:r>
      <w:r w:rsidR="008850CD" w:rsidRPr="00A34E9C">
        <w:t xml:space="preserve">Table </w:t>
      </w:r>
      <w:r w:rsidR="008850CD">
        <w:rPr>
          <w:noProof/>
        </w:rPr>
        <w:t>4</w:t>
      </w:r>
      <w:r w:rsidR="004D5C85">
        <w:fldChar w:fldCharType="end"/>
      </w:r>
      <w:r>
        <w:t xml:space="preserve"> below.</w:t>
      </w:r>
      <w:r w:rsidR="00CE0DB0">
        <w:t xml:space="preserve"> </w:t>
      </w:r>
      <w:r w:rsidR="00CE0DB0" w:rsidRPr="00F417A6">
        <w:t xml:space="preserve">It should be noted that </w:t>
      </w:r>
      <w:r w:rsidR="00CE0DB0">
        <w:t xml:space="preserve">patients who undergo gastric banding often require gastric band adjustments (MBS item </w:t>
      </w:r>
      <w:r w:rsidR="00925EB9">
        <w:t>31587</w:t>
      </w:r>
      <w:r w:rsidR="00CE0DB0">
        <w:t xml:space="preserve">), and some patients choose to eventually have the procedure reversed (MBS item </w:t>
      </w:r>
      <w:r w:rsidR="00925EB9">
        <w:t>31584</w:t>
      </w:r>
      <w:r w:rsidR="00CE0DB0">
        <w:t>).</w:t>
      </w:r>
    </w:p>
    <w:p w:rsidR="00CB317D" w:rsidRPr="00A34E9C" w:rsidRDefault="00CB317D" w:rsidP="00CB317D">
      <w:pPr>
        <w:pStyle w:val="Caption"/>
        <w:keepLines/>
      </w:pPr>
      <w:bookmarkStart w:id="22" w:name="_Ref371693389"/>
      <w:r w:rsidRPr="00A34E9C">
        <w:t xml:space="preserve">Table </w:t>
      </w:r>
      <w:r w:rsidR="004D5C85">
        <w:fldChar w:fldCharType="begin"/>
      </w:r>
      <w:r w:rsidR="00D06433">
        <w:instrText xml:space="preserve"> SEQ Table \* ARABIC </w:instrText>
      </w:r>
      <w:r w:rsidR="004D5C85">
        <w:fldChar w:fldCharType="separate"/>
      </w:r>
      <w:r w:rsidR="008850CD">
        <w:rPr>
          <w:noProof/>
        </w:rPr>
        <w:t>4</w:t>
      </w:r>
      <w:r w:rsidR="004D5C85">
        <w:rPr>
          <w:noProof/>
        </w:rPr>
        <w:fldChar w:fldCharType="end"/>
      </w:r>
      <w:bookmarkEnd w:id="22"/>
      <w:r w:rsidRPr="00A34E9C">
        <w:t>:</w:t>
      </w:r>
      <w:r w:rsidRPr="00A34E9C">
        <w:tab/>
        <w:t xml:space="preserve">MBS item descriptor for </w:t>
      </w:r>
      <w:r>
        <w:t>gastric banding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CB317D" w:rsidRPr="00A34E9C" w:rsidTr="00CB317D">
        <w:tc>
          <w:tcPr>
            <w:tcW w:w="9134" w:type="dxa"/>
            <w:shd w:val="clear" w:color="auto" w:fill="D9D9D9"/>
          </w:tcPr>
          <w:p w:rsidR="00CB317D" w:rsidRPr="00A012FA" w:rsidRDefault="00CB317D" w:rsidP="00CB317D">
            <w:pPr>
              <w:keepNext/>
              <w:keepLines/>
              <w:tabs>
                <w:tab w:val="left" w:pos="5562"/>
              </w:tabs>
              <w:spacing w:after="120" w:line="240" w:lineRule="auto"/>
              <w:rPr>
                <w:rFonts w:ascii="Arial Narrow" w:hAnsi="Arial Narrow"/>
                <w:lang w:eastAsia="ja-JP"/>
              </w:rPr>
            </w:pPr>
            <w:r>
              <w:rPr>
                <w:rFonts w:ascii="Arial Narrow" w:hAnsi="Arial Narrow"/>
                <w:lang w:eastAsia="ja-JP"/>
              </w:rPr>
              <w:tab/>
            </w:r>
            <w:r w:rsidRPr="00A012FA">
              <w:rPr>
                <w:rFonts w:ascii="Arial Narrow" w:hAnsi="Arial Narrow"/>
                <w:lang w:eastAsia="ja-JP"/>
              </w:rPr>
              <w:t xml:space="preserve">Category </w:t>
            </w:r>
            <w:r>
              <w:rPr>
                <w:rFonts w:ascii="Arial Narrow" w:hAnsi="Arial Narrow"/>
                <w:lang w:eastAsia="ja-JP"/>
              </w:rPr>
              <w:t>3</w:t>
            </w:r>
            <w:r w:rsidRPr="00A012FA">
              <w:rPr>
                <w:rFonts w:ascii="Arial Narrow" w:hAnsi="Arial Narrow"/>
                <w:lang w:eastAsia="ja-JP"/>
              </w:rPr>
              <w:t xml:space="preserve"> – </w:t>
            </w:r>
            <w:r>
              <w:rPr>
                <w:rFonts w:ascii="Arial Narrow" w:hAnsi="Arial Narrow"/>
                <w:lang w:eastAsia="ja-JP"/>
              </w:rPr>
              <w:t>THERAPEUTIC PROCEDURES</w:t>
            </w:r>
          </w:p>
        </w:tc>
      </w:tr>
      <w:tr w:rsidR="00CB317D" w:rsidRPr="00A34E9C" w:rsidTr="00CB317D">
        <w:tc>
          <w:tcPr>
            <w:tcW w:w="9134" w:type="dxa"/>
          </w:tcPr>
          <w:p w:rsidR="00CB317D" w:rsidRPr="00D00D05" w:rsidRDefault="00CB317D" w:rsidP="00CB317D">
            <w:pPr>
              <w:keepNext/>
              <w:keepLines/>
              <w:spacing w:after="120" w:line="240" w:lineRule="auto"/>
              <w:rPr>
                <w:rFonts w:ascii="Arial Narrow" w:hAnsi="Arial Narrow"/>
                <w:b/>
                <w:u w:val="single"/>
                <w:lang w:eastAsia="ja-JP"/>
              </w:rPr>
            </w:pPr>
            <w:r>
              <w:rPr>
                <w:rFonts w:ascii="Arial Narrow" w:hAnsi="Arial Narrow"/>
                <w:b/>
                <w:u w:val="single"/>
                <w:lang w:eastAsia="ja-JP"/>
              </w:rPr>
              <w:t>MBS 31569</w:t>
            </w:r>
          </w:p>
          <w:p w:rsidR="00CB317D" w:rsidRPr="00C83B35" w:rsidRDefault="00CB317D" w:rsidP="00CB317D">
            <w:pPr>
              <w:keepNext/>
              <w:keepLines/>
              <w:spacing w:after="120" w:line="240" w:lineRule="auto"/>
              <w:jc w:val="left"/>
              <w:rPr>
                <w:rFonts w:ascii="Arial Narrow" w:hAnsi="Arial Narrow"/>
                <w:lang w:val="en-US" w:eastAsia="ja-JP"/>
              </w:rPr>
            </w:pPr>
            <w:r w:rsidRPr="00C83B35">
              <w:rPr>
                <w:rFonts w:ascii="Arial Narrow" w:hAnsi="Arial Narrow"/>
                <w:lang w:val="en-US" w:eastAsia="ja-JP"/>
              </w:rPr>
              <w:t>Adjustable gastric band, placement of, with or without crural repair taking 45 minutes or less, for a patient with clinically severe obesity</w:t>
            </w:r>
          </w:p>
          <w:p w:rsidR="00CB317D" w:rsidRDefault="008850CD" w:rsidP="00CB317D">
            <w:pPr>
              <w:keepNext/>
              <w:keepLines/>
              <w:spacing w:after="120" w:line="240" w:lineRule="auto"/>
              <w:jc w:val="left"/>
              <w:rPr>
                <w:rFonts w:ascii="Arial Narrow" w:hAnsi="Arial Narrow"/>
                <w:lang w:val="en-US" w:eastAsia="ja-JP"/>
              </w:rPr>
            </w:pPr>
            <w:hyperlink r:id="rId13" w:history="1">
              <w:r w:rsidR="00CB317D" w:rsidRPr="00C83B35">
                <w:rPr>
                  <w:rFonts w:ascii="Arial Narrow" w:hAnsi="Arial Narrow"/>
                  <w:lang w:val="en-US" w:eastAsia="ja-JP"/>
                </w:rPr>
                <w:t>Multiple Services Rule</w:t>
              </w:r>
            </w:hyperlink>
          </w:p>
          <w:p w:rsidR="00CB317D" w:rsidRDefault="00CB317D" w:rsidP="00CB317D">
            <w:pPr>
              <w:keepNext/>
              <w:keepLines/>
              <w:spacing w:after="120" w:line="240" w:lineRule="auto"/>
              <w:jc w:val="left"/>
              <w:rPr>
                <w:rFonts w:ascii="Arial Narrow" w:hAnsi="Arial Narrow"/>
                <w:lang w:val="en-US" w:eastAsia="ja-JP"/>
              </w:rPr>
            </w:pPr>
            <w:r w:rsidRPr="00C83B35">
              <w:rPr>
                <w:rFonts w:ascii="Arial Narrow" w:hAnsi="Arial Narrow"/>
                <w:lang w:val="en-US" w:eastAsia="ja-JP"/>
              </w:rPr>
              <w:t>(Anaes.) (Assist.)</w:t>
            </w:r>
          </w:p>
          <w:p w:rsidR="00CB317D" w:rsidRPr="00D042C3" w:rsidRDefault="00CB317D" w:rsidP="00CB317D">
            <w:pPr>
              <w:keepNext/>
              <w:keepLines/>
              <w:spacing w:after="120" w:line="240" w:lineRule="auto"/>
              <w:jc w:val="left"/>
              <w:rPr>
                <w:rFonts w:ascii="Arial Narrow" w:hAnsi="Arial Narrow"/>
                <w:lang w:val="en-US" w:eastAsia="ja-JP"/>
              </w:rPr>
            </w:pPr>
            <w:r w:rsidRPr="00C83B35">
              <w:rPr>
                <w:rFonts w:ascii="Arial Narrow" w:hAnsi="Arial Narrow"/>
                <w:lang w:val="en-US" w:eastAsia="ja-JP"/>
              </w:rPr>
              <w:t>Fee: $849.55 Benefit: 75% = $637.20</w:t>
            </w:r>
          </w:p>
        </w:tc>
      </w:tr>
    </w:tbl>
    <w:p w:rsidR="005868F8" w:rsidRDefault="005868F8" w:rsidP="002A1CE9"/>
    <w:p w:rsidR="000D5F72" w:rsidRPr="000D5F72" w:rsidRDefault="005868F8" w:rsidP="002A1CE9">
      <w:r w:rsidRPr="005B40F9">
        <w:rPr>
          <w:u w:val="single"/>
        </w:rPr>
        <w:t>T</w:t>
      </w:r>
      <w:r w:rsidR="002A1CE9" w:rsidRPr="005B40F9">
        <w:rPr>
          <w:u w:val="single"/>
        </w:rPr>
        <w:t xml:space="preserve">his submission proposes that the main comparator </w:t>
      </w:r>
      <w:r w:rsidRPr="005B40F9">
        <w:rPr>
          <w:u w:val="single"/>
        </w:rPr>
        <w:t xml:space="preserve">for EndoBarrier </w:t>
      </w:r>
      <w:r w:rsidR="005B40F9" w:rsidRPr="005B40F9">
        <w:rPr>
          <w:u w:val="single"/>
        </w:rPr>
        <w:t xml:space="preserve">in patients with clinically severe obesity </w:t>
      </w:r>
      <w:r w:rsidR="002A1CE9" w:rsidRPr="005B40F9">
        <w:rPr>
          <w:u w:val="single"/>
        </w:rPr>
        <w:t>will be a weighted comparator comprising SOC and bariatric surgery</w:t>
      </w:r>
      <w:r w:rsidR="002A1CE9" w:rsidRPr="005868F8">
        <w:t xml:space="preserve">. </w:t>
      </w:r>
      <w:r w:rsidR="00EC4631" w:rsidRPr="00EC4631">
        <w:t xml:space="preserve">The final weighting given to each intervention included in the comparator (SOC and bariatric surgery) will be determined on the basis of the relative use of these two approaches in the Australian population. </w:t>
      </w:r>
      <w:r w:rsidR="006F05AE">
        <w:t xml:space="preserve">As discussed previously, the uptake of bariatric surgery is small relative to the size of the eligible </w:t>
      </w:r>
      <w:r w:rsidR="006F05AE" w:rsidRPr="00C20B42">
        <w:t xml:space="preserve">population. </w:t>
      </w:r>
    </w:p>
    <w:p w:rsidR="002A1CE9" w:rsidRPr="005B40F9" w:rsidRDefault="002A1CE9" w:rsidP="00DE3199">
      <w:pPr>
        <w:rPr>
          <w:u w:val="single"/>
        </w:rPr>
      </w:pPr>
      <w:r w:rsidRPr="000D5F72">
        <w:t>In clinically obese patients who are unsuitable for bariatric surgery, EndoBarrier is an alternative to SOC</w:t>
      </w:r>
      <w:r w:rsidR="005868F8" w:rsidRPr="000D5F72">
        <w:t xml:space="preserve"> (</w:t>
      </w:r>
      <w:r w:rsidRPr="000D5F72">
        <w:t>consist</w:t>
      </w:r>
      <w:r w:rsidR="005868F8" w:rsidRPr="000D5F72">
        <w:t>ing</w:t>
      </w:r>
      <w:r w:rsidRPr="000D5F72">
        <w:t xml:space="preserve"> of behavioural and lifestyle</w:t>
      </w:r>
      <w:r w:rsidR="00CB317D" w:rsidRPr="000D5F72">
        <w:t xml:space="preserve"> interventions for weight-loss</w:t>
      </w:r>
      <w:r w:rsidR="005868F8" w:rsidRPr="000D5F72">
        <w:t>)</w:t>
      </w:r>
      <w:r w:rsidR="00CB317D" w:rsidRPr="000D5F72">
        <w:t>.</w:t>
      </w:r>
      <w:r w:rsidR="00EC4631" w:rsidRPr="000D5F72">
        <w:t xml:space="preserve"> </w:t>
      </w:r>
      <w:r w:rsidR="00EC4631" w:rsidRPr="005B40F9">
        <w:rPr>
          <w:u w:val="single"/>
        </w:rPr>
        <w:t xml:space="preserve">This submission proposes that in </w:t>
      </w:r>
      <w:r w:rsidR="000D5F72" w:rsidRPr="005B40F9">
        <w:rPr>
          <w:u w:val="single"/>
        </w:rPr>
        <w:t xml:space="preserve">the subgroup of </w:t>
      </w:r>
      <w:r w:rsidR="00EC4631" w:rsidRPr="005B40F9">
        <w:rPr>
          <w:u w:val="single"/>
        </w:rPr>
        <w:t>patients with clinically severe obesity who are not suitable for bariatric surgery, the main comparator will be SOC</w:t>
      </w:r>
      <w:r w:rsidR="000D5F72" w:rsidRPr="005B40F9">
        <w:rPr>
          <w:u w:val="single"/>
        </w:rPr>
        <w:t xml:space="preserve"> alone</w:t>
      </w:r>
      <w:r w:rsidR="00EC4631" w:rsidRPr="005B40F9">
        <w:rPr>
          <w:u w:val="single"/>
        </w:rPr>
        <w:t>.</w:t>
      </w:r>
    </w:p>
    <w:p w:rsidR="000D5CF9" w:rsidRPr="00A34E9C" w:rsidRDefault="000D5CF9" w:rsidP="000901A8">
      <w:pPr>
        <w:pStyle w:val="Heading1"/>
      </w:pPr>
      <w:bookmarkStart w:id="23" w:name="_Toc389834064"/>
      <w:r w:rsidRPr="00A34E9C">
        <w:t>Clinical claim</w:t>
      </w:r>
      <w:bookmarkEnd w:id="23"/>
    </w:p>
    <w:p w:rsidR="005B2DC9" w:rsidRDefault="006F05AE" w:rsidP="005B40F9">
      <w:r>
        <w:t xml:space="preserve">As described above, the MSAC submission for EndoBarrier will seek reimbursement for the procedure </w:t>
      </w:r>
      <w:r w:rsidRPr="00D01D30">
        <w:t xml:space="preserve">in </w:t>
      </w:r>
      <w:r w:rsidR="00BA712D">
        <w:t xml:space="preserve">patients with clinically severe obesity. </w:t>
      </w:r>
      <w:r w:rsidR="005B40F9">
        <w:t xml:space="preserve">The main comparator will be </w:t>
      </w:r>
      <w:r w:rsidR="003A5CC1" w:rsidRPr="003A5CC1">
        <w:t xml:space="preserve">a weighted comparator comprising SOC and bariatric surgery. </w:t>
      </w:r>
      <w:r w:rsidR="005B40F9">
        <w:t xml:space="preserve">In patients who are not suitable for bariatric surgery, the main comparator will be SOC alone. </w:t>
      </w:r>
      <w:r w:rsidR="00E11217">
        <w:t>Thus the submission will be based on different clinical claims for each population</w:t>
      </w:r>
      <w:r w:rsidR="00537D54">
        <w:t xml:space="preserve"> and comparator</w:t>
      </w:r>
      <w:r w:rsidR="00E11217">
        <w:t xml:space="preserve">. </w:t>
      </w:r>
    </w:p>
    <w:p w:rsidR="00511197" w:rsidRDefault="00E11217" w:rsidP="00537D54">
      <w:r>
        <w:t xml:space="preserve">In patients </w:t>
      </w:r>
      <w:r w:rsidR="00537D54">
        <w:t>for whom bariatric surgery is the main comparator:</w:t>
      </w:r>
    </w:p>
    <w:p w:rsidR="00511197" w:rsidRDefault="00CB317D" w:rsidP="00511197">
      <w:pPr>
        <w:numPr>
          <w:ilvl w:val="1"/>
          <w:numId w:val="18"/>
        </w:numPr>
      </w:pPr>
      <w:r>
        <w:t xml:space="preserve">EndoBarrier is non-inferior to </w:t>
      </w:r>
      <w:r w:rsidR="006E4589">
        <w:t xml:space="preserve">bariatric surgery </w:t>
      </w:r>
      <w:r>
        <w:t>in terms of clinical efficacy</w:t>
      </w:r>
    </w:p>
    <w:p w:rsidR="006E4589" w:rsidRDefault="006E4589" w:rsidP="00511197">
      <w:pPr>
        <w:numPr>
          <w:ilvl w:val="1"/>
          <w:numId w:val="18"/>
        </w:numPr>
      </w:pPr>
      <w:r>
        <w:t>EndoBarrier is superior to bariatric surgery in terms of clinical safety</w:t>
      </w:r>
    </w:p>
    <w:p w:rsidR="00511197" w:rsidRDefault="00E11217" w:rsidP="00537D54">
      <w:r>
        <w:lastRenderedPageBreak/>
        <w:t xml:space="preserve">In patients </w:t>
      </w:r>
      <w:r w:rsidR="00537D54">
        <w:t>for whom SOC is the main comparator</w:t>
      </w:r>
    </w:p>
    <w:p w:rsidR="00E11217" w:rsidRDefault="00E11217" w:rsidP="00511197">
      <w:pPr>
        <w:numPr>
          <w:ilvl w:val="1"/>
          <w:numId w:val="18"/>
        </w:numPr>
      </w:pPr>
      <w:r>
        <w:t xml:space="preserve">EndoBarrier </w:t>
      </w:r>
      <w:r w:rsidR="00E06354">
        <w:t xml:space="preserve">plus SOC </w:t>
      </w:r>
      <w:r>
        <w:t xml:space="preserve">is superior to </w:t>
      </w:r>
      <w:r w:rsidR="00E06354">
        <w:t>SOC</w:t>
      </w:r>
      <w:r w:rsidR="009733B1">
        <w:t xml:space="preserve"> </w:t>
      </w:r>
      <w:r w:rsidR="00B90731">
        <w:t xml:space="preserve">alone </w:t>
      </w:r>
      <w:r w:rsidR="009733B1">
        <w:t>in terms of clinical efficacy</w:t>
      </w:r>
    </w:p>
    <w:p w:rsidR="003A5CC1" w:rsidRDefault="003A5CC1" w:rsidP="003A5CC1">
      <w:r>
        <w:t>Note that in the absence of</w:t>
      </w:r>
      <w:r w:rsidRPr="003A5CC1">
        <w:t xml:space="preserve"> a full analysis of clinical data (to be completed in the final submission) </w:t>
      </w:r>
      <w:r>
        <w:t>the Sponsor</w:t>
      </w:r>
      <w:r w:rsidRPr="003A5CC1">
        <w:t xml:space="preserve"> is pre-empting the results that would form the basis of the economic evaluation. If the clinical data did not support any of these conclusions, the claims in the final application would be adjusted to reflect this.</w:t>
      </w:r>
      <w:r>
        <w:t xml:space="preserve"> </w:t>
      </w:r>
    </w:p>
    <w:p w:rsidR="003B03F7" w:rsidRDefault="003B03F7" w:rsidP="005B2DC9">
      <w:r>
        <w:t xml:space="preserve">As shown in </w:t>
      </w:r>
      <w:r w:rsidR="00051B7A">
        <w:fldChar w:fldCharType="begin"/>
      </w:r>
      <w:r w:rsidR="00051B7A">
        <w:instrText xml:space="preserve"> REF _Ref283288109 \h  \* MERGEFORMAT </w:instrText>
      </w:r>
      <w:r w:rsidR="00051B7A">
        <w:fldChar w:fldCharType="separate"/>
      </w:r>
      <w:r w:rsidR="008850CD">
        <w:t>Table 5</w:t>
      </w:r>
      <w:r w:rsidR="00051B7A">
        <w:fldChar w:fldCharType="end"/>
      </w:r>
      <w:r>
        <w:t>, for all populations and comparisons, the most appropriate form of economic evaluation is a cost-utility analysis; however as discussed previously the comparators for the various subpopulations will differ. F</w:t>
      </w:r>
      <w:r w:rsidR="00E06354">
        <w:t xml:space="preserve">or </w:t>
      </w:r>
      <w:r>
        <w:t xml:space="preserve">patients with </w:t>
      </w:r>
      <w:r w:rsidR="006E4589">
        <w:t>uncontrolled</w:t>
      </w:r>
      <w:r w:rsidR="001B5AEE">
        <w:t xml:space="preserve"> </w:t>
      </w:r>
      <w:r w:rsidR="009553DA">
        <w:t>T2DM</w:t>
      </w:r>
      <w:r w:rsidR="006E4589">
        <w:t xml:space="preserve"> and clinically severe obesity</w:t>
      </w:r>
      <w:r w:rsidR="0063601E">
        <w:t xml:space="preserve">, the </w:t>
      </w:r>
      <w:r>
        <w:t>analysis</w:t>
      </w:r>
      <w:r w:rsidR="006E4589">
        <w:t xml:space="preserve"> includes a weighted comparator of bariatric surgery and SOC. </w:t>
      </w:r>
      <w:r w:rsidR="0047240F">
        <w:t xml:space="preserve">The weighting applied to each comparator will be determined in the final submission on the basis of the relative use of bariatric surgery and SOC in the proposed population. </w:t>
      </w:r>
      <w:r>
        <w:t>A similar approach will be applied to patients with clinically severe obesity who are suitable for bariatric surgery</w:t>
      </w:r>
      <w:r w:rsidR="00DB5D7E">
        <w:t>.</w:t>
      </w:r>
      <w:r w:rsidR="00537D54">
        <w:t xml:space="preserve"> Depending on the safety data for EndoBarrier and bariatric surgery, there is a possibility that the submission could claim a net clinical benefit for EndoBarrier due to non-inferior clinical efficacy but superior safety. </w:t>
      </w:r>
    </w:p>
    <w:p w:rsidR="003B03F7" w:rsidRDefault="006E4589" w:rsidP="005B2DC9">
      <w:r>
        <w:t xml:space="preserve">In patients with clinically severe obesity who are not considered suitable for bariatric surgery, the main comparator will be SOC alone. The comparison with SOC will be a cost-utility analysis based on superior clinical efficacy. </w:t>
      </w:r>
      <w:r w:rsidR="003B03F7">
        <w:t xml:space="preserve">For patients who are using EndoBarrier as a bridge to bariatric surgery, patients will proceed to surgery if the intervention is successful. These downstream consequences will be considered in the economic model. </w:t>
      </w:r>
    </w:p>
    <w:p w:rsidR="000D5CF9" w:rsidRDefault="000D5CF9" w:rsidP="00A96F9C">
      <w:pPr>
        <w:pStyle w:val="Caption"/>
      </w:pPr>
      <w:bookmarkStart w:id="24" w:name="_Ref283288109"/>
      <w:r>
        <w:t xml:space="preserve">Table </w:t>
      </w:r>
      <w:r w:rsidR="004D5C85">
        <w:fldChar w:fldCharType="begin"/>
      </w:r>
      <w:r w:rsidR="00D06433">
        <w:instrText xml:space="preserve"> SEQ Table \* ARABIC </w:instrText>
      </w:r>
      <w:r w:rsidR="004D5C85">
        <w:fldChar w:fldCharType="separate"/>
      </w:r>
      <w:r w:rsidR="008850CD">
        <w:rPr>
          <w:noProof/>
        </w:rPr>
        <w:t>5</w:t>
      </w:r>
      <w:r w:rsidR="004D5C85">
        <w:rPr>
          <w:noProof/>
        </w:rPr>
        <w:fldChar w:fldCharType="end"/>
      </w:r>
      <w:bookmarkEnd w:id="24"/>
      <w:r>
        <w:t>:</w:t>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0D5CF9" w:rsidRPr="00882200" w:rsidTr="00AA5FBF">
        <w:tc>
          <w:tcPr>
            <w:tcW w:w="1756" w:type="dxa"/>
            <w:gridSpan w:val="2"/>
            <w:vMerge w:val="restart"/>
          </w:tcPr>
          <w:p w:rsidR="000D5CF9" w:rsidRPr="00AA5FBF" w:rsidRDefault="000D5CF9" w:rsidP="00AA5FBF">
            <w:pPr>
              <w:keepNext/>
              <w:tabs>
                <w:tab w:val="left" w:pos="2835"/>
              </w:tabs>
              <w:spacing w:after="0" w:line="240" w:lineRule="auto"/>
              <w:rPr>
                <w:rFonts w:ascii="Arial Narrow" w:hAnsi="Arial Narrow"/>
                <w:lang w:val="en-GB" w:eastAsia="ja-JP"/>
              </w:rPr>
            </w:pPr>
          </w:p>
        </w:tc>
        <w:tc>
          <w:tcPr>
            <w:tcW w:w="7384" w:type="dxa"/>
            <w:gridSpan w:val="5"/>
          </w:tcPr>
          <w:p w:rsidR="000D5CF9" w:rsidRPr="00AA5FBF" w:rsidRDefault="000D5CF9" w:rsidP="00AA5FBF">
            <w:pPr>
              <w:keepNext/>
              <w:tabs>
                <w:tab w:val="left" w:pos="2835"/>
              </w:tabs>
              <w:spacing w:after="0" w:line="240" w:lineRule="auto"/>
              <w:jc w:val="center"/>
              <w:rPr>
                <w:rFonts w:ascii="Arial Narrow" w:hAnsi="Arial Narrow"/>
                <w:b/>
                <w:lang w:val="en-GB" w:eastAsia="ja-JP"/>
              </w:rPr>
            </w:pPr>
            <w:r w:rsidRPr="00AA5FBF">
              <w:rPr>
                <w:rFonts w:ascii="Arial Narrow" w:hAnsi="Arial Narrow"/>
                <w:b/>
                <w:lang w:val="en-GB" w:eastAsia="ja-JP"/>
              </w:rPr>
              <w:t>Comparative effectiveness versus comparator</w:t>
            </w:r>
          </w:p>
        </w:tc>
      </w:tr>
      <w:tr w:rsidR="000D5CF9" w:rsidRPr="00882200" w:rsidTr="00B90731">
        <w:tc>
          <w:tcPr>
            <w:tcW w:w="1756" w:type="dxa"/>
            <w:gridSpan w:val="2"/>
            <w:vMerge/>
          </w:tcPr>
          <w:p w:rsidR="000D5CF9" w:rsidRPr="00AA5FBF" w:rsidRDefault="000D5CF9" w:rsidP="00AA5FBF">
            <w:pPr>
              <w:keepNext/>
              <w:tabs>
                <w:tab w:val="left" w:pos="2835"/>
              </w:tabs>
              <w:spacing w:after="0" w:line="240" w:lineRule="auto"/>
              <w:rPr>
                <w:rFonts w:ascii="Arial Narrow" w:hAnsi="Arial Narrow"/>
                <w:lang w:val="en-GB" w:eastAsia="ja-JP"/>
              </w:rPr>
            </w:pPr>
          </w:p>
        </w:tc>
        <w:tc>
          <w:tcPr>
            <w:tcW w:w="2560" w:type="dxa"/>
            <w:gridSpan w:val="2"/>
            <w:vAlign w:val="center"/>
          </w:tcPr>
          <w:p w:rsidR="000D5CF9" w:rsidRPr="00AA5FBF" w:rsidRDefault="000D5CF9" w:rsidP="00AA5FBF">
            <w:pPr>
              <w:keepNext/>
              <w:tabs>
                <w:tab w:val="left" w:pos="2835"/>
              </w:tabs>
              <w:spacing w:after="0" w:line="240" w:lineRule="auto"/>
              <w:jc w:val="center"/>
              <w:rPr>
                <w:rFonts w:ascii="Arial Narrow" w:hAnsi="Arial Narrow"/>
                <w:u w:val="single"/>
                <w:lang w:val="en-GB" w:eastAsia="ja-JP"/>
              </w:rPr>
            </w:pPr>
            <w:r w:rsidRPr="00AA5FBF">
              <w:rPr>
                <w:rFonts w:ascii="Arial Narrow" w:hAnsi="Arial Narrow"/>
                <w:u w:val="single"/>
                <w:lang w:val="en-GB" w:eastAsia="ja-JP"/>
              </w:rPr>
              <w:t>Superior</w:t>
            </w:r>
          </w:p>
        </w:tc>
        <w:tc>
          <w:tcPr>
            <w:tcW w:w="2369" w:type="dxa"/>
            <w:vAlign w:val="center"/>
          </w:tcPr>
          <w:p w:rsidR="000D5CF9" w:rsidRPr="00AA5FBF" w:rsidRDefault="000D5CF9" w:rsidP="00AA5FBF">
            <w:pPr>
              <w:keepNext/>
              <w:tabs>
                <w:tab w:val="left" w:pos="2835"/>
              </w:tabs>
              <w:spacing w:after="0" w:line="240" w:lineRule="auto"/>
              <w:jc w:val="center"/>
              <w:rPr>
                <w:rFonts w:ascii="Arial Narrow" w:hAnsi="Arial Narrow"/>
                <w:u w:val="single"/>
                <w:lang w:val="en-GB" w:eastAsia="ja-JP"/>
              </w:rPr>
            </w:pPr>
            <w:r w:rsidRPr="00AA5FBF">
              <w:rPr>
                <w:rFonts w:ascii="Arial Narrow" w:hAnsi="Arial Narrow"/>
                <w:u w:val="single"/>
                <w:lang w:val="en-GB" w:eastAsia="ja-JP"/>
              </w:rPr>
              <w:t>Non-inferior</w:t>
            </w:r>
          </w:p>
        </w:tc>
        <w:tc>
          <w:tcPr>
            <w:tcW w:w="2455" w:type="dxa"/>
            <w:gridSpan w:val="2"/>
            <w:vAlign w:val="center"/>
          </w:tcPr>
          <w:p w:rsidR="000D5CF9" w:rsidRPr="00AA5FBF" w:rsidRDefault="000D5CF9" w:rsidP="00AA5FBF">
            <w:pPr>
              <w:keepNext/>
              <w:tabs>
                <w:tab w:val="left" w:pos="2835"/>
              </w:tabs>
              <w:spacing w:after="0" w:line="240" w:lineRule="auto"/>
              <w:jc w:val="center"/>
              <w:rPr>
                <w:rFonts w:ascii="Arial Narrow" w:hAnsi="Arial Narrow"/>
                <w:u w:val="single"/>
                <w:lang w:val="en-GB" w:eastAsia="ja-JP"/>
              </w:rPr>
            </w:pPr>
            <w:r w:rsidRPr="00AA5FBF">
              <w:rPr>
                <w:rFonts w:ascii="Arial Narrow" w:hAnsi="Arial Narrow"/>
                <w:u w:val="single"/>
                <w:lang w:val="en-GB" w:eastAsia="ja-JP"/>
              </w:rPr>
              <w:t>Inferior</w:t>
            </w:r>
          </w:p>
        </w:tc>
      </w:tr>
      <w:tr w:rsidR="000D5CF9" w:rsidRPr="00882200" w:rsidTr="00250C38">
        <w:trPr>
          <w:cantSplit/>
          <w:trHeight w:val="20"/>
        </w:trPr>
        <w:tc>
          <w:tcPr>
            <w:tcW w:w="671" w:type="dxa"/>
            <w:vMerge w:val="restart"/>
            <w:textDirection w:val="btLr"/>
            <w:vAlign w:val="center"/>
          </w:tcPr>
          <w:p w:rsidR="000D5CF9" w:rsidRPr="00AA5FBF" w:rsidRDefault="000D5CF9" w:rsidP="00AA5FBF">
            <w:pPr>
              <w:keepNext/>
              <w:tabs>
                <w:tab w:val="left" w:pos="2835"/>
              </w:tabs>
              <w:spacing w:after="0" w:line="240" w:lineRule="auto"/>
              <w:ind w:left="113" w:right="113"/>
              <w:jc w:val="center"/>
              <w:rPr>
                <w:rFonts w:ascii="Arial Narrow" w:hAnsi="Arial Narrow"/>
                <w:b/>
                <w:lang w:val="en-GB" w:eastAsia="ja-JP"/>
              </w:rPr>
            </w:pPr>
            <w:r w:rsidRPr="00AA5FBF">
              <w:rPr>
                <w:rFonts w:ascii="Arial Narrow" w:hAnsi="Arial Narrow"/>
                <w:b/>
                <w:lang w:val="en-GB" w:eastAsia="ja-JP"/>
              </w:rPr>
              <w:t>Comparative safety versus comparator</w:t>
            </w:r>
          </w:p>
        </w:tc>
        <w:tc>
          <w:tcPr>
            <w:tcW w:w="1085" w:type="dxa"/>
            <w:vMerge w:val="restart"/>
            <w:vAlign w:val="center"/>
          </w:tcPr>
          <w:p w:rsidR="000D5CF9" w:rsidRPr="00AA5FBF" w:rsidRDefault="000D5CF9" w:rsidP="00AA5FBF">
            <w:pPr>
              <w:keepNext/>
              <w:tabs>
                <w:tab w:val="left" w:pos="2835"/>
              </w:tabs>
              <w:spacing w:after="0" w:line="240" w:lineRule="auto"/>
              <w:jc w:val="left"/>
              <w:rPr>
                <w:rFonts w:ascii="Arial Narrow" w:hAnsi="Arial Narrow"/>
                <w:u w:val="single"/>
                <w:lang w:val="en-GB" w:eastAsia="ja-JP"/>
              </w:rPr>
            </w:pPr>
            <w:r w:rsidRPr="00AA5FBF">
              <w:rPr>
                <w:rFonts w:ascii="Arial Narrow" w:hAnsi="Arial Narrow"/>
                <w:u w:val="single"/>
                <w:lang w:val="en-GB" w:eastAsia="ja-JP"/>
              </w:rPr>
              <w:t>Superior</w:t>
            </w:r>
          </w:p>
        </w:tc>
        <w:tc>
          <w:tcPr>
            <w:tcW w:w="2560" w:type="dxa"/>
            <w:gridSpan w:val="2"/>
            <w:vMerge w:val="restart"/>
            <w:vAlign w:val="center"/>
          </w:tcPr>
          <w:p w:rsidR="000D5CF9" w:rsidRPr="00B90731" w:rsidRDefault="000D5CF9" w:rsidP="00AA5FBF">
            <w:pPr>
              <w:keepNext/>
              <w:tabs>
                <w:tab w:val="left" w:pos="2835"/>
              </w:tabs>
              <w:spacing w:after="0" w:line="240" w:lineRule="auto"/>
              <w:jc w:val="center"/>
              <w:rPr>
                <w:rFonts w:ascii="Arial Narrow" w:hAnsi="Arial Narrow"/>
                <w:lang w:val="en-GB" w:eastAsia="ja-JP"/>
              </w:rPr>
            </w:pPr>
            <w:r w:rsidRPr="00B90731">
              <w:rPr>
                <w:rFonts w:ascii="Arial Narrow" w:hAnsi="Arial Narrow"/>
                <w:lang w:val="en-GB" w:eastAsia="ja-JP"/>
              </w:rPr>
              <w:t>CEA/CUA</w:t>
            </w:r>
          </w:p>
        </w:tc>
        <w:tc>
          <w:tcPr>
            <w:tcW w:w="2369" w:type="dxa"/>
            <w:vMerge w:val="restart"/>
            <w:shd w:val="clear" w:color="auto" w:fill="D6E3BC"/>
            <w:vAlign w:val="center"/>
          </w:tcPr>
          <w:p w:rsidR="006E4589" w:rsidRPr="006E4589" w:rsidRDefault="006E4589" w:rsidP="006E4589">
            <w:pPr>
              <w:tabs>
                <w:tab w:val="left" w:pos="2835"/>
              </w:tabs>
              <w:spacing w:after="0" w:line="240" w:lineRule="auto"/>
              <w:jc w:val="center"/>
              <w:rPr>
                <w:rFonts w:ascii="Arial Narrow" w:hAnsi="Arial Narrow"/>
                <w:lang w:val="en-GB" w:eastAsia="ja-JP"/>
              </w:rPr>
            </w:pPr>
            <w:r w:rsidRPr="006E4589">
              <w:rPr>
                <w:rFonts w:ascii="Arial Narrow" w:hAnsi="Arial Narrow"/>
                <w:lang w:val="en-GB" w:eastAsia="ja-JP"/>
              </w:rPr>
              <w:t>Comparison with bariatric surgery</w:t>
            </w:r>
            <w:r w:rsidR="00537D54">
              <w:rPr>
                <w:rFonts w:ascii="Arial Narrow" w:hAnsi="Arial Narrow"/>
                <w:lang w:val="en-GB" w:eastAsia="ja-JP"/>
              </w:rPr>
              <w:t xml:space="preserve"> </w:t>
            </w:r>
          </w:p>
          <w:p w:rsidR="000D5CF9" w:rsidRPr="006E4589" w:rsidRDefault="006E4589" w:rsidP="006E4589">
            <w:pPr>
              <w:tabs>
                <w:tab w:val="left" w:pos="2835"/>
              </w:tabs>
              <w:spacing w:after="0" w:line="240" w:lineRule="auto"/>
              <w:jc w:val="center"/>
              <w:rPr>
                <w:rFonts w:ascii="Arial Narrow" w:hAnsi="Arial Narrow"/>
                <w:b/>
                <w:lang w:val="en-GB" w:eastAsia="ja-JP"/>
              </w:rPr>
            </w:pPr>
            <w:r>
              <w:rPr>
                <w:rFonts w:ascii="Arial Narrow" w:hAnsi="Arial Narrow"/>
                <w:b/>
                <w:lang w:val="en-GB" w:eastAsia="ja-JP"/>
              </w:rPr>
              <w:t>C</w:t>
            </w:r>
            <w:r w:rsidR="003B03F7">
              <w:rPr>
                <w:rFonts w:ascii="Arial Narrow" w:hAnsi="Arial Narrow"/>
                <w:b/>
                <w:lang w:val="en-GB" w:eastAsia="ja-JP"/>
              </w:rPr>
              <w:t>UA</w:t>
            </w:r>
          </w:p>
        </w:tc>
        <w:tc>
          <w:tcPr>
            <w:tcW w:w="1548" w:type="dxa"/>
          </w:tcPr>
          <w:p w:rsidR="000D5CF9" w:rsidRPr="00AA5FBF" w:rsidRDefault="000D5CF9" w:rsidP="00AA5FBF">
            <w:pPr>
              <w:keepNext/>
              <w:tabs>
                <w:tab w:val="left" w:pos="2835"/>
              </w:tabs>
              <w:spacing w:after="0" w:line="240" w:lineRule="auto"/>
              <w:rPr>
                <w:rFonts w:ascii="Arial Narrow" w:hAnsi="Arial Narrow"/>
                <w:u w:val="single"/>
                <w:lang w:val="en-GB" w:eastAsia="ja-JP"/>
              </w:rPr>
            </w:pPr>
            <w:r w:rsidRPr="00AA5FBF">
              <w:rPr>
                <w:rFonts w:ascii="Arial Narrow" w:hAnsi="Arial Narrow"/>
                <w:u w:val="single"/>
                <w:lang w:val="en-GB" w:eastAsia="ja-JP"/>
              </w:rPr>
              <w:t>Net clinical benefit</w:t>
            </w:r>
          </w:p>
        </w:tc>
        <w:tc>
          <w:tcPr>
            <w:tcW w:w="907" w:type="dxa"/>
            <w:vAlign w:val="center"/>
          </w:tcPr>
          <w:p w:rsidR="000D5CF9" w:rsidRPr="00AA5FBF" w:rsidRDefault="000D5CF9" w:rsidP="00AA5FBF">
            <w:pPr>
              <w:keepNext/>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CEA/CUA</w:t>
            </w:r>
          </w:p>
        </w:tc>
      </w:tr>
      <w:tr w:rsidR="000D5CF9" w:rsidRPr="00882200" w:rsidTr="00250C38">
        <w:trPr>
          <w:cantSplit/>
          <w:trHeight w:val="20"/>
        </w:trPr>
        <w:tc>
          <w:tcPr>
            <w:tcW w:w="671"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085" w:type="dxa"/>
            <w:vMerge/>
            <w:vAlign w:val="center"/>
          </w:tcPr>
          <w:p w:rsidR="000D5CF9" w:rsidRPr="00AA5FBF" w:rsidRDefault="000D5CF9" w:rsidP="00AA5FBF">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0D5CF9" w:rsidRPr="00E06354" w:rsidRDefault="000D5CF9" w:rsidP="00AA5FBF">
            <w:pPr>
              <w:tabs>
                <w:tab w:val="left" w:pos="2835"/>
              </w:tabs>
              <w:spacing w:after="0" w:line="240" w:lineRule="auto"/>
              <w:jc w:val="center"/>
              <w:rPr>
                <w:rFonts w:ascii="Arial Narrow" w:hAnsi="Arial Narrow"/>
                <w:b/>
                <w:lang w:val="en-GB" w:eastAsia="ja-JP"/>
              </w:rPr>
            </w:pPr>
          </w:p>
        </w:tc>
        <w:tc>
          <w:tcPr>
            <w:tcW w:w="2369" w:type="dxa"/>
            <w:vMerge/>
            <w:shd w:val="clear" w:color="auto" w:fill="D6E3BC"/>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p>
        </w:tc>
        <w:tc>
          <w:tcPr>
            <w:tcW w:w="1548" w:type="dxa"/>
          </w:tcPr>
          <w:p w:rsidR="000D5CF9" w:rsidRPr="00AA5FBF" w:rsidRDefault="000D5CF9" w:rsidP="00AA5FBF">
            <w:pPr>
              <w:tabs>
                <w:tab w:val="left" w:pos="2835"/>
              </w:tabs>
              <w:spacing w:after="0" w:line="240" w:lineRule="auto"/>
              <w:rPr>
                <w:rFonts w:ascii="Arial Narrow" w:hAnsi="Arial Narrow"/>
                <w:u w:val="single"/>
                <w:lang w:val="en-GB" w:eastAsia="ja-JP"/>
              </w:rPr>
            </w:pPr>
            <w:r w:rsidRPr="00AA5FBF">
              <w:rPr>
                <w:rFonts w:ascii="Arial Narrow" w:hAnsi="Arial Narrow"/>
                <w:u w:val="single"/>
                <w:lang w:val="en-GB" w:eastAsia="ja-JP"/>
              </w:rPr>
              <w:t>Neutral benefit</w:t>
            </w:r>
          </w:p>
        </w:tc>
        <w:tc>
          <w:tcPr>
            <w:tcW w:w="907" w:type="dxa"/>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CEA/CUA*</w:t>
            </w:r>
          </w:p>
        </w:tc>
      </w:tr>
      <w:tr w:rsidR="000D5CF9" w:rsidRPr="00882200" w:rsidTr="00B60C34">
        <w:trPr>
          <w:cantSplit/>
          <w:trHeight w:val="20"/>
        </w:trPr>
        <w:tc>
          <w:tcPr>
            <w:tcW w:w="671"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085" w:type="dxa"/>
            <w:vMerge/>
            <w:vAlign w:val="center"/>
          </w:tcPr>
          <w:p w:rsidR="000D5CF9" w:rsidRPr="00AA5FBF" w:rsidRDefault="000D5CF9" w:rsidP="00AA5FBF">
            <w:pPr>
              <w:tabs>
                <w:tab w:val="left" w:pos="2835"/>
              </w:tabs>
              <w:spacing w:after="0" w:line="240" w:lineRule="auto"/>
              <w:jc w:val="left"/>
              <w:rPr>
                <w:rFonts w:ascii="Arial Narrow" w:hAnsi="Arial Narrow"/>
                <w:u w:val="single"/>
                <w:lang w:val="en-GB" w:eastAsia="ja-JP"/>
              </w:rPr>
            </w:pPr>
          </w:p>
        </w:tc>
        <w:tc>
          <w:tcPr>
            <w:tcW w:w="2560" w:type="dxa"/>
            <w:gridSpan w:val="2"/>
            <w:vMerge/>
            <w:tcBorders>
              <w:bottom w:val="single" w:sz="4" w:space="0" w:color="auto"/>
            </w:tcBorders>
            <w:vAlign w:val="center"/>
          </w:tcPr>
          <w:p w:rsidR="000D5CF9" w:rsidRPr="00E06354" w:rsidRDefault="000D5CF9" w:rsidP="00AA5FBF">
            <w:pPr>
              <w:tabs>
                <w:tab w:val="left" w:pos="2835"/>
              </w:tabs>
              <w:spacing w:after="0" w:line="240" w:lineRule="auto"/>
              <w:jc w:val="center"/>
              <w:rPr>
                <w:rFonts w:ascii="Arial Narrow" w:hAnsi="Arial Narrow"/>
                <w:b/>
                <w:lang w:val="en-GB" w:eastAsia="ja-JP"/>
              </w:rPr>
            </w:pPr>
          </w:p>
        </w:tc>
        <w:tc>
          <w:tcPr>
            <w:tcW w:w="2369" w:type="dxa"/>
            <w:vMerge/>
            <w:shd w:val="clear" w:color="auto" w:fill="D6E3BC"/>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p>
        </w:tc>
        <w:tc>
          <w:tcPr>
            <w:tcW w:w="1548" w:type="dxa"/>
          </w:tcPr>
          <w:p w:rsidR="000D5CF9" w:rsidRPr="00AA5FBF" w:rsidRDefault="000D5CF9" w:rsidP="00AA5FBF">
            <w:pPr>
              <w:tabs>
                <w:tab w:val="left" w:pos="2835"/>
              </w:tabs>
              <w:spacing w:after="0" w:line="240" w:lineRule="auto"/>
              <w:rPr>
                <w:rFonts w:ascii="Arial Narrow" w:hAnsi="Arial Narrow"/>
                <w:u w:val="single"/>
                <w:lang w:val="en-GB" w:eastAsia="ja-JP"/>
              </w:rPr>
            </w:pPr>
            <w:r w:rsidRPr="00AA5FBF">
              <w:rPr>
                <w:rFonts w:ascii="Arial Narrow" w:hAnsi="Arial Narrow"/>
                <w:u w:val="single"/>
                <w:lang w:val="en-GB" w:eastAsia="ja-JP"/>
              </w:rPr>
              <w:t>Net harms</w:t>
            </w:r>
          </w:p>
        </w:tc>
        <w:tc>
          <w:tcPr>
            <w:tcW w:w="907" w:type="dxa"/>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None^</w:t>
            </w:r>
          </w:p>
        </w:tc>
      </w:tr>
      <w:tr w:rsidR="000D5CF9" w:rsidRPr="00882200" w:rsidTr="00B60C34">
        <w:trPr>
          <w:cantSplit/>
          <w:trHeight w:val="750"/>
        </w:trPr>
        <w:tc>
          <w:tcPr>
            <w:tcW w:w="671"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085" w:type="dxa"/>
            <w:vAlign w:val="center"/>
          </w:tcPr>
          <w:p w:rsidR="000D5CF9" w:rsidRPr="00AA5FBF" w:rsidRDefault="000D5CF9" w:rsidP="00AA5FBF">
            <w:pPr>
              <w:tabs>
                <w:tab w:val="left" w:pos="2835"/>
              </w:tabs>
              <w:spacing w:after="0" w:line="240" w:lineRule="auto"/>
              <w:jc w:val="left"/>
              <w:rPr>
                <w:rFonts w:ascii="Arial Narrow" w:hAnsi="Arial Narrow"/>
                <w:u w:val="single"/>
                <w:lang w:val="en-GB" w:eastAsia="ja-JP"/>
              </w:rPr>
            </w:pPr>
            <w:r w:rsidRPr="00AA5FBF">
              <w:rPr>
                <w:rFonts w:ascii="Arial Narrow" w:hAnsi="Arial Narrow"/>
                <w:u w:val="single"/>
                <w:lang w:val="en-GB" w:eastAsia="ja-JP"/>
              </w:rPr>
              <w:t>Non-inferior</w:t>
            </w:r>
          </w:p>
        </w:tc>
        <w:tc>
          <w:tcPr>
            <w:tcW w:w="2560" w:type="dxa"/>
            <w:gridSpan w:val="2"/>
            <w:shd w:val="clear" w:color="auto" w:fill="D6E3BC"/>
            <w:vAlign w:val="center"/>
          </w:tcPr>
          <w:p w:rsidR="0091056C" w:rsidRPr="00E52B29" w:rsidRDefault="0091056C" w:rsidP="0091056C">
            <w:pPr>
              <w:tabs>
                <w:tab w:val="left" w:pos="2835"/>
              </w:tabs>
              <w:spacing w:after="0" w:line="240" w:lineRule="auto"/>
              <w:jc w:val="center"/>
              <w:rPr>
                <w:rFonts w:ascii="Arial Narrow" w:hAnsi="Arial Narrow"/>
                <w:lang w:val="en-GB" w:eastAsia="ja-JP"/>
              </w:rPr>
            </w:pPr>
            <w:r w:rsidRPr="00E52B29">
              <w:rPr>
                <w:rFonts w:ascii="Arial Narrow" w:hAnsi="Arial Narrow"/>
                <w:lang w:val="en-GB" w:eastAsia="ja-JP"/>
              </w:rPr>
              <w:t>Comparison with SOC</w:t>
            </w:r>
          </w:p>
          <w:p w:rsidR="000D5CF9" w:rsidRPr="00E52B29" w:rsidRDefault="0091056C" w:rsidP="006E4589">
            <w:pPr>
              <w:keepNext/>
              <w:tabs>
                <w:tab w:val="left" w:pos="2835"/>
              </w:tabs>
              <w:spacing w:after="0" w:line="240" w:lineRule="auto"/>
              <w:jc w:val="center"/>
              <w:rPr>
                <w:rFonts w:ascii="Arial Narrow" w:hAnsi="Arial Narrow"/>
                <w:b/>
                <w:lang w:val="en-GB" w:eastAsia="ja-JP"/>
              </w:rPr>
            </w:pPr>
            <w:r w:rsidRPr="00E52B29">
              <w:rPr>
                <w:rFonts w:ascii="Arial Narrow" w:hAnsi="Arial Narrow"/>
                <w:b/>
                <w:lang w:val="en-GB" w:eastAsia="ja-JP"/>
              </w:rPr>
              <w:t>CEA/CUA</w:t>
            </w:r>
          </w:p>
        </w:tc>
        <w:tc>
          <w:tcPr>
            <w:tcW w:w="2369" w:type="dxa"/>
            <w:shd w:val="clear" w:color="auto" w:fill="auto"/>
            <w:vAlign w:val="center"/>
          </w:tcPr>
          <w:p w:rsidR="000D5CF9" w:rsidRPr="00E06354" w:rsidRDefault="000D5CF9" w:rsidP="00E06354">
            <w:pPr>
              <w:tabs>
                <w:tab w:val="left" w:pos="2835"/>
              </w:tabs>
              <w:spacing w:after="0" w:line="240" w:lineRule="auto"/>
              <w:jc w:val="center"/>
              <w:rPr>
                <w:rFonts w:ascii="Arial Narrow" w:hAnsi="Arial Narrow"/>
                <w:b/>
                <w:lang w:val="en-GB" w:eastAsia="ja-JP"/>
              </w:rPr>
            </w:pPr>
          </w:p>
        </w:tc>
        <w:tc>
          <w:tcPr>
            <w:tcW w:w="2455" w:type="dxa"/>
            <w:gridSpan w:val="2"/>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None^</w:t>
            </w:r>
          </w:p>
        </w:tc>
      </w:tr>
      <w:tr w:rsidR="000D5CF9" w:rsidRPr="00882200" w:rsidTr="00B90731">
        <w:trPr>
          <w:cantSplit/>
          <w:trHeight w:val="20"/>
        </w:trPr>
        <w:tc>
          <w:tcPr>
            <w:tcW w:w="671"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085" w:type="dxa"/>
            <w:vMerge w:val="restart"/>
            <w:vAlign w:val="center"/>
          </w:tcPr>
          <w:p w:rsidR="000D5CF9" w:rsidRPr="00AA5FBF" w:rsidRDefault="000D5CF9" w:rsidP="00AA5FBF">
            <w:pPr>
              <w:tabs>
                <w:tab w:val="left" w:pos="2835"/>
              </w:tabs>
              <w:spacing w:after="0" w:line="240" w:lineRule="auto"/>
              <w:jc w:val="left"/>
              <w:rPr>
                <w:rFonts w:ascii="Arial Narrow" w:hAnsi="Arial Narrow"/>
                <w:u w:val="single"/>
                <w:lang w:val="en-GB" w:eastAsia="ja-JP"/>
              </w:rPr>
            </w:pPr>
            <w:r w:rsidRPr="00AA5FBF">
              <w:rPr>
                <w:rFonts w:ascii="Arial Narrow" w:hAnsi="Arial Narrow"/>
                <w:u w:val="single"/>
                <w:lang w:val="en-GB" w:eastAsia="ja-JP"/>
              </w:rPr>
              <w:t>Inferior</w:t>
            </w:r>
          </w:p>
        </w:tc>
        <w:tc>
          <w:tcPr>
            <w:tcW w:w="1583" w:type="dxa"/>
            <w:vAlign w:val="center"/>
          </w:tcPr>
          <w:p w:rsidR="000D5CF9" w:rsidRPr="00AA5FBF" w:rsidRDefault="000D5CF9" w:rsidP="00AA5FBF">
            <w:pPr>
              <w:tabs>
                <w:tab w:val="left" w:pos="2835"/>
              </w:tabs>
              <w:spacing w:after="0" w:line="240" w:lineRule="auto"/>
              <w:jc w:val="left"/>
              <w:rPr>
                <w:rFonts w:ascii="Arial Narrow" w:hAnsi="Arial Narrow"/>
                <w:u w:val="single"/>
                <w:lang w:val="en-GB" w:eastAsia="ja-JP"/>
              </w:rPr>
            </w:pPr>
            <w:r w:rsidRPr="00AA5FBF">
              <w:rPr>
                <w:rFonts w:ascii="Arial Narrow" w:hAnsi="Arial Narrow"/>
                <w:u w:val="single"/>
                <w:lang w:val="en-GB" w:eastAsia="ja-JP"/>
              </w:rPr>
              <w:t>Net clinical benefit</w:t>
            </w:r>
          </w:p>
        </w:tc>
        <w:tc>
          <w:tcPr>
            <w:tcW w:w="977" w:type="dxa"/>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CEA/CUA</w:t>
            </w:r>
          </w:p>
        </w:tc>
        <w:tc>
          <w:tcPr>
            <w:tcW w:w="2369" w:type="dxa"/>
            <w:vMerge w:val="restart"/>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None^</w:t>
            </w:r>
          </w:p>
        </w:tc>
        <w:tc>
          <w:tcPr>
            <w:tcW w:w="2455" w:type="dxa"/>
            <w:gridSpan w:val="2"/>
            <w:vMerge w:val="restart"/>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None^</w:t>
            </w:r>
          </w:p>
        </w:tc>
      </w:tr>
      <w:tr w:rsidR="000D5CF9" w:rsidRPr="00882200" w:rsidTr="00B90731">
        <w:trPr>
          <w:trHeight w:val="20"/>
        </w:trPr>
        <w:tc>
          <w:tcPr>
            <w:tcW w:w="671"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085"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583" w:type="dxa"/>
            <w:vAlign w:val="center"/>
          </w:tcPr>
          <w:p w:rsidR="000D5CF9" w:rsidRPr="00AA5FBF" w:rsidRDefault="000D5CF9" w:rsidP="00AA5FBF">
            <w:pPr>
              <w:tabs>
                <w:tab w:val="left" w:pos="2835"/>
              </w:tabs>
              <w:spacing w:after="0" w:line="240" w:lineRule="auto"/>
              <w:jc w:val="left"/>
              <w:rPr>
                <w:rFonts w:ascii="Arial Narrow" w:hAnsi="Arial Narrow"/>
                <w:u w:val="single"/>
                <w:lang w:val="en-GB" w:eastAsia="ja-JP"/>
              </w:rPr>
            </w:pPr>
            <w:r w:rsidRPr="00AA5FBF">
              <w:rPr>
                <w:rFonts w:ascii="Arial Narrow" w:hAnsi="Arial Narrow"/>
                <w:u w:val="single"/>
                <w:lang w:val="en-GB" w:eastAsia="ja-JP"/>
              </w:rPr>
              <w:t>Neutral benefit</w:t>
            </w:r>
          </w:p>
        </w:tc>
        <w:tc>
          <w:tcPr>
            <w:tcW w:w="977" w:type="dxa"/>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CEA/CUA*</w:t>
            </w:r>
          </w:p>
        </w:tc>
        <w:tc>
          <w:tcPr>
            <w:tcW w:w="2369" w:type="dxa"/>
            <w:vMerge/>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p>
        </w:tc>
        <w:tc>
          <w:tcPr>
            <w:tcW w:w="2455" w:type="dxa"/>
            <w:gridSpan w:val="2"/>
            <w:vMerge/>
          </w:tcPr>
          <w:p w:rsidR="000D5CF9" w:rsidRPr="00AA5FBF" w:rsidRDefault="000D5CF9" w:rsidP="00AA5FBF">
            <w:pPr>
              <w:tabs>
                <w:tab w:val="left" w:pos="2835"/>
              </w:tabs>
              <w:spacing w:after="0" w:line="240" w:lineRule="auto"/>
              <w:rPr>
                <w:rFonts w:ascii="Arial Narrow" w:hAnsi="Arial Narrow"/>
                <w:lang w:val="en-GB" w:eastAsia="ja-JP"/>
              </w:rPr>
            </w:pPr>
          </w:p>
        </w:tc>
      </w:tr>
      <w:tr w:rsidR="000D5CF9" w:rsidRPr="00882200" w:rsidTr="00B90731">
        <w:trPr>
          <w:trHeight w:val="20"/>
        </w:trPr>
        <w:tc>
          <w:tcPr>
            <w:tcW w:w="671"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085"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583" w:type="dxa"/>
            <w:vAlign w:val="center"/>
          </w:tcPr>
          <w:p w:rsidR="000D5CF9" w:rsidRPr="00AA5FBF" w:rsidRDefault="000D5CF9" w:rsidP="00AA5FBF">
            <w:pPr>
              <w:tabs>
                <w:tab w:val="left" w:pos="2835"/>
              </w:tabs>
              <w:spacing w:after="0" w:line="240" w:lineRule="auto"/>
              <w:jc w:val="left"/>
              <w:rPr>
                <w:rFonts w:ascii="Arial Narrow" w:hAnsi="Arial Narrow"/>
                <w:u w:val="single"/>
                <w:lang w:val="en-GB" w:eastAsia="ja-JP"/>
              </w:rPr>
            </w:pPr>
            <w:r w:rsidRPr="00AA5FBF">
              <w:rPr>
                <w:rFonts w:ascii="Arial Narrow" w:hAnsi="Arial Narrow"/>
                <w:u w:val="single"/>
                <w:lang w:val="en-GB" w:eastAsia="ja-JP"/>
              </w:rPr>
              <w:t>Net harms</w:t>
            </w:r>
          </w:p>
        </w:tc>
        <w:tc>
          <w:tcPr>
            <w:tcW w:w="977" w:type="dxa"/>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None^</w:t>
            </w:r>
          </w:p>
        </w:tc>
        <w:tc>
          <w:tcPr>
            <w:tcW w:w="2369" w:type="dxa"/>
            <w:vMerge/>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p>
        </w:tc>
        <w:tc>
          <w:tcPr>
            <w:tcW w:w="2455" w:type="dxa"/>
            <w:gridSpan w:val="2"/>
            <w:vMerge/>
          </w:tcPr>
          <w:p w:rsidR="000D5CF9" w:rsidRPr="00AA5FBF" w:rsidRDefault="000D5CF9" w:rsidP="00AA5FBF">
            <w:pPr>
              <w:tabs>
                <w:tab w:val="left" w:pos="2835"/>
              </w:tabs>
              <w:spacing w:after="0" w:line="240" w:lineRule="auto"/>
              <w:rPr>
                <w:rFonts w:ascii="Arial Narrow" w:hAnsi="Arial Narrow"/>
                <w:lang w:val="en-GB" w:eastAsia="ja-JP"/>
              </w:rPr>
            </w:pPr>
          </w:p>
        </w:tc>
      </w:tr>
    </w:tbl>
    <w:p w:rsidR="000D5CF9" w:rsidRDefault="000D5CF9" w:rsidP="00E06354">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 xml:space="preserve">Abbreviations:  CEA = cost-effectiveness analysis; </w:t>
      </w:r>
      <w:r w:rsidR="00E06354">
        <w:rPr>
          <w:rFonts w:ascii="Arial Narrow" w:hAnsi="Arial Narrow"/>
          <w:lang w:val="en-GB" w:eastAsia="ja-JP"/>
        </w:rPr>
        <w:t>CMA = cost-minimisation analysis; CUA = cost-utility analysis</w:t>
      </w:r>
    </w:p>
    <w:p w:rsidR="000D5CF9" w:rsidRPr="00882200" w:rsidRDefault="000D5CF9" w:rsidP="009B59B7">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p>
    <w:p w:rsidR="000D5CF9" w:rsidRPr="00A34E9C" w:rsidRDefault="000D5CF9" w:rsidP="000901A8">
      <w:pPr>
        <w:pStyle w:val="Heading1"/>
      </w:pPr>
      <w:bookmarkStart w:id="25" w:name="_Toc389834065"/>
      <w:r w:rsidRPr="00A34E9C">
        <w:lastRenderedPageBreak/>
        <w:t>Outcomes and health care resources affected</w:t>
      </w:r>
      <w:r>
        <w:t xml:space="preserve"> by introduction of proposed intervention</w:t>
      </w:r>
      <w:bookmarkEnd w:id="25"/>
    </w:p>
    <w:p w:rsidR="008A49A4" w:rsidRPr="008A49A4" w:rsidRDefault="000D5CF9" w:rsidP="008A49A4">
      <w:pPr>
        <w:pStyle w:val="Heading2"/>
      </w:pPr>
      <w:bookmarkStart w:id="26" w:name="_Toc389834066"/>
      <w:r>
        <w:t>Outcomes</w:t>
      </w:r>
      <w:bookmarkEnd w:id="26"/>
    </w:p>
    <w:p w:rsidR="008A49A4" w:rsidRDefault="008A49A4" w:rsidP="00817F23">
      <w:r>
        <w:t>The clinical trials for EndoBarrier selected a range of patient relevant clinical efficacy endpoints; however the most important outcomes for the purpose of this evaluation were considered to be: weight loss, HbA1c levels and procedure-related adverse events. These outcomes are discussed in detail in the sections below.</w:t>
      </w:r>
    </w:p>
    <w:p w:rsidR="008A49A4" w:rsidRDefault="008A49A4" w:rsidP="008A49A4">
      <w:pPr>
        <w:pStyle w:val="Heading3"/>
      </w:pPr>
      <w:bookmarkStart w:id="27" w:name="_Toc389834067"/>
      <w:r>
        <w:t>Weight loss</w:t>
      </w:r>
      <w:bookmarkEnd w:id="27"/>
    </w:p>
    <w:p w:rsidR="008A49A4" w:rsidRDefault="008A49A4" w:rsidP="008A49A4">
      <w:r>
        <w:t>Weight loss is a particularly important clinical outcome for patients with clinically severe obesity</w:t>
      </w:r>
      <w:r w:rsidR="006220FE">
        <w:t xml:space="preserve"> (including patients </w:t>
      </w:r>
      <w:r w:rsidR="000A4A46">
        <w:t xml:space="preserve">who </w:t>
      </w:r>
      <w:r w:rsidR="006220FE">
        <w:t xml:space="preserve">are </w:t>
      </w:r>
      <w:r w:rsidR="00DC1456">
        <w:t>suitable</w:t>
      </w:r>
      <w:r w:rsidR="006220FE">
        <w:t xml:space="preserve"> and not suitable for surgery)</w:t>
      </w:r>
      <w:r>
        <w:t xml:space="preserve"> and is therefore considered the primary outcome for this group. </w:t>
      </w:r>
    </w:p>
    <w:p w:rsidR="00F639EC" w:rsidRPr="008A49A4" w:rsidRDefault="00F041E9" w:rsidP="00F041E9">
      <w:r>
        <w:t>As described previously, t</w:t>
      </w:r>
      <w:r w:rsidR="00F639EC">
        <w:t>here is a vast body of literature to support the relationship between excess weight and the development of long-term health complications</w:t>
      </w:r>
      <w:r>
        <w:t xml:space="preserve"> including type 2 diabetes, hypertension, dyslipidaemia, and cardiovascular disease</w:t>
      </w:r>
      <w:r w:rsidR="00F639EC">
        <w:t xml:space="preserve">. </w:t>
      </w:r>
      <w:r w:rsidRPr="00F041E9">
        <w:t>Although weight gain has been demonstrated to increase health risks in paediatric and adult</w:t>
      </w:r>
      <w:r>
        <w:t xml:space="preserve"> </w:t>
      </w:r>
      <w:r w:rsidRPr="00F041E9">
        <w:t>populations, it does not necessarily follow that weight</w:t>
      </w:r>
      <w:r w:rsidRPr="00521430">
        <w:t xml:space="preserve"> lo</w:t>
      </w:r>
      <w:r w:rsidR="00521430" w:rsidRPr="00521430">
        <w:t>ss can reverse these impacts. The</w:t>
      </w:r>
      <w:r w:rsidRPr="00521430">
        <w:t xml:space="preserve"> NHMRC systematic review</w:t>
      </w:r>
      <w:r w:rsidR="00521430" w:rsidRPr="00521430">
        <w:t xml:space="preserve"> underlying the current obesity guidelines</w:t>
      </w:r>
      <w:r w:rsidRPr="00521430">
        <w:t xml:space="preserve"> </w:t>
      </w:r>
      <w:r w:rsidR="00521430" w:rsidRPr="00521430">
        <w:t xml:space="preserve">(NHMRC, 2013) </w:t>
      </w:r>
      <w:r w:rsidRPr="00521430">
        <w:t xml:space="preserve">addressed this question </w:t>
      </w:r>
      <w:r w:rsidR="00F46605">
        <w:t>and concluded that s</w:t>
      </w:r>
      <w:r w:rsidR="00521430" w:rsidRPr="00521430">
        <w:t>urgically-induced weight loss in adults (gastric banding and gastric bypass) is associated with a</w:t>
      </w:r>
      <w:r w:rsidR="00521430">
        <w:t xml:space="preserve"> </w:t>
      </w:r>
      <w:r w:rsidR="00521430" w:rsidRPr="00521430">
        <w:t xml:space="preserve">reduced risk of </w:t>
      </w:r>
      <w:r w:rsidR="00521430">
        <w:t>cardiovascular disease</w:t>
      </w:r>
      <w:r w:rsidR="00521430" w:rsidRPr="00521430">
        <w:t>, all-cause and global mortality in patients with morbid obesity. Gastric</w:t>
      </w:r>
      <w:r w:rsidR="00521430">
        <w:t xml:space="preserve"> </w:t>
      </w:r>
      <w:r w:rsidR="00521430" w:rsidRPr="00521430">
        <w:t xml:space="preserve">bypass </w:t>
      </w:r>
      <w:r w:rsidR="00521430">
        <w:t>was reported</w:t>
      </w:r>
      <w:r w:rsidR="00521430" w:rsidRPr="00521430">
        <w:t xml:space="preserve"> to be associated with greater reductions in </w:t>
      </w:r>
      <w:r w:rsidR="00521430">
        <w:t>cardiovascular</w:t>
      </w:r>
      <w:r w:rsidR="00521430" w:rsidRPr="00521430">
        <w:t xml:space="preserve"> mortality than gastric banding.</w:t>
      </w:r>
      <w:r w:rsidR="00521430">
        <w:t xml:space="preserve"> The results of this review validate the importance of weight loss as a clinical endpoint. Furthermore, there is clinical evidence to show that only a modest amount of weight loss is required to achieve substantial clinical benefits (Klein et al., 2004).</w:t>
      </w:r>
    </w:p>
    <w:p w:rsidR="00475DE9" w:rsidRDefault="00475DE9" w:rsidP="00475DE9">
      <w:pPr>
        <w:pStyle w:val="Heading3"/>
      </w:pPr>
      <w:bookmarkStart w:id="28" w:name="_Toc389834068"/>
      <w:r>
        <w:t>HbA1c levels</w:t>
      </w:r>
      <w:bookmarkEnd w:id="28"/>
    </w:p>
    <w:p w:rsidR="007B4AB8" w:rsidRDefault="00475DE9" w:rsidP="00817F23">
      <w:r>
        <w:t xml:space="preserve">In </w:t>
      </w:r>
      <w:r w:rsidR="00264A8D">
        <w:t xml:space="preserve">the subgroup of patients with co-morbid type 2 </w:t>
      </w:r>
      <w:r>
        <w:t>diabetes</w:t>
      </w:r>
      <w:r w:rsidR="00264A8D">
        <w:t xml:space="preserve"> mellitus</w:t>
      </w:r>
      <w:r>
        <w:t>, patient-</w:t>
      </w:r>
      <w:r w:rsidR="00817F23">
        <w:t xml:space="preserve">relevant clinical endpoints such as blindness and amputations are the best measure of disease control. However, the effectiveness of diabetes management strategies is consistently improving and clinical endpoints such as amputation occur much less frequently and later in the course of the disease. Therefore, clinical trials rely on surrogate markers such as </w:t>
      </w:r>
      <w:r>
        <w:t>HbA1c</w:t>
      </w:r>
      <w:r w:rsidR="00817F23">
        <w:t xml:space="preserve"> to establish the effectiveness of diabetes treatment strategies.</w:t>
      </w:r>
      <w:r>
        <w:t xml:space="preserve"> </w:t>
      </w:r>
    </w:p>
    <w:p w:rsidR="00817F23" w:rsidRDefault="00817F23" w:rsidP="00817F23">
      <w:r>
        <w:t>The risk of developing microvascular, macrovascular and other complications is closely associated with glycaemic control, as measured by HbA</w:t>
      </w:r>
      <w:r w:rsidRPr="00817F23">
        <w:t>1c</w:t>
      </w:r>
      <w:r>
        <w:t xml:space="preserve"> levels. The</w:t>
      </w:r>
      <w:r w:rsidR="004428D1">
        <w:t xml:space="preserve"> United Kingdom Prospective Diabetes Study</w:t>
      </w:r>
      <w:r>
        <w:t xml:space="preserve"> </w:t>
      </w:r>
      <w:r w:rsidR="004428D1">
        <w:t>(</w:t>
      </w:r>
      <w:r>
        <w:t>UKPDS</w:t>
      </w:r>
      <w:r w:rsidR="004428D1">
        <w:t>)</w:t>
      </w:r>
      <w:r>
        <w:t xml:space="preserve"> prospective study reported that each 1% reduction in mean HbA</w:t>
      </w:r>
      <w:r w:rsidRPr="00817F23">
        <w:t>1c</w:t>
      </w:r>
      <w:r>
        <w:t xml:space="preserve"> was associated with a 14% reduction in the </w:t>
      </w:r>
      <w:r w:rsidR="0051534E">
        <w:t xml:space="preserve">relative </w:t>
      </w:r>
      <w:r>
        <w:t xml:space="preserve">risk of myocardial infarction, a 37% reduction in the </w:t>
      </w:r>
      <w:r w:rsidR="0051534E">
        <w:t xml:space="preserve">relative </w:t>
      </w:r>
      <w:r>
        <w:t xml:space="preserve">risk of microvascular complications and a 21% reduction in the </w:t>
      </w:r>
      <w:r w:rsidR="0051534E">
        <w:t xml:space="preserve">relative </w:t>
      </w:r>
      <w:r>
        <w:t>risk of death (Stratton</w:t>
      </w:r>
      <w:r w:rsidRPr="00817F23">
        <w:t xml:space="preserve"> et al </w:t>
      </w:r>
      <w:r>
        <w:t>2000). The</w:t>
      </w:r>
      <w:r w:rsidR="004428D1">
        <w:t xml:space="preserve"> Diabetes Control and Complications Trial</w:t>
      </w:r>
      <w:r>
        <w:t xml:space="preserve"> </w:t>
      </w:r>
      <w:r w:rsidR="004428D1">
        <w:t>(</w:t>
      </w:r>
      <w:r>
        <w:t>DCCT</w:t>
      </w:r>
      <w:r w:rsidR="004428D1">
        <w:t>)</w:t>
      </w:r>
      <w:r>
        <w:t xml:space="preserve"> study randomised patients to intensive or </w:t>
      </w:r>
      <w:r>
        <w:lastRenderedPageBreak/>
        <w:t>conventional therapy, who were followed for a mean of 17 years. A decrease HbA</w:t>
      </w:r>
      <w:r w:rsidRPr="00817F23">
        <w:t>1c</w:t>
      </w:r>
      <w:r>
        <w:t xml:space="preserve"> was significantly associated with most of the positive effects of intensive treatment on the risk of cardiovascular disease (DCCT, 2005). A 10% reduction in HbA</w:t>
      </w:r>
      <w:r w:rsidRPr="00817F23">
        <w:t>1c</w:t>
      </w:r>
      <w:r>
        <w:t xml:space="preserve"> was associated with a 20% reduction in the </w:t>
      </w:r>
      <w:r w:rsidR="0051534E">
        <w:t xml:space="preserve">relative </w:t>
      </w:r>
      <w:r>
        <w:t>risk of a cardiovascular event (95 CI 9%, 30% p&lt;0.001). The vast majority (96%) of the reduction in the risk of retinopathy was explained by the reduction in mean HbA</w:t>
      </w:r>
      <w:r w:rsidRPr="00817F23">
        <w:t>1c</w:t>
      </w:r>
      <w:r w:rsidR="00E56C27">
        <w:t xml:space="preserve"> level</w:t>
      </w:r>
      <w:r>
        <w:t>. Similar results were found for microalbuminuria (99.2% of the risk reduction explained by a reduction in HbA</w:t>
      </w:r>
      <w:r w:rsidRPr="00817F23">
        <w:t>1c</w:t>
      </w:r>
      <w:r>
        <w:t>) and albuminuria (96.7% of the risk reduction explained by a reduction in HbA</w:t>
      </w:r>
      <w:r w:rsidRPr="00817F23">
        <w:t>1c</w:t>
      </w:r>
      <w:r>
        <w:t>).</w:t>
      </w:r>
    </w:p>
    <w:p w:rsidR="007B4AB8" w:rsidRDefault="007B4AB8" w:rsidP="007B4AB8">
      <w:r>
        <w:t>The validity of HbA1c is thus well established, and this outcome has been accepted by regulatory authorities worldwide as an appropriate surrogate marker of clinical effectiveness in clinical trials of new treatments. The change in HbA</w:t>
      </w:r>
      <w:r w:rsidRPr="00817F23">
        <w:t>1c</w:t>
      </w:r>
      <w:r>
        <w:t xml:space="preserve"> will be used in this submission as the primary measure of clinical effectiveness in</w:t>
      </w:r>
      <w:r w:rsidR="00264A8D">
        <w:t xml:space="preserve"> the subgroup of</w:t>
      </w:r>
      <w:r>
        <w:t xml:space="preserve"> patients with </w:t>
      </w:r>
      <w:r w:rsidR="00264A8D">
        <w:t xml:space="preserve">type 2 </w:t>
      </w:r>
      <w:r>
        <w:t>diabetes</w:t>
      </w:r>
      <w:r w:rsidR="00264A8D">
        <w:t xml:space="preserve"> mellitus</w:t>
      </w:r>
      <w:r>
        <w:t>.</w:t>
      </w:r>
    </w:p>
    <w:p w:rsidR="007B4AB8" w:rsidRDefault="007B4AB8" w:rsidP="007B4AB8">
      <w:pPr>
        <w:pStyle w:val="Heading3"/>
      </w:pPr>
      <w:bookmarkStart w:id="29" w:name="_Toc389834069"/>
      <w:r>
        <w:t>Adverse events</w:t>
      </w:r>
      <w:bookmarkEnd w:id="29"/>
    </w:p>
    <w:p w:rsidR="007B4AB8" w:rsidRPr="00B90FA6" w:rsidRDefault="007B4AB8" w:rsidP="007B4AB8">
      <w:pPr>
        <w:rPr>
          <w:rFonts w:ascii="Helvetica" w:hAnsi="Helvetica" w:cs="Helvetica"/>
          <w:color w:val="000000"/>
        </w:rPr>
      </w:pPr>
      <w:r>
        <w:t xml:space="preserve">To ensure that EndoBarrier is non-inferior to its comparators in terms of safety, a comparison of safety in terms of intervention-related adverse events will be undertaken. Clinical trial evidence suggests that adverse events are generally infrequent, and of low severity. </w:t>
      </w:r>
      <w:r w:rsidRPr="00BA712D">
        <w:rPr>
          <w:color w:val="000000"/>
        </w:rPr>
        <w:t>The following symptoms and a</w:t>
      </w:r>
      <w:r w:rsidRPr="00B90FA6">
        <w:rPr>
          <w:rFonts w:ascii="Helvetica" w:hAnsi="Helvetica" w:cs="Helvetica"/>
          <w:color w:val="000000"/>
        </w:rPr>
        <w:t>dverse effects have been reported from EndoBarrier implantation in some patients:</w:t>
      </w:r>
    </w:p>
    <w:p w:rsidR="007B4AB8" w:rsidRPr="00B90FA6" w:rsidRDefault="007B4AB8" w:rsidP="009812D4">
      <w:pPr>
        <w:numPr>
          <w:ilvl w:val="0"/>
          <w:numId w:val="7"/>
        </w:numPr>
        <w:spacing w:after="0" w:line="240" w:lineRule="auto"/>
        <w:jc w:val="left"/>
        <w:rPr>
          <w:color w:val="000000"/>
        </w:rPr>
      </w:pPr>
      <w:r w:rsidRPr="00B90FA6">
        <w:rPr>
          <w:color w:val="000000"/>
        </w:rPr>
        <w:t>Nausea</w:t>
      </w:r>
    </w:p>
    <w:p w:rsidR="007B4AB8" w:rsidRPr="00B90FA6" w:rsidRDefault="007B4AB8" w:rsidP="009812D4">
      <w:pPr>
        <w:numPr>
          <w:ilvl w:val="0"/>
          <w:numId w:val="7"/>
        </w:numPr>
        <w:spacing w:after="0" w:line="240" w:lineRule="auto"/>
        <w:jc w:val="left"/>
        <w:rPr>
          <w:color w:val="000000"/>
        </w:rPr>
      </w:pPr>
      <w:r w:rsidRPr="00B90FA6">
        <w:rPr>
          <w:color w:val="000000"/>
        </w:rPr>
        <w:t>Vomiting</w:t>
      </w:r>
    </w:p>
    <w:p w:rsidR="007B4AB8" w:rsidRPr="00B90FA6" w:rsidRDefault="007B4AB8" w:rsidP="009812D4">
      <w:pPr>
        <w:numPr>
          <w:ilvl w:val="0"/>
          <w:numId w:val="7"/>
        </w:numPr>
        <w:spacing w:after="0" w:line="240" w:lineRule="auto"/>
        <w:jc w:val="left"/>
        <w:rPr>
          <w:color w:val="000000"/>
        </w:rPr>
      </w:pPr>
      <w:r w:rsidRPr="00B90FA6">
        <w:rPr>
          <w:color w:val="000000"/>
        </w:rPr>
        <w:t>Upper abdominal pain</w:t>
      </w:r>
    </w:p>
    <w:p w:rsidR="007B4AB8" w:rsidRPr="00B90FA6" w:rsidRDefault="007B4AB8" w:rsidP="009812D4">
      <w:pPr>
        <w:numPr>
          <w:ilvl w:val="0"/>
          <w:numId w:val="7"/>
        </w:numPr>
        <w:spacing w:after="0" w:line="240" w:lineRule="auto"/>
        <w:jc w:val="left"/>
        <w:rPr>
          <w:color w:val="000000"/>
        </w:rPr>
      </w:pPr>
      <w:r w:rsidRPr="00B90FA6">
        <w:rPr>
          <w:color w:val="000000"/>
        </w:rPr>
        <w:t>Bleeding</w:t>
      </w:r>
    </w:p>
    <w:p w:rsidR="007B4AB8" w:rsidRPr="00B90FA6" w:rsidRDefault="007B4AB8" w:rsidP="009812D4">
      <w:pPr>
        <w:numPr>
          <w:ilvl w:val="0"/>
          <w:numId w:val="7"/>
        </w:numPr>
        <w:spacing w:after="0" w:line="240" w:lineRule="auto"/>
        <w:jc w:val="left"/>
        <w:rPr>
          <w:color w:val="000000"/>
        </w:rPr>
      </w:pPr>
      <w:r w:rsidRPr="00B90FA6">
        <w:rPr>
          <w:color w:val="000000"/>
        </w:rPr>
        <w:t xml:space="preserve">Device migration </w:t>
      </w:r>
    </w:p>
    <w:p w:rsidR="007B4AB8" w:rsidRPr="00B90FA6" w:rsidRDefault="007B4AB8" w:rsidP="009812D4">
      <w:pPr>
        <w:numPr>
          <w:ilvl w:val="0"/>
          <w:numId w:val="7"/>
        </w:numPr>
        <w:spacing w:after="0" w:line="240" w:lineRule="auto"/>
        <w:jc w:val="left"/>
        <w:rPr>
          <w:color w:val="000000"/>
        </w:rPr>
      </w:pPr>
      <w:r w:rsidRPr="00B90FA6">
        <w:rPr>
          <w:color w:val="000000"/>
        </w:rPr>
        <w:t>Transient fever</w:t>
      </w:r>
    </w:p>
    <w:p w:rsidR="007B4AB8" w:rsidRPr="00B90FA6" w:rsidRDefault="007B4AB8" w:rsidP="009812D4">
      <w:pPr>
        <w:numPr>
          <w:ilvl w:val="0"/>
          <w:numId w:val="7"/>
        </w:numPr>
        <w:spacing w:after="0" w:line="240" w:lineRule="auto"/>
        <w:jc w:val="left"/>
        <w:rPr>
          <w:color w:val="000000"/>
        </w:rPr>
      </w:pPr>
      <w:r w:rsidRPr="00B90FA6">
        <w:rPr>
          <w:color w:val="000000"/>
        </w:rPr>
        <w:t>Obstruction with vomiting</w:t>
      </w:r>
    </w:p>
    <w:p w:rsidR="007B4AB8" w:rsidRDefault="007B4AB8" w:rsidP="00817F23"/>
    <w:p w:rsidR="0016120E" w:rsidRPr="0016120E" w:rsidRDefault="0016120E" w:rsidP="0016120E">
      <w:pPr>
        <w:pStyle w:val="Heading3"/>
      </w:pPr>
      <w:bookmarkStart w:id="30" w:name="_Toc389834070"/>
      <w:r>
        <w:t>Other outcomes</w:t>
      </w:r>
      <w:bookmarkEnd w:id="30"/>
    </w:p>
    <w:p w:rsidR="0016120E" w:rsidRDefault="0016120E" w:rsidP="00817F23">
      <w:r>
        <w:t xml:space="preserve">In addition to the outcomes discussed above, clinical trials of EndoBarrier evaluated a range of other efficacy endpoints associated with </w:t>
      </w:r>
      <w:r w:rsidR="002B34C7">
        <w:t>safety, resource-use or the risk of diabetes or cardiovascular disease. These outcomes include, but are not limited to, the following:</w:t>
      </w:r>
    </w:p>
    <w:p w:rsidR="002B34C7" w:rsidRPr="007170A9" w:rsidRDefault="002B34C7" w:rsidP="008E72F4">
      <w:pPr>
        <w:pStyle w:val="TableText0"/>
        <w:numPr>
          <w:ilvl w:val="0"/>
          <w:numId w:val="8"/>
        </w:numPr>
        <w:rPr>
          <w:rFonts w:cs="Arial"/>
        </w:rPr>
      </w:pPr>
      <w:r w:rsidRPr="007170A9">
        <w:rPr>
          <w:rFonts w:cs="Arial"/>
        </w:rPr>
        <w:lastRenderedPageBreak/>
        <w:t xml:space="preserve">Change in </w:t>
      </w:r>
      <w:r>
        <w:rPr>
          <w:rFonts w:cs="Arial"/>
        </w:rPr>
        <w:t>fasting plasma glucose (</w:t>
      </w:r>
      <w:r w:rsidRPr="007170A9">
        <w:rPr>
          <w:rFonts w:cs="Arial"/>
        </w:rPr>
        <w:t>FPG</w:t>
      </w:r>
      <w:r>
        <w:rPr>
          <w:rFonts w:cs="Arial"/>
        </w:rPr>
        <w:t>)</w:t>
      </w:r>
      <w:r w:rsidRPr="007170A9">
        <w:rPr>
          <w:rFonts w:cs="Arial"/>
        </w:rPr>
        <w:t xml:space="preserve"> concentration</w:t>
      </w:r>
    </w:p>
    <w:p w:rsidR="002B34C7" w:rsidRPr="007170A9" w:rsidRDefault="002B34C7" w:rsidP="008E72F4">
      <w:pPr>
        <w:pStyle w:val="TableText0"/>
        <w:numPr>
          <w:ilvl w:val="0"/>
          <w:numId w:val="8"/>
        </w:numPr>
        <w:rPr>
          <w:rFonts w:cs="Arial"/>
        </w:rPr>
      </w:pPr>
      <w:r w:rsidRPr="007170A9">
        <w:rPr>
          <w:rFonts w:cs="Arial"/>
        </w:rPr>
        <w:t>Postprandial seven-point blood glucose profile</w:t>
      </w:r>
    </w:p>
    <w:p w:rsidR="002B34C7" w:rsidRPr="007170A9" w:rsidRDefault="002B34C7" w:rsidP="008E72F4">
      <w:pPr>
        <w:pStyle w:val="TableText0"/>
        <w:numPr>
          <w:ilvl w:val="0"/>
          <w:numId w:val="8"/>
        </w:numPr>
        <w:rPr>
          <w:rFonts w:cs="Arial"/>
        </w:rPr>
      </w:pPr>
      <w:r w:rsidRPr="007170A9">
        <w:rPr>
          <w:rFonts w:cs="Arial"/>
        </w:rPr>
        <w:t>Meal tolerance test (MTT)</w:t>
      </w:r>
    </w:p>
    <w:p w:rsidR="002B34C7" w:rsidRPr="007170A9" w:rsidRDefault="002B34C7" w:rsidP="008E72F4">
      <w:pPr>
        <w:pStyle w:val="TableText0"/>
        <w:numPr>
          <w:ilvl w:val="0"/>
          <w:numId w:val="8"/>
        </w:numPr>
        <w:rPr>
          <w:rFonts w:cs="Arial"/>
        </w:rPr>
      </w:pPr>
      <w:r w:rsidRPr="007170A9">
        <w:rPr>
          <w:rFonts w:cs="Arial"/>
        </w:rPr>
        <w:t xml:space="preserve">Percentage of subjects achieving 10% </w:t>
      </w:r>
      <w:r>
        <w:rPr>
          <w:rFonts w:cs="Arial"/>
        </w:rPr>
        <w:t>excess weight loss (</w:t>
      </w:r>
      <w:r w:rsidRPr="007170A9">
        <w:rPr>
          <w:rFonts w:cs="Arial"/>
        </w:rPr>
        <w:t>EWL</w:t>
      </w:r>
      <w:r>
        <w:rPr>
          <w:rFonts w:cs="Arial"/>
        </w:rPr>
        <w:t>)</w:t>
      </w:r>
    </w:p>
    <w:p w:rsidR="002B34C7" w:rsidRDefault="002B34C7" w:rsidP="008E72F4">
      <w:pPr>
        <w:pStyle w:val="TableText0"/>
        <w:numPr>
          <w:ilvl w:val="0"/>
          <w:numId w:val="8"/>
        </w:numPr>
        <w:rPr>
          <w:rFonts w:cs="Arial"/>
        </w:rPr>
      </w:pPr>
      <w:r w:rsidRPr="007170A9">
        <w:rPr>
          <w:rFonts w:cs="Arial"/>
        </w:rPr>
        <w:t>Change in total body weight</w:t>
      </w:r>
    </w:p>
    <w:p w:rsidR="002B34C7" w:rsidRDefault="002B34C7" w:rsidP="008E72F4">
      <w:pPr>
        <w:pStyle w:val="TableText0"/>
        <w:numPr>
          <w:ilvl w:val="0"/>
          <w:numId w:val="8"/>
        </w:numPr>
        <w:rPr>
          <w:rFonts w:cs="Arial"/>
        </w:rPr>
      </w:pPr>
      <w:r>
        <w:rPr>
          <w:rFonts w:cs="Arial"/>
        </w:rPr>
        <w:t>Change in insulin dosage</w:t>
      </w:r>
    </w:p>
    <w:p w:rsidR="002B34C7" w:rsidRPr="002B34C7" w:rsidRDefault="002B34C7" w:rsidP="008E72F4">
      <w:pPr>
        <w:pStyle w:val="TableText0"/>
        <w:numPr>
          <w:ilvl w:val="0"/>
          <w:numId w:val="8"/>
        </w:numPr>
        <w:rPr>
          <w:rFonts w:cs="Arial"/>
        </w:rPr>
      </w:pPr>
      <w:r w:rsidRPr="007170A9">
        <w:rPr>
          <w:rFonts w:cs="Arial"/>
        </w:rPr>
        <w:t>Oral anti</w:t>
      </w:r>
      <w:r>
        <w:rPr>
          <w:rFonts w:cs="Arial"/>
        </w:rPr>
        <w:t>-</w:t>
      </w:r>
      <w:r w:rsidRPr="007170A9">
        <w:rPr>
          <w:rFonts w:cs="Arial"/>
        </w:rPr>
        <w:t>diabetic drug (OAD) use</w:t>
      </w:r>
    </w:p>
    <w:p w:rsidR="002B34C7" w:rsidRDefault="002B34C7" w:rsidP="008E72F4">
      <w:pPr>
        <w:pStyle w:val="TableText0"/>
        <w:numPr>
          <w:ilvl w:val="0"/>
          <w:numId w:val="8"/>
        </w:numPr>
        <w:rPr>
          <w:rFonts w:cs="Arial"/>
        </w:rPr>
      </w:pPr>
      <w:r>
        <w:rPr>
          <w:rFonts w:cs="Arial"/>
        </w:rPr>
        <w:t>Blood lipid levels</w:t>
      </w:r>
    </w:p>
    <w:p w:rsidR="002B34C7" w:rsidRDefault="002B34C7" w:rsidP="008E72F4">
      <w:pPr>
        <w:pStyle w:val="TableText0"/>
        <w:numPr>
          <w:ilvl w:val="0"/>
          <w:numId w:val="8"/>
        </w:numPr>
        <w:rPr>
          <w:rFonts w:cs="Arial"/>
        </w:rPr>
      </w:pPr>
      <w:r>
        <w:rPr>
          <w:rFonts w:cs="Arial"/>
        </w:rPr>
        <w:t>Blood pressure</w:t>
      </w:r>
    </w:p>
    <w:p w:rsidR="002B34C7" w:rsidRDefault="002B34C7" w:rsidP="008E72F4">
      <w:pPr>
        <w:pStyle w:val="TableText0"/>
        <w:numPr>
          <w:ilvl w:val="0"/>
          <w:numId w:val="8"/>
        </w:numPr>
        <w:rPr>
          <w:rFonts w:cs="Arial"/>
        </w:rPr>
      </w:pPr>
      <w:r>
        <w:rPr>
          <w:rFonts w:cs="Arial"/>
        </w:rPr>
        <w:t>Waist circumference</w:t>
      </w:r>
    </w:p>
    <w:p w:rsidR="002B34C7" w:rsidRDefault="002B34C7" w:rsidP="008E72F4">
      <w:pPr>
        <w:pStyle w:val="TableText0"/>
        <w:numPr>
          <w:ilvl w:val="0"/>
          <w:numId w:val="8"/>
        </w:numPr>
        <w:rPr>
          <w:rFonts w:cs="Arial"/>
        </w:rPr>
      </w:pPr>
      <w:r>
        <w:rPr>
          <w:rFonts w:cs="Arial"/>
        </w:rPr>
        <w:t>Metabolic syndrome</w:t>
      </w:r>
    </w:p>
    <w:p w:rsidR="0070791D" w:rsidRDefault="0070791D" w:rsidP="0070791D">
      <w:pPr>
        <w:pStyle w:val="TableText0"/>
        <w:rPr>
          <w:rFonts w:cs="Arial"/>
        </w:rPr>
      </w:pPr>
    </w:p>
    <w:p w:rsidR="00817F23" w:rsidRPr="00535268" w:rsidRDefault="00B90731" w:rsidP="0042242D">
      <w:pPr>
        <w:rPr>
          <w:sz w:val="4"/>
          <w:szCs w:val="4"/>
          <w:highlight w:val="yellow"/>
        </w:rPr>
      </w:pPr>
      <w:r>
        <w:t xml:space="preserve">In addition to the trial-based outcomes, the economic model will also consider some downstream health impacts such as cardiovascular events, microvascular events, quality of life and mortality. </w:t>
      </w:r>
    </w:p>
    <w:p w:rsidR="000D5CF9" w:rsidRDefault="000D5CF9" w:rsidP="0042242D">
      <w:pPr>
        <w:pStyle w:val="Heading2"/>
      </w:pPr>
      <w:bookmarkStart w:id="31" w:name="_Toc389834071"/>
      <w:r>
        <w:t>Health care resources</w:t>
      </w:r>
      <w:bookmarkEnd w:id="31"/>
    </w:p>
    <w:p w:rsidR="007D36B9" w:rsidRDefault="007D36B9" w:rsidP="007D36B9">
      <w:pPr>
        <w:pStyle w:val="Heading3"/>
      </w:pPr>
      <w:bookmarkStart w:id="32" w:name="_Toc389834072"/>
      <w:r>
        <w:t>Resources to deliver proposed intervention</w:t>
      </w:r>
      <w:bookmarkEnd w:id="32"/>
    </w:p>
    <w:p w:rsidR="00B90731" w:rsidRDefault="00B90731" w:rsidP="00B90731">
      <w:r>
        <w:t>The cost of the EndoBarrier device, including the liner, insertion and removal systems, is expected to be reimbursed on the Prostheses List and will be incl</w:t>
      </w:r>
      <w:r w:rsidR="00EC4631">
        <w:t>uded in the economic evaluation</w:t>
      </w:r>
      <w:r>
        <w:t>.  In addition to the prostheses costs, patients using EndoBarrier will incur a range of additional professional/clinic costs while the implantation and removal procedures are being undertaken all of which will be included in the economic evaluation</w:t>
      </w:r>
    </w:p>
    <w:p w:rsidR="002B34C7" w:rsidRDefault="007D36B9" w:rsidP="00494ACF">
      <w:r>
        <w:t xml:space="preserve">As mentioned previously, an experienced physician </w:t>
      </w:r>
      <w:r w:rsidR="007D2BA9">
        <w:t>with training for endoscopy</w:t>
      </w:r>
      <w:r>
        <w:t xml:space="preserve"> can complete the implantation process </w:t>
      </w:r>
      <w:r w:rsidR="002B34C7">
        <w:t xml:space="preserve">as </w:t>
      </w:r>
      <w:r w:rsidR="00CD3B0B">
        <w:t>a (hospital) day-case procedure; however in some cases hospitalisation may be requir</w:t>
      </w:r>
      <w:r w:rsidR="00E47590">
        <w:t>ed</w:t>
      </w:r>
      <w:r>
        <w:t>.</w:t>
      </w:r>
      <w:r w:rsidR="000772F3">
        <w:t xml:space="preserve"> </w:t>
      </w:r>
      <w:r w:rsidR="002B34C7">
        <w:t>The insertion of the liner</w:t>
      </w:r>
      <w:r w:rsidR="002B34C7" w:rsidRPr="00F94CE9">
        <w:t xml:space="preserve"> will </w:t>
      </w:r>
      <w:r w:rsidR="002B34C7">
        <w:t>require the attendance</w:t>
      </w:r>
      <w:r w:rsidR="002B34C7" w:rsidRPr="00F94CE9">
        <w:t xml:space="preserve"> </w:t>
      </w:r>
      <w:r w:rsidR="002B34C7">
        <w:t>of at least one</w:t>
      </w:r>
      <w:r w:rsidR="002B34C7" w:rsidRPr="00F94CE9">
        <w:t xml:space="preserve"> trained specialist</w:t>
      </w:r>
      <w:r w:rsidR="002B34C7">
        <w:t xml:space="preserve"> and </w:t>
      </w:r>
      <w:r w:rsidR="002B34C7" w:rsidRPr="00F94CE9">
        <w:t>the assistance of a nurse o</w:t>
      </w:r>
      <w:r w:rsidR="002B34C7">
        <w:t>r assistant</w:t>
      </w:r>
      <w:r w:rsidR="002B34C7" w:rsidRPr="00F94CE9">
        <w:t xml:space="preserve">. </w:t>
      </w:r>
      <w:r w:rsidR="001F3459">
        <w:t>Removal of the device is undertaken through anot</w:t>
      </w:r>
      <w:r w:rsidR="002B34C7">
        <w:t>her endoscopic procedure that is less complex and time-consuming than the implantation procedure.</w:t>
      </w:r>
      <w:r w:rsidR="001F3459">
        <w:t xml:space="preserve"> </w:t>
      </w:r>
      <w:r w:rsidR="002A4A16">
        <w:t xml:space="preserve">Insertion and removal of the device will also require anaesthesia. </w:t>
      </w:r>
    </w:p>
    <w:p w:rsidR="00B90731" w:rsidRPr="00CD2D9C" w:rsidRDefault="00B90731" w:rsidP="00B90731">
      <w:r>
        <w:t xml:space="preserve">The MBS item fees for EndoBarrier implantation and removal will be determined in the final submission with reference to MBS-listed procedures of similar complexity. A full justification of MBS item fees for the implantation and removal of EndoBarrier in terms of resource-use will be presented in the submission-based assessment. </w:t>
      </w:r>
    </w:p>
    <w:p w:rsidR="007D36B9" w:rsidRPr="00EC4631" w:rsidRDefault="007D36B9" w:rsidP="007D36B9">
      <w:pPr>
        <w:pStyle w:val="Heading3"/>
      </w:pPr>
      <w:bookmarkStart w:id="33" w:name="_Toc389834073"/>
      <w:r>
        <w:t>Resources provided in association with the proposed intervention</w:t>
      </w:r>
      <w:bookmarkEnd w:id="33"/>
      <w:r w:rsidR="00EC4631">
        <w:t xml:space="preserve"> </w:t>
      </w:r>
    </w:p>
    <w:p w:rsidR="002A4A16" w:rsidRPr="00EC4631" w:rsidRDefault="002A4A16" w:rsidP="00EC4631">
      <w:r w:rsidRPr="00EC4631">
        <w:t xml:space="preserve">To minimise the risk of bleeding, all patients receiving treatment with EndoBarrier are required to take a proton pump inhibitor for </w:t>
      </w:r>
      <w:r w:rsidR="00B90731" w:rsidRPr="00EC4631">
        <w:t xml:space="preserve">the duration of therapy (e.g. </w:t>
      </w:r>
      <w:r w:rsidRPr="00EC4631">
        <w:t xml:space="preserve">omeprazole). </w:t>
      </w:r>
    </w:p>
    <w:p w:rsidR="00F417A6" w:rsidRPr="00EC4631" w:rsidRDefault="00F417A6" w:rsidP="00EC4631">
      <w:r w:rsidRPr="00EC4631">
        <w:t>A</w:t>
      </w:r>
      <w:r w:rsidR="00250543">
        <w:t xml:space="preserve">s part of SOC, </w:t>
      </w:r>
      <w:r w:rsidRPr="00EC4631">
        <w:t xml:space="preserve">patients </w:t>
      </w:r>
      <w:r w:rsidR="00264A8D">
        <w:t xml:space="preserve">with co-morbid type 2 diabetes mellitus </w:t>
      </w:r>
      <w:r w:rsidRPr="00EC4631">
        <w:t xml:space="preserve">are assumed to receive conventional </w:t>
      </w:r>
      <w:r w:rsidR="002A4A16" w:rsidRPr="00EC4631">
        <w:t>anti-diabetic medications</w:t>
      </w:r>
      <w:r w:rsidR="0091520B" w:rsidRPr="00EC4631">
        <w:t xml:space="preserve"> including metformin, sulfonylurea and third-line treatments such as acarbose, a DPP-4 inhibitor, a glitazone or insulin, d</w:t>
      </w:r>
      <w:r w:rsidRPr="00EC4631">
        <w:t xml:space="preserve">epending on </w:t>
      </w:r>
      <w:r w:rsidR="0091520B" w:rsidRPr="00EC4631">
        <w:t xml:space="preserve">a patient’s </w:t>
      </w:r>
      <w:r w:rsidRPr="00EC4631">
        <w:t>disease severity and treatment history</w:t>
      </w:r>
      <w:r w:rsidR="0091520B" w:rsidRPr="00EC4631">
        <w:t>.</w:t>
      </w:r>
      <w:r w:rsidRPr="00EC4631">
        <w:t xml:space="preserve"> Although EndoBarrier will be used in addition to anti-diabetic medications there will be some reduction in their use based on a patient’s response to treatment. </w:t>
      </w:r>
    </w:p>
    <w:p w:rsidR="00277FF2" w:rsidRDefault="001F3459" w:rsidP="00277FF2">
      <w:pPr>
        <w:pStyle w:val="Heading3"/>
      </w:pPr>
      <w:bookmarkStart w:id="34" w:name="_Toc389834074"/>
      <w:r>
        <w:lastRenderedPageBreak/>
        <w:t>Resources provided to deliver comparator</w:t>
      </w:r>
      <w:bookmarkEnd w:id="34"/>
    </w:p>
    <w:p w:rsidR="00B90731" w:rsidRDefault="00B90731" w:rsidP="00EC4631">
      <w:r w:rsidRPr="00D042C3">
        <w:t xml:space="preserve">As discussed previously, </w:t>
      </w:r>
      <w:r w:rsidR="00EC4631">
        <w:t>a proportion of patients</w:t>
      </w:r>
      <w:r w:rsidRPr="00D042C3">
        <w:t xml:space="preserve"> with clinically severe obesity</w:t>
      </w:r>
      <w:r w:rsidR="00EC4631">
        <w:t xml:space="preserve"> currently receive</w:t>
      </w:r>
      <w:r w:rsidRPr="00D042C3">
        <w:t xml:space="preserve"> gastric banding. Both procedures have the advantages of no alteration to gastrointestinal tract or anastomosis, reversibility, and lower operative mortality and morbidity compared with other bariatric procedures. The </w:t>
      </w:r>
      <w:r>
        <w:t xml:space="preserve">costs associated with gastric banding include the </w:t>
      </w:r>
      <w:r w:rsidRPr="00D042C3">
        <w:t xml:space="preserve">MBS item fee for gastric banding (MBS </w:t>
      </w:r>
      <w:r>
        <w:t xml:space="preserve">item 31569) plus associated expenses such as hospitalisation and anaesthesia. Hospitalisation costs and average length of stay associated with AR-DRGs </w:t>
      </w:r>
      <w:r w:rsidRPr="00C327EC">
        <w:t>K07Z</w:t>
      </w:r>
      <w:r>
        <w:t xml:space="preserve"> </w:t>
      </w:r>
      <w:r w:rsidRPr="00C327EC">
        <w:t>K04A</w:t>
      </w:r>
      <w:r>
        <w:t xml:space="preserve"> and </w:t>
      </w:r>
      <w:r w:rsidRPr="00C327EC">
        <w:t>K04B</w:t>
      </w:r>
      <w:r>
        <w:t>.</w:t>
      </w:r>
    </w:p>
    <w:p w:rsidR="002A4A16" w:rsidRPr="00F417A6" w:rsidRDefault="00F417A6" w:rsidP="00EC4631">
      <w:r w:rsidRPr="00F417A6">
        <w:t xml:space="preserve">It should be noted that </w:t>
      </w:r>
      <w:r>
        <w:t xml:space="preserve">patients who undergo gastric banding often require gastric band adjustments (MBS item </w:t>
      </w:r>
      <w:r w:rsidR="00C327EC">
        <w:t>315</w:t>
      </w:r>
      <w:r w:rsidR="001B5AEE">
        <w:t>87</w:t>
      </w:r>
      <w:r>
        <w:t>), and some patients choose to eventually have the p</w:t>
      </w:r>
      <w:r w:rsidR="00C327EC">
        <w:t>rocedure reversed (MBS item 3</w:t>
      </w:r>
      <w:r w:rsidR="001B5AEE">
        <w:t>1</w:t>
      </w:r>
      <w:r w:rsidR="00C327EC">
        <w:t>58</w:t>
      </w:r>
      <w:r>
        <w:t xml:space="preserve">4). The costs of these procedures will be considered in the economic evaluation. </w:t>
      </w:r>
    </w:p>
    <w:p w:rsidR="001F3459" w:rsidRPr="00EC4631" w:rsidRDefault="001F3459" w:rsidP="001F3459">
      <w:pPr>
        <w:pStyle w:val="Heading3"/>
      </w:pPr>
      <w:bookmarkStart w:id="35" w:name="_Toc389834075"/>
      <w:r>
        <w:t>Resources provided in association with the comparator</w:t>
      </w:r>
      <w:r w:rsidR="00EC4631">
        <w:t xml:space="preserve"> (SOC)</w:t>
      </w:r>
      <w:bookmarkEnd w:id="35"/>
    </w:p>
    <w:p w:rsidR="0091520B" w:rsidRDefault="0091520B" w:rsidP="00EC4631">
      <w:r>
        <w:t>As is the case for patients implanted with EndoBarrier,</w:t>
      </w:r>
      <w:r w:rsidRPr="00D83B7E">
        <w:t xml:space="preserve"> patients </w:t>
      </w:r>
      <w:r w:rsidR="00264A8D">
        <w:t xml:space="preserve">with </w:t>
      </w:r>
      <w:r w:rsidR="00C7634C">
        <w:t xml:space="preserve">comorbid type 2 diabetes mellitus </w:t>
      </w:r>
      <w:r>
        <w:t xml:space="preserve">are assumed to </w:t>
      </w:r>
      <w:r w:rsidRPr="00D83B7E">
        <w:t xml:space="preserve">receive </w:t>
      </w:r>
      <w:r>
        <w:t xml:space="preserve">SOC consisting of </w:t>
      </w:r>
      <w:r w:rsidRPr="00D83B7E">
        <w:t xml:space="preserve">conventional </w:t>
      </w:r>
      <w:r>
        <w:t xml:space="preserve">anti-diabetic medications including metformin, </w:t>
      </w:r>
      <w:r w:rsidRPr="00D83B7E">
        <w:t>sulfonylurea</w:t>
      </w:r>
      <w:r>
        <w:t xml:space="preserve"> and third-line treatments such as </w:t>
      </w:r>
      <w:r w:rsidRPr="005956E0">
        <w:t>acarbose, a DPP-4 i</w:t>
      </w:r>
      <w:r>
        <w:t>nhibitor, a glitazone or insulin, depending on a patient’s disease severity and treatment history.</w:t>
      </w:r>
      <w:r w:rsidRPr="00D83B7E">
        <w:t xml:space="preserve"> </w:t>
      </w:r>
    </w:p>
    <w:p w:rsidR="00B90731" w:rsidRDefault="00B90731" w:rsidP="00EC4631">
      <w:bookmarkStart w:id="36" w:name="_Ref283143211"/>
      <w:bookmarkStart w:id="37" w:name="_Ref283143206"/>
      <w:r>
        <w:t xml:space="preserve">Resources used in the delivery of EndoBarrier and the main comparators are summarised in </w:t>
      </w:r>
      <w:r w:rsidR="004D5C85">
        <w:fldChar w:fldCharType="begin"/>
      </w:r>
      <w:r w:rsidR="009C2115">
        <w:instrText xml:space="preserve"> REF _Ref371668664 \h </w:instrText>
      </w:r>
      <w:r w:rsidR="004D5C85">
        <w:fldChar w:fldCharType="separate"/>
      </w:r>
      <w:r w:rsidR="008850CD" w:rsidRPr="00A34E9C">
        <w:t xml:space="preserve">Table </w:t>
      </w:r>
      <w:r w:rsidR="008850CD">
        <w:rPr>
          <w:noProof/>
        </w:rPr>
        <w:t>6</w:t>
      </w:r>
      <w:r w:rsidR="004D5C85">
        <w:fldChar w:fldCharType="end"/>
      </w:r>
      <w:r>
        <w:t xml:space="preserve"> The costs of these resources will take a societal perspective incorporating government and private out of pocket costs (data permitting). </w:t>
      </w:r>
    </w:p>
    <w:p w:rsidR="000D5CF9" w:rsidRPr="00A34E9C" w:rsidRDefault="000D5CF9" w:rsidP="0047240F">
      <w:pPr>
        <w:pStyle w:val="Caption"/>
        <w:keepLines/>
      </w:pPr>
      <w:bookmarkStart w:id="38" w:name="_Ref371668664"/>
      <w:r w:rsidRPr="00A34E9C">
        <w:t xml:space="preserve">Table </w:t>
      </w:r>
      <w:r w:rsidR="004D5C85">
        <w:fldChar w:fldCharType="begin"/>
      </w:r>
      <w:r w:rsidR="00D06433">
        <w:instrText xml:space="preserve"> SEQ Table \* ARABIC </w:instrText>
      </w:r>
      <w:r w:rsidR="004D5C85">
        <w:fldChar w:fldCharType="separate"/>
      </w:r>
      <w:r w:rsidR="008850CD">
        <w:rPr>
          <w:noProof/>
        </w:rPr>
        <w:t>6</w:t>
      </w:r>
      <w:r w:rsidR="004D5C85">
        <w:rPr>
          <w:noProof/>
        </w:rPr>
        <w:fldChar w:fldCharType="end"/>
      </w:r>
      <w:bookmarkEnd w:id="36"/>
      <w:bookmarkEnd w:id="38"/>
      <w:r w:rsidRPr="00A34E9C">
        <w:t>:</w:t>
      </w:r>
      <w:r w:rsidRPr="00A34E9C">
        <w:tab/>
      </w:r>
      <w:r>
        <w:t>List</w:t>
      </w:r>
      <w:r w:rsidRPr="00A34E9C">
        <w:t xml:space="preserve"> of resources to be considered in the economic analysis</w:t>
      </w:r>
      <w:bookmarkEnd w:id="3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1135"/>
        <w:gridCol w:w="851"/>
        <w:gridCol w:w="714"/>
        <w:gridCol w:w="987"/>
        <w:gridCol w:w="840"/>
        <w:gridCol w:w="698"/>
        <w:gridCol w:w="699"/>
        <w:gridCol w:w="698"/>
        <w:gridCol w:w="698"/>
        <w:gridCol w:w="699"/>
      </w:tblGrid>
      <w:tr w:rsidR="000D5CF9" w:rsidRPr="00314BE5" w:rsidTr="0070791D">
        <w:trPr>
          <w:tblHeader/>
        </w:trPr>
        <w:tc>
          <w:tcPr>
            <w:tcW w:w="1728" w:type="dxa"/>
            <w:vMerge w:val="restart"/>
          </w:tcPr>
          <w:p w:rsidR="000D5CF9" w:rsidRPr="00314BE5" w:rsidRDefault="000D5CF9" w:rsidP="0047240F">
            <w:pPr>
              <w:keepNext/>
              <w:keepLines/>
              <w:spacing w:after="0" w:line="240" w:lineRule="auto"/>
              <w:rPr>
                <w:rFonts w:ascii="Arial Narrow" w:hAnsi="Arial Narrow"/>
                <w:b/>
                <w:sz w:val="18"/>
              </w:rPr>
            </w:pPr>
          </w:p>
        </w:tc>
        <w:tc>
          <w:tcPr>
            <w:tcW w:w="1135" w:type="dxa"/>
            <w:vMerge w:val="restart"/>
            <w:shd w:val="clear" w:color="auto" w:fill="E5B8B7"/>
            <w:vAlign w:val="center"/>
          </w:tcPr>
          <w:p w:rsidR="000D5CF9" w:rsidRPr="00314BE5" w:rsidRDefault="000D5CF9" w:rsidP="0047240F">
            <w:pPr>
              <w:keepNext/>
              <w:keepLines/>
              <w:spacing w:after="0" w:line="240" w:lineRule="auto"/>
              <w:jc w:val="center"/>
              <w:rPr>
                <w:rFonts w:ascii="Arial Narrow" w:hAnsi="Arial Narrow"/>
                <w:b/>
                <w:sz w:val="18"/>
              </w:rPr>
            </w:pPr>
            <w:r w:rsidRPr="00314BE5">
              <w:rPr>
                <w:rFonts w:ascii="Arial Narrow" w:hAnsi="Arial Narrow"/>
                <w:b/>
                <w:sz w:val="18"/>
              </w:rPr>
              <w:t>Provider of resource</w:t>
            </w:r>
          </w:p>
        </w:tc>
        <w:tc>
          <w:tcPr>
            <w:tcW w:w="851" w:type="dxa"/>
            <w:vMerge w:val="restart"/>
            <w:shd w:val="clear" w:color="auto" w:fill="E5B8B7"/>
            <w:vAlign w:val="center"/>
          </w:tcPr>
          <w:p w:rsidR="000D5CF9" w:rsidRPr="00314BE5" w:rsidRDefault="000D5CF9" w:rsidP="0047240F">
            <w:pPr>
              <w:keepNext/>
              <w:keepLines/>
              <w:spacing w:after="0" w:line="240" w:lineRule="auto"/>
              <w:jc w:val="center"/>
              <w:rPr>
                <w:rFonts w:ascii="Arial Narrow" w:hAnsi="Arial Narrow"/>
                <w:b/>
                <w:sz w:val="18"/>
              </w:rPr>
            </w:pPr>
            <w:r w:rsidRPr="00314BE5">
              <w:rPr>
                <w:rFonts w:ascii="Arial Narrow" w:hAnsi="Arial Narrow"/>
                <w:b/>
                <w:sz w:val="18"/>
              </w:rPr>
              <w:t>Setting in which resource is provided</w:t>
            </w:r>
          </w:p>
        </w:tc>
        <w:tc>
          <w:tcPr>
            <w:tcW w:w="714" w:type="dxa"/>
            <w:vMerge w:val="restart"/>
            <w:shd w:val="clear" w:color="auto" w:fill="D6E3BC"/>
            <w:vAlign w:val="center"/>
          </w:tcPr>
          <w:p w:rsidR="000D5CF9" w:rsidRPr="00314BE5" w:rsidRDefault="000D5CF9" w:rsidP="0047240F">
            <w:pPr>
              <w:keepNext/>
              <w:keepLines/>
              <w:spacing w:after="0" w:line="240" w:lineRule="auto"/>
              <w:jc w:val="center"/>
              <w:rPr>
                <w:rFonts w:ascii="Arial Narrow" w:hAnsi="Arial Narrow"/>
                <w:b/>
                <w:sz w:val="18"/>
              </w:rPr>
            </w:pPr>
            <w:r w:rsidRPr="00314BE5">
              <w:rPr>
                <w:rFonts w:ascii="Arial Narrow" w:hAnsi="Arial Narrow"/>
                <w:b/>
                <w:sz w:val="18"/>
              </w:rPr>
              <w:t>Proportion of patients receiving resource</w:t>
            </w:r>
          </w:p>
        </w:tc>
        <w:tc>
          <w:tcPr>
            <w:tcW w:w="987" w:type="dxa"/>
            <w:vMerge w:val="restart"/>
            <w:shd w:val="clear" w:color="auto" w:fill="D6E3BC"/>
            <w:vAlign w:val="center"/>
          </w:tcPr>
          <w:p w:rsidR="000D5CF9" w:rsidRPr="00314BE5" w:rsidRDefault="000D5CF9" w:rsidP="0047240F">
            <w:pPr>
              <w:keepNext/>
              <w:keepLines/>
              <w:spacing w:after="0" w:line="240" w:lineRule="auto"/>
              <w:jc w:val="center"/>
              <w:rPr>
                <w:rFonts w:ascii="Arial Narrow" w:hAnsi="Arial Narrow"/>
                <w:b/>
                <w:sz w:val="18"/>
              </w:rPr>
            </w:pPr>
            <w:r w:rsidRPr="00314BE5">
              <w:rPr>
                <w:rFonts w:ascii="Arial Narrow" w:hAnsi="Arial Narrow"/>
                <w:b/>
                <w:sz w:val="18"/>
              </w:rPr>
              <w:t xml:space="preserve">Number of units of resource per relevant time </w:t>
            </w:r>
            <w:r>
              <w:rPr>
                <w:rFonts w:ascii="Arial Narrow" w:hAnsi="Arial Narrow"/>
                <w:b/>
                <w:sz w:val="18"/>
              </w:rPr>
              <w:t>horizon</w:t>
            </w:r>
            <w:r w:rsidRPr="00314BE5">
              <w:rPr>
                <w:rFonts w:ascii="Arial Narrow" w:hAnsi="Arial Narrow"/>
                <w:b/>
                <w:sz w:val="18"/>
              </w:rPr>
              <w:t xml:space="preserve"> per patient </w:t>
            </w:r>
          </w:p>
        </w:tc>
        <w:tc>
          <w:tcPr>
            <w:tcW w:w="4332" w:type="dxa"/>
            <w:gridSpan w:val="6"/>
            <w:shd w:val="clear" w:color="auto" w:fill="FBD4B4"/>
          </w:tcPr>
          <w:p w:rsidR="000D5CF9" w:rsidRPr="00314BE5" w:rsidRDefault="000D5CF9" w:rsidP="0047240F">
            <w:pPr>
              <w:keepNext/>
              <w:keepLines/>
              <w:spacing w:after="0" w:line="240" w:lineRule="auto"/>
              <w:jc w:val="center"/>
              <w:rPr>
                <w:rFonts w:ascii="Arial Narrow" w:hAnsi="Arial Narrow"/>
                <w:b/>
                <w:sz w:val="18"/>
              </w:rPr>
            </w:pPr>
            <w:r w:rsidRPr="00314BE5">
              <w:rPr>
                <w:rFonts w:ascii="Arial Narrow" w:hAnsi="Arial Narrow"/>
                <w:b/>
                <w:sz w:val="18"/>
              </w:rPr>
              <w:t>Disaggregated unit cost</w:t>
            </w:r>
          </w:p>
        </w:tc>
      </w:tr>
      <w:tr w:rsidR="000D5CF9" w:rsidRPr="00314BE5" w:rsidTr="0070791D">
        <w:trPr>
          <w:tblHeader/>
        </w:trPr>
        <w:tc>
          <w:tcPr>
            <w:tcW w:w="1728" w:type="dxa"/>
            <w:vMerge/>
          </w:tcPr>
          <w:p w:rsidR="000D5CF9" w:rsidRPr="00B061AD" w:rsidRDefault="000D5CF9" w:rsidP="0047240F">
            <w:pPr>
              <w:keepNext/>
              <w:keepLines/>
              <w:spacing w:after="0" w:line="240" w:lineRule="auto"/>
              <w:rPr>
                <w:rFonts w:ascii="Arial Narrow" w:hAnsi="Arial Narrow"/>
                <w:sz w:val="18"/>
              </w:rPr>
            </w:pPr>
          </w:p>
        </w:tc>
        <w:tc>
          <w:tcPr>
            <w:tcW w:w="1135" w:type="dxa"/>
            <w:vMerge/>
            <w:shd w:val="clear" w:color="auto" w:fill="E5B8B7"/>
          </w:tcPr>
          <w:p w:rsidR="000D5CF9" w:rsidRPr="00B061AD" w:rsidRDefault="000D5CF9" w:rsidP="0047240F">
            <w:pPr>
              <w:keepNext/>
              <w:keepLines/>
              <w:spacing w:after="0" w:line="240" w:lineRule="auto"/>
              <w:jc w:val="center"/>
              <w:rPr>
                <w:rFonts w:ascii="Arial Narrow" w:hAnsi="Arial Narrow"/>
                <w:sz w:val="18"/>
              </w:rPr>
            </w:pPr>
          </w:p>
        </w:tc>
        <w:tc>
          <w:tcPr>
            <w:tcW w:w="851" w:type="dxa"/>
            <w:vMerge/>
            <w:shd w:val="clear" w:color="auto" w:fill="E5B8B7"/>
          </w:tcPr>
          <w:p w:rsidR="000D5CF9" w:rsidRPr="00B061AD" w:rsidRDefault="000D5CF9" w:rsidP="0047240F">
            <w:pPr>
              <w:keepNext/>
              <w:keepLines/>
              <w:spacing w:after="0" w:line="240" w:lineRule="auto"/>
              <w:jc w:val="center"/>
              <w:rPr>
                <w:rFonts w:ascii="Arial Narrow" w:hAnsi="Arial Narrow"/>
                <w:sz w:val="18"/>
              </w:rPr>
            </w:pPr>
          </w:p>
        </w:tc>
        <w:tc>
          <w:tcPr>
            <w:tcW w:w="714" w:type="dxa"/>
            <w:vMerge/>
            <w:shd w:val="clear" w:color="auto" w:fill="D6E3BC"/>
          </w:tcPr>
          <w:p w:rsidR="000D5CF9" w:rsidRPr="00B061AD" w:rsidRDefault="000D5CF9" w:rsidP="0047240F">
            <w:pPr>
              <w:keepNext/>
              <w:keepLines/>
              <w:spacing w:after="0" w:line="240" w:lineRule="auto"/>
              <w:jc w:val="center"/>
              <w:rPr>
                <w:rFonts w:ascii="Arial Narrow" w:hAnsi="Arial Narrow"/>
                <w:sz w:val="18"/>
              </w:rPr>
            </w:pPr>
          </w:p>
        </w:tc>
        <w:tc>
          <w:tcPr>
            <w:tcW w:w="987" w:type="dxa"/>
            <w:vMerge/>
            <w:shd w:val="clear" w:color="auto" w:fill="D6E3BC"/>
          </w:tcPr>
          <w:p w:rsidR="000D5CF9" w:rsidRPr="00B061AD" w:rsidRDefault="000D5CF9" w:rsidP="0047240F">
            <w:pPr>
              <w:keepNext/>
              <w:keepLines/>
              <w:spacing w:after="0" w:line="240" w:lineRule="auto"/>
              <w:jc w:val="center"/>
              <w:rPr>
                <w:rFonts w:ascii="Arial Narrow" w:hAnsi="Arial Narrow"/>
                <w:sz w:val="18"/>
              </w:rPr>
            </w:pPr>
          </w:p>
        </w:tc>
        <w:tc>
          <w:tcPr>
            <w:tcW w:w="840" w:type="dxa"/>
            <w:shd w:val="clear" w:color="auto" w:fill="FBD4B4"/>
            <w:vAlign w:val="center"/>
          </w:tcPr>
          <w:p w:rsidR="000D5CF9" w:rsidRPr="00314BE5" w:rsidRDefault="000D5CF9" w:rsidP="0047240F">
            <w:pPr>
              <w:keepNext/>
              <w:keepLines/>
              <w:spacing w:after="0" w:line="240" w:lineRule="auto"/>
              <w:jc w:val="center"/>
              <w:rPr>
                <w:rFonts w:ascii="Arial Narrow" w:hAnsi="Arial Narrow"/>
                <w:b/>
                <w:sz w:val="18"/>
              </w:rPr>
            </w:pPr>
            <w:r>
              <w:rPr>
                <w:rFonts w:ascii="Arial Narrow" w:hAnsi="Arial Narrow"/>
                <w:b/>
                <w:sz w:val="18"/>
              </w:rPr>
              <w:t>MBS</w:t>
            </w:r>
          </w:p>
        </w:tc>
        <w:tc>
          <w:tcPr>
            <w:tcW w:w="698" w:type="dxa"/>
            <w:shd w:val="clear" w:color="auto" w:fill="FBD4B4"/>
            <w:vAlign w:val="center"/>
          </w:tcPr>
          <w:p w:rsidR="000D5CF9" w:rsidRPr="00314BE5" w:rsidRDefault="000D5CF9" w:rsidP="0047240F">
            <w:pPr>
              <w:keepNext/>
              <w:keepLines/>
              <w:spacing w:after="0" w:line="240" w:lineRule="auto"/>
              <w:jc w:val="center"/>
              <w:rPr>
                <w:rFonts w:ascii="Arial Narrow" w:hAnsi="Arial Narrow"/>
                <w:b/>
                <w:sz w:val="18"/>
              </w:rPr>
            </w:pPr>
            <w:r w:rsidRPr="00314BE5">
              <w:rPr>
                <w:rFonts w:ascii="Arial Narrow" w:hAnsi="Arial Narrow"/>
                <w:b/>
                <w:sz w:val="18"/>
              </w:rPr>
              <w:t>Safety nets*</w:t>
            </w:r>
          </w:p>
        </w:tc>
        <w:tc>
          <w:tcPr>
            <w:tcW w:w="699" w:type="dxa"/>
            <w:shd w:val="clear" w:color="auto" w:fill="FBD4B4"/>
            <w:vAlign w:val="center"/>
          </w:tcPr>
          <w:p w:rsidR="000D5CF9" w:rsidRPr="00314BE5" w:rsidRDefault="000D5CF9" w:rsidP="0047240F">
            <w:pPr>
              <w:keepNext/>
              <w:keepLines/>
              <w:spacing w:after="0" w:line="240" w:lineRule="auto"/>
              <w:jc w:val="center"/>
              <w:rPr>
                <w:rFonts w:ascii="Arial Narrow" w:hAnsi="Arial Narrow"/>
                <w:b/>
                <w:sz w:val="18"/>
              </w:rPr>
            </w:pPr>
            <w:r>
              <w:rPr>
                <w:rFonts w:ascii="Arial Narrow" w:hAnsi="Arial Narrow"/>
                <w:b/>
                <w:sz w:val="18"/>
              </w:rPr>
              <w:t xml:space="preserve">Other </w:t>
            </w:r>
            <w:r w:rsidRPr="00314BE5">
              <w:rPr>
                <w:rFonts w:ascii="Arial Narrow" w:hAnsi="Arial Narrow"/>
                <w:b/>
                <w:sz w:val="18"/>
              </w:rPr>
              <w:t>govt</w:t>
            </w:r>
            <w:r>
              <w:rPr>
                <w:rFonts w:ascii="Arial Narrow" w:hAnsi="Arial Narrow"/>
                <w:b/>
                <w:sz w:val="18"/>
              </w:rPr>
              <w:t xml:space="preserve"> budget</w:t>
            </w:r>
          </w:p>
        </w:tc>
        <w:tc>
          <w:tcPr>
            <w:tcW w:w="698" w:type="dxa"/>
            <w:shd w:val="clear" w:color="auto" w:fill="FBD4B4"/>
            <w:vAlign w:val="center"/>
          </w:tcPr>
          <w:p w:rsidR="000D5CF9" w:rsidRPr="00314BE5" w:rsidRDefault="000D5CF9" w:rsidP="0047240F">
            <w:pPr>
              <w:keepNext/>
              <w:keepLines/>
              <w:spacing w:after="0" w:line="240" w:lineRule="auto"/>
              <w:jc w:val="center"/>
              <w:rPr>
                <w:rFonts w:ascii="Arial Narrow" w:hAnsi="Arial Narrow"/>
                <w:b/>
                <w:sz w:val="18"/>
              </w:rPr>
            </w:pPr>
            <w:r w:rsidRPr="00314BE5">
              <w:rPr>
                <w:rFonts w:ascii="Arial Narrow" w:hAnsi="Arial Narrow"/>
                <w:b/>
                <w:sz w:val="18"/>
              </w:rPr>
              <w:t>Private health insurer</w:t>
            </w:r>
          </w:p>
        </w:tc>
        <w:tc>
          <w:tcPr>
            <w:tcW w:w="698" w:type="dxa"/>
            <w:shd w:val="clear" w:color="auto" w:fill="FBD4B4"/>
            <w:vAlign w:val="center"/>
          </w:tcPr>
          <w:p w:rsidR="000D5CF9" w:rsidRPr="00314BE5" w:rsidRDefault="000D5CF9" w:rsidP="0047240F">
            <w:pPr>
              <w:keepNext/>
              <w:keepLines/>
              <w:spacing w:after="0" w:line="240" w:lineRule="auto"/>
              <w:jc w:val="center"/>
              <w:rPr>
                <w:rFonts w:ascii="Arial Narrow" w:hAnsi="Arial Narrow"/>
                <w:b/>
                <w:sz w:val="18"/>
              </w:rPr>
            </w:pPr>
            <w:r w:rsidRPr="00314BE5">
              <w:rPr>
                <w:rFonts w:ascii="Arial Narrow" w:hAnsi="Arial Narrow"/>
                <w:b/>
                <w:sz w:val="18"/>
              </w:rPr>
              <w:t>Patient</w:t>
            </w:r>
          </w:p>
        </w:tc>
        <w:tc>
          <w:tcPr>
            <w:tcW w:w="699" w:type="dxa"/>
            <w:shd w:val="clear" w:color="auto" w:fill="FBD4B4"/>
            <w:vAlign w:val="center"/>
          </w:tcPr>
          <w:p w:rsidR="000D5CF9" w:rsidRPr="00314BE5" w:rsidRDefault="000D5CF9" w:rsidP="0047240F">
            <w:pPr>
              <w:keepNext/>
              <w:keepLines/>
              <w:spacing w:after="0" w:line="240" w:lineRule="auto"/>
              <w:jc w:val="center"/>
              <w:rPr>
                <w:rFonts w:ascii="Arial Narrow" w:hAnsi="Arial Narrow"/>
                <w:b/>
                <w:sz w:val="18"/>
              </w:rPr>
            </w:pPr>
            <w:r w:rsidRPr="00314BE5">
              <w:rPr>
                <w:rFonts w:ascii="Arial Narrow" w:hAnsi="Arial Narrow"/>
                <w:b/>
                <w:sz w:val="18"/>
              </w:rPr>
              <w:t>Total cost</w:t>
            </w:r>
          </w:p>
        </w:tc>
      </w:tr>
      <w:tr w:rsidR="000D5CF9" w:rsidRPr="00B061AD" w:rsidTr="0041626A">
        <w:tc>
          <w:tcPr>
            <w:tcW w:w="9747" w:type="dxa"/>
            <w:gridSpan w:val="11"/>
            <w:vAlign w:val="center"/>
          </w:tcPr>
          <w:p w:rsidR="000D5CF9" w:rsidRPr="00314BE5" w:rsidRDefault="000D5CF9" w:rsidP="0070791D">
            <w:pPr>
              <w:spacing w:after="0" w:line="240" w:lineRule="auto"/>
              <w:jc w:val="left"/>
              <w:rPr>
                <w:rFonts w:ascii="Arial Narrow" w:hAnsi="Arial Narrow"/>
                <w:sz w:val="18"/>
                <w:u w:val="single"/>
              </w:rPr>
            </w:pPr>
            <w:r w:rsidRPr="00314BE5">
              <w:rPr>
                <w:rFonts w:ascii="Arial Narrow" w:hAnsi="Arial Narrow"/>
                <w:sz w:val="18"/>
                <w:u w:val="single"/>
              </w:rPr>
              <w:t xml:space="preserve">Resources provided to identify </w:t>
            </w:r>
            <w:r>
              <w:rPr>
                <w:rFonts w:ascii="Arial Narrow" w:hAnsi="Arial Narrow"/>
                <w:sz w:val="18"/>
                <w:u w:val="single"/>
              </w:rPr>
              <w:t xml:space="preserve">eligible </w:t>
            </w:r>
            <w:r w:rsidRPr="00314BE5">
              <w:rPr>
                <w:rFonts w:ascii="Arial Narrow" w:hAnsi="Arial Narrow"/>
                <w:sz w:val="18"/>
                <w:u w:val="single"/>
              </w:rPr>
              <w:t xml:space="preserve">population </w:t>
            </w:r>
          </w:p>
        </w:tc>
      </w:tr>
      <w:tr w:rsidR="000D5CF9" w:rsidRPr="00B061AD" w:rsidTr="0070791D">
        <w:tc>
          <w:tcPr>
            <w:tcW w:w="1728" w:type="dxa"/>
          </w:tcPr>
          <w:p w:rsidR="000D5CF9" w:rsidRPr="00B061AD" w:rsidRDefault="001406C1" w:rsidP="0070791D">
            <w:pPr>
              <w:pStyle w:val="ListParagraph"/>
              <w:spacing w:after="0" w:line="240" w:lineRule="auto"/>
              <w:ind w:left="0"/>
              <w:jc w:val="left"/>
              <w:rPr>
                <w:rFonts w:ascii="Arial Narrow" w:hAnsi="Arial Narrow"/>
                <w:sz w:val="18"/>
              </w:rPr>
            </w:pPr>
            <w:r>
              <w:rPr>
                <w:rFonts w:ascii="Arial Narrow" w:hAnsi="Arial Narrow"/>
                <w:sz w:val="18"/>
              </w:rPr>
              <w:t>No additional testing required</w:t>
            </w:r>
          </w:p>
        </w:tc>
        <w:tc>
          <w:tcPr>
            <w:tcW w:w="1135" w:type="dxa"/>
            <w:shd w:val="clear" w:color="auto" w:fill="E5B8B7"/>
          </w:tcPr>
          <w:p w:rsidR="000D5CF9" w:rsidRPr="00B061AD" w:rsidRDefault="000D5CF9" w:rsidP="0070791D">
            <w:pPr>
              <w:spacing w:after="0" w:line="240" w:lineRule="auto"/>
              <w:jc w:val="center"/>
              <w:rPr>
                <w:rFonts w:ascii="Arial Narrow" w:hAnsi="Arial Narrow"/>
                <w:sz w:val="18"/>
              </w:rPr>
            </w:pPr>
          </w:p>
        </w:tc>
        <w:tc>
          <w:tcPr>
            <w:tcW w:w="851" w:type="dxa"/>
            <w:shd w:val="clear" w:color="auto" w:fill="E5B8B7"/>
          </w:tcPr>
          <w:p w:rsidR="000D5CF9" w:rsidRPr="00B061AD" w:rsidRDefault="000D5CF9" w:rsidP="0070791D">
            <w:pPr>
              <w:spacing w:after="0" w:line="240" w:lineRule="auto"/>
              <w:jc w:val="center"/>
              <w:rPr>
                <w:rFonts w:ascii="Arial Narrow" w:hAnsi="Arial Narrow"/>
                <w:sz w:val="18"/>
              </w:rPr>
            </w:pPr>
          </w:p>
        </w:tc>
        <w:tc>
          <w:tcPr>
            <w:tcW w:w="714" w:type="dxa"/>
            <w:shd w:val="clear" w:color="auto" w:fill="D6E3BC"/>
          </w:tcPr>
          <w:p w:rsidR="000D5CF9" w:rsidRPr="00B061AD" w:rsidRDefault="000D5CF9" w:rsidP="0070791D">
            <w:pPr>
              <w:spacing w:after="0" w:line="240" w:lineRule="auto"/>
              <w:jc w:val="center"/>
              <w:rPr>
                <w:rFonts w:ascii="Arial Narrow" w:hAnsi="Arial Narrow"/>
                <w:sz w:val="18"/>
              </w:rPr>
            </w:pPr>
          </w:p>
        </w:tc>
        <w:tc>
          <w:tcPr>
            <w:tcW w:w="987" w:type="dxa"/>
            <w:shd w:val="clear" w:color="auto" w:fill="D6E3BC"/>
          </w:tcPr>
          <w:p w:rsidR="000D5CF9" w:rsidRPr="00B061AD" w:rsidRDefault="000D5CF9" w:rsidP="0070791D">
            <w:pPr>
              <w:spacing w:after="0" w:line="240" w:lineRule="auto"/>
              <w:jc w:val="center"/>
              <w:rPr>
                <w:rFonts w:ascii="Arial Narrow" w:hAnsi="Arial Narrow"/>
                <w:sz w:val="18"/>
              </w:rPr>
            </w:pPr>
          </w:p>
        </w:tc>
        <w:tc>
          <w:tcPr>
            <w:tcW w:w="840" w:type="dxa"/>
            <w:shd w:val="clear" w:color="auto" w:fill="FBD4B4"/>
          </w:tcPr>
          <w:p w:rsidR="000D5CF9" w:rsidRPr="00B061AD" w:rsidRDefault="000D5CF9" w:rsidP="0070791D">
            <w:pPr>
              <w:spacing w:after="0" w:line="240" w:lineRule="auto"/>
              <w:jc w:val="center"/>
              <w:rPr>
                <w:rFonts w:ascii="Arial Narrow" w:hAnsi="Arial Narrow"/>
                <w:sz w:val="18"/>
              </w:rPr>
            </w:pPr>
          </w:p>
        </w:tc>
        <w:tc>
          <w:tcPr>
            <w:tcW w:w="698" w:type="dxa"/>
            <w:shd w:val="clear" w:color="auto" w:fill="FBD4B4"/>
          </w:tcPr>
          <w:p w:rsidR="000D5CF9" w:rsidRPr="00B061AD" w:rsidRDefault="000D5CF9" w:rsidP="0070791D">
            <w:pPr>
              <w:spacing w:after="0" w:line="240" w:lineRule="auto"/>
              <w:jc w:val="center"/>
              <w:rPr>
                <w:rFonts w:ascii="Arial Narrow" w:hAnsi="Arial Narrow"/>
                <w:sz w:val="18"/>
              </w:rPr>
            </w:pPr>
          </w:p>
        </w:tc>
        <w:tc>
          <w:tcPr>
            <w:tcW w:w="699" w:type="dxa"/>
            <w:shd w:val="clear" w:color="auto" w:fill="FBD4B4"/>
          </w:tcPr>
          <w:p w:rsidR="000D5CF9" w:rsidRPr="00B061AD" w:rsidRDefault="000D5CF9" w:rsidP="0070791D">
            <w:pPr>
              <w:spacing w:after="0" w:line="240" w:lineRule="auto"/>
              <w:jc w:val="center"/>
              <w:rPr>
                <w:rFonts w:ascii="Arial Narrow" w:hAnsi="Arial Narrow"/>
                <w:sz w:val="18"/>
              </w:rPr>
            </w:pPr>
          </w:p>
        </w:tc>
        <w:tc>
          <w:tcPr>
            <w:tcW w:w="698" w:type="dxa"/>
            <w:shd w:val="clear" w:color="auto" w:fill="FBD4B4"/>
          </w:tcPr>
          <w:p w:rsidR="000D5CF9" w:rsidRPr="00B061AD" w:rsidRDefault="000D5CF9" w:rsidP="0070791D">
            <w:pPr>
              <w:spacing w:after="0" w:line="240" w:lineRule="auto"/>
              <w:jc w:val="center"/>
              <w:rPr>
                <w:rFonts w:ascii="Arial Narrow" w:hAnsi="Arial Narrow"/>
                <w:sz w:val="18"/>
              </w:rPr>
            </w:pPr>
          </w:p>
        </w:tc>
        <w:tc>
          <w:tcPr>
            <w:tcW w:w="698" w:type="dxa"/>
            <w:shd w:val="clear" w:color="auto" w:fill="FBD4B4"/>
          </w:tcPr>
          <w:p w:rsidR="000D5CF9" w:rsidRPr="00B061AD" w:rsidRDefault="000D5CF9" w:rsidP="0070791D">
            <w:pPr>
              <w:spacing w:after="0" w:line="240" w:lineRule="auto"/>
              <w:jc w:val="center"/>
              <w:rPr>
                <w:rFonts w:ascii="Arial Narrow" w:hAnsi="Arial Narrow"/>
                <w:sz w:val="18"/>
              </w:rPr>
            </w:pPr>
          </w:p>
        </w:tc>
        <w:tc>
          <w:tcPr>
            <w:tcW w:w="699" w:type="dxa"/>
            <w:shd w:val="clear" w:color="auto" w:fill="FBD4B4"/>
          </w:tcPr>
          <w:p w:rsidR="000D5CF9" w:rsidRPr="00B061AD" w:rsidRDefault="000D5CF9" w:rsidP="0070791D">
            <w:pPr>
              <w:spacing w:after="0" w:line="240" w:lineRule="auto"/>
              <w:jc w:val="center"/>
              <w:rPr>
                <w:rFonts w:ascii="Arial Narrow" w:hAnsi="Arial Narrow"/>
                <w:sz w:val="18"/>
              </w:rPr>
            </w:pPr>
          </w:p>
        </w:tc>
      </w:tr>
      <w:tr w:rsidR="000D5CF9" w:rsidRPr="00D00A8A" w:rsidTr="0041626A">
        <w:tc>
          <w:tcPr>
            <w:tcW w:w="9747" w:type="dxa"/>
            <w:gridSpan w:val="11"/>
            <w:vAlign w:val="center"/>
          </w:tcPr>
          <w:p w:rsidR="000D5CF9" w:rsidRPr="00D00A8A" w:rsidRDefault="000D5CF9" w:rsidP="0070791D">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to deliver </w:t>
            </w:r>
            <w:r>
              <w:rPr>
                <w:rFonts w:ascii="Arial Narrow" w:hAnsi="Arial Narrow"/>
                <w:sz w:val="18"/>
                <w:u w:val="single"/>
              </w:rPr>
              <w:t>proposed intervention</w:t>
            </w:r>
          </w:p>
        </w:tc>
      </w:tr>
      <w:tr w:rsidR="00C83B35" w:rsidRPr="00B061AD" w:rsidTr="0070791D">
        <w:tc>
          <w:tcPr>
            <w:tcW w:w="1728" w:type="dxa"/>
          </w:tcPr>
          <w:p w:rsidR="00C83B35" w:rsidRPr="00B061AD" w:rsidRDefault="00C83B35" w:rsidP="0070791D">
            <w:pPr>
              <w:pStyle w:val="ListParagraph"/>
              <w:spacing w:after="0" w:line="240" w:lineRule="auto"/>
              <w:ind w:left="142"/>
              <w:jc w:val="left"/>
              <w:rPr>
                <w:rFonts w:ascii="Arial Narrow" w:hAnsi="Arial Narrow"/>
                <w:sz w:val="18"/>
              </w:rPr>
            </w:pPr>
            <w:r>
              <w:rPr>
                <w:rFonts w:ascii="Arial Narrow" w:hAnsi="Arial Narrow"/>
                <w:sz w:val="18"/>
              </w:rPr>
              <w:t>Insertion of EndoBarrier</w:t>
            </w:r>
          </w:p>
        </w:tc>
        <w:tc>
          <w:tcPr>
            <w:tcW w:w="1135"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Surgeon/specialist</w:t>
            </w:r>
          </w:p>
        </w:tc>
        <w:tc>
          <w:tcPr>
            <w:tcW w:w="851"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100%</w:t>
            </w:r>
          </w:p>
        </w:tc>
        <w:tc>
          <w:tcPr>
            <w:tcW w:w="987"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1</w:t>
            </w:r>
          </w:p>
        </w:tc>
        <w:tc>
          <w:tcPr>
            <w:tcW w:w="840" w:type="dxa"/>
            <w:shd w:val="clear" w:color="auto" w:fill="FBD4B4"/>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Default="00C83B35" w:rsidP="0070791D">
            <w:r w:rsidRPr="004E2017">
              <w:rPr>
                <w:rFonts w:ascii="Arial Narrow" w:hAnsi="Arial Narrow"/>
                <w:sz w:val="18"/>
              </w:rPr>
              <w:t>TBD</w:t>
            </w:r>
          </w:p>
        </w:tc>
      </w:tr>
      <w:tr w:rsidR="00C83B35" w:rsidRPr="00B061AD" w:rsidTr="0070791D">
        <w:tc>
          <w:tcPr>
            <w:tcW w:w="1728" w:type="dxa"/>
          </w:tcPr>
          <w:p w:rsidR="00C83B35" w:rsidRDefault="00C83B35" w:rsidP="0070791D">
            <w:pPr>
              <w:pStyle w:val="ListParagraph"/>
              <w:spacing w:after="0" w:line="240" w:lineRule="auto"/>
              <w:ind w:left="142"/>
              <w:jc w:val="left"/>
              <w:rPr>
                <w:rFonts w:ascii="Arial Narrow" w:hAnsi="Arial Narrow"/>
                <w:sz w:val="18"/>
              </w:rPr>
            </w:pPr>
            <w:r>
              <w:rPr>
                <w:rFonts w:ascii="Arial Narrow" w:hAnsi="Arial Narrow"/>
                <w:sz w:val="18"/>
              </w:rPr>
              <w:t xml:space="preserve">Acquisition of liner and removal system </w:t>
            </w:r>
          </w:p>
        </w:tc>
        <w:tc>
          <w:tcPr>
            <w:tcW w:w="1135"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Manufacturers</w:t>
            </w:r>
          </w:p>
        </w:tc>
        <w:tc>
          <w:tcPr>
            <w:tcW w:w="851"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100%</w:t>
            </w:r>
          </w:p>
        </w:tc>
        <w:tc>
          <w:tcPr>
            <w:tcW w:w="987"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1</w:t>
            </w:r>
          </w:p>
        </w:tc>
        <w:tc>
          <w:tcPr>
            <w:tcW w:w="840" w:type="dxa"/>
            <w:shd w:val="clear" w:color="auto" w:fill="FBD4B4"/>
          </w:tcPr>
          <w:p w:rsidR="00C83B35" w:rsidRDefault="00C83B35" w:rsidP="0070791D">
            <w:pPr>
              <w:spacing w:after="0" w:line="240" w:lineRule="auto"/>
              <w:jc w:val="center"/>
              <w:rPr>
                <w:rFonts w:ascii="Arial Narrow" w:hAnsi="Arial Narrow"/>
                <w:sz w:val="18"/>
              </w:rPr>
            </w:pPr>
          </w:p>
        </w:tc>
        <w:tc>
          <w:tcPr>
            <w:tcW w:w="698" w:type="dxa"/>
            <w:shd w:val="clear" w:color="auto" w:fill="FBD4B4"/>
          </w:tcPr>
          <w:p w:rsidR="00C83B35" w:rsidRDefault="00C83B35" w:rsidP="0070791D">
            <w:pPr>
              <w:spacing w:after="0" w:line="240" w:lineRule="auto"/>
              <w:jc w:val="center"/>
              <w:rPr>
                <w:rFonts w:ascii="Arial Narrow" w:hAnsi="Arial Narrow"/>
                <w:sz w:val="18"/>
              </w:rPr>
            </w:pPr>
          </w:p>
        </w:tc>
        <w:tc>
          <w:tcPr>
            <w:tcW w:w="699" w:type="dxa"/>
            <w:shd w:val="clear" w:color="auto" w:fill="FBD4B4"/>
          </w:tcPr>
          <w:p w:rsidR="00C83B35" w:rsidRDefault="00C83B35" w:rsidP="0070791D">
            <w:pPr>
              <w:spacing w:after="0" w:line="240" w:lineRule="auto"/>
              <w:jc w:val="center"/>
              <w:rPr>
                <w:rFonts w:ascii="Arial Narrow" w:hAnsi="Arial Narrow"/>
                <w:sz w:val="18"/>
              </w:rPr>
            </w:pPr>
          </w:p>
        </w:tc>
        <w:tc>
          <w:tcPr>
            <w:tcW w:w="698" w:type="dxa"/>
            <w:shd w:val="clear" w:color="auto" w:fill="FBD4B4"/>
          </w:tcPr>
          <w:p w:rsidR="00C83B35" w:rsidRDefault="00C83B35" w:rsidP="0070791D">
            <w:pPr>
              <w:spacing w:after="0" w:line="240" w:lineRule="auto"/>
              <w:jc w:val="center"/>
              <w:rPr>
                <w:rFonts w:ascii="Arial Narrow" w:hAnsi="Arial Narrow"/>
                <w:sz w:val="18"/>
              </w:rPr>
            </w:pPr>
            <w:r>
              <w:rPr>
                <w:rFonts w:ascii="Arial Narrow" w:hAnsi="Arial Narrow"/>
                <w:sz w:val="18"/>
              </w:rPr>
              <w:t>TBD</w:t>
            </w: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Default="00C83B35" w:rsidP="0070791D">
            <w:r w:rsidRPr="004E2017">
              <w:rPr>
                <w:rFonts w:ascii="Arial Narrow" w:hAnsi="Arial Narrow"/>
                <w:sz w:val="18"/>
              </w:rPr>
              <w:t>TBD</w:t>
            </w:r>
          </w:p>
        </w:tc>
      </w:tr>
      <w:tr w:rsidR="00C83B35" w:rsidRPr="00B061AD" w:rsidTr="0070791D">
        <w:tc>
          <w:tcPr>
            <w:tcW w:w="1728" w:type="dxa"/>
          </w:tcPr>
          <w:p w:rsidR="00C83B35" w:rsidRPr="00B061AD" w:rsidRDefault="00C83B35" w:rsidP="0070791D">
            <w:pPr>
              <w:pStyle w:val="ListParagraph"/>
              <w:spacing w:after="0" w:line="240" w:lineRule="auto"/>
              <w:ind w:left="142"/>
              <w:jc w:val="left"/>
              <w:rPr>
                <w:rFonts w:ascii="Arial Narrow" w:hAnsi="Arial Narrow"/>
                <w:sz w:val="18"/>
              </w:rPr>
            </w:pPr>
            <w:r>
              <w:rPr>
                <w:rFonts w:ascii="Arial Narrow" w:hAnsi="Arial Narrow"/>
                <w:sz w:val="18"/>
              </w:rPr>
              <w:t>Anaesthesia</w:t>
            </w:r>
          </w:p>
        </w:tc>
        <w:tc>
          <w:tcPr>
            <w:tcW w:w="1135" w:type="dxa"/>
            <w:shd w:val="clear" w:color="auto" w:fill="E5B8B7"/>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Specialist</w:t>
            </w:r>
          </w:p>
        </w:tc>
        <w:tc>
          <w:tcPr>
            <w:tcW w:w="851"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100%</w:t>
            </w:r>
          </w:p>
        </w:tc>
        <w:tc>
          <w:tcPr>
            <w:tcW w:w="987"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1</w:t>
            </w:r>
          </w:p>
        </w:tc>
        <w:tc>
          <w:tcPr>
            <w:tcW w:w="840" w:type="dxa"/>
            <w:shd w:val="clear" w:color="auto" w:fill="FBD4B4"/>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Default="00C83B35" w:rsidP="0070791D">
            <w:r w:rsidRPr="004E2017">
              <w:rPr>
                <w:rFonts w:ascii="Arial Narrow" w:hAnsi="Arial Narrow"/>
                <w:sz w:val="18"/>
              </w:rPr>
              <w:t>TBD</w:t>
            </w:r>
          </w:p>
        </w:tc>
      </w:tr>
      <w:tr w:rsidR="00C83B35" w:rsidRPr="00B061AD" w:rsidTr="0070791D">
        <w:tc>
          <w:tcPr>
            <w:tcW w:w="1728" w:type="dxa"/>
          </w:tcPr>
          <w:p w:rsidR="00C83B35" w:rsidRDefault="00C83B35" w:rsidP="001B5AEE">
            <w:pPr>
              <w:pStyle w:val="ListParagraph"/>
              <w:spacing w:after="0" w:line="240" w:lineRule="auto"/>
              <w:ind w:left="142"/>
              <w:jc w:val="left"/>
              <w:rPr>
                <w:rFonts w:ascii="Arial Narrow" w:hAnsi="Arial Narrow"/>
                <w:sz w:val="18"/>
              </w:rPr>
            </w:pPr>
            <w:r>
              <w:rPr>
                <w:rFonts w:ascii="Arial Narrow" w:hAnsi="Arial Narrow"/>
                <w:sz w:val="18"/>
              </w:rPr>
              <w:t xml:space="preserve">Hospital stay or day </w:t>
            </w:r>
            <w:r w:rsidR="001B5AEE">
              <w:rPr>
                <w:rFonts w:ascii="Arial Narrow" w:hAnsi="Arial Narrow"/>
                <w:sz w:val="18"/>
              </w:rPr>
              <w:t>procedure centre</w:t>
            </w:r>
          </w:p>
        </w:tc>
        <w:tc>
          <w:tcPr>
            <w:tcW w:w="1135"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851"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100%</w:t>
            </w:r>
          </w:p>
        </w:tc>
        <w:tc>
          <w:tcPr>
            <w:tcW w:w="987" w:type="dxa"/>
            <w:shd w:val="clear" w:color="auto" w:fill="D6E3BC"/>
          </w:tcPr>
          <w:p w:rsidR="00C83B35" w:rsidRDefault="00C83B35" w:rsidP="0070791D">
            <w:pPr>
              <w:rPr>
                <w:rFonts w:ascii="Arial Narrow" w:hAnsi="Arial Narrow"/>
                <w:sz w:val="18"/>
              </w:rPr>
            </w:pPr>
            <w:r>
              <w:rPr>
                <w:rFonts w:ascii="Arial Narrow" w:hAnsi="Arial Narrow"/>
                <w:sz w:val="18"/>
              </w:rPr>
              <w:t>TBD</w:t>
            </w:r>
          </w:p>
        </w:tc>
        <w:tc>
          <w:tcPr>
            <w:tcW w:w="840" w:type="dxa"/>
            <w:shd w:val="clear" w:color="auto" w:fill="FBD4B4"/>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Default="00C83B35" w:rsidP="0070791D">
            <w:r w:rsidRPr="004E2017">
              <w:rPr>
                <w:rFonts w:ascii="Arial Narrow" w:hAnsi="Arial Narrow"/>
                <w:sz w:val="18"/>
              </w:rPr>
              <w:t>TBD</w:t>
            </w:r>
          </w:p>
        </w:tc>
      </w:tr>
      <w:tr w:rsidR="00C83B35" w:rsidRPr="00B061AD" w:rsidTr="0070791D">
        <w:tc>
          <w:tcPr>
            <w:tcW w:w="1728" w:type="dxa"/>
          </w:tcPr>
          <w:p w:rsidR="00C83B35" w:rsidRDefault="00C83B35" w:rsidP="0070791D">
            <w:pPr>
              <w:pStyle w:val="ListParagraph"/>
              <w:spacing w:after="0" w:line="240" w:lineRule="auto"/>
              <w:ind w:left="142"/>
              <w:jc w:val="left"/>
              <w:rPr>
                <w:rFonts w:ascii="Arial Narrow" w:hAnsi="Arial Narrow"/>
                <w:sz w:val="18"/>
              </w:rPr>
            </w:pPr>
            <w:r>
              <w:rPr>
                <w:rFonts w:ascii="Arial Narrow" w:hAnsi="Arial Narrow"/>
                <w:sz w:val="18"/>
              </w:rPr>
              <w:t>Removal of device</w:t>
            </w:r>
          </w:p>
        </w:tc>
        <w:tc>
          <w:tcPr>
            <w:tcW w:w="1135"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Surgeon/specialist</w:t>
            </w:r>
          </w:p>
        </w:tc>
        <w:tc>
          <w:tcPr>
            <w:tcW w:w="851"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100%</w:t>
            </w:r>
          </w:p>
        </w:tc>
        <w:tc>
          <w:tcPr>
            <w:tcW w:w="987"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1</w:t>
            </w:r>
          </w:p>
        </w:tc>
        <w:tc>
          <w:tcPr>
            <w:tcW w:w="840" w:type="dxa"/>
            <w:shd w:val="clear" w:color="auto" w:fill="FBD4B4"/>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Default="00C83B35" w:rsidP="0070791D">
            <w:r w:rsidRPr="004E2017">
              <w:rPr>
                <w:rFonts w:ascii="Arial Narrow" w:hAnsi="Arial Narrow"/>
                <w:sz w:val="18"/>
              </w:rPr>
              <w:t>TBD</w:t>
            </w:r>
          </w:p>
        </w:tc>
      </w:tr>
      <w:tr w:rsidR="0091520B" w:rsidRPr="00D00A8A" w:rsidTr="0041626A">
        <w:tc>
          <w:tcPr>
            <w:tcW w:w="9747" w:type="dxa"/>
            <w:gridSpan w:val="11"/>
            <w:vAlign w:val="center"/>
          </w:tcPr>
          <w:p w:rsidR="0091520B" w:rsidRPr="00D00A8A" w:rsidRDefault="0091520B" w:rsidP="00250543">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in association with </w:t>
            </w:r>
            <w:r>
              <w:rPr>
                <w:rFonts w:ascii="Arial Narrow" w:hAnsi="Arial Narrow"/>
                <w:sz w:val="18"/>
                <w:u w:val="single"/>
              </w:rPr>
              <w:t>proposed intervention</w:t>
            </w:r>
            <w:r w:rsidR="00EC4631">
              <w:rPr>
                <w:rFonts w:ascii="Arial Narrow" w:hAnsi="Arial Narrow"/>
                <w:sz w:val="18"/>
                <w:u w:val="single"/>
              </w:rPr>
              <w:t xml:space="preserve"> </w:t>
            </w:r>
          </w:p>
        </w:tc>
      </w:tr>
      <w:tr w:rsidR="00C83B35" w:rsidRPr="00B061AD" w:rsidTr="0070791D">
        <w:tc>
          <w:tcPr>
            <w:tcW w:w="1728" w:type="dxa"/>
          </w:tcPr>
          <w:p w:rsidR="00C83B35" w:rsidRPr="00B061AD" w:rsidRDefault="00C83B35" w:rsidP="0070791D">
            <w:pPr>
              <w:pStyle w:val="ListParagraph"/>
              <w:spacing w:after="0" w:line="240" w:lineRule="auto"/>
              <w:ind w:left="142"/>
              <w:jc w:val="left"/>
              <w:rPr>
                <w:rFonts w:ascii="Arial Narrow" w:hAnsi="Arial Narrow"/>
                <w:sz w:val="18"/>
              </w:rPr>
            </w:pPr>
            <w:r>
              <w:rPr>
                <w:rFonts w:ascii="Arial Narrow" w:hAnsi="Arial Narrow"/>
                <w:sz w:val="18"/>
              </w:rPr>
              <w:t>Proton pump inhibitor</w:t>
            </w:r>
          </w:p>
        </w:tc>
        <w:tc>
          <w:tcPr>
            <w:tcW w:w="1135" w:type="dxa"/>
            <w:shd w:val="clear" w:color="auto" w:fill="E5B8B7"/>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PBS</w:t>
            </w:r>
          </w:p>
        </w:tc>
        <w:tc>
          <w:tcPr>
            <w:tcW w:w="851" w:type="dxa"/>
            <w:shd w:val="clear" w:color="auto" w:fill="E5B8B7"/>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100%</w:t>
            </w:r>
          </w:p>
        </w:tc>
        <w:tc>
          <w:tcPr>
            <w:tcW w:w="987" w:type="dxa"/>
            <w:shd w:val="clear" w:color="auto" w:fill="D6E3BC"/>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1 (twice daily)</w:t>
            </w:r>
          </w:p>
        </w:tc>
        <w:tc>
          <w:tcPr>
            <w:tcW w:w="840"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Default="00C83B35" w:rsidP="0070791D">
            <w:r w:rsidRPr="00267E2F">
              <w:rPr>
                <w:rFonts w:ascii="Arial Narrow" w:hAnsi="Arial Narrow"/>
                <w:sz w:val="18"/>
              </w:rPr>
              <w:t>TBD</w:t>
            </w:r>
          </w:p>
        </w:tc>
      </w:tr>
      <w:tr w:rsidR="00C83B35" w:rsidRPr="00B061AD" w:rsidTr="0070791D">
        <w:tc>
          <w:tcPr>
            <w:tcW w:w="1728" w:type="dxa"/>
          </w:tcPr>
          <w:p w:rsidR="00C83B35" w:rsidRPr="00B061AD" w:rsidRDefault="00C83B35" w:rsidP="0070791D">
            <w:pPr>
              <w:pStyle w:val="ListParagraph"/>
              <w:spacing w:after="0" w:line="240" w:lineRule="auto"/>
              <w:ind w:left="142"/>
              <w:jc w:val="left"/>
              <w:rPr>
                <w:rFonts w:ascii="Arial Narrow" w:hAnsi="Arial Narrow"/>
                <w:sz w:val="18"/>
              </w:rPr>
            </w:pPr>
            <w:r>
              <w:rPr>
                <w:rFonts w:ascii="Arial Narrow" w:hAnsi="Arial Narrow"/>
                <w:sz w:val="18"/>
              </w:rPr>
              <w:t>Anti-diabetic medications</w:t>
            </w:r>
          </w:p>
        </w:tc>
        <w:tc>
          <w:tcPr>
            <w:tcW w:w="1135" w:type="dxa"/>
            <w:shd w:val="clear" w:color="auto" w:fill="E5B8B7"/>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PBS</w:t>
            </w:r>
          </w:p>
        </w:tc>
        <w:tc>
          <w:tcPr>
            <w:tcW w:w="851" w:type="dxa"/>
            <w:shd w:val="clear" w:color="auto" w:fill="E5B8B7"/>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987" w:type="dxa"/>
            <w:shd w:val="clear" w:color="auto" w:fill="D6E3BC"/>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840"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Default="00C83B35" w:rsidP="0070791D">
            <w:r w:rsidRPr="00267E2F">
              <w:rPr>
                <w:rFonts w:ascii="Arial Narrow" w:hAnsi="Arial Narrow"/>
                <w:sz w:val="18"/>
              </w:rPr>
              <w:t>TBD</w:t>
            </w:r>
          </w:p>
        </w:tc>
      </w:tr>
      <w:tr w:rsidR="00C83B35" w:rsidRPr="00B061AD" w:rsidTr="0070791D">
        <w:tc>
          <w:tcPr>
            <w:tcW w:w="1728" w:type="dxa"/>
          </w:tcPr>
          <w:p w:rsidR="00C83B35" w:rsidRPr="00B061AD" w:rsidRDefault="00C83B35" w:rsidP="0070791D">
            <w:pPr>
              <w:pStyle w:val="ListParagraph"/>
              <w:spacing w:after="0" w:line="240" w:lineRule="auto"/>
              <w:ind w:left="142"/>
              <w:jc w:val="left"/>
              <w:rPr>
                <w:rFonts w:ascii="Arial Narrow" w:hAnsi="Arial Narrow"/>
                <w:sz w:val="18"/>
              </w:rPr>
            </w:pPr>
            <w:r>
              <w:rPr>
                <w:rFonts w:ascii="Arial Narrow" w:hAnsi="Arial Narrow"/>
                <w:sz w:val="18"/>
              </w:rPr>
              <w:t>Other cardiovascular medications</w:t>
            </w:r>
          </w:p>
        </w:tc>
        <w:tc>
          <w:tcPr>
            <w:tcW w:w="1135" w:type="dxa"/>
            <w:shd w:val="clear" w:color="auto" w:fill="E5B8B7"/>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 xml:space="preserve">PBS and out of pocket </w:t>
            </w:r>
          </w:p>
        </w:tc>
        <w:tc>
          <w:tcPr>
            <w:tcW w:w="851" w:type="dxa"/>
            <w:shd w:val="clear" w:color="auto" w:fill="E5B8B7"/>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987" w:type="dxa"/>
            <w:shd w:val="clear" w:color="auto" w:fill="D6E3BC"/>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840"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699" w:type="dxa"/>
            <w:shd w:val="clear" w:color="auto" w:fill="FBD4B4"/>
          </w:tcPr>
          <w:p w:rsidR="00C83B35" w:rsidRDefault="00C83B35" w:rsidP="0070791D">
            <w:r w:rsidRPr="00267E2F">
              <w:rPr>
                <w:rFonts w:ascii="Arial Narrow" w:hAnsi="Arial Narrow"/>
                <w:sz w:val="18"/>
              </w:rPr>
              <w:t>TBD</w:t>
            </w:r>
          </w:p>
        </w:tc>
      </w:tr>
      <w:tr w:rsidR="0091520B" w:rsidRPr="00D00A8A" w:rsidTr="0091520B">
        <w:tc>
          <w:tcPr>
            <w:tcW w:w="9747" w:type="dxa"/>
            <w:gridSpan w:val="11"/>
            <w:vAlign w:val="center"/>
          </w:tcPr>
          <w:p w:rsidR="0091520B" w:rsidRPr="00D00A8A" w:rsidRDefault="0091520B" w:rsidP="0070791D">
            <w:pPr>
              <w:spacing w:after="0" w:line="240" w:lineRule="auto"/>
              <w:jc w:val="left"/>
              <w:rPr>
                <w:rFonts w:ascii="Arial Narrow" w:hAnsi="Arial Narrow"/>
                <w:sz w:val="18"/>
                <w:u w:val="single"/>
              </w:rPr>
            </w:pPr>
            <w:r w:rsidRPr="00D00A8A">
              <w:rPr>
                <w:rFonts w:ascii="Arial Narrow" w:hAnsi="Arial Narrow"/>
                <w:sz w:val="18"/>
                <w:u w:val="single"/>
              </w:rPr>
              <w:lastRenderedPageBreak/>
              <w:t xml:space="preserve">Resources provided to deliver </w:t>
            </w:r>
            <w:r>
              <w:rPr>
                <w:rFonts w:ascii="Arial Narrow" w:hAnsi="Arial Narrow"/>
                <w:sz w:val="18"/>
                <w:u w:val="single"/>
              </w:rPr>
              <w:t>comparator</w:t>
            </w:r>
          </w:p>
        </w:tc>
      </w:tr>
      <w:tr w:rsidR="0091520B" w:rsidRPr="00B061AD" w:rsidTr="0070791D">
        <w:tc>
          <w:tcPr>
            <w:tcW w:w="1728" w:type="dxa"/>
          </w:tcPr>
          <w:p w:rsidR="0091520B" w:rsidRPr="00B061AD" w:rsidRDefault="0091520B" w:rsidP="0070791D">
            <w:pPr>
              <w:pStyle w:val="ListParagraph"/>
              <w:spacing w:after="0" w:line="240" w:lineRule="auto"/>
              <w:ind w:left="142"/>
              <w:jc w:val="left"/>
              <w:rPr>
                <w:rFonts w:ascii="Arial Narrow" w:hAnsi="Arial Narrow"/>
                <w:sz w:val="18"/>
              </w:rPr>
            </w:pPr>
            <w:r>
              <w:rPr>
                <w:rFonts w:ascii="Arial Narrow" w:hAnsi="Arial Narrow"/>
                <w:sz w:val="18"/>
              </w:rPr>
              <w:t xml:space="preserve">Insertion of </w:t>
            </w:r>
            <w:r w:rsidR="00C83B35">
              <w:rPr>
                <w:rFonts w:ascii="Arial Narrow" w:hAnsi="Arial Narrow"/>
                <w:sz w:val="18"/>
              </w:rPr>
              <w:t>gastric band</w:t>
            </w:r>
          </w:p>
        </w:tc>
        <w:tc>
          <w:tcPr>
            <w:tcW w:w="1135" w:type="dxa"/>
            <w:shd w:val="clear" w:color="auto" w:fill="E5B8B7"/>
          </w:tcPr>
          <w:p w:rsidR="0091520B" w:rsidRDefault="0091520B" w:rsidP="0070791D">
            <w:pPr>
              <w:spacing w:after="0" w:line="240" w:lineRule="auto"/>
              <w:jc w:val="center"/>
              <w:rPr>
                <w:rFonts w:ascii="Arial Narrow" w:hAnsi="Arial Narrow"/>
                <w:sz w:val="18"/>
              </w:rPr>
            </w:pPr>
            <w:r>
              <w:rPr>
                <w:rFonts w:ascii="Arial Narrow" w:hAnsi="Arial Narrow"/>
                <w:sz w:val="18"/>
              </w:rPr>
              <w:t>Surgeon/specialist</w:t>
            </w:r>
          </w:p>
        </w:tc>
        <w:tc>
          <w:tcPr>
            <w:tcW w:w="851" w:type="dxa"/>
            <w:shd w:val="clear" w:color="auto" w:fill="E5B8B7"/>
          </w:tcPr>
          <w:p w:rsidR="0091520B" w:rsidRDefault="0091520B"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91520B" w:rsidRDefault="0091520B" w:rsidP="0070791D">
            <w:pPr>
              <w:spacing w:after="0" w:line="240" w:lineRule="auto"/>
              <w:jc w:val="center"/>
              <w:rPr>
                <w:rFonts w:ascii="Arial Narrow" w:hAnsi="Arial Narrow"/>
                <w:sz w:val="18"/>
              </w:rPr>
            </w:pPr>
            <w:r>
              <w:rPr>
                <w:rFonts w:ascii="Arial Narrow" w:hAnsi="Arial Narrow"/>
                <w:sz w:val="18"/>
              </w:rPr>
              <w:t>100%</w:t>
            </w:r>
          </w:p>
        </w:tc>
        <w:tc>
          <w:tcPr>
            <w:tcW w:w="987" w:type="dxa"/>
            <w:shd w:val="clear" w:color="auto" w:fill="D6E3BC"/>
          </w:tcPr>
          <w:p w:rsidR="0091520B" w:rsidRDefault="0091520B" w:rsidP="0070791D">
            <w:pPr>
              <w:spacing w:after="0" w:line="240" w:lineRule="auto"/>
              <w:jc w:val="center"/>
              <w:rPr>
                <w:rFonts w:ascii="Arial Narrow" w:hAnsi="Arial Narrow"/>
                <w:sz w:val="18"/>
              </w:rPr>
            </w:pPr>
            <w:r>
              <w:rPr>
                <w:rFonts w:ascii="Arial Narrow" w:hAnsi="Arial Narrow"/>
                <w:sz w:val="18"/>
              </w:rPr>
              <w:t>1</w:t>
            </w:r>
          </w:p>
        </w:tc>
        <w:tc>
          <w:tcPr>
            <w:tcW w:w="840" w:type="dxa"/>
            <w:shd w:val="clear" w:color="auto" w:fill="FBD4B4"/>
          </w:tcPr>
          <w:p w:rsidR="0091520B" w:rsidRPr="00B061AD" w:rsidRDefault="00C83B35" w:rsidP="0070791D">
            <w:pPr>
              <w:spacing w:after="0" w:line="240" w:lineRule="auto"/>
              <w:jc w:val="center"/>
              <w:rPr>
                <w:rFonts w:ascii="Arial Narrow" w:hAnsi="Arial Narrow"/>
                <w:sz w:val="18"/>
              </w:rPr>
            </w:pPr>
            <w:r w:rsidRPr="00C83B35">
              <w:rPr>
                <w:rFonts w:ascii="Arial Narrow" w:hAnsi="Arial Narrow"/>
                <w:sz w:val="18"/>
              </w:rPr>
              <w:t>$637.20</w:t>
            </w:r>
          </w:p>
        </w:tc>
        <w:tc>
          <w:tcPr>
            <w:tcW w:w="698" w:type="dxa"/>
            <w:shd w:val="clear" w:color="auto" w:fill="FBD4B4"/>
          </w:tcPr>
          <w:p w:rsidR="0091520B" w:rsidRPr="00B061AD" w:rsidRDefault="0091520B" w:rsidP="0070791D">
            <w:pPr>
              <w:spacing w:after="0" w:line="240" w:lineRule="auto"/>
              <w:jc w:val="center"/>
              <w:rPr>
                <w:rFonts w:ascii="Arial Narrow" w:hAnsi="Arial Narrow"/>
                <w:sz w:val="18"/>
              </w:rPr>
            </w:pPr>
          </w:p>
        </w:tc>
        <w:tc>
          <w:tcPr>
            <w:tcW w:w="699" w:type="dxa"/>
            <w:shd w:val="clear" w:color="auto" w:fill="FBD4B4"/>
          </w:tcPr>
          <w:p w:rsidR="0091520B" w:rsidRPr="00B061AD" w:rsidRDefault="0091520B" w:rsidP="0070791D">
            <w:pPr>
              <w:spacing w:after="0" w:line="240" w:lineRule="auto"/>
              <w:jc w:val="center"/>
              <w:rPr>
                <w:rFonts w:ascii="Arial Narrow" w:hAnsi="Arial Narrow"/>
                <w:sz w:val="18"/>
              </w:rPr>
            </w:pPr>
          </w:p>
        </w:tc>
        <w:tc>
          <w:tcPr>
            <w:tcW w:w="698" w:type="dxa"/>
            <w:shd w:val="clear" w:color="auto" w:fill="FBD4B4"/>
          </w:tcPr>
          <w:p w:rsidR="0091520B" w:rsidRPr="00B061AD" w:rsidRDefault="0091520B" w:rsidP="0070791D">
            <w:pPr>
              <w:spacing w:after="0" w:line="240" w:lineRule="auto"/>
              <w:jc w:val="center"/>
              <w:rPr>
                <w:rFonts w:ascii="Arial Narrow" w:hAnsi="Arial Narrow"/>
                <w:sz w:val="18"/>
              </w:rPr>
            </w:pPr>
          </w:p>
        </w:tc>
        <w:tc>
          <w:tcPr>
            <w:tcW w:w="698" w:type="dxa"/>
            <w:shd w:val="clear" w:color="auto" w:fill="FBD4B4"/>
          </w:tcPr>
          <w:p w:rsidR="0091520B" w:rsidRPr="00B061AD" w:rsidRDefault="00C83B35" w:rsidP="0070791D">
            <w:pPr>
              <w:spacing w:after="0" w:line="240" w:lineRule="auto"/>
              <w:jc w:val="center"/>
              <w:rPr>
                <w:rFonts w:ascii="Arial Narrow" w:hAnsi="Arial Narrow"/>
                <w:sz w:val="18"/>
              </w:rPr>
            </w:pPr>
            <w:r>
              <w:rPr>
                <w:rFonts w:ascii="Arial Narrow" w:hAnsi="Arial Narrow"/>
                <w:sz w:val="18"/>
              </w:rPr>
              <w:t>$212.35</w:t>
            </w:r>
          </w:p>
        </w:tc>
        <w:tc>
          <w:tcPr>
            <w:tcW w:w="699" w:type="dxa"/>
            <w:shd w:val="clear" w:color="auto" w:fill="FBD4B4"/>
          </w:tcPr>
          <w:p w:rsidR="0091520B" w:rsidRPr="00B061AD" w:rsidRDefault="00C83B35" w:rsidP="0070791D">
            <w:pPr>
              <w:spacing w:after="0" w:line="240" w:lineRule="auto"/>
              <w:jc w:val="center"/>
              <w:rPr>
                <w:rFonts w:ascii="Arial Narrow" w:hAnsi="Arial Narrow"/>
                <w:sz w:val="18"/>
              </w:rPr>
            </w:pPr>
            <w:r>
              <w:rPr>
                <w:rFonts w:ascii="Arial Narrow" w:hAnsi="Arial Narrow"/>
                <w:sz w:val="18"/>
              </w:rPr>
              <w:t>$849.55</w:t>
            </w:r>
          </w:p>
        </w:tc>
      </w:tr>
      <w:tr w:rsidR="00C83B35" w:rsidRPr="00B061AD" w:rsidTr="0070791D">
        <w:tc>
          <w:tcPr>
            <w:tcW w:w="1728" w:type="dxa"/>
          </w:tcPr>
          <w:p w:rsidR="00C83B35" w:rsidRDefault="00C83B35" w:rsidP="0070791D">
            <w:pPr>
              <w:pStyle w:val="ListParagraph"/>
              <w:spacing w:after="0" w:line="240" w:lineRule="auto"/>
              <w:ind w:left="142"/>
              <w:jc w:val="left"/>
              <w:rPr>
                <w:rFonts w:ascii="Arial Narrow" w:hAnsi="Arial Narrow"/>
                <w:sz w:val="18"/>
              </w:rPr>
            </w:pPr>
            <w:r>
              <w:rPr>
                <w:rFonts w:ascii="Arial Narrow" w:hAnsi="Arial Narrow"/>
                <w:sz w:val="18"/>
              </w:rPr>
              <w:t xml:space="preserve">Acquisition of gastric band </w:t>
            </w:r>
          </w:p>
        </w:tc>
        <w:tc>
          <w:tcPr>
            <w:tcW w:w="1135"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Manufacturers</w:t>
            </w:r>
          </w:p>
        </w:tc>
        <w:tc>
          <w:tcPr>
            <w:tcW w:w="851"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100%</w:t>
            </w:r>
          </w:p>
        </w:tc>
        <w:tc>
          <w:tcPr>
            <w:tcW w:w="987"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1</w:t>
            </w:r>
          </w:p>
        </w:tc>
        <w:tc>
          <w:tcPr>
            <w:tcW w:w="840" w:type="dxa"/>
            <w:shd w:val="clear" w:color="auto" w:fill="FBD4B4"/>
          </w:tcPr>
          <w:p w:rsidR="00C83B35" w:rsidRDefault="00C83B35" w:rsidP="0070791D">
            <w:pPr>
              <w:spacing w:after="0" w:line="240" w:lineRule="auto"/>
              <w:jc w:val="center"/>
              <w:rPr>
                <w:rFonts w:ascii="Arial Narrow" w:hAnsi="Arial Narrow"/>
                <w:sz w:val="18"/>
              </w:rPr>
            </w:pPr>
          </w:p>
        </w:tc>
        <w:tc>
          <w:tcPr>
            <w:tcW w:w="698" w:type="dxa"/>
            <w:shd w:val="clear" w:color="auto" w:fill="FBD4B4"/>
          </w:tcPr>
          <w:p w:rsidR="00C83B35" w:rsidRDefault="00C83B35" w:rsidP="0070791D">
            <w:pPr>
              <w:spacing w:after="0" w:line="240" w:lineRule="auto"/>
              <w:jc w:val="center"/>
              <w:rPr>
                <w:rFonts w:ascii="Arial Narrow" w:hAnsi="Arial Narrow"/>
                <w:sz w:val="18"/>
              </w:rPr>
            </w:pPr>
          </w:p>
        </w:tc>
        <w:tc>
          <w:tcPr>
            <w:tcW w:w="699" w:type="dxa"/>
            <w:shd w:val="clear" w:color="auto" w:fill="FBD4B4"/>
          </w:tcPr>
          <w:p w:rsidR="00C83B35" w:rsidRDefault="00C83B35" w:rsidP="0070791D">
            <w:pPr>
              <w:spacing w:after="0" w:line="240" w:lineRule="auto"/>
              <w:jc w:val="center"/>
              <w:rPr>
                <w:rFonts w:ascii="Arial Narrow" w:hAnsi="Arial Narrow"/>
                <w:sz w:val="18"/>
              </w:rPr>
            </w:pPr>
          </w:p>
        </w:tc>
        <w:tc>
          <w:tcPr>
            <w:tcW w:w="698" w:type="dxa"/>
            <w:shd w:val="clear" w:color="auto" w:fill="FBD4B4"/>
          </w:tcPr>
          <w:p w:rsidR="00C83B35" w:rsidRDefault="00C83B35" w:rsidP="0070791D">
            <w:pPr>
              <w:spacing w:after="0" w:line="240" w:lineRule="auto"/>
              <w:rPr>
                <w:rFonts w:ascii="Arial Narrow" w:hAnsi="Arial Narrow"/>
                <w:sz w:val="18"/>
              </w:rPr>
            </w:pPr>
            <w:r>
              <w:rPr>
                <w:rFonts w:ascii="Arial Narrow" w:hAnsi="Arial Narrow"/>
                <w:sz w:val="18"/>
              </w:rPr>
              <w:t>$3,300</w:t>
            </w: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$3,300</w:t>
            </w:r>
          </w:p>
        </w:tc>
      </w:tr>
      <w:tr w:rsidR="00C83B35" w:rsidRPr="00B061AD" w:rsidTr="0070791D">
        <w:tc>
          <w:tcPr>
            <w:tcW w:w="1728" w:type="dxa"/>
          </w:tcPr>
          <w:p w:rsidR="00C83B35" w:rsidRPr="00B061AD" w:rsidRDefault="00C83B35" w:rsidP="0070791D">
            <w:pPr>
              <w:pStyle w:val="ListParagraph"/>
              <w:spacing w:after="0" w:line="240" w:lineRule="auto"/>
              <w:ind w:left="142"/>
              <w:jc w:val="left"/>
              <w:rPr>
                <w:rFonts w:ascii="Arial Narrow" w:hAnsi="Arial Narrow"/>
                <w:sz w:val="18"/>
              </w:rPr>
            </w:pPr>
            <w:r>
              <w:rPr>
                <w:rFonts w:ascii="Arial Narrow" w:hAnsi="Arial Narrow"/>
                <w:sz w:val="18"/>
              </w:rPr>
              <w:t>Anaesthesia</w:t>
            </w:r>
          </w:p>
        </w:tc>
        <w:tc>
          <w:tcPr>
            <w:tcW w:w="1135" w:type="dxa"/>
            <w:shd w:val="clear" w:color="auto" w:fill="E5B8B7"/>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Specialist</w:t>
            </w:r>
          </w:p>
        </w:tc>
        <w:tc>
          <w:tcPr>
            <w:tcW w:w="851"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100%</w:t>
            </w:r>
          </w:p>
        </w:tc>
        <w:tc>
          <w:tcPr>
            <w:tcW w:w="987"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1</w:t>
            </w:r>
          </w:p>
        </w:tc>
        <w:tc>
          <w:tcPr>
            <w:tcW w:w="840" w:type="dxa"/>
            <w:shd w:val="clear" w:color="auto" w:fill="FBD4B4"/>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Default="00C83B35" w:rsidP="0070791D">
            <w:r w:rsidRPr="004E2017">
              <w:rPr>
                <w:rFonts w:ascii="Arial Narrow" w:hAnsi="Arial Narrow"/>
                <w:sz w:val="18"/>
              </w:rPr>
              <w:t>TBD</w:t>
            </w:r>
          </w:p>
        </w:tc>
      </w:tr>
      <w:tr w:rsidR="00C83B35" w:rsidRPr="00B061AD" w:rsidTr="0070791D">
        <w:tc>
          <w:tcPr>
            <w:tcW w:w="1728" w:type="dxa"/>
          </w:tcPr>
          <w:p w:rsidR="00C83B35" w:rsidRDefault="00C83B35" w:rsidP="0015478A">
            <w:pPr>
              <w:pStyle w:val="ListParagraph"/>
              <w:spacing w:after="0" w:line="240" w:lineRule="auto"/>
              <w:ind w:left="142"/>
              <w:jc w:val="left"/>
              <w:rPr>
                <w:rFonts w:ascii="Arial Narrow" w:hAnsi="Arial Narrow"/>
                <w:sz w:val="18"/>
              </w:rPr>
            </w:pPr>
            <w:r>
              <w:rPr>
                <w:rFonts w:ascii="Arial Narrow" w:hAnsi="Arial Narrow"/>
                <w:sz w:val="18"/>
              </w:rPr>
              <w:t xml:space="preserve">Hospital stay </w:t>
            </w:r>
          </w:p>
        </w:tc>
        <w:tc>
          <w:tcPr>
            <w:tcW w:w="1135"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851"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100%</w:t>
            </w:r>
          </w:p>
        </w:tc>
        <w:tc>
          <w:tcPr>
            <w:tcW w:w="987" w:type="dxa"/>
            <w:shd w:val="clear" w:color="auto" w:fill="D6E3BC"/>
          </w:tcPr>
          <w:p w:rsidR="00C83B35" w:rsidRDefault="00B90731" w:rsidP="0070791D">
            <w:pPr>
              <w:rPr>
                <w:rFonts w:ascii="Arial Narrow" w:hAnsi="Arial Narrow"/>
                <w:sz w:val="18"/>
              </w:rPr>
            </w:pPr>
            <w:r w:rsidRPr="00A55CD2">
              <w:rPr>
                <w:rFonts w:ascii="Arial Narrow" w:hAnsi="Arial Narrow"/>
                <w:sz w:val="18"/>
              </w:rPr>
              <w:t>AR-DRGs K07Z K04A and K04B</w:t>
            </w:r>
          </w:p>
        </w:tc>
        <w:tc>
          <w:tcPr>
            <w:tcW w:w="840" w:type="dxa"/>
            <w:shd w:val="clear" w:color="auto" w:fill="FBD4B4"/>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Default="00C83B35" w:rsidP="0070791D">
            <w:r w:rsidRPr="004E2017">
              <w:rPr>
                <w:rFonts w:ascii="Arial Narrow" w:hAnsi="Arial Narrow"/>
                <w:sz w:val="18"/>
              </w:rPr>
              <w:t>TBD</w:t>
            </w:r>
          </w:p>
        </w:tc>
      </w:tr>
      <w:tr w:rsidR="00C83B35" w:rsidRPr="00B061AD" w:rsidTr="0070791D">
        <w:tc>
          <w:tcPr>
            <w:tcW w:w="1728" w:type="dxa"/>
          </w:tcPr>
          <w:p w:rsidR="00C83B35" w:rsidRDefault="0015478A" w:rsidP="0070791D">
            <w:pPr>
              <w:pStyle w:val="ListParagraph"/>
              <w:spacing w:after="0" w:line="240" w:lineRule="auto"/>
              <w:ind w:left="142"/>
              <w:jc w:val="left"/>
              <w:rPr>
                <w:rFonts w:ascii="Arial Narrow" w:hAnsi="Arial Narrow"/>
                <w:sz w:val="18"/>
              </w:rPr>
            </w:pPr>
            <w:r>
              <w:rPr>
                <w:rFonts w:ascii="Arial Narrow" w:hAnsi="Arial Narrow"/>
                <w:sz w:val="18"/>
              </w:rPr>
              <w:t xml:space="preserve">Gastric </w:t>
            </w:r>
            <w:r w:rsidR="00C83B35">
              <w:rPr>
                <w:rFonts w:ascii="Arial Narrow" w:hAnsi="Arial Narrow"/>
                <w:sz w:val="18"/>
              </w:rPr>
              <w:t>Band adjustment</w:t>
            </w:r>
          </w:p>
        </w:tc>
        <w:tc>
          <w:tcPr>
            <w:tcW w:w="1135"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851" w:type="dxa"/>
            <w:shd w:val="clear" w:color="auto" w:fill="E5B8B7"/>
          </w:tcPr>
          <w:p w:rsidR="00C83B35"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TBD</w:t>
            </w:r>
          </w:p>
        </w:tc>
        <w:tc>
          <w:tcPr>
            <w:tcW w:w="987" w:type="dxa"/>
            <w:shd w:val="clear" w:color="auto" w:fill="D6E3BC"/>
          </w:tcPr>
          <w:p w:rsidR="00C83B35" w:rsidRDefault="00C83B35" w:rsidP="0070791D">
            <w:pPr>
              <w:spacing w:after="0" w:line="240" w:lineRule="auto"/>
              <w:jc w:val="center"/>
              <w:rPr>
                <w:rFonts w:ascii="Arial Narrow" w:hAnsi="Arial Narrow"/>
                <w:sz w:val="18"/>
              </w:rPr>
            </w:pPr>
            <w:r>
              <w:rPr>
                <w:rFonts w:ascii="Arial Narrow" w:hAnsi="Arial Narrow"/>
                <w:sz w:val="18"/>
              </w:rPr>
              <w:t>TBD</w:t>
            </w:r>
          </w:p>
        </w:tc>
        <w:tc>
          <w:tcPr>
            <w:tcW w:w="840" w:type="dxa"/>
            <w:shd w:val="clear" w:color="auto" w:fill="FBD4B4"/>
          </w:tcPr>
          <w:p w:rsidR="001B5AEE" w:rsidRDefault="001B5AEE" w:rsidP="0070791D">
            <w:pPr>
              <w:spacing w:after="0" w:line="240" w:lineRule="auto"/>
              <w:jc w:val="center"/>
              <w:rPr>
                <w:rFonts w:ascii="Arial Narrow" w:hAnsi="Arial Narrow"/>
                <w:sz w:val="18"/>
              </w:rPr>
            </w:pPr>
          </w:p>
          <w:p w:rsidR="00C83B35" w:rsidRDefault="001B5AEE" w:rsidP="0070791D">
            <w:pPr>
              <w:spacing w:after="0" w:line="240" w:lineRule="auto"/>
              <w:jc w:val="center"/>
              <w:rPr>
                <w:rFonts w:ascii="Arial Narrow" w:hAnsi="Arial Narrow"/>
                <w:sz w:val="18"/>
              </w:rPr>
            </w:pPr>
            <w:r>
              <w:rPr>
                <w:rFonts w:ascii="Arial Narrow" w:hAnsi="Arial Narrow"/>
                <w:sz w:val="18"/>
              </w:rPr>
              <w:t>$83.50</w:t>
            </w: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Default="00C83B35" w:rsidP="0070791D">
            <w:pPr>
              <w:spacing w:after="0" w:line="240" w:lineRule="auto"/>
              <w:jc w:val="center"/>
              <w:rPr>
                <w:rFonts w:ascii="Arial Narrow" w:hAnsi="Arial Narrow"/>
                <w:sz w:val="18"/>
              </w:rPr>
            </w:pPr>
          </w:p>
          <w:p w:rsidR="001B5AEE" w:rsidRPr="00B061AD" w:rsidRDefault="001B5AEE" w:rsidP="0070791D">
            <w:pPr>
              <w:spacing w:after="0" w:line="240" w:lineRule="auto"/>
              <w:jc w:val="center"/>
              <w:rPr>
                <w:rFonts w:ascii="Arial Narrow" w:hAnsi="Arial Narrow"/>
                <w:sz w:val="18"/>
              </w:rPr>
            </w:pPr>
            <w:r>
              <w:rPr>
                <w:rFonts w:ascii="Arial Narrow" w:hAnsi="Arial Narrow"/>
                <w:sz w:val="18"/>
              </w:rPr>
              <w:t>$14.65</w:t>
            </w:r>
          </w:p>
        </w:tc>
        <w:tc>
          <w:tcPr>
            <w:tcW w:w="699" w:type="dxa"/>
            <w:shd w:val="clear" w:color="auto" w:fill="FBD4B4"/>
          </w:tcPr>
          <w:p w:rsidR="001B5AEE" w:rsidRDefault="00C327EC" w:rsidP="001B5AEE">
            <w:pPr>
              <w:rPr>
                <w:rFonts w:ascii="Arial Narrow" w:hAnsi="Arial Narrow"/>
                <w:sz w:val="18"/>
              </w:rPr>
            </w:pPr>
            <w:r>
              <w:rPr>
                <w:rFonts w:ascii="Arial Narrow" w:hAnsi="Arial Narrow"/>
                <w:sz w:val="18"/>
              </w:rPr>
              <w:t>$</w:t>
            </w:r>
          </w:p>
          <w:p w:rsidR="00C83B35" w:rsidRPr="004E2017" w:rsidRDefault="001B5AEE" w:rsidP="001B5AEE">
            <w:pPr>
              <w:rPr>
                <w:rFonts w:ascii="Arial Narrow" w:hAnsi="Arial Narrow"/>
                <w:sz w:val="18"/>
              </w:rPr>
            </w:pPr>
            <w:r>
              <w:rPr>
                <w:rFonts w:ascii="Arial Narrow" w:hAnsi="Arial Narrow"/>
                <w:sz w:val="18"/>
              </w:rPr>
              <w:t>$97.95</w:t>
            </w:r>
          </w:p>
        </w:tc>
      </w:tr>
      <w:tr w:rsidR="00C327EC" w:rsidRPr="00B061AD" w:rsidTr="0070791D">
        <w:tc>
          <w:tcPr>
            <w:tcW w:w="1728" w:type="dxa"/>
          </w:tcPr>
          <w:p w:rsidR="00C327EC" w:rsidRDefault="00C327EC" w:rsidP="0070791D">
            <w:pPr>
              <w:pStyle w:val="ListParagraph"/>
              <w:spacing w:after="0" w:line="240" w:lineRule="auto"/>
              <w:ind w:left="142"/>
              <w:jc w:val="left"/>
              <w:rPr>
                <w:rFonts w:ascii="Arial Narrow" w:hAnsi="Arial Narrow"/>
                <w:sz w:val="18"/>
              </w:rPr>
            </w:pPr>
            <w:r>
              <w:rPr>
                <w:rFonts w:ascii="Arial Narrow" w:hAnsi="Arial Narrow"/>
                <w:sz w:val="18"/>
              </w:rPr>
              <w:t xml:space="preserve">Reversal of </w:t>
            </w:r>
            <w:r w:rsidR="0015478A">
              <w:rPr>
                <w:rFonts w:ascii="Arial Narrow" w:hAnsi="Arial Narrow"/>
                <w:sz w:val="18"/>
              </w:rPr>
              <w:t xml:space="preserve">gastric </w:t>
            </w:r>
            <w:r>
              <w:rPr>
                <w:rFonts w:ascii="Arial Narrow" w:hAnsi="Arial Narrow"/>
                <w:sz w:val="18"/>
              </w:rPr>
              <w:t>banding</w:t>
            </w:r>
          </w:p>
        </w:tc>
        <w:tc>
          <w:tcPr>
            <w:tcW w:w="1135" w:type="dxa"/>
            <w:shd w:val="clear" w:color="auto" w:fill="E5B8B7"/>
          </w:tcPr>
          <w:p w:rsidR="00C327EC" w:rsidRDefault="00C327EC" w:rsidP="0070791D">
            <w:pPr>
              <w:spacing w:after="0" w:line="240" w:lineRule="auto"/>
              <w:jc w:val="center"/>
              <w:rPr>
                <w:rFonts w:ascii="Arial Narrow" w:hAnsi="Arial Narrow"/>
                <w:sz w:val="18"/>
              </w:rPr>
            </w:pPr>
            <w:r>
              <w:rPr>
                <w:rFonts w:ascii="Arial Narrow" w:hAnsi="Arial Narrow"/>
                <w:sz w:val="18"/>
              </w:rPr>
              <w:t>Surgeon/specialist</w:t>
            </w:r>
          </w:p>
        </w:tc>
        <w:tc>
          <w:tcPr>
            <w:tcW w:w="851" w:type="dxa"/>
            <w:shd w:val="clear" w:color="auto" w:fill="E5B8B7"/>
          </w:tcPr>
          <w:p w:rsidR="00C327EC" w:rsidRDefault="00C327EC"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C327EC" w:rsidRDefault="00C327EC" w:rsidP="0070791D">
            <w:pPr>
              <w:spacing w:after="0" w:line="240" w:lineRule="auto"/>
              <w:jc w:val="center"/>
              <w:rPr>
                <w:rFonts w:ascii="Arial Narrow" w:hAnsi="Arial Narrow"/>
                <w:sz w:val="18"/>
              </w:rPr>
            </w:pPr>
            <w:r>
              <w:rPr>
                <w:rFonts w:ascii="Arial Narrow" w:hAnsi="Arial Narrow"/>
                <w:sz w:val="18"/>
              </w:rPr>
              <w:t>TBD</w:t>
            </w:r>
          </w:p>
        </w:tc>
        <w:tc>
          <w:tcPr>
            <w:tcW w:w="987" w:type="dxa"/>
            <w:shd w:val="clear" w:color="auto" w:fill="D6E3BC"/>
          </w:tcPr>
          <w:p w:rsidR="00C327EC" w:rsidRDefault="00C327EC" w:rsidP="0070791D">
            <w:pPr>
              <w:spacing w:after="0" w:line="240" w:lineRule="auto"/>
              <w:jc w:val="center"/>
              <w:rPr>
                <w:rFonts w:ascii="Arial Narrow" w:hAnsi="Arial Narrow"/>
                <w:sz w:val="18"/>
              </w:rPr>
            </w:pPr>
            <w:r>
              <w:rPr>
                <w:rFonts w:ascii="Arial Narrow" w:hAnsi="Arial Narrow"/>
                <w:sz w:val="18"/>
              </w:rPr>
              <w:t>TBD</w:t>
            </w:r>
          </w:p>
        </w:tc>
        <w:tc>
          <w:tcPr>
            <w:tcW w:w="840" w:type="dxa"/>
            <w:shd w:val="clear" w:color="auto" w:fill="FBD4B4"/>
          </w:tcPr>
          <w:p w:rsidR="00C327EC" w:rsidRPr="00B061AD" w:rsidRDefault="00C327EC" w:rsidP="0070791D">
            <w:pPr>
              <w:spacing w:after="0" w:line="240" w:lineRule="auto"/>
              <w:jc w:val="center"/>
              <w:rPr>
                <w:rFonts w:ascii="Arial Narrow" w:hAnsi="Arial Narrow"/>
                <w:sz w:val="18"/>
              </w:rPr>
            </w:pPr>
            <w:r w:rsidRPr="00C327EC">
              <w:rPr>
                <w:rFonts w:ascii="Arial Narrow" w:hAnsi="Arial Narrow"/>
                <w:sz w:val="18"/>
              </w:rPr>
              <w:t>$1,154.35</w:t>
            </w:r>
          </w:p>
        </w:tc>
        <w:tc>
          <w:tcPr>
            <w:tcW w:w="698" w:type="dxa"/>
            <w:shd w:val="clear" w:color="auto" w:fill="FBD4B4"/>
          </w:tcPr>
          <w:p w:rsidR="00C327EC" w:rsidRPr="00B061AD" w:rsidRDefault="00C327EC" w:rsidP="0070791D">
            <w:pPr>
              <w:spacing w:after="0" w:line="240" w:lineRule="auto"/>
              <w:jc w:val="center"/>
              <w:rPr>
                <w:rFonts w:ascii="Arial Narrow" w:hAnsi="Arial Narrow"/>
                <w:sz w:val="18"/>
              </w:rPr>
            </w:pPr>
          </w:p>
        </w:tc>
        <w:tc>
          <w:tcPr>
            <w:tcW w:w="699" w:type="dxa"/>
            <w:shd w:val="clear" w:color="auto" w:fill="FBD4B4"/>
          </w:tcPr>
          <w:p w:rsidR="00C327EC" w:rsidRPr="00B061AD" w:rsidRDefault="00C327EC" w:rsidP="0070791D">
            <w:pPr>
              <w:spacing w:after="0" w:line="240" w:lineRule="auto"/>
              <w:jc w:val="center"/>
              <w:rPr>
                <w:rFonts w:ascii="Arial Narrow" w:hAnsi="Arial Narrow"/>
                <w:sz w:val="18"/>
              </w:rPr>
            </w:pPr>
          </w:p>
        </w:tc>
        <w:tc>
          <w:tcPr>
            <w:tcW w:w="698" w:type="dxa"/>
            <w:shd w:val="clear" w:color="auto" w:fill="FBD4B4"/>
          </w:tcPr>
          <w:p w:rsidR="00C327EC" w:rsidRPr="00B061AD" w:rsidRDefault="00C327EC" w:rsidP="0070791D">
            <w:pPr>
              <w:spacing w:after="0" w:line="240" w:lineRule="auto"/>
              <w:jc w:val="center"/>
              <w:rPr>
                <w:rFonts w:ascii="Arial Narrow" w:hAnsi="Arial Narrow"/>
                <w:sz w:val="18"/>
              </w:rPr>
            </w:pPr>
          </w:p>
        </w:tc>
        <w:tc>
          <w:tcPr>
            <w:tcW w:w="698" w:type="dxa"/>
            <w:shd w:val="clear" w:color="auto" w:fill="FBD4B4"/>
          </w:tcPr>
          <w:p w:rsidR="00C327EC" w:rsidRPr="00B061AD" w:rsidRDefault="00C327EC" w:rsidP="0070791D">
            <w:pPr>
              <w:spacing w:after="0" w:line="240" w:lineRule="auto"/>
              <w:jc w:val="center"/>
              <w:rPr>
                <w:rFonts w:ascii="Arial Narrow" w:hAnsi="Arial Narrow"/>
                <w:sz w:val="18"/>
              </w:rPr>
            </w:pPr>
            <w:r>
              <w:rPr>
                <w:rFonts w:ascii="Arial Narrow" w:hAnsi="Arial Narrow"/>
                <w:sz w:val="18"/>
              </w:rPr>
              <w:t>$384.75</w:t>
            </w:r>
          </w:p>
        </w:tc>
        <w:tc>
          <w:tcPr>
            <w:tcW w:w="699" w:type="dxa"/>
            <w:shd w:val="clear" w:color="auto" w:fill="FBD4B4"/>
          </w:tcPr>
          <w:p w:rsidR="00C327EC" w:rsidRPr="00C327EC" w:rsidRDefault="00C327EC" w:rsidP="0070791D">
            <w:pPr>
              <w:rPr>
                <w:rFonts w:ascii="Arial Narrow" w:hAnsi="Arial Narrow"/>
                <w:sz w:val="18"/>
              </w:rPr>
            </w:pPr>
            <w:r w:rsidRPr="00C327EC">
              <w:rPr>
                <w:rFonts w:ascii="Arial Narrow" w:hAnsi="Arial Narrow"/>
                <w:sz w:val="18"/>
              </w:rPr>
              <w:t>$1,539.10</w:t>
            </w:r>
          </w:p>
        </w:tc>
      </w:tr>
      <w:tr w:rsidR="0091520B" w:rsidRPr="00D00A8A" w:rsidTr="0091520B">
        <w:tc>
          <w:tcPr>
            <w:tcW w:w="9747" w:type="dxa"/>
            <w:gridSpan w:val="11"/>
            <w:vAlign w:val="center"/>
          </w:tcPr>
          <w:p w:rsidR="0091520B" w:rsidRPr="00D00A8A" w:rsidRDefault="0091520B" w:rsidP="00250543">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in association with </w:t>
            </w:r>
            <w:r>
              <w:rPr>
                <w:rFonts w:ascii="Arial Narrow" w:hAnsi="Arial Narrow"/>
                <w:sz w:val="18"/>
                <w:u w:val="single"/>
              </w:rPr>
              <w:t>comparator</w:t>
            </w:r>
            <w:r w:rsidR="00EC4631">
              <w:rPr>
                <w:rFonts w:ascii="Arial Narrow" w:hAnsi="Arial Narrow"/>
                <w:sz w:val="18"/>
                <w:u w:val="single"/>
              </w:rPr>
              <w:t xml:space="preserve"> </w:t>
            </w:r>
          </w:p>
        </w:tc>
      </w:tr>
      <w:tr w:rsidR="00C83B35" w:rsidRPr="00B061AD" w:rsidTr="0070791D">
        <w:tc>
          <w:tcPr>
            <w:tcW w:w="1728" w:type="dxa"/>
          </w:tcPr>
          <w:p w:rsidR="00C83B35" w:rsidRPr="00B061AD" w:rsidRDefault="00C83B35" w:rsidP="0070791D">
            <w:pPr>
              <w:pStyle w:val="ListParagraph"/>
              <w:spacing w:after="0" w:line="240" w:lineRule="auto"/>
              <w:ind w:left="142"/>
              <w:jc w:val="left"/>
              <w:rPr>
                <w:rFonts w:ascii="Arial Narrow" w:hAnsi="Arial Narrow"/>
                <w:sz w:val="18"/>
              </w:rPr>
            </w:pPr>
            <w:r>
              <w:rPr>
                <w:rFonts w:ascii="Arial Narrow" w:hAnsi="Arial Narrow"/>
                <w:sz w:val="18"/>
              </w:rPr>
              <w:t>Anti-diabetic medications</w:t>
            </w:r>
          </w:p>
        </w:tc>
        <w:tc>
          <w:tcPr>
            <w:tcW w:w="1135" w:type="dxa"/>
            <w:shd w:val="clear" w:color="auto" w:fill="E5B8B7"/>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PBS</w:t>
            </w:r>
          </w:p>
        </w:tc>
        <w:tc>
          <w:tcPr>
            <w:tcW w:w="851" w:type="dxa"/>
            <w:shd w:val="clear" w:color="auto" w:fill="E5B8B7"/>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987" w:type="dxa"/>
            <w:shd w:val="clear" w:color="auto" w:fill="D6E3BC"/>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840"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Default="00C83B35" w:rsidP="0070791D">
            <w:r w:rsidRPr="00810AFD">
              <w:rPr>
                <w:rFonts w:ascii="Arial Narrow" w:hAnsi="Arial Narrow"/>
                <w:sz w:val="18"/>
              </w:rPr>
              <w:t>TBD</w:t>
            </w:r>
          </w:p>
        </w:tc>
      </w:tr>
      <w:tr w:rsidR="00C83B35" w:rsidRPr="00B061AD" w:rsidTr="0070791D">
        <w:tc>
          <w:tcPr>
            <w:tcW w:w="1728" w:type="dxa"/>
          </w:tcPr>
          <w:p w:rsidR="00C83B35" w:rsidRPr="00B061AD" w:rsidRDefault="00C83B35" w:rsidP="0070791D">
            <w:pPr>
              <w:pStyle w:val="ListParagraph"/>
              <w:spacing w:after="0" w:line="240" w:lineRule="auto"/>
              <w:ind w:left="142"/>
              <w:jc w:val="left"/>
              <w:rPr>
                <w:rFonts w:ascii="Arial Narrow" w:hAnsi="Arial Narrow"/>
                <w:sz w:val="18"/>
              </w:rPr>
            </w:pPr>
            <w:r>
              <w:rPr>
                <w:rFonts w:ascii="Arial Narrow" w:hAnsi="Arial Narrow"/>
                <w:sz w:val="18"/>
              </w:rPr>
              <w:t>Other cardiovascular medications</w:t>
            </w:r>
          </w:p>
        </w:tc>
        <w:tc>
          <w:tcPr>
            <w:tcW w:w="1135" w:type="dxa"/>
            <w:shd w:val="clear" w:color="auto" w:fill="E5B8B7"/>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 xml:space="preserve">PBS and out of pocket </w:t>
            </w:r>
          </w:p>
        </w:tc>
        <w:tc>
          <w:tcPr>
            <w:tcW w:w="851" w:type="dxa"/>
            <w:shd w:val="clear" w:color="auto" w:fill="E5B8B7"/>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Private hospital</w:t>
            </w:r>
          </w:p>
        </w:tc>
        <w:tc>
          <w:tcPr>
            <w:tcW w:w="714" w:type="dxa"/>
            <w:shd w:val="clear" w:color="auto" w:fill="D6E3BC"/>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987" w:type="dxa"/>
            <w:shd w:val="clear" w:color="auto" w:fill="D6E3BC"/>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840"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9" w:type="dxa"/>
            <w:shd w:val="clear" w:color="auto" w:fill="FBD4B4"/>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p>
        </w:tc>
        <w:tc>
          <w:tcPr>
            <w:tcW w:w="698" w:type="dxa"/>
            <w:shd w:val="clear" w:color="auto" w:fill="FBD4B4"/>
          </w:tcPr>
          <w:p w:rsidR="00C83B35" w:rsidRPr="00B061AD" w:rsidRDefault="00C83B35" w:rsidP="0070791D">
            <w:pPr>
              <w:spacing w:after="0" w:line="240" w:lineRule="auto"/>
              <w:jc w:val="center"/>
              <w:rPr>
                <w:rFonts w:ascii="Arial Narrow" w:hAnsi="Arial Narrow"/>
                <w:sz w:val="18"/>
              </w:rPr>
            </w:pPr>
            <w:r>
              <w:rPr>
                <w:rFonts w:ascii="Arial Narrow" w:hAnsi="Arial Narrow"/>
                <w:sz w:val="18"/>
              </w:rPr>
              <w:t>TBD</w:t>
            </w:r>
          </w:p>
        </w:tc>
        <w:tc>
          <w:tcPr>
            <w:tcW w:w="699" w:type="dxa"/>
            <w:shd w:val="clear" w:color="auto" w:fill="FBD4B4"/>
          </w:tcPr>
          <w:p w:rsidR="00C83B35" w:rsidRDefault="00C83B35" w:rsidP="0070791D">
            <w:r w:rsidRPr="00810AFD">
              <w:rPr>
                <w:rFonts w:ascii="Arial Narrow" w:hAnsi="Arial Narrow"/>
                <w:sz w:val="18"/>
              </w:rPr>
              <w:t>TBD</w:t>
            </w:r>
          </w:p>
        </w:tc>
      </w:tr>
    </w:tbl>
    <w:p w:rsidR="00DB5B0D" w:rsidRDefault="00DB5B0D" w:rsidP="0070791D">
      <w:pPr>
        <w:pStyle w:val="TableFootnotes"/>
        <w:keepNext w:val="0"/>
        <w:spacing w:after="0"/>
        <w:rPr>
          <w:lang w:val="en-GB"/>
        </w:rPr>
      </w:pPr>
      <w:r>
        <w:rPr>
          <w:lang w:val="en-GB"/>
        </w:rPr>
        <w:t>Abbreviations: PBS, Pharmaceutical Benefits Scheme; TBD, to be determined</w:t>
      </w:r>
    </w:p>
    <w:p w:rsidR="000D5CF9" w:rsidRPr="00EC70B5" w:rsidRDefault="000D5CF9" w:rsidP="0070791D">
      <w:pPr>
        <w:pStyle w:val="TableFootnotes"/>
        <w:keepNext w:val="0"/>
        <w:spacing w:after="0"/>
        <w:rPr>
          <w:lang w:val="en-GB"/>
        </w:rPr>
      </w:pPr>
      <w:r w:rsidRPr="00EC70B5">
        <w:rPr>
          <w:lang w:val="en-GB"/>
        </w:rPr>
        <w:t>* Include costs relating to both the standard and extended safety net.</w:t>
      </w:r>
    </w:p>
    <w:p w:rsidR="000D5CF9" w:rsidRDefault="000D5CF9" w:rsidP="0042242D">
      <w:pPr>
        <w:pStyle w:val="Heading1"/>
      </w:pPr>
      <w:bookmarkStart w:id="39" w:name="_Toc389834076"/>
      <w:r>
        <w:t>Proposed structure of economic evaluation (decision-analytic)</w:t>
      </w:r>
      <w:bookmarkEnd w:id="39"/>
    </w:p>
    <w:bookmarkStart w:id="40" w:name="_Ref283297696"/>
    <w:p w:rsidR="00FF66B5" w:rsidRPr="000E4D3C" w:rsidRDefault="004D5C85" w:rsidP="000E4D3C">
      <w:r w:rsidRPr="000E4D3C">
        <w:fldChar w:fldCharType="begin"/>
      </w:r>
      <w:r w:rsidR="00EC4631">
        <w:instrText xml:space="preserve"> REF _Ref371692061 \h </w:instrText>
      </w:r>
      <w:r w:rsidR="000E4D3C">
        <w:instrText xml:space="preserve"> \* MERGEFORMAT </w:instrText>
      </w:r>
      <w:r w:rsidRPr="000E4D3C">
        <w:fldChar w:fldCharType="separate"/>
      </w:r>
      <w:r w:rsidR="008850CD">
        <w:t>Table 7</w:t>
      </w:r>
      <w:r w:rsidRPr="000E4D3C">
        <w:fldChar w:fldCharType="end"/>
      </w:r>
      <w:r w:rsidR="00FF66B5" w:rsidRPr="00642166">
        <w:t xml:space="preserve"> summarises</w:t>
      </w:r>
      <w:r w:rsidR="00FF66B5">
        <w:t xml:space="preserve"> the population, intervention, comparator and outcomes of EndoBarrier, for treatment of patients with clinically severe obesity</w:t>
      </w:r>
      <w:r w:rsidR="00C7634C">
        <w:t>.</w:t>
      </w:r>
    </w:p>
    <w:p w:rsidR="00B90731" w:rsidRDefault="00B90731" w:rsidP="002542EC">
      <w:pPr>
        <w:pStyle w:val="Caption"/>
        <w:keepLines/>
      </w:pPr>
      <w:bookmarkStart w:id="41" w:name="_Ref371692061"/>
      <w:bookmarkEnd w:id="40"/>
      <w:r>
        <w:t xml:space="preserve">Table </w:t>
      </w:r>
      <w:r w:rsidR="004D5C85">
        <w:fldChar w:fldCharType="begin"/>
      </w:r>
      <w:r w:rsidR="00D06433">
        <w:instrText xml:space="preserve"> SEQ Table \* ARABIC </w:instrText>
      </w:r>
      <w:r w:rsidR="004D5C85">
        <w:fldChar w:fldCharType="separate"/>
      </w:r>
      <w:r w:rsidR="008850CD">
        <w:rPr>
          <w:noProof/>
        </w:rPr>
        <w:t>7</w:t>
      </w:r>
      <w:r w:rsidR="004D5C85">
        <w:rPr>
          <w:noProof/>
        </w:rPr>
        <w:fldChar w:fldCharType="end"/>
      </w:r>
      <w:bookmarkEnd w:id="41"/>
      <w:r>
        <w:t>:  Summary of extended PICO to define research question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7"/>
        <w:gridCol w:w="1420"/>
        <w:gridCol w:w="1559"/>
        <w:gridCol w:w="1134"/>
        <w:gridCol w:w="3119"/>
      </w:tblGrid>
      <w:tr w:rsidR="00B90731" w:rsidRPr="00C873D8" w:rsidTr="00C64FE3">
        <w:trPr>
          <w:tblHeader/>
        </w:trPr>
        <w:tc>
          <w:tcPr>
            <w:tcW w:w="1807" w:type="dxa"/>
          </w:tcPr>
          <w:p w:rsidR="00B90731" w:rsidRPr="00AA5FBF" w:rsidRDefault="00B90731" w:rsidP="002542EC">
            <w:pPr>
              <w:keepNext/>
              <w:keepLines/>
              <w:spacing w:after="0" w:line="240" w:lineRule="auto"/>
              <w:jc w:val="center"/>
              <w:rPr>
                <w:rFonts w:ascii="Arial Narrow" w:hAnsi="Arial Narrow"/>
                <w:b/>
                <w:sz w:val="18"/>
              </w:rPr>
            </w:pPr>
            <w:r w:rsidRPr="00AA5FBF">
              <w:rPr>
                <w:rFonts w:ascii="Arial Narrow" w:hAnsi="Arial Narrow"/>
                <w:b/>
                <w:sz w:val="18"/>
              </w:rPr>
              <w:t>Patients</w:t>
            </w:r>
          </w:p>
        </w:tc>
        <w:tc>
          <w:tcPr>
            <w:tcW w:w="1420" w:type="dxa"/>
          </w:tcPr>
          <w:p w:rsidR="00B90731" w:rsidRPr="00AA5FBF" w:rsidRDefault="00B90731" w:rsidP="002542EC">
            <w:pPr>
              <w:keepNext/>
              <w:keepLines/>
              <w:spacing w:after="0" w:line="240" w:lineRule="auto"/>
              <w:jc w:val="center"/>
              <w:rPr>
                <w:rFonts w:ascii="Arial Narrow" w:hAnsi="Arial Narrow"/>
                <w:b/>
                <w:sz w:val="18"/>
              </w:rPr>
            </w:pPr>
            <w:r w:rsidRPr="00AA5FBF">
              <w:rPr>
                <w:rFonts w:ascii="Arial Narrow" w:hAnsi="Arial Narrow"/>
                <w:b/>
                <w:sz w:val="18"/>
              </w:rPr>
              <w:t>Intervention</w:t>
            </w:r>
          </w:p>
        </w:tc>
        <w:tc>
          <w:tcPr>
            <w:tcW w:w="1559" w:type="dxa"/>
          </w:tcPr>
          <w:p w:rsidR="00B90731" w:rsidRPr="00AA5FBF" w:rsidRDefault="00B90731" w:rsidP="002542EC">
            <w:pPr>
              <w:keepNext/>
              <w:keepLines/>
              <w:spacing w:after="0" w:line="240" w:lineRule="auto"/>
              <w:jc w:val="center"/>
              <w:rPr>
                <w:rFonts w:ascii="Arial Narrow" w:hAnsi="Arial Narrow"/>
                <w:b/>
                <w:sz w:val="18"/>
              </w:rPr>
            </w:pPr>
            <w:r w:rsidRPr="00AA5FBF">
              <w:rPr>
                <w:rFonts w:ascii="Arial Narrow" w:hAnsi="Arial Narrow"/>
                <w:b/>
                <w:sz w:val="18"/>
              </w:rPr>
              <w:t>Comparator</w:t>
            </w:r>
          </w:p>
        </w:tc>
        <w:tc>
          <w:tcPr>
            <w:tcW w:w="1134" w:type="dxa"/>
          </w:tcPr>
          <w:p w:rsidR="00B90731" w:rsidRPr="00AA5FBF" w:rsidRDefault="00B90731" w:rsidP="002542EC">
            <w:pPr>
              <w:keepNext/>
              <w:keepLines/>
              <w:spacing w:after="0" w:line="240" w:lineRule="auto"/>
              <w:jc w:val="center"/>
              <w:rPr>
                <w:rFonts w:ascii="Arial Narrow" w:hAnsi="Arial Narrow"/>
                <w:b/>
                <w:sz w:val="18"/>
              </w:rPr>
            </w:pPr>
            <w:r w:rsidRPr="00AA5FBF">
              <w:rPr>
                <w:rFonts w:ascii="Arial Narrow" w:hAnsi="Arial Narrow"/>
                <w:b/>
                <w:sz w:val="18"/>
              </w:rPr>
              <w:t>Outcomes to be assessed</w:t>
            </w:r>
          </w:p>
        </w:tc>
        <w:tc>
          <w:tcPr>
            <w:tcW w:w="3119" w:type="dxa"/>
          </w:tcPr>
          <w:p w:rsidR="00B90731" w:rsidRPr="00AA5FBF" w:rsidRDefault="00B90731" w:rsidP="002542EC">
            <w:pPr>
              <w:keepNext/>
              <w:keepLines/>
              <w:spacing w:after="0" w:line="240" w:lineRule="auto"/>
              <w:jc w:val="center"/>
              <w:rPr>
                <w:rFonts w:ascii="Arial Narrow" w:hAnsi="Arial Narrow"/>
                <w:b/>
                <w:sz w:val="18"/>
              </w:rPr>
            </w:pPr>
            <w:r w:rsidRPr="00AA5FBF">
              <w:rPr>
                <w:rFonts w:ascii="Arial Narrow" w:hAnsi="Arial Narrow"/>
                <w:b/>
                <w:sz w:val="18"/>
              </w:rPr>
              <w:t>Healthcare resources to be considered</w:t>
            </w:r>
          </w:p>
        </w:tc>
      </w:tr>
      <w:tr w:rsidR="00EC4631" w:rsidRPr="00C873D8" w:rsidTr="002A1E35">
        <w:tc>
          <w:tcPr>
            <w:tcW w:w="1807" w:type="dxa"/>
            <w:vMerge w:val="restart"/>
          </w:tcPr>
          <w:p w:rsidR="00EC4631" w:rsidRDefault="00EC4631" w:rsidP="002542EC">
            <w:pPr>
              <w:keepNext/>
              <w:keepLines/>
              <w:spacing w:after="0" w:line="240" w:lineRule="auto"/>
              <w:jc w:val="left"/>
              <w:rPr>
                <w:rFonts w:ascii="Arial Narrow" w:hAnsi="Arial Narrow"/>
                <w:sz w:val="18"/>
              </w:rPr>
            </w:pPr>
            <w:r>
              <w:rPr>
                <w:rFonts w:ascii="Arial Narrow" w:hAnsi="Arial Narrow"/>
                <w:sz w:val="18"/>
              </w:rPr>
              <w:t>Patients with clinically severe obesity</w:t>
            </w:r>
          </w:p>
          <w:p w:rsidR="00EC4631" w:rsidRDefault="00EC4631" w:rsidP="002542EC">
            <w:pPr>
              <w:keepNext/>
              <w:keepLines/>
              <w:spacing w:after="0" w:line="240" w:lineRule="auto"/>
              <w:jc w:val="left"/>
              <w:rPr>
                <w:rFonts w:ascii="Arial Narrow" w:hAnsi="Arial Narrow"/>
                <w:sz w:val="18"/>
              </w:rPr>
            </w:pPr>
          </w:p>
          <w:p w:rsidR="0051534E" w:rsidRPr="0051534E" w:rsidRDefault="00E52B29" w:rsidP="002542EC">
            <w:pPr>
              <w:pStyle w:val="CommentText"/>
              <w:keepNext/>
              <w:keepLines/>
              <w:spacing w:after="0" w:line="240" w:lineRule="auto"/>
              <w:jc w:val="left"/>
              <w:rPr>
                <w:rFonts w:ascii="Arial Narrow" w:hAnsi="Arial Narrow" w:cs="Tahoma"/>
                <w:sz w:val="18"/>
              </w:rPr>
            </w:pPr>
            <w:r>
              <w:rPr>
                <w:rFonts w:ascii="Arial Narrow" w:hAnsi="Arial Narrow" w:cs="Tahoma"/>
                <w:sz w:val="18"/>
              </w:rPr>
              <w:t xml:space="preserve">GID will </w:t>
            </w:r>
            <w:r w:rsidR="0051534E">
              <w:rPr>
                <w:rFonts w:ascii="Arial Narrow" w:hAnsi="Arial Narrow" w:cs="Tahoma"/>
                <w:sz w:val="18"/>
              </w:rPr>
              <w:t xml:space="preserve">present a sensitivity analysis </w:t>
            </w:r>
            <w:r w:rsidR="0051534E" w:rsidRPr="0051534E">
              <w:rPr>
                <w:rFonts w:ascii="Arial Narrow" w:hAnsi="Arial Narrow" w:cs="Tahoma"/>
                <w:sz w:val="18"/>
              </w:rPr>
              <w:t>modelling cost-effectiveness in patients with BMI&gt;30 kg/m2 (i.e. obesity and uncontrolled type 2 diabetes).</w:t>
            </w:r>
          </w:p>
          <w:p w:rsidR="000E4D3C" w:rsidRPr="000E4D3C" w:rsidRDefault="000E4D3C" w:rsidP="000E4D3C">
            <w:pPr>
              <w:pStyle w:val="CommentText"/>
              <w:keepNext/>
              <w:keepLines/>
              <w:spacing w:after="0" w:line="240" w:lineRule="auto"/>
              <w:jc w:val="left"/>
              <w:rPr>
                <w:rFonts w:ascii="Arial Narrow" w:hAnsi="Arial Narrow"/>
                <w:sz w:val="18"/>
              </w:rPr>
            </w:pPr>
          </w:p>
        </w:tc>
        <w:tc>
          <w:tcPr>
            <w:tcW w:w="1420" w:type="dxa"/>
            <w:vMerge w:val="restart"/>
          </w:tcPr>
          <w:p w:rsidR="00EC4631" w:rsidRPr="00AA5FBF" w:rsidRDefault="00EC4631" w:rsidP="002542EC">
            <w:pPr>
              <w:keepNext/>
              <w:keepLines/>
              <w:spacing w:after="0" w:line="240" w:lineRule="auto"/>
              <w:jc w:val="center"/>
              <w:rPr>
                <w:rFonts w:ascii="Arial Narrow" w:hAnsi="Arial Narrow"/>
                <w:sz w:val="18"/>
              </w:rPr>
            </w:pPr>
            <w:r w:rsidRPr="00642166">
              <w:rPr>
                <w:rFonts w:ascii="Arial Narrow" w:hAnsi="Arial Narrow"/>
                <w:sz w:val="18"/>
              </w:rPr>
              <w:t xml:space="preserve">duodenal jejunal bypass </w:t>
            </w:r>
            <w:r w:rsidR="00805AFB">
              <w:rPr>
                <w:rFonts w:ascii="Arial Narrow" w:hAnsi="Arial Narrow"/>
                <w:sz w:val="18"/>
              </w:rPr>
              <w:t xml:space="preserve">liner </w:t>
            </w:r>
            <w:r>
              <w:rPr>
                <w:rFonts w:ascii="Arial Narrow" w:hAnsi="Arial Narrow"/>
                <w:sz w:val="18"/>
              </w:rPr>
              <w:t>(EndoBarrier®)</w:t>
            </w:r>
          </w:p>
          <w:p w:rsidR="00EC4631" w:rsidRPr="00AA5FBF" w:rsidRDefault="00EC4631" w:rsidP="002542EC">
            <w:pPr>
              <w:keepNext/>
              <w:keepLines/>
              <w:spacing w:after="0" w:line="240" w:lineRule="auto"/>
              <w:jc w:val="center"/>
              <w:rPr>
                <w:rFonts w:ascii="Arial Narrow" w:hAnsi="Arial Narrow"/>
                <w:sz w:val="18"/>
              </w:rPr>
            </w:pPr>
          </w:p>
        </w:tc>
        <w:tc>
          <w:tcPr>
            <w:tcW w:w="1559" w:type="dxa"/>
          </w:tcPr>
          <w:p w:rsidR="00EC4631" w:rsidRDefault="00EC4631" w:rsidP="002542EC">
            <w:pPr>
              <w:keepNext/>
              <w:keepLines/>
              <w:spacing w:after="0" w:line="240" w:lineRule="auto"/>
              <w:jc w:val="center"/>
              <w:rPr>
                <w:rFonts w:ascii="Arial Narrow" w:hAnsi="Arial Narrow"/>
                <w:sz w:val="18"/>
              </w:rPr>
            </w:pPr>
            <w:r>
              <w:rPr>
                <w:rFonts w:ascii="Arial Narrow" w:hAnsi="Arial Narrow"/>
                <w:sz w:val="18"/>
              </w:rPr>
              <w:t>Comparator 1: Bariatric surgery</w:t>
            </w:r>
          </w:p>
          <w:p w:rsidR="0091056C" w:rsidRPr="00AA5FBF" w:rsidRDefault="0091056C" w:rsidP="002542EC">
            <w:pPr>
              <w:keepNext/>
              <w:keepLines/>
              <w:spacing w:after="0" w:line="240" w:lineRule="auto"/>
              <w:jc w:val="center"/>
              <w:rPr>
                <w:rFonts w:ascii="Arial Narrow" w:hAnsi="Arial Narrow"/>
                <w:sz w:val="18"/>
              </w:rPr>
            </w:pPr>
          </w:p>
        </w:tc>
        <w:tc>
          <w:tcPr>
            <w:tcW w:w="1134" w:type="dxa"/>
          </w:tcPr>
          <w:p w:rsidR="00EC4631" w:rsidRDefault="004428D1" w:rsidP="002542EC">
            <w:pPr>
              <w:keepNext/>
              <w:keepLines/>
              <w:spacing w:after="0" w:line="240" w:lineRule="auto"/>
              <w:jc w:val="center"/>
              <w:rPr>
                <w:rFonts w:ascii="Arial Narrow" w:hAnsi="Arial Narrow"/>
                <w:sz w:val="18"/>
              </w:rPr>
            </w:pPr>
            <w:r>
              <w:rPr>
                <w:rFonts w:ascii="Arial Narrow" w:hAnsi="Arial Narrow"/>
                <w:sz w:val="18"/>
              </w:rPr>
              <w:t>HbA1c</w:t>
            </w:r>
            <w:r w:rsidR="00EC4631" w:rsidRPr="00D16E4F">
              <w:rPr>
                <w:rFonts w:ascii="Arial Narrow" w:hAnsi="Arial Narrow"/>
                <w:sz w:val="18"/>
              </w:rPr>
              <w:t>Weight loss</w:t>
            </w:r>
          </w:p>
          <w:p w:rsidR="00EC4631" w:rsidRPr="00D16E4F" w:rsidRDefault="00EC4631" w:rsidP="002542EC">
            <w:pPr>
              <w:keepNext/>
              <w:keepLines/>
              <w:spacing w:after="0" w:line="240" w:lineRule="auto"/>
              <w:jc w:val="center"/>
              <w:rPr>
                <w:rFonts w:ascii="Arial Narrow" w:hAnsi="Arial Narrow"/>
                <w:sz w:val="18"/>
              </w:rPr>
            </w:pPr>
            <w:r w:rsidRPr="00D16E4F">
              <w:rPr>
                <w:rFonts w:ascii="Arial Narrow" w:hAnsi="Arial Narrow"/>
                <w:sz w:val="18"/>
              </w:rPr>
              <w:t>Adverse events/complications</w:t>
            </w:r>
          </w:p>
          <w:p w:rsidR="00EC4631" w:rsidRPr="00D16E4F" w:rsidRDefault="00EC4631" w:rsidP="002542EC">
            <w:pPr>
              <w:keepNext/>
              <w:keepLines/>
              <w:spacing w:after="0" w:line="240" w:lineRule="auto"/>
              <w:jc w:val="center"/>
              <w:rPr>
                <w:rFonts w:ascii="Arial Narrow" w:hAnsi="Arial Narrow"/>
                <w:sz w:val="18"/>
              </w:rPr>
            </w:pPr>
            <w:r w:rsidRPr="00D16E4F">
              <w:rPr>
                <w:rFonts w:ascii="Arial Narrow" w:hAnsi="Arial Narrow"/>
                <w:sz w:val="18"/>
              </w:rPr>
              <w:t>Quality of life</w:t>
            </w:r>
          </w:p>
          <w:p w:rsidR="00EC4631" w:rsidRDefault="00EC4631" w:rsidP="002542EC">
            <w:pPr>
              <w:keepNext/>
              <w:keepLines/>
              <w:spacing w:after="0" w:line="240" w:lineRule="auto"/>
              <w:jc w:val="center"/>
              <w:rPr>
                <w:rFonts w:ascii="Arial Narrow" w:hAnsi="Arial Narrow"/>
                <w:sz w:val="18"/>
              </w:rPr>
            </w:pPr>
            <w:r w:rsidRPr="00D16E4F">
              <w:rPr>
                <w:rFonts w:ascii="Arial Narrow" w:hAnsi="Arial Narrow"/>
                <w:sz w:val="18"/>
              </w:rPr>
              <w:t>Mortality</w:t>
            </w:r>
          </w:p>
          <w:p w:rsidR="00BA712D" w:rsidRPr="00D16E4F" w:rsidRDefault="00293C05" w:rsidP="002542EC">
            <w:pPr>
              <w:keepNext/>
              <w:keepLines/>
              <w:spacing w:after="0" w:line="240" w:lineRule="auto"/>
              <w:jc w:val="center"/>
              <w:rPr>
                <w:rFonts w:ascii="Arial Narrow" w:hAnsi="Arial Narrow"/>
                <w:sz w:val="18"/>
              </w:rPr>
            </w:pPr>
            <w:r>
              <w:rPr>
                <w:rFonts w:ascii="Arial Narrow" w:hAnsi="Arial Narrow"/>
                <w:sz w:val="18"/>
              </w:rPr>
              <w:t>Early removal of device</w:t>
            </w:r>
          </w:p>
          <w:p w:rsidR="00EC4631" w:rsidRPr="00D16E4F" w:rsidRDefault="00EC4631" w:rsidP="002542EC">
            <w:pPr>
              <w:keepNext/>
              <w:keepLines/>
              <w:spacing w:after="0" w:line="240" w:lineRule="auto"/>
              <w:jc w:val="center"/>
              <w:rPr>
                <w:rFonts w:ascii="Arial Narrow" w:hAnsi="Arial Narrow"/>
                <w:sz w:val="18"/>
              </w:rPr>
            </w:pPr>
          </w:p>
        </w:tc>
        <w:tc>
          <w:tcPr>
            <w:tcW w:w="3119" w:type="dxa"/>
          </w:tcPr>
          <w:p w:rsidR="00EC4631" w:rsidRDefault="00EC4631" w:rsidP="002542EC">
            <w:pPr>
              <w:keepNext/>
              <w:keepLines/>
              <w:spacing w:after="0" w:line="240" w:lineRule="auto"/>
              <w:jc w:val="center"/>
              <w:rPr>
                <w:rFonts w:ascii="Arial Narrow" w:hAnsi="Arial Narrow"/>
                <w:sz w:val="18"/>
              </w:rPr>
            </w:pPr>
            <w:r>
              <w:rPr>
                <w:rFonts w:ascii="Arial Narrow" w:hAnsi="Arial Narrow"/>
                <w:sz w:val="18"/>
              </w:rPr>
              <w:t>EndoBarrier device (including liner)</w:t>
            </w:r>
          </w:p>
          <w:p w:rsidR="00EC4631" w:rsidRDefault="00EC4631" w:rsidP="002542EC">
            <w:pPr>
              <w:keepNext/>
              <w:keepLines/>
              <w:spacing w:after="0" w:line="240" w:lineRule="auto"/>
              <w:jc w:val="center"/>
              <w:rPr>
                <w:rFonts w:ascii="Arial Narrow" w:hAnsi="Arial Narrow"/>
                <w:sz w:val="18"/>
              </w:rPr>
            </w:pPr>
            <w:r>
              <w:rPr>
                <w:rFonts w:ascii="Arial Narrow" w:hAnsi="Arial Narrow"/>
                <w:sz w:val="18"/>
              </w:rPr>
              <w:t>Insertion and removal of EndoBarrier</w:t>
            </w:r>
          </w:p>
          <w:p w:rsidR="00EC4631" w:rsidRDefault="00EC4631" w:rsidP="002542EC">
            <w:pPr>
              <w:keepNext/>
              <w:keepLines/>
              <w:spacing w:after="0" w:line="240" w:lineRule="auto"/>
              <w:jc w:val="center"/>
              <w:rPr>
                <w:rFonts w:ascii="Arial Narrow" w:hAnsi="Arial Narrow"/>
                <w:sz w:val="18"/>
              </w:rPr>
            </w:pPr>
            <w:r>
              <w:rPr>
                <w:rFonts w:ascii="Arial Narrow" w:hAnsi="Arial Narrow"/>
                <w:sz w:val="18"/>
              </w:rPr>
              <w:t>Professional/clinic visits</w:t>
            </w:r>
          </w:p>
          <w:p w:rsidR="00EC4631" w:rsidRDefault="00EC4631" w:rsidP="002542EC">
            <w:pPr>
              <w:keepNext/>
              <w:keepLines/>
              <w:spacing w:after="0" w:line="240" w:lineRule="auto"/>
              <w:jc w:val="center"/>
              <w:rPr>
                <w:rFonts w:ascii="Arial Narrow" w:hAnsi="Arial Narrow"/>
                <w:sz w:val="18"/>
              </w:rPr>
            </w:pPr>
            <w:r>
              <w:rPr>
                <w:rFonts w:ascii="Arial Narrow" w:hAnsi="Arial Narrow"/>
                <w:sz w:val="18"/>
              </w:rPr>
              <w:t>Anaesthesia</w:t>
            </w:r>
          </w:p>
          <w:p w:rsidR="00EC4631" w:rsidRDefault="00EC4631" w:rsidP="002542EC">
            <w:pPr>
              <w:keepNext/>
              <w:keepLines/>
              <w:spacing w:after="0" w:line="240" w:lineRule="auto"/>
              <w:jc w:val="center"/>
              <w:rPr>
                <w:rFonts w:ascii="Arial Narrow" w:hAnsi="Arial Narrow"/>
                <w:sz w:val="18"/>
              </w:rPr>
            </w:pPr>
            <w:r>
              <w:rPr>
                <w:rFonts w:ascii="Arial Narrow" w:hAnsi="Arial Narrow"/>
                <w:sz w:val="18"/>
              </w:rPr>
              <w:t xml:space="preserve">Hospital stay </w:t>
            </w:r>
          </w:p>
          <w:p w:rsidR="00EC4631" w:rsidRDefault="00EC4631" w:rsidP="002542EC">
            <w:pPr>
              <w:keepNext/>
              <w:keepLines/>
              <w:spacing w:after="0" w:line="240" w:lineRule="auto"/>
              <w:jc w:val="center"/>
              <w:rPr>
                <w:rFonts w:ascii="Arial Narrow" w:hAnsi="Arial Narrow"/>
                <w:sz w:val="18"/>
              </w:rPr>
            </w:pPr>
            <w:r>
              <w:rPr>
                <w:rFonts w:ascii="Arial Narrow" w:hAnsi="Arial Narrow"/>
                <w:sz w:val="18"/>
              </w:rPr>
              <w:t>Gastric banding device</w:t>
            </w:r>
          </w:p>
          <w:p w:rsidR="00EC4631" w:rsidRDefault="00EC4631" w:rsidP="002542EC">
            <w:pPr>
              <w:keepNext/>
              <w:keepLines/>
              <w:spacing w:after="0" w:line="240" w:lineRule="auto"/>
              <w:jc w:val="center"/>
              <w:rPr>
                <w:rFonts w:ascii="Arial Narrow" w:hAnsi="Arial Narrow"/>
                <w:sz w:val="18"/>
              </w:rPr>
            </w:pPr>
            <w:r>
              <w:rPr>
                <w:rFonts w:ascii="Arial Narrow" w:hAnsi="Arial Narrow"/>
                <w:sz w:val="18"/>
              </w:rPr>
              <w:t xml:space="preserve">Gastric banding adjustment and removal </w:t>
            </w:r>
          </w:p>
          <w:p w:rsidR="00EC4631" w:rsidRPr="00AA5FBF" w:rsidRDefault="00EC4631" w:rsidP="002542EC">
            <w:pPr>
              <w:keepNext/>
              <w:keepLines/>
              <w:spacing w:after="0" w:line="240" w:lineRule="auto"/>
              <w:jc w:val="center"/>
              <w:rPr>
                <w:rFonts w:ascii="Arial Narrow" w:hAnsi="Arial Narrow"/>
                <w:sz w:val="18"/>
              </w:rPr>
            </w:pPr>
            <w:r>
              <w:rPr>
                <w:rFonts w:ascii="Arial Narrow" w:hAnsi="Arial Narrow"/>
                <w:sz w:val="18"/>
              </w:rPr>
              <w:t>Management of adverse events/complications</w:t>
            </w:r>
          </w:p>
        </w:tc>
      </w:tr>
      <w:tr w:rsidR="00EC4631" w:rsidRPr="00C873D8" w:rsidTr="002A1E35">
        <w:tc>
          <w:tcPr>
            <w:tcW w:w="1807" w:type="dxa"/>
            <w:vMerge/>
          </w:tcPr>
          <w:p w:rsidR="00EC4631" w:rsidRDefault="00EC4631" w:rsidP="000A5E45">
            <w:pPr>
              <w:spacing w:after="0" w:line="240" w:lineRule="auto"/>
              <w:jc w:val="center"/>
              <w:rPr>
                <w:rFonts w:ascii="Arial Narrow" w:hAnsi="Arial Narrow"/>
                <w:sz w:val="18"/>
              </w:rPr>
            </w:pPr>
          </w:p>
        </w:tc>
        <w:tc>
          <w:tcPr>
            <w:tcW w:w="1420" w:type="dxa"/>
            <w:vMerge/>
          </w:tcPr>
          <w:p w:rsidR="00EC4631" w:rsidRPr="00AA5FBF" w:rsidRDefault="00EC4631" w:rsidP="000A5E45">
            <w:pPr>
              <w:spacing w:after="0" w:line="240" w:lineRule="auto"/>
              <w:jc w:val="center"/>
              <w:rPr>
                <w:rFonts w:ascii="Arial Narrow" w:hAnsi="Arial Narrow"/>
                <w:sz w:val="18"/>
              </w:rPr>
            </w:pPr>
          </w:p>
        </w:tc>
        <w:tc>
          <w:tcPr>
            <w:tcW w:w="1559" w:type="dxa"/>
          </w:tcPr>
          <w:p w:rsidR="00EC4631" w:rsidRPr="00AA5FBF" w:rsidRDefault="00EC4631" w:rsidP="000A5E45">
            <w:pPr>
              <w:spacing w:after="0" w:line="240" w:lineRule="auto"/>
              <w:jc w:val="center"/>
              <w:rPr>
                <w:rFonts w:ascii="Arial Narrow" w:hAnsi="Arial Narrow"/>
                <w:sz w:val="18"/>
              </w:rPr>
            </w:pPr>
            <w:r>
              <w:rPr>
                <w:rFonts w:ascii="Arial Narrow" w:hAnsi="Arial Narrow"/>
                <w:sz w:val="18"/>
              </w:rPr>
              <w:t>Comparator 2: Standard of care</w:t>
            </w:r>
          </w:p>
        </w:tc>
        <w:tc>
          <w:tcPr>
            <w:tcW w:w="1134" w:type="dxa"/>
          </w:tcPr>
          <w:p w:rsidR="00456D61" w:rsidRDefault="00EC4631" w:rsidP="000A5E45">
            <w:pPr>
              <w:spacing w:after="0" w:line="240" w:lineRule="auto"/>
              <w:jc w:val="center"/>
              <w:rPr>
                <w:rFonts w:ascii="Arial Narrow" w:hAnsi="Arial Narrow"/>
                <w:sz w:val="18"/>
              </w:rPr>
            </w:pPr>
            <w:r w:rsidRPr="00D16E4F">
              <w:rPr>
                <w:rFonts w:ascii="Arial Narrow" w:hAnsi="Arial Narrow"/>
                <w:sz w:val="18"/>
              </w:rPr>
              <w:t>HbA1c</w:t>
            </w:r>
          </w:p>
          <w:p w:rsidR="004428D1" w:rsidRPr="00D16E4F" w:rsidRDefault="004428D1" w:rsidP="000A5E45">
            <w:pPr>
              <w:spacing w:after="0" w:line="240" w:lineRule="auto"/>
              <w:jc w:val="center"/>
              <w:rPr>
                <w:rFonts w:ascii="Arial Narrow" w:hAnsi="Arial Narrow"/>
                <w:sz w:val="18"/>
              </w:rPr>
            </w:pPr>
            <w:r>
              <w:rPr>
                <w:rFonts w:ascii="Arial Narrow" w:hAnsi="Arial Narrow"/>
                <w:sz w:val="18"/>
              </w:rPr>
              <w:t>Weight loss</w:t>
            </w:r>
          </w:p>
          <w:p w:rsidR="00EC4631" w:rsidRPr="00D16E4F" w:rsidRDefault="00EC4631" w:rsidP="000A5E45">
            <w:pPr>
              <w:spacing w:after="0" w:line="240" w:lineRule="auto"/>
              <w:jc w:val="center"/>
              <w:rPr>
                <w:rFonts w:ascii="Arial Narrow" w:hAnsi="Arial Narrow"/>
                <w:sz w:val="18"/>
              </w:rPr>
            </w:pPr>
            <w:r w:rsidRPr="00D16E4F">
              <w:rPr>
                <w:rFonts w:ascii="Arial Narrow" w:hAnsi="Arial Narrow"/>
                <w:sz w:val="18"/>
              </w:rPr>
              <w:t>Adverse events/complications</w:t>
            </w:r>
          </w:p>
          <w:p w:rsidR="00EC4631" w:rsidRPr="00D16E4F" w:rsidRDefault="00EC4631" w:rsidP="000A5E45">
            <w:pPr>
              <w:spacing w:after="0" w:line="240" w:lineRule="auto"/>
              <w:jc w:val="center"/>
              <w:rPr>
                <w:rFonts w:ascii="Arial Narrow" w:hAnsi="Arial Narrow"/>
                <w:sz w:val="18"/>
              </w:rPr>
            </w:pPr>
            <w:r w:rsidRPr="00D16E4F">
              <w:rPr>
                <w:rFonts w:ascii="Arial Narrow" w:hAnsi="Arial Narrow"/>
                <w:sz w:val="18"/>
              </w:rPr>
              <w:lastRenderedPageBreak/>
              <w:t>Quality of life</w:t>
            </w:r>
          </w:p>
          <w:p w:rsidR="00BA712D" w:rsidRDefault="00EC4631" w:rsidP="000A5E45">
            <w:pPr>
              <w:spacing w:after="0" w:line="240" w:lineRule="auto"/>
              <w:jc w:val="center"/>
              <w:rPr>
                <w:rFonts w:ascii="Arial Narrow" w:hAnsi="Arial Narrow"/>
                <w:sz w:val="18"/>
              </w:rPr>
            </w:pPr>
            <w:r w:rsidRPr="00D16E4F">
              <w:rPr>
                <w:rFonts w:ascii="Arial Narrow" w:hAnsi="Arial Narrow"/>
                <w:sz w:val="18"/>
              </w:rPr>
              <w:t>Mortality</w:t>
            </w:r>
          </w:p>
          <w:p w:rsidR="00293C05" w:rsidRPr="00D16E4F" w:rsidRDefault="00293C05" w:rsidP="00293C05">
            <w:pPr>
              <w:keepNext/>
              <w:keepLines/>
              <w:spacing w:after="0" w:line="240" w:lineRule="auto"/>
              <w:jc w:val="center"/>
              <w:rPr>
                <w:rFonts w:ascii="Arial Narrow" w:hAnsi="Arial Narrow"/>
                <w:sz w:val="18"/>
              </w:rPr>
            </w:pPr>
            <w:r>
              <w:rPr>
                <w:rFonts w:ascii="Arial Narrow" w:hAnsi="Arial Narrow"/>
                <w:sz w:val="18"/>
              </w:rPr>
              <w:t>Early removal of device</w:t>
            </w:r>
          </w:p>
          <w:p w:rsidR="00293C05" w:rsidRPr="00D16E4F" w:rsidRDefault="00293C05" w:rsidP="000A5E45">
            <w:pPr>
              <w:spacing w:after="0" w:line="240" w:lineRule="auto"/>
              <w:jc w:val="center"/>
              <w:rPr>
                <w:rFonts w:ascii="Arial Narrow" w:hAnsi="Arial Narrow"/>
                <w:sz w:val="18"/>
              </w:rPr>
            </w:pPr>
          </w:p>
          <w:p w:rsidR="00EC4631" w:rsidRPr="00D16E4F" w:rsidRDefault="00EC4631" w:rsidP="000A5E45">
            <w:pPr>
              <w:spacing w:after="0" w:line="240" w:lineRule="auto"/>
              <w:jc w:val="center"/>
              <w:rPr>
                <w:rFonts w:ascii="Arial Narrow" w:hAnsi="Arial Narrow"/>
                <w:sz w:val="18"/>
              </w:rPr>
            </w:pPr>
          </w:p>
        </w:tc>
        <w:tc>
          <w:tcPr>
            <w:tcW w:w="3119" w:type="dxa"/>
          </w:tcPr>
          <w:p w:rsidR="00EC4631" w:rsidRDefault="00EC4631" w:rsidP="000A5E45">
            <w:pPr>
              <w:spacing w:after="0" w:line="240" w:lineRule="auto"/>
              <w:jc w:val="center"/>
              <w:rPr>
                <w:rFonts w:ascii="Arial Narrow" w:hAnsi="Arial Narrow"/>
                <w:sz w:val="18"/>
              </w:rPr>
            </w:pPr>
            <w:r>
              <w:rPr>
                <w:rFonts w:ascii="Arial Narrow" w:hAnsi="Arial Narrow"/>
                <w:sz w:val="18"/>
              </w:rPr>
              <w:lastRenderedPageBreak/>
              <w:t>EndoBarrier device (including liner)</w:t>
            </w:r>
          </w:p>
          <w:p w:rsidR="00EC4631" w:rsidRDefault="00EC4631" w:rsidP="000A5E45">
            <w:pPr>
              <w:spacing w:after="0" w:line="240" w:lineRule="auto"/>
              <w:jc w:val="center"/>
              <w:rPr>
                <w:rFonts w:ascii="Arial Narrow" w:hAnsi="Arial Narrow"/>
                <w:sz w:val="18"/>
              </w:rPr>
            </w:pPr>
            <w:r>
              <w:rPr>
                <w:rFonts w:ascii="Arial Narrow" w:hAnsi="Arial Narrow"/>
                <w:sz w:val="18"/>
              </w:rPr>
              <w:t>Insertion and removal of EndoBarrier</w:t>
            </w:r>
          </w:p>
          <w:p w:rsidR="00EC4631" w:rsidRDefault="00EC4631" w:rsidP="000A5E45">
            <w:pPr>
              <w:spacing w:after="0" w:line="240" w:lineRule="auto"/>
              <w:jc w:val="center"/>
              <w:rPr>
                <w:rFonts w:ascii="Arial Narrow" w:hAnsi="Arial Narrow"/>
                <w:sz w:val="18"/>
              </w:rPr>
            </w:pPr>
            <w:r>
              <w:rPr>
                <w:rFonts w:ascii="Arial Narrow" w:hAnsi="Arial Narrow"/>
                <w:sz w:val="18"/>
              </w:rPr>
              <w:t>Professional/clinic visits</w:t>
            </w:r>
          </w:p>
          <w:p w:rsidR="00EC4631" w:rsidRDefault="00EC4631" w:rsidP="000A5E45">
            <w:pPr>
              <w:spacing w:after="0" w:line="240" w:lineRule="auto"/>
              <w:jc w:val="center"/>
              <w:rPr>
                <w:rFonts w:ascii="Arial Narrow" w:hAnsi="Arial Narrow"/>
                <w:sz w:val="18"/>
              </w:rPr>
            </w:pPr>
            <w:r>
              <w:rPr>
                <w:rFonts w:ascii="Arial Narrow" w:hAnsi="Arial Narrow"/>
                <w:sz w:val="18"/>
              </w:rPr>
              <w:t>Anaesthesia</w:t>
            </w:r>
          </w:p>
          <w:p w:rsidR="00EC4631" w:rsidRDefault="00EC4631" w:rsidP="000A5E45">
            <w:pPr>
              <w:spacing w:after="0" w:line="240" w:lineRule="auto"/>
              <w:jc w:val="center"/>
              <w:rPr>
                <w:rFonts w:ascii="Arial Narrow" w:hAnsi="Arial Narrow"/>
                <w:sz w:val="18"/>
              </w:rPr>
            </w:pPr>
            <w:r>
              <w:rPr>
                <w:rFonts w:ascii="Arial Narrow" w:hAnsi="Arial Narrow"/>
                <w:sz w:val="18"/>
              </w:rPr>
              <w:t xml:space="preserve">Hospital stay </w:t>
            </w:r>
          </w:p>
          <w:p w:rsidR="00EC4631" w:rsidRDefault="00EC4631" w:rsidP="000A5E45">
            <w:pPr>
              <w:spacing w:after="0" w:line="240" w:lineRule="auto"/>
              <w:jc w:val="center"/>
              <w:rPr>
                <w:rFonts w:ascii="Arial Narrow" w:hAnsi="Arial Narrow"/>
                <w:sz w:val="18"/>
              </w:rPr>
            </w:pPr>
            <w:r>
              <w:rPr>
                <w:rFonts w:ascii="Arial Narrow" w:hAnsi="Arial Narrow"/>
                <w:sz w:val="18"/>
              </w:rPr>
              <w:lastRenderedPageBreak/>
              <w:t>Management of adverse events/complications</w:t>
            </w:r>
          </w:p>
          <w:p w:rsidR="00EC4631" w:rsidRDefault="00EC4631" w:rsidP="000A5E45">
            <w:pPr>
              <w:spacing w:after="0" w:line="240" w:lineRule="auto"/>
              <w:jc w:val="center"/>
              <w:rPr>
                <w:rFonts w:ascii="Arial Narrow" w:hAnsi="Arial Narrow"/>
                <w:sz w:val="18"/>
              </w:rPr>
            </w:pPr>
            <w:r>
              <w:rPr>
                <w:rFonts w:ascii="Arial Narrow" w:hAnsi="Arial Narrow"/>
                <w:sz w:val="18"/>
              </w:rPr>
              <w:t>Anti-diabetic medication</w:t>
            </w:r>
          </w:p>
          <w:p w:rsidR="00EC4631" w:rsidRDefault="00EC4631" w:rsidP="000A5E45">
            <w:pPr>
              <w:spacing w:after="0" w:line="240" w:lineRule="auto"/>
              <w:jc w:val="center"/>
              <w:rPr>
                <w:rFonts w:ascii="Arial Narrow" w:hAnsi="Arial Narrow"/>
                <w:sz w:val="18"/>
              </w:rPr>
            </w:pPr>
            <w:r>
              <w:rPr>
                <w:rFonts w:ascii="Arial Narrow" w:hAnsi="Arial Narrow"/>
                <w:sz w:val="18"/>
              </w:rPr>
              <w:t>Costs associated with CV, macrovascular and microvascular events</w:t>
            </w:r>
          </w:p>
          <w:p w:rsidR="002542EC" w:rsidRPr="00AA5FBF" w:rsidRDefault="002542EC" w:rsidP="000A5E45">
            <w:pPr>
              <w:spacing w:after="0" w:line="240" w:lineRule="auto"/>
              <w:jc w:val="center"/>
              <w:rPr>
                <w:rFonts w:ascii="Arial Narrow" w:hAnsi="Arial Narrow"/>
                <w:sz w:val="18"/>
              </w:rPr>
            </w:pPr>
            <w:r>
              <w:rPr>
                <w:rFonts w:ascii="Arial Narrow" w:hAnsi="Arial Narrow"/>
                <w:sz w:val="18"/>
              </w:rPr>
              <w:t>Subsequent bariatric surgery</w:t>
            </w:r>
          </w:p>
        </w:tc>
      </w:tr>
      <w:tr w:rsidR="00250543" w:rsidRPr="00C873D8" w:rsidTr="002A1E35">
        <w:tc>
          <w:tcPr>
            <w:tcW w:w="1807" w:type="dxa"/>
          </w:tcPr>
          <w:p w:rsidR="00250543" w:rsidRDefault="00250543" w:rsidP="00250543">
            <w:pPr>
              <w:spacing w:after="0" w:line="240" w:lineRule="auto"/>
              <w:jc w:val="center"/>
              <w:rPr>
                <w:rFonts w:ascii="Arial Narrow" w:hAnsi="Arial Narrow"/>
                <w:sz w:val="18"/>
              </w:rPr>
            </w:pPr>
            <w:r>
              <w:rPr>
                <w:rFonts w:ascii="Arial Narrow" w:hAnsi="Arial Narrow"/>
                <w:sz w:val="18"/>
              </w:rPr>
              <w:lastRenderedPageBreak/>
              <w:t>Patients with clinically severe obesity who are not suitable for bariatric surgery</w:t>
            </w:r>
            <w:r w:rsidR="002542EC">
              <w:rPr>
                <w:rFonts w:ascii="Arial Narrow" w:hAnsi="Arial Narrow"/>
                <w:sz w:val="18"/>
              </w:rPr>
              <w:t xml:space="preserve"> (including “bridge” patients and patients with contraindications for surgery)</w:t>
            </w:r>
          </w:p>
        </w:tc>
        <w:tc>
          <w:tcPr>
            <w:tcW w:w="1420" w:type="dxa"/>
          </w:tcPr>
          <w:p w:rsidR="00250543" w:rsidRPr="00642166" w:rsidRDefault="00250543" w:rsidP="00805AFB">
            <w:pPr>
              <w:spacing w:after="0" w:line="240" w:lineRule="auto"/>
              <w:jc w:val="center"/>
              <w:rPr>
                <w:rFonts w:ascii="Arial Narrow" w:hAnsi="Arial Narrow"/>
                <w:sz w:val="18"/>
              </w:rPr>
            </w:pPr>
            <w:r w:rsidRPr="00642166">
              <w:rPr>
                <w:rFonts w:ascii="Arial Narrow" w:hAnsi="Arial Narrow"/>
                <w:sz w:val="18"/>
              </w:rPr>
              <w:t xml:space="preserve">duodenal jejunal bypass </w:t>
            </w:r>
            <w:r w:rsidR="00805AFB">
              <w:rPr>
                <w:rFonts w:ascii="Arial Narrow" w:hAnsi="Arial Narrow"/>
                <w:sz w:val="18"/>
              </w:rPr>
              <w:t xml:space="preserve">liner </w:t>
            </w:r>
            <w:r>
              <w:rPr>
                <w:rFonts w:ascii="Arial Narrow" w:hAnsi="Arial Narrow"/>
                <w:sz w:val="18"/>
              </w:rPr>
              <w:t>(EndoBarrier®)</w:t>
            </w:r>
          </w:p>
        </w:tc>
        <w:tc>
          <w:tcPr>
            <w:tcW w:w="1559" w:type="dxa"/>
          </w:tcPr>
          <w:p w:rsidR="00250543" w:rsidRPr="00AA5FBF" w:rsidRDefault="00250543" w:rsidP="00250543">
            <w:pPr>
              <w:spacing w:after="0" w:line="240" w:lineRule="auto"/>
              <w:jc w:val="center"/>
              <w:rPr>
                <w:rFonts w:ascii="Arial Narrow" w:hAnsi="Arial Narrow"/>
                <w:sz w:val="18"/>
              </w:rPr>
            </w:pPr>
            <w:r>
              <w:rPr>
                <w:rFonts w:ascii="Arial Narrow" w:hAnsi="Arial Narrow"/>
                <w:sz w:val="18"/>
              </w:rPr>
              <w:t>Standard of care</w:t>
            </w:r>
          </w:p>
        </w:tc>
        <w:tc>
          <w:tcPr>
            <w:tcW w:w="1134" w:type="dxa"/>
          </w:tcPr>
          <w:p w:rsidR="00250543" w:rsidRPr="00D16E4F" w:rsidRDefault="004428D1" w:rsidP="00250543">
            <w:pPr>
              <w:spacing w:after="0" w:line="240" w:lineRule="auto"/>
              <w:jc w:val="center"/>
              <w:rPr>
                <w:rFonts w:ascii="Arial Narrow" w:hAnsi="Arial Narrow"/>
                <w:sz w:val="18"/>
              </w:rPr>
            </w:pPr>
            <w:r>
              <w:rPr>
                <w:rFonts w:ascii="Arial Narrow" w:hAnsi="Arial Narrow"/>
                <w:sz w:val="18"/>
              </w:rPr>
              <w:t>Weight loss</w:t>
            </w:r>
          </w:p>
          <w:p w:rsidR="00250543" w:rsidRPr="00D16E4F" w:rsidRDefault="00250543" w:rsidP="00250543">
            <w:pPr>
              <w:spacing w:after="0" w:line="240" w:lineRule="auto"/>
              <w:jc w:val="center"/>
              <w:rPr>
                <w:rFonts w:ascii="Arial Narrow" w:hAnsi="Arial Narrow"/>
                <w:sz w:val="18"/>
              </w:rPr>
            </w:pPr>
            <w:r w:rsidRPr="00D16E4F">
              <w:rPr>
                <w:rFonts w:ascii="Arial Narrow" w:hAnsi="Arial Narrow"/>
                <w:sz w:val="18"/>
              </w:rPr>
              <w:t>Adverse events/complications</w:t>
            </w:r>
          </w:p>
          <w:p w:rsidR="00250543" w:rsidRPr="00D16E4F" w:rsidRDefault="00250543" w:rsidP="00250543">
            <w:pPr>
              <w:spacing w:after="0" w:line="240" w:lineRule="auto"/>
              <w:jc w:val="center"/>
              <w:rPr>
                <w:rFonts w:ascii="Arial Narrow" w:hAnsi="Arial Narrow"/>
                <w:sz w:val="18"/>
              </w:rPr>
            </w:pPr>
            <w:r w:rsidRPr="00D16E4F">
              <w:rPr>
                <w:rFonts w:ascii="Arial Narrow" w:hAnsi="Arial Narrow"/>
                <w:sz w:val="18"/>
              </w:rPr>
              <w:t>Quality of life</w:t>
            </w:r>
          </w:p>
          <w:p w:rsidR="00BA712D" w:rsidRDefault="00250543" w:rsidP="00250543">
            <w:pPr>
              <w:spacing w:after="0" w:line="240" w:lineRule="auto"/>
              <w:jc w:val="center"/>
              <w:rPr>
                <w:rFonts w:ascii="Arial Narrow" w:hAnsi="Arial Narrow"/>
                <w:sz w:val="18"/>
              </w:rPr>
            </w:pPr>
            <w:r w:rsidRPr="00D16E4F">
              <w:rPr>
                <w:rFonts w:ascii="Arial Narrow" w:hAnsi="Arial Narrow"/>
                <w:sz w:val="18"/>
              </w:rPr>
              <w:t>Mortality</w:t>
            </w:r>
          </w:p>
          <w:p w:rsidR="00293C05" w:rsidRPr="00D16E4F" w:rsidRDefault="00293C05" w:rsidP="00293C05">
            <w:pPr>
              <w:keepNext/>
              <w:keepLines/>
              <w:spacing w:after="0" w:line="240" w:lineRule="auto"/>
              <w:jc w:val="center"/>
              <w:rPr>
                <w:rFonts w:ascii="Arial Narrow" w:hAnsi="Arial Narrow"/>
                <w:sz w:val="18"/>
              </w:rPr>
            </w:pPr>
            <w:r>
              <w:rPr>
                <w:rFonts w:ascii="Arial Narrow" w:hAnsi="Arial Narrow"/>
                <w:sz w:val="18"/>
              </w:rPr>
              <w:t>Early removal of device</w:t>
            </w:r>
          </w:p>
          <w:p w:rsidR="00293C05" w:rsidRPr="00D16E4F" w:rsidRDefault="00293C05" w:rsidP="00250543">
            <w:pPr>
              <w:spacing w:after="0" w:line="240" w:lineRule="auto"/>
              <w:jc w:val="center"/>
              <w:rPr>
                <w:rFonts w:ascii="Arial Narrow" w:hAnsi="Arial Narrow"/>
                <w:sz w:val="18"/>
              </w:rPr>
            </w:pPr>
          </w:p>
          <w:p w:rsidR="00250543" w:rsidRPr="00D16E4F" w:rsidRDefault="00250543" w:rsidP="00250543">
            <w:pPr>
              <w:spacing w:after="0" w:line="240" w:lineRule="auto"/>
              <w:jc w:val="center"/>
              <w:rPr>
                <w:rFonts w:ascii="Arial Narrow" w:hAnsi="Arial Narrow"/>
                <w:sz w:val="18"/>
              </w:rPr>
            </w:pPr>
          </w:p>
        </w:tc>
        <w:tc>
          <w:tcPr>
            <w:tcW w:w="3119" w:type="dxa"/>
          </w:tcPr>
          <w:p w:rsidR="00250543" w:rsidRDefault="00250543" w:rsidP="00250543">
            <w:pPr>
              <w:spacing w:after="0" w:line="240" w:lineRule="auto"/>
              <w:jc w:val="center"/>
              <w:rPr>
                <w:rFonts w:ascii="Arial Narrow" w:hAnsi="Arial Narrow"/>
                <w:sz w:val="18"/>
              </w:rPr>
            </w:pPr>
            <w:r>
              <w:rPr>
                <w:rFonts w:ascii="Arial Narrow" w:hAnsi="Arial Narrow"/>
                <w:sz w:val="18"/>
              </w:rPr>
              <w:t>EndoBarrier device (including liner)</w:t>
            </w:r>
          </w:p>
          <w:p w:rsidR="00250543" w:rsidRDefault="00250543" w:rsidP="00250543">
            <w:pPr>
              <w:spacing w:after="0" w:line="240" w:lineRule="auto"/>
              <w:jc w:val="center"/>
              <w:rPr>
                <w:rFonts w:ascii="Arial Narrow" w:hAnsi="Arial Narrow"/>
                <w:sz w:val="18"/>
              </w:rPr>
            </w:pPr>
            <w:r>
              <w:rPr>
                <w:rFonts w:ascii="Arial Narrow" w:hAnsi="Arial Narrow"/>
                <w:sz w:val="18"/>
              </w:rPr>
              <w:t>Insertion and removal of EndoBarrier</w:t>
            </w:r>
          </w:p>
          <w:p w:rsidR="00250543" w:rsidRDefault="00250543" w:rsidP="00250543">
            <w:pPr>
              <w:spacing w:after="0" w:line="240" w:lineRule="auto"/>
              <w:jc w:val="center"/>
              <w:rPr>
                <w:rFonts w:ascii="Arial Narrow" w:hAnsi="Arial Narrow"/>
                <w:sz w:val="18"/>
              </w:rPr>
            </w:pPr>
            <w:r>
              <w:rPr>
                <w:rFonts w:ascii="Arial Narrow" w:hAnsi="Arial Narrow"/>
                <w:sz w:val="18"/>
              </w:rPr>
              <w:t>Professional/clinic visits</w:t>
            </w:r>
          </w:p>
          <w:p w:rsidR="00250543" w:rsidRDefault="00250543" w:rsidP="00250543">
            <w:pPr>
              <w:spacing w:after="0" w:line="240" w:lineRule="auto"/>
              <w:jc w:val="center"/>
              <w:rPr>
                <w:rFonts w:ascii="Arial Narrow" w:hAnsi="Arial Narrow"/>
                <w:sz w:val="18"/>
              </w:rPr>
            </w:pPr>
            <w:r>
              <w:rPr>
                <w:rFonts w:ascii="Arial Narrow" w:hAnsi="Arial Narrow"/>
                <w:sz w:val="18"/>
              </w:rPr>
              <w:t>Anaesthesia</w:t>
            </w:r>
          </w:p>
          <w:p w:rsidR="00250543" w:rsidRDefault="00250543" w:rsidP="00250543">
            <w:pPr>
              <w:spacing w:after="0" w:line="240" w:lineRule="auto"/>
              <w:jc w:val="center"/>
              <w:rPr>
                <w:rFonts w:ascii="Arial Narrow" w:hAnsi="Arial Narrow"/>
                <w:sz w:val="18"/>
              </w:rPr>
            </w:pPr>
            <w:r>
              <w:rPr>
                <w:rFonts w:ascii="Arial Narrow" w:hAnsi="Arial Narrow"/>
                <w:sz w:val="18"/>
              </w:rPr>
              <w:t>Hospital stay or day bed</w:t>
            </w:r>
          </w:p>
          <w:p w:rsidR="00250543" w:rsidRDefault="00250543" w:rsidP="00250543">
            <w:pPr>
              <w:spacing w:after="0" w:line="240" w:lineRule="auto"/>
              <w:jc w:val="center"/>
              <w:rPr>
                <w:rFonts w:ascii="Arial Narrow" w:hAnsi="Arial Narrow"/>
                <w:sz w:val="18"/>
              </w:rPr>
            </w:pPr>
            <w:r>
              <w:rPr>
                <w:rFonts w:ascii="Arial Narrow" w:hAnsi="Arial Narrow"/>
                <w:sz w:val="18"/>
              </w:rPr>
              <w:t>Management of adverse events/complications</w:t>
            </w:r>
          </w:p>
          <w:p w:rsidR="00250543" w:rsidRDefault="00250543" w:rsidP="00250543">
            <w:pPr>
              <w:spacing w:after="0" w:line="240" w:lineRule="auto"/>
              <w:jc w:val="center"/>
              <w:rPr>
                <w:rFonts w:ascii="Arial Narrow" w:hAnsi="Arial Narrow"/>
                <w:sz w:val="18"/>
              </w:rPr>
            </w:pPr>
            <w:r>
              <w:rPr>
                <w:rFonts w:ascii="Arial Narrow" w:hAnsi="Arial Narrow"/>
                <w:sz w:val="18"/>
              </w:rPr>
              <w:t>Anti-diabetic medication</w:t>
            </w:r>
          </w:p>
          <w:p w:rsidR="00250543" w:rsidRDefault="00250543" w:rsidP="00250543">
            <w:pPr>
              <w:spacing w:after="0" w:line="240" w:lineRule="auto"/>
              <w:jc w:val="center"/>
              <w:rPr>
                <w:rFonts w:ascii="Arial Narrow" w:hAnsi="Arial Narrow"/>
                <w:sz w:val="18"/>
              </w:rPr>
            </w:pPr>
            <w:r>
              <w:rPr>
                <w:rFonts w:ascii="Arial Narrow" w:hAnsi="Arial Narrow"/>
                <w:sz w:val="18"/>
              </w:rPr>
              <w:t>Costs associated with CV, macrovascular and microvascular events</w:t>
            </w:r>
          </w:p>
          <w:p w:rsidR="002542EC" w:rsidRPr="00AA5FBF" w:rsidRDefault="002542EC" w:rsidP="00250543">
            <w:pPr>
              <w:spacing w:after="0" w:line="240" w:lineRule="auto"/>
              <w:jc w:val="center"/>
              <w:rPr>
                <w:rFonts w:ascii="Arial Narrow" w:hAnsi="Arial Narrow"/>
                <w:sz w:val="18"/>
              </w:rPr>
            </w:pPr>
            <w:r>
              <w:rPr>
                <w:rFonts w:ascii="Arial Narrow" w:hAnsi="Arial Narrow"/>
                <w:sz w:val="18"/>
              </w:rPr>
              <w:t>Subsequent bariatric surgery</w:t>
            </w:r>
          </w:p>
        </w:tc>
      </w:tr>
    </w:tbl>
    <w:p w:rsidR="00B90731" w:rsidRDefault="00B90731" w:rsidP="00C64FE3">
      <w:pPr>
        <w:pStyle w:val="TableFootnotes"/>
        <w:keepLines/>
      </w:pPr>
      <w:r>
        <w:t xml:space="preserve">Abbreviations: </w:t>
      </w:r>
      <w:r w:rsidR="002A1E35">
        <w:t xml:space="preserve">AEs, adverse events; </w:t>
      </w:r>
      <w:r>
        <w:t xml:space="preserve">SOC, standard of care </w:t>
      </w:r>
    </w:p>
    <w:p w:rsidR="00B90731" w:rsidRDefault="00B90731" w:rsidP="00C64FE3">
      <w:pPr>
        <w:pStyle w:val="TableFootnotes"/>
        <w:keepLines/>
      </w:pPr>
      <w:r w:rsidRPr="0070791D">
        <w:rPr>
          <w:vertAlign w:val="superscript"/>
        </w:rPr>
        <w:t>a</w:t>
      </w:r>
      <w:r w:rsidRPr="00EC70B5">
        <w:t xml:space="preserve"> </w:t>
      </w:r>
      <w:r>
        <w:t xml:space="preserve">In diabetic patients, SOC consists of anti-diabetic medications including metformin, </w:t>
      </w:r>
      <w:r w:rsidRPr="00D83B7E">
        <w:t>sulfonylurea</w:t>
      </w:r>
      <w:r>
        <w:t xml:space="preserve"> and third-line treatments such as </w:t>
      </w:r>
      <w:r w:rsidRPr="005956E0">
        <w:t>acarbose, a DPP-4 i</w:t>
      </w:r>
      <w:r>
        <w:t>nhibitor, a glitazone or insulin, depending on a patient’s disease severity and treatment history.</w:t>
      </w:r>
    </w:p>
    <w:p w:rsidR="00B54CBF" w:rsidRDefault="00B54CBF" w:rsidP="00B54CBF">
      <w:r>
        <w:t xml:space="preserve">The comparisons of EndoBarrier plus SOC versus SOC alone will require an economic model to calculate the cost-effectiveness of the addition of EndoBarrier to the treatment algorithm for </w:t>
      </w:r>
      <w:r w:rsidR="00C7634C">
        <w:t xml:space="preserve">patients with comorbid type 2 </w:t>
      </w:r>
      <w:r>
        <w:t>diabetes</w:t>
      </w:r>
      <w:r w:rsidR="00C7634C">
        <w:t xml:space="preserve"> mellitus</w:t>
      </w:r>
      <w:r>
        <w:t xml:space="preserve">. </w:t>
      </w:r>
      <w:r w:rsidRPr="00DF2137">
        <w:t>The e</w:t>
      </w:r>
      <w:r>
        <w:t>conomic model is to be based on the UKPDS outcomes model</w:t>
      </w:r>
      <w:r w:rsidR="00250543">
        <w:t xml:space="preserve"> (Clark et al., 2002)</w:t>
      </w:r>
      <w:r>
        <w:t>.</w:t>
      </w:r>
      <w:r w:rsidR="000771F3">
        <w:t xml:space="preserve"> </w:t>
      </w:r>
      <w:r>
        <w:t xml:space="preserve">The UKPDS outcomes model is a simulation model for type 2 diabetes that estimates the incidence of 7 major diabetes-related complications. Risk equations used to estimate the probabilities of these complications are derived from the UKPDS dataset, and are a function of patient characteristics and prior complications. The  </w:t>
      </w:r>
      <w:r w:rsidR="0086508A">
        <w:t xml:space="preserve">long-term costs and effects of </w:t>
      </w:r>
      <w:r>
        <w:t xml:space="preserve"> Endobarrier compared to its comparator(s) will be modelled via changes in weight loss and/or Hb1AC and/or other cardiovascular risk factors.</w:t>
      </w:r>
      <w:r w:rsidR="009C2115">
        <w:t xml:space="preserve"> The model predicts the risk of </w:t>
      </w:r>
      <w:r w:rsidR="0086508A">
        <w:t xml:space="preserve">the occurrence of </w:t>
      </w:r>
      <w:r w:rsidR="009C2115">
        <w:t>a range of mi</w:t>
      </w:r>
      <w:r w:rsidR="000771F3">
        <w:t>cr</w:t>
      </w:r>
      <w:r w:rsidR="009C2115">
        <w:t>ovas</w:t>
      </w:r>
      <w:r w:rsidR="00721939">
        <w:t xml:space="preserve">cular and macrovascular events. The incidence of these events will decrease with EndoBarrier treatment, leading to a reduction in costs and an increase in quality of life. A summary of the UKPDS risk model is provided in </w:t>
      </w:r>
      <w:r w:rsidR="004D5C85">
        <w:fldChar w:fldCharType="begin"/>
      </w:r>
      <w:r w:rsidR="00721939">
        <w:instrText xml:space="preserve"> REF _Ref371694064 \h </w:instrText>
      </w:r>
      <w:r w:rsidR="004D5C85">
        <w:fldChar w:fldCharType="separate"/>
      </w:r>
      <w:r w:rsidR="008850CD">
        <w:t xml:space="preserve">Figure </w:t>
      </w:r>
      <w:r w:rsidR="008850CD">
        <w:rPr>
          <w:noProof/>
        </w:rPr>
        <w:t>3</w:t>
      </w:r>
      <w:r w:rsidR="004D5C85">
        <w:fldChar w:fldCharType="end"/>
      </w:r>
      <w:r w:rsidR="00721939">
        <w:t>.</w:t>
      </w:r>
    </w:p>
    <w:p w:rsidR="00051B7A" w:rsidRDefault="00051B7A" w:rsidP="00051B7A">
      <w:r>
        <w:t>An updated UKPDS outcomes model has recently been published (</w:t>
      </w:r>
      <w:r w:rsidRPr="000771F3">
        <w:t>Ha</w:t>
      </w:r>
      <w:r>
        <w:t>y</w:t>
      </w:r>
      <w:r w:rsidRPr="000771F3">
        <w:t>es et al.</w:t>
      </w:r>
      <w:r>
        <w:t xml:space="preserve"> 2013). However, </w:t>
      </w:r>
      <w:r w:rsidRPr="00CE4C12">
        <w:t>these new equations alone are not sufficient to populate an updated economic model for EndoBarrier. Specifically, the derivation of new QALY weights is required for events including ulcer and second events. The estimation of costs associated with complications is also needed to align with the new equations. This point has been acknowledged on the publication of the OM2 itself: “the use of this new outcomes model for cost-effectiveness analysis will require derivation of QALY weights for events including ulcer and second events, and estimation of costs associated with complications.”</w:t>
      </w:r>
    </w:p>
    <w:p w:rsidR="00051B7A" w:rsidRDefault="00051B7A" w:rsidP="00B54CBF"/>
    <w:p w:rsidR="00721939" w:rsidRDefault="00721939" w:rsidP="00721939">
      <w:pPr>
        <w:pStyle w:val="Caption"/>
      </w:pPr>
      <w:bookmarkStart w:id="42" w:name="_Ref371694064"/>
      <w:r>
        <w:lastRenderedPageBreak/>
        <w:t xml:space="preserve">Figure </w:t>
      </w:r>
      <w:r w:rsidR="004D5C85">
        <w:fldChar w:fldCharType="begin"/>
      </w:r>
      <w:r w:rsidR="00D06433">
        <w:instrText xml:space="preserve"> SEQ Figure \* ARABIC </w:instrText>
      </w:r>
      <w:r w:rsidR="004D5C85">
        <w:fldChar w:fldCharType="separate"/>
      </w:r>
      <w:r w:rsidR="008850CD">
        <w:rPr>
          <w:noProof/>
        </w:rPr>
        <w:t>3</w:t>
      </w:r>
      <w:r w:rsidR="004D5C85">
        <w:rPr>
          <w:noProof/>
        </w:rPr>
        <w:fldChar w:fldCharType="end"/>
      </w:r>
      <w:bookmarkEnd w:id="42"/>
      <w:r>
        <w:tab/>
        <w:t>Summary of UKPDS risk model</w:t>
      </w:r>
    </w:p>
    <w:p w:rsidR="00B54CBF" w:rsidRDefault="0037491F" w:rsidP="00B54CBF">
      <w:r>
        <w:rPr>
          <w:noProof/>
          <w:lang w:eastAsia="en-AU"/>
        </w:rPr>
        <w:drawing>
          <wp:inline distT="0" distB="0" distL="0" distR="0" wp14:anchorId="394B5EC4" wp14:editId="1B7F6304">
            <wp:extent cx="4623435" cy="4052570"/>
            <wp:effectExtent l="0" t="0" r="5715" b="5080"/>
            <wp:docPr id="4" name="Picture 11" title="Figure 3 Summary of UKPDS risk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4623435" cy="4052570"/>
                    </a:xfrm>
                    <a:prstGeom prst="rect">
                      <a:avLst/>
                    </a:prstGeom>
                    <a:noFill/>
                    <a:ln w="9525">
                      <a:noFill/>
                      <a:miter lim="800000"/>
                      <a:headEnd/>
                      <a:tailEnd/>
                    </a:ln>
                  </pic:spPr>
                </pic:pic>
              </a:graphicData>
            </a:graphic>
          </wp:inline>
        </w:drawing>
      </w:r>
    </w:p>
    <w:p w:rsidR="009C2115" w:rsidRDefault="009C2115" w:rsidP="00721939">
      <w:pPr>
        <w:keepNext/>
        <w:keepLines/>
      </w:pPr>
      <w:bookmarkStart w:id="43" w:name="_Ref371433762"/>
      <w:r>
        <w:t xml:space="preserve">The structure of the </w:t>
      </w:r>
      <w:r w:rsidR="00721939">
        <w:t xml:space="preserve">proposed </w:t>
      </w:r>
      <w:r>
        <w:t xml:space="preserve">decision analytic model is presented in </w:t>
      </w:r>
      <w:r w:rsidR="004D5C85">
        <w:fldChar w:fldCharType="begin"/>
      </w:r>
      <w:r>
        <w:instrText xml:space="preserve"> REF _Ref371693417 \h </w:instrText>
      </w:r>
      <w:r w:rsidR="004D5C85">
        <w:fldChar w:fldCharType="separate"/>
      </w:r>
      <w:r w:rsidR="008850CD">
        <w:t xml:space="preserve">Figure </w:t>
      </w:r>
      <w:r w:rsidR="008850CD">
        <w:rPr>
          <w:noProof/>
        </w:rPr>
        <w:t>4</w:t>
      </w:r>
      <w:r w:rsidR="004D5C85">
        <w:fldChar w:fldCharType="end"/>
      </w:r>
    </w:p>
    <w:p w:rsidR="009C2115" w:rsidRDefault="00FF66B5" w:rsidP="00721939">
      <w:pPr>
        <w:pStyle w:val="Caption"/>
        <w:keepLines/>
      </w:pPr>
      <w:bookmarkStart w:id="44" w:name="_Ref371693417"/>
      <w:r>
        <w:t xml:space="preserve">Figure </w:t>
      </w:r>
      <w:r w:rsidR="004D5C85">
        <w:fldChar w:fldCharType="begin"/>
      </w:r>
      <w:r w:rsidR="00D06433">
        <w:instrText xml:space="preserve"> SEQ Figure \* ARABIC </w:instrText>
      </w:r>
      <w:r w:rsidR="004D5C85">
        <w:fldChar w:fldCharType="separate"/>
      </w:r>
      <w:r w:rsidR="008850CD">
        <w:rPr>
          <w:noProof/>
        </w:rPr>
        <w:t>4</w:t>
      </w:r>
      <w:r w:rsidR="004D5C85">
        <w:rPr>
          <w:noProof/>
        </w:rPr>
        <w:fldChar w:fldCharType="end"/>
      </w:r>
      <w:bookmarkEnd w:id="43"/>
      <w:bookmarkEnd w:id="44"/>
      <w:r>
        <w:tab/>
      </w:r>
      <w:r w:rsidR="00CE4C12">
        <w:t>Simplified d</w:t>
      </w:r>
      <w:r>
        <w:t xml:space="preserve">ecision analytic model structure for EndoBarrier in patients with </w:t>
      </w:r>
      <w:r w:rsidR="009C2115">
        <w:t>uncontrolled diabetes</w:t>
      </w:r>
    </w:p>
    <w:p w:rsidR="00FF66B5" w:rsidRDefault="009C2115" w:rsidP="00721939">
      <w:pPr>
        <w:pStyle w:val="Caption"/>
        <w:keepLines/>
      </w:pPr>
      <w:r>
        <w:t xml:space="preserve">and </w:t>
      </w:r>
      <w:r w:rsidR="00FF66B5">
        <w:t xml:space="preserve">clinically severe obesity </w:t>
      </w:r>
    </w:p>
    <w:p w:rsidR="0091056C" w:rsidRPr="00DF2137" w:rsidRDefault="00F920B3" w:rsidP="00721939">
      <w:pPr>
        <w:keepNext/>
        <w:keepLines/>
      </w:pPr>
      <w:r w:rsidRPr="00F920B3">
        <w:t xml:space="preserve"> </w:t>
      </w:r>
      <w:r w:rsidR="0037491F">
        <w:rPr>
          <w:noProof/>
          <w:lang w:eastAsia="en-AU"/>
        </w:rPr>
        <w:drawing>
          <wp:inline distT="0" distB="0" distL="0" distR="0">
            <wp:extent cx="4301490" cy="2428875"/>
            <wp:effectExtent l="0" t="0" r="3810" b="9525"/>
            <wp:docPr id="5" name="Picture 5" title="Figure 4 Simplified decision analytic model structure for EndoBarrier in patients with uncontrolled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4301490" cy="2428875"/>
                    </a:xfrm>
                    <a:prstGeom prst="rect">
                      <a:avLst/>
                    </a:prstGeom>
                    <a:noFill/>
                    <a:ln w="9525">
                      <a:noFill/>
                      <a:miter lim="800000"/>
                      <a:headEnd/>
                      <a:tailEnd/>
                    </a:ln>
                  </pic:spPr>
                </pic:pic>
              </a:graphicData>
            </a:graphic>
          </wp:inline>
        </w:drawing>
      </w:r>
    </w:p>
    <w:p w:rsidR="009C2115" w:rsidRPr="009C2115" w:rsidRDefault="009C2115" w:rsidP="009C2115">
      <w:pPr>
        <w:pStyle w:val="Heading1"/>
      </w:pPr>
      <w:r>
        <w:br w:type="page"/>
      </w:r>
      <w:bookmarkStart w:id="45" w:name="_Toc389834077"/>
      <w:r>
        <w:lastRenderedPageBreak/>
        <w:t>References</w:t>
      </w:r>
      <w:bookmarkEnd w:id="45"/>
    </w:p>
    <w:p w:rsidR="004636F7" w:rsidRDefault="004636F7" w:rsidP="009C2115">
      <w:r w:rsidRPr="004636F7">
        <w:t>ASGE/ASMBS Task Force on Endoscopic Bariatric Therapy. A pathway to endoscopic bariatric therapies. Surg Obes Relat Dis. 2011 Nov-Dec;7(6):672-82</w:t>
      </w:r>
    </w:p>
    <w:p w:rsidR="009C2115" w:rsidRPr="00D312D8" w:rsidRDefault="00751699" w:rsidP="009C2115">
      <w:r w:rsidRPr="00751699">
        <w:t>Standards of medical care in diabetes--2010. Diabetes Care.</w:t>
      </w:r>
      <w:r>
        <w:t xml:space="preserve"> 2010 Jan;33 </w:t>
      </w:r>
      <w:r w:rsidR="009C2115" w:rsidRPr="00D312D8">
        <w:t>:S11–S61. </w:t>
      </w:r>
    </w:p>
    <w:p w:rsidR="009C2115" w:rsidRPr="009C2115" w:rsidRDefault="009C2115" w:rsidP="009C2115">
      <w:r w:rsidRPr="00936E4F">
        <w:t>Clarke P, Gray A, Holman R. Estimating utility values for health states of</w:t>
      </w:r>
      <w:r>
        <w:t xml:space="preserve"> </w:t>
      </w:r>
      <w:r w:rsidRPr="00936E4F">
        <w:t>type 2 diabetic patients using the EQ-5D (UKPDS 62). Med Decis Making. 2002</w:t>
      </w:r>
      <w:r>
        <w:t xml:space="preserve"> </w:t>
      </w:r>
      <w:r w:rsidRPr="00936E4F">
        <w:t>Jul-Aug;22(4):340-9</w:t>
      </w:r>
    </w:p>
    <w:p w:rsidR="009C2115" w:rsidRPr="00D312D8" w:rsidRDefault="009C2115" w:rsidP="009C2115">
      <w:r w:rsidRPr="00D312D8">
        <w:t>de Jonge C, Rensen SS, Verdam FJ, Vincent RP, Bloom SR, Buurman WA, le Roux CW, Schaper NC, Bouvy ND, Greve JW. Endoscopic duodenal-jejunal bypass liner rapidly improves type 2 diabetes. Obes Surg. 2013 Sep;23(9):1354-60</w:t>
      </w:r>
    </w:p>
    <w:p w:rsidR="00D94AA3" w:rsidRDefault="009C2115" w:rsidP="00D94AA3">
      <w:pPr>
        <w:spacing w:after="0"/>
      </w:pPr>
      <w:r w:rsidRPr="00D312D8">
        <w:t>Department of Health, Population Research and Outcome Studies: Bri</w:t>
      </w:r>
      <w:r w:rsidR="00D94AA3">
        <w:t xml:space="preserve">ef Report, Number 2003-03, [cited at November 2013] </w:t>
      </w:r>
    </w:p>
    <w:p w:rsidR="009C2115" w:rsidRDefault="00D94AA3" w:rsidP="009C2115">
      <w:r>
        <w:t>URL:</w:t>
      </w:r>
      <w:r w:rsidR="00A10F1D">
        <w:t xml:space="preserve"> </w:t>
      </w:r>
      <w:hyperlink r:id="rId16" w:tooltip="Link to South Australian Department of Health obesity study" w:history="1">
        <w:r>
          <w:rPr>
            <w:rStyle w:val="Hyperlink"/>
          </w:rPr>
          <w:t>http://health.adelaide.edu.au/pros/docs/reports/BR2003_03_severe_obese.pdf</w:t>
        </w:r>
      </w:hyperlink>
    </w:p>
    <w:p w:rsidR="004636F7" w:rsidRPr="00D312D8" w:rsidRDefault="004636F7" w:rsidP="004636F7">
      <w:r>
        <w:t>Dixon JB, Zimmet P, Alberti KG, Rubino F; International Diabetes Federation Taskforce on Epidemiology and Prevention. Bariatric surgery: an IDF statement for obese Type 2 diabetes. Diabet Med. 2011 Jun;28(6):628-42</w:t>
      </w:r>
    </w:p>
    <w:p w:rsidR="00D94AA3" w:rsidRDefault="00D94AA3" w:rsidP="00D94AA3">
      <w:r w:rsidRPr="00D94AA3">
        <w:t>IDF Clinical Guidelines Task Force. Global Guideline for Type 2 Diabetes:</w:t>
      </w:r>
      <w:r>
        <w:t xml:space="preserve"> </w:t>
      </w:r>
      <w:r w:rsidRPr="00D94AA3">
        <w:t>recommendations for standard, comprehensive, and minimal care. Diabet Med. 2006</w:t>
      </w:r>
      <w:r>
        <w:t xml:space="preserve"> </w:t>
      </w:r>
      <w:r w:rsidRPr="00D94AA3">
        <w:t>Jun;23(6):579-93</w:t>
      </w:r>
    </w:p>
    <w:p w:rsidR="004636F7" w:rsidRPr="00D94AA3" w:rsidRDefault="004636F7" w:rsidP="00D94AA3">
      <w:r w:rsidRPr="004636F7">
        <w:t>Fried, Martin, et al. Interdisciplinary European guidelines on surgery of severe obesity. Obesity facts 1.1 (2008): 52-59.</w:t>
      </w:r>
    </w:p>
    <w:p w:rsidR="009C2115" w:rsidRPr="00D312D8" w:rsidRDefault="009C2115" w:rsidP="00D94AA3">
      <w:r w:rsidRPr="00D312D8">
        <w:t>Klein S, Burke LE, Bray GA, Blair S, Allison DB, Pi-Sunyer X, Hong Y, Eckel RH; American Heart Association Council on Nutrition, Physical Activity, and Metabolism. Clinical implications of obesity with specific focus on cardiovascular disease: a statement for professionals from the American Heart Association Council on Nutrition, Physical Activity, and Metabolism: endorsed by the American College of Cardiology Foundation. Circulation. 2004 Nov 2;110(18):2952-67.</w:t>
      </w:r>
    </w:p>
    <w:p w:rsidR="00D94AA3" w:rsidRPr="00D94AA3" w:rsidRDefault="00D94AA3" w:rsidP="00D94AA3">
      <w:r w:rsidRPr="00D94AA3">
        <w:t>Maggio CA, Pi-Sunyer FX. The prevention and treatment of obesity. Application to type 2 diabetes. Diabetes Care. 1997 Nov;20(11):1744-66</w:t>
      </w:r>
    </w:p>
    <w:p w:rsidR="00D94AA3" w:rsidRPr="00D94AA3" w:rsidRDefault="00D94AA3" w:rsidP="00D94AA3">
      <w:r w:rsidRPr="00D94AA3">
        <w:t>Pi-Sunyer FX. Weight loss and mortality in type 2 diabetes. Diabetes Care.</w:t>
      </w:r>
      <w:r>
        <w:t xml:space="preserve"> </w:t>
      </w:r>
      <w:r w:rsidRPr="00D94AA3">
        <w:t>2000 Oct;23(10):1451-2</w:t>
      </w:r>
    </w:p>
    <w:p w:rsidR="00D94AA3" w:rsidRPr="00D94AA3" w:rsidRDefault="00D94AA3" w:rsidP="00D94AA3">
      <w:r w:rsidRPr="00D94AA3">
        <w:t>Ripsin CM, Kang H, Urban RJ. Management of blood glucose in type 2 diabetes</w:t>
      </w:r>
      <w:r>
        <w:t xml:space="preserve"> </w:t>
      </w:r>
      <w:r w:rsidRPr="00D94AA3">
        <w:t>mellitus. Am Fam Physician. 2009 Jan 1;79(1):29-36.</w:t>
      </w:r>
    </w:p>
    <w:p w:rsidR="00D94AA3" w:rsidRDefault="00D94AA3" w:rsidP="00D94AA3">
      <w:r w:rsidRPr="00D94AA3">
        <w:t>Risérus U, Willett WC, Hu FB. Dietary fats and prevention of type 2 diabetes. Prog Lipid Res. 2009 Jan;48(1):44-51</w:t>
      </w:r>
    </w:p>
    <w:p w:rsidR="004636F7" w:rsidRPr="004636F7" w:rsidRDefault="004636F7" w:rsidP="004636F7">
      <w:r w:rsidRPr="004636F7">
        <w:lastRenderedPageBreak/>
        <w:t>SAGES Guidelines Committee. SAGES guideline for clinical application of laparoscopic bariatric surgery. Surg Endosc. 2008 Oct;22(10):2281-300</w:t>
      </w:r>
    </w:p>
    <w:p w:rsidR="009C2115" w:rsidRDefault="009C2115" w:rsidP="00D94AA3">
      <w:r w:rsidRPr="00D312D8">
        <w:t>Schauer PR, Kashyap SR, Wolski K,  et al.  Bariatric surgery vs intensive medical therapy in obese patients with diabetes.  N Engl J Med. 2012;366(17):1567-1576</w:t>
      </w:r>
    </w:p>
    <w:p w:rsidR="009C2115" w:rsidRPr="00252D9B" w:rsidRDefault="009C2115" w:rsidP="009C2115">
      <w:r w:rsidRPr="00252D9B">
        <w:t>Snow V, Barry P, Fitterman N, Qaseem A, Weiss K; Clinical Efficacy Assessment Subcommittee of the American College of Physicians. Pharmacologic and surgicalmanagement of obesity in primary care: a clinical practice guideline from the</w:t>
      </w:r>
      <w:r>
        <w:t xml:space="preserve"> </w:t>
      </w:r>
      <w:r w:rsidRPr="00252D9B">
        <w:t>American College of Physicians. Ann Intern Med. 2005 Apr 5;142(7):525-31</w:t>
      </w:r>
    </w:p>
    <w:p w:rsidR="009C2115" w:rsidRPr="00D312D8" w:rsidRDefault="009C2115" w:rsidP="009C2115">
      <w:r w:rsidRPr="00D312D8">
        <w:t>Stratton IM, Adler AI, Neil AH, Matthews DR, Manley SE, Cull CA, Hadden D, Turner RC and Holman RR on behalf of the UK Prospective Diabetes Study Group.  Association of glycaemia with macrovascular and microvascular complications of type 2 diabetes (UKPDS 35): Prospective observational study. British Medical Journal 321: 405-412.</w:t>
      </w:r>
    </w:p>
    <w:p w:rsidR="009C2115" w:rsidRPr="00D312D8" w:rsidRDefault="009C2115" w:rsidP="009C2115">
      <w:r w:rsidRPr="00D312D8">
        <w:t>The Diabetes Control and Complications Trial/Epidemiology of Diabetes Interventions and Complications (DCCT/EDIC) Study Research Group.Intensive diabetes treatment and cardiovascular disease in patients with type 1 diabetes. N Engl J Med 2005; 353: 2643-2653.</w:t>
      </w:r>
    </w:p>
    <w:p w:rsidR="009C2115" w:rsidRPr="00D312D8" w:rsidRDefault="009C2115" w:rsidP="009C2115">
      <w:r w:rsidRPr="00D312D8">
        <w:t>Thomas MC, Nestel PJ: Management of dyslipidaemia in patients with type 2 diabetes in Australian primary care. Med J Aust 2007, 186(3):128-130</w:t>
      </w:r>
    </w:p>
    <w:p w:rsidR="00FF66B5" w:rsidRPr="00FF66B5" w:rsidRDefault="009C2115" w:rsidP="00FF66B5">
      <w:r w:rsidRPr="00D312D8">
        <w:rPr>
          <w:lang w:eastAsia="en-AU"/>
        </w:rPr>
        <w:t>Wing RR, Marcus MD, Salata R, Epstein LH, Miaskiewicz S, Blair EH. (1991) Effects of a very-low calorie diet on long-term glycemic control in obese type 2 diabetic subjects. Arch Intern Med 151(7): 1334-40</w:t>
      </w:r>
    </w:p>
    <w:sectPr w:rsidR="00FF66B5" w:rsidRPr="00FF66B5" w:rsidSect="00D61C4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F58" w:rsidRDefault="00C95F58" w:rsidP="000901A8">
      <w:r>
        <w:separator/>
      </w:r>
    </w:p>
  </w:endnote>
  <w:endnote w:type="continuationSeparator" w:id="0">
    <w:p w:rsidR="00C95F58" w:rsidRDefault="00C95F58"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NeueLT Std Lt Cn">
    <w:altName w:val="HelveticaNeueLT Std Lt C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8C" w:rsidRDefault="00D40E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F3" w:rsidRDefault="00051B7A">
    <w:pPr>
      <w:pStyle w:val="Footer"/>
      <w:jc w:val="right"/>
    </w:pPr>
    <w:r>
      <w:fldChar w:fldCharType="begin"/>
    </w:r>
    <w:r>
      <w:instrText xml:space="preserve"> PAGE   \* MERGEFORMAT </w:instrText>
    </w:r>
    <w:r>
      <w:fldChar w:fldCharType="separate"/>
    </w:r>
    <w:r w:rsidR="008850CD">
      <w:rPr>
        <w:noProof/>
      </w:rPr>
      <w:t>8</w:t>
    </w:r>
    <w:r>
      <w:rPr>
        <w:noProof/>
      </w:rPr>
      <w:fldChar w:fldCharType="end"/>
    </w:r>
  </w:p>
  <w:p w:rsidR="000771F3" w:rsidRDefault="000771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8C" w:rsidRDefault="00D40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F58" w:rsidRDefault="00C95F58" w:rsidP="000901A8">
      <w:r>
        <w:separator/>
      </w:r>
    </w:p>
  </w:footnote>
  <w:footnote w:type="continuationSeparator" w:id="0">
    <w:p w:rsidR="00C95F58" w:rsidRDefault="00C95F58" w:rsidP="0009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8C" w:rsidRDefault="008850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450844"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8C" w:rsidRDefault="008850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450845"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8C" w:rsidRDefault="008850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450843"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3850"/>
    <w:multiLevelType w:val="hybridMultilevel"/>
    <w:tmpl w:val="16588644"/>
    <w:lvl w:ilvl="0" w:tplc="0C090011">
      <w:start w:val="1"/>
      <w:numFmt w:val="decimal"/>
      <w:lvlText w:val="%1)"/>
      <w:lvlJc w:val="left"/>
      <w:pPr>
        <w:ind w:left="720" w:hanging="360"/>
      </w:pPr>
      <w:rPr>
        <w:rFonts w:hint="default"/>
      </w:rPr>
    </w:lvl>
    <w:lvl w:ilvl="1" w:tplc="3ED258EE">
      <w:numFmt w:val="bullet"/>
      <w:lvlText w:val="-"/>
      <w:lvlJc w:val="left"/>
      <w:pPr>
        <w:ind w:left="1440" w:hanging="360"/>
      </w:pPr>
      <w:rPr>
        <w:rFonts w:ascii="Times New Roman" w:eastAsia="SimSu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8B5B1D"/>
    <w:multiLevelType w:val="hybridMultilevel"/>
    <w:tmpl w:val="662AE9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A9F212F"/>
    <w:multiLevelType w:val="hybridMultilevel"/>
    <w:tmpl w:val="B51A3520"/>
    <w:lvl w:ilvl="0" w:tplc="8C7C120C">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AA7419"/>
    <w:multiLevelType w:val="hybridMultilevel"/>
    <w:tmpl w:val="16C49E32"/>
    <w:lvl w:ilvl="0" w:tplc="0F4AF1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321156"/>
    <w:multiLevelType w:val="hybridMultilevel"/>
    <w:tmpl w:val="56465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A73423"/>
    <w:multiLevelType w:val="hybridMultilevel"/>
    <w:tmpl w:val="067633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1409DB"/>
    <w:multiLevelType w:val="hybridMultilevel"/>
    <w:tmpl w:val="B00A0118"/>
    <w:lvl w:ilvl="0" w:tplc="7BC01ABC">
      <w:start w:val="1"/>
      <w:numFmt w:val="decimal"/>
      <w:lvlText w:val="%1)"/>
      <w:lvlJc w:val="left"/>
      <w:pPr>
        <w:ind w:left="720" w:hanging="360"/>
      </w:pPr>
      <w:rPr>
        <w:rFonts w:hint="default"/>
      </w:rPr>
    </w:lvl>
    <w:lvl w:ilvl="1" w:tplc="8C7C120C">
      <w:start w:val="3"/>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CC7B22"/>
    <w:multiLevelType w:val="hybridMultilevel"/>
    <w:tmpl w:val="2058236E"/>
    <w:lvl w:ilvl="0" w:tplc="48DC75DE">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75D75C7"/>
    <w:multiLevelType w:val="hybridMultilevel"/>
    <w:tmpl w:val="5134A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7D7AEE"/>
    <w:multiLevelType w:val="hybridMultilevel"/>
    <w:tmpl w:val="B1F21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0D30E2"/>
    <w:multiLevelType w:val="hybridMultilevel"/>
    <w:tmpl w:val="0D40A1E6"/>
    <w:lvl w:ilvl="0" w:tplc="7CCC30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2">
    <w:nsid w:val="24C54018"/>
    <w:multiLevelType w:val="hybridMultilevel"/>
    <w:tmpl w:val="31C0000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3">
    <w:nsid w:val="262A62EB"/>
    <w:multiLevelType w:val="hybridMultilevel"/>
    <w:tmpl w:val="0D40A1E6"/>
    <w:lvl w:ilvl="0" w:tplc="7CCC300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8782B95"/>
    <w:multiLevelType w:val="hybridMultilevel"/>
    <w:tmpl w:val="2C622E32"/>
    <w:lvl w:ilvl="0" w:tplc="3ED258EE">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6B0905"/>
    <w:multiLevelType w:val="multilevel"/>
    <w:tmpl w:val="486E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97F73"/>
    <w:multiLevelType w:val="hybridMultilevel"/>
    <w:tmpl w:val="C5549CE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33283789"/>
    <w:multiLevelType w:val="hybridMultilevel"/>
    <w:tmpl w:val="F9BC4DD8"/>
    <w:lvl w:ilvl="0" w:tplc="7BC01AB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6821F77"/>
    <w:multiLevelType w:val="hybridMultilevel"/>
    <w:tmpl w:val="6EBC99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9586BB4"/>
    <w:multiLevelType w:val="hybridMultilevel"/>
    <w:tmpl w:val="A8B81B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A64FBB"/>
    <w:multiLevelType w:val="hybridMultilevel"/>
    <w:tmpl w:val="15F6CF76"/>
    <w:lvl w:ilvl="0" w:tplc="914212E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D32CF5"/>
    <w:multiLevelType w:val="hybridMultilevel"/>
    <w:tmpl w:val="E256B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24">
    <w:nsid w:val="6DAD47C5"/>
    <w:multiLevelType w:val="hybridMultilevel"/>
    <w:tmpl w:val="4EE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D3099C"/>
    <w:multiLevelType w:val="hybridMultilevel"/>
    <w:tmpl w:val="8B1E9A14"/>
    <w:lvl w:ilvl="0" w:tplc="F81AAD22">
      <w:numFmt w:val="bullet"/>
      <w:lvlText w:val="-"/>
      <w:lvlJc w:val="left"/>
      <w:pPr>
        <w:ind w:left="720" w:hanging="36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A036A5"/>
    <w:multiLevelType w:val="hybridMultilevel"/>
    <w:tmpl w:val="56465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72F2522"/>
    <w:multiLevelType w:val="hybridMultilevel"/>
    <w:tmpl w:val="56465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9">
    <w:nsid w:val="7C8E3151"/>
    <w:multiLevelType w:val="hybridMultilevel"/>
    <w:tmpl w:val="6EBC99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1"/>
  </w:num>
  <w:num w:numId="3">
    <w:abstractNumId w:val="21"/>
  </w:num>
  <w:num w:numId="4">
    <w:abstractNumId w:val="23"/>
  </w:num>
  <w:num w:numId="5">
    <w:abstractNumId w:val="2"/>
  </w:num>
  <w:num w:numId="6">
    <w:abstractNumId w:val="17"/>
  </w:num>
  <w:num w:numId="7">
    <w:abstractNumId w:val="15"/>
  </w:num>
  <w:num w:numId="8">
    <w:abstractNumId w:val="9"/>
  </w:num>
  <w:num w:numId="9">
    <w:abstractNumId w:val="19"/>
  </w:num>
  <w:num w:numId="10">
    <w:abstractNumId w:val="3"/>
  </w:num>
  <w:num w:numId="11">
    <w:abstractNumId w:val="4"/>
  </w:num>
  <w:num w:numId="12">
    <w:abstractNumId w:val="27"/>
  </w:num>
  <w:num w:numId="13">
    <w:abstractNumId w:val="26"/>
  </w:num>
  <w:num w:numId="14">
    <w:abstractNumId w:val="22"/>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24"/>
  </w:num>
  <w:num w:numId="20">
    <w:abstractNumId w:val="5"/>
  </w:num>
  <w:num w:numId="21">
    <w:abstractNumId w:val="6"/>
  </w:num>
  <w:num w:numId="22">
    <w:abstractNumId w:val="12"/>
  </w:num>
  <w:num w:numId="23">
    <w:abstractNumId w:val="25"/>
  </w:num>
  <w:num w:numId="24">
    <w:abstractNumId w:val="7"/>
  </w:num>
  <w:num w:numId="25">
    <w:abstractNumId w:val="8"/>
  </w:num>
  <w:num w:numId="26">
    <w:abstractNumId w:val="18"/>
  </w:num>
  <w:num w:numId="27">
    <w:abstractNumId w:val="29"/>
  </w:num>
  <w:num w:numId="28">
    <w:abstractNumId w:val="1"/>
  </w:num>
  <w:num w:numId="29">
    <w:abstractNumId w:val="10"/>
  </w:num>
  <w:num w:numId="30">
    <w:abstractNumId w:val="13"/>
  </w:num>
  <w:num w:numId="3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F"/>
    <w:rsid w:val="00000E2D"/>
    <w:rsid w:val="000011AF"/>
    <w:rsid w:val="000055E4"/>
    <w:rsid w:val="00006244"/>
    <w:rsid w:val="0000701F"/>
    <w:rsid w:val="00007033"/>
    <w:rsid w:val="0000763E"/>
    <w:rsid w:val="00012ABD"/>
    <w:rsid w:val="0001507E"/>
    <w:rsid w:val="00016FE2"/>
    <w:rsid w:val="00017170"/>
    <w:rsid w:val="00021E90"/>
    <w:rsid w:val="0002264E"/>
    <w:rsid w:val="00022DB0"/>
    <w:rsid w:val="00022E10"/>
    <w:rsid w:val="00022F75"/>
    <w:rsid w:val="00025528"/>
    <w:rsid w:val="000265FA"/>
    <w:rsid w:val="00026EA8"/>
    <w:rsid w:val="00035546"/>
    <w:rsid w:val="00043B0E"/>
    <w:rsid w:val="000440B1"/>
    <w:rsid w:val="0004489D"/>
    <w:rsid w:val="000505E4"/>
    <w:rsid w:val="00051289"/>
    <w:rsid w:val="00051B7A"/>
    <w:rsid w:val="000545A4"/>
    <w:rsid w:val="000564B8"/>
    <w:rsid w:val="00061285"/>
    <w:rsid w:val="00062678"/>
    <w:rsid w:val="00062CD5"/>
    <w:rsid w:val="00063E7D"/>
    <w:rsid w:val="00067E0B"/>
    <w:rsid w:val="000717CA"/>
    <w:rsid w:val="0007200C"/>
    <w:rsid w:val="000738FF"/>
    <w:rsid w:val="00073C17"/>
    <w:rsid w:val="0007470C"/>
    <w:rsid w:val="000771F3"/>
    <w:rsid w:val="000772F3"/>
    <w:rsid w:val="00083557"/>
    <w:rsid w:val="0009013C"/>
    <w:rsid w:val="000901A8"/>
    <w:rsid w:val="00090218"/>
    <w:rsid w:val="00092191"/>
    <w:rsid w:val="0009279E"/>
    <w:rsid w:val="00095A41"/>
    <w:rsid w:val="000963CD"/>
    <w:rsid w:val="000A050B"/>
    <w:rsid w:val="000A2F80"/>
    <w:rsid w:val="000A3D96"/>
    <w:rsid w:val="000A4A46"/>
    <w:rsid w:val="000A5E45"/>
    <w:rsid w:val="000A6059"/>
    <w:rsid w:val="000A6A60"/>
    <w:rsid w:val="000A6B75"/>
    <w:rsid w:val="000A717E"/>
    <w:rsid w:val="000A7698"/>
    <w:rsid w:val="000A7B44"/>
    <w:rsid w:val="000B048B"/>
    <w:rsid w:val="000B2EF5"/>
    <w:rsid w:val="000B2F3E"/>
    <w:rsid w:val="000B4F7E"/>
    <w:rsid w:val="000C0D42"/>
    <w:rsid w:val="000C6834"/>
    <w:rsid w:val="000C7AD6"/>
    <w:rsid w:val="000D0BC9"/>
    <w:rsid w:val="000D0BFA"/>
    <w:rsid w:val="000D1101"/>
    <w:rsid w:val="000D2D38"/>
    <w:rsid w:val="000D3476"/>
    <w:rsid w:val="000D58C1"/>
    <w:rsid w:val="000D5CF9"/>
    <w:rsid w:val="000D5F72"/>
    <w:rsid w:val="000D771C"/>
    <w:rsid w:val="000E037B"/>
    <w:rsid w:val="000E0B13"/>
    <w:rsid w:val="000E0DD5"/>
    <w:rsid w:val="000E32B2"/>
    <w:rsid w:val="000E3460"/>
    <w:rsid w:val="000E4D3C"/>
    <w:rsid w:val="000E4F9A"/>
    <w:rsid w:val="000E5359"/>
    <w:rsid w:val="000E7925"/>
    <w:rsid w:val="000F5CBF"/>
    <w:rsid w:val="000F7ADF"/>
    <w:rsid w:val="000F7EEA"/>
    <w:rsid w:val="001025E1"/>
    <w:rsid w:val="00102A9E"/>
    <w:rsid w:val="00102BBE"/>
    <w:rsid w:val="00103F36"/>
    <w:rsid w:val="00104A9C"/>
    <w:rsid w:val="001062AE"/>
    <w:rsid w:val="00106EA0"/>
    <w:rsid w:val="00111A70"/>
    <w:rsid w:val="00111DC4"/>
    <w:rsid w:val="00113A8A"/>
    <w:rsid w:val="001143F6"/>
    <w:rsid w:val="001158F0"/>
    <w:rsid w:val="00117D2F"/>
    <w:rsid w:val="001208B9"/>
    <w:rsid w:val="00120E0E"/>
    <w:rsid w:val="001221F2"/>
    <w:rsid w:val="00123B2D"/>
    <w:rsid w:val="00123B6C"/>
    <w:rsid w:val="00126A7C"/>
    <w:rsid w:val="0012700F"/>
    <w:rsid w:val="001306E6"/>
    <w:rsid w:val="00130C17"/>
    <w:rsid w:val="00136A7A"/>
    <w:rsid w:val="00136C8A"/>
    <w:rsid w:val="001406C1"/>
    <w:rsid w:val="001452A2"/>
    <w:rsid w:val="00146CF9"/>
    <w:rsid w:val="001474E7"/>
    <w:rsid w:val="00152811"/>
    <w:rsid w:val="001537A4"/>
    <w:rsid w:val="0015478A"/>
    <w:rsid w:val="0015616B"/>
    <w:rsid w:val="001610CA"/>
    <w:rsid w:val="0016120E"/>
    <w:rsid w:val="00164CF0"/>
    <w:rsid w:val="0016659A"/>
    <w:rsid w:val="00166AC8"/>
    <w:rsid w:val="00173E03"/>
    <w:rsid w:val="00176D27"/>
    <w:rsid w:val="0018099E"/>
    <w:rsid w:val="00180D66"/>
    <w:rsid w:val="00192B9C"/>
    <w:rsid w:val="00193205"/>
    <w:rsid w:val="001933E7"/>
    <w:rsid w:val="0019349E"/>
    <w:rsid w:val="001951AA"/>
    <w:rsid w:val="00195718"/>
    <w:rsid w:val="001A1A2F"/>
    <w:rsid w:val="001A28EA"/>
    <w:rsid w:val="001A3EAC"/>
    <w:rsid w:val="001A4828"/>
    <w:rsid w:val="001A7A50"/>
    <w:rsid w:val="001B2282"/>
    <w:rsid w:val="001B2307"/>
    <w:rsid w:val="001B31A2"/>
    <w:rsid w:val="001B3A5E"/>
    <w:rsid w:val="001B58CA"/>
    <w:rsid w:val="001B5973"/>
    <w:rsid w:val="001B5AEE"/>
    <w:rsid w:val="001C0F34"/>
    <w:rsid w:val="001C1186"/>
    <w:rsid w:val="001C26E5"/>
    <w:rsid w:val="001C2EED"/>
    <w:rsid w:val="001C3333"/>
    <w:rsid w:val="001C3EDA"/>
    <w:rsid w:val="001C7E08"/>
    <w:rsid w:val="001C7E7A"/>
    <w:rsid w:val="001D02B4"/>
    <w:rsid w:val="001D209C"/>
    <w:rsid w:val="001D3077"/>
    <w:rsid w:val="001D46F6"/>
    <w:rsid w:val="001D68AB"/>
    <w:rsid w:val="001D7077"/>
    <w:rsid w:val="001E34D3"/>
    <w:rsid w:val="001E3986"/>
    <w:rsid w:val="001E5CC1"/>
    <w:rsid w:val="001E69B3"/>
    <w:rsid w:val="001F0ECE"/>
    <w:rsid w:val="001F13F9"/>
    <w:rsid w:val="001F1C02"/>
    <w:rsid w:val="001F2ECB"/>
    <w:rsid w:val="001F3459"/>
    <w:rsid w:val="001F35B6"/>
    <w:rsid w:val="001F6C72"/>
    <w:rsid w:val="001F7332"/>
    <w:rsid w:val="0020457F"/>
    <w:rsid w:val="00205EFD"/>
    <w:rsid w:val="00212787"/>
    <w:rsid w:val="00215465"/>
    <w:rsid w:val="00217B4D"/>
    <w:rsid w:val="00223186"/>
    <w:rsid w:val="00223662"/>
    <w:rsid w:val="0022429F"/>
    <w:rsid w:val="00227085"/>
    <w:rsid w:val="00233D45"/>
    <w:rsid w:val="00235185"/>
    <w:rsid w:val="00235E38"/>
    <w:rsid w:val="002366E2"/>
    <w:rsid w:val="002373D7"/>
    <w:rsid w:val="00244BE2"/>
    <w:rsid w:val="00250543"/>
    <w:rsid w:val="00250C38"/>
    <w:rsid w:val="00253A5D"/>
    <w:rsid w:val="002542EC"/>
    <w:rsid w:val="00254B1C"/>
    <w:rsid w:val="00260D69"/>
    <w:rsid w:val="002646DF"/>
    <w:rsid w:val="00264A8D"/>
    <w:rsid w:val="00265367"/>
    <w:rsid w:val="002675F1"/>
    <w:rsid w:val="002742D0"/>
    <w:rsid w:val="00274A74"/>
    <w:rsid w:val="002772EE"/>
    <w:rsid w:val="00277FC1"/>
    <w:rsid w:val="00277FF2"/>
    <w:rsid w:val="002812C4"/>
    <w:rsid w:val="0028194B"/>
    <w:rsid w:val="0028338E"/>
    <w:rsid w:val="0029159F"/>
    <w:rsid w:val="00293C05"/>
    <w:rsid w:val="002963DE"/>
    <w:rsid w:val="002A0162"/>
    <w:rsid w:val="002A10ED"/>
    <w:rsid w:val="002A1CE9"/>
    <w:rsid w:val="002A1E35"/>
    <w:rsid w:val="002A3638"/>
    <w:rsid w:val="002A4A16"/>
    <w:rsid w:val="002A57DF"/>
    <w:rsid w:val="002A6116"/>
    <w:rsid w:val="002A6980"/>
    <w:rsid w:val="002B1387"/>
    <w:rsid w:val="002B2C14"/>
    <w:rsid w:val="002B34C7"/>
    <w:rsid w:val="002B40B0"/>
    <w:rsid w:val="002B549C"/>
    <w:rsid w:val="002B680A"/>
    <w:rsid w:val="002B6CAB"/>
    <w:rsid w:val="002B6DC5"/>
    <w:rsid w:val="002C0E6A"/>
    <w:rsid w:val="002D11CB"/>
    <w:rsid w:val="002D3006"/>
    <w:rsid w:val="002D4461"/>
    <w:rsid w:val="002D4CA7"/>
    <w:rsid w:val="002D602F"/>
    <w:rsid w:val="002D7933"/>
    <w:rsid w:val="002E1256"/>
    <w:rsid w:val="002E3EBE"/>
    <w:rsid w:val="002E454B"/>
    <w:rsid w:val="002E4A8E"/>
    <w:rsid w:val="002E4CF0"/>
    <w:rsid w:val="002E69D7"/>
    <w:rsid w:val="002E6E60"/>
    <w:rsid w:val="002F0096"/>
    <w:rsid w:val="002F02E4"/>
    <w:rsid w:val="002F5B32"/>
    <w:rsid w:val="0030226A"/>
    <w:rsid w:val="0030420F"/>
    <w:rsid w:val="00306B69"/>
    <w:rsid w:val="00312536"/>
    <w:rsid w:val="00312862"/>
    <w:rsid w:val="00313EC8"/>
    <w:rsid w:val="0031411D"/>
    <w:rsid w:val="00314BE5"/>
    <w:rsid w:val="00316D1E"/>
    <w:rsid w:val="00317017"/>
    <w:rsid w:val="00320E6C"/>
    <w:rsid w:val="00320E92"/>
    <w:rsid w:val="00321A6F"/>
    <w:rsid w:val="003234CE"/>
    <w:rsid w:val="00323BAA"/>
    <w:rsid w:val="0032459C"/>
    <w:rsid w:val="0032517F"/>
    <w:rsid w:val="003251C0"/>
    <w:rsid w:val="003251F5"/>
    <w:rsid w:val="003259A7"/>
    <w:rsid w:val="00326077"/>
    <w:rsid w:val="003268D5"/>
    <w:rsid w:val="00327FAF"/>
    <w:rsid w:val="003313FE"/>
    <w:rsid w:val="0033554E"/>
    <w:rsid w:val="003367C6"/>
    <w:rsid w:val="003368F7"/>
    <w:rsid w:val="00336BB9"/>
    <w:rsid w:val="003373F9"/>
    <w:rsid w:val="003438C8"/>
    <w:rsid w:val="00346754"/>
    <w:rsid w:val="00346B59"/>
    <w:rsid w:val="00346B7C"/>
    <w:rsid w:val="00346E90"/>
    <w:rsid w:val="00347A6E"/>
    <w:rsid w:val="00347EF9"/>
    <w:rsid w:val="00355466"/>
    <w:rsid w:val="00357FB8"/>
    <w:rsid w:val="0036022C"/>
    <w:rsid w:val="00363CB8"/>
    <w:rsid w:val="00364316"/>
    <w:rsid w:val="003645F0"/>
    <w:rsid w:val="00366BBE"/>
    <w:rsid w:val="00366D98"/>
    <w:rsid w:val="00367409"/>
    <w:rsid w:val="00367454"/>
    <w:rsid w:val="00370B4A"/>
    <w:rsid w:val="00372170"/>
    <w:rsid w:val="00373000"/>
    <w:rsid w:val="0037491F"/>
    <w:rsid w:val="003769E6"/>
    <w:rsid w:val="003806A2"/>
    <w:rsid w:val="00380D12"/>
    <w:rsid w:val="00382A47"/>
    <w:rsid w:val="00383D10"/>
    <w:rsid w:val="00383F37"/>
    <w:rsid w:val="0038439A"/>
    <w:rsid w:val="00386AD7"/>
    <w:rsid w:val="00390050"/>
    <w:rsid w:val="00391E64"/>
    <w:rsid w:val="003940F7"/>
    <w:rsid w:val="003A13D3"/>
    <w:rsid w:val="003A46EA"/>
    <w:rsid w:val="003A4ABC"/>
    <w:rsid w:val="003A51D1"/>
    <w:rsid w:val="003A5CC1"/>
    <w:rsid w:val="003A7613"/>
    <w:rsid w:val="003B03F7"/>
    <w:rsid w:val="003B232A"/>
    <w:rsid w:val="003B29AF"/>
    <w:rsid w:val="003B37A9"/>
    <w:rsid w:val="003B386B"/>
    <w:rsid w:val="003B4569"/>
    <w:rsid w:val="003B4DD9"/>
    <w:rsid w:val="003C09CE"/>
    <w:rsid w:val="003C3BAF"/>
    <w:rsid w:val="003C4B17"/>
    <w:rsid w:val="003C4BD6"/>
    <w:rsid w:val="003C57A1"/>
    <w:rsid w:val="003C6C81"/>
    <w:rsid w:val="003C7B42"/>
    <w:rsid w:val="003D01CF"/>
    <w:rsid w:val="003D4723"/>
    <w:rsid w:val="003D560D"/>
    <w:rsid w:val="003D693D"/>
    <w:rsid w:val="003D7C0A"/>
    <w:rsid w:val="003D7D19"/>
    <w:rsid w:val="003E0D00"/>
    <w:rsid w:val="003E285B"/>
    <w:rsid w:val="003E4C9A"/>
    <w:rsid w:val="003E6DA6"/>
    <w:rsid w:val="003E76CB"/>
    <w:rsid w:val="003E792A"/>
    <w:rsid w:val="003F588F"/>
    <w:rsid w:val="003F5A46"/>
    <w:rsid w:val="003F5D96"/>
    <w:rsid w:val="004000A8"/>
    <w:rsid w:val="004073C0"/>
    <w:rsid w:val="00410287"/>
    <w:rsid w:val="004103E0"/>
    <w:rsid w:val="004120EF"/>
    <w:rsid w:val="00414005"/>
    <w:rsid w:val="00415A84"/>
    <w:rsid w:val="0041626A"/>
    <w:rsid w:val="00417B0A"/>
    <w:rsid w:val="0042194C"/>
    <w:rsid w:val="00421AAB"/>
    <w:rsid w:val="0042242D"/>
    <w:rsid w:val="0042273B"/>
    <w:rsid w:val="00435950"/>
    <w:rsid w:val="00436482"/>
    <w:rsid w:val="00437F97"/>
    <w:rsid w:val="00441680"/>
    <w:rsid w:val="004421D9"/>
    <w:rsid w:val="004428D1"/>
    <w:rsid w:val="00443540"/>
    <w:rsid w:val="00444E8D"/>
    <w:rsid w:val="00445005"/>
    <w:rsid w:val="004512D3"/>
    <w:rsid w:val="004516CE"/>
    <w:rsid w:val="00452233"/>
    <w:rsid w:val="00453830"/>
    <w:rsid w:val="00456AC0"/>
    <w:rsid w:val="00456D61"/>
    <w:rsid w:val="004577EF"/>
    <w:rsid w:val="0046304C"/>
    <w:rsid w:val="004636F7"/>
    <w:rsid w:val="00465B5E"/>
    <w:rsid w:val="00471F2A"/>
    <w:rsid w:val="0047240F"/>
    <w:rsid w:val="00472449"/>
    <w:rsid w:val="00472FD7"/>
    <w:rsid w:val="00475DE9"/>
    <w:rsid w:val="00480148"/>
    <w:rsid w:val="004801BC"/>
    <w:rsid w:val="004848DF"/>
    <w:rsid w:val="00484FB6"/>
    <w:rsid w:val="00485C3A"/>
    <w:rsid w:val="004869DF"/>
    <w:rsid w:val="0048781B"/>
    <w:rsid w:val="00487CAB"/>
    <w:rsid w:val="00490191"/>
    <w:rsid w:val="00491BBD"/>
    <w:rsid w:val="00492024"/>
    <w:rsid w:val="00494ACF"/>
    <w:rsid w:val="00494F27"/>
    <w:rsid w:val="0049772E"/>
    <w:rsid w:val="00497750"/>
    <w:rsid w:val="004A3F6E"/>
    <w:rsid w:val="004A5009"/>
    <w:rsid w:val="004A55A4"/>
    <w:rsid w:val="004A5C22"/>
    <w:rsid w:val="004B2BD5"/>
    <w:rsid w:val="004C1624"/>
    <w:rsid w:val="004C3B01"/>
    <w:rsid w:val="004C6737"/>
    <w:rsid w:val="004C6B65"/>
    <w:rsid w:val="004C775E"/>
    <w:rsid w:val="004D0C9F"/>
    <w:rsid w:val="004D2EA6"/>
    <w:rsid w:val="004D5C85"/>
    <w:rsid w:val="004D72A7"/>
    <w:rsid w:val="004E3874"/>
    <w:rsid w:val="004E3A9C"/>
    <w:rsid w:val="004E684C"/>
    <w:rsid w:val="004E7C5C"/>
    <w:rsid w:val="004F2233"/>
    <w:rsid w:val="004F3B68"/>
    <w:rsid w:val="004F402D"/>
    <w:rsid w:val="004F74D3"/>
    <w:rsid w:val="0050320C"/>
    <w:rsid w:val="005073A3"/>
    <w:rsid w:val="00510693"/>
    <w:rsid w:val="00511197"/>
    <w:rsid w:val="005113DB"/>
    <w:rsid w:val="0051534E"/>
    <w:rsid w:val="00516035"/>
    <w:rsid w:val="005174C8"/>
    <w:rsid w:val="00517FE1"/>
    <w:rsid w:val="00521430"/>
    <w:rsid w:val="005215B3"/>
    <w:rsid w:val="00524DF1"/>
    <w:rsid w:val="00530295"/>
    <w:rsid w:val="00530E66"/>
    <w:rsid w:val="005344A8"/>
    <w:rsid w:val="00534AF4"/>
    <w:rsid w:val="00535268"/>
    <w:rsid w:val="00535C59"/>
    <w:rsid w:val="00536CBD"/>
    <w:rsid w:val="00537D54"/>
    <w:rsid w:val="00541EA3"/>
    <w:rsid w:val="005426DD"/>
    <w:rsid w:val="00544439"/>
    <w:rsid w:val="00544777"/>
    <w:rsid w:val="005506E9"/>
    <w:rsid w:val="00551077"/>
    <w:rsid w:val="005518EC"/>
    <w:rsid w:val="00551F6A"/>
    <w:rsid w:val="0055409B"/>
    <w:rsid w:val="005555C0"/>
    <w:rsid w:val="00563E2A"/>
    <w:rsid w:val="00566BE5"/>
    <w:rsid w:val="00566FB9"/>
    <w:rsid w:val="005674A9"/>
    <w:rsid w:val="00567E45"/>
    <w:rsid w:val="00570982"/>
    <w:rsid w:val="00572D2A"/>
    <w:rsid w:val="00574DDF"/>
    <w:rsid w:val="0057687C"/>
    <w:rsid w:val="005825FD"/>
    <w:rsid w:val="00583507"/>
    <w:rsid w:val="005846B6"/>
    <w:rsid w:val="005868F7"/>
    <w:rsid w:val="005868F8"/>
    <w:rsid w:val="00591341"/>
    <w:rsid w:val="00594712"/>
    <w:rsid w:val="00596580"/>
    <w:rsid w:val="005A1079"/>
    <w:rsid w:val="005A1D31"/>
    <w:rsid w:val="005A251D"/>
    <w:rsid w:val="005A334B"/>
    <w:rsid w:val="005A5C86"/>
    <w:rsid w:val="005A6BBA"/>
    <w:rsid w:val="005B06C3"/>
    <w:rsid w:val="005B2DC9"/>
    <w:rsid w:val="005B2E3C"/>
    <w:rsid w:val="005B40F9"/>
    <w:rsid w:val="005C2416"/>
    <w:rsid w:val="005C4367"/>
    <w:rsid w:val="005C545C"/>
    <w:rsid w:val="005C5DBD"/>
    <w:rsid w:val="005C6E80"/>
    <w:rsid w:val="005C7284"/>
    <w:rsid w:val="005D2670"/>
    <w:rsid w:val="005D561C"/>
    <w:rsid w:val="005D70A3"/>
    <w:rsid w:val="005E0042"/>
    <w:rsid w:val="005E3F79"/>
    <w:rsid w:val="005E411A"/>
    <w:rsid w:val="005E4CED"/>
    <w:rsid w:val="005E73C6"/>
    <w:rsid w:val="005F165A"/>
    <w:rsid w:val="005F1F16"/>
    <w:rsid w:val="00605014"/>
    <w:rsid w:val="00605628"/>
    <w:rsid w:val="00610684"/>
    <w:rsid w:val="006107EA"/>
    <w:rsid w:val="00617B8A"/>
    <w:rsid w:val="00620898"/>
    <w:rsid w:val="00621904"/>
    <w:rsid w:val="006220FE"/>
    <w:rsid w:val="00627609"/>
    <w:rsid w:val="006304FE"/>
    <w:rsid w:val="00631209"/>
    <w:rsid w:val="006334E2"/>
    <w:rsid w:val="006337B2"/>
    <w:rsid w:val="0063601E"/>
    <w:rsid w:val="00642728"/>
    <w:rsid w:val="006431A4"/>
    <w:rsid w:val="0064353E"/>
    <w:rsid w:val="00644701"/>
    <w:rsid w:val="00644B39"/>
    <w:rsid w:val="00644CD1"/>
    <w:rsid w:val="0065047F"/>
    <w:rsid w:val="006528C8"/>
    <w:rsid w:val="0065346A"/>
    <w:rsid w:val="006542AC"/>
    <w:rsid w:val="00655E42"/>
    <w:rsid w:val="00656000"/>
    <w:rsid w:val="00665286"/>
    <w:rsid w:val="00665E39"/>
    <w:rsid w:val="00666B27"/>
    <w:rsid w:val="006708B8"/>
    <w:rsid w:val="0067172B"/>
    <w:rsid w:val="0067185A"/>
    <w:rsid w:val="006732CA"/>
    <w:rsid w:val="00676E13"/>
    <w:rsid w:val="00680826"/>
    <w:rsid w:val="00680AAB"/>
    <w:rsid w:val="00684997"/>
    <w:rsid w:val="00690572"/>
    <w:rsid w:val="00691416"/>
    <w:rsid w:val="00692B45"/>
    <w:rsid w:val="0069394C"/>
    <w:rsid w:val="00693AF5"/>
    <w:rsid w:val="0069546B"/>
    <w:rsid w:val="00695C47"/>
    <w:rsid w:val="006A0579"/>
    <w:rsid w:val="006A099B"/>
    <w:rsid w:val="006A20A4"/>
    <w:rsid w:val="006A38B7"/>
    <w:rsid w:val="006A4AFC"/>
    <w:rsid w:val="006A4E17"/>
    <w:rsid w:val="006A736A"/>
    <w:rsid w:val="006A7488"/>
    <w:rsid w:val="006A77BD"/>
    <w:rsid w:val="006A7EEA"/>
    <w:rsid w:val="006B6A54"/>
    <w:rsid w:val="006B7240"/>
    <w:rsid w:val="006B746D"/>
    <w:rsid w:val="006B7B9B"/>
    <w:rsid w:val="006C195C"/>
    <w:rsid w:val="006C222C"/>
    <w:rsid w:val="006C47BE"/>
    <w:rsid w:val="006C741F"/>
    <w:rsid w:val="006D4307"/>
    <w:rsid w:val="006D621B"/>
    <w:rsid w:val="006D7518"/>
    <w:rsid w:val="006D7ABD"/>
    <w:rsid w:val="006E1C7F"/>
    <w:rsid w:val="006E304B"/>
    <w:rsid w:val="006E3B7B"/>
    <w:rsid w:val="006E4589"/>
    <w:rsid w:val="006E7838"/>
    <w:rsid w:val="006F05AE"/>
    <w:rsid w:val="006F0A87"/>
    <w:rsid w:val="006F39A0"/>
    <w:rsid w:val="006F5817"/>
    <w:rsid w:val="006F5C12"/>
    <w:rsid w:val="006F6A00"/>
    <w:rsid w:val="007016AF"/>
    <w:rsid w:val="007033AA"/>
    <w:rsid w:val="00703C13"/>
    <w:rsid w:val="0070492F"/>
    <w:rsid w:val="00705340"/>
    <w:rsid w:val="0070549A"/>
    <w:rsid w:val="00706593"/>
    <w:rsid w:val="0070791D"/>
    <w:rsid w:val="007135A8"/>
    <w:rsid w:val="00713A67"/>
    <w:rsid w:val="0071585B"/>
    <w:rsid w:val="00716D3F"/>
    <w:rsid w:val="00720681"/>
    <w:rsid w:val="00721939"/>
    <w:rsid w:val="00723AD3"/>
    <w:rsid w:val="00725AD2"/>
    <w:rsid w:val="00725BEC"/>
    <w:rsid w:val="00730693"/>
    <w:rsid w:val="0073147F"/>
    <w:rsid w:val="00737E35"/>
    <w:rsid w:val="007402DB"/>
    <w:rsid w:val="00740F5E"/>
    <w:rsid w:val="00743D20"/>
    <w:rsid w:val="0074438A"/>
    <w:rsid w:val="00744C33"/>
    <w:rsid w:val="00744D56"/>
    <w:rsid w:val="00751699"/>
    <w:rsid w:val="00751FA0"/>
    <w:rsid w:val="007563E9"/>
    <w:rsid w:val="007609F9"/>
    <w:rsid w:val="00762080"/>
    <w:rsid w:val="00763658"/>
    <w:rsid w:val="00772A7A"/>
    <w:rsid w:val="00775685"/>
    <w:rsid w:val="00776897"/>
    <w:rsid w:val="007802A9"/>
    <w:rsid w:val="0078160B"/>
    <w:rsid w:val="007863D1"/>
    <w:rsid w:val="00792AB9"/>
    <w:rsid w:val="00797C9A"/>
    <w:rsid w:val="007A0104"/>
    <w:rsid w:val="007A0D5F"/>
    <w:rsid w:val="007A40DE"/>
    <w:rsid w:val="007A4519"/>
    <w:rsid w:val="007B0B43"/>
    <w:rsid w:val="007B2F4B"/>
    <w:rsid w:val="007B380D"/>
    <w:rsid w:val="007B4AB8"/>
    <w:rsid w:val="007B5296"/>
    <w:rsid w:val="007B6E35"/>
    <w:rsid w:val="007C2C21"/>
    <w:rsid w:val="007C355E"/>
    <w:rsid w:val="007C6FCD"/>
    <w:rsid w:val="007D025C"/>
    <w:rsid w:val="007D17EE"/>
    <w:rsid w:val="007D2BA9"/>
    <w:rsid w:val="007D36B9"/>
    <w:rsid w:val="007D3A92"/>
    <w:rsid w:val="007D4C35"/>
    <w:rsid w:val="007D4F82"/>
    <w:rsid w:val="007E1EBF"/>
    <w:rsid w:val="007F01EA"/>
    <w:rsid w:val="007F0A2A"/>
    <w:rsid w:val="007F40B5"/>
    <w:rsid w:val="007F52D5"/>
    <w:rsid w:val="007F53CA"/>
    <w:rsid w:val="007F5BCE"/>
    <w:rsid w:val="007F69DE"/>
    <w:rsid w:val="007F710D"/>
    <w:rsid w:val="007F7AB7"/>
    <w:rsid w:val="00800AD3"/>
    <w:rsid w:val="0080494B"/>
    <w:rsid w:val="00805AFB"/>
    <w:rsid w:val="00806A1F"/>
    <w:rsid w:val="00815C33"/>
    <w:rsid w:val="00817F23"/>
    <w:rsid w:val="008201DA"/>
    <w:rsid w:val="00820A51"/>
    <w:rsid w:val="0082329F"/>
    <w:rsid w:val="00823405"/>
    <w:rsid w:val="00823D0B"/>
    <w:rsid w:val="00825484"/>
    <w:rsid w:val="00826784"/>
    <w:rsid w:val="0082720C"/>
    <w:rsid w:val="00827912"/>
    <w:rsid w:val="00831C2D"/>
    <w:rsid w:val="00831FD2"/>
    <w:rsid w:val="008355F9"/>
    <w:rsid w:val="00836DC2"/>
    <w:rsid w:val="00841ADC"/>
    <w:rsid w:val="008476B9"/>
    <w:rsid w:val="0085162B"/>
    <w:rsid w:val="00851CD3"/>
    <w:rsid w:val="00851EB3"/>
    <w:rsid w:val="0085293D"/>
    <w:rsid w:val="00854A17"/>
    <w:rsid w:val="008552F6"/>
    <w:rsid w:val="00857219"/>
    <w:rsid w:val="00862E6A"/>
    <w:rsid w:val="00863328"/>
    <w:rsid w:val="008636B3"/>
    <w:rsid w:val="0086508A"/>
    <w:rsid w:val="0086759D"/>
    <w:rsid w:val="008703A3"/>
    <w:rsid w:val="00873105"/>
    <w:rsid w:val="008742D6"/>
    <w:rsid w:val="008804C5"/>
    <w:rsid w:val="0088108E"/>
    <w:rsid w:val="00882200"/>
    <w:rsid w:val="008826D8"/>
    <w:rsid w:val="00883A6C"/>
    <w:rsid w:val="008844BE"/>
    <w:rsid w:val="008850CD"/>
    <w:rsid w:val="00885A77"/>
    <w:rsid w:val="00886329"/>
    <w:rsid w:val="008872E6"/>
    <w:rsid w:val="00890E8D"/>
    <w:rsid w:val="00890ED9"/>
    <w:rsid w:val="00892444"/>
    <w:rsid w:val="008924FD"/>
    <w:rsid w:val="008934FA"/>
    <w:rsid w:val="00894000"/>
    <w:rsid w:val="00894708"/>
    <w:rsid w:val="00894C35"/>
    <w:rsid w:val="00897410"/>
    <w:rsid w:val="008A128B"/>
    <w:rsid w:val="008A1615"/>
    <w:rsid w:val="008A1AF9"/>
    <w:rsid w:val="008A49A4"/>
    <w:rsid w:val="008A7249"/>
    <w:rsid w:val="008A7FA6"/>
    <w:rsid w:val="008B046D"/>
    <w:rsid w:val="008B0C32"/>
    <w:rsid w:val="008C004B"/>
    <w:rsid w:val="008C3AD5"/>
    <w:rsid w:val="008C48DC"/>
    <w:rsid w:val="008C5A78"/>
    <w:rsid w:val="008C7E2F"/>
    <w:rsid w:val="008D148D"/>
    <w:rsid w:val="008D23C6"/>
    <w:rsid w:val="008D6E56"/>
    <w:rsid w:val="008E0DAF"/>
    <w:rsid w:val="008E20BD"/>
    <w:rsid w:val="008E3807"/>
    <w:rsid w:val="008E381F"/>
    <w:rsid w:val="008E5D09"/>
    <w:rsid w:val="008E6CB0"/>
    <w:rsid w:val="008E72F4"/>
    <w:rsid w:val="008F1144"/>
    <w:rsid w:val="008F1829"/>
    <w:rsid w:val="008F2C95"/>
    <w:rsid w:val="008F5788"/>
    <w:rsid w:val="008F6CFA"/>
    <w:rsid w:val="00904311"/>
    <w:rsid w:val="00906D81"/>
    <w:rsid w:val="00906FA8"/>
    <w:rsid w:val="00907C5B"/>
    <w:rsid w:val="0091056C"/>
    <w:rsid w:val="0091243F"/>
    <w:rsid w:val="00914304"/>
    <w:rsid w:val="0091520B"/>
    <w:rsid w:val="00920EA8"/>
    <w:rsid w:val="00922950"/>
    <w:rsid w:val="0092310C"/>
    <w:rsid w:val="00925CF6"/>
    <w:rsid w:val="00925EB9"/>
    <w:rsid w:val="00927A51"/>
    <w:rsid w:val="00930F28"/>
    <w:rsid w:val="00931436"/>
    <w:rsid w:val="00937520"/>
    <w:rsid w:val="00937D5B"/>
    <w:rsid w:val="0094038A"/>
    <w:rsid w:val="0094078F"/>
    <w:rsid w:val="00943B66"/>
    <w:rsid w:val="00947922"/>
    <w:rsid w:val="00952A04"/>
    <w:rsid w:val="009553DA"/>
    <w:rsid w:val="009613F1"/>
    <w:rsid w:val="0096178B"/>
    <w:rsid w:val="00962B68"/>
    <w:rsid w:val="009652B8"/>
    <w:rsid w:val="00966024"/>
    <w:rsid w:val="0096673A"/>
    <w:rsid w:val="009671B0"/>
    <w:rsid w:val="009708DE"/>
    <w:rsid w:val="009717DA"/>
    <w:rsid w:val="009733B1"/>
    <w:rsid w:val="00974F63"/>
    <w:rsid w:val="00977D52"/>
    <w:rsid w:val="009812D4"/>
    <w:rsid w:val="00981B17"/>
    <w:rsid w:val="00981D8B"/>
    <w:rsid w:val="009822AB"/>
    <w:rsid w:val="00982970"/>
    <w:rsid w:val="009843E1"/>
    <w:rsid w:val="00987B81"/>
    <w:rsid w:val="00987BD6"/>
    <w:rsid w:val="009950FA"/>
    <w:rsid w:val="009957F6"/>
    <w:rsid w:val="00996F1B"/>
    <w:rsid w:val="009A10B7"/>
    <w:rsid w:val="009A2769"/>
    <w:rsid w:val="009A54E9"/>
    <w:rsid w:val="009A55B5"/>
    <w:rsid w:val="009A56E0"/>
    <w:rsid w:val="009A5D48"/>
    <w:rsid w:val="009B028A"/>
    <w:rsid w:val="009B376C"/>
    <w:rsid w:val="009B59B7"/>
    <w:rsid w:val="009B6E40"/>
    <w:rsid w:val="009B7FF1"/>
    <w:rsid w:val="009C050D"/>
    <w:rsid w:val="009C057F"/>
    <w:rsid w:val="009C1F4F"/>
    <w:rsid w:val="009C2115"/>
    <w:rsid w:val="009C335C"/>
    <w:rsid w:val="009C5C39"/>
    <w:rsid w:val="009C69F0"/>
    <w:rsid w:val="009D01A8"/>
    <w:rsid w:val="009D07B9"/>
    <w:rsid w:val="009D1288"/>
    <w:rsid w:val="009D1831"/>
    <w:rsid w:val="009D1C46"/>
    <w:rsid w:val="009D46E5"/>
    <w:rsid w:val="009D6765"/>
    <w:rsid w:val="009D69C9"/>
    <w:rsid w:val="009D7048"/>
    <w:rsid w:val="009D7B0D"/>
    <w:rsid w:val="009E0790"/>
    <w:rsid w:val="009E4296"/>
    <w:rsid w:val="009E530B"/>
    <w:rsid w:val="009E7A9F"/>
    <w:rsid w:val="009F3D33"/>
    <w:rsid w:val="009F51C9"/>
    <w:rsid w:val="009F667F"/>
    <w:rsid w:val="009F7DB8"/>
    <w:rsid w:val="00A00122"/>
    <w:rsid w:val="00A012FA"/>
    <w:rsid w:val="00A02694"/>
    <w:rsid w:val="00A0605A"/>
    <w:rsid w:val="00A06EFD"/>
    <w:rsid w:val="00A10BB6"/>
    <w:rsid w:val="00A10F1D"/>
    <w:rsid w:val="00A142B0"/>
    <w:rsid w:val="00A14FA9"/>
    <w:rsid w:val="00A15C88"/>
    <w:rsid w:val="00A16757"/>
    <w:rsid w:val="00A2461C"/>
    <w:rsid w:val="00A24873"/>
    <w:rsid w:val="00A25114"/>
    <w:rsid w:val="00A25E27"/>
    <w:rsid w:val="00A26DA0"/>
    <w:rsid w:val="00A3020E"/>
    <w:rsid w:val="00A30B59"/>
    <w:rsid w:val="00A31858"/>
    <w:rsid w:val="00A3197E"/>
    <w:rsid w:val="00A32E13"/>
    <w:rsid w:val="00A34E9C"/>
    <w:rsid w:val="00A35ECE"/>
    <w:rsid w:val="00A3741F"/>
    <w:rsid w:val="00A47110"/>
    <w:rsid w:val="00A476BD"/>
    <w:rsid w:val="00A50A26"/>
    <w:rsid w:val="00A50E95"/>
    <w:rsid w:val="00A52FCD"/>
    <w:rsid w:val="00A54CE8"/>
    <w:rsid w:val="00A562D7"/>
    <w:rsid w:val="00A570EF"/>
    <w:rsid w:val="00A573C6"/>
    <w:rsid w:val="00A62DE3"/>
    <w:rsid w:val="00A64E6E"/>
    <w:rsid w:val="00A70FEF"/>
    <w:rsid w:val="00A71335"/>
    <w:rsid w:val="00A71A8B"/>
    <w:rsid w:val="00A73E9E"/>
    <w:rsid w:val="00A86380"/>
    <w:rsid w:val="00A87199"/>
    <w:rsid w:val="00A87770"/>
    <w:rsid w:val="00A9031C"/>
    <w:rsid w:val="00A9369C"/>
    <w:rsid w:val="00A96B86"/>
    <w:rsid w:val="00A96F9C"/>
    <w:rsid w:val="00A97063"/>
    <w:rsid w:val="00A97BB3"/>
    <w:rsid w:val="00AA2F18"/>
    <w:rsid w:val="00AA5FBF"/>
    <w:rsid w:val="00AA6EFA"/>
    <w:rsid w:val="00AA704B"/>
    <w:rsid w:val="00AA7750"/>
    <w:rsid w:val="00AB0AA3"/>
    <w:rsid w:val="00AB0C98"/>
    <w:rsid w:val="00AB26E9"/>
    <w:rsid w:val="00AB4D88"/>
    <w:rsid w:val="00AB6A52"/>
    <w:rsid w:val="00AB6D40"/>
    <w:rsid w:val="00AC07F7"/>
    <w:rsid w:val="00AC4985"/>
    <w:rsid w:val="00AC6302"/>
    <w:rsid w:val="00AC65F1"/>
    <w:rsid w:val="00AC7A89"/>
    <w:rsid w:val="00AD2012"/>
    <w:rsid w:val="00AD332B"/>
    <w:rsid w:val="00AD4669"/>
    <w:rsid w:val="00AD466D"/>
    <w:rsid w:val="00AD6A9D"/>
    <w:rsid w:val="00AD7EB8"/>
    <w:rsid w:val="00AE0ED7"/>
    <w:rsid w:val="00AE65E1"/>
    <w:rsid w:val="00AF2699"/>
    <w:rsid w:val="00B009C6"/>
    <w:rsid w:val="00B0163E"/>
    <w:rsid w:val="00B0205B"/>
    <w:rsid w:val="00B04507"/>
    <w:rsid w:val="00B061AD"/>
    <w:rsid w:val="00B1061F"/>
    <w:rsid w:val="00B10EFC"/>
    <w:rsid w:val="00B11D8D"/>
    <w:rsid w:val="00B15905"/>
    <w:rsid w:val="00B17A2E"/>
    <w:rsid w:val="00B216E0"/>
    <w:rsid w:val="00B25D17"/>
    <w:rsid w:val="00B32F24"/>
    <w:rsid w:val="00B36079"/>
    <w:rsid w:val="00B36692"/>
    <w:rsid w:val="00B40E61"/>
    <w:rsid w:val="00B41FC1"/>
    <w:rsid w:val="00B426CD"/>
    <w:rsid w:val="00B43121"/>
    <w:rsid w:val="00B4562F"/>
    <w:rsid w:val="00B45B12"/>
    <w:rsid w:val="00B46DDB"/>
    <w:rsid w:val="00B47436"/>
    <w:rsid w:val="00B47FC7"/>
    <w:rsid w:val="00B52D23"/>
    <w:rsid w:val="00B548D7"/>
    <w:rsid w:val="00B54CBF"/>
    <w:rsid w:val="00B5581F"/>
    <w:rsid w:val="00B57442"/>
    <w:rsid w:val="00B57C3E"/>
    <w:rsid w:val="00B60C34"/>
    <w:rsid w:val="00B60FC1"/>
    <w:rsid w:val="00B70866"/>
    <w:rsid w:val="00B71560"/>
    <w:rsid w:val="00B74E53"/>
    <w:rsid w:val="00B806C9"/>
    <w:rsid w:val="00B8122B"/>
    <w:rsid w:val="00B8247D"/>
    <w:rsid w:val="00B8444D"/>
    <w:rsid w:val="00B872AE"/>
    <w:rsid w:val="00B8733A"/>
    <w:rsid w:val="00B906BA"/>
    <w:rsid w:val="00B90731"/>
    <w:rsid w:val="00B90FA6"/>
    <w:rsid w:val="00B94938"/>
    <w:rsid w:val="00B972A1"/>
    <w:rsid w:val="00BA2ADF"/>
    <w:rsid w:val="00BA3026"/>
    <w:rsid w:val="00BA5DB9"/>
    <w:rsid w:val="00BA712D"/>
    <w:rsid w:val="00BB25E7"/>
    <w:rsid w:val="00BB4960"/>
    <w:rsid w:val="00BB794C"/>
    <w:rsid w:val="00BC051D"/>
    <w:rsid w:val="00BC4CD0"/>
    <w:rsid w:val="00BC6C7F"/>
    <w:rsid w:val="00BC781F"/>
    <w:rsid w:val="00BD0854"/>
    <w:rsid w:val="00BD3231"/>
    <w:rsid w:val="00BD5485"/>
    <w:rsid w:val="00BD6339"/>
    <w:rsid w:val="00BD6912"/>
    <w:rsid w:val="00BD75E0"/>
    <w:rsid w:val="00BE27C5"/>
    <w:rsid w:val="00BE49A0"/>
    <w:rsid w:val="00BE5302"/>
    <w:rsid w:val="00BE6A02"/>
    <w:rsid w:val="00BE7108"/>
    <w:rsid w:val="00BE7AED"/>
    <w:rsid w:val="00BF223A"/>
    <w:rsid w:val="00BF4ADF"/>
    <w:rsid w:val="00BF53AD"/>
    <w:rsid w:val="00BF6ABE"/>
    <w:rsid w:val="00BF6E6F"/>
    <w:rsid w:val="00BF790B"/>
    <w:rsid w:val="00C02407"/>
    <w:rsid w:val="00C02C70"/>
    <w:rsid w:val="00C0346A"/>
    <w:rsid w:val="00C0538C"/>
    <w:rsid w:val="00C0738D"/>
    <w:rsid w:val="00C10445"/>
    <w:rsid w:val="00C13C58"/>
    <w:rsid w:val="00C14DC4"/>
    <w:rsid w:val="00C1614A"/>
    <w:rsid w:val="00C17A44"/>
    <w:rsid w:val="00C210F5"/>
    <w:rsid w:val="00C22CD9"/>
    <w:rsid w:val="00C22D7E"/>
    <w:rsid w:val="00C23F87"/>
    <w:rsid w:val="00C244B6"/>
    <w:rsid w:val="00C3095A"/>
    <w:rsid w:val="00C30FED"/>
    <w:rsid w:val="00C314EB"/>
    <w:rsid w:val="00C316FD"/>
    <w:rsid w:val="00C3188F"/>
    <w:rsid w:val="00C327EC"/>
    <w:rsid w:val="00C3289D"/>
    <w:rsid w:val="00C342BF"/>
    <w:rsid w:val="00C401FF"/>
    <w:rsid w:val="00C4020D"/>
    <w:rsid w:val="00C43325"/>
    <w:rsid w:val="00C459A5"/>
    <w:rsid w:val="00C45BD4"/>
    <w:rsid w:val="00C51BDF"/>
    <w:rsid w:val="00C5499E"/>
    <w:rsid w:val="00C54B0C"/>
    <w:rsid w:val="00C54B68"/>
    <w:rsid w:val="00C5554A"/>
    <w:rsid w:val="00C56326"/>
    <w:rsid w:val="00C56981"/>
    <w:rsid w:val="00C62251"/>
    <w:rsid w:val="00C638B5"/>
    <w:rsid w:val="00C638E5"/>
    <w:rsid w:val="00C64E15"/>
    <w:rsid w:val="00C64FE3"/>
    <w:rsid w:val="00C66C78"/>
    <w:rsid w:val="00C7634C"/>
    <w:rsid w:val="00C824B8"/>
    <w:rsid w:val="00C83B35"/>
    <w:rsid w:val="00C86427"/>
    <w:rsid w:val="00C873D8"/>
    <w:rsid w:val="00C919DB"/>
    <w:rsid w:val="00C928E9"/>
    <w:rsid w:val="00C93077"/>
    <w:rsid w:val="00C94A41"/>
    <w:rsid w:val="00C95F58"/>
    <w:rsid w:val="00C96AC7"/>
    <w:rsid w:val="00C9737C"/>
    <w:rsid w:val="00CA186C"/>
    <w:rsid w:val="00CA1878"/>
    <w:rsid w:val="00CA63B1"/>
    <w:rsid w:val="00CA78BD"/>
    <w:rsid w:val="00CB317D"/>
    <w:rsid w:val="00CB333D"/>
    <w:rsid w:val="00CC32AD"/>
    <w:rsid w:val="00CC34FD"/>
    <w:rsid w:val="00CC397A"/>
    <w:rsid w:val="00CC5957"/>
    <w:rsid w:val="00CC5F3A"/>
    <w:rsid w:val="00CD2D9C"/>
    <w:rsid w:val="00CD2E24"/>
    <w:rsid w:val="00CD3B0B"/>
    <w:rsid w:val="00CD3E72"/>
    <w:rsid w:val="00CD4840"/>
    <w:rsid w:val="00CD6415"/>
    <w:rsid w:val="00CE0DB0"/>
    <w:rsid w:val="00CE353F"/>
    <w:rsid w:val="00CE3666"/>
    <w:rsid w:val="00CE4952"/>
    <w:rsid w:val="00CE4C12"/>
    <w:rsid w:val="00CE52B8"/>
    <w:rsid w:val="00CE73E9"/>
    <w:rsid w:val="00CE7EDA"/>
    <w:rsid w:val="00CF1A17"/>
    <w:rsid w:val="00CF2C31"/>
    <w:rsid w:val="00CF3FB4"/>
    <w:rsid w:val="00CF61DF"/>
    <w:rsid w:val="00D00A8A"/>
    <w:rsid w:val="00D00D05"/>
    <w:rsid w:val="00D025C2"/>
    <w:rsid w:val="00D042C3"/>
    <w:rsid w:val="00D04791"/>
    <w:rsid w:val="00D0600F"/>
    <w:rsid w:val="00D06433"/>
    <w:rsid w:val="00D11389"/>
    <w:rsid w:val="00D11C15"/>
    <w:rsid w:val="00D13AED"/>
    <w:rsid w:val="00D15778"/>
    <w:rsid w:val="00D15D7F"/>
    <w:rsid w:val="00D16E4F"/>
    <w:rsid w:val="00D170FD"/>
    <w:rsid w:val="00D22CC9"/>
    <w:rsid w:val="00D30196"/>
    <w:rsid w:val="00D3121C"/>
    <w:rsid w:val="00D3198E"/>
    <w:rsid w:val="00D343EF"/>
    <w:rsid w:val="00D361C6"/>
    <w:rsid w:val="00D40B08"/>
    <w:rsid w:val="00D40E8C"/>
    <w:rsid w:val="00D449CA"/>
    <w:rsid w:val="00D453FF"/>
    <w:rsid w:val="00D463BF"/>
    <w:rsid w:val="00D47C0D"/>
    <w:rsid w:val="00D5182D"/>
    <w:rsid w:val="00D52266"/>
    <w:rsid w:val="00D52833"/>
    <w:rsid w:val="00D52B6C"/>
    <w:rsid w:val="00D54CC1"/>
    <w:rsid w:val="00D54CF5"/>
    <w:rsid w:val="00D56047"/>
    <w:rsid w:val="00D56818"/>
    <w:rsid w:val="00D568CB"/>
    <w:rsid w:val="00D60966"/>
    <w:rsid w:val="00D61C4E"/>
    <w:rsid w:val="00D63BBE"/>
    <w:rsid w:val="00D716E4"/>
    <w:rsid w:val="00D7209E"/>
    <w:rsid w:val="00D723C5"/>
    <w:rsid w:val="00D7288E"/>
    <w:rsid w:val="00D72A0C"/>
    <w:rsid w:val="00D72BBF"/>
    <w:rsid w:val="00D756A4"/>
    <w:rsid w:val="00D775CB"/>
    <w:rsid w:val="00D80306"/>
    <w:rsid w:val="00D83B7E"/>
    <w:rsid w:val="00D84796"/>
    <w:rsid w:val="00D90D35"/>
    <w:rsid w:val="00D91D3B"/>
    <w:rsid w:val="00D92417"/>
    <w:rsid w:val="00D92686"/>
    <w:rsid w:val="00D941E4"/>
    <w:rsid w:val="00D947B2"/>
    <w:rsid w:val="00D94AA3"/>
    <w:rsid w:val="00D96487"/>
    <w:rsid w:val="00D97711"/>
    <w:rsid w:val="00DA01A5"/>
    <w:rsid w:val="00DA0781"/>
    <w:rsid w:val="00DA0F4D"/>
    <w:rsid w:val="00DA2A20"/>
    <w:rsid w:val="00DA7E7C"/>
    <w:rsid w:val="00DB5B0D"/>
    <w:rsid w:val="00DB5D7E"/>
    <w:rsid w:val="00DC12A8"/>
    <w:rsid w:val="00DC13F0"/>
    <w:rsid w:val="00DC1456"/>
    <w:rsid w:val="00DC2106"/>
    <w:rsid w:val="00DC2965"/>
    <w:rsid w:val="00DC486B"/>
    <w:rsid w:val="00DC6ABB"/>
    <w:rsid w:val="00DD1B1D"/>
    <w:rsid w:val="00DD239F"/>
    <w:rsid w:val="00DD3434"/>
    <w:rsid w:val="00DD5582"/>
    <w:rsid w:val="00DD66A1"/>
    <w:rsid w:val="00DD692C"/>
    <w:rsid w:val="00DE3199"/>
    <w:rsid w:val="00DE31F7"/>
    <w:rsid w:val="00DE3B99"/>
    <w:rsid w:val="00DE6D1A"/>
    <w:rsid w:val="00DE6EEF"/>
    <w:rsid w:val="00DF4767"/>
    <w:rsid w:val="00DF5B0D"/>
    <w:rsid w:val="00DF5BD4"/>
    <w:rsid w:val="00DF6502"/>
    <w:rsid w:val="00DF685B"/>
    <w:rsid w:val="00E01755"/>
    <w:rsid w:val="00E01BE2"/>
    <w:rsid w:val="00E02A43"/>
    <w:rsid w:val="00E06354"/>
    <w:rsid w:val="00E067F2"/>
    <w:rsid w:val="00E070BE"/>
    <w:rsid w:val="00E11217"/>
    <w:rsid w:val="00E123BA"/>
    <w:rsid w:val="00E1415C"/>
    <w:rsid w:val="00E16289"/>
    <w:rsid w:val="00E174F6"/>
    <w:rsid w:val="00E206D9"/>
    <w:rsid w:val="00E24F51"/>
    <w:rsid w:val="00E25D42"/>
    <w:rsid w:val="00E327CA"/>
    <w:rsid w:val="00E32942"/>
    <w:rsid w:val="00E34B9B"/>
    <w:rsid w:val="00E3538B"/>
    <w:rsid w:val="00E36552"/>
    <w:rsid w:val="00E42304"/>
    <w:rsid w:val="00E47590"/>
    <w:rsid w:val="00E52159"/>
    <w:rsid w:val="00E52B29"/>
    <w:rsid w:val="00E5371C"/>
    <w:rsid w:val="00E54537"/>
    <w:rsid w:val="00E56C27"/>
    <w:rsid w:val="00E56F06"/>
    <w:rsid w:val="00E577B8"/>
    <w:rsid w:val="00E60B6E"/>
    <w:rsid w:val="00E60F5E"/>
    <w:rsid w:val="00E61688"/>
    <w:rsid w:val="00E66D7F"/>
    <w:rsid w:val="00E6726F"/>
    <w:rsid w:val="00E72C79"/>
    <w:rsid w:val="00E73F66"/>
    <w:rsid w:val="00E760EA"/>
    <w:rsid w:val="00E76DB0"/>
    <w:rsid w:val="00E77A98"/>
    <w:rsid w:val="00E8007F"/>
    <w:rsid w:val="00E81C0F"/>
    <w:rsid w:val="00E82CD0"/>
    <w:rsid w:val="00E8414F"/>
    <w:rsid w:val="00E851FE"/>
    <w:rsid w:val="00E86524"/>
    <w:rsid w:val="00E90012"/>
    <w:rsid w:val="00E92610"/>
    <w:rsid w:val="00E95962"/>
    <w:rsid w:val="00EA272D"/>
    <w:rsid w:val="00EA56F8"/>
    <w:rsid w:val="00EB0024"/>
    <w:rsid w:val="00EB0153"/>
    <w:rsid w:val="00EB17FA"/>
    <w:rsid w:val="00EB27F4"/>
    <w:rsid w:val="00EB2F7E"/>
    <w:rsid w:val="00EB3D9D"/>
    <w:rsid w:val="00EB41D7"/>
    <w:rsid w:val="00EB4572"/>
    <w:rsid w:val="00EB6741"/>
    <w:rsid w:val="00EC1AAF"/>
    <w:rsid w:val="00EC1C27"/>
    <w:rsid w:val="00EC23D3"/>
    <w:rsid w:val="00EC373C"/>
    <w:rsid w:val="00EC3766"/>
    <w:rsid w:val="00EC4631"/>
    <w:rsid w:val="00EC5201"/>
    <w:rsid w:val="00EC581B"/>
    <w:rsid w:val="00EC58B6"/>
    <w:rsid w:val="00EC70B5"/>
    <w:rsid w:val="00ED1A1C"/>
    <w:rsid w:val="00ED1C70"/>
    <w:rsid w:val="00ED209E"/>
    <w:rsid w:val="00ED38A6"/>
    <w:rsid w:val="00ED697C"/>
    <w:rsid w:val="00ED76A9"/>
    <w:rsid w:val="00ED7A91"/>
    <w:rsid w:val="00EE1DEA"/>
    <w:rsid w:val="00EE30CD"/>
    <w:rsid w:val="00EF4181"/>
    <w:rsid w:val="00EF4B92"/>
    <w:rsid w:val="00EF709D"/>
    <w:rsid w:val="00F041E9"/>
    <w:rsid w:val="00F05C7C"/>
    <w:rsid w:val="00F1391A"/>
    <w:rsid w:val="00F15696"/>
    <w:rsid w:val="00F16149"/>
    <w:rsid w:val="00F170EF"/>
    <w:rsid w:val="00F175DE"/>
    <w:rsid w:val="00F17897"/>
    <w:rsid w:val="00F202EB"/>
    <w:rsid w:val="00F20487"/>
    <w:rsid w:val="00F2093D"/>
    <w:rsid w:val="00F20ED2"/>
    <w:rsid w:val="00F2491E"/>
    <w:rsid w:val="00F255B0"/>
    <w:rsid w:val="00F26C6E"/>
    <w:rsid w:val="00F31521"/>
    <w:rsid w:val="00F32312"/>
    <w:rsid w:val="00F32730"/>
    <w:rsid w:val="00F3418E"/>
    <w:rsid w:val="00F351E3"/>
    <w:rsid w:val="00F364DA"/>
    <w:rsid w:val="00F36C5E"/>
    <w:rsid w:val="00F37942"/>
    <w:rsid w:val="00F37A5C"/>
    <w:rsid w:val="00F4106D"/>
    <w:rsid w:val="00F4167D"/>
    <w:rsid w:val="00F417A6"/>
    <w:rsid w:val="00F42366"/>
    <w:rsid w:val="00F43966"/>
    <w:rsid w:val="00F46605"/>
    <w:rsid w:val="00F46FCA"/>
    <w:rsid w:val="00F501CB"/>
    <w:rsid w:val="00F537A4"/>
    <w:rsid w:val="00F543C6"/>
    <w:rsid w:val="00F54B41"/>
    <w:rsid w:val="00F559AA"/>
    <w:rsid w:val="00F56DD8"/>
    <w:rsid w:val="00F623EA"/>
    <w:rsid w:val="00F639EC"/>
    <w:rsid w:val="00F6696C"/>
    <w:rsid w:val="00F67ECC"/>
    <w:rsid w:val="00F725EC"/>
    <w:rsid w:val="00F77FF5"/>
    <w:rsid w:val="00F81362"/>
    <w:rsid w:val="00F85261"/>
    <w:rsid w:val="00F86DC1"/>
    <w:rsid w:val="00F871FA"/>
    <w:rsid w:val="00F920B3"/>
    <w:rsid w:val="00F94CE9"/>
    <w:rsid w:val="00F9530D"/>
    <w:rsid w:val="00FA0391"/>
    <w:rsid w:val="00FA04CA"/>
    <w:rsid w:val="00FA4014"/>
    <w:rsid w:val="00FA42EE"/>
    <w:rsid w:val="00FA47DE"/>
    <w:rsid w:val="00FA6FD2"/>
    <w:rsid w:val="00FB10F7"/>
    <w:rsid w:val="00FB306E"/>
    <w:rsid w:val="00FB3F7D"/>
    <w:rsid w:val="00FB58CE"/>
    <w:rsid w:val="00FC3018"/>
    <w:rsid w:val="00FC3A2B"/>
    <w:rsid w:val="00FD1561"/>
    <w:rsid w:val="00FD3324"/>
    <w:rsid w:val="00FD3991"/>
    <w:rsid w:val="00FD4BF5"/>
    <w:rsid w:val="00FD4D49"/>
    <w:rsid w:val="00FD536F"/>
    <w:rsid w:val="00FD5BB4"/>
    <w:rsid w:val="00FE3120"/>
    <w:rsid w:val="00FE35CD"/>
    <w:rsid w:val="00FE3D91"/>
    <w:rsid w:val="00FF0748"/>
    <w:rsid w:val="00FF66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locked="1" w:uiPriority="0"/>
    <w:lsdException w:name="footer" w:locked="1"/>
    <w:lsdException w:name="index heading" w:semiHidden="1" w:unhideWhenUsed="1"/>
    <w:lsdException w:name="caption" w:locked="1" w:uiPriority="35"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rFonts w:cs="Times New Roman"/>
      <w:b/>
      <w:bCs/>
      <w:color w:val="215868"/>
      <w:sz w:val="32"/>
      <w:szCs w:val="32"/>
    </w:rPr>
  </w:style>
  <w:style w:type="paragraph" w:styleId="Heading2">
    <w:name w:val="heading 2"/>
    <w:basedOn w:val="Normal"/>
    <w:next w:val="Normal"/>
    <w:link w:val="Heading2Char"/>
    <w:uiPriority w:val="99"/>
    <w:qFormat/>
    <w:rsid w:val="00D5182D"/>
    <w:pPr>
      <w:keepNext/>
      <w:spacing w:before="240" w:after="160"/>
      <w:outlineLvl w:val="1"/>
    </w:pPr>
    <w:rPr>
      <w:rFonts w:cs="Times New Roman"/>
      <w:b/>
      <w:color w:val="215868"/>
      <w:sz w:val="2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rFonts w:cs="Times New Roman"/>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rFonts w:ascii="Times New Roman" w:hAnsi="Times New Roman" w:cs="Times New Roman"/>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rFonts w:ascii="Times New Roman" w:hAnsi="Times New Roman" w:cs="Times New Roman"/>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rFonts w:ascii="Times New Roman" w:hAnsi="Times New Roman" w:cs="Times New Roman"/>
      <w:b/>
    </w:rPr>
  </w:style>
  <w:style w:type="paragraph" w:styleId="Heading7">
    <w:name w:val="heading 7"/>
    <w:basedOn w:val="Normal"/>
    <w:next w:val="Normal"/>
    <w:link w:val="Heading7Char"/>
    <w:uiPriority w:val="99"/>
    <w:qFormat/>
    <w:rsid w:val="00ED7A91"/>
    <w:pPr>
      <w:keepNext/>
      <w:outlineLvl w:val="6"/>
    </w:pPr>
    <w:rPr>
      <w:rFonts w:ascii="Times New Roman" w:hAnsi="Times New Roman" w:cs="Times New Roman"/>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rFonts w:ascii="Times New Roman" w:hAnsi="Times New Roman" w:cs="Times New Roman"/>
    </w:rPr>
  </w:style>
  <w:style w:type="paragraph" w:styleId="Heading9">
    <w:name w:val="heading 9"/>
    <w:basedOn w:val="Normal"/>
    <w:next w:val="Normal"/>
    <w:link w:val="Heading9Char"/>
    <w:uiPriority w:val="99"/>
    <w:qFormat/>
    <w:rsid w:val="00ED7A91"/>
    <w:pPr>
      <w:keepNext/>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imes New Roman" w:eastAsia="SimSun" w:hAnsi="Times New Roman"/>
      <w:u w:val="single"/>
      <w:lang w:eastAsia="zh-CN"/>
    </w:rPr>
  </w:style>
  <w:style w:type="character" w:customStyle="1" w:styleId="Heading5Char">
    <w:name w:val="Heading 5 Char"/>
    <w:link w:val="Heading5"/>
    <w:uiPriority w:val="99"/>
    <w:locked/>
    <w:rsid w:val="00ED7A91"/>
    <w:rPr>
      <w:rFonts w:ascii="Times New Roman" w:eastAsia="SimSun" w:hAnsi="Times New Roman"/>
      <w:b/>
      <w:i/>
      <w:lang w:eastAsia="zh-CN"/>
    </w:rPr>
  </w:style>
  <w:style w:type="character" w:customStyle="1" w:styleId="Heading6Char">
    <w:name w:val="Heading 6 Char"/>
    <w:link w:val="Heading6"/>
    <w:uiPriority w:val="99"/>
    <w:locked/>
    <w:rsid w:val="00ED7A91"/>
    <w:rPr>
      <w:rFonts w:ascii="Times New Roman" w:eastAsia="SimSun" w:hAnsi="Times New Roman"/>
      <w:b/>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imes New Roman" w:eastAsia="SimSun" w:hAnsi="Times New Roman"/>
      <w:lang w:eastAsia="zh-CN"/>
    </w:rPr>
  </w:style>
  <w:style w:type="character" w:customStyle="1" w:styleId="Heading9Char">
    <w:name w:val="Heading 9 Char"/>
    <w:link w:val="Heading9"/>
    <w:uiPriority w:val="99"/>
    <w:locked/>
    <w:rsid w:val="00ED7A91"/>
    <w:rPr>
      <w:rFonts w:ascii="Times New Roman" w:eastAsia="SimSun" w:hAnsi="Times New Roman"/>
      <w:i/>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rFonts w:cs="Times New Roman"/>
      <w:sz w:val="16"/>
      <w:szCs w:val="16"/>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rsid w:val="00ED7A91"/>
    <w:rPr>
      <w:rFonts w:ascii="Times New Roman" w:hAnsi="Times New Roman" w:cs="Times New Roman"/>
    </w:rPr>
  </w:style>
  <w:style w:type="character" w:customStyle="1" w:styleId="CommentTextChar">
    <w:name w:val="Comment Text Char"/>
    <w:link w:val="CommentText"/>
    <w:uiPriority w:val="99"/>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rPr>
      <w:rFonts w:ascii="Times New Roman" w:hAnsi="Times New Roman" w:cs="Times New Roman"/>
    </w:r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cs="Times New Roman"/>
    </w:rPr>
  </w:style>
  <w:style w:type="character" w:customStyle="1" w:styleId="FootnoteTextChar">
    <w:name w:val="Footnote Text Char"/>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rFonts w:ascii="Times New Roman" w:hAnsi="Times New Roman" w:cs="Times New Roman"/>
      <w:u w:val="singl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Times New Roman"/>
      <w:b/>
      <w:bCs/>
      <w:kern w:val="28"/>
      <w:sz w:val="32"/>
      <w:szCs w:val="32"/>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aliases w:val="ExecSumm"/>
    <w:link w:val="NoSpacingChar"/>
    <w:uiPriority w:val="99"/>
    <w:qFormat/>
    <w:rsid w:val="00A32E13"/>
    <w:rPr>
      <w:rFonts w:eastAsia="Times New Roman"/>
      <w:sz w:val="22"/>
      <w:szCs w:val="22"/>
    </w:rPr>
  </w:style>
  <w:style w:type="character" w:customStyle="1" w:styleId="NoSpacingChar">
    <w:name w:val="No Spacing Char"/>
    <w:aliases w:val="ExecSumm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styleId="Subtitle">
    <w:name w:val="Subtitle"/>
    <w:basedOn w:val="Normal"/>
    <w:next w:val="Normal"/>
    <w:link w:val="SubtitleChar"/>
    <w:qFormat/>
    <w:locked/>
    <w:rsid w:val="006542AC"/>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rsid w:val="006542AC"/>
    <w:rPr>
      <w:rFonts w:ascii="Cambria" w:eastAsia="Times New Roman" w:hAnsi="Cambria" w:cs="Times New Roman"/>
      <w:sz w:val="24"/>
      <w:szCs w:val="24"/>
      <w:lang w:eastAsia="zh-CN"/>
    </w:rPr>
  </w:style>
  <w:style w:type="character" w:customStyle="1" w:styleId="highlight">
    <w:name w:val="highlight"/>
    <w:rsid w:val="00744D56"/>
  </w:style>
  <w:style w:type="character" w:customStyle="1" w:styleId="apple-converted-space">
    <w:name w:val="apple-converted-space"/>
    <w:rsid w:val="00744D56"/>
  </w:style>
  <w:style w:type="paragraph" w:styleId="NormalWeb">
    <w:name w:val="Normal (Web)"/>
    <w:basedOn w:val="Normal"/>
    <w:uiPriority w:val="99"/>
    <w:unhideWhenUsed/>
    <w:rsid w:val="00744D56"/>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Default">
    <w:name w:val="Default"/>
    <w:rsid w:val="00DA0F4D"/>
    <w:pPr>
      <w:autoSpaceDE w:val="0"/>
      <w:autoSpaceDN w:val="0"/>
      <w:adjustRightInd w:val="0"/>
    </w:pPr>
    <w:rPr>
      <w:rFonts w:ascii="HelveticaNeueLT Std Lt Cn" w:hAnsi="HelveticaNeueLT Std Lt Cn" w:cs="HelveticaNeueLT Std Lt Cn"/>
      <w:color w:val="000000"/>
      <w:sz w:val="24"/>
      <w:szCs w:val="24"/>
      <w:lang w:val="en-AU" w:eastAsia="en-AU"/>
    </w:rPr>
  </w:style>
  <w:style w:type="character" w:customStyle="1" w:styleId="A12">
    <w:name w:val="A12"/>
    <w:uiPriority w:val="99"/>
    <w:rsid w:val="00DA0F4D"/>
    <w:rPr>
      <w:rFonts w:cs="HelveticaNeueLT Std Lt Cn"/>
      <w:color w:val="000000"/>
      <w:sz w:val="11"/>
      <w:szCs w:val="11"/>
    </w:rPr>
  </w:style>
  <w:style w:type="paragraph" w:customStyle="1" w:styleId="TableFootnotes">
    <w:name w:val="Table Footnotes"/>
    <w:basedOn w:val="Normal"/>
    <w:qFormat/>
    <w:rsid w:val="00743D20"/>
    <w:pPr>
      <w:keepNext/>
      <w:spacing w:after="360" w:line="240" w:lineRule="auto"/>
      <w:contextualSpacing/>
      <w:jc w:val="left"/>
    </w:pPr>
    <w:rPr>
      <w:rFonts w:ascii="Arial" w:eastAsia="Times New Roman" w:hAnsi="Arial" w:cs="Arial"/>
      <w:sz w:val="18"/>
      <w:szCs w:val="22"/>
      <w:lang w:eastAsia="en-AU"/>
    </w:rPr>
  </w:style>
  <w:style w:type="paragraph" w:styleId="BodyText">
    <w:name w:val="Body Text"/>
    <w:basedOn w:val="Normal"/>
    <w:link w:val="BodyTextChar"/>
    <w:qFormat/>
    <w:rsid w:val="003438C8"/>
    <w:pPr>
      <w:spacing w:before="120" w:after="120" w:line="360" w:lineRule="auto"/>
      <w:jc w:val="left"/>
    </w:pPr>
    <w:rPr>
      <w:rFonts w:ascii="Arial" w:eastAsia="Times New Roman" w:hAnsi="Arial" w:cs="Times New Roman"/>
      <w:sz w:val="22"/>
      <w:szCs w:val="24"/>
    </w:rPr>
  </w:style>
  <w:style w:type="character" w:customStyle="1" w:styleId="BodyTextChar">
    <w:name w:val="Body Text Char"/>
    <w:link w:val="BodyText"/>
    <w:rsid w:val="003438C8"/>
    <w:rPr>
      <w:rFonts w:ascii="Arial" w:eastAsia="Times New Roman" w:hAnsi="Arial"/>
      <w:sz w:val="22"/>
      <w:szCs w:val="24"/>
    </w:rPr>
  </w:style>
  <w:style w:type="character" w:customStyle="1" w:styleId="ref-journal">
    <w:name w:val="ref-journal"/>
    <w:rsid w:val="00E54537"/>
  </w:style>
  <w:style w:type="character" w:customStyle="1" w:styleId="ref-vol">
    <w:name w:val="ref-vol"/>
    <w:rsid w:val="00E54537"/>
  </w:style>
  <w:style w:type="paragraph" w:customStyle="1" w:styleId="TableText0">
    <w:name w:val="Table Text"/>
    <w:basedOn w:val="Normal"/>
    <w:link w:val="TableTextChar"/>
    <w:qFormat/>
    <w:rsid w:val="00EC581B"/>
    <w:pPr>
      <w:keepNext/>
      <w:spacing w:before="40" w:after="40" w:line="240" w:lineRule="auto"/>
      <w:jc w:val="left"/>
    </w:pPr>
    <w:rPr>
      <w:rFonts w:ascii="Arial" w:hAnsi="Arial" w:cs="Times New Roman"/>
      <w:lang w:eastAsia="en-US"/>
    </w:rPr>
  </w:style>
  <w:style w:type="paragraph" w:styleId="HTMLPreformatted">
    <w:name w:val="HTML Preformatted"/>
    <w:basedOn w:val="Normal"/>
    <w:link w:val="HTMLPreformattedChar"/>
    <w:uiPriority w:val="99"/>
    <w:unhideWhenUsed/>
    <w:rsid w:val="0052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Times New Roman"/>
    </w:rPr>
  </w:style>
  <w:style w:type="character" w:customStyle="1" w:styleId="HTMLPreformattedChar">
    <w:name w:val="HTML Preformatted Char"/>
    <w:link w:val="HTMLPreformatted"/>
    <w:uiPriority w:val="99"/>
    <w:rsid w:val="00521430"/>
    <w:rPr>
      <w:rFonts w:ascii="Courier New" w:eastAsia="Times New Roman" w:hAnsi="Courier New" w:cs="Courier New"/>
    </w:rPr>
  </w:style>
  <w:style w:type="paragraph" w:styleId="DocumentMap">
    <w:name w:val="Document Map"/>
    <w:basedOn w:val="Normal"/>
    <w:link w:val="DocumentMapChar"/>
    <w:uiPriority w:val="99"/>
    <w:semiHidden/>
    <w:unhideWhenUsed/>
    <w:rsid w:val="00535268"/>
    <w:rPr>
      <w:rFonts w:cs="Times New Roman"/>
      <w:sz w:val="16"/>
      <w:szCs w:val="16"/>
    </w:rPr>
  </w:style>
  <w:style w:type="character" w:customStyle="1" w:styleId="DocumentMapChar">
    <w:name w:val="Document Map Char"/>
    <w:link w:val="DocumentMap"/>
    <w:uiPriority w:val="99"/>
    <w:semiHidden/>
    <w:rsid w:val="00535268"/>
    <w:rPr>
      <w:rFonts w:ascii="Tahoma" w:eastAsia="SimSun" w:hAnsi="Tahoma" w:cs="Tahoma"/>
      <w:sz w:val="16"/>
      <w:szCs w:val="16"/>
      <w:lang w:eastAsia="zh-CN"/>
    </w:rPr>
  </w:style>
  <w:style w:type="paragraph" w:customStyle="1" w:styleId="Text">
    <w:name w:val="Text"/>
    <w:basedOn w:val="Normal"/>
    <w:link w:val="TextChar"/>
    <w:qFormat/>
    <w:rsid w:val="000545A4"/>
    <w:pPr>
      <w:spacing w:after="200"/>
      <w:jc w:val="left"/>
    </w:pPr>
    <w:rPr>
      <w:rFonts w:eastAsia="Calibri" w:cs="Times New Roman"/>
      <w:sz w:val="22"/>
      <w:szCs w:val="22"/>
      <w:lang w:val="en-GB" w:eastAsia="en-US"/>
    </w:rPr>
  </w:style>
  <w:style w:type="character" w:customStyle="1" w:styleId="TextChar">
    <w:name w:val="Text Char"/>
    <w:link w:val="Text"/>
    <w:rsid w:val="000545A4"/>
    <w:rPr>
      <w:rFonts w:ascii="Tahoma" w:hAnsi="Tahoma"/>
      <w:sz w:val="22"/>
      <w:szCs w:val="22"/>
      <w:lang w:val="en-GB" w:eastAsia="en-US"/>
    </w:rPr>
  </w:style>
  <w:style w:type="character" w:customStyle="1" w:styleId="TableTextChar">
    <w:name w:val="Table Text Char"/>
    <w:link w:val="TableText0"/>
    <w:rsid w:val="006C195C"/>
    <w:rPr>
      <w:rFonts w:ascii="Arial" w:eastAsia="SimSun" w:hAnsi="Arial" w:cs="Arial Narrow"/>
      <w:lang w:eastAsia="en-US"/>
    </w:rPr>
  </w:style>
  <w:style w:type="character" w:styleId="Strong">
    <w:name w:val="Strong"/>
    <w:uiPriority w:val="22"/>
    <w:qFormat/>
    <w:locked/>
    <w:rsid w:val="000D58C1"/>
    <w:rPr>
      <w:b/>
      <w:bCs/>
    </w:rPr>
  </w:style>
  <w:style w:type="character" w:styleId="Emphasis">
    <w:name w:val="Emphasis"/>
    <w:uiPriority w:val="20"/>
    <w:qFormat/>
    <w:locked/>
    <w:rsid w:val="000D58C1"/>
    <w:rPr>
      <w:i/>
      <w:iCs/>
    </w:rPr>
  </w:style>
  <w:style w:type="paragraph" w:styleId="Revision">
    <w:name w:val="Revision"/>
    <w:hidden/>
    <w:uiPriority w:val="99"/>
    <w:semiHidden/>
    <w:rsid w:val="009C2115"/>
    <w:rPr>
      <w:rFonts w:ascii="Tahoma" w:eastAsia="SimSun" w:hAnsi="Tahoma" w:cs="Tahoma"/>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locked="1" w:uiPriority="0"/>
    <w:lsdException w:name="footer" w:locked="1"/>
    <w:lsdException w:name="index heading" w:semiHidden="1" w:unhideWhenUsed="1"/>
    <w:lsdException w:name="caption" w:locked="1" w:uiPriority="35"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rFonts w:cs="Times New Roman"/>
      <w:b/>
      <w:bCs/>
      <w:color w:val="215868"/>
      <w:sz w:val="32"/>
      <w:szCs w:val="32"/>
    </w:rPr>
  </w:style>
  <w:style w:type="paragraph" w:styleId="Heading2">
    <w:name w:val="heading 2"/>
    <w:basedOn w:val="Normal"/>
    <w:next w:val="Normal"/>
    <w:link w:val="Heading2Char"/>
    <w:uiPriority w:val="99"/>
    <w:qFormat/>
    <w:rsid w:val="00D5182D"/>
    <w:pPr>
      <w:keepNext/>
      <w:spacing w:before="240" w:after="160"/>
      <w:outlineLvl w:val="1"/>
    </w:pPr>
    <w:rPr>
      <w:rFonts w:cs="Times New Roman"/>
      <w:b/>
      <w:color w:val="215868"/>
      <w:sz w:val="2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rFonts w:cs="Times New Roman"/>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rFonts w:ascii="Times New Roman" w:hAnsi="Times New Roman" w:cs="Times New Roman"/>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rFonts w:ascii="Times New Roman" w:hAnsi="Times New Roman" w:cs="Times New Roman"/>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rFonts w:ascii="Times New Roman" w:hAnsi="Times New Roman" w:cs="Times New Roman"/>
      <w:b/>
    </w:rPr>
  </w:style>
  <w:style w:type="paragraph" w:styleId="Heading7">
    <w:name w:val="heading 7"/>
    <w:basedOn w:val="Normal"/>
    <w:next w:val="Normal"/>
    <w:link w:val="Heading7Char"/>
    <w:uiPriority w:val="99"/>
    <w:qFormat/>
    <w:rsid w:val="00ED7A91"/>
    <w:pPr>
      <w:keepNext/>
      <w:outlineLvl w:val="6"/>
    </w:pPr>
    <w:rPr>
      <w:rFonts w:ascii="Times New Roman" w:hAnsi="Times New Roman" w:cs="Times New Roman"/>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rFonts w:ascii="Times New Roman" w:hAnsi="Times New Roman" w:cs="Times New Roman"/>
    </w:rPr>
  </w:style>
  <w:style w:type="paragraph" w:styleId="Heading9">
    <w:name w:val="heading 9"/>
    <w:basedOn w:val="Normal"/>
    <w:next w:val="Normal"/>
    <w:link w:val="Heading9Char"/>
    <w:uiPriority w:val="99"/>
    <w:qFormat/>
    <w:rsid w:val="00ED7A91"/>
    <w:pPr>
      <w:keepNext/>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imes New Roman" w:eastAsia="SimSun" w:hAnsi="Times New Roman"/>
      <w:u w:val="single"/>
      <w:lang w:eastAsia="zh-CN"/>
    </w:rPr>
  </w:style>
  <w:style w:type="character" w:customStyle="1" w:styleId="Heading5Char">
    <w:name w:val="Heading 5 Char"/>
    <w:link w:val="Heading5"/>
    <w:uiPriority w:val="99"/>
    <w:locked/>
    <w:rsid w:val="00ED7A91"/>
    <w:rPr>
      <w:rFonts w:ascii="Times New Roman" w:eastAsia="SimSun" w:hAnsi="Times New Roman"/>
      <w:b/>
      <w:i/>
      <w:lang w:eastAsia="zh-CN"/>
    </w:rPr>
  </w:style>
  <w:style w:type="character" w:customStyle="1" w:styleId="Heading6Char">
    <w:name w:val="Heading 6 Char"/>
    <w:link w:val="Heading6"/>
    <w:uiPriority w:val="99"/>
    <w:locked/>
    <w:rsid w:val="00ED7A91"/>
    <w:rPr>
      <w:rFonts w:ascii="Times New Roman" w:eastAsia="SimSun" w:hAnsi="Times New Roman"/>
      <w:b/>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imes New Roman" w:eastAsia="SimSun" w:hAnsi="Times New Roman"/>
      <w:lang w:eastAsia="zh-CN"/>
    </w:rPr>
  </w:style>
  <w:style w:type="character" w:customStyle="1" w:styleId="Heading9Char">
    <w:name w:val="Heading 9 Char"/>
    <w:link w:val="Heading9"/>
    <w:uiPriority w:val="99"/>
    <w:locked/>
    <w:rsid w:val="00ED7A91"/>
    <w:rPr>
      <w:rFonts w:ascii="Times New Roman" w:eastAsia="SimSun" w:hAnsi="Times New Roman"/>
      <w:i/>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rFonts w:cs="Times New Roman"/>
      <w:sz w:val="16"/>
      <w:szCs w:val="16"/>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rsid w:val="00ED7A91"/>
    <w:rPr>
      <w:rFonts w:ascii="Times New Roman" w:hAnsi="Times New Roman" w:cs="Times New Roman"/>
    </w:rPr>
  </w:style>
  <w:style w:type="character" w:customStyle="1" w:styleId="CommentTextChar">
    <w:name w:val="Comment Text Char"/>
    <w:link w:val="CommentText"/>
    <w:uiPriority w:val="99"/>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rPr>
      <w:rFonts w:ascii="Times New Roman" w:hAnsi="Times New Roman" w:cs="Times New Roman"/>
    </w:r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cs="Times New Roman"/>
    </w:rPr>
  </w:style>
  <w:style w:type="character" w:customStyle="1" w:styleId="FootnoteTextChar">
    <w:name w:val="Footnote Text Char"/>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rFonts w:ascii="Times New Roman" w:hAnsi="Times New Roman" w:cs="Times New Roman"/>
      <w:u w:val="singl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Times New Roman"/>
      <w:b/>
      <w:bCs/>
      <w:kern w:val="28"/>
      <w:sz w:val="32"/>
      <w:szCs w:val="32"/>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aliases w:val="ExecSumm"/>
    <w:link w:val="NoSpacingChar"/>
    <w:uiPriority w:val="99"/>
    <w:qFormat/>
    <w:rsid w:val="00A32E13"/>
    <w:rPr>
      <w:rFonts w:eastAsia="Times New Roman"/>
      <w:sz w:val="22"/>
      <w:szCs w:val="22"/>
    </w:rPr>
  </w:style>
  <w:style w:type="character" w:customStyle="1" w:styleId="NoSpacingChar">
    <w:name w:val="No Spacing Char"/>
    <w:aliases w:val="ExecSumm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styleId="Subtitle">
    <w:name w:val="Subtitle"/>
    <w:basedOn w:val="Normal"/>
    <w:next w:val="Normal"/>
    <w:link w:val="SubtitleChar"/>
    <w:qFormat/>
    <w:locked/>
    <w:rsid w:val="006542AC"/>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rsid w:val="006542AC"/>
    <w:rPr>
      <w:rFonts w:ascii="Cambria" w:eastAsia="Times New Roman" w:hAnsi="Cambria" w:cs="Times New Roman"/>
      <w:sz w:val="24"/>
      <w:szCs w:val="24"/>
      <w:lang w:eastAsia="zh-CN"/>
    </w:rPr>
  </w:style>
  <w:style w:type="character" w:customStyle="1" w:styleId="highlight">
    <w:name w:val="highlight"/>
    <w:rsid w:val="00744D56"/>
  </w:style>
  <w:style w:type="character" w:customStyle="1" w:styleId="apple-converted-space">
    <w:name w:val="apple-converted-space"/>
    <w:rsid w:val="00744D56"/>
  </w:style>
  <w:style w:type="paragraph" w:styleId="NormalWeb">
    <w:name w:val="Normal (Web)"/>
    <w:basedOn w:val="Normal"/>
    <w:uiPriority w:val="99"/>
    <w:unhideWhenUsed/>
    <w:rsid w:val="00744D56"/>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Default">
    <w:name w:val="Default"/>
    <w:rsid w:val="00DA0F4D"/>
    <w:pPr>
      <w:autoSpaceDE w:val="0"/>
      <w:autoSpaceDN w:val="0"/>
      <w:adjustRightInd w:val="0"/>
    </w:pPr>
    <w:rPr>
      <w:rFonts w:ascii="HelveticaNeueLT Std Lt Cn" w:hAnsi="HelveticaNeueLT Std Lt Cn" w:cs="HelveticaNeueLT Std Lt Cn"/>
      <w:color w:val="000000"/>
      <w:sz w:val="24"/>
      <w:szCs w:val="24"/>
      <w:lang w:val="en-AU" w:eastAsia="en-AU"/>
    </w:rPr>
  </w:style>
  <w:style w:type="character" w:customStyle="1" w:styleId="A12">
    <w:name w:val="A12"/>
    <w:uiPriority w:val="99"/>
    <w:rsid w:val="00DA0F4D"/>
    <w:rPr>
      <w:rFonts w:cs="HelveticaNeueLT Std Lt Cn"/>
      <w:color w:val="000000"/>
      <w:sz w:val="11"/>
      <w:szCs w:val="11"/>
    </w:rPr>
  </w:style>
  <w:style w:type="paragraph" w:customStyle="1" w:styleId="TableFootnotes">
    <w:name w:val="Table Footnotes"/>
    <w:basedOn w:val="Normal"/>
    <w:qFormat/>
    <w:rsid w:val="00743D20"/>
    <w:pPr>
      <w:keepNext/>
      <w:spacing w:after="360" w:line="240" w:lineRule="auto"/>
      <w:contextualSpacing/>
      <w:jc w:val="left"/>
    </w:pPr>
    <w:rPr>
      <w:rFonts w:ascii="Arial" w:eastAsia="Times New Roman" w:hAnsi="Arial" w:cs="Arial"/>
      <w:sz w:val="18"/>
      <w:szCs w:val="22"/>
      <w:lang w:eastAsia="en-AU"/>
    </w:rPr>
  </w:style>
  <w:style w:type="paragraph" w:styleId="BodyText">
    <w:name w:val="Body Text"/>
    <w:basedOn w:val="Normal"/>
    <w:link w:val="BodyTextChar"/>
    <w:qFormat/>
    <w:rsid w:val="003438C8"/>
    <w:pPr>
      <w:spacing w:before="120" w:after="120" w:line="360" w:lineRule="auto"/>
      <w:jc w:val="left"/>
    </w:pPr>
    <w:rPr>
      <w:rFonts w:ascii="Arial" w:eastAsia="Times New Roman" w:hAnsi="Arial" w:cs="Times New Roman"/>
      <w:sz w:val="22"/>
      <w:szCs w:val="24"/>
    </w:rPr>
  </w:style>
  <w:style w:type="character" w:customStyle="1" w:styleId="BodyTextChar">
    <w:name w:val="Body Text Char"/>
    <w:link w:val="BodyText"/>
    <w:rsid w:val="003438C8"/>
    <w:rPr>
      <w:rFonts w:ascii="Arial" w:eastAsia="Times New Roman" w:hAnsi="Arial"/>
      <w:sz w:val="22"/>
      <w:szCs w:val="24"/>
    </w:rPr>
  </w:style>
  <w:style w:type="character" w:customStyle="1" w:styleId="ref-journal">
    <w:name w:val="ref-journal"/>
    <w:rsid w:val="00E54537"/>
  </w:style>
  <w:style w:type="character" w:customStyle="1" w:styleId="ref-vol">
    <w:name w:val="ref-vol"/>
    <w:rsid w:val="00E54537"/>
  </w:style>
  <w:style w:type="paragraph" w:customStyle="1" w:styleId="TableText0">
    <w:name w:val="Table Text"/>
    <w:basedOn w:val="Normal"/>
    <w:link w:val="TableTextChar"/>
    <w:qFormat/>
    <w:rsid w:val="00EC581B"/>
    <w:pPr>
      <w:keepNext/>
      <w:spacing w:before="40" w:after="40" w:line="240" w:lineRule="auto"/>
      <w:jc w:val="left"/>
    </w:pPr>
    <w:rPr>
      <w:rFonts w:ascii="Arial" w:hAnsi="Arial" w:cs="Times New Roman"/>
      <w:lang w:eastAsia="en-US"/>
    </w:rPr>
  </w:style>
  <w:style w:type="paragraph" w:styleId="HTMLPreformatted">
    <w:name w:val="HTML Preformatted"/>
    <w:basedOn w:val="Normal"/>
    <w:link w:val="HTMLPreformattedChar"/>
    <w:uiPriority w:val="99"/>
    <w:unhideWhenUsed/>
    <w:rsid w:val="0052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Times New Roman"/>
    </w:rPr>
  </w:style>
  <w:style w:type="character" w:customStyle="1" w:styleId="HTMLPreformattedChar">
    <w:name w:val="HTML Preformatted Char"/>
    <w:link w:val="HTMLPreformatted"/>
    <w:uiPriority w:val="99"/>
    <w:rsid w:val="00521430"/>
    <w:rPr>
      <w:rFonts w:ascii="Courier New" w:eastAsia="Times New Roman" w:hAnsi="Courier New" w:cs="Courier New"/>
    </w:rPr>
  </w:style>
  <w:style w:type="paragraph" w:styleId="DocumentMap">
    <w:name w:val="Document Map"/>
    <w:basedOn w:val="Normal"/>
    <w:link w:val="DocumentMapChar"/>
    <w:uiPriority w:val="99"/>
    <w:semiHidden/>
    <w:unhideWhenUsed/>
    <w:rsid w:val="00535268"/>
    <w:rPr>
      <w:rFonts w:cs="Times New Roman"/>
      <w:sz w:val="16"/>
      <w:szCs w:val="16"/>
    </w:rPr>
  </w:style>
  <w:style w:type="character" w:customStyle="1" w:styleId="DocumentMapChar">
    <w:name w:val="Document Map Char"/>
    <w:link w:val="DocumentMap"/>
    <w:uiPriority w:val="99"/>
    <w:semiHidden/>
    <w:rsid w:val="00535268"/>
    <w:rPr>
      <w:rFonts w:ascii="Tahoma" w:eastAsia="SimSun" w:hAnsi="Tahoma" w:cs="Tahoma"/>
      <w:sz w:val="16"/>
      <w:szCs w:val="16"/>
      <w:lang w:eastAsia="zh-CN"/>
    </w:rPr>
  </w:style>
  <w:style w:type="paragraph" w:customStyle="1" w:styleId="Text">
    <w:name w:val="Text"/>
    <w:basedOn w:val="Normal"/>
    <w:link w:val="TextChar"/>
    <w:qFormat/>
    <w:rsid w:val="000545A4"/>
    <w:pPr>
      <w:spacing w:after="200"/>
      <w:jc w:val="left"/>
    </w:pPr>
    <w:rPr>
      <w:rFonts w:eastAsia="Calibri" w:cs="Times New Roman"/>
      <w:sz w:val="22"/>
      <w:szCs w:val="22"/>
      <w:lang w:val="en-GB" w:eastAsia="en-US"/>
    </w:rPr>
  </w:style>
  <w:style w:type="character" w:customStyle="1" w:styleId="TextChar">
    <w:name w:val="Text Char"/>
    <w:link w:val="Text"/>
    <w:rsid w:val="000545A4"/>
    <w:rPr>
      <w:rFonts w:ascii="Tahoma" w:hAnsi="Tahoma"/>
      <w:sz w:val="22"/>
      <w:szCs w:val="22"/>
      <w:lang w:val="en-GB" w:eastAsia="en-US"/>
    </w:rPr>
  </w:style>
  <w:style w:type="character" w:customStyle="1" w:styleId="TableTextChar">
    <w:name w:val="Table Text Char"/>
    <w:link w:val="TableText0"/>
    <w:rsid w:val="006C195C"/>
    <w:rPr>
      <w:rFonts w:ascii="Arial" w:eastAsia="SimSun" w:hAnsi="Arial" w:cs="Arial Narrow"/>
      <w:lang w:eastAsia="en-US"/>
    </w:rPr>
  </w:style>
  <w:style w:type="character" w:styleId="Strong">
    <w:name w:val="Strong"/>
    <w:uiPriority w:val="22"/>
    <w:qFormat/>
    <w:locked/>
    <w:rsid w:val="000D58C1"/>
    <w:rPr>
      <w:b/>
      <w:bCs/>
    </w:rPr>
  </w:style>
  <w:style w:type="character" w:styleId="Emphasis">
    <w:name w:val="Emphasis"/>
    <w:uiPriority w:val="20"/>
    <w:qFormat/>
    <w:locked/>
    <w:rsid w:val="000D58C1"/>
    <w:rPr>
      <w:i/>
      <w:iCs/>
    </w:rPr>
  </w:style>
  <w:style w:type="paragraph" w:styleId="Revision">
    <w:name w:val="Revision"/>
    <w:hidden/>
    <w:uiPriority w:val="99"/>
    <w:semiHidden/>
    <w:rsid w:val="009C2115"/>
    <w:rPr>
      <w:rFonts w:ascii="Tahoma" w:eastAsia="SimSun" w:hAnsi="Tahoma" w:cs="Tahoma"/>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0229">
      <w:bodyDiv w:val="1"/>
      <w:marLeft w:val="0"/>
      <w:marRight w:val="0"/>
      <w:marTop w:val="0"/>
      <w:marBottom w:val="0"/>
      <w:divBdr>
        <w:top w:val="none" w:sz="0" w:space="0" w:color="auto"/>
        <w:left w:val="none" w:sz="0" w:space="0" w:color="auto"/>
        <w:bottom w:val="none" w:sz="0" w:space="0" w:color="auto"/>
        <w:right w:val="none" w:sz="0" w:space="0" w:color="auto"/>
      </w:divBdr>
    </w:div>
    <w:div w:id="98764207">
      <w:marLeft w:val="0"/>
      <w:marRight w:val="0"/>
      <w:marTop w:val="0"/>
      <w:marBottom w:val="0"/>
      <w:divBdr>
        <w:top w:val="none" w:sz="0" w:space="0" w:color="auto"/>
        <w:left w:val="none" w:sz="0" w:space="0" w:color="auto"/>
        <w:bottom w:val="none" w:sz="0" w:space="0" w:color="auto"/>
        <w:right w:val="none" w:sz="0" w:space="0" w:color="auto"/>
      </w:divBdr>
      <w:divsChild>
        <w:div w:id="98764227">
          <w:marLeft w:val="240"/>
          <w:marRight w:val="240"/>
          <w:marTop w:val="360"/>
          <w:marBottom w:val="0"/>
          <w:divBdr>
            <w:top w:val="none" w:sz="0" w:space="0" w:color="auto"/>
            <w:left w:val="none" w:sz="0" w:space="0" w:color="auto"/>
            <w:bottom w:val="none" w:sz="0" w:space="0" w:color="auto"/>
            <w:right w:val="none" w:sz="0" w:space="0" w:color="auto"/>
          </w:divBdr>
          <w:divsChild>
            <w:div w:id="98764214">
              <w:marLeft w:val="480"/>
              <w:marRight w:val="480"/>
              <w:marTop w:val="240"/>
              <w:marBottom w:val="0"/>
              <w:divBdr>
                <w:top w:val="none" w:sz="0" w:space="0" w:color="auto"/>
                <w:left w:val="none" w:sz="0" w:space="0" w:color="auto"/>
                <w:bottom w:val="none" w:sz="0" w:space="0" w:color="auto"/>
                <w:right w:val="none" w:sz="0" w:space="0" w:color="auto"/>
              </w:divBdr>
              <w:divsChild>
                <w:div w:id="98764216">
                  <w:marLeft w:val="720"/>
                  <w:marRight w:val="720"/>
                  <w:marTop w:val="0"/>
                  <w:marBottom w:val="0"/>
                  <w:divBdr>
                    <w:top w:val="none" w:sz="0" w:space="0" w:color="auto"/>
                    <w:left w:val="none" w:sz="0" w:space="0" w:color="auto"/>
                    <w:bottom w:val="none" w:sz="0" w:space="0" w:color="auto"/>
                    <w:right w:val="none" w:sz="0" w:space="0" w:color="auto"/>
                  </w:divBdr>
                  <w:divsChild>
                    <w:div w:id="987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09">
      <w:marLeft w:val="0"/>
      <w:marRight w:val="0"/>
      <w:marTop w:val="0"/>
      <w:marBottom w:val="0"/>
      <w:divBdr>
        <w:top w:val="none" w:sz="0" w:space="0" w:color="auto"/>
        <w:left w:val="none" w:sz="0" w:space="0" w:color="auto"/>
        <w:bottom w:val="none" w:sz="0" w:space="0" w:color="auto"/>
        <w:right w:val="none" w:sz="0" w:space="0" w:color="auto"/>
      </w:divBdr>
      <w:divsChild>
        <w:div w:id="98764222">
          <w:marLeft w:val="0"/>
          <w:marRight w:val="0"/>
          <w:marTop w:val="0"/>
          <w:marBottom w:val="0"/>
          <w:divBdr>
            <w:top w:val="none" w:sz="0" w:space="0" w:color="auto"/>
            <w:left w:val="none" w:sz="0" w:space="0" w:color="auto"/>
            <w:bottom w:val="none" w:sz="0" w:space="0" w:color="auto"/>
            <w:right w:val="none" w:sz="0" w:space="0" w:color="auto"/>
          </w:divBdr>
          <w:divsChild>
            <w:div w:id="987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13">
      <w:marLeft w:val="0"/>
      <w:marRight w:val="0"/>
      <w:marTop w:val="0"/>
      <w:marBottom w:val="0"/>
      <w:divBdr>
        <w:top w:val="none" w:sz="0" w:space="0" w:color="auto"/>
        <w:left w:val="none" w:sz="0" w:space="0" w:color="auto"/>
        <w:bottom w:val="none" w:sz="0" w:space="0" w:color="auto"/>
        <w:right w:val="none" w:sz="0" w:space="0" w:color="auto"/>
      </w:divBdr>
      <w:divsChild>
        <w:div w:id="98764211">
          <w:marLeft w:val="240"/>
          <w:marRight w:val="240"/>
          <w:marTop w:val="360"/>
          <w:marBottom w:val="0"/>
          <w:divBdr>
            <w:top w:val="none" w:sz="0" w:space="0" w:color="auto"/>
            <w:left w:val="none" w:sz="0" w:space="0" w:color="auto"/>
            <w:bottom w:val="none" w:sz="0" w:space="0" w:color="auto"/>
            <w:right w:val="none" w:sz="0" w:space="0" w:color="auto"/>
          </w:divBdr>
          <w:divsChild>
            <w:div w:id="98764208">
              <w:marLeft w:val="480"/>
              <w:marRight w:val="480"/>
              <w:marTop w:val="240"/>
              <w:marBottom w:val="0"/>
              <w:divBdr>
                <w:top w:val="none" w:sz="0" w:space="0" w:color="auto"/>
                <w:left w:val="none" w:sz="0" w:space="0" w:color="auto"/>
                <w:bottom w:val="none" w:sz="0" w:space="0" w:color="auto"/>
                <w:right w:val="none" w:sz="0" w:space="0" w:color="auto"/>
              </w:divBdr>
              <w:divsChild>
                <w:div w:id="98764221">
                  <w:marLeft w:val="720"/>
                  <w:marRight w:val="720"/>
                  <w:marTop w:val="0"/>
                  <w:marBottom w:val="0"/>
                  <w:divBdr>
                    <w:top w:val="none" w:sz="0" w:space="0" w:color="auto"/>
                    <w:left w:val="none" w:sz="0" w:space="0" w:color="auto"/>
                    <w:bottom w:val="none" w:sz="0" w:space="0" w:color="auto"/>
                    <w:right w:val="none" w:sz="0" w:space="0" w:color="auto"/>
                  </w:divBdr>
                  <w:divsChild>
                    <w:div w:id="987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18">
      <w:marLeft w:val="0"/>
      <w:marRight w:val="0"/>
      <w:marTop w:val="0"/>
      <w:marBottom w:val="0"/>
      <w:divBdr>
        <w:top w:val="none" w:sz="0" w:space="0" w:color="auto"/>
        <w:left w:val="none" w:sz="0" w:space="0" w:color="auto"/>
        <w:bottom w:val="none" w:sz="0" w:space="0" w:color="auto"/>
        <w:right w:val="none" w:sz="0" w:space="0" w:color="auto"/>
      </w:divBdr>
      <w:divsChild>
        <w:div w:id="98764206">
          <w:marLeft w:val="0"/>
          <w:marRight w:val="0"/>
          <w:marTop w:val="0"/>
          <w:marBottom w:val="0"/>
          <w:divBdr>
            <w:top w:val="none" w:sz="0" w:space="0" w:color="auto"/>
            <w:left w:val="none" w:sz="0" w:space="0" w:color="auto"/>
            <w:bottom w:val="none" w:sz="0" w:space="0" w:color="auto"/>
            <w:right w:val="none" w:sz="0" w:space="0" w:color="auto"/>
          </w:divBdr>
          <w:divsChild>
            <w:div w:id="98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0">
      <w:marLeft w:val="0"/>
      <w:marRight w:val="0"/>
      <w:marTop w:val="0"/>
      <w:marBottom w:val="0"/>
      <w:divBdr>
        <w:top w:val="none" w:sz="0" w:space="0" w:color="auto"/>
        <w:left w:val="none" w:sz="0" w:space="0" w:color="auto"/>
        <w:bottom w:val="none" w:sz="0" w:space="0" w:color="auto"/>
        <w:right w:val="none" w:sz="0" w:space="0" w:color="auto"/>
      </w:divBdr>
      <w:divsChild>
        <w:div w:id="98764210">
          <w:marLeft w:val="0"/>
          <w:marRight w:val="0"/>
          <w:marTop w:val="0"/>
          <w:marBottom w:val="150"/>
          <w:divBdr>
            <w:top w:val="single" w:sz="6" w:space="15" w:color="FFFFFF"/>
            <w:left w:val="none" w:sz="0" w:space="0" w:color="auto"/>
            <w:bottom w:val="none" w:sz="0" w:space="0" w:color="auto"/>
            <w:right w:val="none" w:sz="0" w:space="0" w:color="auto"/>
          </w:divBdr>
          <w:divsChild>
            <w:div w:id="987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6">
      <w:marLeft w:val="0"/>
      <w:marRight w:val="0"/>
      <w:marTop w:val="0"/>
      <w:marBottom w:val="0"/>
      <w:divBdr>
        <w:top w:val="none" w:sz="0" w:space="0" w:color="auto"/>
        <w:left w:val="none" w:sz="0" w:space="0" w:color="auto"/>
        <w:bottom w:val="none" w:sz="0" w:space="0" w:color="auto"/>
        <w:right w:val="none" w:sz="0" w:space="0" w:color="auto"/>
      </w:divBdr>
      <w:divsChild>
        <w:div w:id="98764212">
          <w:marLeft w:val="0"/>
          <w:marRight w:val="0"/>
          <w:marTop w:val="0"/>
          <w:marBottom w:val="150"/>
          <w:divBdr>
            <w:top w:val="single" w:sz="6" w:space="15" w:color="FFFFFF"/>
            <w:left w:val="none" w:sz="0" w:space="0" w:color="auto"/>
            <w:bottom w:val="none" w:sz="0" w:space="0" w:color="auto"/>
            <w:right w:val="none" w:sz="0" w:space="0" w:color="auto"/>
          </w:divBdr>
          <w:divsChild>
            <w:div w:id="987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9714">
      <w:bodyDiv w:val="1"/>
      <w:marLeft w:val="0"/>
      <w:marRight w:val="0"/>
      <w:marTop w:val="0"/>
      <w:marBottom w:val="0"/>
      <w:divBdr>
        <w:top w:val="none" w:sz="0" w:space="0" w:color="auto"/>
        <w:left w:val="none" w:sz="0" w:space="0" w:color="auto"/>
        <w:bottom w:val="none" w:sz="0" w:space="0" w:color="auto"/>
        <w:right w:val="none" w:sz="0" w:space="0" w:color="auto"/>
      </w:divBdr>
    </w:div>
    <w:div w:id="222526968">
      <w:bodyDiv w:val="1"/>
      <w:marLeft w:val="0"/>
      <w:marRight w:val="0"/>
      <w:marTop w:val="0"/>
      <w:marBottom w:val="0"/>
      <w:divBdr>
        <w:top w:val="none" w:sz="0" w:space="0" w:color="auto"/>
        <w:left w:val="none" w:sz="0" w:space="0" w:color="auto"/>
        <w:bottom w:val="none" w:sz="0" w:space="0" w:color="auto"/>
        <w:right w:val="none" w:sz="0" w:space="0" w:color="auto"/>
      </w:divBdr>
    </w:div>
    <w:div w:id="296646801">
      <w:bodyDiv w:val="1"/>
      <w:marLeft w:val="0"/>
      <w:marRight w:val="0"/>
      <w:marTop w:val="0"/>
      <w:marBottom w:val="0"/>
      <w:divBdr>
        <w:top w:val="none" w:sz="0" w:space="0" w:color="auto"/>
        <w:left w:val="none" w:sz="0" w:space="0" w:color="auto"/>
        <w:bottom w:val="none" w:sz="0" w:space="0" w:color="auto"/>
        <w:right w:val="none" w:sz="0" w:space="0" w:color="auto"/>
      </w:divBdr>
    </w:div>
    <w:div w:id="358121366">
      <w:bodyDiv w:val="1"/>
      <w:marLeft w:val="0"/>
      <w:marRight w:val="0"/>
      <w:marTop w:val="0"/>
      <w:marBottom w:val="0"/>
      <w:divBdr>
        <w:top w:val="none" w:sz="0" w:space="0" w:color="auto"/>
        <w:left w:val="none" w:sz="0" w:space="0" w:color="auto"/>
        <w:bottom w:val="none" w:sz="0" w:space="0" w:color="auto"/>
        <w:right w:val="none" w:sz="0" w:space="0" w:color="auto"/>
      </w:divBdr>
    </w:div>
    <w:div w:id="363412367">
      <w:bodyDiv w:val="1"/>
      <w:marLeft w:val="0"/>
      <w:marRight w:val="0"/>
      <w:marTop w:val="0"/>
      <w:marBottom w:val="0"/>
      <w:divBdr>
        <w:top w:val="none" w:sz="0" w:space="0" w:color="auto"/>
        <w:left w:val="none" w:sz="0" w:space="0" w:color="auto"/>
        <w:bottom w:val="none" w:sz="0" w:space="0" w:color="auto"/>
        <w:right w:val="none" w:sz="0" w:space="0" w:color="auto"/>
      </w:divBdr>
    </w:div>
    <w:div w:id="393820974">
      <w:bodyDiv w:val="1"/>
      <w:marLeft w:val="0"/>
      <w:marRight w:val="0"/>
      <w:marTop w:val="0"/>
      <w:marBottom w:val="0"/>
      <w:divBdr>
        <w:top w:val="none" w:sz="0" w:space="0" w:color="auto"/>
        <w:left w:val="none" w:sz="0" w:space="0" w:color="auto"/>
        <w:bottom w:val="none" w:sz="0" w:space="0" w:color="auto"/>
        <w:right w:val="none" w:sz="0" w:space="0" w:color="auto"/>
      </w:divBdr>
    </w:div>
    <w:div w:id="432094878">
      <w:bodyDiv w:val="1"/>
      <w:marLeft w:val="0"/>
      <w:marRight w:val="0"/>
      <w:marTop w:val="0"/>
      <w:marBottom w:val="0"/>
      <w:divBdr>
        <w:top w:val="none" w:sz="0" w:space="0" w:color="auto"/>
        <w:left w:val="none" w:sz="0" w:space="0" w:color="auto"/>
        <w:bottom w:val="none" w:sz="0" w:space="0" w:color="auto"/>
        <w:right w:val="none" w:sz="0" w:space="0" w:color="auto"/>
      </w:divBdr>
    </w:div>
    <w:div w:id="506940344">
      <w:bodyDiv w:val="1"/>
      <w:marLeft w:val="0"/>
      <w:marRight w:val="0"/>
      <w:marTop w:val="0"/>
      <w:marBottom w:val="0"/>
      <w:divBdr>
        <w:top w:val="none" w:sz="0" w:space="0" w:color="auto"/>
        <w:left w:val="none" w:sz="0" w:space="0" w:color="auto"/>
        <w:bottom w:val="none" w:sz="0" w:space="0" w:color="auto"/>
        <w:right w:val="none" w:sz="0" w:space="0" w:color="auto"/>
      </w:divBdr>
    </w:div>
    <w:div w:id="603731426">
      <w:bodyDiv w:val="1"/>
      <w:marLeft w:val="0"/>
      <w:marRight w:val="0"/>
      <w:marTop w:val="0"/>
      <w:marBottom w:val="0"/>
      <w:divBdr>
        <w:top w:val="none" w:sz="0" w:space="0" w:color="auto"/>
        <w:left w:val="none" w:sz="0" w:space="0" w:color="auto"/>
        <w:bottom w:val="none" w:sz="0" w:space="0" w:color="auto"/>
        <w:right w:val="none" w:sz="0" w:space="0" w:color="auto"/>
      </w:divBdr>
    </w:div>
    <w:div w:id="641152786">
      <w:bodyDiv w:val="1"/>
      <w:marLeft w:val="0"/>
      <w:marRight w:val="0"/>
      <w:marTop w:val="0"/>
      <w:marBottom w:val="0"/>
      <w:divBdr>
        <w:top w:val="none" w:sz="0" w:space="0" w:color="auto"/>
        <w:left w:val="none" w:sz="0" w:space="0" w:color="auto"/>
        <w:bottom w:val="none" w:sz="0" w:space="0" w:color="auto"/>
        <w:right w:val="none" w:sz="0" w:space="0" w:color="auto"/>
      </w:divBdr>
    </w:div>
    <w:div w:id="658071944">
      <w:bodyDiv w:val="1"/>
      <w:marLeft w:val="0"/>
      <w:marRight w:val="0"/>
      <w:marTop w:val="0"/>
      <w:marBottom w:val="0"/>
      <w:divBdr>
        <w:top w:val="none" w:sz="0" w:space="0" w:color="auto"/>
        <w:left w:val="none" w:sz="0" w:space="0" w:color="auto"/>
        <w:bottom w:val="none" w:sz="0" w:space="0" w:color="auto"/>
        <w:right w:val="none" w:sz="0" w:space="0" w:color="auto"/>
      </w:divBdr>
    </w:div>
    <w:div w:id="759108052">
      <w:bodyDiv w:val="1"/>
      <w:marLeft w:val="0"/>
      <w:marRight w:val="0"/>
      <w:marTop w:val="0"/>
      <w:marBottom w:val="0"/>
      <w:divBdr>
        <w:top w:val="none" w:sz="0" w:space="0" w:color="auto"/>
        <w:left w:val="none" w:sz="0" w:space="0" w:color="auto"/>
        <w:bottom w:val="none" w:sz="0" w:space="0" w:color="auto"/>
        <w:right w:val="none" w:sz="0" w:space="0" w:color="auto"/>
      </w:divBdr>
    </w:div>
    <w:div w:id="984551654">
      <w:bodyDiv w:val="1"/>
      <w:marLeft w:val="0"/>
      <w:marRight w:val="0"/>
      <w:marTop w:val="0"/>
      <w:marBottom w:val="0"/>
      <w:divBdr>
        <w:top w:val="none" w:sz="0" w:space="0" w:color="auto"/>
        <w:left w:val="none" w:sz="0" w:space="0" w:color="auto"/>
        <w:bottom w:val="none" w:sz="0" w:space="0" w:color="auto"/>
        <w:right w:val="none" w:sz="0" w:space="0" w:color="auto"/>
      </w:divBdr>
    </w:div>
    <w:div w:id="991061533">
      <w:bodyDiv w:val="1"/>
      <w:marLeft w:val="0"/>
      <w:marRight w:val="0"/>
      <w:marTop w:val="0"/>
      <w:marBottom w:val="0"/>
      <w:divBdr>
        <w:top w:val="none" w:sz="0" w:space="0" w:color="auto"/>
        <w:left w:val="none" w:sz="0" w:space="0" w:color="auto"/>
        <w:bottom w:val="none" w:sz="0" w:space="0" w:color="auto"/>
        <w:right w:val="none" w:sz="0" w:space="0" w:color="auto"/>
      </w:divBdr>
    </w:div>
    <w:div w:id="1000234926">
      <w:bodyDiv w:val="1"/>
      <w:marLeft w:val="0"/>
      <w:marRight w:val="0"/>
      <w:marTop w:val="0"/>
      <w:marBottom w:val="0"/>
      <w:divBdr>
        <w:top w:val="none" w:sz="0" w:space="0" w:color="auto"/>
        <w:left w:val="none" w:sz="0" w:space="0" w:color="auto"/>
        <w:bottom w:val="none" w:sz="0" w:space="0" w:color="auto"/>
        <w:right w:val="none" w:sz="0" w:space="0" w:color="auto"/>
      </w:divBdr>
    </w:div>
    <w:div w:id="1039663806">
      <w:bodyDiv w:val="1"/>
      <w:marLeft w:val="0"/>
      <w:marRight w:val="0"/>
      <w:marTop w:val="0"/>
      <w:marBottom w:val="0"/>
      <w:divBdr>
        <w:top w:val="none" w:sz="0" w:space="0" w:color="auto"/>
        <w:left w:val="none" w:sz="0" w:space="0" w:color="auto"/>
        <w:bottom w:val="none" w:sz="0" w:space="0" w:color="auto"/>
        <w:right w:val="none" w:sz="0" w:space="0" w:color="auto"/>
      </w:divBdr>
    </w:div>
    <w:div w:id="1106971486">
      <w:bodyDiv w:val="1"/>
      <w:marLeft w:val="0"/>
      <w:marRight w:val="0"/>
      <w:marTop w:val="0"/>
      <w:marBottom w:val="0"/>
      <w:divBdr>
        <w:top w:val="none" w:sz="0" w:space="0" w:color="auto"/>
        <w:left w:val="none" w:sz="0" w:space="0" w:color="auto"/>
        <w:bottom w:val="none" w:sz="0" w:space="0" w:color="auto"/>
        <w:right w:val="none" w:sz="0" w:space="0" w:color="auto"/>
      </w:divBdr>
    </w:div>
    <w:div w:id="1122966468">
      <w:bodyDiv w:val="1"/>
      <w:marLeft w:val="0"/>
      <w:marRight w:val="0"/>
      <w:marTop w:val="0"/>
      <w:marBottom w:val="0"/>
      <w:divBdr>
        <w:top w:val="none" w:sz="0" w:space="0" w:color="auto"/>
        <w:left w:val="none" w:sz="0" w:space="0" w:color="auto"/>
        <w:bottom w:val="none" w:sz="0" w:space="0" w:color="auto"/>
        <w:right w:val="none" w:sz="0" w:space="0" w:color="auto"/>
      </w:divBdr>
    </w:div>
    <w:div w:id="1184392816">
      <w:bodyDiv w:val="1"/>
      <w:marLeft w:val="0"/>
      <w:marRight w:val="0"/>
      <w:marTop w:val="0"/>
      <w:marBottom w:val="0"/>
      <w:divBdr>
        <w:top w:val="none" w:sz="0" w:space="0" w:color="auto"/>
        <w:left w:val="none" w:sz="0" w:space="0" w:color="auto"/>
        <w:bottom w:val="none" w:sz="0" w:space="0" w:color="auto"/>
        <w:right w:val="none" w:sz="0" w:space="0" w:color="auto"/>
      </w:divBdr>
    </w:div>
    <w:div w:id="1447698237">
      <w:bodyDiv w:val="1"/>
      <w:marLeft w:val="0"/>
      <w:marRight w:val="0"/>
      <w:marTop w:val="0"/>
      <w:marBottom w:val="0"/>
      <w:divBdr>
        <w:top w:val="none" w:sz="0" w:space="0" w:color="auto"/>
        <w:left w:val="none" w:sz="0" w:space="0" w:color="auto"/>
        <w:bottom w:val="none" w:sz="0" w:space="0" w:color="auto"/>
        <w:right w:val="none" w:sz="0" w:space="0" w:color="auto"/>
      </w:divBdr>
    </w:div>
    <w:div w:id="1544558759">
      <w:bodyDiv w:val="1"/>
      <w:marLeft w:val="0"/>
      <w:marRight w:val="0"/>
      <w:marTop w:val="0"/>
      <w:marBottom w:val="0"/>
      <w:divBdr>
        <w:top w:val="none" w:sz="0" w:space="0" w:color="auto"/>
        <w:left w:val="none" w:sz="0" w:space="0" w:color="auto"/>
        <w:bottom w:val="none" w:sz="0" w:space="0" w:color="auto"/>
        <w:right w:val="none" w:sz="0" w:space="0" w:color="auto"/>
      </w:divBdr>
    </w:div>
    <w:div w:id="1599018231">
      <w:bodyDiv w:val="1"/>
      <w:marLeft w:val="0"/>
      <w:marRight w:val="0"/>
      <w:marTop w:val="0"/>
      <w:marBottom w:val="0"/>
      <w:divBdr>
        <w:top w:val="none" w:sz="0" w:space="0" w:color="auto"/>
        <w:left w:val="none" w:sz="0" w:space="0" w:color="auto"/>
        <w:bottom w:val="none" w:sz="0" w:space="0" w:color="auto"/>
        <w:right w:val="none" w:sz="0" w:space="0" w:color="auto"/>
      </w:divBdr>
    </w:div>
    <w:div w:id="1619870545">
      <w:bodyDiv w:val="1"/>
      <w:marLeft w:val="0"/>
      <w:marRight w:val="0"/>
      <w:marTop w:val="0"/>
      <w:marBottom w:val="0"/>
      <w:divBdr>
        <w:top w:val="none" w:sz="0" w:space="0" w:color="auto"/>
        <w:left w:val="none" w:sz="0" w:space="0" w:color="auto"/>
        <w:bottom w:val="none" w:sz="0" w:space="0" w:color="auto"/>
        <w:right w:val="none" w:sz="0" w:space="0" w:color="auto"/>
      </w:divBdr>
    </w:div>
    <w:div w:id="1788352009">
      <w:bodyDiv w:val="1"/>
      <w:marLeft w:val="0"/>
      <w:marRight w:val="0"/>
      <w:marTop w:val="0"/>
      <w:marBottom w:val="0"/>
      <w:divBdr>
        <w:top w:val="none" w:sz="0" w:space="0" w:color="auto"/>
        <w:left w:val="none" w:sz="0" w:space="0" w:color="auto"/>
        <w:bottom w:val="none" w:sz="0" w:space="0" w:color="auto"/>
        <w:right w:val="none" w:sz="0" w:space="0" w:color="auto"/>
      </w:divBdr>
    </w:div>
    <w:div w:id="1812020747">
      <w:bodyDiv w:val="1"/>
      <w:marLeft w:val="0"/>
      <w:marRight w:val="0"/>
      <w:marTop w:val="0"/>
      <w:marBottom w:val="0"/>
      <w:divBdr>
        <w:top w:val="none" w:sz="0" w:space="0" w:color="auto"/>
        <w:left w:val="none" w:sz="0" w:space="0" w:color="auto"/>
        <w:bottom w:val="none" w:sz="0" w:space="0" w:color="auto"/>
        <w:right w:val="none" w:sz="0" w:space="0" w:color="auto"/>
      </w:divBdr>
    </w:div>
    <w:div w:id="1950502299">
      <w:bodyDiv w:val="1"/>
      <w:marLeft w:val="0"/>
      <w:marRight w:val="0"/>
      <w:marTop w:val="0"/>
      <w:marBottom w:val="0"/>
      <w:divBdr>
        <w:top w:val="none" w:sz="0" w:space="0" w:color="auto"/>
        <w:left w:val="none" w:sz="0" w:space="0" w:color="auto"/>
        <w:bottom w:val="none" w:sz="0" w:space="0" w:color="auto"/>
        <w:right w:val="none" w:sz="0" w:space="0" w:color="auto"/>
      </w:divBdr>
    </w:div>
    <w:div w:id="2045253256">
      <w:bodyDiv w:val="1"/>
      <w:marLeft w:val="0"/>
      <w:marRight w:val="0"/>
      <w:marTop w:val="0"/>
      <w:marBottom w:val="0"/>
      <w:divBdr>
        <w:top w:val="none" w:sz="0" w:space="0" w:color="auto"/>
        <w:left w:val="none" w:sz="0" w:space="0" w:color="auto"/>
        <w:bottom w:val="none" w:sz="0" w:space="0" w:color="auto"/>
        <w:right w:val="none" w:sz="0" w:space="0" w:color="auto"/>
      </w:divBdr>
    </w:div>
    <w:div w:id="207684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9.health.gov.au/mbs/fullDisplay.cfm?type=note&amp;q=T8.2&amp;qt=NoteI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ealth.adelaide.edu.au/pros/docs/reports/BR2003_03_severe_obes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idelines.gov/content.aspx?id=1559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8D855-07B3-4669-8BA0-83C015B9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8232</Words>
  <Characters>50810</Characters>
  <Application>Microsoft Office Word</Application>
  <DocSecurity>0</DocSecurity>
  <Lines>423</Lines>
  <Paragraphs>117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58925</CharactersWithSpaces>
  <SharedDoc>false</SharedDoc>
  <HLinks>
    <vt:vector size="252" baseType="variant">
      <vt:variant>
        <vt:i4>5767208</vt:i4>
      </vt:variant>
      <vt:variant>
        <vt:i4>330</vt:i4>
      </vt:variant>
      <vt:variant>
        <vt:i4>0</vt:i4>
      </vt:variant>
      <vt:variant>
        <vt:i4>5</vt:i4>
      </vt:variant>
      <vt:variant>
        <vt:lpwstr>http://health.adelaide.edu.au/pros/docs/reports/BR2003_03_severe_obese.pdf</vt:lpwstr>
      </vt:variant>
      <vt:variant>
        <vt:lpwstr/>
      </vt:variant>
      <vt:variant>
        <vt:i4>5570561</vt:i4>
      </vt:variant>
      <vt:variant>
        <vt:i4>297</vt:i4>
      </vt:variant>
      <vt:variant>
        <vt:i4>0</vt:i4>
      </vt:variant>
      <vt:variant>
        <vt:i4>5</vt:i4>
      </vt:variant>
      <vt:variant>
        <vt:lpwstr>http://www9.health.gov.au/mbs/fullDisplay.cfm?type=note&amp;q=T8.2&amp;qt=NoteID</vt:lpwstr>
      </vt:variant>
      <vt:variant>
        <vt:lpwstr/>
      </vt:variant>
      <vt:variant>
        <vt:i4>2752554</vt:i4>
      </vt:variant>
      <vt:variant>
        <vt:i4>267</vt:i4>
      </vt:variant>
      <vt:variant>
        <vt:i4>0</vt:i4>
      </vt:variant>
      <vt:variant>
        <vt:i4>5</vt:i4>
      </vt:variant>
      <vt:variant>
        <vt:lpwstr>http://guidelines.gov/content.aspx?id=15597</vt:lpwstr>
      </vt:variant>
      <vt:variant>
        <vt:lpwstr/>
      </vt:variant>
      <vt:variant>
        <vt:i4>5832795</vt:i4>
      </vt:variant>
      <vt:variant>
        <vt:i4>246</vt:i4>
      </vt:variant>
      <vt:variant>
        <vt:i4>0</vt:i4>
      </vt:variant>
      <vt:variant>
        <vt:i4>5</vt:i4>
      </vt:variant>
      <vt:variant>
        <vt:lpwstr>http://www.pbs.gov.au/browse/body-system?depth=4&amp;codes=a10bh</vt:lpwstr>
      </vt:variant>
      <vt:variant>
        <vt:lpwstr/>
      </vt:variant>
      <vt:variant>
        <vt:i4>1179706</vt:i4>
      </vt:variant>
      <vt:variant>
        <vt:i4>224</vt:i4>
      </vt:variant>
      <vt:variant>
        <vt:i4>0</vt:i4>
      </vt:variant>
      <vt:variant>
        <vt:i4>5</vt:i4>
      </vt:variant>
      <vt:variant>
        <vt:lpwstr/>
      </vt:variant>
      <vt:variant>
        <vt:lpwstr>_Toc378157447</vt:lpwstr>
      </vt:variant>
      <vt:variant>
        <vt:i4>1179706</vt:i4>
      </vt:variant>
      <vt:variant>
        <vt:i4>218</vt:i4>
      </vt:variant>
      <vt:variant>
        <vt:i4>0</vt:i4>
      </vt:variant>
      <vt:variant>
        <vt:i4>5</vt:i4>
      </vt:variant>
      <vt:variant>
        <vt:lpwstr/>
      </vt:variant>
      <vt:variant>
        <vt:lpwstr>_Toc378157446</vt:lpwstr>
      </vt:variant>
      <vt:variant>
        <vt:i4>1179706</vt:i4>
      </vt:variant>
      <vt:variant>
        <vt:i4>212</vt:i4>
      </vt:variant>
      <vt:variant>
        <vt:i4>0</vt:i4>
      </vt:variant>
      <vt:variant>
        <vt:i4>5</vt:i4>
      </vt:variant>
      <vt:variant>
        <vt:lpwstr/>
      </vt:variant>
      <vt:variant>
        <vt:lpwstr>_Toc378157445</vt:lpwstr>
      </vt:variant>
      <vt:variant>
        <vt:i4>1179706</vt:i4>
      </vt:variant>
      <vt:variant>
        <vt:i4>206</vt:i4>
      </vt:variant>
      <vt:variant>
        <vt:i4>0</vt:i4>
      </vt:variant>
      <vt:variant>
        <vt:i4>5</vt:i4>
      </vt:variant>
      <vt:variant>
        <vt:lpwstr/>
      </vt:variant>
      <vt:variant>
        <vt:lpwstr>_Toc378157444</vt:lpwstr>
      </vt:variant>
      <vt:variant>
        <vt:i4>1179706</vt:i4>
      </vt:variant>
      <vt:variant>
        <vt:i4>200</vt:i4>
      </vt:variant>
      <vt:variant>
        <vt:i4>0</vt:i4>
      </vt:variant>
      <vt:variant>
        <vt:i4>5</vt:i4>
      </vt:variant>
      <vt:variant>
        <vt:lpwstr/>
      </vt:variant>
      <vt:variant>
        <vt:lpwstr>_Toc378157443</vt:lpwstr>
      </vt:variant>
      <vt:variant>
        <vt:i4>1179706</vt:i4>
      </vt:variant>
      <vt:variant>
        <vt:i4>194</vt:i4>
      </vt:variant>
      <vt:variant>
        <vt:i4>0</vt:i4>
      </vt:variant>
      <vt:variant>
        <vt:i4>5</vt:i4>
      </vt:variant>
      <vt:variant>
        <vt:lpwstr/>
      </vt:variant>
      <vt:variant>
        <vt:lpwstr>_Toc378157442</vt:lpwstr>
      </vt:variant>
      <vt:variant>
        <vt:i4>1179706</vt:i4>
      </vt:variant>
      <vt:variant>
        <vt:i4>188</vt:i4>
      </vt:variant>
      <vt:variant>
        <vt:i4>0</vt:i4>
      </vt:variant>
      <vt:variant>
        <vt:i4>5</vt:i4>
      </vt:variant>
      <vt:variant>
        <vt:lpwstr/>
      </vt:variant>
      <vt:variant>
        <vt:lpwstr>_Toc378157441</vt:lpwstr>
      </vt:variant>
      <vt:variant>
        <vt:i4>1179706</vt:i4>
      </vt:variant>
      <vt:variant>
        <vt:i4>182</vt:i4>
      </vt:variant>
      <vt:variant>
        <vt:i4>0</vt:i4>
      </vt:variant>
      <vt:variant>
        <vt:i4>5</vt:i4>
      </vt:variant>
      <vt:variant>
        <vt:lpwstr/>
      </vt:variant>
      <vt:variant>
        <vt:lpwstr>_Toc378157440</vt:lpwstr>
      </vt:variant>
      <vt:variant>
        <vt:i4>1376314</vt:i4>
      </vt:variant>
      <vt:variant>
        <vt:i4>176</vt:i4>
      </vt:variant>
      <vt:variant>
        <vt:i4>0</vt:i4>
      </vt:variant>
      <vt:variant>
        <vt:i4>5</vt:i4>
      </vt:variant>
      <vt:variant>
        <vt:lpwstr/>
      </vt:variant>
      <vt:variant>
        <vt:lpwstr>_Toc378157439</vt:lpwstr>
      </vt:variant>
      <vt:variant>
        <vt:i4>1376314</vt:i4>
      </vt:variant>
      <vt:variant>
        <vt:i4>170</vt:i4>
      </vt:variant>
      <vt:variant>
        <vt:i4>0</vt:i4>
      </vt:variant>
      <vt:variant>
        <vt:i4>5</vt:i4>
      </vt:variant>
      <vt:variant>
        <vt:lpwstr/>
      </vt:variant>
      <vt:variant>
        <vt:lpwstr>_Toc378157438</vt:lpwstr>
      </vt:variant>
      <vt:variant>
        <vt:i4>1376314</vt:i4>
      </vt:variant>
      <vt:variant>
        <vt:i4>164</vt:i4>
      </vt:variant>
      <vt:variant>
        <vt:i4>0</vt:i4>
      </vt:variant>
      <vt:variant>
        <vt:i4>5</vt:i4>
      </vt:variant>
      <vt:variant>
        <vt:lpwstr/>
      </vt:variant>
      <vt:variant>
        <vt:lpwstr>_Toc378157437</vt:lpwstr>
      </vt:variant>
      <vt:variant>
        <vt:i4>1376314</vt:i4>
      </vt:variant>
      <vt:variant>
        <vt:i4>158</vt:i4>
      </vt:variant>
      <vt:variant>
        <vt:i4>0</vt:i4>
      </vt:variant>
      <vt:variant>
        <vt:i4>5</vt:i4>
      </vt:variant>
      <vt:variant>
        <vt:lpwstr/>
      </vt:variant>
      <vt:variant>
        <vt:lpwstr>_Toc378157436</vt:lpwstr>
      </vt:variant>
      <vt:variant>
        <vt:i4>1376314</vt:i4>
      </vt:variant>
      <vt:variant>
        <vt:i4>152</vt:i4>
      </vt:variant>
      <vt:variant>
        <vt:i4>0</vt:i4>
      </vt:variant>
      <vt:variant>
        <vt:i4>5</vt:i4>
      </vt:variant>
      <vt:variant>
        <vt:lpwstr/>
      </vt:variant>
      <vt:variant>
        <vt:lpwstr>_Toc378157435</vt:lpwstr>
      </vt:variant>
      <vt:variant>
        <vt:i4>1376314</vt:i4>
      </vt:variant>
      <vt:variant>
        <vt:i4>146</vt:i4>
      </vt:variant>
      <vt:variant>
        <vt:i4>0</vt:i4>
      </vt:variant>
      <vt:variant>
        <vt:i4>5</vt:i4>
      </vt:variant>
      <vt:variant>
        <vt:lpwstr/>
      </vt:variant>
      <vt:variant>
        <vt:lpwstr>_Toc378157434</vt:lpwstr>
      </vt:variant>
      <vt:variant>
        <vt:i4>1376314</vt:i4>
      </vt:variant>
      <vt:variant>
        <vt:i4>140</vt:i4>
      </vt:variant>
      <vt:variant>
        <vt:i4>0</vt:i4>
      </vt:variant>
      <vt:variant>
        <vt:i4>5</vt:i4>
      </vt:variant>
      <vt:variant>
        <vt:lpwstr/>
      </vt:variant>
      <vt:variant>
        <vt:lpwstr>_Toc378157433</vt:lpwstr>
      </vt:variant>
      <vt:variant>
        <vt:i4>1376314</vt:i4>
      </vt:variant>
      <vt:variant>
        <vt:i4>134</vt:i4>
      </vt:variant>
      <vt:variant>
        <vt:i4>0</vt:i4>
      </vt:variant>
      <vt:variant>
        <vt:i4>5</vt:i4>
      </vt:variant>
      <vt:variant>
        <vt:lpwstr/>
      </vt:variant>
      <vt:variant>
        <vt:lpwstr>_Toc378157432</vt:lpwstr>
      </vt:variant>
      <vt:variant>
        <vt:i4>1376314</vt:i4>
      </vt:variant>
      <vt:variant>
        <vt:i4>128</vt:i4>
      </vt:variant>
      <vt:variant>
        <vt:i4>0</vt:i4>
      </vt:variant>
      <vt:variant>
        <vt:i4>5</vt:i4>
      </vt:variant>
      <vt:variant>
        <vt:lpwstr/>
      </vt:variant>
      <vt:variant>
        <vt:lpwstr>_Toc378157431</vt:lpwstr>
      </vt:variant>
      <vt:variant>
        <vt:i4>1376314</vt:i4>
      </vt:variant>
      <vt:variant>
        <vt:i4>122</vt:i4>
      </vt:variant>
      <vt:variant>
        <vt:i4>0</vt:i4>
      </vt:variant>
      <vt:variant>
        <vt:i4>5</vt:i4>
      </vt:variant>
      <vt:variant>
        <vt:lpwstr/>
      </vt:variant>
      <vt:variant>
        <vt:lpwstr>_Toc378157430</vt:lpwstr>
      </vt:variant>
      <vt:variant>
        <vt:i4>1310778</vt:i4>
      </vt:variant>
      <vt:variant>
        <vt:i4>116</vt:i4>
      </vt:variant>
      <vt:variant>
        <vt:i4>0</vt:i4>
      </vt:variant>
      <vt:variant>
        <vt:i4>5</vt:i4>
      </vt:variant>
      <vt:variant>
        <vt:lpwstr/>
      </vt:variant>
      <vt:variant>
        <vt:lpwstr>_Toc378157429</vt:lpwstr>
      </vt:variant>
      <vt:variant>
        <vt:i4>1310778</vt:i4>
      </vt:variant>
      <vt:variant>
        <vt:i4>110</vt:i4>
      </vt:variant>
      <vt:variant>
        <vt:i4>0</vt:i4>
      </vt:variant>
      <vt:variant>
        <vt:i4>5</vt:i4>
      </vt:variant>
      <vt:variant>
        <vt:lpwstr/>
      </vt:variant>
      <vt:variant>
        <vt:lpwstr>_Toc378157428</vt:lpwstr>
      </vt:variant>
      <vt:variant>
        <vt:i4>1310778</vt:i4>
      </vt:variant>
      <vt:variant>
        <vt:i4>104</vt:i4>
      </vt:variant>
      <vt:variant>
        <vt:i4>0</vt:i4>
      </vt:variant>
      <vt:variant>
        <vt:i4>5</vt:i4>
      </vt:variant>
      <vt:variant>
        <vt:lpwstr/>
      </vt:variant>
      <vt:variant>
        <vt:lpwstr>_Toc378157427</vt:lpwstr>
      </vt:variant>
      <vt:variant>
        <vt:i4>1310778</vt:i4>
      </vt:variant>
      <vt:variant>
        <vt:i4>98</vt:i4>
      </vt:variant>
      <vt:variant>
        <vt:i4>0</vt:i4>
      </vt:variant>
      <vt:variant>
        <vt:i4>5</vt:i4>
      </vt:variant>
      <vt:variant>
        <vt:lpwstr/>
      </vt:variant>
      <vt:variant>
        <vt:lpwstr>_Toc378157426</vt:lpwstr>
      </vt:variant>
      <vt:variant>
        <vt:i4>1310778</vt:i4>
      </vt:variant>
      <vt:variant>
        <vt:i4>92</vt:i4>
      </vt:variant>
      <vt:variant>
        <vt:i4>0</vt:i4>
      </vt:variant>
      <vt:variant>
        <vt:i4>5</vt:i4>
      </vt:variant>
      <vt:variant>
        <vt:lpwstr/>
      </vt:variant>
      <vt:variant>
        <vt:lpwstr>_Toc378157425</vt:lpwstr>
      </vt:variant>
      <vt:variant>
        <vt:i4>1310778</vt:i4>
      </vt:variant>
      <vt:variant>
        <vt:i4>86</vt:i4>
      </vt:variant>
      <vt:variant>
        <vt:i4>0</vt:i4>
      </vt:variant>
      <vt:variant>
        <vt:i4>5</vt:i4>
      </vt:variant>
      <vt:variant>
        <vt:lpwstr/>
      </vt:variant>
      <vt:variant>
        <vt:lpwstr>_Toc378157424</vt:lpwstr>
      </vt:variant>
      <vt:variant>
        <vt:i4>1310778</vt:i4>
      </vt:variant>
      <vt:variant>
        <vt:i4>80</vt:i4>
      </vt:variant>
      <vt:variant>
        <vt:i4>0</vt:i4>
      </vt:variant>
      <vt:variant>
        <vt:i4>5</vt:i4>
      </vt:variant>
      <vt:variant>
        <vt:lpwstr/>
      </vt:variant>
      <vt:variant>
        <vt:lpwstr>_Toc378157423</vt:lpwstr>
      </vt:variant>
      <vt:variant>
        <vt:i4>1310778</vt:i4>
      </vt:variant>
      <vt:variant>
        <vt:i4>74</vt:i4>
      </vt:variant>
      <vt:variant>
        <vt:i4>0</vt:i4>
      </vt:variant>
      <vt:variant>
        <vt:i4>5</vt:i4>
      </vt:variant>
      <vt:variant>
        <vt:lpwstr/>
      </vt:variant>
      <vt:variant>
        <vt:lpwstr>_Toc378157422</vt:lpwstr>
      </vt:variant>
      <vt:variant>
        <vt:i4>1310778</vt:i4>
      </vt:variant>
      <vt:variant>
        <vt:i4>68</vt:i4>
      </vt:variant>
      <vt:variant>
        <vt:i4>0</vt:i4>
      </vt:variant>
      <vt:variant>
        <vt:i4>5</vt:i4>
      </vt:variant>
      <vt:variant>
        <vt:lpwstr/>
      </vt:variant>
      <vt:variant>
        <vt:lpwstr>_Toc378157421</vt:lpwstr>
      </vt:variant>
      <vt:variant>
        <vt:i4>1310778</vt:i4>
      </vt:variant>
      <vt:variant>
        <vt:i4>62</vt:i4>
      </vt:variant>
      <vt:variant>
        <vt:i4>0</vt:i4>
      </vt:variant>
      <vt:variant>
        <vt:i4>5</vt:i4>
      </vt:variant>
      <vt:variant>
        <vt:lpwstr/>
      </vt:variant>
      <vt:variant>
        <vt:lpwstr>_Toc378157420</vt:lpwstr>
      </vt:variant>
      <vt:variant>
        <vt:i4>1507386</vt:i4>
      </vt:variant>
      <vt:variant>
        <vt:i4>56</vt:i4>
      </vt:variant>
      <vt:variant>
        <vt:i4>0</vt:i4>
      </vt:variant>
      <vt:variant>
        <vt:i4>5</vt:i4>
      </vt:variant>
      <vt:variant>
        <vt:lpwstr/>
      </vt:variant>
      <vt:variant>
        <vt:lpwstr>_Toc378157419</vt:lpwstr>
      </vt:variant>
      <vt:variant>
        <vt:i4>1507386</vt:i4>
      </vt:variant>
      <vt:variant>
        <vt:i4>50</vt:i4>
      </vt:variant>
      <vt:variant>
        <vt:i4>0</vt:i4>
      </vt:variant>
      <vt:variant>
        <vt:i4>5</vt:i4>
      </vt:variant>
      <vt:variant>
        <vt:lpwstr/>
      </vt:variant>
      <vt:variant>
        <vt:lpwstr>_Toc378157418</vt:lpwstr>
      </vt:variant>
      <vt:variant>
        <vt:i4>1507386</vt:i4>
      </vt:variant>
      <vt:variant>
        <vt:i4>44</vt:i4>
      </vt:variant>
      <vt:variant>
        <vt:i4>0</vt:i4>
      </vt:variant>
      <vt:variant>
        <vt:i4>5</vt:i4>
      </vt:variant>
      <vt:variant>
        <vt:lpwstr/>
      </vt:variant>
      <vt:variant>
        <vt:lpwstr>_Toc378157417</vt:lpwstr>
      </vt:variant>
      <vt:variant>
        <vt:i4>1507386</vt:i4>
      </vt:variant>
      <vt:variant>
        <vt:i4>38</vt:i4>
      </vt:variant>
      <vt:variant>
        <vt:i4>0</vt:i4>
      </vt:variant>
      <vt:variant>
        <vt:i4>5</vt:i4>
      </vt:variant>
      <vt:variant>
        <vt:lpwstr/>
      </vt:variant>
      <vt:variant>
        <vt:lpwstr>_Toc378157416</vt:lpwstr>
      </vt:variant>
      <vt:variant>
        <vt:i4>1507386</vt:i4>
      </vt:variant>
      <vt:variant>
        <vt:i4>32</vt:i4>
      </vt:variant>
      <vt:variant>
        <vt:i4>0</vt:i4>
      </vt:variant>
      <vt:variant>
        <vt:i4>5</vt:i4>
      </vt:variant>
      <vt:variant>
        <vt:lpwstr/>
      </vt:variant>
      <vt:variant>
        <vt:lpwstr>_Toc378157415</vt:lpwstr>
      </vt:variant>
      <vt:variant>
        <vt:i4>1507386</vt:i4>
      </vt:variant>
      <vt:variant>
        <vt:i4>26</vt:i4>
      </vt:variant>
      <vt:variant>
        <vt:i4>0</vt:i4>
      </vt:variant>
      <vt:variant>
        <vt:i4>5</vt:i4>
      </vt:variant>
      <vt:variant>
        <vt:lpwstr/>
      </vt:variant>
      <vt:variant>
        <vt:lpwstr>_Toc378157414</vt:lpwstr>
      </vt:variant>
      <vt:variant>
        <vt:i4>1507386</vt:i4>
      </vt:variant>
      <vt:variant>
        <vt:i4>20</vt:i4>
      </vt:variant>
      <vt:variant>
        <vt:i4>0</vt:i4>
      </vt:variant>
      <vt:variant>
        <vt:i4>5</vt:i4>
      </vt:variant>
      <vt:variant>
        <vt:lpwstr/>
      </vt:variant>
      <vt:variant>
        <vt:lpwstr>_Toc378157413</vt:lpwstr>
      </vt:variant>
      <vt:variant>
        <vt:i4>1507386</vt:i4>
      </vt:variant>
      <vt:variant>
        <vt:i4>14</vt:i4>
      </vt:variant>
      <vt:variant>
        <vt:i4>0</vt:i4>
      </vt:variant>
      <vt:variant>
        <vt:i4>5</vt:i4>
      </vt:variant>
      <vt:variant>
        <vt:lpwstr/>
      </vt:variant>
      <vt:variant>
        <vt:lpwstr>_Toc378157412</vt:lpwstr>
      </vt:variant>
      <vt:variant>
        <vt:i4>1507386</vt:i4>
      </vt:variant>
      <vt:variant>
        <vt:i4>8</vt:i4>
      </vt:variant>
      <vt:variant>
        <vt:i4>0</vt:i4>
      </vt:variant>
      <vt:variant>
        <vt:i4>5</vt:i4>
      </vt:variant>
      <vt:variant>
        <vt:lpwstr/>
      </vt:variant>
      <vt:variant>
        <vt:lpwstr>_Toc378157411</vt:lpwstr>
      </vt:variant>
      <vt:variant>
        <vt:i4>1507386</vt:i4>
      </vt:variant>
      <vt:variant>
        <vt:i4>2</vt:i4>
      </vt:variant>
      <vt:variant>
        <vt:i4>0</vt:i4>
      </vt:variant>
      <vt:variant>
        <vt:i4>5</vt:i4>
      </vt:variant>
      <vt:variant>
        <vt:lpwstr/>
      </vt:variant>
      <vt:variant>
        <vt:lpwstr>_Toc378157410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Bulfone</dc:creator>
  <cp:lastModifiedBy>McCandless Sean</cp:lastModifiedBy>
  <cp:revision>3</cp:revision>
  <cp:lastPrinted>2014-07-01T00:11:00Z</cp:lastPrinted>
  <dcterms:created xsi:type="dcterms:W3CDTF">2014-07-01T00:10:00Z</dcterms:created>
  <dcterms:modified xsi:type="dcterms:W3CDTF">2014-07-01T00:13:00Z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