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2B1C62A6" wp14:editId="7B013831">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8C601E">
        <w:rPr>
          <w:rFonts w:ascii="Arial" w:hAnsi="Arial" w:cs="Arial"/>
          <w:b/>
          <w:bCs/>
          <w:i/>
          <w:color w:val="000080"/>
          <w:sz w:val="28"/>
          <w:szCs w:val="28"/>
        </w:rPr>
        <w:t>1369</w:t>
      </w:r>
      <w:r w:rsidRPr="007B32D1">
        <w:rPr>
          <w:rFonts w:ascii="Arial" w:hAnsi="Arial" w:cs="Arial"/>
          <w:b/>
          <w:bCs/>
          <w:i/>
          <w:color w:val="000080"/>
          <w:sz w:val="28"/>
          <w:szCs w:val="28"/>
        </w:rPr>
        <w:t xml:space="preserve"> – </w:t>
      </w:r>
      <w:r w:rsidR="008C601E">
        <w:rPr>
          <w:rFonts w:ascii="Arial" w:hAnsi="Arial" w:cs="Arial"/>
          <w:b/>
          <w:bCs/>
          <w:i/>
          <w:color w:val="000080"/>
          <w:sz w:val="28"/>
          <w:szCs w:val="28"/>
        </w:rPr>
        <w:t>Insertion of a synthetic sling for the treatment of male stress urinary incontinence</w:t>
      </w:r>
    </w:p>
    <w:p w:rsidR="00BC1364" w:rsidRDefault="00BC1364" w:rsidP="00065623">
      <w:pPr>
        <w:tabs>
          <w:tab w:val="left" w:pos="3600"/>
        </w:tabs>
        <w:ind w:left="3600" w:hanging="3600"/>
        <w:rPr>
          <w:szCs w:val="24"/>
        </w:rPr>
      </w:pPr>
    </w:p>
    <w:p w:rsidR="00BC1364" w:rsidRPr="00707064" w:rsidRDefault="00BC1364" w:rsidP="00065623">
      <w:pPr>
        <w:tabs>
          <w:tab w:val="left" w:pos="3600"/>
        </w:tabs>
        <w:ind w:left="3600" w:hanging="3600"/>
        <w:rPr>
          <w:szCs w:val="24"/>
        </w:rPr>
      </w:pPr>
    </w:p>
    <w:p w:rsidR="00BC1364" w:rsidRPr="00D90A38" w:rsidRDefault="00B35595" w:rsidP="00082E44">
      <w:pPr>
        <w:tabs>
          <w:tab w:val="left" w:pos="3544"/>
        </w:tabs>
        <w:rPr>
          <w:rFonts w:ascii="Arial" w:hAnsi="Arial" w:cs="Arial"/>
          <w:b/>
          <w:szCs w:val="24"/>
        </w:rPr>
      </w:pPr>
      <w:proofErr w:type="spellStart"/>
      <w:r>
        <w:rPr>
          <w:rFonts w:ascii="Arial" w:hAnsi="Arial" w:cs="Arial"/>
          <w:b/>
          <w:szCs w:val="24"/>
        </w:rPr>
        <w:t>Applicant</w:t>
      </w:r>
      <w:proofErr w:type="gramStart"/>
      <w:r w:rsidR="00BC1364" w:rsidRPr="00D90A38">
        <w:rPr>
          <w:rFonts w:ascii="Arial" w:hAnsi="Arial" w:cs="Arial"/>
          <w:b/>
          <w:szCs w:val="24"/>
        </w:rPr>
        <w:t>:</w:t>
      </w:r>
      <w:r w:rsidR="008C601E">
        <w:rPr>
          <w:rFonts w:ascii="Arial" w:hAnsi="Arial" w:cs="Arial"/>
          <w:b/>
          <w:szCs w:val="24"/>
        </w:rPr>
        <w:t>American</w:t>
      </w:r>
      <w:proofErr w:type="spellEnd"/>
      <w:proofErr w:type="gramEnd"/>
      <w:r w:rsidR="008C601E">
        <w:rPr>
          <w:rFonts w:ascii="Arial" w:hAnsi="Arial" w:cs="Arial"/>
          <w:b/>
          <w:szCs w:val="24"/>
        </w:rPr>
        <w:t xml:space="preserve"> </w:t>
      </w:r>
      <w:r w:rsidR="00082E44">
        <w:rPr>
          <w:rFonts w:ascii="Arial" w:hAnsi="Arial" w:cs="Arial"/>
          <w:b/>
          <w:szCs w:val="24"/>
        </w:rPr>
        <w:tab/>
      </w:r>
      <w:r w:rsidR="00082E44">
        <w:rPr>
          <w:rFonts w:ascii="Arial" w:hAnsi="Arial" w:cs="Arial"/>
          <w:b/>
          <w:szCs w:val="24"/>
        </w:rPr>
        <w:tab/>
      </w:r>
      <w:r w:rsidR="008C601E">
        <w:rPr>
          <w:rFonts w:ascii="Arial" w:hAnsi="Arial" w:cs="Arial"/>
          <w:b/>
          <w:szCs w:val="24"/>
        </w:rPr>
        <w:t>Medical Systems Australia Pty Ltd</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6D0471">
        <w:rPr>
          <w:rFonts w:ascii="Arial" w:hAnsi="Arial" w:cs="Arial"/>
          <w:b/>
          <w:szCs w:val="24"/>
        </w:rPr>
        <w:t>64</w:t>
      </w:r>
      <w:r w:rsidR="006D0471" w:rsidRPr="006D0471">
        <w:rPr>
          <w:rFonts w:ascii="Arial" w:hAnsi="Arial" w:cs="Arial"/>
          <w:b/>
          <w:szCs w:val="24"/>
          <w:vertAlign w:val="superscript"/>
        </w:rPr>
        <w:t>th</w:t>
      </w:r>
      <w:r w:rsidR="006D0471">
        <w:rPr>
          <w:rFonts w:ascii="Arial" w:hAnsi="Arial" w:cs="Arial"/>
          <w:b/>
          <w:szCs w:val="24"/>
        </w:rPr>
        <w:t xml:space="preserve"> </w:t>
      </w:r>
      <w:r w:rsidRPr="00D90A38">
        <w:rPr>
          <w:rFonts w:ascii="Arial" w:hAnsi="Arial" w:cs="Arial"/>
          <w:b/>
          <w:szCs w:val="24"/>
        </w:rPr>
        <w:t xml:space="preserve">Meeting, </w:t>
      </w:r>
      <w:r w:rsidR="008C601E">
        <w:rPr>
          <w:rFonts w:ascii="Arial" w:hAnsi="Arial" w:cs="Arial"/>
          <w:b/>
          <w:szCs w:val="24"/>
        </w:rPr>
        <w:t>30-31 July 2015</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9" w:tooltip="MSAC website link"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6031FD">
      <w:pPr>
        <w:pStyle w:val="Heading1"/>
        <w:numPr>
          <w:ilvl w:val="0"/>
          <w:numId w:val="23"/>
        </w:numPr>
        <w:ind w:hanging="720"/>
      </w:pPr>
      <w:r w:rsidRPr="00D90A38">
        <w:t>Purpose of application</w:t>
      </w:r>
      <w:r w:rsidR="00822C7E">
        <w:t xml:space="preserve"> and links to other applications</w:t>
      </w:r>
    </w:p>
    <w:p w:rsidR="006031FD" w:rsidRDefault="006031FD" w:rsidP="006031FD">
      <w:pPr>
        <w:tabs>
          <w:tab w:val="left" w:pos="720"/>
          <w:tab w:val="left" w:pos="1140"/>
        </w:tabs>
        <w:rPr>
          <w:szCs w:val="24"/>
        </w:rPr>
      </w:pPr>
    </w:p>
    <w:p w:rsidR="006D0471" w:rsidRDefault="006D0471" w:rsidP="006031FD">
      <w:pPr>
        <w:tabs>
          <w:tab w:val="left" w:pos="720"/>
          <w:tab w:val="left" w:pos="1140"/>
        </w:tabs>
        <w:rPr>
          <w:szCs w:val="24"/>
        </w:rPr>
      </w:pPr>
      <w:r w:rsidRPr="00770908">
        <w:rPr>
          <w:szCs w:val="24"/>
        </w:rPr>
        <w:t>An application requesting Medicare Benefits Schedule (MBS) listing of insertion, adjustment and removal of synthetic slings for the treatment of male stress urinary incontinence was received from American Medical Systems Austra</w:t>
      </w:r>
      <w:r>
        <w:rPr>
          <w:szCs w:val="24"/>
        </w:rPr>
        <w:t>lia Pty Ltd.</w:t>
      </w:r>
      <w:r w:rsidR="006031FD">
        <w:rPr>
          <w:szCs w:val="24"/>
        </w:rPr>
        <w:t xml:space="preserve"> The evidence for assessment of this application was submitted </w:t>
      </w:r>
      <w:r w:rsidR="001C7F99">
        <w:rPr>
          <w:szCs w:val="24"/>
        </w:rPr>
        <w:t>in March 2015.</w:t>
      </w:r>
    </w:p>
    <w:p w:rsidR="003D7F29" w:rsidRPr="009635B3" w:rsidRDefault="003D7F29" w:rsidP="006D0471">
      <w:pPr>
        <w:tabs>
          <w:tab w:val="left" w:pos="3735"/>
        </w:tabs>
        <w:rPr>
          <w:szCs w:val="24"/>
        </w:rPr>
      </w:pPr>
    </w:p>
    <w:p w:rsidR="00E977EE" w:rsidRDefault="00E977EE" w:rsidP="00E977EE">
      <w:pPr>
        <w:pStyle w:val="Heading1"/>
        <w:numPr>
          <w:ilvl w:val="0"/>
          <w:numId w:val="23"/>
        </w:numPr>
        <w:ind w:hanging="720"/>
      </w:pPr>
      <w:r w:rsidRPr="008D5885">
        <w:t>MSAC’s advice to the Minister</w:t>
      </w:r>
    </w:p>
    <w:p w:rsidR="00E977EE" w:rsidRPr="009635B3" w:rsidRDefault="00E977EE" w:rsidP="00E977EE">
      <w:pPr>
        <w:tabs>
          <w:tab w:val="left" w:pos="720"/>
        </w:tabs>
        <w:ind w:left="709" w:hanging="709"/>
        <w:rPr>
          <w:szCs w:val="24"/>
        </w:rPr>
      </w:pPr>
    </w:p>
    <w:p w:rsidR="000F65C8" w:rsidRDefault="000F65C8" w:rsidP="000F65C8">
      <w:r>
        <w:t>After considering the available evidence presented in relation to safety, clinical effectiveness and cost-effectiveness of synthetic sling</w:t>
      </w:r>
      <w:r w:rsidR="009635B3">
        <w:t>s</w:t>
      </w:r>
      <w:r>
        <w:t xml:space="preserve"> for the treatment of male stress urinary incontinence, </w:t>
      </w:r>
      <w:r w:rsidRPr="006E369E">
        <w:t>MSAC supported</w:t>
      </w:r>
      <w:r>
        <w:t xml:space="preserve"> public funding </w:t>
      </w:r>
      <w:r w:rsidRPr="006E369E">
        <w:t xml:space="preserve">of </w:t>
      </w:r>
      <w:r>
        <w:t xml:space="preserve">two </w:t>
      </w:r>
      <w:r w:rsidRPr="006E369E">
        <w:t>new MBS item</w:t>
      </w:r>
      <w:r>
        <w:t>s</w:t>
      </w:r>
      <w:r w:rsidRPr="006E369E">
        <w:t xml:space="preserve"> for</w:t>
      </w:r>
      <w:r>
        <w:t xml:space="preserve"> insertion and removal of synthetic slings for the treatment of male stress urinary incontinence at the same fee as existing MBS items 37042</w:t>
      </w:r>
      <w:r w:rsidR="009635B3">
        <w:t xml:space="preserve"> and 37341</w:t>
      </w:r>
      <w:r>
        <w:t>.</w:t>
      </w:r>
    </w:p>
    <w:p w:rsidR="00D25F35" w:rsidRDefault="00D25F35" w:rsidP="000F65C8"/>
    <w:p w:rsidR="000F65C8" w:rsidRDefault="000F65C8" w:rsidP="000F65C8">
      <w:r>
        <w:t xml:space="preserve">MSAC suggested that </w:t>
      </w:r>
      <w:r w:rsidR="009E340E">
        <w:t xml:space="preserve">the </w:t>
      </w:r>
      <w:r w:rsidR="009E340E" w:rsidRPr="009E340E">
        <w:t xml:space="preserve">Prostheses List Advisory Committee (PLAC) </w:t>
      </w:r>
      <w:r>
        <w:t>may wish to consider negotiating the cost of the synthetic sling with the applicant.</w:t>
      </w:r>
    </w:p>
    <w:p w:rsidR="000F65C8" w:rsidRDefault="000F65C8" w:rsidP="000F65C8"/>
    <w:p w:rsidR="009635B3" w:rsidRPr="00786627" w:rsidRDefault="000F65C8" w:rsidP="009635B3">
      <w:r>
        <w:t xml:space="preserve">MSAC did not support public funding of </w:t>
      </w:r>
      <w:r w:rsidR="009962E3">
        <w:t xml:space="preserve">the insertion of </w:t>
      </w:r>
      <w:r>
        <w:t xml:space="preserve">adjustable </w:t>
      </w:r>
      <w:r w:rsidR="00257D66">
        <w:t xml:space="preserve">male urinary </w:t>
      </w:r>
      <w:r>
        <w:t>synthetic</w:t>
      </w:r>
      <w:r w:rsidR="009635B3">
        <w:t xml:space="preserve"> slings due to </w:t>
      </w:r>
      <w:r w:rsidR="009962E3">
        <w:t xml:space="preserve">their </w:t>
      </w:r>
      <w:r w:rsidR="009635B3">
        <w:t xml:space="preserve">inferior safety. MSAC therefore did not support public funding of </w:t>
      </w:r>
      <w:r w:rsidR="009635B3" w:rsidRPr="000F65C8">
        <w:rPr>
          <w:szCs w:val="24"/>
        </w:rPr>
        <w:t>an MBS item for synthetic sling adjustment.</w:t>
      </w:r>
    </w:p>
    <w:p w:rsidR="00E977EE" w:rsidRPr="000F65C8" w:rsidRDefault="00E977EE" w:rsidP="000F65C8"/>
    <w:p w:rsidR="00E977EE" w:rsidRPr="009635B3" w:rsidRDefault="00E977EE" w:rsidP="000F65C8">
      <w:pPr>
        <w:pStyle w:val="Default"/>
        <w:rPr>
          <w:color w:val="auto"/>
        </w:rPr>
      </w:pPr>
    </w:p>
    <w:p w:rsidR="00550354" w:rsidRDefault="00550354" w:rsidP="00550354">
      <w:pPr>
        <w:pStyle w:val="Heading1"/>
        <w:numPr>
          <w:ilvl w:val="0"/>
          <w:numId w:val="23"/>
        </w:numPr>
        <w:ind w:hanging="720"/>
      </w:pPr>
      <w:r w:rsidRPr="008D5885">
        <w:t>Summary of consideration and rationale for MSAC’s advice</w:t>
      </w:r>
      <w:r w:rsidRPr="00707064">
        <w:t xml:space="preserve"> </w:t>
      </w:r>
    </w:p>
    <w:p w:rsidR="00550354" w:rsidRDefault="00550354" w:rsidP="00550354">
      <w:pPr>
        <w:rPr>
          <w:szCs w:val="24"/>
        </w:rPr>
      </w:pPr>
    </w:p>
    <w:p w:rsidR="000F65C8" w:rsidRDefault="000F65C8" w:rsidP="000F65C8">
      <w:r>
        <w:t xml:space="preserve">MSAC noted that the application for insertion, adjustment and removal of </w:t>
      </w:r>
      <w:r w:rsidR="005150B8">
        <w:t xml:space="preserve">male urinary </w:t>
      </w:r>
      <w:r>
        <w:t>synthetic sling prostheses (adjustable and non-adjustable) proposed three new MBS item numbers with a fee structure for the insertion and removal items higher than that for autologou</w:t>
      </w:r>
      <w:r w:rsidR="009635B3">
        <w:t>s sling insertion and removal.</w:t>
      </w:r>
    </w:p>
    <w:p w:rsidR="000F65C8" w:rsidRDefault="000F65C8" w:rsidP="000F65C8">
      <w:r>
        <w:lastRenderedPageBreak/>
        <w:t>MSAC considered the safety, eff</w:t>
      </w:r>
      <w:r w:rsidR="005150B8">
        <w:t>ectiveness</w:t>
      </w:r>
      <w:r>
        <w:t xml:space="preserve"> and cost effectiveness of insertion, adjustment and removal of synthetic sling</w:t>
      </w:r>
      <w:r w:rsidR="00386CE3">
        <w:t>s (adjustable and non-adjustable)</w:t>
      </w:r>
      <w:r>
        <w:t xml:space="preserve"> in males with urinary stress incontinence compared to autologous fascial slings. MSAC noted that there were no comparative studies presented and</w:t>
      </w:r>
      <w:r w:rsidR="00386CE3">
        <w:t xml:space="preserve"> the</w:t>
      </w:r>
      <w:r>
        <w:t xml:space="preserve"> clinical evidence was sourced from prospective single</w:t>
      </w:r>
      <w:r w:rsidR="00092996">
        <w:t>-</w:t>
      </w:r>
      <w:r>
        <w:t xml:space="preserve">arm studies or retrospective analyses. However, there was over ten years of data on the use of </w:t>
      </w:r>
      <w:r w:rsidR="005150B8">
        <w:t xml:space="preserve">male urinary </w:t>
      </w:r>
      <w:r>
        <w:t>synthetic slings</w:t>
      </w:r>
      <w:r w:rsidR="005150B8">
        <w:t>,</w:t>
      </w:r>
      <w:r>
        <w:t xml:space="preserve"> and the relevant outcomes </w:t>
      </w:r>
      <w:r w:rsidR="00BB474C">
        <w:t xml:space="preserve">such as the reduction in the number of pads used per day </w:t>
      </w:r>
      <w:r w:rsidR="005150B8">
        <w:t>following successful</w:t>
      </w:r>
      <w:r>
        <w:t xml:space="preserve"> synthetic and autologous sling insertion appear to be </w:t>
      </w:r>
      <w:r w:rsidR="005150B8">
        <w:t>similar</w:t>
      </w:r>
      <w:r>
        <w:t xml:space="preserve">. </w:t>
      </w:r>
      <w:r w:rsidR="00386CE3">
        <w:t>MSAC noted the pre-MSAC response from the applicant</w:t>
      </w:r>
      <w:r w:rsidR="00092996">
        <w:t>,</w:t>
      </w:r>
      <w:r w:rsidR="00386CE3">
        <w:t xml:space="preserve"> which stated that the use of </w:t>
      </w:r>
      <w:r w:rsidR="005150B8">
        <w:t xml:space="preserve">male urinary </w:t>
      </w:r>
      <w:r w:rsidR="00386CE3">
        <w:t>synthetic slings was a direct result of sub-optimal clinical outcomes from autologous slings, however there was no comparative evidence presented to support this claim.</w:t>
      </w:r>
      <w:r w:rsidR="005150B8">
        <w:t xml:space="preserve"> MSAC understood the rationale to be that, in some cases there may be insufficient </w:t>
      </w:r>
      <w:r w:rsidR="009F091A">
        <w:t>fascia</w:t>
      </w:r>
      <w:r w:rsidR="005150B8">
        <w:t xml:space="preserve"> found during the procedure to create an autologous sling, and it is not possible to complete the procedure successfully and switching to insert a synthetic sling mid-procedure is not possible. MSAC accepted that it was plausible that</w:t>
      </w:r>
      <w:r w:rsidR="004C4558">
        <w:t>, compared with autologous slings,</w:t>
      </w:r>
      <w:r w:rsidR="005150B8">
        <w:t xml:space="preserve"> male urinary synthetic slings may be associated with a greater rate of successful procedures.</w:t>
      </w:r>
    </w:p>
    <w:p w:rsidR="000F65C8" w:rsidRDefault="000F65C8" w:rsidP="000F65C8"/>
    <w:p w:rsidR="000F65C8" w:rsidRDefault="000F65C8" w:rsidP="000F65C8">
      <w:r>
        <w:t xml:space="preserve">MSAC agreed that in general there were no additional safety concerns with the insertion of a non-adjustable </w:t>
      </w:r>
      <w:r w:rsidR="005150B8">
        <w:t xml:space="preserve">male urinary </w:t>
      </w:r>
      <w:r>
        <w:t xml:space="preserve">synthetic sling compared to an autologous sling. However, MSAC did not consider the safety profile of the adjustable slings to be acceptable due to the much higher incidence of urethral erosion with the adjustable Argus sling (13%) and that bladder perforation was only reported with the adjustable slings (Argus and </w:t>
      </w:r>
      <w:proofErr w:type="spellStart"/>
      <w:r>
        <w:t>Remeex</w:t>
      </w:r>
      <w:proofErr w:type="spellEnd"/>
      <w:r>
        <w:t>). In addition, the Argus sling had the highest removal and adjustmen</w:t>
      </w:r>
      <w:r w:rsidR="009635B3">
        <w:t>t rate of the synthetic slings.</w:t>
      </w:r>
      <w:r w:rsidR="005150B8">
        <w:t xml:space="preserve"> Accordingly, MSAC </w:t>
      </w:r>
      <w:r w:rsidR="009962E3">
        <w:t xml:space="preserve">did not support public funding of the insertion of adjustable </w:t>
      </w:r>
      <w:r w:rsidR="00257D66">
        <w:t xml:space="preserve">male urinary </w:t>
      </w:r>
      <w:r w:rsidR="009962E3">
        <w:t xml:space="preserve">synthetic slings and </w:t>
      </w:r>
      <w:r w:rsidR="005150B8">
        <w:t xml:space="preserve">also did not support public funding of </w:t>
      </w:r>
      <w:r w:rsidR="005150B8" w:rsidRPr="000F65C8">
        <w:rPr>
          <w:szCs w:val="24"/>
        </w:rPr>
        <w:t xml:space="preserve">an MBS item </w:t>
      </w:r>
      <w:r w:rsidR="005150B8">
        <w:rPr>
          <w:szCs w:val="24"/>
        </w:rPr>
        <w:t xml:space="preserve">to adjust a male urinary </w:t>
      </w:r>
      <w:r w:rsidR="005150B8" w:rsidRPr="000F65C8">
        <w:rPr>
          <w:szCs w:val="24"/>
        </w:rPr>
        <w:t>synthetic sling.</w:t>
      </w:r>
    </w:p>
    <w:p w:rsidR="000F65C8" w:rsidRDefault="000F65C8" w:rsidP="000F65C8"/>
    <w:p w:rsidR="000F65C8" w:rsidRDefault="000F65C8" w:rsidP="000F65C8">
      <w:r>
        <w:t xml:space="preserve">MSAC </w:t>
      </w:r>
      <w:r w:rsidR="005150B8">
        <w:t xml:space="preserve">did not support </w:t>
      </w:r>
      <w:r>
        <w:t xml:space="preserve">the request for a higher MBS rebate for the items </w:t>
      </w:r>
      <w:r w:rsidR="005150B8">
        <w:t xml:space="preserve">to insert and remove male urinary synthetic slings, </w:t>
      </w:r>
      <w:r>
        <w:t xml:space="preserve">noting that there is no evidence to suggest the </w:t>
      </w:r>
      <w:r w:rsidR="004C4558">
        <w:t xml:space="preserve">male urinary </w:t>
      </w:r>
      <w:r>
        <w:t xml:space="preserve">synthetic slings are clinically more effective than autologous slings. MSAC noted that the applicant suggested that the fee structure for </w:t>
      </w:r>
      <w:r w:rsidR="004C4558">
        <w:t xml:space="preserve">male urinary </w:t>
      </w:r>
      <w:r>
        <w:t>synthetic sling insertion should be higher due to increased surgical time</w:t>
      </w:r>
      <w:r w:rsidR="00386CE3">
        <w:t xml:space="preserve"> and difficulty</w:t>
      </w:r>
      <w:r>
        <w:t xml:space="preserve">. </w:t>
      </w:r>
    </w:p>
    <w:p w:rsidR="00C3175B" w:rsidRDefault="00C3175B" w:rsidP="000F65C8"/>
    <w:p w:rsidR="000F65C8" w:rsidRDefault="000F65C8" w:rsidP="000F65C8">
      <w:r>
        <w:t xml:space="preserve">MSAC also expressed concern over the </w:t>
      </w:r>
      <w:r w:rsidR="00C80538">
        <w:t xml:space="preserve">high </w:t>
      </w:r>
      <w:r>
        <w:t xml:space="preserve">price of the </w:t>
      </w:r>
      <w:r w:rsidR="004C4558">
        <w:t xml:space="preserve">male urinary </w:t>
      </w:r>
      <w:r>
        <w:t xml:space="preserve">synthetic slings, particularly as no evidence </w:t>
      </w:r>
      <w:r w:rsidR="00C80538">
        <w:t xml:space="preserve">provided demonstrated that male urinary </w:t>
      </w:r>
      <w:r>
        <w:t>synthetic sling</w:t>
      </w:r>
      <w:r w:rsidR="00C80538">
        <w:t>s generated</w:t>
      </w:r>
      <w:r>
        <w:t xml:space="preserve"> better patient outcomes</w:t>
      </w:r>
      <w:r w:rsidR="00C80538">
        <w:t xml:space="preserve"> than autologous slings</w:t>
      </w:r>
      <w:r>
        <w:t xml:space="preserve">. MSAC considered that the additional cost of the </w:t>
      </w:r>
      <w:r w:rsidR="004C4558">
        <w:t xml:space="preserve">male urinary </w:t>
      </w:r>
      <w:r>
        <w:t xml:space="preserve">synthetic </w:t>
      </w:r>
      <w:r w:rsidR="00C80538">
        <w:t>sling</w:t>
      </w:r>
      <w:r>
        <w:t xml:space="preserve"> may not be </w:t>
      </w:r>
      <w:r w:rsidR="00C80538">
        <w:t xml:space="preserve">adequately </w:t>
      </w:r>
      <w:r>
        <w:t xml:space="preserve">justified and suggested that PLAC may wish to review the </w:t>
      </w:r>
      <w:r w:rsidR="00C80538">
        <w:t>benefit paid for the applicant’s sling and the slings of the applicant’s competitors</w:t>
      </w:r>
      <w:r>
        <w:t>.</w:t>
      </w:r>
    </w:p>
    <w:p w:rsidR="00550354" w:rsidRPr="00707064" w:rsidRDefault="00550354" w:rsidP="00550354">
      <w:pPr>
        <w:rPr>
          <w:szCs w:val="24"/>
        </w:rPr>
      </w:pPr>
    </w:p>
    <w:p w:rsidR="00BC1364" w:rsidRPr="00D90A38" w:rsidRDefault="00BC1364" w:rsidP="00EC2574">
      <w:pPr>
        <w:pStyle w:val="Heading1"/>
        <w:numPr>
          <w:ilvl w:val="0"/>
          <w:numId w:val="23"/>
        </w:numPr>
        <w:ind w:hanging="720"/>
      </w:pPr>
      <w:r w:rsidRPr="00D90A38">
        <w:t>Background</w:t>
      </w:r>
    </w:p>
    <w:p w:rsidR="007B32D1" w:rsidRPr="0031062F" w:rsidRDefault="007B32D1" w:rsidP="007B32D1">
      <w:pPr>
        <w:rPr>
          <w:highlight w:val="yellow"/>
        </w:rPr>
      </w:pPr>
    </w:p>
    <w:p w:rsidR="00BA72D2" w:rsidRDefault="004D0BB5" w:rsidP="004D0BB5">
      <w:pPr>
        <w:tabs>
          <w:tab w:val="left" w:pos="720"/>
          <w:tab w:val="left" w:pos="1140"/>
        </w:tabs>
        <w:rPr>
          <w:szCs w:val="24"/>
        </w:rPr>
      </w:pPr>
      <w:r w:rsidRPr="00491E65">
        <w:rPr>
          <w:szCs w:val="24"/>
        </w:rPr>
        <w:t xml:space="preserve">Insertion and removal of autologous and synthetic slings are currently claimed for males and females under MBS item 37042 (insertion) and item 37341 (division or removal). However, given that the descriptor for item 37042 is limited to autologous fascial slings, an MSAC application was initiated to consider MBS funding for the insertion of </w:t>
      </w:r>
      <w:r w:rsidR="0031062F" w:rsidRPr="00491E65">
        <w:t xml:space="preserve">male urinary </w:t>
      </w:r>
      <w:r w:rsidRPr="00491E65">
        <w:rPr>
          <w:szCs w:val="24"/>
        </w:rPr>
        <w:t>synthetic slings. There is currently no relevant MBS item for synthetic sling adjustment, but item 37341 covers division of a sling where there is urethral obstruction or erosion.</w:t>
      </w:r>
    </w:p>
    <w:p w:rsidR="00BA72D2" w:rsidRDefault="00BA72D2">
      <w:pPr>
        <w:rPr>
          <w:szCs w:val="24"/>
        </w:rPr>
      </w:pPr>
      <w:r>
        <w:rPr>
          <w:szCs w:val="24"/>
        </w:rPr>
        <w:br w:type="page"/>
      </w:r>
    </w:p>
    <w:p w:rsidR="00BC1364" w:rsidRPr="00D90A38" w:rsidRDefault="00BC1364" w:rsidP="00EC2574">
      <w:pPr>
        <w:pStyle w:val="Heading1"/>
        <w:numPr>
          <w:ilvl w:val="0"/>
          <w:numId w:val="23"/>
        </w:numPr>
        <w:ind w:hanging="720"/>
      </w:pPr>
      <w:r w:rsidRPr="00D90A38">
        <w:lastRenderedPageBreak/>
        <w:t>Prerequisites to implementation of any funding advice</w:t>
      </w:r>
    </w:p>
    <w:p w:rsidR="00BC1364" w:rsidRPr="009635B3" w:rsidRDefault="00BC1364" w:rsidP="009635B3">
      <w:pPr>
        <w:tabs>
          <w:tab w:val="left" w:pos="720"/>
          <w:tab w:val="left" w:pos="1140"/>
        </w:tabs>
        <w:rPr>
          <w:szCs w:val="24"/>
        </w:rPr>
      </w:pPr>
    </w:p>
    <w:p w:rsidR="00C40591" w:rsidRDefault="00EC2574" w:rsidP="00EC2574">
      <w:pPr>
        <w:rPr>
          <w:rFonts w:eastAsia="SimSun"/>
          <w:szCs w:val="24"/>
          <w:lang w:eastAsia="ja-JP"/>
        </w:rPr>
      </w:pPr>
      <w:r>
        <w:rPr>
          <w:rFonts w:eastAsia="SimSun"/>
          <w:szCs w:val="24"/>
          <w:lang w:eastAsia="ja-JP"/>
        </w:rPr>
        <w:t>Currently there are six</w:t>
      </w:r>
      <w:r w:rsidR="006D0471" w:rsidRPr="00D11A4C">
        <w:rPr>
          <w:rFonts w:eastAsia="SimSun"/>
          <w:szCs w:val="24"/>
          <w:lang w:eastAsia="ja-JP"/>
        </w:rPr>
        <w:t xml:space="preserve"> </w:t>
      </w:r>
      <w:r w:rsidR="00D11102">
        <w:rPr>
          <w:rFonts w:eastAsia="SimSun"/>
          <w:szCs w:val="24"/>
          <w:lang w:eastAsia="ja-JP"/>
        </w:rPr>
        <w:t xml:space="preserve">male </w:t>
      </w:r>
      <w:r w:rsidR="006D0471" w:rsidRPr="00D11A4C">
        <w:rPr>
          <w:rFonts w:eastAsia="SimSun"/>
          <w:szCs w:val="24"/>
          <w:lang w:eastAsia="ja-JP"/>
        </w:rPr>
        <w:t xml:space="preserve">urinary </w:t>
      </w:r>
      <w:r w:rsidR="00D11102">
        <w:rPr>
          <w:rFonts w:eastAsia="SimSun"/>
          <w:szCs w:val="24"/>
          <w:lang w:eastAsia="ja-JP"/>
        </w:rPr>
        <w:t xml:space="preserve">synthetic </w:t>
      </w:r>
      <w:r w:rsidR="006D0471" w:rsidRPr="00D11A4C">
        <w:rPr>
          <w:rFonts w:eastAsia="SimSun"/>
          <w:szCs w:val="24"/>
          <w:lang w:eastAsia="ja-JP"/>
        </w:rPr>
        <w:t xml:space="preserve">slings available </w:t>
      </w:r>
      <w:r w:rsidR="001A4906">
        <w:rPr>
          <w:rFonts w:eastAsia="SimSun"/>
          <w:szCs w:val="24"/>
          <w:lang w:eastAsia="ja-JP"/>
        </w:rPr>
        <w:t>i</w:t>
      </w:r>
      <w:r w:rsidR="006D0471" w:rsidRPr="00D11A4C">
        <w:rPr>
          <w:rFonts w:eastAsia="SimSun"/>
          <w:szCs w:val="24"/>
          <w:lang w:eastAsia="ja-JP"/>
        </w:rPr>
        <w:t xml:space="preserve">n the </w:t>
      </w:r>
      <w:r w:rsidR="004D0BB5" w:rsidRPr="00D11A4C">
        <w:rPr>
          <w:rFonts w:eastAsia="SimSun"/>
          <w:szCs w:val="24"/>
          <w:lang w:eastAsia="ja-JP"/>
        </w:rPr>
        <w:t>P</w:t>
      </w:r>
      <w:r w:rsidR="006D0471" w:rsidRPr="00D11A4C">
        <w:rPr>
          <w:rFonts w:eastAsia="SimSun"/>
          <w:szCs w:val="24"/>
          <w:lang w:eastAsia="ja-JP"/>
        </w:rPr>
        <w:t xml:space="preserve">rostheses </w:t>
      </w:r>
      <w:r w:rsidR="004D0BB5" w:rsidRPr="00D11A4C">
        <w:rPr>
          <w:rFonts w:eastAsia="SimSun"/>
          <w:szCs w:val="24"/>
          <w:lang w:eastAsia="ja-JP"/>
        </w:rPr>
        <w:t>L</w:t>
      </w:r>
      <w:r w:rsidR="006D0471" w:rsidRPr="00D11A4C">
        <w:rPr>
          <w:rFonts w:eastAsia="SimSun"/>
          <w:szCs w:val="24"/>
          <w:lang w:eastAsia="ja-JP"/>
        </w:rPr>
        <w:t>ist</w:t>
      </w:r>
      <w:r w:rsidR="00257D66">
        <w:rPr>
          <w:rFonts w:eastAsia="SimSun"/>
          <w:szCs w:val="24"/>
          <w:lang w:eastAsia="ja-JP"/>
        </w:rPr>
        <w:t xml:space="preserve"> </w:t>
      </w:r>
      <w:r w:rsidR="00257D66">
        <w:t>(both adjustable and non-adjustable)</w:t>
      </w:r>
      <w:r w:rsidR="004D0BB5">
        <w:rPr>
          <w:rFonts w:eastAsia="SimSun"/>
          <w:szCs w:val="24"/>
          <w:lang w:eastAsia="ja-JP"/>
        </w:rPr>
        <w:t>, each</w:t>
      </w:r>
      <w:r w:rsidR="006D0471" w:rsidRPr="00D11A4C">
        <w:rPr>
          <w:rFonts w:eastAsia="SimSun"/>
          <w:szCs w:val="24"/>
          <w:lang w:eastAsia="ja-JP"/>
        </w:rPr>
        <w:t xml:space="preserve"> </w:t>
      </w:r>
      <w:r>
        <w:rPr>
          <w:rFonts w:eastAsia="SimSun"/>
          <w:szCs w:val="24"/>
          <w:lang w:eastAsia="ja-JP"/>
        </w:rPr>
        <w:t xml:space="preserve">with a benefit </w:t>
      </w:r>
      <w:r w:rsidR="00D11102">
        <w:rPr>
          <w:rFonts w:eastAsia="SimSun"/>
          <w:szCs w:val="24"/>
          <w:lang w:eastAsia="ja-JP"/>
        </w:rPr>
        <w:t xml:space="preserve">to be paid by private insurance </w:t>
      </w:r>
      <w:r>
        <w:rPr>
          <w:rFonts w:eastAsia="SimSun"/>
          <w:szCs w:val="24"/>
          <w:lang w:eastAsia="ja-JP"/>
        </w:rPr>
        <w:t>of $5,718</w:t>
      </w:r>
      <w:r w:rsidR="009635B3">
        <w:rPr>
          <w:rFonts w:eastAsia="SimSun"/>
          <w:szCs w:val="24"/>
          <w:lang w:eastAsia="ja-JP"/>
        </w:rPr>
        <w:t>.</w:t>
      </w:r>
    </w:p>
    <w:p w:rsidR="00C40591" w:rsidRDefault="00C40591" w:rsidP="00EC2574">
      <w:pPr>
        <w:rPr>
          <w:rFonts w:eastAsia="SimSun"/>
          <w:szCs w:val="24"/>
          <w:lang w:eastAsia="ja-JP"/>
        </w:rPr>
      </w:pPr>
    </w:p>
    <w:p w:rsidR="006D0471" w:rsidRPr="00D11A4C" w:rsidRDefault="006D0471" w:rsidP="00EC2574">
      <w:pPr>
        <w:rPr>
          <w:rFonts w:eastAsia="SimSun"/>
          <w:b/>
          <w:bCs/>
          <w:szCs w:val="24"/>
          <w:lang w:eastAsia="ja-JP"/>
        </w:rPr>
      </w:pPr>
      <w:r w:rsidRPr="00D11A4C">
        <w:rPr>
          <w:rFonts w:eastAsia="SimSun"/>
          <w:szCs w:val="24"/>
          <w:lang w:eastAsia="ja-JP"/>
        </w:rPr>
        <w:t xml:space="preserve">The proposed MBS items for insertion, adjustment or removal of male urinary synthetic slings may be used in combination with any of the ARTG listed male urinary </w:t>
      </w:r>
      <w:r w:rsidR="00D11102">
        <w:rPr>
          <w:rFonts w:eastAsia="SimSun"/>
          <w:szCs w:val="24"/>
          <w:lang w:eastAsia="ja-JP"/>
        </w:rPr>
        <w:t xml:space="preserve">synthetic </w:t>
      </w:r>
      <w:r w:rsidRPr="00D11A4C">
        <w:rPr>
          <w:rFonts w:eastAsia="SimSun"/>
          <w:szCs w:val="24"/>
          <w:lang w:eastAsia="ja-JP"/>
        </w:rPr>
        <w:t xml:space="preserve">slings (and implicitly, any </w:t>
      </w:r>
      <w:r w:rsidR="00D11102">
        <w:rPr>
          <w:rFonts w:eastAsia="SimSun"/>
          <w:szCs w:val="24"/>
          <w:lang w:eastAsia="ja-JP"/>
        </w:rPr>
        <w:t xml:space="preserve">male urinary </w:t>
      </w:r>
      <w:r w:rsidRPr="00D11A4C">
        <w:rPr>
          <w:rFonts w:eastAsia="SimSun"/>
          <w:szCs w:val="24"/>
          <w:lang w:eastAsia="ja-JP"/>
        </w:rPr>
        <w:t>syntheti</w:t>
      </w:r>
      <w:r w:rsidR="009635B3">
        <w:rPr>
          <w:rFonts w:eastAsia="SimSun"/>
          <w:szCs w:val="24"/>
          <w:lang w:eastAsia="ja-JP"/>
        </w:rPr>
        <w:t>c slings listed in the future).</w:t>
      </w:r>
    </w:p>
    <w:p w:rsidR="006D0471" w:rsidRDefault="006D0471" w:rsidP="006D0471"/>
    <w:p w:rsidR="00BC1364" w:rsidRPr="007B32D1" w:rsidRDefault="00BC1364" w:rsidP="007B32D1">
      <w:pPr>
        <w:pStyle w:val="Heading1"/>
        <w:numPr>
          <w:ilvl w:val="0"/>
          <w:numId w:val="23"/>
        </w:numPr>
        <w:ind w:hanging="720"/>
      </w:pPr>
      <w:r w:rsidRPr="007B32D1">
        <w:t>Proposal for public funding</w:t>
      </w:r>
    </w:p>
    <w:p w:rsidR="00BC1364" w:rsidRDefault="00BC1364" w:rsidP="00AB3BFC">
      <w:pPr>
        <w:tabs>
          <w:tab w:val="left" w:pos="720"/>
          <w:tab w:val="left" w:pos="1140"/>
        </w:tabs>
        <w:rPr>
          <w:sz w:val="23"/>
          <w:szCs w:val="23"/>
        </w:rPr>
      </w:pPr>
    </w:p>
    <w:p w:rsidR="006515D1" w:rsidRDefault="006D0471" w:rsidP="006515D1">
      <w:pPr>
        <w:tabs>
          <w:tab w:val="left" w:pos="720"/>
          <w:tab w:val="left" w:pos="1140"/>
        </w:tabs>
        <w:rPr>
          <w:szCs w:val="24"/>
        </w:rPr>
      </w:pPr>
      <w:r w:rsidRPr="00EB7168">
        <w:rPr>
          <w:szCs w:val="24"/>
        </w:rPr>
        <w:t xml:space="preserve">The </w:t>
      </w:r>
      <w:r>
        <w:rPr>
          <w:szCs w:val="24"/>
        </w:rPr>
        <w:t xml:space="preserve">applicant </w:t>
      </w:r>
      <w:r w:rsidRPr="00EB7168">
        <w:rPr>
          <w:szCs w:val="24"/>
        </w:rPr>
        <w:t>proposed three new MBS items for male stress urina</w:t>
      </w:r>
      <w:r w:rsidR="00D11102">
        <w:rPr>
          <w:szCs w:val="24"/>
        </w:rPr>
        <w:t xml:space="preserve">ry incontinence with new fees. </w:t>
      </w:r>
      <w:r w:rsidR="006515D1" w:rsidRPr="00C41B16">
        <w:rPr>
          <w:szCs w:val="24"/>
        </w:rPr>
        <w:t xml:space="preserve">The applicant requested a higher </w:t>
      </w:r>
      <w:r w:rsidR="006515D1">
        <w:rPr>
          <w:szCs w:val="24"/>
        </w:rPr>
        <w:t xml:space="preserve">MBS </w:t>
      </w:r>
      <w:r w:rsidR="006515D1" w:rsidRPr="00C41B16">
        <w:rPr>
          <w:szCs w:val="24"/>
        </w:rPr>
        <w:t xml:space="preserve">fee for items for the insertion and removal </w:t>
      </w:r>
      <w:r w:rsidR="009E340E" w:rsidRPr="00C41B16">
        <w:rPr>
          <w:szCs w:val="24"/>
        </w:rPr>
        <w:t xml:space="preserve">of </w:t>
      </w:r>
      <w:r w:rsidR="00D11102">
        <w:rPr>
          <w:szCs w:val="24"/>
        </w:rPr>
        <w:t xml:space="preserve">male urinary </w:t>
      </w:r>
      <w:r w:rsidR="009E340E" w:rsidRPr="00C41B16">
        <w:rPr>
          <w:szCs w:val="24"/>
        </w:rPr>
        <w:t xml:space="preserve">synthetic slings </w:t>
      </w:r>
      <w:r w:rsidR="009E340E">
        <w:rPr>
          <w:szCs w:val="24"/>
        </w:rPr>
        <w:t xml:space="preserve">than </w:t>
      </w:r>
      <w:r w:rsidR="006515D1" w:rsidRPr="00C41B16">
        <w:rPr>
          <w:szCs w:val="24"/>
        </w:rPr>
        <w:t>autologous slings</w:t>
      </w:r>
      <w:r w:rsidR="009E340E">
        <w:rPr>
          <w:szCs w:val="24"/>
        </w:rPr>
        <w:t xml:space="preserve"> </w:t>
      </w:r>
      <w:r w:rsidR="006515D1" w:rsidRPr="00C41B16">
        <w:rPr>
          <w:szCs w:val="24"/>
        </w:rPr>
        <w:t>because the insertion and removal are more complex and time consuming.</w:t>
      </w:r>
    </w:p>
    <w:p w:rsidR="006515D1" w:rsidRDefault="006515D1" w:rsidP="006D0471">
      <w:pPr>
        <w:rPr>
          <w:szCs w:val="24"/>
        </w:rPr>
      </w:pPr>
    </w:p>
    <w:p w:rsidR="006D0471" w:rsidRPr="00EB7168" w:rsidRDefault="006D0471" w:rsidP="006D0471">
      <w:pPr>
        <w:rPr>
          <w:szCs w:val="24"/>
        </w:rPr>
      </w:pPr>
      <w:r w:rsidRPr="00EB7168">
        <w:rPr>
          <w:szCs w:val="24"/>
        </w:rPr>
        <w:t xml:space="preserve">The proposed </w:t>
      </w:r>
      <w:r>
        <w:rPr>
          <w:szCs w:val="24"/>
        </w:rPr>
        <w:t xml:space="preserve">items </w:t>
      </w:r>
      <w:r w:rsidRPr="00EB7168">
        <w:rPr>
          <w:szCs w:val="24"/>
        </w:rPr>
        <w:t>are</w:t>
      </w:r>
      <w:r>
        <w:rPr>
          <w:szCs w:val="24"/>
        </w:rPr>
        <w:t xml:space="preserve"> as follows</w:t>
      </w:r>
      <w:r w:rsidRPr="00EB7168">
        <w:rPr>
          <w:szCs w:val="24"/>
        </w:rPr>
        <w:t>:</w:t>
      </w:r>
    </w:p>
    <w:p w:rsidR="006D0471" w:rsidRDefault="006D0471" w:rsidP="006D0471">
      <w:pPr>
        <w:rPr>
          <w:szCs w:val="24"/>
        </w:rPr>
      </w:pPr>
    </w:p>
    <w:p w:rsidR="0031062F" w:rsidRPr="00BC1197" w:rsidRDefault="006D0471" w:rsidP="0031062F">
      <w:pPr>
        <w:keepNext/>
        <w:spacing w:after="40"/>
        <w:ind w:left="709" w:hanging="709"/>
        <w:rPr>
          <w:rFonts w:ascii="Tahoma" w:hAnsi="Tahoma" w:cs="Tahoma"/>
          <w:b/>
          <w:sz w:val="20"/>
          <w:lang w:val="en-GB" w:eastAsia="ja-JP"/>
        </w:rPr>
      </w:pPr>
      <w:r w:rsidRPr="00D122C9">
        <w:rPr>
          <w:rFonts w:ascii="Tahoma" w:hAnsi="Tahoma" w:cs="Tahoma"/>
          <w:b/>
          <w:sz w:val="18"/>
          <w:szCs w:val="18"/>
          <w:lang w:val="en-GB" w:eastAsia="ja-JP"/>
        </w:rPr>
        <w:t xml:space="preserve">Proposed MBS item descriptor and MBS fee for </w:t>
      </w:r>
      <w:r w:rsidRPr="00D122C9">
        <w:rPr>
          <w:rFonts w:ascii="Tahoma" w:hAnsi="Tahoma" w:cs="Tahoma"/>
          <w:b/>
          <w:sz w:val="18"/>
          <w:szCs w:val="18"/>
          <w:u w:val="single"/>
          <w:lang w:val="en-GB" w:eastAsia="ja-JP"/>
        </w:rPr>
        <w:t>insertion</w:t>
      </w:r>
      <w:r w:rsidRPr="00D122C9">
        <w:rPr>
          <w:rFonts w:ascii="Tahoma" w:hAnsi="Tahoma" w:cs="Tahoma"/>
          <w:b/>
          <w:sz w:val="18"/>
          <w:szCs w:val="18"/>
          <w:lang w:val="en-GB" w:eastAsia="ja-JP"/>
        </w:rPr>
        <w:t xml:space="preserve"> of male</w:t>
      </w:r>
      <w:r w:rsidR="0031062F">
        <w:rPr>
          <w:rFonts w:ascii="Tahoma" w:hAnsi="Tahoma" w:cs="Tahoma"/>
          <w:b/>
          <w:sz w:val="18"/>
          <w:szCs w:val="18"/>
          <w:lang w:val="en-GB" w:eastAsia="ja-JP"/>
        </w:rPr>
        <w:t xml:space="preserve"> urinary</w:t>
      </w:r>
      <w:r w:rsidRPr="00D122C9">
        <w:rPr>
          <w:rFonts w:ascii="Tahoma" w:hAnsi="Tahoma" w:cs="Tahoma"/>
          <w:b/>
          <w:sz w:val="18"/>
          <w:szCs w:val="18"/>
          <w:lang w:val="en-GB" w:eastAsia="ja-JP"/>
        </w:rPr>
        <w:t xml:space="preserve"> synthetic sling</w:t>
      </w:r>
      <w:r w:rsidR="0031062F" w:rsidRPr="0031062F">
        <w:rPr>
          <w:rFonts w:ascii="Tahoma" w:hAnsi="Tahoma" w:cs="Tahoma"/>
          <w:b/>
          <w:sz w:val="20"/>
          <w:lang w:val="en-GB" w:eastAsia="ja-JP"/>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31062F" w:rsidRPr="00BC1197" w:rsidTr="00BB474C">
        <w:tc>
          <w:tcPr>
            <w:tcW w:w="9134" w:type="dxa"/>
          </w:tcPr>
          <w:p w:rsidR="0031062F" w:rsidRPr="00BC1197" w:rsidRDefault="0031062F" w:rsidP="00BB474C">
            <w:pPr>
              <w:spacing w:after="120"/>
              <w:jc w:val="right"/>
              <w:rPr>
                <w:rFonts w:ascii="Tahoma" w:eastAsia="SimSun" w:hAnsi="Tahoma" w:cs="Tahoma"/>
                <w:sz w:val="20"/>
                <w:lang w:eastAsia="ja-JP"/>
              </w:rPr>
            </w:pPr>
            <w:r w:rsidRPr="00BC1197">
              <w:rPr>
                <w:rFonts w:ascii="Tahoma" w:eastAsia="SimSun" w:hAnsi="Tahoma" w:cs="Tahoma"/>
                <w:sz w:val="20"/>
                <w:lang w:eastAsia="ja-JP"/>
              </w:rPr>
              <w:t>Category 3 – Therapeutic procedures</w:t>
            </w:r>
          </w:p>
        </w:tc>
      </w:tr>
      <w:tr w:rsidR="0031062F" w:rsidRPr="00BC1197" w:rsidTr="00BB474C">
        <w:tc>
          <w:tcPr>
            <w:tcW w:w="9134" w:type="dxa"/>
          </w:tcPr>
          <w:p w:rsidR="0031062F" w:rsidRPr="00BC1197" w:rsidRDefault="0031062F" w:rsidP="00BB474C">
            <w:pPr>
              <w:spacing w:after="120"/>
              <w:jc w:val="both"/>
              <w:rPr>
                <w:rFonts w:ascii="Tahoma" w:eastAsia="SimSun" w:hAnsi="Tahoma" w:cs="Tahoma"/>
                <w:sz w:val="20"/>
                <w:lang w:eastAsia="ja-JP"/>
              </w:rPr>
            </w:pPr>
            <w:r w:rsidRPr="00BC1197">
              <w:rPr>
                <w:rFonts w:ascii="Tahoma" w:eastAsia="SimSun" w:hAnsi="Tahoma" w:cs="Tahoma"/>
                <w:sz w:val="20"/>
                <w:lang w:eastAsia="ja-JP"/>
              </w:rPr>
              <w:t xml:space="preserve">MBS item </w:t>
            </w:r>
            <w:proofErr w:type="spellStart"/>
            <w:r w:rsidRPr="00BC1197">
              <w:rPr>
                <w:rFonts w:ascii="Tahoma" w:eastAsia="SimSun" w:hAnsi="Tahoma" w:cs="Tahoma"/>
                <w:sz w:val="20"/>
                <w:lang w:eastAsia="ja-JP"/>
              </w:rPr>
              <w:t>xxxxx</w:t>
            </w:r>
            <w:proofErr w:type="spellEnd"/>
          </w:p>
          <w:p w:rsidR="0031062F" w:rsidRPr="00BC1197" w:rsidRDefault="0031062F" w:rsidP="00BB474C">
            <w:pPr>
              <w:spacing w:after="120"/>
              <w:jc w:val="both"/>
              <w:rPr>
                <w:rFonts w:ascii="Tahoma" w:eastAsia="SimSun" w:hAnsi="Tahoma" w:cs="Tahoma"/>
                <w:sz w:val="20"/>
                <w:lang w:eastAsia="ja-JP"/>
              </w:rPr>
            </w:pPr>
            <w:r w:rsidRPr="00BC1197">
              <w:rPr>
                <w:rFonts w:ascii="Tahoma" w:eastAsia="SimSun" w:hAnsi="Tahoma" w:cs="Tahoma"/>
                <w:sz w:val="20"/>
                <w:lang w:eastAsia="ja-JP"/>
              </w:rPr>
              <w:t>[Item</w:t>
            </w:r>
            <w:r>
              <w:rPr>
                <w:rFonts w:ascii="Tahoma" w:eastAsia="SimSun" w:hAnsi="Tahoma" w:cs="Tahoma"/>
                <w:sz w:val="20"/>
                <w:lang w:eastAsia="ja-JP"/>
              </w:rPr>
              <w:t xml:space="preserve"> descriptor - to be determined]</w:t>
            </w:r>
          </w:p>
          <w:p w:rsidR="0031062F" w:rsidRPr="00BC1197" w:rsidRDefault="0031062F" w:rsidP="00BB474C">
            <w:pPr>
              <w:spacing w:after="120"/>
              <w:jc w:val="both"/>
              <w:rPr>
                <w:rFonts w:ascii="Tahoma" w:eastAsia="SimSun" w:hAnsi="Tahoma" w:cs="Tahoma"/>
                <w:sz w:val="20"/>
                <w:lang w:eastAsia="ja-JP"/>
              </w:rPr>
            </w:pPr>
            <w:r w:rsidRPr="00BC1197">
              <w:rPr>
                <w:rFonts w:ascii="Tahoma" w:eastAsia="SimSun" w:hAnsi="Tahoma" w:cs="Tahoma"/>
                <w:sz w:val="20"/>
                <w:lang w:eastAsia="ja-JP"/>
              </w:rPr>
              <w:t>MBS Fee: $1,235   Benefit 75% = $926.25</w:t>
            </w:r>
          </w:p>
          <w:p w:rsidR="0031062F" w:rsidRPr="00BC1197" w:rsidRDefault="0031062F" w:rsidP="00BB474C">
            <w:pPr>
              <w:spacing w:after="120"/>
              <w:jc w:val="both"/>
              <w:rPr>
                <w:rFonts w:ascii="Tahoma" w:eastAsia="SimSun" w:hAnsi="Tahoma" w:cs="Tahoma"/>
                <w:sz w:val="20"/>
                <w:lang w:eastAsia="ja-JP"/>
              </w:rPr>
            </w:pPr>
            <w:r w:rsidRPr="00BC1197">
              <w:rPr>
                <w:rFonts w:ascii="Tahoma" w:eastAsia="SimSun" w:hAnsi="Tahoma" w:cs="Tahoma"/>
                <w:sz w:val="20"/>
                <w:lang w:eastAsia="ja-JP"/>
              </w:rPr>
              <w:t>[Relevant explanatory notes – to be determined, if necessary]</w:t>
            </w:r>
          </w:p>
        </w:tc>
      </w:tr>
    </w:tbl>
    <w:p w:rsidR="0031062F" w:rsidRDefault="0031062F" w:rsidP="0031062F">
      <w:pPr>
        <w:rPr>
          <w:szCs w:val="24"/>
        </w:rPr>
      </w:pPr>
    </w:p>
    <w:p w:rsidR="0031062F" w:rsidRPr="00BC1197" w:rsidRDefault="0031062F" w:rsidP="0031062F">
      <w:pPr>
        <w:keepNext/>
        <w:spacing w:after="40"/>
        <w:ind w:left="709" w:hanging="709"/>
        <w:rPr>
          <w:rFonts w:ascii="Tahoma" w:hAnsi="Tahoma" w:cs="Tahoma"/>
          <w:b/>
          <w:sz w:val="20"/>
          <w:lang w:val="en-GB" w:eastAsia="ja-JP"/>
        </w:rPr>
      </w:pPr>
      <w:r w:rsidRPr="00BC1197">
        <w:rPr>
          <w:rFonts w:ascii="Tahoma" w:hAnsi="Tahoma" w:cs="Tahoma"/>
          <w:b/>
          <w:sz w:val="20"/>
          <w:lang w:val="en-GB" w:eastAsia="ja-JP"/>
        </w:rPr>
        <w:t xml:space="preserve">Proposed MBS item descriptor and MBS fee for </w:t>
      </w:r>
      <w:r w:rsidRPr="00BC1197">
        <w:rPr>
          <w:rFonts w:ascii="Tahoma" w:hAnsi="Tahoma" w:cs="Tahoma"/>
          <w:b/>
          <w:sz w:val="20"/>
          <w:u w:val="single"/>
          <w:lang w:val="en-GB" w:eastAsia="ja-JP"/>
        </w:rPr>
        <w:t>adjustment</w:t>
      </w:r>
      <w:r w:rsidRPr="00BC1197">
        <w:rPr>
          <w:rFonts w:ascii="Tahoma" w:hAnsi="Tahoma" w:cs="Tahoma"/>
          <w:b/>
          <w:sz w:val="20"/>
          <w:lang w:val="en-GB" w:eastAsia="ja-JP"/>
        </w:rPr>
        <w:t xml:space="preserve"> of male </w:t>
      </w:r>
      <w:r>
        <w:rPr>
          <w:rFonts w:ascii="Tahoma" w:hAnsi="Tahoma" w:cs="Tahoma"/>
          <w:b/>
          <w:sz w:val="20"/>
          <w:lang w:val="en-GB" w:eastAsia="ja-JP"/>
        </w:rPr>
        <w:t xml:space="preserve">urinary </w:t>
      </w:r>
      <w:r w:rsidRPr="00BC1197">
        <w:rPr>
          <w:rFonts w:ascii="Tahoma" w:hAnsi="Tahoma" w:cs="Tahoma"/>
          <w:b/>
          <w:sz w:val="20"/>
          <w:lang w:val="en-GB" w:eastAsia="ja-JP"/>
        </w:rPr>
        <w:t>synthetic sling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31062F" w:rsidRPr="00BC1197" w:rsidTr="00BB474C">
        <w:tc>
          <w:tcPr>
            <w:tcW w:w="9134" w:type="dxa"/>
          </w:tcPr>
          <w:p w:rsidR="0031062F" w:rsidRPr="00BC1197" w:rsidRDefault="0031062F" w:rsidP="00BB474C">
            <w:pPr>
              <w:spacing w:after="120"/>
              <w:jc w:val="right"/>
              <w:rPr>
                <w:rFonts w:ascii="Tahoma" w:eastAsia="SimSun" w:hAnsi="Tahoma" w:cs="Tahoma"/>
                <w:sz w:val="20"/>
                <w:lang w:eastAsia="ja-JP"/>
              </w:rPr>
            </w:pPr>
            <w:r w:rsidRPr="00BC1197">
              <w:rPr>
                <w:rFonts w:ascii="Tahoma" w:eastAsia="SimSun" w:hAnsi="Tahoma" w:cs="Tahoma"/>
                <w:sz w:val="20"/>
                <w:lang w:eastAsia="ja-JP"/>
              </w:rPr>
              <w:t>Category 3 – Therapeutic procedures</w:t>
            </w:r>
          </w:p>
        </w:tc>
      </w:tr>
      <w:tr w:rsidR="0031062F" w:rsidRPr="00BC1197" w:rsidTr="00BB474C">
        <w:tc>
          <w:tcPr>
            <w:tcW w:w="9134" w:type="dxa"/>
          </w:tcPr>
          <w:p w:rsidR="0031062F" w:rsidRPr="00BC1197" w:rsidRDefault="0031062F" w:rsidP="00BB474C">
            <w:pPr>
              <w:spacing w:after="120"/>
              <w:jc w:val="both"/>
              <w:rPr>
                <w:rFonts w:ascii="Tahoma" w:eastAsia="SimSun" w:hAnsi="Tahoma" w:cs="Tahoma"/>
                <w:sz w:val="20"/>
                <w:lang w:eastAsia="ja-JP"/>
              </w:rPr>
            </w:pPr>
            <w:r w:rsidRPr="00BC1197">
              <w:rPr>
                <w:rFonts w:ascii="Tahoma" w:eastAsia="SimSun" w:hAnsi="Tahoma" w:cs="Tahoma"/>
                <w:sz w:val="20"/>
                <w:lang w:eastAsia="ja-JP"/>
              </w:rPr>
              <w:t xml:space="preserve">MBS item </w:t>
            </w:r>
            <w:proofErr w:type="spellStart"/>
            <w:r w:rsidRPr="00BC1197">
              <w:rPr>
                <w:rFonts w:ascii="Tahoma" w:eastAsia="SimSun" w:hAnsi="Tahoma" w:cs="Tahoma"/>
                <w:sz w:val="20"/>
                <w:lang w:eastAsia="ja-JP"/>
              </w:rPr>
              <w:t>xxxxx</w:t>
            </w:r>
            <w:proofErr w:type="spellEnd"/>
          </w:p>
          <w:p w:rsidR="0031062F" w:rsidRPr="00BC1197" w:rsidRDefault="0031062F" w:rsidP="00BB474C">
            <w:pPr>
              <w:spacing w:after="120"/>
              <w:jc w:val="both"/>
              <w:rPr>
                <w:rFonts w:ascii="Tahoma" w:eastAsia="SimSun" w:hAnsi="Tahoma" w:cs="Tahoma"/>
                <w:sz w:val="20"/>
                <w:lang w:eastAsia="ja-JP"/>
              </w:rPr>
            </w:pPr>
            <w:r w:rsidRPr="00BC1197">
              <w:rPr>
                <w:rFonts w:ascii="Tahoma" w:eastAsia="SimSun" w:hAnsi="Tahoma" w:cs="Tahoma"/>
                <w:sz w:val="20"/>
                <w:lang w:eastAsia="ja-JP"/>
              </w:rPr>
              <w:t>[Item descriptor - to be determined] – including wording ‘with or without replacement of sling’</w:t>
            </w:r>
          </w:p>
          <w:p w:rsidR="0031062F" w:rsidRPr="00BC1197" w:rsidRDefault="0031062F" w:rsidP="00BB474C">
            <w:pPr>
              <w:spacing w:after="120"/>
              <w:jc w:val="both"/>
              <w:rPr>
                <w:rFonts w:ascii="Tahoma" w:eastAsia="SimSun" w:hAnsi="Tahoma" w:cs="Tahoma"/>
                <w:sz w:val="20"/>
                <w:lang w:eastAsia="ja-JP"/>
              </w:rPr>
            </w:pPr>
            <w:r w:rsidRPr="00BC1197">
              <w:rPr>
                <w:rFonts w:ascii="Tahoma" w:eastAsia="SimSun" w:hAnsi="Tahoma" w:cs="Tahoma"/>
                <w:sz w:val="20"/>
                <w:lang w:eastAsia="ja-JP"/>
              </w:rPr>
              <w:t>MBS Fee: $545   Benefit 75% = $408.75</w:t>
            </w:r>
          </w:p>
          <w:p w:rsidR="0031062F" w:rsidRPr="00BC1197" w:rsidRDefault="0031062F" w:rsidP="00BB474C">
            <w:pPr>
              <w:spacing w:after="120"/>
              <w:jc w:val="both"/>
              <w:rPr>
                <w:rFonts w:ascii="Tahoma" w:eastAsia="SimSun" w:hAnsi="Tahoma" w:cs="Tahoma"/>
                <w:sz w:val="20"/>
                <w:lang w:eastAsia="ja-JP"/>
              </w:rPr>
            </w:pPr>
            <w:r w:rsidRPr="00BC1197">
              <w:rPr>
                <w:rFonts w:ascii="Tahoma" w:eastAsia="SimSun" w:hAnsi="Tahoma" w:cs="Tahoma"/>
                <w:sz w:val="20"/>
                <w:lang w:eastAsia="ja-JP"/>
              </w:rPr>
              <w:t>[Relevant explanatory notes – to be determined, if necessary]</w:t>
            </w:r>
          </w:p>
        </w:tc>
      </w:tr>
    </w:tbl>
    <w:p w:rsidR="0031062F" w:rsidRDefault="0031062F" w:rsidP="0031062F">
      <w:pPr>
        <w:rPr>
          <w:szCs w:val="24"/>
        </w:rPr>
      </w:pPr>
    </w:p>
    <w:p w:rsidR="0031062F" w:rsidRPr="00BC1197" w:rsidRDefault="006D0471" w:rsidP="0031062F">
      <w:pPr>
        <w:keepNext/>
        <w:spacing w:after="40"/>
        <w:ind w:left="709" w:hanging="709"/>
        <w:rPr>
          <w:rFonts w:ascii="Tahoma" w:hAnsi="Tahoma" w:cs="Tahoma"/>
          <w:b/>
          <w:sz w:val="20"/>
          <w:lang w:val="en-GB" w:eastAsia="ja-JP"/>
        </w:rPr>
      </w:pPr>
      <w:r w:rsidRPr="00D122C9">
        <w:rPr>
          <w:rFonts w:ascii="Tahoma" w:hAnsi="Tahoma" w:cs="Tahoma"/>
          <w:b/>
          <w:sz w:val="18"/>
          <w:szCs w:val="18"/>
          <w:lang w:val="en-GB" w:eastAsia="ja-JP"/>
        </w:rPr>
        <w:t xml:space="preserve">Proposed MBS item descriptor and MBS fee for </w:t>
      </w:r>
      <w:r w:rsidRPr="00D122C9">
        <w:rPr>
          <w:rFonts w:ascii="Tahoma" w:hAnsi="Tahoma" w:cs="Tahoma"/>
          <w:b/>
          <w:sz w:val="18"/>
          <w:szCs w:val="18"/>
          <w:u w:val="single"/>
          <w:lang w:val="en-GB" w:eastAsia="ja-JP"/>
        </w:rPr>
        <w:t>removal</w:t>
      </w:r>
      <w:r w:rsidRPr="00D122C9">
        <w:rPr>
          <w:rFonts w:ascii="Tahoma" w:hAnsi="Tahoma" w:cs="Tahoma"/>
          <w:b/>
          <w:sz w:val="18"/>
          <w:szCs w:val="18"/>
          <w:lang w:val="en-GB" w:eastAsia="ja-JP"/>
        </w:rPr>
        <w:t xml:space="preserve"> of male </w:t>
      </w:r>
      <w:r w:rsidR="0031062F">
        <w:rPr>
          <w:rFonts w:ascii="Tahoma" w:hAnsi="Tahoma" w:cs="Tahoma"/>
          <w:b/>
          <w:sz w:val="18"/>
          <w:szCs w:val="18"/>
          <w:lang w:val="en-GB" w:eastAsia="ja-JP"/>
        </w:rPr>
        <w:t xml:space="preserve">urinary </w:t>
      </w:r>
      <w:r w:rsidRPr="00D122C9">
        <w:rPr>
          <w:rFonts w:ascii="Tahoma" w:hAnsi="Tahoma" w:cs="Tahoma"/>
          <w:b/>
          <w:sz w:val="18"/>
          <w:szCs w:val="18"/>
          <w:lang w:val="en-GB" w:eastAsia="ja-JP"/>
        </w:rPr>
        <w:t>synthetic sling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31062F" w:rsidRPr="00BC1197" w:rsidTr="00BB474C">
        <w:tc>
          <w:tcPr>
            <w:tcW w:w="9134" w:type="dxa"/>
          </w:tcPr>
          <w:p w:rsidR="0031062F" w:rsidRPr="00BC1197" w:rsidRDefault="0031062F" w:rsidP="00BB474C">
            <w:pPr>
              <w:spacing w:after="120"/>
              <w:jc w:val="right"/>
              <w:rPr>
                <w:rFonts w:ascii="Tahoma" w:eastAsia="SimSun" w:hAnsi="Tahoma" w:cs="Tahoma"/>
                <w:sz w:val="20"/>
                <w:lang w:eastAsia="ja-JP"/>
              </w:rPr>
            </w:pPr>
            <w:r w:rsidRPr="00BC1197">
              <w:rPr>
                <w:rFonts w:ascii="Tahoma" w:eastAsia="SimSun" w:hAnsi="Tahoma" w:cs="Tahoma"/>
                <w:sz w:val="20"/>
                <w:lang w:eastAsia="ja-JP"/>
              </w:rPr>
              <w:t>Category 3 – Therapeutic procedures</w:t>
            </w:r>
          </w:p>
        </w:tc>
      </w:tr>
      <w:tr w:rsidR="0031062F" w:rsidRPr="00BC1197" w:rsidTr="00BB474C">
        <w:tc>
          <w:tcPr>
            <w:tcW w:w="9134" w:type="dxa"/>
          </w:tcPr>
          <w:p w:rsidR="0031062F" w:rsidRPr="00BC1197" w:rsidRDefault="0031062F" w:rsidP="00BB474C">
            <w:pPr>
              <w:spacing w:after="120"/>
              <w:jc w:val="both"/>
              <w:rPr>
                <w:rFonts w:ascii="Tahoma" w:eastAsia="SimSun" w:hAnsi="Tahoma" w:cs="Tahoma"/>
                <w:sz w:val="20"/>
                <w:lang w:eastAsia="ja-JP"/>
              </w:rPr>
            </w:pPr>
            <w:r w:rsidRPr="00BC1197">
              <w:rPr>
                <w:rFonts w:ascii="Tahoma" w:eastAsia="SimSun" w:hAnsi="Tahoma" w:cs="Tahoma"/>
                <w:sz w:val="20"/>
                <w:lang w:eastAsia="ja-JP"/>
              </w:rPr>
              <w:t xml:space="preserve">MBS item </w:t>
            </w:r>
            <w:proofErr w:type="spellStart"/>
            <w:r w:rsidRPr="00BC1197">
              <w:rPr>
                <w:rFonts w:ascii="Tahoma" w:eastAsia="SimSun" w:hAnsi="Tahoma" w:cs="Tahoma"/>
                <w:sz w:val="20"/>
                <w:lang w:eastAsia="ja-JP"/>
              </w:rPr>
              <w:t>xxxxx</w:t>
            </w:r>
            <w:proofErr w:type="spellEnd"/>
          </w:p>
          <w:p w:rsidR="0031062F" w:rsidRPr="00BC1197" w:rsidRDefault="0031062F" w:rsidP="00BB474C">
            <w:pPr>
              <w:spacing w:after="120"/>
              <w:jc w:val="both"/>
              <w:rPr>
                <w:rFonts w:ascii="Tahoma" w:eastAsia="SimSun" w:hAnsi="Tahoma" w:cs="Tahoma"/>
                <w:sz w:val="20"/>
                <w:lang w:eastAsia="ja-JP"/>
              </w:rPr>
            </w:pPr>
            <w:r w:rsidRPr="00BC1197">
              <w:rPr>
                <w:rFonts w:ascii="Tahoma" w:eastAsia="SimSun" w:hAnsi="Tahoma" w:cs="Tahoma"/>
                <w:sz w:val="20"/>
                <w:lang w:eastAsia="ja-JP"/>
              </w:rPr>
              <w:t>[Item descriptor - to be determined] – including wording ‘with or without replacement of sling’</w:t>
            </w:r>
          </w:p>
          <w:p w:rsidR="0031062F" w:rsidRPr="00BC1197" w:rsidRDefault="0031062F" w:rsidP="00BB474C">
            <w:pPr>
              <w:spacing w:after="120"/>
              <w:jc w:val="both"/>
              <w:rPr>
                <w:rFonts w:ascii="Tahoma" w:eastAsia="SimSun" w:hAnsi="Tahoma" w:cs="Tahoma"/>
                <w:sz w:val="20"/>
                <w:lang w:eastAsia="ja-JP"/>
              </w:rPr>
            </w:pPr>
            <w:r w:rsidRPr="00BC1197">
              <w:rPr>
                <w:rFonts w:ascii="Tahoma" w:eastAsia="SimSun" w:hAnsi="Tahoma" w:cs="Tahoma"/>
                <w:sz w:val="20"/>
                <w:lang w:eastAsia="ja-JP"/>
              </w:rPr>
              <w:t>MBS Fee: $1,235   Benefit 75% = $926.25</w:t>
            </w:r>
          </w:p>
          <w:p w:rsidR="0031062F" w:rsidRPr="00BC1197" w:rsidRDefault="0031062F" w:rsidP="00BB474C">
            <w:pPr>
              <w:spacing w:after="120"/>
              <w:jc w:val="both"/>
              <w:rPr>
                <w:rFonts w:ascii="Tahoma" w:eastAsia="SimSun" w:hAnsi="Tahoma" w:cs="Tahoma"/>
                <w:sz w:val="20"/>
                <w:lang w:eastAsia="ja-JP"/>
              </w:rPr>
            </w:pPr>
            <w:r w:rsidRPr="00BC1197">
              <w:rPr>
                <w:rFonts w:ascii="Tahoma" w:eastAsia="SimSun" w:hAnsi="Tahoma" w:cs="Tahoma"/>
                <w:sz w:val="20"/>
                <w:lang w:eastAsia="ja-JP"/>
              </w:rPr>
              <w:t>[Relevant explanatory notes – to be determined, if necessary]</w:t>
            </w:r>
          </w:p>
        </w:tc>
      </w:tr>
    </w:tbl>
    <w:p w:rsidR="0031062F" w:rsidRDefault="0031062F" w:rsidP="0031062F">
      <w:pPr>
        <w:rPr>
          <w:szCs w:val="24"/>
        </w:rPr>
      </w:pPr>
    </w:p>
    <w:p w:rsidR="00DE598A" w:rsidRDefault="00DE598A" w:rsidP="00DE598A">
      <w:pPr>
        <w:rPr>
          <w:szCs w:val="24"/>
        </w:rPr>
      </w:pPr>
      <w:bookmarkStart w:id="1" w:name="QuickMark"/>
      <w:bookmarkEnd w:id="1"/>
      <w:r>
        <w:rPr>
          <w:szCs w:val="24"/>
        </w:rPr>
        <w:t>The applicant noted t</w:t>
      </w:r>
      <w:r w:rsidRPr="00712F5E">
        <w:rPr>
          <w:szCs w:val="24"/>
        </w:rPr>
        <w:t>here are currently no listed restrictions on the types of patients covered by MBS item 37042, and no restrictions are included in the proposed MBS items requested by the applicant for changes/new listings to the MBS for insertion, removal and adjustment of male urinary synthetic slings.</w:t>
      </w:r>
      <w:r>
        <w:rPr>
          <w:szCs w:val="24"/>
        </w:rPr>
        <w:t xml:space="preserve"> </w:t>
      </w:r>
      <w:r w:rsidRPr="00871769">
        <w:rPr>
          <w:szCs w:val="24"/>
        </w:rPr>
        <w:t>No criteria for patient eligibility w</w:t>
      </w:r>
      <w:r w:rsidR="00D11102">
        <w:rPr>
          <w:szCs w:val="24"/>
        </w:rPr>
        <w:t>ere</w:t>
      </w:r>
      <w:r w:rsidRPr="00871769">
        <w:rPr>
          <w:szCs w:val="24"/>
        </w:rPr>
        <w:t xml:space="preserve"> proposed by the applicant, but only men who experience stress urinary incontinence would benefit from the insertion of a urinary sling.</w:t>
      </w:r>
    </w:p>
    <w:p w:rsidR="00DE598A" w:rsidRDefault="00DE598A" w:rsidP="006D0471">
      <w:pPr>
        <w:rPr>
          <w:szCs w:val="24"/>
        </w:rPr>
      </w:pPr>
    </w:p>
    <w:p w:rsidR="006D0471" w:rsidRPr="006E4257" w:rsidRDefault="00D11102" w:rsidP="006D0471">
      <w:pPr>
        <w:rPr>
          <w:szCs w:val="24"/>
        </w:rPr>
      </w:pPr>
      <w:r>
        <w:rPr>
          <w:szCs w:val="24"/>
        </w:rPr>
        <w:lastRenderedPageBreak/>
        <w:t>As noted in t</w:t>
      </w:r>
      <w:r w:rsidR="006D0471">
        <w:rPr>
          <w:szCs w:val="24"/>
        </w:rPr>
        <w:t xml:space="preserve">he assessment report, </w:t>
      </w:r>
      <w:r w:rsidR="006D0471" w:rsidRPr="006E4257">
        <w:rPr>
          <w:szCs w:val="24"/>
        </w:rPr>
        <w:t>options for the implementation of funding for synthetic sling insertion, removal and adjustment</w:t>
      </w:r>
      <w:r w:rsidR="006D0471">
        <w:rPr>
          <w:szCs w:val="24"/>
        </w:rPr>
        <w:t xml:space="preserve"> include the</w:t>
      </w:r>
      <w:r w:rsidR="006D0471" w:rsidRPr="006E4257">
        <w:rPr>
          <w:szCs w:val="24"/>
        </w:rPr>
        <w:t>:</w:t>
      </w:r>
    </w:p>
    <w:p w:rsidR="006D0471" w:rsidRPr="006E4257" w:rsidRDefault="006D0471" w:rsidP="006D0471">
      <w:pPr>
        <w:pStyle w:val="ListParagraph"/>
        <w:numPr>
          <w:ilvl w:val="0"/>
          <w:numId w:val="26"/>
        </w:numPr>
        <w:ind w:left="709"/>
        <w:rPr>
          <w:szCs w:val="24"/>
        </w:rPr>
      </w:pPr>
      <w:r>
        <w:rPr>
          <w:szCs w:val="24"/>
        </w:rPr>
        <w:t>creation</w:t>
      </w:r>
      <w:r w:rsidRPr="006E4257">
        <w:rPr>
          <w:szCs w:val="24"/>
        </w:rPr>
        <w:t xml:space="preserve"> </w:t>
      </w:r>
      <w:r>
        <w:rPr>
          <w:szCs w:val="24"/>
        </w:rPr>
        <w:t xml:space="preserve">of </w:t>
      </w:r>
      <w:r w:rsidRPr="006E4257">
        <w:rPr>
          <w:szCs w:val="24"/>
        </w:rPr>
        <w:t>three new items for insertion, removal and adjustment of synthetic sling</w:t>
      </w:r>
      <w:r>
        <w:rPr>
          <w:szCs w:val="24"/>
        </w:rPr>
        <w:t>s</w:t>
      </w:r>
      <w:r w:rsidRPr="006E4257">
        <w:rPr>
          <w:szCs w:val="24"/>
        </w:rPr>
        <w:t xml:space="preserve"> at the same </w:t>
      </w:r>
      <w:r w:rsidR="00D11102">
        <w:rPr>
          <w:szCs w:val="24"/>
        </w:rPr>
        <w:t>fees</w:t>
      </w:r>
      <w:r w:rsidRPr="006E4257">
        <w:rPr>
          <w:szCs w:val="24"/>
        </w:rPr>
        <w:t xml:space="preserve"> as </w:t>
      </w:r>
      <w:r w:rsidR="00D11102">
        <w:rPr>
          <w:szCs w:val="24"/>
        </w:rPr>
        <w:t xml:space="preserve">the corresponding current </w:t>
      </w:r>
      <w:r w:rsidRPr="006E4257">
        <w:rPr>
          <w:szCs w:val="24"/>
        </w:rPr>
        <w:t>MBS item</w:t>
      </w:r>
      <w:r w:rsidR="00D11102">
        <w:rPr>
          <w:szCs w:val="24"/>
        </w:rPr>
        <w:t>s</w:t>
      </w:r>
      <w:r w:rsidRPr="006E4257">
        <w:rPr>
          <w:szCs w:val="24"/>
        </w:rPr>
        <w:t xml:space="preserve"> 37042 </w:t>
      </w:r>
      <w:r w:rsidR="00D11102">
        <w:rPr>
          <w:szCs w:val="24"/>
        </w:rPr>
        <w:t xml:space="preserve">and </w:t>
      </w:r>
      <w:r w:rsidR="00D11102" w:rsidRPr="008021F8">
        <w:rPr>
          <w:szCs w:val="24"/>
        </w:rPr>
        <w:t>37341</w:t>
      </w:r>
      <w:r w:rsidR="00D11102">
        <w:rPr>
          <w:szCs w:val="24"/>
        </w:rPr>
        <w:t xml:space="preserve">, </w:t>
      </w:r>
      <w:r w:rsidRPr="006E4257">
        <w:rPr>
          <w:szCs w:val="24"/>
        </w:rPr>
        <w:t>and $408.75 for a new item for the a</w:t>
      </w:r>
      <w:r w:rsidR="000362A6">
        <w:rPr>
          <w:szCs w:val="24"/>
        </w:rPr>
        <w:t>djustment of synthetic slings;</w:t>
      </w:r>
    </w:p>
    <w:p w:rsidR="006D0471" w:rsidRPr="006E4257" w:rsidRDefault="006D0471" w:rsidP="006D0471">
      <w:pPr>
        <w:pStyle w:val="ListParagraph"/>
        <w:numPr>
          <w:ilvl w:val="0"/>
          <w:numId w:val="26"/>
        </w:numPr>
        <w:ind w:left="709"/>
        <w:rPr>
          <w:szCs w:val="24"/>
        </w:rPr>
      </w:pPr>
      <w:r>
        <w:rPr>
          <w:szCs w:val="24"/>
        </w:rPr>
        <w:t xml:space="preserve">creation of </w:t>
      </w:r>
      <w:r w:rsidRPr="006E4257">
        <w:rPr>
          <w:szCs w:val="24"/>
        </w:rPr>
        <w:t>three new items</w:t>
      </w:r>
      <w:r w:rsidR="00D11102">
        <w:rPr>
          <w:szCs w:val="24"/>
        </w:rPr>
        <w:t xml:space="preserve">, with the first two </w:t>
      </w:r>
      <w:r w:rsidRPr="006E4257">
        <w:rPr>
          <w:szCs w:val="24"/>
        </w:rPr>
        <w:t xml:space="preserve">at a higher </w:t>
      </w:r>
      <w:r w:rsidR="00D11102">
        <w:rPr>
          <w:szCs w:val="24"/>
        </w:rPr>
        <w:t>fee</w:t>
      </w:r>
      <w:r w:rsidRPr="006E4257">
        <w:rPr>
          <w:szCs w:val="24"/>
        </w:rPr>
        <w:t xml:space="preserve"> than the </w:t>
      </w:r>
      <w:r w:rsidR="00D11102">
        <w:rPr>
          <w:szCs w:val="24"/>
        </w:rPr>
        <w:t xml:space="preserve">corresponding </w:t>
      </w:r>
      <w:r w:rsidRPr="006E4257">
        <w:rPr>
          <w:szCs w:val="24"/>
        </w:rPr>
        <w:t xml:space="preserve">current autologous items </w:t>
      </w:r>
      <w:r w:rsidR="00D11102">
        <w:rPr>
          <w:szCs w:val="24"/>
        </w:rPr>
        <w:t>(</w:t>
      </w:r>
      <w:r w:rsidRPr="006E4257">
        <w:rPr>
          <w:szCs w:val="24"/>
        </w:rPr>
        <w:t>as requested by applicant</w:t>
      </w:r>
      <w:r w:rsidR="00D11102">
        <w:rPr>
          <w:szCs w:val="24"/>
        </w:rPr>
        <w:t>)</w:t>
      </w:r>
      <w:r w:rsidRPr="006E4257">
        <w:rPr>
          <w:szCs w:val="24"/>
        </w:rPr>
        <w:t>; or</w:t>
      </w:r>
    </w:p>
    <w:p w:rsidR="006D0471" w:rsidRPr="006E4257" w:rsidRDefault="006D0471" w:rsidP="006D0471">
      <w:pPr>
        <w:pStyle w:val="ListParagraph"/>
        <w:numPr>
          <w:ilvl w:val="0"/>
          <w:numId w:val="26"/>
        </w:numPr>
        <w:ind w:left="709"/>
        <w:rPr>
          <w:b/>
          <w:szCs w:val="24"/>
        </w:rPr>
      </w:pPr>
      <w:proofErr w:type="gramStart"/>
      <w:r>
        <w:rPr>
          <w:szCs w:val="24"/>
        </w:rPr>
        <w:t>amendment</w:t>
      </w:r>
      <w:proofErr w:type="gramEnd"/>
      <w:r>
        <w:rPr>
          <w:szCs w:val="24"/>
        </w:rPr>
        <w:t xml:space="preserve"> to </w:t>
      </w:r>
      <w:r w:rsidRPr="006E4257">
        <w:rPr>
          <w:szCs w:val="24"/>
        </w:rPr>
        <w:t xml:space="preserve">the two existing autologous sling items to allow for use with </w:t>
      </w:r>
      <w:r w:rsidR="00D11102">
        <w:rPr>
          <w:szCs w:val="24"/>
        </w:rPr>
        <w:t xml:space="preserve">either </w:t>
      </w:r>
      <w:r w:rsidRPr="006E4257">
        <w:rPr>
          <w:szCs w:val="24"/>
        </w:rPr>
        <w:t xml:space="preserve">autologous </w:t>
      </w:r>
      <w:r w:rsidR="00D11102">
        <w:rPr>
          <w:szCs w:val="24"/>
        </w:rPr>
        <w:t>or</w:t>
      </w:r>
      <w:r w:rsidRPr="006E4257">
        <w:rPr>
          <w:szCs w:val="24"/>
        </w:rPr>
        <w:t xml:space="preserve"> synthetic slings and create one new item at $408.75 for the adjustment of synthetic slings.</w:t>
      </w:r>
    </w:p>
    <w:p w:rsidR="006D0471" w:rsidRDefault="006D0471" w:rsidP="006D0471">
      <w:pPr>
        <w:rPr>
          <w:szCs w:val="24"/>
        </w:rPr>
      </w:pPr>
    </w:p>
    <w:p w:rsidR="006D0471" w:rsidRPr="00555494" w:rsidRDefault="006D0471" w:rsidP="006D0471">
      <w:pPr>
        <w:rPr>
          <w:szCs w:val="24"/>
        </w:rPr>
      </w:pPr>
      <w:r w:rsidRPr="00555494">
        <w:rPr>
          <w:szCs w:val="24"/>
        </w:rPr>
        <w:t xml:space="preserve">The assessment report stated that only urologists are able to insert male urinary slings. Patients are referred by their general practitioner to a specialist, who will conduct a range of history/physical examinations including urinalysis, </w:t>
      </w:r>
      <w:proofErr w:type="spellStart"/>
      <w:r w:rsidRPr="00555494">
        <w:rPr>
          <w:szCs w:val="24"/>
        </w:rPr>
        <w:t>urodynamics</w:t>
      </w:r>
      <w:proofErr w:type="spellEnd"/>
      <w:r w:rsidRPr="00555494">
        <w:rPr>
          <w:szCs w:val="24"/>
        </w:rPr>
        <w:t xml:space="preserve"> assessment and cystoscopy, and also pad weight measurements to determine the severity of stress urinary incontinence before the appropriate therapy is chosen. Urinary slings are mainly indicated for mild to moderate stress urinary incontinence.</w:t>
      </w:r>
    </w:p>
    <w:p w:rsidR="006D0471" w:rsidRPr="009635B3" w:rsidRDefault="006D0471" w:rsidP="009635B3">
      <w:pPr>
        <w:rPr>
          <w:szCs w:val="24"/>
        </w:rPr>
      </w:pPr>
    </w:p>
    <w:p w:rsidR="006D0471" w:rsidRPr="00555494" w:rsidRDefault="006D0471" w:rsidP="006D0471">
      <w:pPr>
        <w:rPr>
          <w:szCs w:val="24"/>
        </w:rPr>
      </w:pPr>
      <w:r w:rsidRPr="00555494">
        <w:rPr>
          <w:szCs w:val="24"/>
        </w:rPr>
        <w:t xml:space="preserve">The insertion of male urinary </w:t>
      </w:r>
      <w:r w:rsidR="0031062F">
        <w:rPr>
          <w:szCs w:val="24"/>
        </w:rPr>
        <w:t xml:space="preserve">synthetic </w:t>
      </w:r>
      <w:r w:rsidRPr="00555494">
        <w:rPr>
          <w:szCs w:val="24"/>
        </w:rPr>
        <w:t xml:space="preserve">slings must be conducted under anaesthetic and can be conducted in the hospital setting as either day surgery or more commonly as an overnight stay; therefore an anaesthetist must be involved as well as surgical assistants to the urologist. Further, given that the </w:t>
      </w:r>
      <w:r w:rsidR="0031062F">
        <w:rPr>
          <w:szCs w:val="24"/>
        </w:rPr>
        <w:t xml:space="preserve">male urinary </w:t>
      </w:r>
      <w:r w:rsidRPr="00555494">
        <w:rPr>
          <w:szCs w:val="24"/>
        </w:rPr>
        <w:t xml:space="preserve">synthetic sling itself is not covered by the MBS, </w:t>
      </w:r>
      <w:r w:rsidR="0031062F">
        <w:rPr>
          <w:szCs w:val="24"/>
        </w:rPr>
        <w:t xml:space="preserve">it </w:t>
      </w:r>
      <w:r w:rsidRPr="00555494">
        <w:rPr>
          <w:szCs w:val="24"/>
        </w:rPr>
        <w:t>must be purchased by the patient, hospital or private health insurer.</w:t>
      </w:r>
    </w:p>
    <w:p w:rsidR="00BC1364" w:rsidRPr="00D11102" w:rsidRDefault="00BC1364" w:rsidP="00AB3BFC">
      <w:pPr>
        <w:tabs>
          <w:tab w:val="left" w:pos="720"/>
          <w:tab w:val="left" w:pos="1140"/>
        </w:tabs>
        <w:rPr>
          <w:szCs w:val="24"/>
        </w:rPr>
      </w:pPr>
    </w:p>
    <w:p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671B3A" w:rsidRPr="00D11102" w:rsidRDefault="00671B3A" w:rsidP="00671B3A">
      <w:pPr>
        <w:tabs>
          <w:tab w:val="left" w:pos="2535"/>
        </w:tabs>
        <w:rPr>
          <w:szCs w:val="24"/>
        </w:rPr>
      </w:pPr>
    </w:p>
    <w:p w:rsidR="00671B3A" w:rsidRPr="009635B3" w:rsidRDefault="00D31E3D" w:rsidP="00671B3A">
      <w:pPr>
        <w:tabs>
          <w:tab w:val="left" w:pos="2535"/>
        </w:tabs>
        <w:rPr>
          <w:szCs w:val="24"/>
        </w:rPr>
      </w:pPr>
      <w:r>
        <w:rPr>
          <w:szCs w:val="24"/>
        </w:rPr>
        <w:t>Consumer feedback</w:t>
      </w:r>
      <w:r w:rsidR="00671B3A" w:rsidRPr="00722668">
        <w:rPr>
          <w:szCs w:val="24"/>
        </w:rPr>
        <w:t xml:space="preserve"> supported the proposed intervention</w:t>
      </w:r>
      <w:r w:rsidR="00D11102">
        <w:rPr>
          <w:szCs w:val="24"/>
        </w:rPr>
        <w:t>,</w:t>
      </w:r>
      <w:r w:rsidR="00671B3A" w:rsidRPr="00722668">
        <w:rPr>
          <w:szCs w:val="24"/>
        </w:rPr>
        <w:t xml:space="preserve"> noting its 70% success and user satisfaction rate, however did not support the restriction as the intervention was successful on occasions and therefore other options should be available when </w:t>
      </w:r>
      <w:r>
        <w:rPr>
          <w:szCs w:val="24"/>
        </w:rPr>
        <w:t>alternative</w:t>
      </w:r>
      <w:r w:rsidR="00671B3A" w:rsidRPr="00722668">
        <w:rPr>
          <w:szCs w:val="24"/>
        </w:rPr>
        <w:t xml:space="preserve"> methods have fa</w:t>
      </w:r>
      <w:r w:rsidR="009635B3">
        <w:rPr>
          <w:szCs w:val="24"/>
        </w:rPr>
        <w:t>iled.</w:t>
      </w:r>
    </w:p>
    <w:p w:rsidR="00BC1364" w:rsidRPr="009635B3" w:rsidRDefault="00BC1364" w:rsidP="00DD2858">
      <w:pPr>
        <w:rPr>
          <w:szCs w:val="24"/>
        </w:rPr>
      </w:pPr>
    </w:p>
    <w:p w:rsidR="00BC1364" w:rsidRDefault="00BC1364" w:rsidP="007B32D1">
      <w:pPr>
        <w:pStyle w:val="Heading1"/>
        <w:numPr>
          <w:ilvl w:val="0"/>
          <w:numId w:val="23"/>
        </w:numPr>
        <w:ind w:hanging="720"/>
      </w:pPr>
      <w:r w:rsidRPr="00D90A38">
        <w:t>Proposed intervention’s place in clinical management</w:t>
      </w:r>
    </w:p>
    <w:p w:rsidR="00BC1364" w:rsidRPr="009635B3" w:rsidRDefault="00BC1364" w:rsidP="00DD2858">
      <w:pPr>
        <w:rPr>
          <w:szCs w:val="24"/>
        </w:rPr>
      </w:pPr>
    </w:p>
    <w:p w:rsidR="00D31E3D" w:rsidRDefault="00D31E3D" w:rsidP="00D31E3D">
      <w:pPr>
        <w:tabs>
          <w:tab w:val="left" w:pos="720"/>
          <w:tab w:val="left" w:pos="1140"/>
        </w:tabs>
        <w:rPr>
          <w:szCs w:val="24"/>
        </w:rPr>
      </w:pPr>
      <w:r w:rsidRPr="00770908">
        <w:rPr>
          <w:szCs w:val="24"/>
        </w:rPr>
        <w:t>Stress urinary incontinence is the involuntary loss of urine prompted by a physical movement. In stress incontinence, the sphincter muscle and/or the pelvic diaphragm, which support the bladder and urethra, are weakened or non-functioning. Suboptimal function may be caused by injury to the urethral area, surgery to the prostate or pelvic area etc. The sphincter is not able to prevent urine from flowing when intra-abdominal pressure is raised (such as when the patient coughs, laughs, or lifts heavy objects). Stress incontinence is more common in women than men and is unrelated to physiological stress. Leakage can lead to embarrassment for the patient and impact on quality of life as it may limit ability to work, exercise or restrict social contact.</w:t>
      </w:r>
    </w:p>
    <w:p w:rsidR="009635B3" w:rsidRDefault="009635B3" w:rsidP="00D31E3D">
      <w:pPr>
        <w:tabs>
          <w:tab w:val="left" w:pos="720"/>
          <w:tab w:val="left" w:pos="1140"/>
        </w:tabs>
        <w:rPr>
          <w:szCs w:val="24"/>
        </w:rPr>
      </w:pPr>
    </w:p>
    <w:p w:rsidR="00D31E3D" w:rsidRDefault="00D31E3D" w:rsidP="008B72B2">
      <w:pPr>
        <w:tabs>
          <w:tab w:val="left" w:pos="720"/>
          <w:tab w:val="left" w:pos="1140"/>
        </w:tabs>
        <w:rPr>
          <w:szCs w:val="24"/>
        </w:rPr>
      </w:pPr>
      <w:r w:rsidRPr="00770908">
        <w:rPr>
          <w:szCs w:val="24"/>
        </w:rPr>
        <w:t>Perineal slings are used to treat mild to moderate stress incontinence. Synthetic mesh (sling) is inserted surgically around the urethral bulb, slightly compressing the urethra and with the aim of improving urinary stress incontinence.</w:t>
      </w:r>
      <w:r w:rsidR="008B72B2">
        <w:rPr>
          <w:szCs w:val="24"/>
        </w:rPr>
        <w:t xml:space="preserve"> </w:t>
      </w:r>
      <w:r w:rsidRPr="00770908">
        <w:rPr>
          <w:szCs w:val="24"/>
        </w:rPr>
        <w:t>Whilst the aim of insertion of a sling would be to cure incontinence, the result may only be an improvement in incontinence, thus pad therapy or use of condom catheters may be a continuing co-administered intervention.</w:t>
      </w:r>
    </w:p>
    <w:p w:rsidR="008B72B2" w:rsidRDefault="008B72B2" w:rsidP="008B72B2">
      <w:pPr>
        <w:tabs>
          <w:tab w:val="left" w:pos="720"/>
          <w:tab w:val="left" w:pos="1140"/>
        </w:tabs>
        <w:rPr>
          <w:szCs w:val="24"/>
        </w:rPr>
      </w:pPr>
    </w:p>
    <w:p w:rsidR="00165432" w:rsidRPr="008B72B2" w:rsidRDefault="00165432" w:rsidP="008B72B2">
      <w:pPr>
        <w:tabs>
          <w:tab w:val="left" w:pos="720"/>
          <w:tab w:val="left" w:pos="1140"/>
        </w:tabs>
        <w:rPr>
          <w:szCs w:val="24"/>
        </w:rPr>
      </w:pPr>
      <w:r w:rsidRPr="00CE69E1">
        <w:rPr>
          <w:szCs w:val="24"/>
        </w:rPr>
        <w:t>The clinical management algorithm</w:t>
      </w:r>
      <w:r w:rsidR="0017084B">
        <w:rPr>
          <w:szCs w:val="24"/>
        </w:rPr>
        <w:t>s</w:t>
      </w:r>
      <w:r w:rsidRPr="00CE69E1">
        <w:rPr>
          <w:szCs w:val="24"/>
        </w:rPr>
        <w:t xml:space="preserve"> </w:t>
      </w:r>
      <w:r w:rsidR="0017084B">
        <w:rPr>
          <w:szCs w:val="24"/>
        </w:rPr>
        <w:t xml:space="preserve">of </w:t>
      </w:r>
      <w:r w:rsidRPr="00CE69E1">
        <w:rPr>
          <w:szCs w:val="24"/>
        </w:rPr>
        <w:t xml:space="preserve">the management of stress urinary incontinence </w:t>
      </w:r>
      <w:r w:rsidR="0017084B">
        <w:rPr>
          <w:szCs w:val="24"/>
        </w:rPr>
        <w:t>are</w:t>
      </w:r>
      <w:r w:rsidRPr="00CE69E1">
        <w:rPr>
          <w:szCs w:val="24"/>
        </w:rPr>
        <w:t xml:space="preserve"> similar</w:t>
      </w:r>
      <w:r w:rsidR="0017084B">
        <w:rPr>
          <w:szCs w:val="24"/>
        </w:rPr>
        <w:t xml:space="preserve"> </w:t>
      </w:r>
      <w:r w:rsidR="0017084B" w:rsidRPr="00CE69E1">
        <w:rPr>
          <w:szCs w:val="24"/>
        </w:rPr>
        <w:t xml:space="preserve">with and without male urinary </w:t>
      </w:r>
      <w:r w:rsidR="0017084B">
        <w:rPr>
          <w:szCs w:val="24"/>
        </w:rPr>
        <w:t xml:space="preserve">synthetic </w:t>
      </w:r>
      <w:r w:rsidR="0017084B" w:rsidRPr="00CE69E1">
        <w:rPr>
          <w:szCs w:val="24"/>
        </w:rPr>
        <w:t>sling</w:t>
      </w:r>
      <w:r w:rsidR="0017084B">
        <w:rPr>
          <w:szCs w:val="24"/>
        </w:rPr>
        <w:t>s</w:t>
      </w:r>
      <w:r w:rsidRPr="00CE69E1">
        <w:rPr>
          <w:szCs w:val="24"/>
        </w:rPr>
        <w:t xml:space="preserve">. The main difference between the two algorithms is that, after stress incontinence has been diagnosed and the severity defined </w:t>
      </w:r>
      <w:r w:rsidRPr="00CE69E1">
        <w:rPr>
          <w:szCs w:val="24"/>
        </w:rPr>
        <w:lastRenderedPageBreak/>
        <w:t xml:space="preserve">(based on pad weight measurement), </w:t>
      </w:r>
      <w:r w:rsidR="0031062F">
        <w:rPr>
          <w:szCs w:val="24"/>
        </w:rPr>
        <w:t xml:space="preserve">male </w:t>
      </w:r>
      <w:r w:rsidRPr="00CE69E1">
        <w:rPr>
          <w:szCs w:val="24"/>
        </w:rPr>
        <w:t xml:space="preserve">urinary synthetic slings may be used as an alternative to autologous slings and Macroplastique injections in mild incontinence, as well as an alternative to autologous slings, condom catheters and artificial urinary sphincters in moderate to severe incontinence. However, it is unclear whether </w:t>
      </w:r>
      <w:r w:rsidR="0031062F">
        <w:rPr>
          <w:szCs w:val="24"/>
        </w:rPr>
        <w:t xml:space="preserve">male </w:t>
      </w:r>
      <w:r w:rsidRPr="00CE69E1">
        <w:rPr>
          <w:szCs w:val="24"/>
        </w:rPr>
        <w:t>urinary synthetic slings are an appropriate therapy for severe urinary incontinence, as there is evidence that the success rate of urinary slings in severe urinary incontinence (&gt;</w:t>
      </w:r>
      <w:r w:rsidR="00E43CC9">
        <w:rPr>
          <w:szCs w:val="24"/>
        </w:rPr>
        <w:t> </w:t>
      </w:r>
      <w:r w:rsidRPr="00CE69E1">
        <w:rPr>
          <w:szCs w:val="24"/>
        </w:rPr>
        <w:t>6 pads per day) is poor (Castle et al 2005).</w:t>
      </w:r>
    </w:p>
    <w:p w:rsidR="008B72B2" w:rsidRDefault="008B72B2" w:rsidP="008B72B2">
      <w:pPr>
        <w:tabs>
          <w:tab w:val="left" w:pos="720"/>
          <w:tab w:val="left" w:pos="1140"/>
        </w:tabs>
        <w:rPr>
          <w:szCs w:val="24"/>
        </w:rPr>
      </w:pPr>
    </w:p>
    <w:p w:rsidR="00165432" w:rsidRPr="00CE69E1" w:rsidRDefault="008B72B2" w:rsidP="008B72B2">
      <w:pPr>
        <w:tabs>
          <w:tab w:val="left" w:pos="720"/>
          <w:tab w:val="left" w:pos="1140"/>
        </w:tabs>
        <w:rPr>
          <w:szCs w:val="24"/>
        </w:rPr>
      </w:pPr>
      <w:r>
        <w:rPr>
          <w:szCs w:val="24"/>
        </w:rPr>
        <w:t>F</w:t>
      </w:r>
      <w:r w:rsidR="00165432" w:rsidRPr="00CE69E1">
        <w:rPr>
          <w:szCs w:val="24"/>
        </w:rPr>
        <w:t xml:space="preserve">unding for Macroplastique injections is available under MBS item 37339 and the agent itself is covered by private health insurance and listed </w:t>
      </w:r>
      <w:r w:rsidR="00E43CC9">
        <w:rPr>
          <w:szCs w:val="24"/>
        </w:rPr>
        <w:t>i</w:t>
      </w:r>
      <w:r w:rsidR="00165432" w:rsidRPr="00CE69E1">
        <w:rPr>
          <w:szCs w:val="24"/>
        </w:rPr>
        <w:t xml:space="preserve">n the </w:t>
      </w:r>
      <w:r w:rsidR="00E43CC9" w:rsidRPr="00CE69E1">
        <w:rPr>
          <w:szCs w:val="24"/>
        </w:rPr>
        <w:t>P</w:t>
      </w:r>
      <w:r w:rsidR="00165432" w:rsidRPr="00CE69E1">
        <w:rPr>
          <w:szCs w:val="24"/>
        </w:rPr>
        <w:t xml:space="preserve">rostheses </w:t>
      </w:r>
      <w:r w:rsidR="00E43CC9" w:rsidRPr="00CE69E1">
        <w:rPr>
          <w:szCs w:val="24"/>
        </w:rPr>
        <w:t>L</w:t>
      </w:r>
      <w:r w:rsidR="00165432" w:rsidRPr="00CE69E1">
        <w:rPr>
          <w:szCs w:val="24"/>
        </w:rPr>
        <w:t xml:space="preserve">ist. For the artificial urinary sphincter (AUS), funding is similar to the urinary sling where the procedure to implant the AUS is </w:t>
      </w:r>
      <w:r w:rsidR="00E43CC9">
        <w:rPr>
          <w:szCs w:val="24"/>
        </w:rPr>
        <w:t>funded via</w:t>
      </w:r>
      <w:r w:rsidR="00165432" w:rsidRPr="00CE69E1">
        <w:rPr>
          <w:szCs w:val="24"/>
        </w:rPr>
        <w:t xml:space="preserve"> the MBS (MBS items 37381, 37384, 37387 and 37390), but the actual sphincter is</w:t>
      </w:r>
      <w:r w:rsidR="00E43CC9">
        <w:rPr>
          <w:szCs w:val="24"/>
        </w:rPr>
        <w:t xml:space="preserve"> covered</w:t>
      </w:r>
      <w:r w:rsidR="00165432" w:rsidRPr="00CE69E1">
        <w:rPr>
          <w:szCs w:val="24"/>
        </w:rPr>
        <w:t xml:space="preserve"> by private health insurance and listed </w:t>
      </w:r>
      <w:r w:rsidR="00E43CC9">
        <w:rPr>
          <w:szCs w:val="24"/>
        </w:rPr>
        <w:t>i</w:t>
      </w:r>
      <w:r w:rsidR="00165432" w:rsidRPr="00CE69E1">
        <w:rPr>
          <w:szCs w:val="24"/>
        </w:rPr>
        <w:t>n the Prostheses List. Limited funding by the Australian Government under the Continence Aids Payment Scheme (CAPS) is provided for purchases of pads for pad therapy or condom catheter accessories, and there are also state government initiatives which may provide further funding or suppo</w:t>
      </w:r>
      <w:r w:rsidR="009635B3">
        <w:rPr>
          <w:szCs w:val="24"/>
        </w:rPr>
        <w:t>rt for incontinence services.</w:t>
      </w:r>
    </w:p>
    <w:p w:rsidR="008B72B2" w:rsidRDefault="008B72B2" w:rsidP="008B72B2">
      <w:pPr>
        <w:tabs>
          <w:tab w:val="left" w:pos="720"/>
          <w:tab w:val="left" w:pos="1140"/>
        </w:tabs>
        <w:rPr>
          <w:szCs w:val="24"/>
        </w:rPr>
      </w:pPr>
    </w:p>
    <w:p w:rsidR="00165432" w:rsidRPr="00CE69E1" w:rsidRDefault="00165432" w:rsidP="008B72B2">
      <w:pPr>
        <w:tabs>
          <w:tab w:val="left" w:pos="720"/>
          <w:tab w:val="left" w:pos="1140"/>
        </w:tabs>
        <w:rPr>
          <w:szCs w:val="24"/>
        </w:rPr>
      </w:pPr>
      <w:r w:rsidRPr="00CE69E1">
        <w:rPr>
          <w:szCs w:val="24"/>
        </w:rPr>
        <w:t xml:space="preserve">The proposed changes to the MBS items </w:t>
      </w:r>
      <w:r w:rsidR="008B72B2">
        <w:rPr>
          <w:szCs w:val="24"/>
        </w:rPr>
        <w:t>are unlikely to</w:t>
      </w:r>
      <w:r w:rsidRPr="00CE69E1">
        <w:rPr>
          <w:szCs w:val="24"/>
        </w:rPr>
        <w:t xml:space="preserve"> alter the clinical algorithm, as </w:t>
      </w:r>
      <w:r w:rsidR="0031062F">
        <w:rPr>
          <w:szCs w:val="24"/>
        </w:rPr>
        <w:t xml:space="preserve">male </w:t>
      </w:r>
      <w:r w:rsidRPr="00CE69E1">
        <w:rPr>
          <w:szCs w:val="24"/>
        </w:rPr>
        <w:t xml:space="preserve">urinary synthetic slings are currently funded through private or public means. The proportion of men assumed to undertake treatment for stress urinary incontinence via use of the male </w:t>
      </w:r>
      <w:r w:rsidR="0017084B">
        <w:rPr>
          <w:szCs w:val="24"/>
        </w:rPr>
        <w:t xml:space="preserve">urinary </w:t>
      </w:r>
      <w:r w:rsidRPr="00CE69E1">
        <w:rPr>
          <w:szCs w:val="24"/>
        </w:rPr>
        <w:t xml:space="preserve">sling, Macroplastique and artificial urinary sphincters can be elucidated from current MBS item claims. However, with respect to male </w:t>
      </w:r>
      <w:r w:rsidR="0017084B">
        <w:rPr>
          <w:szCs w:val="24"/>
        </w:rPr>
        <w:t xml:space="preserve">urinary </w:t>
      </w:r>
      <w:r w:rsidRPr="00CE69E1">
        <w:rPr>
          <w:szCs w:val="24"/>
        </w:rPr>
        <w:t xml:space="preserve">slings, it would be difficult to identify the use of autologous versus synthetic slings. The proportion opting to cope with symptoms of urinary incontinence via the use of pads or condom catheters would </w:t>
      </w:r>
      <w:r w:rsidR="008B72B2">
        <w:rPr>
          <w:szCs w:val="24"/>
        </w:rPr>
        <w:t xml:space="preserve">also </w:t>
      </w:r>
      <w:r w:rsidR="009635B3">
        <w:rPr>
          <w:szCs w:val="24"/>
        </w:rPr>
        <w:t>be difficult to estimate.</w:t>
      </w:r>
    </w:p>
    <w:p w:rsidR="00BC1364" w:rsidRPr="009635B3" w:rsidRDefault="00BC1364" w:rsidP="00DD2858">
      <w:pPr>
        <w:rPr>
          <w:szCs w:val="24"/>
        </w:rPr>
      </w:pPr>
    </w:p>
    <w:p w:rsidR="00BC1364" w:rsidRPr="008D5885" w:rsidRDefault="009635B3" w:rsidP="007B32D1">
      <w:pPr>
        <w:pStyle w:val="Heading1"/>
        <w:numPr>
          <w:ilvl w:val="0"/>
          <w:numId w:val="23"/>
        </w:numPr>
        <w:ind w:hanging="720"/>
      </w:pPr>
      <w:r>
        <w:t>Comparator</w:t>
      </w:r>
    </w:p>
    <w:p w:rsidR="00BC1364" w:rsidRPr="009635B3" w:rsidRDefault="00BC1364" w:rsidP="00DD2858">
      <w:pPr>
        <w:rPr>
          <w:szCs w:val="24"/>
        </w:rPr>
      </w:pPr>
    </w:p>
    <w:p w:rsidR="00165432" w:rsidRPr="007B61D5" w:rsidRDefault="00165432" w:rsidP="00165432">
      <w:pPr>
        <w:rPr>
          <w:szCs w:val="24"/>
        </w:rPr>
      </w:pPr>
      <w:r>
        <w:rPr>
          <w:szCs w:val="24"/>
        </w:rPr>
        <w:t xml:space="preserve">The assessment report identified </w:t>
      </w:r>
      <w:r w:rsidRPr="007403A8">
        <w:rPr>
          <w:szCs w:val="24"/>
        </w:rPr>
        <w:t>the autologous sling as the appropriate comparator for the assessment</w:t>
      </w:r>
      <w:r>
        <w:rPr>
          <w:szCs w:val="24"/>
        </w:rPr>
        <w:t>. However, n</w:t>
      </w:r>
      <w:r w:rsidRPr="007B61D5">
        <w:rPr>
          <w:szCs w:val="24"/>
        </w:rPr>
        <w:t xml:space="preserve">o studies were identified that directly compared any of the marketed </w:t>
      </w:r>
      <w:r w:rsidR="00E43CC9">
        <w:rPr>
          <w:szCs w:val="24"/>
        </w:rPr>
        <w:t xml:space="preserve">male urinary </w:t>
      </w:r>
      <w:r w:rsidRPr="007B61D5">
        <w:rPr>
          <w:szCs w:val="24"/>
        </w:rPr>
        <w:t xml:space="preserve">synthetic slings with autologous slings. There were also no comparative studies located that compared </w:t>
      </w:r>
      <w:r w:rsidR="00E43CC9">
        <w:rPr>
          <w:szCs w:val="24"/>
        </w:rPr>
        <w:t xml:space="preserve">across </w:t>
      </w:r>
      <w:r w:rsidRPr="007B61D5">
        <w:rPr>
          <w:szCs w:val="24"/>
        </w:rPr>
        <w:t xml:space="preserve">different </w:t>
      </w:r>
      <w:r w:rsidR="00E43CC9">
        <w:rPr>
          <w:szCs w:val="24"/>
        </w:rPr>
        <w:t xml:space="preserve">male urinary </w:t>
      </w:r>
      <w:r w:rsidRPr="007B61D5">
        <w:rPr>
          <w:szCs w:val="24"/>
        </w:rPr>
        <w:t>synthetic slings.</w:t>
      </w:r>
    </w:p>
    <w:p w:rsidR="00BC1364" w:rsidRPr="009635B3" w:rsidRDefault="00BC1364" w:rsidP="00DD2858">
      <w:pPr>
        <w:rPr>
          <w:szCs w:val="24"/>
        </w:rPr>
      </w:pPr>
    </w:p>
    <w:p w:rsidR="00BC1364" w:rsidRPr="008D5885" w:rsidRDefault="00BC1364" w:rsidP="007B32D1">
      <w:pPr>
        <w:pStyle w:val="Heading1"/>
        <w:numPr>
          <w:ilvl w:val="0"/>
          <w:numId w:val="23"/>
        </w:numPr>
        <w:ind w:hanging="720"/>
      </w:pPr>
      <w:r w:rsidRPr="008D5885">
        <w:t>Comparative safety</w:t>
      </w:r>
    </w:p>
    <w:p w:rsidR="00BC1364" w:rsidRPr="009635B3" w:rsidRDefault="00BC1364" w:rsidP="00DD2858">
      <w:pPr>
        <w:pStyle w:val="ListParagraph"/>
        <w:ind w:left="0"/>
        <w:rPr>
          <w:szCs w:val="24"/>
        </w:rPr>
      </w:pPr>
    </w:p>
    <w:p w:rsidR="000E6A10" w:rsidRDefault="009A1EBE" w:rsidP="000E6A10">
      <w:pPr>
        <w:rPr>
          <w:szCs w:val="24"/>
        </w:rPr>
      </w:pPr>
      <w:r>
        <w:rPr>
          <w:szCs w:val="24"/>
        </w:rPr>
        <w:t>N</w:t>
      </w:r>
      <w:r w:rsidR="00165432" w:rsidRPr="00DA64EE">
        <w:rPr>
          <w:szCs w:val="24"/>
        </w:rPr>
        <w:t xml:space="preserve">o studies </w:t>
      </w:r>
      <w:r w:rsidR="00E43CC9">
        <w:rPr>
          <w:szCs w:val="24"/>
        </w:rPr>
        <w:t xml:space="preserve">were identified </w:t>
      </w:r>
      <w:r w:rsidR="00165432" w:rsidRPr="00DA64EE">
        <w:rPr>
          <w:szCs w:val="24"/>
        </w:rPr>
        <w:t xml:space="preserve">that directly compared any of the marketed </w:t>
      </w:r>
      <w:r w:rsidR="00E43CC9">
        <w:rPr>
          <w:szCs w:val="24"/>
        </w:rPr>
        <w:t xml:space="preserve">male urinary </w:t>
      </w:r>
      <w:r w:rsidR="00165432" w:rsidRPr="00DA64EE">
        <w:rPr>
          <w:szCs w:val="24"/>
        </w:rPr>
        <w:t>synthetic slings with autologous slings</w:t>
      </w:r>
      <w:r w:rsidR="00E43CC9">
        <w:rPr>
          <w:szCs w:val="24"/>
        </w:rPr>
        <w:t>.</w:t>
      </w:r>
      <w:r w:rsidR="00E43CC9" w:rsidDel="00E43CC9">
        <w:rPr>
          <w:szCs w:val="24"/>
        </w:rPr>
        <w:t xml:space="preserve"> </w:t>
      </w:r>
      <w:r w:rsidR="00E43CC9">
        <w:rPr>
          <w:szCs w:val="24"/>
        </w:rPr>
        <w:t>No</w:t>
      </w:r>
      <w:r w:rsidR="00165432" w:rsidRPr="00DA64EE">
        <w:rPr>
          <w:szCs w:val="24"/>
        </w:rPr>
        <w:t xml:space="preserve"> studies </w:t>
      </w:r>
      <w:r w:rsidR="00E43CC9">
        <w:rPr>
          <w:szCs w:val="24"/>
        </w:rPr>
        <w:t xml:space="preserve">were identified </w:t>
      </w:r>
      <w:r w:rsidR="00165432" w:rsidRPr="00DA64EE">
        <w:rPr>
          <w:szCs w:val="24"/>
        </w:rPr>
        <w:t xml:space="preserve">that </w:t>
      </w:r>
      <w:r w:rsidR="00E43CC9">
        <w:rPr>
          <w:szCs w:val="24"/>
        </w:rPr>
        <w:t xml:space="preserve">directly </w:t>
      </w:r>
      <w:r w:rsidR="00165432" w:rsidRPr="00DA64EE">
        <w:rPr>
          <w:szCs w:val="24"/>
        </w:rPr>
        <w:t xml:space="preserve">compared </w:t>
      </w:r>
      <w:r w:rsidR="00E43CC9">
        <w:rPr>
          <w:szCs w:val="24"/>
        </w:rPr>
        <w:t xml:space="preserve">across different male urinary </w:t>
      </w:r>
      <w:r w:rsidR="00165432" w:rsidRPr="00DA64EE">
        <w:rPr>
          <w:szCs w:val="24"/>
        </w:rPr>
        <w:t>synthetic slings.</w:t>
      </w:r>
    </w:p>
    <w:p w:rsidR="000E6A10" w:rsidRDefault="000E6A10" w:rsidP="000E6A10">
      <w:pPr>
        <w:rPr>
          <w:szCs w:val="24"/>
        </w:rPr>
      </w:pPr>
    </w:p>
    <w:p w:rsidR="0024221E" w:rsidRDefault="0024221E" w:rsidP="0024221E">
      <w:pPr>
        <w:tabs>
          <w:tab w:val="left" w:pos="426"/>
        </w:tabs>
        <w:rPr>
          <w:szCs w:val="24"/>
        </w:rPr>
      </w:pPr>
      <w:r w:rsidRPr="0024221E">
        <w:rPr>
          <w:szCs w:val="24"/>
        </w:rPr>
        <w:t>Complications associated with sling implantation are generally not major. The Argus sling appears to be associated with a high</w:t>
      </w:r>
      <w:r w:rsidR="00E43CC9">
        <w:rPr>
          <w:szCs w:val="24"/>
        </w:rPr>
        <w:t>er</w:t>
      </w:r>
      <w:r w:rsidRPr="0024221E">
        <w:rPr>
          <w:szCs w:val="24"/>
        </w:rPr>
        <w:t xml:space="preserve"> incidence of urethral e</w:t>
      </w:r>
      <w:r w:rsidR="009635B3">
        <w:rPr>
          <w:szCs w:val="24"/>
        </w:rPr>
        <w:t>rosion and higher removal rate.</w:t>
      </w:r>
    </w:p>
    <w:p w:rsidR="0024221E" w:rsidRDefault="0024221E" w:rsidP="0024221E">
      <w:pPr>
        <w:tabs>
          <w:tab w:val="left" w:pos="426"/>
        </w:tabs>
        <w:rPr>
          <w:szCs w:val="24"/>
        </w:rPr>
      </w:pPr>
    </w:p>
    <w:p w:rsidR="000E6A10" w:rsidRPr="000E6A10" w:rsidRDefault="000E6A10" w:rsidP="0024221E">
      <w:pPr>
        <w:tabs>
          <w:tab w:val="left" w:pos="426"/>
        </w:tabs>
        <w:rPr>
          <w:szCs w:val="24"/>
        </w:rPr>
      </w:pPr>
      <w:r>
        <w:rPr>
          <w:szCs w:val="24"/>
        </w:rPr>
        <w:t>Common</w:t>
      </w:r>
      <w:r w:rsidRPr="000E6A10">
        <w:rPr>
          <w:szCs w:val="24"/>
        </w:rPr>
        <w:t xml:space="preserve"> complications reported in t</w:t>
      </w:r>
      <w:r>
        <w:rPr>
          <w:szCs w:val="24"/>
        </w:rPr>
        <w:t>he reviewed studies are summaris</w:t>
      </w:r>
      <w:r w:rsidRPr="000E6A10">
        <w:rPr>
          <w:szCs w:val="24"/>
        </w:rPr>
        <w:t xml:space="preserve">ed </w:t>
      </w:r>
      <w:r>
        <w:rPr>
          <w:szCs w:val="24"/>
        </w:rPr>
        <w:t>below</w:t>
      </w:r>
      <w:r w:rsidR="009635B3">
        <w:rPr>
          <w:szCs w:val="24"/>
        </w:rPr>
        <w:t>:</w:t>
      </w:r>
    </w:p>
    <w:p w:rsidR="000E6A10" w:rsidRPr="000E6A10" w:rsidRDefault="000E6A10" w:rsidP="000E6A10">
      <w:pPr>
        <w:pStyle w:val="ListParagraph"/>
        <w:numPr>
          <w:ilvl w:val="0"/>
          <w:numId w:val="30"/>
        </w:numPr>
        <w:rPr>
          <w:szCs w:val="24"/>
        </w:rPr>
      </w:pPr>
      <w:r>
        <w:rPr>
          <w:szCs w:val="24"/>
        </w:rPr>
        <w:t xml:space="preserve">Infection - </w:t>
      </w:r>
      <w:r w:rsidRPr="000E6A10">
        <w:rPr>
          <w:szCs w:val="24"/>
        </w:rPr>
        <w:t>The incidence of infection was variable acr</w:t>
      </w:r>
      <w:r>
        <w:rPr>
          <w:szCs w:val="24"/>
        </w:rPr>
        <w:t>oss studies but was generally &lt; </w:t>
      </w:r>
      <w:r w:rsidRPr="000E6A10">
        <w:rPr>
          <w:szCs w:val="24"/>
        </w:rPr>
        <w:t xml:space="preserve">10%. There was no clear difference in incidence between the various </w:t>
      </w:r>
      <w:r w:rsidR="000C5C6C">
        <w:rPr>
          <w:szCs w:val="24"/>
        </w:rPr>
        <w:t xml:space="preserve">urinary </w:t>
      </w:r>
      <w:r w:rsidRPr="000E6A10">
        <w:rPr>
          <w:szCs w:val="24"/>
        </w:rPr>
        <w:t>slings.</w:t>
      </w:r>
    </w:p>
    <w:p w:rsidR="000E6A10" w:rsidRPr="000E6A10" w:rsidRDefault="000E6A10" w:rsidP="000E6A10">
      <w:pPr>
        <w:pStyle w:val="ListParagraph"/>
        <w:numPr>
          <w:ilvl w:val="0"/>
          <w:numId w:val="30"/>
        </w:numPr>
        <w:rPr>
          <w:szCs w:val="24"/>
        </w:rPr>
      </w:pPr>
      <w:r>
        <w:rPr>
          <w:szCs w:val="24"/>
        </w:rPr>
        <w:t xml:space="preserve">Urinary retention - </w:t>
      </w:r>
      <w:r w:rsidRPr="000E6A10">
        <w:rPr>
          <w:szCs w:val="24"/>
        </w:rPr>
        <w:t xml:space="preserve">Incidence figures for urinary retention were highly variable. In the majority of cases the retention was transient and settled with intermittent catheterization over a period of days or weeks. There was no clear difference in incidence between </w:t>
      </w:r>
      <w:r w:rsidR="000C5C6C" w:rsidRPr="000E6A10">
        <w:rPr>
          <w:szCs w:val="24"/>
        </w:rPr>
        <w:t xml:space="preserve">the various </w:t>
      </w:r>
      <w:r w:rsidR="000C5C6C">
        <w:rPr>
          <w:szCs w:val="24"/>
        </w:rPr>
        <w:t xml:space="preserve">urinary </w:t>
      </w:r>
      <w:r w:rsidRPr="000E6A10">
        <w:rPr>
          <w:szCs w:val="24"/>
        </w:rPr>
        <w:t>slings.</w:t>
      </w:r>
    </w:p>
    <w:p w:rsidR="000E6A10" w:rsidRPr="000E6A10" w:rsidRDefault="0024221E" w:rsidP="000E6A10">
      <w:pPr>
        <w:pStyle w:val="ListParagraph"/>
        <w:numPr>
          <w:ilvl w:val="0"/>
          <w:numId w:val="30"/>
        </w:numPr>
        <w:rPr>
          <w:szCs w:val="24"/>
        </w:rPr>
      </w:pPr>
      <w:r>
        <w:rPr>
          <w:szCs w:val="24"/>
        </w:rPr>
        <w:lastRenderedPageBreak/>
        <w:t>Perineal pain, numbness and</w:t>
      </w:r>
      <w:r w:rsidR="000E6A10" w:rsidRPr="000E6A10">
        <w:rPr>
          <w:szCs w:val="24"/>
        </w:rPr>
        <w:t xml:space="preserve"> </w:t>
      </w:r>
      <w:proofErr w:type="spellStart"/>
      <w:r w:rsidR="000E6A10" w:rsidRPr="000E6A10">
        <w:rPr>
          <w:szCs w:val="24"/>
        </w:rPr>
        <w:t>parasthesiae</w:t>
      </w:r>
      <w:proofErr w:type="spellEnd"/>
      <w:r w:rsidR="000E6A10" w:rsidRPr="000E6A10">
        <w:rPr>
          <w:szCs w:val="24"/>
        </w:rPr>
        <w:t xml:space="preserve"> were reported commonly. These symptoms were generally transient</w:t>
      </w:r>
      <w:r w:rsidR="000C5C6C">
        <w:rPr>
          <w:szCs w:val="24"/>
        </w:rPr>
        <w:t>,</w:t>
      </w:r>
      <w:r w:rsidR="000E6A10" w:rsidRPr="000E6A10">
        <w:rPr>
          <w:szCs w:val="24"/>
        </w:rPr>
        <w:t xml:space="preserve"> although prolonged symptoms occurred in a small proportion of subjects.</w:t>
      </w:r>
    </w:p>
    <w:p w:rsidR="000E6A10" w:rsidRPr="000E6A10" w:rsidRDefault="000E6A10" w:rsidP="000E6A10">
      <w:pPr>
        <w:pStyle w:val="ListParagraph"/>
        <w:numPr>
          <w:ilvl w:val="0"/>
          <w:numId w:val="30"/>
        </w:numPr>
        <w:rPr>
          <w:szCs w:val="24"/>
        </w:rPr>
      </w:pPr>
      <w:r w:rsidRPr="000E6A10">
        <w:rPr>
          <w:szCs w:val="24"/>
        </w:rPr>
        <w:t>A variety of urinary symptoms suc</w:t>
      </w:r>
      <w:r w:rsidR="0024221E">
        <w:rPr>
          <w:szCs w:val="24"/>
        </w:rPr>
        <w:t>h as urgency, urge incontinence and</w:t>
      </w:r>
      <w:r w:rsidRPr="000E6A10">
        <w:rPr>
          <w:szCs w:val="24"/>
        </w:rPr>
        <w:t xml:space="preserve"> dysuria were reported. Again, there was no clear difference in incidence between </w:t>
      </w:r>
      <w:r w:rsidR="000C5C6C" w:rsidRPr="000E6A10">
        <w:rPr>
          <w:szCs w:val="24"/>
        </w:rPr>
        <w:t xml:space="preserve">the various </w:t>
      </w:r>
      <w:r w:rsidR="000C5C6C">
        <w:rPr>
          <w:szCs w:val="24"/>
        </w:rPr>
        <w:t xml:space="preserve">urinary </w:t>
      </w:r>
      <w:r w:rsidRPr="000E6A10">
        <w:rPr>
          <w:szCs w:val="24"/>
        </w:rPr>
        <w:t>slings.</w:t>
      </w:r>
    </w:p>
    <w:p w:rsidR="000E6A10" w:rsidRPr="000E6A10" w:rsidRDefault="0024221E" w:rsidP="000E6A10">
      <w:pPr>
        <w:pStyle w:val="ListParagraph"/>
        <w:numPr>
          <w:ilvl w:val="0"/>
          <w:numId w:val="30"/>
        </w:numPr>
        <w:rPr>
          <w:szCs w:val="24"/>
        </w:rPr>
      </w:pPr>
      <w:r>
        <w:rPr>
          <w:szCs w:val="24"/>
        </w:rPr>
        <w:t>Urethral erosion -</w:t>
      </w:r>
      <w:r w:rsidR="000E6A10" w:rsidRPr="000E6A10">
        <w:rPr>
          <w:szCs w:val="24"/>
        </w:rPr>
        <w:t xml:space="preserve"> The incidence of this complication appeared low with most of the </w:t>
      </w:r>
      <w:r w:rsidR="000C5C6C">
        <w:rPr>
          <w:szCs w:val="24"/>
        </w:rPr>
        <w:t xml:space="preserve">urinary </w:t>
      </w:r>
      <w:r w:rsidR="000E6A10" w:rsidRPr="000E6A10">
        <w:rPr>
          <w:szCs w:val="24"/>
        </w:rPr>
        <w:t>slings (&lt;</w:t>
      </w:r>
      <w:r w:rsidR="00E43CC9">
        <w:rPr>
          <w:szCs w:val="24"/>
        </w:rPr>
        <w:t> </w:t>
      </w:r>
      <w:r w:rsidR="000E6A10" w:rsidRPr="000E6A10">
        <w:rPr>
          <w:szCs w:val="24"/>
        </w:rPr>
        <w:t xml:space="preserve">3%). However, the Argus </w:t>
      </w:r>
      <w:r w:rsidR="000C5C6C" w:rsidRPr="000E6A10">
        <w:rPr>
          <w:szCs w:val="24"/>
        </w:rPr>
        <w:t xml:space="preserve">adjustable </w:t>
      </w:r>
      <w:r w:rsidR="0017084B">
        <w:rPr>
          <w:szCs w:val="24"/>
        </w:rPr>
        <w:t xml:space="preserve">male </w:t>
      </w:r>
      <w:r w:rsidR="000C5C6C">
        <w:rPr>
          <w:szCs w:val="24"/>
        </w:rPr>
        <w:t xml:space="preserve">urinary synthetic </w:t>
      </w:r>
      <w:r w:rsidR="000E6A10" w:rsidRPr="000E6A10">
        <w:rPr>
          <w:szCs w:val="24"/>
        </w:rPr>
        <w:t xml:space="preserve">sling appeared to be associated with </w:t>
      </w:r>
      <w:r w:rsidR="009635B3">
        <w:rPr>
          <w:szCs w:val="24"/>
        </w:rPr>
        <w:t>a higher incidence (up to 13%).</w:t>
      </w:r>
    </w:p>
    <w:p w:rsidR="000E6A10" w:rsidRPr="000E6A10" w:rsidRDefault="000E6A10" w:rsidP="000E6A10">
      <w:pPr>
        <w:pStyle w:val="ListParagraph"/>
        <w:numPr>
          <w:ilvl w:val="0"/>
          <w:numId w:val="30"/>
        </w:numPr>
        <w:rPr>
          <w:szCs w:val="24"/>
        </w:rPr>
      </w:pPr>
      <w:r w:rsidRPr="000E6A10">
        <w:rPr>
          <w:szCs w:val="24"/>
        </w:rPr>
        <w:t xml:space="preserve">Bladder perforation was reported only with the adjustable </w:t>
      </w:r>
      <w:r w:rsidR="0017084B">
        <w:rPr>
          <w:szCs w:val="24"/>
        </w:rPr>
        <w:t xml:space="preserve">male </w:t>
      </w:r>
      <w:r w:rsidR="000C5C6C">
        <w:rPr>
          <w:szCs w:val="24"/>
        </w:rPr>
        <w:t xml:space="preserve">urinary synthetic </w:t>
      </w:r>
      <w:r w:rsidR="009635B3">
        <w:rPr>
          <w:szCs w:val="24"/>
        </w:rPr>
        <w:t xml:space="preserve">slings (Argus and </w:t>
      </w:r>
      <w:proofErr w:type="spellStart"/>
      <w:r w:rsidR="009635B3">
        <w:rPr>
          <w:szCs w:val="24"/>
        </w:rPr>
        <w:t>Remeex</w:t>
      </w:r>
      <w:proofErr w:type="spellEnd"/>
      <w:r w:rsidR="009635B3">
        <w:rPr>
          <w:szCs w:val="24"/>
        </w:rPr>
        <w:t>).</w:t>
      </w:r>
    </w:p>
    <w:p w:rsidR="00BC1364" w:rsidRPr="009635B3" w:rsidRDefault="00BC1364" w:rsidP="00DD2858">
      <w:pPr>
        <w:pStyle w:val="ListParagraph"/>
        <w:ind w:left="0"/>
        <w:rPr>
          <w:szCs w:val="24"/>
        </w:rPr>
      </w:pPr>
    </w:p>
    <w:p w:rsidR="00BC1364" w:rsidRPr="008D5885" w:rsidRDefault="00BC1364" w:rsidP="007B32D1">
      <w:pPr>
        <w:pStyle w:val="Heading1"/>
        <w:numPr>
          <w:ilvl w:val="0"/>
          <w:numId w:val="23"/>
        </w:numPr>
        <w:ind w:hanging="720"/>
      </w:pPr>
      <w:r w:rsidRPr="008D5885">
        <w:t>Comparative effectiveness</w:t>
      </w:r>
    </w:p>
    <w:p w:rsidR="00BC1364" w:rsidRPr="009635B3" w:rsidRDefault="00BC1364" w:rsidP="00DD2858"/>
    <w:p w:rsidR="0024221E" w:rsidRDefault="0024221E" w:rsidP="0024221E">
      <w:pPr>
        <w:tabs>
          <w:tab w:val="left" w:pos="426"/>
        </w:tabs>
        <w:rPr>
          <w:szCs w:val="24"/>
        </w:rPr>
      </w:pPr>
      <w:r w:rsidRPr="0024221E">
        <w:rPr>
          <w:szCs w:val="24"/>
        </w:rPr>
        <w:t>Most studies reported on the proportion of subjects who were ‘dry’ or ‘cured’</w:t>
      </w:r>
      <w:r w:rsidR="009635B3">
        <w:rPr>
          <w:szCs w:val="24"/>
        </w:rPr>
        <w:t>,</w:t>
      </w:r>
      <w:r w:rsidRPr="0024221E">
        <w:rPr>
          <w:szCs w:val="24"/>
        </w:rPr>
        <w:t xml:space="preserve"> and the proportion of subjects who were ‘improved’. In most studies, the majority of subjects fell into one of these two categories. In most studies, the proced</w:t>
      </w:r>
      <w:r w:rsidR="00E43CC9">
        <w:rPr>
          <w:szCs w:val="24"/>
        </w:rPr>
        <w:t>ure was deemed a ‘failure’ in &lt; </w:t>
      </w:r>
      <w:r w:rsidRPr="0024221E">
        <w:rPr>
          <w:szCs w:val="24"/>
        </w:rPr>
        <w:t>30% of subjects.</w:t>
      </w:r>
    </w:p>
    <w:p w:rsidR="0024221E" w:rsidRPr="0024221E" w:rsidRDefault="0024221E" w:rsidP="0024221E">
      <w:pPr>
        <w:tabs>
          <w:tab w:val="left" w:pos="426"/>
        </w:tabs>
        <w:rPr>
          <w:szCs w:val="24"/>
        </w:rPr>
      </w:pPr>
    </w:p>
    <w:p w:rsidR="0024221E" w:rsidRDefault="0024221E" w:rsidP="0024221E">
      <w:pPr>
        <w:tabs>
          <w:tab w:val="left" w:pos="426"/>
        </w:tabs>
        <w:rPr>
          <w:szCs w:val="24"/>
        </w:rPr>
      </w:pPr>
      <w:r w:rsidRPr="0024221E">
        <w:rPr>
          <w:szCs w:val="24"/>
        </w:rPr>
        <w:t xml:space="preserve">Several studies </w:t>
      </w:r>
      <w:r>
        <w:rPr>
          <w:szCs w:val="24"/>
        </w:rPr>
        <w:t xml:space="preserve">reported </w:t>
      </w:r>
      <w:r w:rsidRPr="0024221E">
        <w:rPr>
          <w:szCs w:val="24"/>
        </w:rPr>
        <w:t>on change in pad use (average number of pads per day)</w:t>
      </w:r>
      <w:r>
        <w:rPr>
          <w:szCs w:val="24"/>
        </w:rPr>
        <w:t xml:space="preserve"> and pad weight measurement</w:t>
      </w:r>
      <w:r w:rsidRPr="0024221E">
        <w:rPr>
          <w:szCs w:val="24"/>
        </w:rPr>
        <w:t>. The sling procedures resulted in significant reductions in average daily pad use, and significant reductions in average pad weight.</w:t>
      </w:r>
      <w:r w:rsidR="00BB474C">
        <w:rPr>
          <w:szCs w:val="24"/>
        </w:rPr>
        <w:t xml:space="preserve"> The table below shows that the reductions in use of pads per day were similar across </w:t>
      </w:r>
      <w:r w:rsidR="00580583">
        <w:rPr>
          <w:szCs w:val="24"/>
        </w:rPr>
        <w:t xml:space="preserve">single-arm </w:t>
      </w:r>
      <w:r w:rsidR="00BB474C">
        <w:rPr>
          <w:szCs w:val="24"/>
        </w:rPr>
        <w:t>studies for autologous and synthetic slings.</w:t>
      </w:r>
    </w:p>
    <w:tbl>
      <w:tblPr>
        <w:tblpPr w:leftFromText="180" w:rightFromText="180" w:vertAnchor="text" w:horzAnchor="page" w:tblpX="1498" w:tblpY="222"/>
        <w:tblW w:w="8931" w:type="dxa"/>
        <w:tblLayout w:type="fixed"/>
        <w:tblLook w:val="04A0" w:firstRow="1" w:lastRow="0" w:firstColumn="1" w:lastColumn="0" w:noHBand="0" w:noVBand="1"/>
      </w:tblPr>
      <w:tblGrid>
        <w:gridCol w:w="2552"/>
        <w:gridCol w:w="709"/>
        <w:gridCol w:w="708"/>
        <w:gridCol w:w="1240"/>
        <w:gridCol w:w="1241"/>
        <w:gridCol w:w="1240"/>
        <w:gridCol w:w="1241"/>
      </w:tblGrid>
      <w:tr w:rsidR="00BB474C" w:rsidRPr="007A20A1" w:rsidTr="00580583">
        <w:tc>
          <w:tcPr>
            <w:tcW w:w="2552" w:type="dxa"/>
            <w:tcBorders>
              <w:bottom w:val="single" w:sz="4" w:space="0" w:color="auto"/>
            </w:tcBorders>
          </w:tcPr>
          <w:p w:rsidR="00BB474C" w:rsidRPr="007A20A1" w:rsidRDefault="00BB474C" w:rsidP="00580583">
            <w:pPr>
              <w:rPr>
                <w:rFonts w:ascii="Tahoma" w:hAnsi="Tahoma" w:cs="Tahoma"/>
                <w:b/>
                <w:sz w:val="20"/>
              </w:rPr>
            </w:pPr>
          </w:p>
        </w:tc>
        <w:tc>
          <w:tcPr>
            <w:tcW w:w="709" w:type="dxa"/>
            <w:tcBorders>
              <w:bottom w:val="single" w:sz="4" w:space="0" w:color="auto"/>
            </w:tcBorders>
          </w:tcPr>
          <w:p w:rsidR="00BB474C" w:rsidRPr="007A20A1" w:rsidRDefault="00BB474C" w:rsidP="00580583">
            <w:pPr>
              <w:jc w:val="center"/>
              <w:rPr>
                <w:rFonts w:ascii="Tahoma" w:hAnsi="Tahoma" w:cs="Tahoma"/>
                <w:b/>
                <w:sz w:val="20"/>
              </w:rPr>
            </w:pPr>
            <w:r w:rsidRPr="007A20A1">
              <w:rPr>
                <w:rFonts w:ascii="Tahoma" w:hAnsi="Tahoma" w:cs="Tahoma"/>
                <w:b/>
                <w:sz w:val="20"/>
              </w:rPr>
              <w:t>N</w:t>
            </w:r>
          </w:p>
        </w:tc>
        <w:tc>
          <w:tcPr>
            <w:tcW w:w="708" w:type="dxa"/>
            <w:tcBorders>
              <w:bottom w:val="single" w:sz="4" w:space="0" w:color="auto"/>
            </w:tcBorders>
          </w:tcPr>
          <w:p w:rsidR="00BB474C" w:rsidRPr="007A20A1" w:rsidRDefault="00BB474C" w:rsidP="00580583">
            <w:pPr>
              <w:jc w:val="center"/>
              <w:rPr>
                <w:rFonts w:ascii="Tahoma" w:hAnsi="Tahoma" w:cs="Tahoma"/>
                <w:b/>
                <w:sz w:val="20"/>
              </w:rPr>
            </w:pPr>
            <w:r w:rsidRPr="007A20A1">
              <w:rPr>
                <w:rFonts w:ascii="Tahoma" w:hAnsi="Tahoma" w:cs="Tahoma"/>
                <w:b/>
                <w:sz w:val="20"/>
              </w:rPr>
              <w:t>FU (m)</w:t>
            </w:r>
          </w:p>
        </w:tc>
        <w:tc>
          <w:tcPr>
            <w:tcW w:w="1240" w:type="dxa"/>
            <w:tcBorders>
              <w:bottom w:val="single" w:sz="4" w:space="0" w:color="auto"/>
            </w:tcBorders>
          </w:tcPr>
          <w:p w:rsidR="00BB474C" w:rsidRPr="007A20A1" w:rsidRDefault="00BB474C" w:rsidP="00580583">
            <w:pPr>
              <w:jc w:val="center"/>
              <w:rPr>
                <w:rFonts w:ascii="Tahoma" w:hAnsi="Tahoma" w:cs="Tahoma"/>
                <w:b/>
                <w:sz w:val="20"/>
              </w:rPr>
            </w:pPr>
            <w:r w:rsidRPr="007A20A1">
              <w:rPr>
                <w:rFonts w:ascii="Tahoma" w:hAnsi="Tahoma" w:cs="Tahoma"/>
                <w:b/>
                <w:sz w:val="20"/>
              </w:rPr>
              <w:t>Statistic</w:t>
            </w:r>
          </w:p>
        </w:tc>
        <w:tc>
          <w:tcPr>
            <w:tcW w:w="1241" w:type="dxa"/>
            <w:tcBorders>
              <w:bottom w:val="single" w:sz="4" w:space="0" w:color="auto"/>
            </w:tcBorders>
          </w:tcPr>
          <w:p w:rsidR="00BB474C" w:rsidRPr="007A20A1" w:rsidRDefault="00BB474C" w:rsidP="00580583">
            <w:pPr>
              <w:jc w:val="center"/>
              <w:rPr>
                <w:rFonts w:ascii="Tahoma" w:hAnsi="Tahoma" w:cs="Tahoma"/>
                <w:b/>
                <w:sz w:val="20"/>
              </w:rPr>
            </w:pPr>
            <w:r w:rsidRPr="007A20A1">
              <w:rPr>
                <w:rFonts w:ascii="Tahoma" w:hAnsi="Tahoma" w:cs="Tahoma"/>
                <w:b/>
                <w:sz w:val="20"/>
              </w:rPr>
              <w:t>Pre-op</w:t>
            </w:r>
          </w:p>
          <w:p w:rsidR="00BB474C" w:rsidRPr="007A20A1" w:rsidRDefault="00BB474C" w:rsidP="00580583">
            <w:pPr>
              <w:jc w:val="center"/>
              <w:rPr>
                <w:rFonts w:ascii="Tahoma" w:hAnsi="Tahoma" w:cs="Tahoma"/>
                <w:b/>
                <w:sz w:val="20"/>
              </w:rPr>
            </w:pPr>
            <w:r w:rsidRPr="007A20A1">
              <w:rPr>
                <w:rFonts w:ascii="Tahoma" w:hAnsi="Tahoma" w:cs="Tahoma"/>
                <w:b/>
                <w:sz w:val="20"/>
              </w:rPr>
              <w:t>PPD</w:t>
            </w:r>
          </w:p>
        </w:tc>
        <w:tc>
          <w:tcPr>
            <w:tcW w:w="1240" w:type="dxa"/>
            <w:tcBorders>
              <w:bottom w:val="single" w:sz="4" w:space="0" w:color="auto"/>
            </w:tcBorders>
          </w:tcPr>
          <w:p w:rsidR="00BB474C" w:rsidRPr="007A20A1" w:rsidRDefault="00BB474C" w:rsidP="00580583">
            <w:pPr>
              <w:jc w:val="center"/>
              <w:rPr>
                <w:rFonts w:ascii="Tahoma" w:hAnsi="Tahoma" w:cs="Tahoma"/>
                <w:b/>
                <w:sz w:val="20"/>
              </w:rPr>
            </w:pPr>
            <w:r w:rsidRPr="007A20A1">
              <w:rPr>
                <w:rFonts w:ascii="Tahoma" w:hAnsi="Tahoma" w:cs="Tahoma"/>
                <w:b/>
                <w:sz w:val="20"/>
              </w:rPr>
              <w:t>Post-op</w:t>
            </w:r>
          </w:p>
          <w:p w:rsidR="00BB474C" w:rsidRPr="007A20A1" w:rsidRDefault="00BB474C" w:rsidP="00580583">
            <w:pPr>
              <w:jc w:val="center"/>
              <w:rPr>
                <w:rFonts w:ascii="Tahoma" w:hAnsi="Tahoma" w:cs="Tahoma"/>
                <w:b/>
                <w:sz w:val="20"/>
              </w:rPr>
            </w:pPr>
            <w:r w:rsidRPr="007A20A1">
              <w:rPr>
                <w:rFonts w:ascii="Tahoma" w:hAnsi="Tahoma" w:cs="Tahoma"/>
                <w:b/>
                <w:sz w:val="20"/>
              </w:rPr>
              <w:t>PPD</w:t>
            </w:r>
          </w:p>
        </w:tc>
        <w:tc>
          <w:tcPr>
            <w:tcW w:w="1241" w:type="dxa"/>
            <w:tcBorders>
              <w:bottom w:val="single" w:sz="4" w:space="0" w:color="auto"/>
            </w:tcBorders>
          </w:tcPr>
          <w:p w:rsidR="00BB474C" w:rsidRPr="007A20A1" w:rsidRDefault="00BB474C" w:rsidP="00580583">
            <w:pPr>
              <w:jc w:val="center"/>
              <w:rPr>
                <w:rFonts w:ascii="Tahoma" w:hAnsi="Tahoma" w:cs="Tahoma"/>
                <w:b/>
                <w:sz w:val="20"/>
              </w:rPr>
            </w:pPr>
            <w:r w:rsidRPr="007A20A1">
              <w:rPr>
                <w:rFonts w:ascii="Tahoma" w:hAnsi="Tahoma" w:cs="Tahoma"/>
                <w:b/>
                <w:sz w:val="20"/>
              </w:rPr>
              <w:t>p-value</w:t>
            </w:r>
          </w:p>
        </w:tc>
      </w:tr>
      <w:tr w:rsidR="00580583" w:rsidRPr="007A20A1" w:rsidTr="00580583">
        <w:tc>
          <w:tcPr>
            <w:tcW w:w="2552" w:type="dxa"/>
            <w:shd w:val="clear" w:color="auto" w:fill="E6E6E6"/>
          </w:tcPr>
          <w:p w:rsidR="00580583" w:rsidRPr="007A20A1" w:rsidRDefault="00580583" w:rsidP="00580583">
            <w:pPr>
              <w:rPr>
                <w:rFonts w:ascii="Tahoma" w:hAnsi="Tahoma" w:cs="Tahoma"/>
                <w:b/>
                <w:sz w:val="20"/>
              </w:rPr>
            </w:pPr>
            <w:r w:rsidRPr="007A20A1">
              <w:rPr>
                <w:rFonts w:ascii="Tahoma" w:hAnsi="Tahoma" w:cs="Tahoma"/>
                <w:b/>
                <w:sz w:val="20"/>
              </w:rPr>
              <w:t>AUTOLOGOUS SLING</w:t>
            </w:r>
          </w:p>
        </w:tc>
        <w:tc>
          <w:tcPr>
            <w:tcW w:w="709" w:type="dxa"/>
            <w:shd w:val="clear" w:color="auto" w:fill="E6E6E6"/>
          </w:tcPr>
          <w:p w:rsidR="00580583" w:rsidRPr="007A20A1" w:rsidRDefault="00580583" w:rsidP="00580583">
            <w:pPr>
              <w:jc w:val="center"/>
              <w:rPr>
                <w:rFonts w:ascii="Tahoma" w:hAnsi="Tahoma" w:cs="Tahoma"/>
                <w:sz w:val="20"/>
              </w:rPr>
            </w:pPr>
          </w:p>
        </w:tc>
        <w:tc>
          <w:tcPr>
            <w:tcW w:w="708" w:type="dxa"/>
            <w:shd w:val="clear" w:color="auto" w:fill="E6E6E6"/>
          </w:tcPr>
          <w:p w:rsidR="00580583" w:rsidRPr="007A20A1" w:rsidRDefault="00580583" w:rsidP="00580583">
            <w:pPr>
              <w:jc w:val="center"/>
              <w:rPr>
                <w:rFonts w:ascii="Tahoma" w:hAnsi="Tahoma" w:cs="Tahoma"/>
                <w:sz w:val="20"/>
              </w:rPr>
            </w:pPr>
          </w:p>
        </w:tc>
        <w:tc>
          <w:tcPr>
            <w:tcW w:w="1240" w:type="dxa"/>
            <w:shd w:val="clear" w:color="auto" w:fill="E6E6E6"/>
          </w:tcPr>
          <w:p w:rsidR="00580583" w:rsidRPr="007A20A1" w:rsidRDefault="00580583" w:rsidP="00580583">
            <w:pPr>
              <w:jc w:val="center"/>
              <w:rPr>
                <w:rFonts w:ascii="Tahoma" w:hAnsi="Tahoma" w:cs="Tahoma"/>
                <w:sz w:val="20"/>
              </w:rPr>
            </w:pPr>
          </w:p>
        </w:tc>
        <w:tc>
          <w:tcPr>
            <w:tcW w:w="1241" w:type="dxa"/>
            <w:shd w:val="clear" w:color="auto" w:fill="E6E6E6"/>
          </w:tcPr>
          <w:p w:rsidR="00580583" w:rsidRPr="007A20A1" w:rsidRDefault="00580583" w:rsidP="00580583">
            <w:pPr>
              <w:jc w:val="center"/>
              <w:rPr>
                <w:rFonts w:ascii="Tahoma" w:hAnsi="Tahoma" w:cs="Tahoma"/>
                <w:sz w:val="20"/>
              </w:rPr>
            </w:pPr>
          </w:p>
        </w:tc>
        <w:tc>
          <w:tcPr>
            <w:tcW w:w="1240" w:type="dxa"/>
            <w:shd w:val="clear" w:color="auto" w:fill="E6E6E6"/>
          </w:tcPr>
          <w:p w:rsidR="00580583" w:rsidRPr="007A20A1" w:rsidRDefault="00580583" w:rsidP="00580583">
            <w:pPr>
              <w:jc w:val="center"/>
              <w:rPr>
                <w:rFonts w:ascii="Tahoma" w:hAnsi="Tahoma" w:cs="Tahoma"/>
                <w:sz w:val="20"/>
              </w:rPr>
            </w:pPr>
          </w:p>
        </w:tc>
        <w:tc>
          <w:tcPr>
            <w:tcW w:w="1241" w:type="dxa"/>
            <w:shd w:val="clear" w:color="auto" w:fill="E6E6E6"/>
          </w:tcPr>
          <w:p w:rsidR="00580583" w:rsidRPr="007A20A1" w:rsidRDefault="00580583" w:rsidP="00580583">
            <w:pPr>
              <w:jc w:val="center"/>
              <w:rPr>
                <w:rFonts w:ascii="Tahoma" w:hAnsi="Tahoma" w:cs="Tahoma"/>
                <w:sz w:val="20"/>
              </w:rPr>
            </w:pPr>
          </w:p>
        </w:tc>
      </w:tr>
      <w:tr w:rsidR="00580583" w:rsidRPr="007A20A1" w:rsidTr="00580583">
        <w:tc>
          <w:tcPr>
            <w:tcW w:w="2552" w:type="dxa"/>
          </w:tcPr>
          <w:p w:rsidR="00580583" w:rsidRPr="007A20A1" w:rsidRDefault="00580583" w:rsidP="00580583">
            <w:pPr>
              <w:rPr>
                <w:rFonts w:ascii="Tahoma" w:hAnsi="Tahoma" w:cs="Tahoma"/>
                <w:sz w:val="20"/>
              </w:rPr>
            </w:pPr>
            <w:proofErr w:type="spellStart"/>
            <w:r w:rsidRPr="007A20A1">
              <w:rPr>
                <w:rFonts w:ascii="Tahoma" w:hAnsi="Tahoma" w:cs="Tahoma"/>
                <w:sz w:val="20"/>
              </w:rPr>
              <w:t>Heidari</w:t>
            </w:r>
            <w:proofErr w:type="spellEnd"/>
            <w:r w:rsidRPr="007A20A1">
              <w:rPr>
                <w:rFonts w:ascii="Tahoma" w:hAnsi="Tahoma" w:cs="Tahoma"/>
                <w:sz w:val="20"/>
              </w:rPr>
              <w:t xml:space="preserve"> 1191</w:t>
            </w:r>
          </w:p>
        </w:tc>
        <w:tc>
          <w:tcPr>
            <w:tcW w:w="709" w:type="dxa"/>
          </w:tcPr>
          <w:p w:rsidR="00580583" w:rsidRPr="007A20A1" w:rsidRDefault="00580583" w:rsidP="00580583">
            <w:pPr>
              <w:jc w:val="center"/>
              <w:rPr>
                <w:rFonts w:ascii="Tahoma" w:hAnsi="Tahoma" w:cs="Tahoma"/>
                <w:sz w:val="20"/>
              </w:rPr>
            </w:pPr>
            <w:r w:rsidRPr="007A20A1">
              <w:rPr>
                <w:rFonts w:ascii="Tahoma" w:hAnsi="Tahoma" w:cs="Tahoma"/>
                <w:sz w:val="20"/>
              </w:rPr>
              <w:t>28</w:t>
            </w:r>
          </w:p>
        </w:tc>
        <w:tc>
          <w:tcPr>
            <w:tcW w:w="708" w:type="dxa"/>
          </w:tcPr>
          <w:p w:rsidR="00580583" w:rsidRPr="007A20A1" w:rsidRDefault="00580583" w:rsidP="00580583">
            <w:pPr>
              <w:jc w:val="center"/>
              <w:rPr>
                <w:rFonts w:ascii="Tahoma" w:hAnsi="Tahoma" w:cs="Tahoma"/>
                <w:sz w:val="20"/>
              </w:rPr>
            </w:pPr>
            <w:r w:rsidRPr="007A20A1">
              <w:rPr>
                <w:rFonts w:ascii="Tahoma" w:hAnsi="Tahoma" w:cs="Tahoma"/>
                <w:sz w:val="20"/>
              </w:rPr>
              <w:t>12</w:t>
            </w:r>
          </w:p>
        </w:tc>
        <w:tc>
          <w:tcPr>
            <w:tcW w:w="1240" w:type="dxa"/>
          </w:tcPr>
          <w:p w:rsidR="00580583" w:rsidRPr="007A20A1" w:rsidRDefault="00580583" w:rsidP="00580583">
            <w:pPr>
              <w:jc w:val="center"/>
              <w:rPr>
                <w:rFonts w:ascii="Tahoma" w:hAnsi="Tahoma" w:cs="Tahoma"/>
                <w:sz w:val="20"/>
              </w:rPr>
            </w:pPr>
            <w:r w:rsidRPr="007A20A1">
              <w:rPr>
                <w:rFonts w:ascii="Tahoma" w:hAnsi="Tahoma" w:cs="Tahoma"/>
                <w:sz w:val="20"/>
              </w:rPr>
              <w:t>Mean</w:t>
            </w:r>
          </w:p>
          <w:p w:rsidR="00580583" w:rsidRPr="007A20A1" w:rsidRDefault="00580583" w:rsidP="00580583">
            <w:pPr>
              <w:jc w:val="center"/>
              <w:rPr>
                <w:rFonts w:ascii="Tahoma" w:hAnsi="Tahoma" w:cs="Tahoma"/>
                <w:sz w:val="20"/>
              </w:rPr>
            </w:pPr>
            <w:r w:rsidRPr="007A20A1">
              <w:rPr>
                <w:rFonts w:ascii="Tahoma" w:hAnsi="Tahoma" w:cs="Tahoma"/>
                <w:color w:val="000000"/>
                <w:sz w:val="20"/>
              </w:rPr>
              <w:t>± SD</w:t>
            </w:r>
          </w:p>
        </w:tc>
        <w:tc>
          <w:tcPr>
            <w:tcW w:w="1241" w:type="dxa"/>
          </w:tcPr>
          <w:p w:rsidR="00580583" w:rsidRPr="007A20A1" w:rsidRDefault="00580583" w:rsidP="00580583">
            <w:pPr>
              <w:jc w:val="center"/>
              <w:rPr>
                <w:rFonts w:ascii="Tahoma" w:hAnsi="Tahoma" w:cs="Tahoma"/>
                <w:sz w:val="20"/>
              </w:rPr>
            </w:pPr>
            <w:r w:rsidRPr="007A20A1">
              <w:rPr>
                <w:rFonts w:ascii="Tahoma" w:hAnsi="Tahoma" w:cs="Tahoma"/>
                <w:sz w:val="20"/>
              </w:rPr>
              <w:t>5.6</w:t>
            </w:r>
          </w:p>
          <w:p w:rsidR="00580583" w:rsidRPr="007A20A1" w:rsidRDefault="00580583" w:rsidP="00580583">
            <w:pPr>
              <w:jc w:val="center"/>
              <w:rPr>
                <w:rFonts w:ascii="Tahoma" w:hAnsi="Tahoma" w:cs="Tahoma"/>
                <w:sz w:val="20"/>
              </w:rPr>
            </w:pPr>
            <w:r w:rsidRPr="007A20A1">
              <w:rPr>
                <w:rFonts w:ascii="Tahoma" w:hAnsi="Tahoma" w:cs="Tahoma"/>
                <w:sz w:val="20"/>
              </w:rPr>
              <w:t>± 1.9</w:t>
            </w:r>
          </w:p>
        </w:tc>
        <w:tc>
          <w:tcPr>
            <w:tcW w:w="1240" w:type="dxa"/>
          </w:tcPr>
          <w:p w:rsidR="00580583" w:rsidRPr="007A20A1" w:rsidRDefault="00580583" w:rsidP="00580583">
            <w:pPr>
              <w:jc w:val="center"/>
              <w:rPr>
                <w:rFonts w:ascii="Tahoma" w:hAnsi="Tahoma" w:cs="Tahoma"/>
                <w:sz w:val="20"/>
              </w:rPr>
            </w:pPr>
            <w:r w:rsidRPr="007A20A1">
              <w:rPr>
                <w:rFonts w:ascii="Tahoma" w:hAnsi="Tahoma" w:cs="Tahoma"/>
                <w:sz w:val="20"/>
              </w:rPr>
              <w:t>0.3</w:t>
            </w:r>
          </w:p>
          <w:p w:rsidR="00580583" w:rsidRPr="007A20A1" w:rsidRDefault="00580583" w:rsidP="00580583">
            <w:pPr>
              <w:jc w:val="center"/>
              <w:rPr>
                <w:rFonts w:ascii="Tahoma" w:hAnsi="Tahoma" w:cs="Tahoma"/>
                <w:sz w:val="20"/>
              </w:rPr>
            </w:pPr>
            <w:r w:rsidRPr="007A20A1">
              <w:rPr>
                <w:rFonts w:ascii="Tahoma" w:hAnsi="Tahoma" w:cs="Tahoma"/>
                <w:sz w:val="20"/>
              </w:rPr>
              <w:t>± 0.5</w:t>
            </w:r>
          </w:p>
        </w:tc>
        <w:tc>
          <w:tcPr>
            <w:tcW w:w="1241" w:type="dxa"/>
          </w:tcPr>
          <w:p w:rsidR="00580583" w:rsidRPr="007A20A1" w:rsidRDefault="00580583" w:rsidP="00580583">
            <w:pPr>
              <w:jc w:val="center"/>
              <w:rPr>
                <w:rFonts w:ascii="Tahoma" w:hAnsi="Tahoma" w:cs="Tahoma"/>
                <w:sz w:val="20"/>
              </w:rPr>
            </w:pPr>
            <w:r w:rsidRPr="007A20A1">
              <w:rPr>
                <w:rFonts w:ascii="Tahoma" w:hAnsi="Tahoma" w:cs="Tahoma"/>
                <w:sz w:val="20"/>
              </w:rPr>
              <w:t>&lt;0.001</w:t>
            </w:r>
          </w:p>
        </w:tc>
      </w:tr>
      <w:tr w:rsidR="00580583" w:rsidRPr="007A20A1" w:rsidTr="00580583">
        <w:tc>
          <w:tcPr>
            <w:tcW w:w="2552" w:type="dxa"/>
          </w:tcPr>
          <w:p w:rsidR="00580583" w:rsidRPr="00580583" w:rsidRDefault="00580583" w:rsidP="00580583">
            <w:pPr>
              <w:rPr>
                <w:rFonts w:ascii="Tahoma" w:hAnsi="Tahoma" w:cs="Tahoma"/>
                <w:b/>
                <w:sz w:val="20"/>
              </w:rPr>
            </w:pPr>
            <w:r w:rsidRPr="00580583">
              <w:rPr>
                <w:rFonts w:ascii="Tahoma" w:hAnsi="Tahoma" w:cs="Tahoma"/>
                <w:b/>
                <w:sz w:val="20"/>
              </w:rPr>
              <w:t>SYNTHETIC SLINGS</w:t>
            </w:r>
          </w:p>
        </w:tc>
        <w:tc>
          <w:tcPr>
            <w:tcW w:w="709" w:type="dxa"/>
          </w:tcPr>
          <w:p w:rsidR="00580583" w:rsidRPr="007A20A1" w:rsidRDefault="00580583" w:rsidP="00580583">
            <w:pPr>
              <w:jc w:val="center"/>
              <w:rPr>
                <w:rFonts w:ascii="Tahoma" w:hAnsi="Tahoma" w:cs="Tahoma"/>
                <w:sz w:val="20"/>
              </w:rPr>
            </w:pPr>
          </w:p>
        </w:tc>
        <w:tc>
          <w:tcPr>
            <w:tcW w:w="708" w:type="dxa"/>
          </w:tcPr>
          <w:p w:rsidR="00580583" w:rsidRPr="007A20A1" w:rsidRDefault="00580583" w:rsidP="00580583">
            <w:pPr>
              <w:jc w:val="center"/>
              <w:rPr>
                <w:rFonts w:ascii="Tahoma" w:hAnsi="Tahoma" w:cs="Tahoma"/>
                <w:sz w:val="20"/>
              </w:rPr>
            </w:pPr>
          </w:p>
        </w:tc>
        <w:tc>
          <w:tcPr>
            <w:tcW w:w="1240" w:type="dxa"/>
          </w:tcPr>
          <w:p w:rsidR="00580583" w:rsidRPr="007A20A1" w:rsidRDefault="00580583" w:rsidP="00580583">
            <w:pPr>
              <w:jc w:val="center"/>
              <w:rPr>
                <w:rFonts w:ascii="Tahoma" w:hAnsi="Tahoma" w:cs="Tahoma"/>
                <w:sz w:val="20"/>
              </w:rPr>
            </w:pPr>
          </w:p>
        </w:tc>
        <w:tc>
          <w:tcPr>
            <w:tcW w:w="1241" w:type="dxa"/>
          </w:tcPr>
          <w:p w:rsidR="00580583" w:rsidRPr="007A20A1" w:rsidRDefault="00580583" w:rsidP="00580583">
            <w:pPr>
              <w:jc w:val="center"/>
              <w:rPr>
                <w:rFonts w:ascii="Tahoma" w:hAnsi="Tahoma" w:cs="Tahoma"/>
                <w:sz w:val="20"/>
              </w:rPr>
            </w:pPr>
          </w:p>
        </w:tc>
        <w:tc>
          <w:tcPr>
            <w:tcW w:w="1240" w:type="dxa"/>
          </w:tcPr>
          <w:p w:rsidR="00580583" w:rsidRPr="007A20A1" w:rsidRDefault="00580583" w:rsidP="00580583">
            <w:pPr>
              <w:jc w:val="center"/>
              <w:rPr>
                <w:rFonts w:ascii="Tahoma" w:hAnsi="Tahoma" w:cs="Tahoma"/>
                <w:sz w:val="20"/>
              </w:rPr>
            </w:pPr>
          </w:p>
        </w:tc>
        <w:tc>
          <w:tcPr>
            <w:tcW w:w="1241" w:type="dxa"/>
          </w:tcPr>
          <w:p w:rsidR="00580583" w:rsidRPr="007A20A1" w:rsidRDefault="00580583" w:rsidP="00580583">
            <w:pPr>
              <w:jc w:val="center"/>
              <w:rPr>
                <w:rFonts w:ascii="Tahoma" w:hAnsi="Tahoma" w:cs="Tahoma"/>
                <w:sz w:val="20"/>
              </w:rPr>
            </w:pPr>
          </w:p>
        </w:tc>
      </w:tr>
      <w:tr w:rsidR="00580583" w:rsidRPr="007A20A1" w:rsidTr="00580583">
        <w:tc>
          <w:tcPr>
            <w:tcW w:w="2552" w:type="dxa"/>
            <w:shd w:val="clear" w:color="auto" w:fill="E6E6E6"/>
          </w:tcPr>
          <w:p w:rsidR="00580583" w:rsidRPr="007A20A1" w:rsidRDefault="00580583" w:rsidP="00580583">
            <w:pPr>
              <w:rPr>
                <w:rFonts w:ascii="Tahoma" w:hAnsi="Tahoma" w:cs="Tahoma"/>
                <w:b/>
                <w:sz w:val="20"/>
              </w:rPr>
            </w:pPr>
            <w:r w:rsidRPr="007A20A1">
              <w:rPr>
                <w:rFonts w:ascii="Tahoma" w:hAnsi="Tahoma" w:cs="Tahoma"/>
                <w:b/>
                <w:sz w:val="20"/>
              </w:rPr>
              <w:t>InVance sling</w:t>
            </w:r>
          </w:p>
        </w:tc>
        <w:tc>
          <w:tcPr>
            <w:tcW w:w="709" w:type="dxa"/>
            <w:shd w:val="clear" w:color="auto" w:fill="E6E6E6"/>
          </w:tcPr>
          <w:p w:rsidR="00580583" w:rsidRPr="007A20A1" w:rsidRDefault="00580583" w:rsidP="00580583">
            <w:pPr>
              <w:jc w:val="center"/>
              <w:rPr>
                <w:rFonts w:ascii="Tahoma" w:hAnsi="Tahoma" w:cs="Tahoma"/>
                <w:sz w:val="20"/>
              </w:rPr>
            </w:pPr>
          </w:p>
        </w:tc>
        <w:tc>
          <w:tcPr>
            <w:tcW w:w="708" w:type="dxa"/>
            <w:shd w:val="clear" w:color="auto" w:fill="E6E6E6"/>
          </w:tcPr>
          <w:p w:rsidR="00580583" w:rsidRPr="007A20A1" w:rsidRDefault="00580583" w:rsidP="00580583">
            <w:pPr>
              <w:jc w:val="center"/>
              <w:rPr>
                <w:rFonts w:ascii="Tahoma" w:hAnsi="Tahoma" w:cs="Tahoma"/>
                <w:sz w:val="20"/>
              </w:rPr>
            </w:pPr>
          </w:p>
        </w:tc>
        <w:tc>
          <w:tcPr>
            <w:tcW w:w="1240" w:type="dxa"/>
            <w:shd w:val="clear" w:color="auto" w:fill="E6E6E6"/>
          </w:tcPr>
          <w:p w:rsidR="00580583" w:rsidRPr="007A20A1" w:rsidRDefault="00580583" w:rsidP="00580583">
            <w:pPr>
              <w:jc w:val="center"/>
              <w:rPr>
                <w:rFonts w:ascii="Tahoma" w:hAnsi="Tahoma" w:cs="Tahoma"/>
                <w:sz w:val="20"/>
              </w:rPr>
            </w:pPr>
          </w:p>
        </w:tc>
        <w:tc>
          <w:tcPr>
            <w:tcW w:w="1241" w:type="dxa"/>
            <w:shd w:val="clear" w:color="auto" w:fill="E6E6E6"/>
          </w:tcPr>
          <w:p w:rsidR="00580583" w:rsidRPr="007A20A1" w:rsidRDefault="00580583" w:rsidP="00580583">
            <w:pPr>
              <w:jc w:val="center"/>
              <w:rPr>
                <w:rFonts w:ascii="Tahoma" w:hAnsi="Tahoma" w:cs="Tahoma"/>
                <w:sz w:val="20"/>
              </w:rPr>
            </w:pPr>
          </w:p>
        </w:tc>
        <w:tc>
          <w:tcPr>
            <w:tcW w:w="1240" w:type="dxa"/>
            <w:shd w:val="clear" w:color="auto" w:fill="E6E6E6"/>
          </w:tcPr>
          <w:p w:rsidR="00580583" w:rsidRPr="007A20A1" w:rsidRDefault="00580583" w:rsidP="00580583">
            <w:pPr>
              <w:jc w:val="center"/>
              <w:rPr>
                <w:rFonts w:ascii="Tahoma" w:hAnsi="Tahoma" w:cs="Tahoma"/>
                <w:sz w:val="20"/>
              </w:rPr>
            </w:pPr>
          </w:p>
        </w:tc>
        <w:tc>
          <w:tcPr>
            <w:tcW w:w="1241" w:type="dxa"/>
            <w:shd w:val="clear" w:color="auto" w:fill="E6E6E6"/>
          </w:tcPr>
          <w:p w:rsidR="00580583" w:rsidRPr="007A20A1" w:rsidRDefault="00580583" w:rsidP="00580583">
            <w:pPr>
              <w:jc w:val="center"/>
              <w:rPr>
                <w:rFonts w:ascii="Tahoma" w:hAnsi="Tahoma" w:cs="Tahoma"/>
                <w:sz w:val="20"/>
              </w:rPr>
            </w:pPr>
          </w:p>
        </w:tc>
      </w:tr>
      <w:tr w:rsidR="00BB474C" w:rsidRPr="007A20A1" w:rsidTr="00580583">
        <w:tc>
          <w:tcPr>
            <w:tcW w:w="2552" w:type="dxa"/>
          </w:tcPr>
          <w:p w:rsidR="00BB474C" w:rsidRPr="007A20A1" w:rsidRDefault="00BB474C" w:rsidP="00580583">
            <w:pPr>
              <w:rPr>
                <w:rFonts w:ascii="Tahoma" w:hAnsi="Tahoma" w:cs="Tahoma"/>
                <w:sz w:val="20"/>
              </w:rPr>
            </w:pPr>
            <w:proofErr w:type="spellStart"/>
            <w:r w:rsidRPr="007A20A1">
              <w:rPr>
                <w:rFonts w:ascii="Tahoma" w:hAnsi="Tahoma" w:cs="Tahoma"/>
                <w:sz w:val="20"/>
              </w:rPr>
              <w:t>Comiter</w:t>
            </w:r>
            <w:proofErr w:type="spellEnd"/>
            <w:r w:rsidRPr="007A20A1">
              <w:rPr>
                <w:rFonts w:ascii="Tahoma" w:hAnsi="Tahoma" w:cs="Tahoma"/>
                <w:sz w:val="20"/>
              </w:rPr>
              <w:t xml:space="preserve"> 2005</w:t>
            </w:r>
          </w:p>
        </w:tc>
        <w:tc>
          <w:tcPr>
            <w:tcW w:w="709" w:type="dxa"/>
          </w:tcPr>
          <w:p w:rsidR="00BB474C" w:rsidRPr="007A20A1" w:rsidRDefault="00BB474C" w:rsidP="00580583">
            <w:pPr>
              <w:jc w:val="center"/>
              <w:rPr>
                <w:rFonts w:ascii="Tahoma" w:hAnsi="Tahoma" w:cs="Tahoma"/>
                <w:sz w:val="20"/>
              </w:rPr>
            </w:pPr>
            <w:r w:rsidRPr="007A20A1">
              <w:rPr>
                <w:rFonts w:ascii="Tahoma" w:hAnsi="Tahoma" w:cs="Tahoma"/>
                <w:sz w:val="20"/>
              </w:rPr>
              <w:t>48</w:t>
            </w:r>
          </w:p>
        </w:tc>
        <w:tc>
          <w:tcPr>
            <w:tcW w:w="708" w:type="dxa"/>
          </w:tcPr>
          <w:p w:rsidR="00BB474C" w:rsidRPr="007A20A1" w:rsidRDefault="00BB474C" w:rsidP="00580583">
            <w:pPr>
              <w:jc w:val="center"/>
              <w:rPr>
                <w:rFonts w:ascii="Tahoma" w:hAnsi="Tahoma" w:cs="Tahoma"/>
                <w:sz w:val="20"/>
              </w:rPr>
            </w:pPr>
            <w:r w:rsidRPr="007A20A1">
              <w:rPr>
                <w:rFonts w:ascii="Tahoma" w:hAnsi="Tahoma" w:cs="Tahoma"/>
                <w:sz w:val="20"/>
              </w:rPr>
              <w:t>48</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Mean</w:t>
            </w:r>
          </w:p>
          <w:p w:rsidR="00BB474C" w:rsidRPr="007A20A1" w:rsidRDefault="00BB474C" w:rsidP="00580583">
            <w:pPr>
              <w:jc w:val="center"/>
              <w:rPr>
                <w:rFonts w:ascii="Tahoma" w:hAnsi="Tahoma" w:cs="Tahoma"/>
                <w:sz w:val="20"/>
              </w:rPr>
            </w:pPr>
            <w:r w:rsidRPr="007A20A1">
              <w:rPr>
                <w:rFonts w:ascii="Tahoma" w:hAnsi="Tahoma" w:cs="Tahoma"/>
                <w:color w:val="000000"/>
                <w:sz w:val="20"/>
              </w:rPr>
              <w:t>± SD</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4.6</w:t>
            </w:r>
          </w:p>
          <w:p w:rsidR="00BB474C" w:rsidRPr="007A20A1" w:rsidRDefault="00BB474C" w:rsidP="00580583">
            <w:pPr>
              <w:jc w:val="center"/>
              <w:rPr>
                <w:rFonts w:ascii="Tahoma" w:hAnsi="Tahoma" w:cs="Tahoma"/>
                <w:sz w:val="20"/>
              </w:rPr>
            </w:pPr>
            <w:r w:rsidRPr="007A20A1">
              <w:rPr>
                <w:rFonts w:ascii="Tahoma" w:hAnsi="Tahoma" w:cs="Tahoma"/>
                <w:sz w:val="20"/>
              </w:rPr>
              <w:t>± 2.1</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1.0</w:t>
            </w:r>
          </w:p>
          <w:p w:rsidR="00BB474C" w:rsidRPr="007A20A1" w:rsidRDefault="00BB474C" w:rsidP="00580583">
            <w:pPr>
              <w:jc w:val="center"/>
              <w:rPr>
                <w:rFonts w:ascii="Tahoma" w:hAnsi="Tahoma" w:cs="Tahoma"/>
                <w:sz w:val="20"/>
              </w:rPr>
            </w:pPr>
            <w:r w:rsidRPr="007A20A1">
              <w:rPr>
                <w:rFonts w:ascii="Tahoma" w:hAnsi="Tahoma" w:cs="Tahoma"/>
                <w:sz w:val="20"/>
              </w:rPr>
              <w:t>± 1.7</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&lt;0.01</w:t>
            </w:r>
          </w:p>
        </w:tc>
      </w:tr>
      <w:tr w:rsidR="00BB474C" w:rsidRPr="007A20A1" w:rsidTr="00580583">
        <w:tc>
          <w:tcPr>
            <w:tcW w:w="2552" w:type="dxa"/>
          </w:tcPr>
          <w:p w:rsidR="00BB474C" w:rsidRPr="007A20A1" w:rsidRDefault="00BB474C" w:rsidP="00580583">
            <w:pPr>
              <w:rPr>
                <w:rFonts w:ascii="Tahoma" w:hAnsi="Tahoma" w:cs="Tahoma"/>
                <w:sz w:val="20"/>
              </w:rPr>
            </w:pPr>
            <w:r w:rsidRPr="007A20A1">
              <w:rPr>
                <w:rFonts w:ascii="Tahoma" w:hAnsi="Tahoma" w:cs="Tahoma"/>
                <w:sz w:val="20"/>
              </w:rPr>
              <w:t>Gallagher 2007</w:t>
            </w:r>
          </w:p>
        </w:tc>
        <w:tc>
          <w:tcPr>
            <w:tcW w:w="709" w:type="dxa"/>
          </w:tcPr>
          <w:p w:rsidR="00BB474C" w:rsidRPr="007A20A1" w:rsidRDefault="00BB474C" w:rsidP="00580583">
            <w:pPr>
              <w:jc w:val="center"/>
              <w:rPr>
                <w:rFonts w:ascii="Tahoma" w:hAnsi="Tahoma" w:cs="Tahoma"/>
                <w:sz w:val="20"/>
              </w:rPr>
            </w:pPr>
            <w:r w:rsidRPr="007A20A1">
              <w:rPr>
                <w:rFonts w:ascii="Tahoma" w:hAnsi="Tahoma" w:cs="Tahoma"/>
                <w:sz w:val="20"/>
              </w:rPr>
              <w:t>31</w:t>
            </w:r>
          </w:p>
        </w:tc>
        <w:tc>
          <w:tcPr>
            <w:tcW w:w="708" w:type="dxa"/>
          </w:tcPr>
          <w:p w:rsidR="00BB474C" w:rsidRPr="007A20A1" w:rsidRDefault="00BB474C" w:rsidP="00580583">
            <w:pPr>
              <w:jc w:val="center"/>
              <w:rPr>
                <w:rFonts w:ascii="Tahoma" w:hAnsi="Tahoma" w:cs="Tahoma"/>
                <w:sz w:val="20"/>
              </w:rPr>
            </w:pPr>
            <w:r w:rsidRPr="007A20A1">
              <w:rPr>
                <w:rFonts w:ascii="Tahoma" w:hAnsi="Tahoma" w:cs="Tahoma"/>
                <w:sz w:val="20"/>
              </w:rPr>
              <w:t>15</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Mean</w:t>
            </w:r>
          </w:p>
          <w:p w:rsidR="00BB474C" w:rsidRPr="007A20A1" w:rsidRDefault="00BB474C" w:rsidP="00580583">
            <w:pPr>
              <w:jc w:val="center"/>
              <w:rPr>
                <w:rFonts w:ascii="Tahoma" w:hAnsi="Tahoma" w:cs="Tahoma"/>
                <w:sz w:val="20"/>
              </w:rPr>
            </w:pPr>
            <w:r w:rsidRPr="007A20A1">
              <w:rPr>
                <w:rFonts w:ascii="Tahoma" w:hAnsi="Tahoma" w:cs="Tahoma"/>
                <w:color w:val="000000"/>
                <w:sz w:val="20"/>
              </w:rPr>
              <w:t>(IQR)</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3.0</w:t>
            </w:r>
          </w:p>
          <w:p w:rsidR="00BB474C" w:rsidRPr="007A20A1" w:rsidRDefault="00BB474C" w:rsidP="00580583">
            <w:pPr>
              <w:jc w:val="center"/>
              <w:rPr>
                <w:rFonts w:ascii="Tahoma" w:hAnsi="Tahoma" w:cs="Tahoma"/>
                <w:sz w:val="20"/>
              </w:rPr>
            </w:pPr>
            <w:r w:rsidRPr="007A20A1">
              <w:rPr>
                <w:rFonts w:ascii="Tahoma" w:hAnsi="Tahoma" w:cs="Tahoma"/>
                <w:sz w:val="20"/>
              </w:rPr>
              <w:t>(2 – 5.5)</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1.0</w:t>
            </w:r>
          </w:p>
          <w:p w:rsidR="00BB474C" w:rsidRPr="007A20A1" w:rsidRDefault="00BB474C" w:rsidP="00580583">
            <w:pPr>
              <w:jc w:val="center"/>
              <w:rPr>
                <w:rFonts w:ascii="Tahoma" w:hAnsi="Tahoma" w:cs="Tahoma"/>
                <w:sz w:val="20"/>
              </w:rPr>
            </w:pPr>
            <w:r w:rsidRPr="007A20A1">
              <w:rPr>
                <w:rFonts w:ascii="Tahoma" w:hAnsi="Tahoma" w:cs="Tahoma"/>
                <w:sz w:val="20"/>
              </w:rPr>
              <w:t>(0 – 3.5)</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&lt;0.01</w:t>
            </w:r>
          </w:p>
        </w:tc>
      </w:tr>
      <w:tr w:rsidR="00BB474C" w:rsidRPr="007A20A1" w:rsidTr="00580583">
        <w:tc>
          <w:tcPr>
            <w:tcW w:w="2552" w:type="dxa"/>
          </w:tcPr>
          <w:p w:rsidR="00BB474C" w:rsidRPr="007A20A1" w:rsidRDefault="00BB474C" w:rsidP="00580583">
            <w:pPr>
              <w:rPr>
                <w:rFonts w:ascii="Tahoma" w:hAnsi="Tahoma" w:cs="Tahoma"/>
                <w:sz w:val="20"/>
              </w:rPr>
            </w:pPr>
            <w:r w:rsidRPr="007A20A1">
              <w:rPr>
                <w:rFonts w:ascii="Tahoma" w:hAnsi="Tahoma" w:cs="Tahoma"/>
                <w:sz w:val="20"/>
              </w:rPr>
              <w:t>Carmel 2010</w:t>
            </w:r>
          </w:p>
        </w:tc>
        <w:tc>
          <w:tcPr>
            <w:tcW w:w="709" w:type="dxa"/>
          </w:tcPr>
          <w:p w:rsidR="00BB474C" w:rsidRPr="007A20A1" w:rsidRDefault="00BB474C" w:rsidP="00580583">
            <w:pPr>
              <w:jc w:val="center"/>
              <w:rPr>
                <w:rFonts w:ascii="Tahoma" w:hAnsi="Tahoma" w:cs="Tahoma"/>
                <w:sz w:val="20"/>
              </w:rPr>
            </w:pPr>
            <w:r w:rsidRPr="007A20A1">
              <w:rPr>
                <w:rFonts w:ascii="Tahoma" w:hAnsi="Tahoma" w:cs="Tahoma"/>
                <w:sz w:val="20"/>
              </w:rPr>
              <w:t>45</w:t>
            </w:r>
          </w:p>
        </w:tc>
        <w:tc>
          <w:tcPr>
            <w:tcW w:w="708" w:type="dxa"/>
          </w:tcPr>
          <w:p w:rsidR="00BB474C" w:rsidRPr="007A20A1" w:rsidRDefault="00BB474C" w:rsidP="00580583">
            <w:pPr>
              <w:jc w:val="center"/>
              <w:rPr>
                <w:rFonts w:ascii="Tahoma" w:hAnsi="Tahoma" w:cs="Tahoma"/>
                <w:sz w:val="20"/>
              </w:rPr>
            </w:pPr>
            <w:r w:rsidRPr="007A20A1">
              <w:rPr>
                <w:rFonts w:ascii="Tahoma" w:hAnsi="Tahoma" w:cs="Tahoma"/>
                <w:sz w:val="20"/>
              </w:rPr>
              <w:t>36</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Median</w:t>
            </w:r>
          </w:p>
          <w:p w:rsidR="00BB474C" w:rsidRPr="007A20A1" w:rsidRDefault="00BB474C" w:rsidP="00580583">
            <w:pPr>
              <w:jc w:val="center"/>
              <w:rPr>
                <w:rFonts w:ascii="Tahoma" w:hAnsi="Tahoma" w:cs="Tahoma"/>
                <w:sz w:val="20"/>
              </w:rPr>
            </w:pPr>
            <w:r w:rsidRPr="007A20A1">
              <w:rPr>
                <w:rFonts w:ascii="Tahoma" w:hAnsi="Tahoma" w:cs="Tahoma"/>
                <w:color w:val="000000"/>
                <w:sz w:val="20"/>
              </w:rPr>
              <w:t>± SD</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7.0</w:t>
            </w:r>
          </w:p>
          <w:p w:rsidR="00BB474C" w:rsidRPr="007A20A1" w:rsidRDefault="00BB474C" w:rsidP="00580583">
            <w:pPr>
              <w:jc w:val="center"/>
              <w:rPr>
                <w:rFonts w:ascii="Tahoma" w:hAnsi="Tahoma" w:cs="Tahoma"/>
                <w:sz w:val="20"/>
              </w:rPr>
            </w:pPr>
            <w:r w:rsidRPr="007A20A1">
              <w:rPr>
                <w:rFonts w:ascii="Tahoma" w:hAnsi="Tahoma" w:cs="Tahoma"/>
                <w:sz w:val="20"/>
              </w:rPr>
              <w:t>± 1.0</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1.0</w:t>
            </w:r>
          </w:p>
          <w:p w:rsidR="00BB474C" w:rsidRPr="007A20A1" w:rsidRDefault="00BB474C" w:rsidP="00580583">
            <w:pPr>
              <w:jc w:val="center"/>
              <w:rPr>
                <w:rFonts w:ascii="Tahoma" w:hAnsi="Tahoma" w:cs="Tahoma"/>
                <w:sz w:val="20"/>
              </w:rPr>
            </w:pPr>
            <w:r w:rsidRPr="007A20A1">
              <w:rPr>
                <w:rFonts w:ascii="Tahoma" w:hAnsi="Tahoma" w:cs="Tahoma"/>
                <w:sz w:val="20"/>
              </w:rPr>
              <w:t>± 2.5</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nr</w:t>
            </w:r>
          </w:p>
        </w:tc>
      </w:tr>
      <w:tr w:rsidR="00BB474C" w:rsidRPr="007A20A1" w:rsidTr="00580583">
        <w:tc>
          <w:tcPr>
            <w:tcW w:w="2552" w:type="dxa"/>
            <w:shd w:val="clear" w:color="auto" w:fill="E6E6E6"/>
          </w:tcPr>
          <w:p w:rsidR="00BB474C" w:rsidRPr="007A20A1" w:rsidRDefault="00BB474C" w:rsidP="00580583">
            <w:pPr>
              <w:rPr>
                <w:rFonts w:ascii="Tahoma" w:hAnsi="Tahoma" w:cs="Tahoma"/>
                <w:b/>
                <w:sz w:val="20"/>
              </w:rPr>
            </w:pPr>
            <w:r w:rsidRPr="007A20A1">
              <w:rPr>
                <w:rFonts w:ascii="Tahoma" w:hAnsi="Tahoma" w:cs="Tahoma"/>
                <w:b/>
                <w:sz w:val="20"/>
              </w:rPr>
              <w:t>AdVance sling</w:t>
            </w:r>
          </w:p>
        </w:tc>
        <w:tc>
          <w:tcPr>
            <w:tcW w:w="709" w:type="dxa"/>
            <w:shd w:val="clear" w:color="auto" w:fill="E6E6E6"/>
          </w:tcPr>
          <w:p w:rsidR="00BB474C" w:rsidRPr="007A20A1" w:rsidRDefault="00BB474C" w:rsidP="00580583">
            <w:pPr>
              <w:jc w:val="center"/>
              <w:rPr>
                <w:rFonts w:ascii="Tahoma" w:hAnsi="Tahoma" w:cs="Tahoma"/>
                <w:sz w:val="20"/>
              </w:rPr>
            </w:pPr>
          </w:p>
        </w:tc>
        <w:tc>
          <w:tcPr>
            <w:tcW w:w="708" w:type="dxa"/>
            <w:shd w:val="clear" w:color="auto" w:fill="E6E6E6"/>
          </w:tcPr>
          <w:p w:rsidR="00BB474C" w:rsidRPr="007A20A1" w:rsidRDefault="00BB474C" w:rsidP="00580583">
            <w:pPr>
              <w:jc w:val="center"/>
              <w:rPr>
                <w:rFonts w:ascii="Tahoma" w:hAnsi="Tahoma" w:cs="Tahoma"/>
                <w:sz w:val="20"/>
              </w:rPr>
            </w:pPr>
          </w:p>
        </w:tc>
        <w:tc>
          <w:tcPr>
            <w:tcW w:w="1240" w:type="dxa"/>
            <w:shd w:val="clear" w:color="auto" w:fill="E6E6E6"/>
          </w:tcPr>
          <w:p w:rsidR="00BB474C" w:rsidRPr="007A20A1" w:rsidRDefault="00BB474C" w:rsidP="00580583">
            <w:pPr>
              <w:jc w:val="center"/>
              <w:rPr>
                <w:rFonts w:ascii="Tahoma" w:hAnsi="Tahoma" w:cs="Tahoma"/>
                <w:sz w:val="20"/>
              </w:rPr>
            </w:pPr>
          </w:p>
        </w:tc>
        <w:tc>
          <w:tcPr>
            <w:tcW w:w="1241" w:type="dxa"/>
            <w:shd w:val="clear" w:color="auto" w:fill="E6E6E6"/>
          </w:tcPr>
          <w:p w:rsidR="00BB474C" w:rsidRPr="007A20A1" w:rsidRDefault="00BB474C" w:rsidP="00580583">
            <w:pPr>
              <w:jc w:val="center"/>
              <w:rPr>
                <w:rFonts w:ascii="Tahoma" w:hAnsi="Tahoma" w:cs="Tahoma"/>
                <w:sz w:val="20"/>
              </w:rPr>
            </w:pPr>
          </w:p>
        </w:tc>
        <w:tc>
          <w:tcPr>
            <w:tcW w:w="1240" w:type="dxa"/>
            <w:shd w:val="clear" w:color="auto" w:fill="E6E6E6"/>
          </w:tcPr>
          <w:p w:rsidR="00BB474C" w:rsidRPr="007A20A1" w:rsidRDefault="00BB474C" w:rsidP="00580583">
            <w:pPr>
              <w:jc w:val="center"/>
              <w:rPr>
                <w:rFonts w:ascii="Tahoma" w:hAnsi="Tahoma" w:cs="Tahoma"/>
                <w:sz w:val="20"/>
              </w:rPr>
            </w:pPr>
          </w:p>
        </w:tc>
        <w:tc>
          <w:tcPr>
            <w:tcW w:w="1241" w:type="dxa"/>
            <w:shd w:val="clear" w:color="auto" w:fill="E6E6E6"/>
          </w:tcPr>
          <w:p w:rsidR="00BB474C" w:rsidRPr="007A20A1" w:rsidRDefault="00BB474C" w:rsidP="00580583">
            <w:pPr>
              <w:jc w:val="center"/>
              <w:rPr>
                <w:rFonts w:ascii="Tahoma" w:hAnsi="Tahoma" w:cs="Tahoma"/>
                <w:sz w:val="20"/>
              </w:rPr>
            </w:pPr>
          </w:p>
        </w:tc>
      </w:tr>
      <w:tr w:rsidR="00BB474C" w:rsidRPr="007A20A1" w:rsidTr="00580583">
        <w:tc>
          <w:tcPr>
            <w:tcW w:w="2552" w:type="dxa"/>
          </w:tcPr>
          <w:p w:rsidR="00BB474C" w:rsidRPr="007A20A1" w:rsidRDefault="00BB474C" w:rsidP="00580583">
            <w:pPr>
              <w:rPr>
                <w:rFonts w:ascii="Tahoma" w:hAnsi="Tahoma" w:cs="Tahoma"/>
                <w:sz w:val="20"/>
              </w:rPr>
            </w:pPr>
            <w:proofErr w:type="spellStart"/>
            <w:r w:rsidRPr="007A20A1">
              <w:rPr>
                <w:rFonts w:ascii="Tahoma" w:hAnsi="Tahoma" w:cs="Tahoma"/>
                <w:sz w:val="20"/>
              </w:rPr>
              <w:t>Rehder</w:t>
            </w:r>
            <w:proofErr w:type="spellEnd"/>
            <w:r w:rsidRPr="007A20A1">
              <w:rPr>
                <w:rFonts w:ascii="Tahoma" w:hAnsi="Tahoma" w:cs="Tahoma"/>
                <w:sz w:val="20"/>
              </w:rPr>
              <w:t xml:space="preserve"> 2010</w:t>
            </w:r>
          </w:p>
        </w:tc>
        <w:tc>
          <w:tcPr>
            <w:tcW w:w="709" w:type="dxa"/>
          </w:tcPr>
          <w:p w:rsidR="00BB474C" w:rsidRPr="007A20A1" w:rsidRDefault="00BB474C" w:rsidP="00580583">
            <w:pPr>
              <w:jc w:val="center"/>
              <w:rPr>
                <w:rFonts w:ascii="Tahoma" w:hAnsi="Tahoma" w:cs="Tahoma"/>
                <w:sz w:val="20"/>
              </w:rPr>
            </w:pPr>
            <w:r w:rsidRPr="007A20A1">
              <w:rPr>
                <w:rFonts w:ascii="Tahoma" w:hAnsi="Tahoma" w:cs="Tahoma"/>
                <w:sz w:val="20"/>
              </w:rPr>
              <w:t>118</w:t>
            </w:r>
          </w:p>
        </w:tc>
        <w:tc>
          <w:tcPr>
            <w:tcW w:w="708" w:type="dxa"/>
          </w:tcPr>
          <w:p w:rsidR="00BB474C" w:rsidRPr="007A20A1" w:rsidRDefault="00BB474C" w:rsidP="00580583">
            <w:pPr>
              <w:jc w:val="center"/>
              <w:rPr>
                <w:rFonts w:ascii="Tahoma" w:hAnsi="Tahoma" w:cs="Tahoma"/>
                <w:sz w:val="20"/>
              </w:rPr>
            </w:pPr>
            <w:r w:rsidRPr="007A20A1">
              <w:rPr>
                <w:rFonts w:ascii="Tahoma" w:hAnsi="Tahoma" w:cs="Tahoma"/>
                <w:sz w:val="20"/>
              </w:rPr>
              <w:t xml:space="preserve">12 </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Mean</w:t>
            </w:r>
          </w:p>
          <w:p w:rsidR="00BB474C" w:rsidRPr="007A20A1" w:rsidRDefault="00BB474C" w:rsidP="00580583">
            <w:pPr>
              <w:jc w:val="center"/>
              <w:rPr>
                <w:rFonts w:ascii="Tahoma" w:hAnsi="Tahoma" w:cs="Tahoma"/>
                <w:sz w:val="20"/>
              </w:rPr>
            </w:pPr>
            <w:r w:rsidRPr="007A20A1">
              <w:rPr>
                <w:rFonts w:ascii="Tahoma" w:hAnsi="Tahoma" w:cs="Tahoma"/>
                <w:color w:val="000000"/>
                <w:sz w:val="20"/>
              </w:rPr>
              <w:t>± SD</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2.3</w:t>
            </w:r>
          </w:p>
          <w:p w:rsidR="00BB474C" w:rsidRPr="007A20A1" w:rsidRDefault="00BB474C" w:rsidP="00580583">
            <w:pPr>
              <w:jc w:val="center"/>
              <w:rPr>
                <w:rFonts w:ascii="Tahoma" w:hAnsi="Tahoma" w:cs="Tahoma"/>
                <w:sz w:val="20"/>
              </w:rPr>
            </w:pPr>
            <w:r w:rsidRPr="007A20A1">
              <w:rPr>
                <w:rFonts w:ascii="Tahoma" w:hAnsi="Tahoma" w:cs="Tahoma"/>
                <w:sz w:val="20"/>
              </w:rPr>
              <w:t>± 1.2</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0.7</w:t>
            </w:r>
          </w:p>
          <w:p w:rsidR="00BB474C" w:rsidRPr="007A20A1" w:rsidRDefault="00BB474C" w:rsidP="00580583">
            <w:pPr>
              <w:jc w:val="center"/>
              <w:rPr>
                <w:rFonts w:ascii="Tahoma" w:hAnsi="Tahoma" w:cs="Tahoma"/>
                <w:sz w:val="20"/>
              </w:rPr>
            </w:pPr>
            <w:r w:rsidRPr="007A20A1">
              <w:rPr>
                <w:rFonts w:ascii="Tahoma" w:hAnsi="Tahoma" w:cs="Tahoma"/>
                <w:sz w:val="20"/>
              </w:rPr>
              <w:t>± 0.8</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&lt;0.001</w:t>
            </w:r>
          </w:p>
        </w:tc>
      </w:tr>
      <w:tr w:rsidR="00BB474C" w:rsidRPr="007A20A1" w:rsidTr="00580583">
        <w:tc>
          <w:tcPr>
            <w:tcW w:w="2552" w:type="dxa"/>
          </w:tcPr>
          <w:p w:rsidR="00BB474C" w:rsidRPr="007A20A1" w:rsidRDefault="00BB474C" w:rsidP="00580583">
            <w:pPr>
              <w:rPr>
                <w:rFonts w:ascii="Tahoma" w:hAnsi="Tahoma" w:cs="Tahoma"/>
                <w:sz w:val="20"/>
              </w:rPr>
            </w:pPr>
            <w:proofErr w:type="spellStart"/>
            <w:r w:rsidRPr="007A20A1">
              <w:rPr>
                <w:rFonts w:ascii="Tahoma" w:hAnsi="Tahoma" w:cs="Tahoma"/>
                <w:sz w:val="20"/>
              </w:rPr>
              <w:t>Soljanik</w:t>
            </w:r>
            <w:proofErr w:type="spellEnd"/>
            <w:r w:rsidRPr="007A20A1">
              <w:rPr>
                <w:rFonts w:ascii="Tahoma" w:hAnsi="Tahoma" w:cs="Tahoma"/>
                <w:sz w:val="20"/>
              </w:rPr>
              <w:t xml:space="preserve"> 2012</w:t>
            </w:r>
          </w:p>
        </w:tc>
        <w:tc>
          <w:tcPr>
            <w:tcW w:w="709" w:type="dxa"/>
          </w:tcPr>
          <w:p w:rsidR="00BB474C" w:rsidRPr="007A20A1" w:rsidRDefault="00BB474C" w:rsidP="00580583">
            <w:pPr>
              <w:jc w:val="center"/>
              <w:rPr>
                <w:rFonts w:ascii="Tahoma" w:hAnsi="Tahoma" w:cs="Tahoma"/>
                <w:sz w:val="20"/>
              </w:rPr>
            </w:pPr>
            <w:r w:rsidRPr="007A20A1">
              <w:rPr>
                <w:rFonts w:ascii="Tahoma" w:hAnsi="Tahoma" w:cs="Tahoma"/>
                <w:sz w:val="20"/>
              </w:rPr>
              <w:t>178</w:t>
            </w:r>
          </w:p>
        </w:tc>
        <w:tc>
          <w:tcPr>
            <w:tcW w:w="708" w:type="dxa"/>
          </w:tcPr>
          <w:p w:rsidR="00BB474C" w:rsidRPr="007A20A1" w:rsidRDefault="00BB474C" w:rsidP="00580583">
            <w:pPr>
              <w:jc w:val="center"/>
              <w:rPr>
                <w:rFonts w:ascii="Tahoma" w:hAnsi="Tahoma" w:cs="Tahoma"/>
                <w:sz w:val="20"/>
              </w:rPr>
            </w:pPr>
            <w:r w:rsidRPr="007A20A1">
              <w:rPr>
                <w:rFonts w:ascii="Tahoma" w:hAnsi="Tahoma" w:cs="Tahoma"/>
                <w:sz w:val="20"/>
              </w:rPr>
              <w:t>20.8</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Mean</w:t>
            </w:r>
          </w:p>
          <w:p w:rsidR="00BB474C" w:rsidRPr="007A20A1" w:rsidRDefault="00BB474C" w:rsidP="00580583">
            <w:pPr>
              <w:jc w:val="center"/>
              <w:rPr>
                <w:rFonts w:ascii="Tahoma" w:hAnsi="Tahoma" w:cs="Tahoma"/>
                <w:sz w:val="20"/>
              </w:rPr>
            </w:pPr>
            <w:r w:rsidRPr="007A20A1">
              <w:rPr>
                <w:rFonts w:ascii="Tahoma" w:hAnsi="Tahoma" w:cs="Tahoma"/>
                <w:color w:val="000000"/>
                <w:sz w:val="20"/>
              </w:rPr>
              <w:t>± SD</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5.4</w:t>
            </w:r>
          </w:p>
          <w:p w:rsidR="00BB474C" w:rsidRPr="007A20A1" w:rsidRDefault="00BB474C" w:rsidP="00580583">
            <w:pPr>
              <w:jc w:val="center"/>
              <w:rPr>
                <w:rFonts w:ascii="Tahoma" w:hAnsi="Tahoma" w:cs="Tahoma"/>
                <w:sz w:val="20"/>
              </w:rPr>
            </w:pPr>
            <w:r w:rsidRPr="007A20A1">
              <w:rPr>
                <w:rFonts w:ascii="Tahoma" w:hAnsi="Tahoma" w:cs="Tahoma"/>
                <w:sz w:val="20"/>
              </w:rPr>
              <w:t>± 3.3</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1.7</w:t>
            </w:r>
          </w:p>
          <w:p w:rsidR="00BB474C" w:rsidRPr="007A20A1" w:rsidRDefault="00BB474C" w:rsidP="00580583">
            <w:pPr>
              <w:jc w:val="center"/>
              <w:rPr>
                <w:rFonts w:ascii="Tahoma" w:hAnsi="Tahoma" w:cs="Tahoma"/>
                <w:sz w:val="20"/>
              </w:rPr>
            </w:pPr>
            <w:r w:rsidRPr="007A20A1">
              <w:rPr>
                <w:rFonts w:ascii="Tahoma" w:hAnsi="Tahoma" w:cs="Tahoma"/>
                <w:sz w:val="20"/>
              </w:rPr>
              <w:t>± 2.4</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&lt;0.001</w:t>
            </w:r>
          </w:p>
        </w:tc>
      </w:tr>
      <w:tr w:rsidR="00BB474C" w:rsidRPr="007A20A1" w:rsidTr="00580583">
        <w:tc>
          <w:tcPr>
            <w:tcW w:w="2552" w:type="dxa"/>
          </w:tcPr>
          <w:p w:rsidR="00BB474C" w:rsidRPr="007A20A1" w:rsidRDefault="00BB474C" w:rsidP="00580583">
            <w:pPr>
              <w:rPr>
                <w:rFonts w:ascii="Tahoma" w:hAnsi="Tahoma" w:cs="Tahoma"/>
                <w:sz w:val="20"/>
              </w:rPr>
            </w:pPr>
            <w:proofErr w:type="spellStart"/>
            <w:r w:rsidRPr="007A20A1">
              <w:rPr>
                <w:rFonts w:ascii="Tahoma" w:hAnsi="Tahoma" w:cs="Tahoma"/>
                <w:sz w:val="20"/>
              </w:rPr>
              <w:t>Cornu</w:t>
            </w:r>
            <w:proofErr w:type="spellEnd"/>
            <w:r w:rsidRPr="007A20A1">
              <w:rPr>
                <w:rFonts w:ascii="Tahoma" w:hAnsi="Tahoma" w:cs="Tahoma"/>
                <w:sz w:val="20"/>
              </w:rPr>
              <w:t xml:space="preserve"> 2011</w:t>
            </w:r>
          </w:p>
        </w:tc>
        <w:tc>
          <w:tcPr>
            <w:tcW w:w="709" w:type="dxa"/>
          </w:tcPr>
          <w:p w:rsidR="00BB474C" w:rsidRPr="007A20A1" w:rsidRDefault="00BB474C" w:rsidP="00580583">
            <w:pPr>
              <w:jc w:val="center"/>
              <w:rPr>
                <w:rFonts w:ascii="Tahoma" w:hAnsi="Tahoma" w:cs="Tahoma"/>
                <w:sz w:val="20"/>
              </w:rPr>
            </w:pPr>
            <w:r w:rsidRPr="007A20A1">
              <w:rPr>
                <w:rFonts w:ascii="Tahoma" w:hAnsi="Tahoma" w:cs="Tahoma"/>
                <w:sz w:val="20"/>
              </w:rPr>
              <w:t>136</w:t>
            </w:r>
          </w:p>
        </w:tc>
        <w:tc>
          <w:tcPr>
            <w:tcW w:w="708" w:type="dxa"/>
          </w:tcPr>
          <w:p w:rsidR="00BB474C" w:rsidRPr="007A20A1" w:rsidRDefault="00BB474C" w:rsidP="00580583">
            <w:pPr>
              <w:jc w:val="center"/>
              <w:rPr>
                <w:rFonts w:ascii="Tahoma" w:hAnsi="Tahoma" w:cs="Tahoma"/>
                <w:sz w:val="20"/>
              </w:rPr>
            </w:pPr>
            <w:r w:rsidRPr="007A20A1">
              <w:rPr>
                <w:rFonts w:ascii="Tahoma" w:hAnsi="Tahoma" w:cs="Tahoma"/>
                <w:sz w:val="20"/>
              </w:rPr>
              <w:t>21</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Mean</w:t>
            </w:r>
          </w:p>
          <w:p w:rsidR="00BB474C" w:rsidRPr="007A20A1" w:rsidRDefault="00BB474C" w:rsidP="00580583">
            <w:pPr>
              <w:jc w:val="center"/>
              <w:rPr>
                <w:rFonts w:ascii="Tahoma" w:hAnsi="Tahoma" w:cs="Tahoma"/>
                <w:sz w:val="20"/>
              </w:rPr>
            </w:pPr>
            <w:r w:rsidRPr="007A20A1">
              <w:rPr>
                <w:rFonts w:ascii="Tahoma" w:hAnsi="Tahoma" w:cs="Tahoma"/>
                <w:color w:val="000000"/>
                <w:sz w:val="20"/>
              </w:rPr>
              <w:t>± SD</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2.1</w:t>
            </w:r>
          </w:p>
          <w:p w:rsidR="00BB474C" w:rsidRPr="007A20A1" w:rsidRDefault="00BB474C" w:rsidP="00580583">
            <w:pPr>
              <w:jc w:val="center"/>
              <w:rPr>
                <w:rFonts w:ascii="Tahoma" w:hAnsi="Tahoma" w:cs="Tahoma"/>
                <w:sz w:val="20"/>
              </w:rPr>
            </w:pPr>
            <w:r w:rsidRPr="007A20A1">
              <w:rPr>
                <w:rFonts w:ascii="Tahoma" w:hAnsi="Tahoma" w:cs="Tahoma"/>
                <w:sz w:val="20"/>
              </w:rPr>
              <w:t>± 1.2</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0.6</w:t>
            </w:r>
          </w:p>
          <w:p w:rsidR="00BB474C" w:rsidRPr="007A20A1" w:rsidRDefault="00BB474C" w:rsidP="00580583">
            <w:pPr>
              <w:jc w:val="center"/>
              <w:rPr>
                <w:rFonts w:ascii="Tahoma" w:hAnsi="Tahoma" w:cs="Tahoma"/>
                <w:sz w:val="20"/>
              </w:rPr>
            </w:pPr>
            <w:r w:rsidRPr="007A20A1">
              <w:rPr>
                <w:rFonts w:ascii="Tahoma" w:hAnsi="Tahoma" w:cs="Tahoma"/>
                <w:sz w:val="20"/>
              </w:rPr>
              <w:t>± 1.0</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&lt;0.001</w:t>
            </w:r>
          </w:p>
        </w:tc>
      </w:tr>
      <w:tr w:rsidR="00BB474C" w:rsidRPr="007A20A1" w:rsidTr="00580583">
        <w:tc>
          <w:tcPr>
            <w:tcW w:w="2552" w:type="dxa"/>
          </w:tcPr>
          <w:p w:rsidR="00BB474C" w:rsidRPr="007A20A1" w:rsidRDefault="00BB474C" w:rsidP="00580583">
            <w:pPr>
              <w:rPr>
                <w:rFonts w:ascii="Tahoma" w:hAnsi="Tahoma" w:cs="Tahoma"/>
                <w:sz w:val="20"/>
              </w:rPr>
            </w:pPr>
            <w:proofErr w:type="spellStart"/>
            <w:r w:rsidRPr="007A20A1">
              <w:rPr>
                <w:rFonts w:ascii="Tahoma" w:hAnsi="Tahoma" w:cs="Tahoma"/>
                <w:sz w:val="20"/>
              </w:rPr>
              <w:t>Rehder</w:t>
            </w:r>
            <w:proofErr w:type="spellEnd"/>
            <w:r w:rsidRPr="007A20A1">
              <w:rPr>
                <w:rFonts w:ascii="Tahoma" w:hAnsi="Tahoma" w:cs="Tahoma"/>
                <w:sz w:val="20"/>
              </w:rPr>
              <w:t xml:space="preserve"> 2012</w:t>
            </w:r>
          </w:p>
        </w:tc>
        <w:tc>
          <w:tcPr>
            <w:tcW w:w="709" w:type="dxa"/>
          </w:tcPr>
          <w:p w:rsidR="00BB474C" w:rsidRPr="007A20A1" w:rsidRDefault="00BB474C" w:rsidP="00580583">
            <w:pPr>
              <w:jc w:val="center"/>
              <w:rPr>
                <w:rFonts w:ascii="Tahoma" w:hAnsi="Tahoma" w:cs="Tahoma"/>
                <w:sz w:val="20"/>
              </w:rPr>
            </w:pPr>
            <w:r w:rsidRPr="007A20A1">
              <w:rPr>
                <w:rFonts w:ascii="Tahoma" w:hAnsi="Tahoma" w:cs="Tahoma"/>
                <w:sz w:val="20"/>
              </w:rPr>
              <w:t>156</w:t>
            </w:r>
          </w:p>
        </w:tc>
        <w:tc>
          <w:tcPr>
            <w:tcW w:w="708" w:type="dxa"/>
          </w:tcPr>
          <w:p w:rsidR="00BB474C" w:rsidRPr="007A20A1" w:rsidRDefault="00BB474C" w:rsidP="00580583">
            <w:pPr>
              <w:jc w:val="center"/>
              <w:rPr>
                <w:rFonts w:ascii="Tahoma" w:hAnsi="Tahoma" w:cs="Tahoma"/>
                <w:sz w:val="20"/>
              </w:rPr>
            </w:pPr>
            <w:r w:rsidRPr="007A20A1">
              <w:rPr>
                <w:rFonts w:ascii="Tahoma" w:hAnsi="Tahoma" w:cs="Tahoma"/>
                <w:sz w:val="20"/>
              </w:rPr>
              <w:t>36</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Mean</w:t>
            </w:r>
          </w:p>
          <w:p w:rsidR="00BB474C" w:rsidRPr="007A20A1" w:rsidRDefault="00BB474C" w:rsidP="00580583">
            <w:pPr>
              <w:jc w:val="center"/>
              <w:rPr>
                <w:rFonts w:ascii="Tahoma" w:hAnsi="Tahoma" w:cs="Tahoma"/>
                <w:sz w:val="20"/>
              </w:rPr>
            </w:pPr>
            <w:r w:rsidRPr="007A20A1">
              <w:rPr>
                <w:rFonts w:ascii="Tahoma" w:hAnsi="Tahoma" w:cs="Tahoma"/>
                <w:color w:val="000000"/>
                <w:sz w:val="20"/>
              </w:rPr>
              <w:t>(IQR)</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4.0</w:t>
            </w:r>
          </w:p>
          <w:p w:rsidR="00BB474C" w:rsidRPr="007A20A1" w:rsidRDefault="00BB474C" w:rsidP="00580583">
            <w:pPr>
              <w:jc w:val="center"/>
              <w:rPr>
                <w:rFonts w:ascii="Tahoma" w:hAnsi="Tahoma" w:cs="Tahoma"/>
                <w:sz w:val="20"/>
              </w:rPr>
            </w:pPr>
            <w:r w:rsidRPr="007A20A1">
              <w:rPr>
                <w:rFonts w:ascii="Tahoma" w:hAnsi="Tahoma" w:cs="Tahoma"/>
                <w:sz w:val="20"/>
              </w:rPr>
              <w:t>(2 – 6)</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1.0</w:t>
            </w:r>
          </w:p>
          <w:p w:rsidR="00BB474C" w:rsidRPr="007A20A1" w:rsidRDefault="00BB474C" w:rsidP="00580583">
            <w:pPr>
              <w:jc w:val="center"/>
              <w:rPr>
                <w:rFonts w:ascii="Tahoma" w:hAnsi="Tahoma" w:cs="Tahoma"/>
                <w:sz w:val="20"/>
              </w:rPr>
            </w:pPr>
            <w:r w:rsidRPr="007A20A1">
              <w:rPr>
                <w:rFonts w:ascii="Tahoma" w:hAnsi="Tahoma" w:cs="Tahoma"/>
                <w:sz w:val="20"/>
              </w:rPr>
              <w:t>(0 – 2)</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&lt;0.0001</w:t>
            </w:r>
          </w:p>
        </w:tc>
      </w:tr>
      <w:tr w:rsidR="00BB474C" w:rsidRPr="007A20A1" w:rsidTr="00580583">
        <w:tc>
          <w:tcPr>
            <w:tcW w:w="2552" w:type="dxa"/>
          </w:tcPr>
          <w:p w:rsidR="00BB474C" w:rsidRPr="007A20A1" w:rsidRDefault="00BB474C" w:rsidP="00580583">
            <w:pPr>
              <w:rPr>
                <w:rFonts w:ascii="Tahoma" w:hAnsi="Tahoma" w:cs="Tahoma"/>
                <w:sz w:val="20"/>
              </w:rPr>
            </w:pPr>
            <w:r w:rsidRPr="007A20A1">
              <w:rPr>
                <w:rFonts w:ascii="Tahoma" w:hAnsi="Tahoma" w:cs="Tahoma"/>
                <w:sz w:val="20"/>
              </w:rPr>
              <w:t>Li 2012</w:t>
            </w:r>
          </w:p>
        </w:tc>
        <w:tc>
          <w:tcPr>
            <w:tcW w:w="709" w:type="dxa"/>
          </w:tcPr>
          <w:p w:rsidR="00BB474C" w:rsidRPr="007A20A1" w:rsidRDefault="00BB474C" w:rsidP="00580583">
            <w:pPr>
              <w:jc w:val="center"/>
              <w:rPr>
                <w:rFonts w:ascii="Tahoma" w:hAnsi="Tahoma" w:cs="Tahoma"/>
                <w:sz w:val="20"/>
              </w:rPr>
            </w:pPr>
            <w:r w:rsidRPr="007A20A1">
              <w:rPr>
                <w:rFonts w:ascii="Tahoma" w:hAnsi="Tahoma" w:cs="Tahoma"/>
                <w:sz w:val="20"/>
              </w:rPr>
              <w:t>50</w:t>
            </w:r>
          </w:p>
        </w:tc>
        <w:tc>
          <w:tcPr>
            <w:tcW w:w="708" w:type="dxa"/>
          </w:tcPr>
          <w:p w:rsidR="00BB474C" w:rsidRPr="007A20A1" w:rsidRDefault="00BB474C" w:rsidP="00580583">
            <w:pPr>
              <w:jc w:val="center"/>
              <w:rPr>
                <w:rFonts w:ascii="Tahoma" w:hAnsi="Tahoma" w:cs="Tahoma"/>
                <w:sz w:val="20"/>
              </w:rPr>
            </w:pPr>
            <w:r w:rsidRPr="007A20A1">
              <w:rPr>
                <w:rFonts w:ascii="Tahoma" w:hAnsi="Tahoma" w:cs="Tahoma"/>
                <w:sz w:val="20"/>
              </w:rPr>
              <w:t>23.8</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Mean</w:t>
            </w:r>
          </w:p>
          <w:p w:rsidR="00BB474C" w:rsidRPr="007A20A1" w:rsidRDefault="00BB474C" w:rsidP="00580583">
            <w:pPr>
              <w:jc w:val="center"/>
              <w:rPr>
                <w:rFonts w:ascii="Tahoma" w:hAnsi="Tahoma" w:cs="Tahoma"/>
                <w:sz w:val="20"/>
              </w:rPr>
            </w:pPr>
            <w:r w:rsidRPr="007A20A1">
              <w:rPr>
                <w:rFonts w:ascii="Tahoma" w:hAnsi="Tahoma" w:cs="Tahoma"/>
                <w:color w:val="000000"/>
                <w:sz w:val="20"/>
              </w:rPr>
              <w:t>± SD</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2.8</w:t>
            </w:r>
          </w:p>
          <w:p w:rsidR="00BB474C" w:rsidRPr="007A20A1" w:rsidRDefault="00BB474C" w:rsidP="00580583">
            <w:pPr>
              <w:jc w:val="center"/>
              <w:rPr>
                <w:rFonts w:ascii="Tahoma" w:hAnsi="Tahoma" w:cs="Tahoma"/>
                <w:sz w:val="20"/>
              </w:rPr>
            </w:pPr>
            <w:r w:rsidRPr="007A20A1">
              <w:rPr>
                <w:rFonts w:ascii="Tahoma" w:hAnsi="Tahoma" w:cs="Tahoma"/>
                <w:sz w:val="20"/>
              </w:rPr>
              <w:t>± 2.4</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1.8</w:t>
            </w:r>
          </w:p>
          <w:p w:rsidR="00BB474C" w:rsidRPr="007A20A1" w:rsidRDefault="00BB474C" w:rsidP="00580583">
            <w:pPr>
              <w:jc w:val="center"/>
              <w:rPr>
                <w:rFonts w:ascii="Tahoma" w:hAnsi="Tahoma" w:cs="Tahoma"/>
                <w:sz w:val="20"/>
              </w:rPr>
            </w:pPr>
            <w:r w:rsidRPr="007A20A1">
              <w:rPr>
                <w:rFonts w:ascii="Tahoma" w:hAnsi="Tahoma" w:cs="Tahoma"/>
                <w:sz w:val="20"/>
              </w:rPr>
              <w:t>± 2.6</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 0.0004</w:t>
            </w:r>
          </w:p>
        </w:tc>
      </w:tr>
      <w:tr w:rsidR="00BB474C" w:rsidRPr="007A20A1" w:rsidTr="00580583">
        <w:tc>
          <w:tcPr>
            <w:tcW w:w="2552" w:type="dxa"/>
          </w:tcPr>
          <w:p w:rsidR="00BB474C" w:rsidRPr="007A20A1" w:rsidRDefault="00BB474C" w:rsidP="00580583">
            <w:pPr>
              <w:rPr>
                <w:rFonts w:ascii="Tahoma" w:hAnsi="Tahoma" w:cs="Tahoma"/>
                <w:sz w:val="20"/>
              </w:rPr>
            </w:pPr>
            <w:r w:rsidRPr="007A20A1">
              <w:rPr>
                <w:rFonts w:ascii="Tahoma" w:hAnsi="Tahoma" w:cs="Tahoma"/>
                <w:sz w:val="20"/>
              </w:rPr>
              <w:t>Berger 2011</w:t>
            </w:r>
          </w:p>
        </w:tc>
        <w:tc>
          <w:tcPr>
            <w:tcW w:w="709" w:type="dxa"/>
          </w:tcPr>
          <w:p w:rsidR="00BB474C" w:rsidRPr="007A20A1" w:rsidRDefault="00BB474C" w:rsidP="00580583">
            <w:pPr>
              <w:jc w:val="center"/>
              <w:rPr>
                <w:rFonts w:ascii="Tahoma" w:hAnsi="Tahoma" w:cs="Tahoma"/>
                <w:sz w:val="20"/>
              </w:rPr>
            </w:pPr>
            <w:r w:rsidRPr="007A20A1">
              <w:rPr>
                <w:rFonts w:ascii="Tahoma" w:hAnsi="Tahoma" w:cs="Tahoma"/>
                <w:sz w:val="20"/>
              </w:rPr>
              <w:t>26</w:t>
            </w:r>
          </w:p>
        </w:tc>
        <w:tc>
          <w:tcPr>
            <w:tcW w:w="708" w:type="dxa"/>
          </w:tcPr>
          <w:p w:rsidR="00BB474C" w:rsidRPr="007A20A1" w:rsidRDefault="00BB474C" w:rsidP="00580583">
            <w:pPr>
              <w:jc w:val="center"/>
              <w:rPr>
                <w:rFonts w:ascii="Tahoma" w:hAnsi="Tahoma" w:cs="Tahoma"/>
                <w:sz w:val="20"/>
              </w:rPr>
            </w:pPr>
            <w:r w:rsidRPr="007A20A1">
              <w:rPr>
                <w:rFonts w:ascii="Tahoma" w:hAnsi="Tahoma" w:cs="Tahoma"/>
                <w:sz w:val="20"/>
              </w:rPr>
              <w:t>22</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Mean</w:t>
            </w:r>
          </w:p>
          <w:p w:rsidR="00BB474C" w:rsidRPr="007A20A1" w:rsidRDefault="00BB474C" w:rsidP="00580583">
            <w:pPr>
              <w:jc w:val="center"/>
              <w:rPr>
                <w:rFonts w:ascii="Tahoma" w:hAnsi="Tahoma" w:cs="Tahoma"/>
                <w:sz w:val="20"/>
              </w:rPr>
            </w:pPr>
            <w:r w:rsidRPr="007A20A1">
              <w:rPr>
                <w:rFonts w:ascii="Tahoma" w:hAnsi="Tahoma" w:cs="Tahoma"/>
                <w:color w:val="000000"/>
                <w:sz w:val="20"/>
              </w:rPr>
              <w:t>(range)</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5.6</w:t>
            </w:r>
          </w:p>
          <w:p w:rsidR="00BB474C" w:rsidRPr="007A20A1" w:rsidRDefault="00BB474C" w:rsidP="00580583">
            <w:pPr>
              <w:jc w:val="center"/>
              <w:rPr>
                <w:rFonts w:ascii="Tahoma" w:hAnsi="Tahoma" w:cs="Tahoma"/>
                <w:sz w:val="20"/>
              </w:rPr>
            </w:pPr>
            <w:r w:rsidRPr="007A20A1">
              <w:rPr>
                <w:rFonts w:ascii="Tahoma" w:hAnsi="Tahoma" w:cs="Tahoma"/>
                <w:sz w:val="20"/>
              </w:rPr>
              <w:t>(2 – 12)</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1.1</w:t>
            </w:r>
          </w:p>
          <w:p w:rsidR="00BB474C" w:rsidRPr="007A20A1" w:rsidRDefault="00BB474C" w:rsidP="00580583">
            <w:pPr>
              <w:jc w:val="center"/>
              <w:rPr>
                <w:rFonts w:ascii="Tahoma" w:hAnsi="Tahoma" w:cs="Tahoma"/>
                <w:sz w:val="20"/>
              </w:rPr>
            </w:pPr>
            <w:r w:rsidRPr="007A20A1">
              <w:rPr>
                <w:rFonts w:ascii="Tahoma" w:hAnsi="Tahoma" w:cs="Tahoma"/>
                <w:sz w:val="20"/>
              </w:rPr>
              <w:t>(0 – 7)</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&lt;0.001</w:t>
            </w:r>
          </w:p>
        </w:tc>
      </w:tr>
      <w:tr w:rsidR="00BB474C" w:rsidRPr="007A20A1" w:rsidTr="00580583">
        <w:tc>
          <w:tcPr>
            <w:tcW w:w="2552" w:type="dxa"/>
          </w:tcPr>
          <w:p w:rsidR="00BB474C" w:rsidRPr="007A20A1" w:rsidRDefault="00BB474C" w:rsidP="00580583">
            <w:pPr>
              <w:rPr>
                <w:rFonts w:ascii="Tahoma" w:hAnsi="Tahoma" w:cs="Tahoma"/>
                <w:sz w:val="20"/>
              </w:rPr>
            </w:pPr>
            <w:proofErr w:type="spellStart"/>
            <w:r w:rsidRPr="007A20A1">
              <w:rPr>
                <w:rFonts w:ascii="Tahoma" w:hAnsi="Tahoma" w:cs="Tahoma"/>
                <w:sz w:val="20"/>
              </w:rPr>
              <w:t>Suskind</w:t>
            </w:r>
            <w:proofErr w:type="spellEnd"/>
            <w:r w:rsidRPr="007A20A1">
              <w:rPr>
                <w:rFonts w:ascii="Tahoma" w:hAnsi="Tahoma" w:cs="Tahoma"/>
                <w:sz w:val="20"/>
              </w:rPr>
              <w:t xml:space="preserve"> 2011</w:t>
            </w:r>
          </w:p>
        </w:tc>
        <w:tc>
          <w:tcPr>
            <w:tcW w:w="709" w:type="dxa"/>
          </w:tcPr>
          <w:p w:rsidR="00BB474C" w:rsidRPr="007A20A1" w:rsidRDefault="00BB474C" w:rsidP="00580583">
            <w:pPr>
              <w:jc w:val="center"/>
              <w:rPr>
                <w:rFonts w:ascii="Tahoma" w:hAnsi="Tahoma" w:cs="Tahoma"/>
                <w:sz w:val="20"/>
              </w:rPr>
            </w:pPr>
            <w:r w:rsidRPr="007A20A1">
              <w:rPr>
                <w:rFonts w:ascii="Tahoma" w:hAnsi="Tahoma" w:cs="Tahoma"/>
                <w:sz w:val="20"/>
              </w:rPr>
              <w:t>36</w:t>
            </w:r>
          </w:p>
        </w:tc>
        <w:tc>
          <w:tcPr>
            <w:tcW w:w="708" w:type="dxa"/>
          </w:tcPr>
          <w:p w:rsidR="00BB474C" w:rsidRPr="007A20A1" w:rsidRDefault="00BB474C" w:rsidP="00580583">
            <w:pPr>
              <w:jc w:val="center"/>
              <w:rPr>
                <w:rFonts w:ascii="Tahoma" w:hAnsi="Tahoma" w:cs="Tahoma"/>
                <w:sz w:val="20"/>
              </w:rPr>
            </w:pPr>
            <w:r w:rsidRPr="007A20A1">
              <w:rPr>
                <w:rFonts w:ascii="Tahoma" w:hAnsi="Tahoma" w:cs="Tahoma"/>
                <w:sz w:val="20"/>
              </w:rPr>
              <w:t>18.8</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Mean</w:t>
            </w:r>
          </w:p>
          <w:p w:rsidR="00BB474C" w:rsidRPr="007A20A1" w:rsidRDefault="00BB474C" w:rsidP="00580583">
            <w:pPr>
              <w:jc w:val="center"/>
              <w:rPr>
                <w:rFonts w:ascii="Tahoma" w:hAnsi="Tahoma" w:cs="Tahoma"/>
                <w:sz w:val="20"/>
              </w:rPr>
            </w:pPr>
            <w:r w:rsidRPr="007A20A1">
              <w:rPr>
                <w:rFonts w:ascii="Tahoma" w:hAnsi="Tahoma" w:cs="Tahoma"/>
                <w:color w:val="000000"/>
                <w:sz w:val="20"/>
              </w:rPr>
              <w:t>(range)</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2.1</w:t>
            </w:r>
          </w:p>
          <w:p w:rsidR="00BB474C" w:rsidRPr="007A20A1" w:rsidRDefault="00BB474C" w:rsidP="00580583">
            <w:pPr>
              <w:jc w:val="center"/>
              <w:rPr>
                <w:rFonts w:ascii="Tahoma" w:hAnsi="Tahoma" w:cs="Tahoma"/>
                <w:sz w:val="20"/>
              </w:rPr>
            </w:pPr>
            <w:r w:rsidRPr="007A20A1">
              <w:rPr>
                <w:rFonts w:ascii="Tahoma" w:hAnsi="Tahoma" w:cs="Tahoma"/>
                <w:sz w:val="20"/>
              </w:rPr>
              <w:t>(1 – 5.5)</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1.2</w:t>
            </w:r>
          </w:p>
          <w:p w:rsidR="00BB474C" w:rsidRPr="007A20A1" w:rsidRDefault="00BB474C" w:rsidP="00580583">
            <w:pPr>
              <w:jc w:val="center"/>
              <w:rPr>
                <w:rFonts w:ascii="Tahoma" w:hAnsi="Tahoma" w:cs="Tahoma"/>
                <w:sz w:val="20"/>
              </w:rPr>
            </w:pPr>
            <w:r w:rsidRPr="007A20A1">
              <w:rPr>
                <w:rFonts w:ascii="Tahoma" w:hAnsi="Tahoma" w:cs="Tahoma"/>
                <w:sz w:val="20"/>
              </w:rPr>
              <w:t>(0 – 6)</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nr</w:t>
            </w:r>
          </w:p>
        </w:tc>
      </w:tr>
      <w:tr w:rsidR="00BB474C" w:rsidRPr="007A20A1" w:rsidTr="00580583">
        <w:tc>
          <w:tcPr>
            <w:tcW w:w="2552" w:type="dxa"/>
          </w:tcPr>
          <w:p w:rsidR="00BB474C" w:rsidRPr="007A20A1" w:rsidRDefault="00BB474C" w:rsidP="00580583">
            <w:pPr>
              <w:rPr>
                <w:rFonts w:ascii="Tahoma" w:hAnsi="Tahoma" w:cs="Tahoma"/>
                <w:sz w:val="20"/>
              </w:rPr>
            </w:pPr>
            <w:r w:rsidRPr="007A20A1">
              <w:rPr>
                <w:rFonts w:ascii="Tahoma" w:hAnsi="Tahoma" w:cs="Tahoma"/>
                <w:sz w:val="20"/>
              </w:rPr>
              <w:t>Mueller 2012</w:t>
            </w:r>
          </w:p>
        </w:tc>
        <w:tc>
          <w:tcPr>
            <w:tcW w:w="709" w:type="dxa"/>
          </w:tcPr>
          <w:p w:rsidR="00BB474C" w:rsidRPr="007A20A1" w:rsidRDefault="00BB474C" w:rsidP="00580583">
            <w:pPr>
              <w:jc w:val="center"/>
              <w:rPr>
                <w:rFonts w:ascii="Tahoma" w:hAnsi="Tahoma" w:cs="Tahoma"/>
                <w:sz w:val="20"/>
              </w:rPr>
            </w:pPr>
            <w:r w:rsidRPr="007A20A1">
              <w:rPr>
                <w:rFonts w:ascii="Tahoma" w:hAnsi="Tahoma" w:cs="Tahoma"/>
                <w:sz w:val="20"/>
              </w:rPr>
              <w:t>32</w:t>
            </w:r>
          </w:p>
        </w:tc>
        <w:tc>
          <w:tcPr>
            <w:tcW w:w="708" w:type="dxa"/>
          </w:tcPr>
          <w:p w:rsidR="00BB474C" w:rsidRPr="007A20A1" w:rsidRDefault="00BB474C" w:rsidP="00580583">
            <w:pPr>
              <w:jc w:val="center"/>
              <w:rPr>
                <w:rFonts w:ascii="Tahoma" w:hAnsi="Tahoma" w:cs="Tahoma"/>
                <w:sz w:val="20"/>
              </w:rPr>
            </w:pPr>
            <w:r w:rsidRPr="007A20A1">
              <w:rPr>
                <w:rFonts w:ascii="Tahoma" w:hAnsi="Tahoma" w:cs="Tahoma"/>
                <w:sz w:val="20"/>
              </w:rPr>
              <w:t>9</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Mean</w:t>
            </w:r>
          </w:p>
          <w:p w:rsidR="00BB474C" w:rsidRPr="007A20A1" w:rsidRDefault="00BB474C" w:rsidP="00580583">
            <w:pPr>
              <w:jc w:val="center"/>
              <w:rPr>
                <w:rFonts w:ascii="Tahoma" w:hAnsi="Tahoma" w:cs="Tahoma"/>
                <w:sz w:val="20"/>
              </w:rPr>
            </w:pPr>
            <w:r w:rsidRPr="007A20A1">
              <w:rPr>
                <w:rFonts w:ascii="Tahoma" w:hAnsi="Tahoma" w:cs="Tahoma"/>
                <w:color w:val="000000"/>
                <w:sz w:val="20"/>
              </w:rPr>
              <w:t>(range)</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5.1</w:t>
            </w:r>
          </w:p>
          <w:p w:rsidR="00BB474C" w:rsidRPr="007A20A1" w:rsidRDefault="00BB474C" w:rsidP="00580583">
            <w:pPr>
              <w:jc w:val="center"/>
              <w:rPr>
                <w:rFonts w:ascii="Tahoma" w:hAnsi="Tahoma" w:cs="Tahoma"/>
                <w:sz w:val="20"/>
              </w:rPr>
            </w:pPr>
            <w:r w:rsidRPr="007A20A1">
              <w:rPr>
                <w:rFonts w:ascii="Tahoma" w:hAnsi="Tahoma" w:cs="Tahoma"/>
                <w:sz w:val="20"/>
              </w:rPr>
              <w:t>(2-10)</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1.8</w:t>
            </w:r>
          </w:p>
          <w:p w:rsidR="00BB474C" w:rsidRPr="007A20A1" w:rsidRDefault="00BB474C" w:rsidP="00580583">
            <w:pPr>
              <w:jc w:val="center"/>
              <w:rPr>
                <w:rFonts w:ascii="Tahoma" w:hAnsi="Tahoma" w:cs="Tahoma"/>
                <w:sz w:val="20"/>
              </w:rPr>
            </w:pPr>
            <w:r w:rsidRPr="007A20A1">
              <w:rPr>
                <w:rFonts w:ascii="Tahoma" w:hAnsi="Tahoma" w:cs="Tahoma"/>
                <w:sz w:val="20"/>
              </w:rPr>
              <w:t>(0 – 10)</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&lt;0.001</w:t>
            </w:r>
          </w:p>
        </w:tc>
      </w:tr>
      <w:tr w:rsidR="00BB474C" w:rsidRPr="007A20A1" w:rsidTr="00580583">
        <w:tc>
          <w:tcPr>
            <w:tcW w:w="2552" w:type="dxa"/>
          </w:tcPr>
          <w:p w:rsidR="00BB474C" w:rsidRPr="007A20A1" w:rsidRDefault="00BB474C" w:rsidP="00580583">
            <w:pPr>
              <w:rPr>
                <w:rFonts w:ascii="Tahoma" w:hAnsi="Tahoma" w:cs="Tahoma"/>
                <w:sz w:val="20"/>
              </w:rPr>
            </w:pPr>
            <w:r w:rsidRPr="007A20A1">
              <w:rPr>
                <w:rFonts w:ascii="Tahoma" w:hAnsi="Tahoma" w:cs="Tahoma"/>
                <w:sz w:val="20"/>
              </w:rPr>
              <w:t>Torrey 2013</w:t>
            </w:r>
          </w:p>
        </w:tc>
        <w:tc>
          <w:tcPr>
            <w:tcW w:w="709" w:type="dxa"/>
          </w:tcPr>
          <w:p w:rsidR="00BB474C" w:rsidRPr="007A20A1" w:rsidRDefault="00BB474C" w:rsidP="00580583">
            <w:pPr>
              <w:jc w:val="center"/>
              <w:rPr>
                <w:rFonts w:ascii="Tahoma" w:hAnsi="Tahoma" w:cs="Tahoma"/>
                <w:sz w:val="20"/>
              </w:rPr>
            </w:pPr>
            <w:r w:rsidRPr="007A20A1">
              <w:rPr>
                <w:rFonts w:ascii="Tahoma" w:hAnsi="Tahoma" w:cs="Tahoma"/>
                <w:sz w:val="20"/>
              </w:rPr>
              <w:t>37</w:t>
            </w:r>
          </w:p>
        </w:tc>
        <w:tc>
          <w:tcPr>
            <w:tcW w:w="708" w:type="dxa"/>
          </w:tcPr>
          <w:p w:rsidR="00BB474C" w:rsidRPr="007A20A1" w:rsidRDefault="00BB474C" w:rsidP="00580583">
            <w:pPr>
              <w:jc w:val="center"/>
              <w:rPr>
                <w:rFonts w:ascii="Tahoma" w:hAnsi="Tahoma" w:cs="Tahoma"/>
                <w:sz w:val="20"/>
              </w:rPr>
            </w:pPr>
            <w:r w:rsidRPr="007A20A1">
              <w:rPr>
                <w:rFonts w:ascii="Tahoma" w:hAnsi="Tahoma" w:cs="Tahoma"/>
                <w:sz w:val="20"/>
              </w:rPr>
              <w:t>17.3</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Median</w:t>
            </w:r>
          </w:p>
          <w:p w:rsidR="00BB474C" w:rsidRPr="007A20A1" w:rsidRDefault="00BB474C" w:rsidP="00580583">
            <w:pPr>
              <w:jc w:val="center"/>
              <w:rPr>
                <w:rFonts w:ascii="Tahoma" w:hAnsi="Tahoma" w:cs="Tahoma"/>
                <w:sz w:val="20"/>
              </w:rPr>
            </w:pPr>
            <w:r w:rsidRPr="007A20A1">
              <w:rPr>
                <w:rFonts w:ascii="Tahoma" w:hAnsi="Tahoma" w:cs="Tahoma"/>
                <w:color w:val="000000"/>
                <w:sz w:val="20"/>
              </w:rPr>
              <w:lastRenderedPageBreak/>
              <w:t>(IQR)</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lastRenderedPageBreak/>
              <w:t>1.5</w:t>
            </w:r>
          </w:p>
          <w:p w:rsidR="00BB474C" w:rsidRPr="007A20A1" w:rsidRDefault="00BB474C" w:rsidP="00580583">
            <w:pPr>
              <w:jc w:val="center"/>
              <w:rPr>
                <w:rFonts w:ascii="Tahoma" w:hAnsi="Tahoma" w:cs="Tahoma"/>
                <w:sz w:val="20"/>
              </w:rPr>
            </w:pPr>
            <w:r w:rsidRPr="007A20A1">
              <w:rPr>
                <w:rFonts w:ascii="Tahoma" w:hAnsi="Tahoma" w:cs="Tahoma"/>
                <w:sz w:val="20"/>
              </w:rPr>
              <w:lastRenderedPageBreak/>
              <w:t>(1-2.5)</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lastRenderedPageBreak/>
              <w:t>0.0</w:t>
            </w:r>
          </w:p>
          <w:p w:rsidR="00BB474C" w:rsidRPr="007A20A1" w:rsidRDefault="00BB474C" w:rsidP="00580583">
            <w:pPr>
              <w:jc w:val="center"/>
              <w:rPr>
                <w:rFonts w:ascii="Tahoma" w:hAnsi="Tahoma" w:cs="Tahoma"/>
                <w:sz w:val="20"/>
              </w:rPr>
            </w:pPr>
            <w:r w:rsidRPr="007A20A1">
              <w:rPr>
                <w:rFonts w:ascii="Tahoma" w:hAnsi="Tahoma" w:cs="Tahoma"/>
                <w:sz w:val="20"/>
              </w:rPr>
              <w:lastRenderedPageBreak/>
              <w:t>(0 – 1)</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lastRenderedPageBreak/>
              <w:t>nr</w:t>
            </w:r>
          </w:p>
        </w:tc>
      </w:tr>
      <w:tr w:rsidR="00580583" w:rsidRPr="007A20A1" w:rsidTr="005E3EC0">
        <w:tc>
          <w:tcPr>
            <w:tcW w:w="5209" w:type="dxa"/>
            <w:gridSpan w:val="4"/>
            <w:shd w:val="clear" w:color="auto" w:fill="E6E6E6"/>
          </w:tcPr>
          <w:p w:rsidR="00580583" w:rsidRPr="007A20A1" w:rsidRDefault="00580583" w:rsidP="00580583">
            <w:pPr>
              <w:rPr>
                <w:rFonts w:ascii="Tahoma" w:hAnsi="Tahoma" w:cs="Tahoma"/>
                <w:sz w:val="20"/>
              </w:rPr>
            </w:pPr>
            <w:r>
              <w:rPr>
                <w:rFonts w:ascii="Tahoma" w:hAnsi="Tahoma" w:cs="Tahoma"/>
                <w:b/>
                <w:sz w:val="20"/>
              </w:rPr>
              <w:lastRenderedPageBreak/>
              <w:t>ADJUSTABLE SYNTHETIC SLINGS</w:t>
            </w:r>
          </w:p>
        </w:tc>
        <w:tc>
          <w:tcPr>
            <w:tcW w:w="1241" w:type="dxa"/>
            <w:shd w:val="clear" w:color="auto" w:fill="E6E6E6"/>
          </w:tcPr>
          <w:p w:rsidR="00580583" w:rsidRPr="007A20A1" w:rsidRDefault="00580583" w:rsidP="00580583">
            <w:pPr>
              <w:jc w:val="center"/>
              <w:rPr>
                <w:rFonts w:ascii="Tahoma" w:hAnsi="Tahoma" w:cs="Tahoma"/>
                <w:sz w:val="20"/>
              </w:rPr>
            </w:pPr>
          </w:p>
        </w:tc>
        <w:tc>
          <w:tcPr>
            <w:tcW w:w="1240" w:type="dxa"/>
            <w:shd w:val="clear" w:color="auto" w:fill="E6E6E6"/>
          </w:tcPr>
          <w:p w:rsidR="00580583" w:rsidRPr="007A20A1" w:rsidRDefault="00580583" w:rsidP="00580583">
            <w:pPr>
              <w:jc w:val="center"/>
              <w:rPr>
                <w:rFonts w:ascii="Tahoma" w:hAnsi="Tahoma" w:cs="Tahoma"/>
                <w:sz w:val="20"/>
              </w:rPr>
            </w:pPr>
          </w:p>
        </w:tc>
        <w:tc>
          <w:tcPr>
            <w:tcW w:w="1241" w:type="dxa"/>
            <w:shd w:val="clear" w:color="auto" w:fill="E6E6E6"/>
          </w:tcPr>
          <w:p w:rsidR="00580583" w:rsidRPr="007A20A1" w:rsidRDefault="00580583" w:rsidP="00580583">
            <w:pPr>
              <w:jc w:val="center"/>
              <w:rPr>
                <w:rFonts w:ascii="Tahoma" w:hAnsi="Tahoma" w:cs="Tahoma"/>
                <w:sz w:val="20"/>
              </w:rPr>
            </w:pPr>
          </w:p>
        </w:tc>
      </w:tr>
      <w:tr w:rsidR="00BB474C" w:rsidRPr="007A20A1" w:rsidTr="00580583">
        <w:tc>
          <w:tcPr>
            <w:tcW w:w="2552" w:type="dxa"/>
            <w:shd w:val="clear" w:color="auto" w:fill="E6E6E6"/>
          </w:tcPr>
          <w:p w:rsidR="00BB474C" w:rsidRPr="007A20A1" w:rsidRDefault="00BB474C" w:rsidP="00580583">
            <w:pPr>
              <w:rPr>
                <w:rFonts w:ascii="Tahoma" w:hAnsi="Tahoma" w:cs="Tahoma"/>
                <w:b/>
                <w:sz w:val="20"/>
              </w:rPr>
            </w:pPr>
            <w:r w:rsidRPr="007A20A1">
              <w:rPr>
                <w:rFonts w:ascii="Tahoma" w:hAnsi="Tahoma" w:cs="Tahoma"/>
                <w:b/>
                <w:sz w:val="20"/>
              </w:rPr>
              <w:t>Argus sling</w:t>
            </w:r>
          </w:p>
        </w:tc>
        <w:tc>
          <w:tcPr>
            <w:tcW w:w="709" w:type="dxa"/>
            <w:shd w:val="clear" w:color="auto" w:fill="E6E6E6"/>
          </w:tcPr>
          <w:p w:rsidR="00BB474C" w:rsidRPr="007A20A1" w:rsidRDefault="00BB474C" w:rsidP="00580583">
            <w:pPr>
              <w:jc w:val="center"/>
              <w:rPr>
                <w:rFonts w:ascii="Tahoma" w:hAnsi="Tahoma" w:cs="Tahoma"/>
                <w:sz w:val="20"/>
              </w:rPr>
            </w:pPr>
          </w:p>
        </w:tc>
        <w:tc>
          <w:tcPr>
            <w:tcW w:w="708" w:type="dxa"/>
            <w:shd w:val="clear" w:color="auto" w:fill="E6E6E6"/>
          </w:tcPr>
          <w:p w:rsidR="00BB474C" w:rsidRPr="007A20A1" w:rsidRDefault="00BB474C" w:rsidP="00580583">
            <w:pPr>
              <w:jc w:val="center"/>
              <w:rPr>
                <w:rFonts w:ascii="Tahoma" w:hAnsi="Tahoma" w:cs="Tahoma"/>
                <w:sz w:val="20"/>
              </w:rPr>
            </w:pPr>
          </w:p>
        </w:tc>
        <w:tc>
          <w:tcPr>
            <w:tcW w:w="1240" w:type="dxa"/>
            <w:shd w:val="clear" w:color="auto" w:fill="E6E6E6"/>
          </w:tcPr>
          <w:p w:rsidR="00BB474C" w:rsidRPr="007A20A1" w:rsidRDefault="00BB474C" w:rsidP="00580583">
            <w:pPr>
              <w:jc w:val="center"/>
              <w:rPr>
                <w:rFonts w:ascii="Tahoma" w:hAnsi="Tahoma" w:cs="Tahoma"/>
                <w:sz w:val="20"/>
              </w:rPr>
            </w:pPr>
          </w:p>
        </w:tc>
        <w:tc>
          <w:tcPr>
            <w:tcW w:w="1241" w:type="dxa"/>
            <w:shd w:val="clear" w:color="auto" w:fill="E6E6E6"/>
          </w:tcPr>
          <w:p w:rsidR="00BB474C" w:rsidRPr="007A20A1" w:rsidRDefault="00BB474C" w:rsidP="00580583">
            <w:pPr>
              <w:jc w:val="center"/>
              <w:rPr>
                <w:rFonts w:ascii="Tahoma" w:hAnsi="Tahoma" w:cs="Tahoma"/>
                <w:sz w:val="20"/>
              </w:rPr>
            </w:pPr>
          </w:p>
        </w:tc>
        <w:tc>
          <w:tcPr>
            <w:tcW w:w="1240" w:type="dxa"/>
            <w:shd w:val="clear" w:color="auto" w:fill="E6E6E6"/>
          </w:tcPr>
          <w:p w:rsidR="00BB474C" w:rsidRPr="007A20A1" w:rsidRDefault="00BB474C" w:rsidP="00580583">
            <w:pPr>
              <w:jc w:val="center"/>
              <w:rPr>
                <w:rFonts w:ascii="Tahoma" w:hAnsi="Tahoma" w:cs="Tahoma"/>
                <w:sz w:val="20"/>
              </w:rPr>
            </w:pPr>
          </w:p>
        </w:tc>
        <w:tc>
          <w:tcPr>
            <w:tcW w:w="1241" w:type="dxa"/>
            <w:shd w:val="clear" w:color="auto" w:fill="E6E6E6"/>
          </w:tcPr>
          <w:p w:rsidR="00BB474C" w:rsidRPr="007A20A1" w:rsidRDefault="00BB474C" w:rsidP="00580583">
            <w:pPr>
              <w:jc w:val="center"/>
              <w:rPr>
                <w:rFonts w:ascii="Tahoma" w:hAnsi="Tahoma" w:cs="Tahoma"/>
                <w:sz w:val="20"/>
              </w:rPr>
            </w:pPr>
          </w:p>
        </w:tc>
      </w:tr>
      <w:tr w:rsidR="00BB474C" w:rsidRPr="007A20A1" w:rsidTr="00580583">
        <w:tc>
          <w:tcPr>
            <w:tcW w:w="2552" w:type="dxa"/>
          </w:tcPr>
          <w:p w:rsidR="00BB474C" w:rsidRPr="007A20A1" w:rsidRDefault="00BB474C" w:rsidP="00580583">
            <w:pPr>
              <w:rPr>
                <w:rFonts w:ascii="Tahoma" w:hAnsi="Tahoma" w:cs="Tahoma"/>
                <w:sz w:val="20"/>
              </w:rPr>
            </w:pPr>
            <w:r w:rsidRPr="007A20A1">
              <w:rPr>
                <w:rFonts w:ascii="Tahoma" w:hAnsi="Tahoma" w:cs="Tahoma"/>
                <w:sz w:val="20"/>
              </w:rPr>
              <w:t>Lim 2014</w:t>
            </w:r>
          </w:p>
        </w:tc>
        <w:tc>
          <w:tcPr>
            <w:tcW w:w="709" w:type="dxa"/>
          </w:tcPr>
          <w:p w:rsidR="00BB474C" w:rsidRPr="007A20A1" w:rsidRDefault="00BB474C" w:rsidP="00580583">
            <w:pPr>
              <w:jc w:val="center"/>
              <w:rPr>
                <w:rFonts w:ascii="Tahoma" w:hAnsi="Tahoma" w:cs="Tahoma"/>
                <w:sz w:val="20"/>
              </w:rPr>
            </w:pPr>
            <w:r w:rsidRPr="007A20A1">
              <w:rPr>
                <w:rFonts w:ascii="Tahoma" w:hAnsi="Tahoma" w:cs="Tahoma"/>
                <w:sz w:val="20"/>
              </w:rPr>
              <w:t>20</w:t>
            </w:r>
          </w:p>
        </w:tc>
        <w:tc>
          <w:tcPr>
            <w:tcW w:w="708" w:type="dxa"/>
          </w:tcPr>
          <w:p w:rsidR="00BB474C" w:rsidRPr="007A20A1" w:rsidRDefault="00BB474C" w:rsidP="00580583">
            <w:pPr>
              <w:jc w:val="center"/>
              <w:rPr>
                <w:rFonts w:ascii="Tahoma" w:hAnsi="Tahoma" w:cs="Tahoma"/>
                <w:sz w:val="20"/>
              </w:rPr>
            </w:pPr>
            <w:r w:rsidRPr="007A20A1">
              <w:rPr>
                <w:rFonts w:ascii="Tahoma" w:hAnsi="Tahoma" w:cs="Tahoma"/>
                <w:sz w:val="20"/>
              </w:rPr>
              <w:t>24.7</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Mean</w:t>
            </w:r>
          </w:p>
          <w:p w:rsidR="00BB474C" w:rsidRPr="007A20A1" w:rsidRDefault="00BB474C" w:rsidP="00580583">
            <w:pPr>
              <w:jc w:val="center"/>
              <w:rPr>
                <w:rFonts w:ascii="Tahoma" w:hAnsi="Tahoma" w:cs="Tahoma"/>
                <w:sz w:val="20"/>
              </w:rPr>
            </w:pPr>
            <w:r w:rsidRPr="007A20A1">
              <w:rPr>
                <w:rFonts w:ascii="Tahoma" w:hAnsi="Tahoma" w:cs="Tahoma"/>
                <w:color w:val="000000"/>
                <w:sz w:val="20"/>
              </w:rPr>
              <w:t>± SD</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 xml:space="preserve">2.2 </w:t>
            </w:r>
            <w:r w:rsidRPr="007A20A1">
              <w:rPr>
                <w:rFonts w:ascii="Tahoma" w:hAnsi="Tahoma" w:cs="Tahoma"/>
                <w:sz w:val="20"/>
                <w:vertAlign w:val="superscript"/>
              </w:rPr>
              <w:t>a</w:t>
            </w:r>
          </w:p>
          <w:p w:rsidR="00BB474C" w:rsidRPr="007A20A1" w:rsidRDefault="00BB474C" w:rsidP="00580583">
            <w:pPr>
              <w:jc w:val="center"/>
              <w:rPr>
                <w:rFonts w:ascii="Tahoma" w:hAnsi="Tahoma" w:cs="Tahoma"/>
                <w:sz w:val="20"/>
              </w:rPr>
            </w:pPr>
            <w:r w:rsidRPr="007A20A1">
              <w:rPr>
                <w:rFonts w:ascii="Tahoma" w:hAnsi="Tahoma" w:cs="Tahoma"/>
                <w:sz w:val="20"/>
              </w:rPr>
              <w:t>± 0.8</w:t>
            </w:r>
          </w:p>
          <w:p w:rsidR="00BB474C" w:rsidRPr="007A20A1" w:rsidRDefault="00BB474C" w:rsidP="00580583">
            <w:pPr>
              <w:jc w:val="center"/>
              <w:rPr>
                <w:rFonts w:ascii="Tahoma" w:hAnsi="Tahoma" w:cs="Tahoma"/>
                <w:sz w:val="20"/>
              </w:rPr>
            </w:pPr>
            <w:r w:rsidRPr="007A20A1">
              <w:rPr>
                <w:rFonts w:ascii="Tahoma" w:hAnsi="Tahoma" w:cs="Tahoma"/>
                <w:sz w:val="20"/>
              </w:rPr>
              <w:t>(change)</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nr</w:t>
            </w:r>
          </w:p>
        </w:tc>
      </w:tr>
      <w:tr w:rsidR="00BB474C" w:rsidRPr="007A20A1" w:rsidTr="00580583">
        <w:tc>
          <w:tcPr>
            <w:tcW w:w="2552" w:type="dxa"/>
            <w:shd w:val="clear" w:color="auto" w:fill="E6E6E6"/>
          </w:tcPr>
          <w:p w:rsidR="00BB474C" w:rsidRPr="007A20A1" w:rsidRDefault="00BB474C" w:rsidP="00580583">
            <w:pPr>
              <w:rPr>
                <w:rFonts w:ascii="Tahoma" w:hAnsi="Tahoma" w:cs="Tahoma"/>
                <w:b/>
                <w:sz w:val="20"/>
              </w:rPr>
            </w:pPr>
            <w:proofErr w:type="spellStart"/>
            <w:r w:rsidRPr="007A20A1">
              <w:rPr>
                <w:rFonts w:ascii="Tahoma" w:hAnsi="Tahoma" w:cs="Tahoma"/>
                <w:b/>
                <w:sz w:val="20"/>
              </w:rPr>
              <w:t>Remeex</w:t>
            </w:r>
            <w:proofErr w:type="spellEnd"/>
            <w:r w:rsidRPr="007A20A1">
              <w:rPr>
                <w:rFonts w:ascii="Tahoma" w:hAnsi="Tahoma" w:cs="Tahoma"/>
                <w:b/>
                <w:sz w:val="20"/>
              </w:rPr>
              <w:t xml:space="preserve"> sling</w:t>
            </w:r>
          </w:p>
        </w:tc>
        <w:tc>
          <w:tcPr>
            <w:tcW w:w="709" w:type="dxa"/>
            <w:shd w:val="clear" w:color="auto" w:fill="E6E6E6"/>
          </w:tcPr>
          <w:p w:rsidR="00BB474C" w:rsidRPr="007A20A1" w:rsidRDefault="00BB474C" w:rsidP="00580583">
            <w:pPr>
              <w:jc w:val="center"/>
              <w:rPr>
                <w:rFonts w:ascii="Tahoma" w:hAnsi="Tahoma" w:cs="Tahoma"/>
                <w:sz w:val="20"/>
              </w:rPr>
            </w:pPr>
          </w:p>
        </w:tc>
        <w:tc>
          <w:tcPr>
            <w:tcW w:w="708" w:type="dxa"/>
            <w:shd w:val="clear" w:color="auto" w:fill="E6E6E6"/>
          </w:tcPr>
          <w:p w:rsidR="00BB474C" w:rsidRPr="007A20A1" w:rsidRDefault="00BB474C" w:rsidP="00580583">
            <w:pPr>
              <w:jc w:val="center"/>
              <w:rPr>
                <w:rFonts w:ascii="Tahoma" w:hAnsi="Tahoma" w:cs="Tahoma"/>
                <w:sz w:val="20"/>
              </w:rPr>
            </w:pPr>
          </w:p>
        </w:tc>
        <w:tc>
          <w:tcPr>
            <w:tcW w:w="1240" w:type="dxa"/>
            <w:shd w:val="clear" w:color="auto" w:fill="E6E6E6"/>
          </w:tcPr>
          <w:p w:rsidR="00BB474C" w:rsidRPr="007A20A1" w:rsidRDefault="00BB474C" w:rsidP="00580583">
            <w:pPr>
              <w:jc w:val="center"/>
              <w:rPr>
                <w:rFonts w:ascii="Tahoma" w:hAnsi="Tahoma" w:cs="Tahoma"/>
                <w:sz w:val="20"/>
              </w:rPr>
            </w:pPr>
          </w:p>
        </w:tc>
        <w:tc>
          <w:tcPr>
            <w:tcW w:w="1241" w:type="dxa"/>
            <w:shd w:val="clear" w:color="auto" w:fill="E6E6E6"/>
          </w:tcPr>
          <w:p w:rsidR="00BB474C" w:rsidRPr="007A20A1" w:rsidRDefault="00BB474C" w:rsidP="00580583">
            <w:pPr>
              <w:jc w:val="center"/>
              <w:rPr>
                <w:rFonts w:ascii="Tahoma" w:hAnsi="Tahoma" w:cs="Tahoma"/>
                <w:sz w:val="20"/>
              </w:rPr>
            </w:pPr>
          </w:p>
        </w:tc>
        <w:tc>
          <w:tcPr>
            <w:tcW w:w="1240" w:type="dxa"/>
            <w:shd w:val="clear" w:color="auto" w:fill="E6E6E6"/>
          </w:tcPr>
          <w:p w:rsidR="00BB474C" w:rsidRPr="007A20A1" w:rsidRDefault="00BB474C" w:rsidP="00580583">
            <w:pPr>
              <w:jc w:val="center"/>
              <w:rPr>
                <w:rFonts w:ascii="Tahoma" w:hAnsi="Tahoma" w:cs="Tahoma"/>
                <w:sz w:val="20"/>
              </w:rPr>
            </w:pPr>
          </w:p>
        </w:tc>
        <w:tc>
          <w:tcPr>
            <w:tcW w:w="1241" w:type="dxa"/>
            <w:shd w:val="clear" w:color="auto" w:fill="E6E6E6"/>
          </w:tcPr>
          <w:p w:rsidR="00BB474C" w:rsidRPr="007A20A1" w:rsidRDefault="00BB474C" w:rsidP="00580583">
            <w:pPr>
              <w:jc w:val="center"/>
              <w:rPr>
                <w:rFonts w:ascii="Tahoma" w:hAnsi="Tahoma" w:cs="Tahoma"/>
                <w:sz w:val="20"/>
              </w:rPr>
            </w:pPr>
          </w:p>
        </w:tc>
      </w:tr>
      <w:tr w:rsidR="00BB474C" w:rsidRPr="007A20A1" w:rsidTr="00580583">
        <w:tc>
          <w:tcPr>
            <w:tcW w:w="2552" w:type="dxa"/>
          </w:tcPr>
          <w:p w:rsidR="00BB474C" w:rsidRPr="007A20A1" w:rsidRDefault="00BB474C" w:rsidP="00580583">
            <w:pPr>
              <w:rPr>
                <w:rFonts w:ascii="Tahoma" w:hAnsi="Tahoma" w:cs="Tahoma"/>
                <w:sz w:val="20"/>
              </w:rPr>
            </w:pPr>
            <w:r w:rsidRPr="007A20A1">
              <w:rPr>
                <w:rFonts w:ascii="Tahoma" w:hAnsi="Tahoma" w:cs="Tahoma"/>
                <w:sz w:val="20"/>
              </w:rPr>
              <w:t>Sousa-Esc’ 2007</w:t>
            </w:r>
          </w:p>
        </w:tc>
        <w:tc>
          <w:tcPr>
            <w:tcW w:w="709" w:type="dxa"/>
          </w:tcPr>
          <w:p w:rsidR="00BB474C" w:rsidRPr="007A20A1" w:rsidRDefault="00BB474C" w:rsidP="00580583">
            <w:pPr>
              <w:jc w:val="center"/>
              <w:rPr>
                <w:rFonts w:ascii="Tahoma" w:hAnsi="Tahoma" w:cs="Tahoma"/>
                <w:sz w:val="20"/>
              </w:rPr>
            </w:pPr>
            <w:r w:rsidRPr="007A20A1">
              <w:rPr>
                <w:rFonts w:ascii="Tahoma" w:hAnsi="Tahoma" w:cs="Tahoma"/>
                <w:sz w:val="20"/>
              </w:rPr>
              <w:t>51</w:t>
            </w:r>
          </w:p>
        </w:tc>
        <w:tc>
          <w:tcPr>
            <w:tcW w:w="708" w:type="dxa"/>
          </w:tcPr>
          <w:p w:rsidR="00BB474C" w:rsidRPr="007A20A1" w:rsidRDefault="00BB474C" w:rsidP="00580583">
            <w:pPr>
              <w:jc w:val="center"/>
              <w:rPr>
                <w:rFonts w:ascii="Tahoma" w:hAnsi="Tahoma" w:cs="Tahoma"/>
                <w:sz w:val="20"/>
              </w:rPr>
            </w:pPr>
            <w:r w:rsidRPr="007A20A1">
              <w:rPr>
                <w:rFonts w:ascii="Tahoma" w:hAnsi="Tahoma" w:cs="Tahoma"/>
                <w:sz w:val="20"/>
              </w:rPr>
              <w:t>32</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Mean</w:t>
            </w:r>
          </w:p>
          <w:p w:rsidR="00BB474C" w:rsidRPr="007A20A1" w:rsidRDefault="00BB474C" w:rsidP="00580583">
            <w:pPr>
              <w:jc w:val="center"/>
              <w:rPr>
                <w:rFonts w:ascii="Tahoma" w:hAnsi="Tahoma" w:cs="Tahoma"/>
                <w:sz w:val="20"/>
              </w:rPr>
            </w:pPr>
            <w:r w:rsidRPr="007A20A1">
              <w:rPr>
                <w:rFonts w:ascii="Tahoma" w:hAnsi="Tahoma" w:cs="Tahoma"/>
                <w:color w:val="000000"/>
                <w:sz w:val="20"/>
              </w:rPr>
              <w:t>± SD</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4.5</w:t>
            </w:r>
          </w:p>
          <w:p w:rsidR="00BB474C" w:rsidRPr="007A20A1" w:rsidRDefault="00BB474C" w:rsidP="00580583">
            <w:pPr>
              <w:jc w:val="center"/>
              <w:rPr>
                <w:rFonts w:ascii="Tahoma" w:hAnsi="Tahoma" w:cs="Tahoma"/>
                <w:sz w:val="20"/>
              </w:rPr>
            </w:pPr>
            <w:r w:rsidRPr="007A20A1">
              <w:rPr>
                <w:rFonts w:ascii="Tahoma" w:hAnsi="Tahoma" w:cs="Tahoma"/>
                <w:sz w:val="20"/>
              </w:rPr>
              <w:t>nr</w:t>
            </w:r>
          </w:p>
        </w:tc>
        <w:tc>
          <w:tcPr>
            <w:tcW w:w="1240" w:type="dxa"/>
          </w:tcPr>
          <w:p w:rsidR="00BB474C" w:rsidRPr="007A20A1" w:rsidRDefault="00BB474C" w:rsidP="00580583">
            <w:pPr>
              <w:jc w:val="center"/>
              <w:rPr>
                <w:rFonts w:ascii="Tahoma" w:hAnsi="Tahoma" w:cs="Tahoma"/>
                <w:sz w:val="20"/>
              </w:rPr>
            </w:pPr>
            <w:r w:rsidRPr="007A20A1">
              <w:rPr>
                <w:rFonts w:ascii="Tahoma" w:hAnsi="Tahoma" w:cs="Tahoma"/>
                <w:sz w:val="20"/>
              </w:rPr>
              <w:t>1.4</w:t>
            </w:r>
          </w:p>
          <w:p w:rsidR="00BB474C" w:rsidRPr="007A20A1" w:rsidRDefault="00BB474C" w:rsidP="00580583">
            <w:pPr>
              <w:jc w:val="center"/>
              <w:rPr>
                <w:rFonts w:ascii="Tahoma" w:hAnsi="Tahoma" w:cs="Tahoma"/>
                <w:sz w:val="20"/>
              </w:rPr>
            </w:pPr>
            <w:r w:rsidRPr="007A20A1">
              <w:rPr>
                <w:rFonts w:ascii="Tahoma" w:hAnsi="Tahoma" w:cs="Tahoma"/>
                <w:sz w:val="20"/>
              </w:rPr>
              <w:t>nr</w:t>
            </w:r>
          </w:p>
        </w:tc>
        <w:tc>
          <w:tcPr>
            <w:tcW w:w="1241" w:type="dxa"/>
          </w:tcPr>
          <w:p w:rsidR="00BB474C" w:rsidRPr="007A20A1" w:rsidRDefault="00BB474C" w:rsidP="00580583">
            <w:pPr>
              <w:jc w:val="center"/>
              <w:rPr>
                <w:rFonts w:ascii="Tahoma" w:hAnsi="Tahoma" w:cs="Tahoma"/>
                <w:sz w:val="20"/>
              </w:rPr>
            </w:pPr>
            <w:r w:rsidRPr="007A20A1">
              <w:rPr>
                <w:rFonts w:ascii="Tahoma" w:hAnsi="Tahoma" w:cs="Tahoma"/>
                <w:sz w:val="20"/>
              </w:rPr>
              <w:t>nr</w:t>
            </w:r>
          </w:p>
        </w:tc>
      </w:tr>
    </w:tbl>
    <w:p w:rsidR="00BB474C" w:rsidRPr="007A20A1" w:rsidRDefault="00BB474C" w:rsidP="00BB474C">
      <w:pPr>
        <w:rPr>
          <w:rFonts w:ascii="Tahoma" w:hAnsi="Tahoma" w:cs="Tahoma"/>
          <w:sz w:val="20"/>
        </w:rPr>
      </w:pPr>
      <w:r w:rsidRPr="007A20A1">
        <w:rPr>
          <w:rFonts w:ascii="Tahoma" w:hAnsi="Tahoma" w:cs="Tahoma"/>
          <w:b/>
          <w:sz w:val="20"/>
        </w:rPr>
        <w:t>FU</w:t>
      </w:r>
      <w:r w:rsidRPr="007A20A1">
        <w:rPr>
          <w:rFonts w:ascii="Tahoma" w:hAnsi="Tahoma" w:cs="Tahoma"/>
          <w:sz w:val="20"/>
        </w:rPr>
        <w:t xml:space="preserve"> = average duration of follow up; </w:t>
      </w:r>
      <w:r w:rsidRPr="007A20A1">
        <w:rPr>
          <w:rFonts w:ascii="Tahoma" w:hAnsi="Tahoma" w:cs="Tahoma"/>
          <w:b/>
          <w:sz w:val="20"/>
        </w:rPr>
        <w:t>IQR</w:t>
      </w:r>
      <w:r w:rsidRPr="007A20A1">
        <w:rPr>
          <w:rFonts w:ascii="Tahoma" w:hAnsi="Tahoma" w:cs="Tahoma"/>
          <w:sz w:val="20"/>
        </w:rPr>
        <w:t xml:space="preserve"> = interquartile range; </w:t>
      </w:r>
      <w:r w:rsidRPr="007A20A1">
        <w:rPr>
          <w:rFonts w:ascii="Tahoma" w:hAnsi="Tahoma" w:cs="Tahoma"/>
          <w:b/>
          <w:sz w:val="20"/>
        </w:rPr>
        <w:t>m</w:t>
      </w:r>
      <w:r w:rsidRPr="007A20A1">
        <w:rPr>
          <w:rFonts w:ascii="Tahoma" w:hAnsi="Tahoma" w:cs="Tahoma"/>
          <w:sz w:val="20"/>
        </w:rPr>
        <w:t xml:space="preserve"> = months; </w:t>
      </w:r>
      <w:r w:rsidRPr="007A20A1">
        <w:rPr>
          <w:rFonts w:ascii="Tahoma" w:hAnsi="Tahoma" w:cs="Tahoma"/>
          <w:b/>
          <w:sz w:val="20"/>
        </w:rPr>
        <w:t>N</w:t>
      </w:r>
      <w:r w:rsidRPr="007A20A1">
        <w:rPr>
          <w:rFonts w:ascii="Tahoma" w:hAnsi="Tahoma" w:cs="Tahoma"/>
          <w:sz w:val="20"/>
        </w:rPr>
        <w:t xml:space="preserve"> = number of subjects; </w:t>
      </w:r>
      <w:r w:rsidRPr="007A20A1">
        <w:rPr>
          <w:rFonts w:ascii="Tahoma" w:hAnsi="Tahoma" w:cs="Tahoma"/>
          <w:b/>
          <w:sz w:val="20"/>
        </w:rPr>
        <w:t>nr</w:t>
      </w:r>
      <w:r w:rsidRPr="007A20A1">
        <w:rPr>
          <w:rFonts w:ascii="Tahoma" w:hAnsi="Tahoma" w:cs="Tahoma"/>
          <w:sz w:val="20"/>
        </w:rPr>
        <w:t xml:space="preserve"> = not reported; </w:t>
      </w:r>
      <w:r w:rsidRPr="007A20A1">
        <w:rPr>
          <w:rFonts w:ascii="Tahoma" w:hAnsi="Tahoma" w:cs="Tahoma"/>
          <w:b/>
          <w:sz w:val="20"/>
        </w:rPr>
        <w:t>PPD</w:t>
      </w:r>
      <w:r w:rsidRPr="007A20A1">
        <w:rPr>
          <w:rFonts w:ascii="Tahoma" w:hAnsi="Tahoma" w:cs="Tahoma"/>
          <w:sz w:val="20"/>
        </w:rPr>
        <w:t xml:space="preserve"> = pads per day; </w:t>
      </w:r>
      <w:r w:rsidRPr="007A20A1">
        <w:rPr>
          <w:rFonts w:ascii="Tahoma" w:hAnsi="Tahoma" w:cs="Tahoma"/>
          <w:b/>
          <w:sz w:val="20"/>
        </w:rPr>
        <w:t>SD</w:t>
      </w:r>
      <w:r w:rsidRPr="007A20A1">
        <w:rPr>
          <w:rFonts w:ascii="Tahoma" w:hAnsi="Tahoma" w:cs="Tahoma"/>
          <w:sz w:val="20"/>
        </w:rPr>
        <w:t xml:space="preserve"> = standard deviation;</w:t>
      </w:r>
    </w:p>
    <w:p w:rsidR="00BB474C" w:rsidRDefault="00BB474C" w:rsidP="00BB474C">
      <w:pPr>
        <w:tabs>
          <w:tab w:val="left" w:pos="284"/>
        </w:tabs>
        <w:ind w:left="284" w:hanging="284"/>
        <w:rPr>
          <w:rFonts w:ascii="Tahoma" w:hAnsi="Tahoma" w:cs="Tahoma"/>
          <w:sz w:val="20"/>
        </w:rPr>
      </w:pPr>
      <w:proofErr w:type="gramStart"/>
      <w:r w:rsidRPr="007A20A1">
        <w:rPr>
          <w:rFonts w:ascii="Tahoma" w:hAnsi="Tahoma" w:cs="Tahoma"/>
          <w:sz w:val="20"/>
        </w:rPr>
        <w:t>a</w:t>
      </w:r>
      <w:proofErr w:type="gramEnd"/>
      <w:r w:rsidRPr="007A20A1">
        <w:rPr>
          <w:rFonts w:ascii="Tahoma" w:hAnsi="Tahoma" w:cs="Tahoma"/>
          <w:sz w:val="20"/>
        </w:rPr>
        <w:tab/>
        <w:t>Lim 2014 reported the average change in PPD from baseline, without giving pre-op and post-op values.</w:t>
      </w:r>
    </w:p>
    <w:p w:rsidR="00BB474C" w:rsidRPr="0024221E" w:rsidRDefault="00BB474C" w:rsidP="0024221E">
      <w:pPr>
        <w:tabs>
          <w:tab w:val="left" w:pos="426"/>
        </w:tabs>
        <w:rPr>
          <w:szCs w:val="24"/>
        </w:rPr>
      </w:pPr>
    </w:p>
    <w:p w:rsidR="0024221E" w:rsidRDefault="0024221E" w:rsidP="0024221E">
      <w:pPr>
        <w:tabs>
          <w:tab w:val="left" w:pos="426"/>
        </w:tabs>
        <w:rPr>
          <w:szCs w:val="24"/>
        </w:rPr>
      </w:pPr>
      <w:r w:rsidRPr="0024221E">
        <w:rPr>
          <w:szCs w:val="24"/>
        </w:rPr>
        <w:t xml:space="preserve">A number of studies reported on the proportion of patients who were ‘satisfied’ with the results of their surgery. Several studies also presented results of the </w:t>
      </w:r>
      <w:r>
        <w:rPr>
          <w:szCs w:val="24"/>
        </w:rPr>
        <w:t>patient global impression of improvement (</w:t>
      </w:r>
      <w:r w:rsidRPr="0024221E">
        <w:rPr>
          <w:szCs w:val="24"/>
        </w:rPr>
        <w:t>PGI-I</w:t>
      </w:r>
      <w:r>
        <w:rPr>
          <w:szCs w:val="24"/>
        </w:rPr>
        <w:t>)</w:t>
      </w:r>
      <w:r w:rsidRPr="0024221E">
        <w:rPr>
          <w:szCs w:val="24"/>
        </w:rPr>
        <w:t>, which asks patients to rate their level of improvement</w:t>
      </w:r>
      <w:r>
        <w:rPr>
          <w:szCs w:val="24"/>
        </w:rPr>
        <w:t xml:space="preserve">. </w:t>
      </w:r>
      <w:r w:rsidRPr="0024221E">
        <w:rPr>
          <w:szCs w:val="24"/>
        </w:rPr>
        <w:t>In most studies, the proportion of patients who were satisfied with the procedure was high (&gt;</w:t>
      </w:r>
      <w:r w:rsidR="00E43CC9">
        <w:rPr>
          <w:szCs w:val="24"/>
        </w:rPr>
        <w:t> </w:t>
      </w:r>
      <w:r w:rsidRPr="0024221E">
        <w:rPr>
          <w:szCs w:val="24"/>
        </w:rPr>
        <w:t>70%).</w:t>
      </w:r>
    </w:p>
    <w:p w:rsidR="0024221E" w:rsidRDefault="0024221E" w:rsidP="0024221E">
      <w:pPr>
        <w:tabs>
          <w:tab w:val="left" w:pos="426"/>
        </w:tabs>
        <w:rPr>
          <w:szCs w:val="24"/>
        </w:rPr>
      </w:pPr>
    </w:p>
    <w:p w:rsidR="0024221E" w:rsidRDefault="006D75DA" w:rsidP="006D75DA">
      <w:pPr>
        <w:tabs>
          <w:tab w:val="left" w:pos="426"/>
        </w:tabs>
        <w:rPr>
          <w:szCs w:val="24"/>
        </w:rPr>
      </w:pPr>
      <w:r>
        <w:rPr>
          <w:szCs w:val="24"/>
        </w:rPr>
        <w:t>Various q</w:t>
      </w:r>
      <w:r w:rsidR="0024221E">
        <w:rPr>
          <w:szCs w:val="24"/>
        </w:rPr>
        <w:t xml:space="preserve">uality of life </w:t>
      </w:r>
      <w:r>
        <w:rPr>
          <w:szCs w:val="24"/>
        </w:rPr>
        <w:t>measures were used in the reviewed studies. R</w:t>
      </w:r>
      <w:r w:rsidR="0024221E" w:rsidRPr="0024221E">
        <w:rPr>
          <w:szCs w:val="24"/>
        </w:rPr>
        <w:t xml:space="preserve">esults from </w:t>
      </w:r>
      <w:r w:rsidR="0024221E">
        <w:rPr>
          <w:szCs w:val="24"/>
        </w:rPr>
        <w:t xml:space="preserve">the </w:t>
      </w:r>
      <w:r w:rsidR="0024221E" w:rsidRPr="0024221E">
        <w:rPr>
          <w:szCs w:val="24"/>
        </w:rPr>
        <w:t>studies that used</w:t>
      </w:r>
      <w:r w:rsidR="0024221E">
        <w:rPr>
          <w:szCs w:val="24"/>
        </w:rPr>
        <w:t xml:space="preserve"> t</w:t>
      </w:r>
      <w:r w:rsidR="0024221E" w:rsidRPr="0024221E">
        <w:rPr>
          <w:szCs w:val="24"/>
        </w:rPr>
        <w:t xml:space="preserve">he </w:t>
      </w:r>
      <w:r w:rsidR="0024221E">
        <w:rPr>
          <w:szCs w:val="24"/>
        </w:rPr>
        <w:t>incontinence quality of life questionnaire (</w:t>
      </w:r>
      <w:r w:rsidR="0024221E" w:rsidRPr="0024221E">
        <w:rPr>
          <w:szCs w:val="24"/>
        </w:rPr>
        <w:t>I-</w:t>
      </w:r>
      <w:proofErr w:type="spellStart"/>
      <w:r w:rsidR="0024221E" w:rsidRPr="0024221E">
        <w:rPr>
          <w:szCs w:val="24"/>
        </w:rPr>
        <w:t>QoL</w:t>
      </w:r>
      <w:proofErr w:type="spellEnd"/>
      <w:r w:rsidR="0024221E">
        <w:rPr>
          <w:szCs w:val="24"/>
        </w:rPr>
        <w:t>), which consists of 22 items covering three</w:t>
      </w:r>
      <w:r w:rsidR="0024221E" w:rsidRPr="0024221E">
        <w:rPr>
          <w:szCs w:val="24"/>
        </w:rPr>
        <w:t xml:space="preserve"> domains - avoidance and limiting behavio</w:t>
      </w:r>
      <w:r w:rsidR="0024221E">
        <w:rPr>
          <w:szCs w:val="24"/>
        </w:rPr>
        <w:t>u</w:t>
      </w:r>
      <w:r w:rsidR="0024221E" w:rsidRPr="0024221E">
        <w:rPr>
          <w:szCs w:val="24"/>
        </w:rPr>
        <w:t>r, psychosocial impact and social embarrassment</w:t>
      </w:r>
      <w:r>
        <w:rPr>
          <w:szCs w:val="24"/>
        </w:rPr>
        <w:t>, indicated that t</w:t>
      </w:r>
      <w:r w:rsidR="0024221E" w:rsidRPr="00F1113F">
        <w:rPr>
          <w:szCs w:val="24"/>
        </w:rPr>
        <w:t>he procedures resulted in significant improvements in quality of life.</w:t>
      </w:r>
      <w:r>
        <w:rPr>
          <w:szCs w:val="24"/>
        </w:rPr>
        <w:t xml:space="preserve"> Other </w:t>
      </w:r>
      <w:proofErr w:type="spellStart"/>
      <w:r>
        <w:rPr>
          <w:szCs w:val="24"/>
        </w:rPr>
        <w:t>QoL</w:t>
      </w:r>
      <w:proofErr w:type="spellEnd"/>
      <w:r>
        <w:rPr>
          <w:szCs w:val="24"/>
        </w:rPr>
        <w:t xml:space="preserve"> measures generally demonstrated an improvement in </w:t>
      </w:r>
      <w:proofErr w:type="spellStart"/>
      <w:r>
        <w:rPr>
          <w:szCs w:val="24"/>
        </w:rPr>
        <w:t>QoL</w:t>
      </w:r>
      <w:proofErr w:type="spellEnd"/>
      <w:r>
        <w:rPr>
          <w:szCs w:val="24"/>
        </w:rPr>
        <w:t xml:space="preserve"> post-op compared to baseline.</w:t>
      </w:r>
    </w:p>
    <w:p w:rsidR="006D75DA" w:rsidRDefault="006D75DA" w:rsidP="006D75DA">
      <w:pPr>
        <w:tabs>
          <w:tab w:val="left" w:pos="426"/>
        </w:tabs>
        <w:rPr>
          <w:szCs w:val="24"/>
        </w:rPr>
      </w:pPr>
    </w:p>
    <w:p w:rsidR="00A21436" w:rsidRPr="00A21436" w:rsidRDefault="00A21436" w:rsidP="00A21436">
      <w:pPr>
        <w:tabs>
          <w:tab w:val="left" w:pos="426"/>
        </w:tabs>
        <w:rPr>
          <w:szCs w:val="24"/>
        </w:rPr>
      </w:pPr>
      <w:r>
        <w:rPr>
          <w:szCs w:val="24"/>
        </w:rPr>
        <w:t>R</w:t>
      </w:r>
      <w:r w:rsidRPr="00A21436">
        <w:rPr>
          <w:szCs w:val="24"/>
        </w:rPr>
        <w:t xml:space="preserve">ates of removal and revision or adjustment </w:t>
      </w:r>
      <w:r>
        <w:rPr>
          <w:szCs w:val="24"/>
        </w:rPr>
        <w:t>were reported, however n</w:t>
      </w:r>
      <w:r w:rsidRPr="00A21436">
        <w:rPr>
          <w:szCs w:val="24"/>
        </w:rPr>
        <w:t xml:space="preserve">o studies reported on the rate of replacement of </w:t>
      </w:r>
      <w:r w:rsidR="0017084B">
        <w:rPr>
          <w:szCs w:val="24"/>
        </w:rPr>
        <w:t xml:space="preserve">male </w:t>
      </w:r>
      <w:r w:rsidR="000C5C6C">
        <w:rPr>
          <w:szCs w:val="24"/>
        </w:rPr>
        <w:t xml:space="preserve">urinary </w:t>
      </w:r>
      <w:r w:rsidRPr="00A21436">
        <w:rPr>
          <w:szCs w:val="24"/>
        </w:rPr>
        <w:t>slings in the long term.</w:t>
      </w:r>
      <w:r>
        <w:rPr>
          <w:szCs w:val="24"/>
        </w:rPr>
        <w:t xml:space="preserve"> </w:t>
      </w:r>
      <w:r w:rsidRPr="00A21436">
        <w:rPr>
          <w:szCs w:val="24"/>
        </w:rPr>
        <w:t xml:space="preserve">The most common reason for removal was infection. Other reasons were urethral erosion, persistent pain, irritation symptoms, persistent retention, misplaced sling and inflammation of the pubic symphysis. Based </w:t>
      </w:r>
      <w:r>
        <w:rPr>
          <w:szCs w:val="24"/>
        </w:rPr>
        <w:t>on the data presented</w:t>
      </w:r>
      <w:r w:rsidRPr="00A21436">
        <w:rPr>
          <w:szCs w:val="24"/>
        </w:rPr>
        <w:t xml:space="preserve"> it appears that the Argus </w:t>
      </w:r>
      <w:r w:rsidR="000C5C6C" w:rsidRPr="000E6A10">
        <w:rPr>
          <w:szCs w:val="24"/>
        </w:rPr>
        <w:t xml:space="preserve">adjustable </w:t>
      </w:r>
      <w:r w:rsidR="0017084B">
        <w:rPr>
          <w:szCs w:val="24"/>
        </w:rPr>
        <w:t xml:space="preserve">male </w:t>
      </w:r>
      <w:r w:rsidR="000C5C6C">
        <w:rPr>
          <w:szCs w:val="24"/>
        </w:rPr>
        <w:t xml:space="preserve">urinary synthetic </w:t>
      </w:r>
      <w:r w:rsidRPr="00A21436">
        <w:rPr>
          <w:szCs w:val="24"/>
        </w:rPr>
        <w:t>sling may be associated with higher rates of removal.</w:t>
      </w:r>
    </w:p>
    <w:p w:rsidR="00A21436" w:rsidRPr="00A21436" w:rsidRDefault="00A21436" w:rsidP="00A21436">
      <w:pPr>
        <w:tabs>
          <w:tab w:val="left" w:pos="426"/>
        </w:tabs>
        <w:rPr>
          <w:szCs w:val="24"/>
        </w:rPr>
      </w:pPr>
    </w:p>
    <w:p w:rsidR="00A21436" w:rsidRPr="00A21436" w:rsidRDefault="00A21436" w:rsidP="00A21436">
      <w:pPr>
        <w:tabs>
          <w:tab w:val="left" w:pos="426"/>
        </w:tabs>
        <w:rPr>
          <w:szCs w:val="24"/>
        </w:rPr>
      </w:pPr>
      <w:r w:rsidRPr="00A21436">
        <w:rPr>
          <w:szCs w:val="24"/>
        </w:rPr>
        <w:t xml:space="preserve">Revision rates for non-adjustable </w:t>
      </w:r>
      <w:r w:rsidR="0017084B">
        <w:rPr>
          <w:szCs w:val="24"/>
        </w:rPr>
        <w:t xml:space="preserve">male </w:t>
      </w:r>
      <w:r w:rsidR="000C5C6C">
        <w:rPr>
          <w:szCs w:val="24"/>
        </w:rPr>
        <w:t xml:space="preserve">urinary synthetic </w:t>
      </w:r>
      <w:r w:rsidRPr="00A21436">
        <w:rPr>
          <w:szCs w:val="24"/>
        </w:rPr>
        <w:t>slings were variable. The most common reason for attempted revision was persistent incontinence. However</w:t>
      </w:r>
      <w:r>
        <w:rPr>
          <w:szCs w:val="24"/>
        </w:rPr>
        <w:t>,</w:t>
      </w:r>
      <w:r w:rsidRPr="00A21436">
        <w:rPr>
          <w:szCs w:val="24"/>
        </w:rPr>
        <w:t xml:space="preserve"> the practice of attempting revision varied between studies. With failure of an implanted </w:t>
      </w:r>
      <w:r w:rsidR="0017084B">
        <w:rPr>
          <w:szCs w:val="24"/>
        </w:rPr>
        <w:t xml:space="preserve">male </w:t>
      </w:r>
      <w:r w:rsidR="000C5C6C">
        <w:rPr>
          <w:szCs w:val="24"/>
        </w:rPr>
        <w:t xml:space="preserve">urinary </w:t>
      </w:r>
      <w:r w:rsidRPr="00A21436">
        <w:rPr>
          <w:szCs w:val="24"/>
        </w:rPr>
        <w:t xml:space="preserve">sling, alternative treatments (e.g. the AUS) </w:t>
      </w:r>
      <w:r>
        <w:rPr>
          <w:szCs w:val="24"/>
        </w:rPr>
        <w:t xml:space="preserve">were used </w:t>
      </w:r>
      <w:r w:rsidRPr="00A21436">
        <w:rPr>
          <w:szCs w:val="24"/>
        </w:rPr>
        <w:t xml:space="preserve">rather than attempting a sling revision. Other reasons given for sling revision were persistent retention/obstruction and bone screw dislodgement. Rates of adjustment for the adjustable </w:t>
      </w:r>
      <w:r w:rsidR="0017084B">
        <w:rPr>
          <w:szCs w:val="24"/>
        </w:rPr>
        <w:t xml:space="preserve">male </w:t>
      </w:r>
      <w:r w:rsidR="000C5C6C">
        <w:rPr>
          <w:szCs w:val="24"/>
        </w:rPr>
        <w:t xml:space="preserve">urinary synthetic </w:t>
      </w:r>
      <w:r w:rsidRPr="00A21436">
        <w:rPr>
          <w:szCs w:val="24"/>
        </w:rPr>
        <w:t>slings were high.</w:t>
      </w:r>
    </w:p>
    <w:p w:rsidR="00A21436" w:rsidRDefault="00A21436" w:rsidP="00A21436">
      <w:pPr>
        <w:tabs>
          <w:tab w:val="left" w:pos="426"/>
        </w:tabs>
        <w:rPr>
          <w:szCs w:val="24"/>
        </w:rPr>
      </w:pPr>
    </w:p>
    <w:p w:rsidR="00A21436" w:rsidRDefault="00A21436" w:rsidP="00A21436">
      <w:pPr>
        <w:tabs>
          <w:tab w:val="left" w:pos="426"/>
        </w:tabs>
        <w:rPr>
          <w:szCs w:val="24"/>
        </w:rPr>
      </w:pPr>
      <w:r w:rsidRPr="00A21436">
        <w:rPr>
          <w:szCs w:val="24"/>
        </w:rPr>
        <w:t>Many of the reviewed studies examined the effect of severity of incontinence at base</w:t>
      </w:r>
      <w:r>
        <w:rPr>
          <w:szCs w:val="24"/>
        </w:rPr>
        <w:t xml:space="preserve">line on effectiveness outcomes and </w:t>
      </w:r>
      <w:r w:rsidRPr="00A21436">
        <w:rPr>
          <w:szCs w:val="24"/>
        </w:rPr>
        <w:t xml:space="preserve">consistently found a decreasing level of effectiveness with increasing severity of baseline incontinence. However, the differences did not always reach statistical significance. High success rates were observed in patients with severe incontinence in some studies (e.g. </w:t>
      </w:r>
      <w:proofErr w:type="spellStart"/>
      <w:r w:rsidRPr="00A21436">
        <w:rPr>
          <w:szCs w:val="24"/>
        </w:rPr>
        <w:t>Soljanik</w:t>
      </w:r>
      <w:proofErr w:type="spellEnd"/>
      <w:r w:rsidRPr="00A21436">
        <w:rPr>
          <w:szCs w:val="24"/>
        </w:rPr>
        <w:t xml:space="preserve"> 2012, </w:t>
      </w:r>
      <w:proofErr w:type="spellStart"/>
      <w:r w:rsidRPr="00A21436">
        <w:rPr>
          <w:szCs w:val="24"/>
        </w:rPr>
        <w:t>Bochove-Overgaauw</w:t>
      </w:r>
      <w:proofErr w:type="spellEnd"/>
      <w:r w:rsidRPr="00A21436">
        <w:rPr>
          <w:szCs w:val="24"/>
        </w:rPr>
        <w:t xml:space="preserve"> 2011, </w:t>
      </w:r>
      <w:proofErr w:type="gramStart"/>
      <w:r w:rsidRPr="00A21436">
        <w:rPr>
          <w:szCs w:val="24"/>
        </w:rPr>
        <w:t>Sousa</w:t>
      </w:r>
      <w:proofErr w:type="gramEnd"/>
      <w:r w:rsidRPr="00A21436">
        <w:rPr>
          <w:szCs w:val="24"/>
        </w:rPr>
        <w:t>-</w:t>
      </w:r>
      <w:proofErr w:type="spellStart"/>
      <w:r w:rsidRPr="00A21436">
        <w:rPr>
          <w:szCs w:val="24"/>
        </w:rPr>
        <w:t>Escandon</w:t>
      </w:r>
      <w:proofErr w:type="spellEnd"/>
      <w:r w:rsidRPr="00A21436">
        <w:rPr>
          <w:szCs w:val="24"/>
        </w:rPr>
        <w:t xml:space="preserve"> 2007).</w:t>
      </w:r>
    </w:p>
    <w:p w:rsidR="00A21436" w:rsidRDefault="00A21436" w:rsidP="00A21436">
      <w:pPr>
        <w:tabs>
          <w:tab w:val="left" w:pos="426"/>
        </w:tabs>
        <w:rPr>
          <w:szCs w:val="24"/>
        </w:rPr>
      </w:pPr>
    </w:p>
    <w:p w:rsidR="00870043" w:rsidRDefault="00870043" w:rsidP="00A21436">
      <w:pPr>
        <w:tabs>
          <w:tab w:val="left" w:pos="426"/>
        </w:tabs>
        <w:rPr>
          <w:szCs w:val="24"/>
        </w:rPr>
      </w:pPr>
      <w:r w:rsidRPr="00870043">
        <w:rPr>
          <w:szCs w:val="24"/>
        </w:rPr>
        <w:t>Studies that examined the effect of prior radiotherapy on effectiveness outcomes generally found that subjects who had received prior radiotherapy had worse outcomes than those who had not received prior radiotherapy. The differences in outcome were not always statistically significant. Despite the worse outcomes generally, high cure/success rates were observed in irradiated subjects in some studies (</w:t>
      </w:r>
      <w:proofErr w:type="spellStart"/>
      <w:r w:rsidRPr="00870043">
        <w:rPr>
          <w:szCs w:val="24"/>
        </w:rPr>
        <w:t>Onur</w:t>
      </w:r>
      <w:proofErr w:type="spellEnd"/>
      <w:r w:rsidRPr="00870043">
        <w:rPr>
          <w:szCs w:val="24"/>
        </w:rPr>
        <w:t xml:space="preserve"> 2004, </w:t>
      </w:r>
      <w:proofErr w:type="spellStart"/>
      <w:r w:rsidRPr="00870043">
        <w:rPr>
          <w:szCs w:val="24"/>
        </w:rPr>
        <w:t>Hubner</w:t>
      </w:r>
      <w:proofErr w:type="spellEnd"/>
      <w:r w:rsidRPr="00870043">
        <w:rPr>
          <w:szCs w:val="24"/>
        </w:rPr>
        <w:t xml:space="preserve"> 2011).</w:t>
      </w:r>
    </w:p>
    <w:p w:rsidR="00870043" w:rsidRDefault="00870043" w:rsidP="00A21436">
      <w:pPr>
        <w:tabs>
          <w:tab w:val="left" w:pos="426"/>
        </w:tabs>
        <w:rPr>
          <w:szCs w:val="24"/>
        </w:rPr>
      </w:pPr>
    </w:p>
    <w:p w:rsidR="0024221E" w:rsidRDefault="00870043" w:rsidP="00A21436">
      <w:pPr>
        <w:tabs>
          <w:tab w:val="left" w:pos="426"/>
        </w:tabs>
        <w:rPr>
          <w:szCs w:val="24"/>
        </w:rPr>
      </w:pPr>
      <w:r>
        <w:rPr>
          <w:szCs w:val="24"/>
        </w:rPr>
        <w:lastRenderedPageBreak/>
        <w:t xml:space="preserve">Overall, </w:t>
      </w:r>
      <w:r w:rsidR="0017084B">
        <w:rPr>
          <w:szCs w:val="24"/>
        </w:rPr>
        <w:t xml:space="preserve">male </w:t>
      </w:r>
      <w:r w:rsidR="000C5C6C">
        <w:rPr>
          <w:szCs w:val="24"/>
        </w:rPr>
        <w:t xml:space="preserve">urinary </w:t>
      </w:r>
      <w:r>
        <w:rPr>
          <w:szCs w:val="24"/>
        </w:rPr>
        <w:t>s</w:t>
      </w:r>
      <w:r w:rsidR="0024221E" w:rsidRPr="00A21436">
        <w:rPr>
          <w:szCs w:val="24"/>
        </w:rPr>
        <w:t xml:space="preserve">ling procedures have reduced effectiveness in subjects with </w:t>
      </w:r>
      <w:proofErr w:type="gramStart"/>
      <w:r w:rsidR="0024221E" w:rsidRPr="00A21436">
        <w:rPr>
          <w:szCs w:val="24"/>
        </w:rPr>
        <w:t xml:space="preserve">severe </w:t>
      </w:r>
      <w:r w:rsidR="009F091A">
        <w:rPr>
          <w:szCs w:val="24"/>
        </w:rPr>
        <w:t xml:space="preserve"> stress</w:t>
      </w:r>
      <w:proofErr w:type="gramEnd"/>
      <w:r w:rsidR="009F091A">
        <w:rPr>
          <w:szCs w:val="24"/>
        </w:rPr>
        <w:t xml:space="preserve"> urinary incontinence</w:t>
      </w:r>
      <w:r w:rsidR="0024221E" w:rsidRPr="00A21436">
        <w:rPr>
          <w:szCs w:val="24"/>
        </w:rPr>
        <w:t xml:space="preserve"> and those who have previously received radiotherapy. However, some studies report high success rates in these subjects and the procedure may therefore be of value for subjects in whom other treatment options have been unsuccessful or are not viable.</w:t>
      </w:r>
    </w:p>
    <w:p w:rsidR="009635B3" w:rsidRPr="00A21436" w:rsidRDefault="009635B3" w:rsidP="00A21436">
      <w:pPr>
        <w:tabs>
          <w:tab w:val="left" w:pos="426"/>
        </w:tabs>
        <w:rPr>
          <w:szCs w:val="24"/>
        </w:rPr>
      </w:pPr>
    </w:p>
    <w:p w:rsidR="00BC1364" w:rsidRDefault="00BC1364" w:rsidP="007B32D1">
      <w:pPr>
        <w:pStyle w:val="Heading1"/>
        <w:numPr>
          <w:ilvl w:val="0"/>
          <w:numId w:val="23"/>
        </w:numPr>
        <w:ind w:hanging="720"/>
      </w:pPr>
      <w:r w:rsidRPr="008D5885">
        <w:t>Economic evaluation</w:t>
      </w:r>
    </w:p>
    <w:p w:rsidR="00BC1364" w:rsidRPr="009635B3" w:rsidRDefault="00BC1364" w:rsidP="00DD2858">
      <w:pPr>
        <w:rPr>
          <w:szCs w:val="24"/>
        </w:rPr>
      </w:pPr>
    </w:p>
    <w:p w:rsidR="00DB5833" w:rsidRPr="009A1EBE" w:rsidRDefault="00870043" w:rsidP="009A1EBE">
      <w:pPr>
        <w:rPr>
          <w:szCs w:val="24"/>
        </w:rPr>
      </w:pPr>
      <w:r>
        <w:rPr>
          <w:szCs w:val="24"/>
        </w:rPr>
        <w:t>A</w:t>
      </w:r>
      <w:r w:rsidR="00165432">
        <w:rPr>
          <w:szCs w:val="24"/>
        </w:rPr>
        <w:t xml:space="preserve">n economic analysis </w:t>
      </w:r>
      <w:r>
        <w:rPr>
          <w:szCs w:val="24"/>
        </w:rPr>
        <w:t>was not</w:t>
      </w:r>
      <w:r w:rsidR="00165432" w:rsidRPr="004710AB">
        <w:rPr>
          <w:szCs w:val="24"/>
        </w:rPr>
        <w:t xml:space="preserve"> conducted for this application because it was considered outside of the scope of the fit-for-purpose review.</w:t>
      </w:r>
    </w:p>
    <w:p w:rsidR="00BC1364" w:rsidRPr="0075468E" w:rsidRDefault="00BC1364" w:rsidP="00DD2858">
      <w:pPr>
        <w:rPr>
          <w:szCs w:val="24"/>
        </w:rPr>
      </w:pPr>
    </w:p>
    <w:p w:rsidR="00BC1364" w:rsidRDefault="00BC1364" w:rsidP="007B32D1">
      <w:pPr>
        <w:pStyle w:val="Heading1"/>
        <w:numPr>
          <w:ilvl w:val="0"/>
          <w:numId w:val="23"/>
        </w:numPr>
        <w:ind w:hanging="720"/>
      </w:pPr>
      <w:r w:rsidRPr="008D5885">
        <w:t>Financial/budgetary impacts</w:t>
      </w:r>
    </w:p>
    <w:p w:rsidR="00BC1364" w:rsidRDefault="00BC1364" w:rsidP="00D340DE">
      <w:pPr>
        <w:pStyle w:val="Default"/>
      </w:pPr>
    </w:p>
    <w:p w:rsidR="005A3D2C" w:rsidRDefault="005A3D2C" w:rsidP="005A3D2C">
      <w:pPr>
        <w:tabs>
          <w:tab w:val="left" w:pos="720"/>
          <w:tab w:val="left" w:pos="1140"/>
        </w:tabs>
        <w:rPr>
          <w:szCs w:val="24"/>
        </w:rPr>
      </w:pPr>
      <w:r w:rsidRPr="0018361A">
        <w:rPr>
          <w:szCs w:val="24"/>
        </w:rPr>
        <w:t>Prostheses List data indicates that</w:t>
      </w:r>
      <w:r w:rsidR="00E43CC9">
        <w:rPr>
          <w:szCs w:val="24"/>
        </w:rPr>
        <w:t xml:space="preserve"> </w:t>
      </w:r>
      <w:r w:rsidRPr="0018361A">
        <w:rPr>
          <w:szCs w:val="24"/>
        </w:rPr>
        <w:t xml:space="preserve">there were 244 claims for the insertion of </w:t>
      </w:r>
      <w:r w:rsidR="000C5C6C">
        <w:rPr>
          <w:szCs w:val="24"/>
        </w:rPr>
        <w:t xml:space="preserve">male urinary </w:t>
      </w:r>
      <w:r w:rsidRPr="0018361A">
        <w:rPr>
          <w:szCs w:val="24"/>
        </w:rPr>
        <w:t>synthetic slings associated with item 37042</w:t>
      </w:r>
      <w:r w:rsidR="00E43CC9">
        <w:rPr>
          <w:szCs w:val="24"/>
        </w:rPr>
        <w:t xml:space="preserve"> </w:t>
      </w:r>
      <w:r w:rsidR="00E43CC9" w:rsidRPr="0018361A">
        <w:rPr>
          <w:szCs w:val="24"/>
        </w:rPr>
        <w:t>in 2013-14</w:t>
      </w:r>
      <w:r w:rsidRPr="0018361A">
        <w:rPr>
          <w:szCs w:val="24"/>
        </w:rPr>
        <w:t>.</w:t>
      </w:r>
    </w:p>
    <w:p w:rsidR="005A3D2C" w:rsidRDefault="005A3D2C" w:rsidP="005A3D2C">
      <w:pPr>
        <w:tabs>
          <w:tab w:val="left" w:pos="720"/>
          <w:tab w:val="left" w:pos="1140"/>
        </w:tabs>
        <w:rPr>
          <w:szCs w:val="24"/>
        </w:rPr>
      </w:pPr>
    </w:p>
    <w:p w:rsidR="005A3D2C" w:rsidRPr="0018361A" w:rsidRDefault="005A3D2C" w:rsidP="005A3D2C">
      <w:pPr>
        <w:tabs>
          <w:tab w:val="left" w:pos="720"/>
          <w:tab w:val="left" w:pos="1140"/>
        </w:tabs>
        <w:rPr>
          <w:szCs w:val="24"/>
          <w:lang w:val="en-US"/>
        </w:rPr>
      </w:pPr>
      <w:r>
        <w:rPr>
          <w:szCs w:val="24"/>
          <w:lang w:val="en-US"/>
        </w:rPr>
        <w:t>The table below</w:t>
      </w:r>
      <w:r w:rsidRPr="0018361A">
        <w:rPr>
          <w:szCs w:val="24"/>
          <w:lang w:val="en-US"/>
        </w:rPr>
        <w:t xml:space="preserve"> shows the projected volume of services for the insertion of male </w:t>
      </w:r>
      <w:r w:rsidR="000C5C6C">
        <w:rPr>
          <w:szCs w:val="24"/>
          <w:lang w:val="en-US"/>
        </w:rPr>
        <w:t xml:space="preserve">urinary </w:t>
      </w:r>
      <w:r w:rsidRPr="0018361A">
        <w:rPr>
          <w:szCs w:val="24"/>
          <w:lang w:val="en-US"/>
        </w:rPr>
        <w:t xml:space="preserve">synthetic slings for stress urinary incontinence based on current usage trends of item 37042 in association with a synthetic sling listed </w:t>
      </w:r>
      <w:r w:rsidR="000C5C6C">
        <w:rPr>
          <w:szCs w:val="24"/>
          <w:lang w:val="en-US"/>
        </w:rPr>
        <w:t>i</w:t>
      </w:r>
      <w:r w:rsidRPr="0018361A">
        <w:rPr>
          <w:szCs w:val="24"/>
          <w:lang w:val="en-US"/>
        </w:rPr>
        <w:t>n the Prostheses List.</w:t>
      </w:r>
    </w:p>
    <w:p w:rsidR="005A3D2C" w:rsidRPr="0018361A" w:rsidRDefault="005A3D2C" w:rsidP="005A3D2C">
      <w:pPr>
        <w:tabs>
          <w:tab w:val="left" w:pos="720"/>
          <w:tab w:val="left" w:pos="1140"/>
        </w:tabs>
        <w:rPr>
          <w:szCs w:val="24"/>
          <w:lang w:val="en-US"/>
        </w:rPr>
      </w:pPr>
    </w:p>
    <w:p w:rsidR="005A3D2C" w:rsidRPr="0018361A" w:rsidRDefault="005A3D2C" w:rsidP="005A3D2C">
      <w:pPr>
        <w:tabs>
          <w:tab w:val="left" w:pos="720"/>
          <w:tab w:val="left" w:pos="1140"/>
        </w:tabs>
        <w:rPr>
          <w:rFonts w:ascii="Arial" w:hAnsi="Arial" w:cs="Arial"/>
          <w:b/>
          <w:sz w:val="20"/>
          <w:lang w:val="en-US"/>
        </w:rPr>
      </w:pPr>
      <w:r w:rsidRPr="0018361A">
        <w:rPr>
          <w:rFonts w:ascii="Arial" w:hAnsi="Arial" w:cs="Arial"/>
          <w:b/>
          <w:sz w:val="20"/>
          <w:lang w:val="en-US"/>
        </w:rPr>
        <w:t>Projected usage of item 37042 for synthetic sling insertion for male bladder stress incontinence for 2014 to 2020</w:t>
      </w:r>
    </w:p>
    <w:tbl>
      <w:tblPr>
        <w:tblW w:w="93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1551"/>
        <w:gridCol w:w="1551"/>
        <w:gridCol w:w="1550"/>
        <w:gridCol w:w="1551"/>
        <w:gridCol w:w="1551"/>
      </w:tblGrid>
      <w:tr w:rsidR="005A3D2C" w:rsidRPr="0018361A" w:rsidTr="00BB474C">
        <w:trPr>
          <w:trHeight w:val="422"/>
        </w:trPr>
        <w:tc>
          <w:tcPr>
            <w:tcW w:w="1550" w:type="dxa"/>
          </w:tcPr>
          <w:p w:rsidR="005A3D2C" w:rsidRPr="0018361A" w:rsidRDefault="005A3D2C" w:rsidP="00BB474C">
            <w:pPr>
              <w:tabs>
                <w:tab w:val="left" w:pos="720"/>
                <w:tab w:val="left" w:pos="1140"/>
              </w:tabs>
              <w:jc w:val="center"/>
              <w:rPr>
                <w:rFonts w:ascii="Arial" w:hAnsi="Arial" w:cs="Arial"/>
                <w:b/>
                <w:sz w:val="20"/>
                <w:lang w:val="en-US"/>
              </w:rPr>
            </w:pPr>
            <w:r w:rsidRPr="0018361A">
              <w:rPr>
                <w:rFonts w:ascii="Arial" w:hAnsi="Arial" w:cs="Arial"/>
                <w:b/>
                <w:sz w:val="20"/>
                <w:lang w:val="en-US"/>
              </w:rPr>
              <w:t>2014-15</w:t>
            </w:r>
          </w:p>
        </w:tc>
        <w:tc>
          <w:tcPr>
            <w:tcW w:w="1551" w:type="dxa"/>
          </w:tcPr>
          <w:p w:rsidR="005A3D2C" w:rsidRPr="0018361A" w:rsidRDefault="005A3D2C" w:rsidP="00BB474C">
            <w:pPr>
              <w:tabs>
                <w:tab w:val="left" w:pos="720"/>
                <w:tab w:val="left" w:pos="1140"/>
              </w:tabs>
              <w:jc w:val="center"/>
              <w:rPr>
                <w:rFonts w:ascii="Arial" w:hAnsi="Arial" w:cs="Arial"/>
                <w:b/>
                <w:sz w:val="20"/>
                <w:lang w:val="en-US"/>
              </w:rPr>
            </w:pPr>
            <w:r w:rsidRPr="0018361A">
              <w:rPr>
                <w:rFonts w:ascii="Arial" w:hAnsi="Arial" w:cs="Arial"/>
                <w:b/>
                <w:sz w:val="20"/>
                <w:lang w:val="en-US"/>
              </w:rPr>
              <w:t>2015-16</w:t>
            </w:r>
          </w:p>
        </w:tc>
        <w:tc>
          <w:tcPr>
            <w:tcW w:w="1551" w:type="dxa"/>
          </w:tcPr>
          <w:p w:rsidR="005A3D2C" w:rsidRPr="0018361A" w:rsidRDefault="005A3D2C" w:rsidP="00BB474C">
            <w:pPr>
              <w:tabs>
                <w:tab w:val="left" w:pos="720"/>
                <w:tab w:val="left" w:pos="1140"/>
              </w:tabs>
              <w:jc w:val="center"/>
              <w:rPr>
                <w:rFonts w:ascii="Arial" w:hAnsi="Arial" w:cs="Arial"/>
                <w:b/>
                <w:sz w:val="20"/>
                <w:lang w:val="en-US"/>
              </w:rPr>
            </w:pPr>
            <w:r w:rsidRPr="0018361A">
              <w:rPr>
                <w:rFonts w:ascii="Arial" w:hAnsi="Arial" w:cs="Arial"/>
                <w:b/>
                <w:sz w:val="20"/>
                <w:lang w:val="en-US"/>
              </w:rPr>
              <w:t>2016-17</w:t>
            </w:r>
          </w:p>
        </w:tc>
        <w:tc>
          <w:tcPr>
            <w:tcW w:w="1550" w:type="dxa"/>
          </w:tcPr>
          <w:p w:rsidR="005A3D2C" w:rsidRPr="0018361A" w:rsidRDefault="005A3D2C" w:rsidP="00BB474C">
            <w:pPr>
              <w:tabs>
                <w:tab w:val="left" w:pos="720"/>
                <w:tab w:val="left" w:pos="1140"/>
              </w:tabs>
              <w:jc w:val="center"/>
              <w:rPr>
                <w:rFonts w:ascii="Arial" w:hAnsi="Arial" w:cs="Arial"/>
                <w:b/>
                <w:sz w:val="20"/>
                <w:lang w:val="en-US"/>
              </w:rPr>
            </w:pPr>
            <w:r w:rsidRPr="0018361A">
              <w:rPr>
                <w:rFonts w:ascii="Arial" w:hAnsi="Arial" w:cs="Arial"/>
                <w:b/>
                <w:sz w:val="20"/>
                <w:lang w:val="en-US"/>
              </w:rPr>
              <w:t>2017-18</w:t>
            </w:r>
          </w:p>
        </w:tc>
        <w:tc>
          <w:tcPr>
            <w:tcW w:w="1551" w:type="dxa"/>
          </w:tcPr>
          <w:p w:rsidR="005A3D2C" w:rsidRPr="0018361A" w:rsidRDefault="005A3D2C" w:rsidP="00BB474C">
            <w:pPr>
              <w:tabs>
                <w:tab w:val="left" w:pos="720"/>
                <w:tab w:val="left" w:pos="1140"/>
              </w:tabs>
              <w:jc w:val="center"/>
              <w:rPr>
                <w:rFonts w:ascii="Arial" w:hAnsi="Arial" w:cs="Arial"/>
                <w:b/>
                <w:sz w:val="20"/>
                <w:lang w:val="en-US"/>
              </w:rPr>
            </w:pPr>
            <w:r w:rsidRPr="0018361A">
              <w:rPr>
                <w:rFonts w:ascii="Arial" w:hAnsi="Arial" w:cs="Arial"/>
                <w:b/>
                <w:sz w:val="20"/>
                <w:lang w:val="en-US"/>
              </w:rPr>
              <w:t>2018-19</w:t>
            </w:r>
          </w:p>
        </w:tc>
        <w:tc>
          <w:tcPr>
            <w:tcW w:w="1551" w:type="dxa"/>
          </w:tcPr>
          <w:p w:rsidR="005A3D2C" w:rsidRPr="0018361A" w:rsidRDefault="005A3D2C" w:rsidP="00BB474C">
            <w:pPr>
              <w:tabs>
                <w:tab w:val="left" w:pos="720"/>
                <w:tab w:val="left" w:pos="1140"/>
              </w:tabs>
              <w:jc w:val="center"/>
              <w:rPr>
                <w:rFonts w:ascii="Arial" w:hAnsi="Arial" w:cs="Arial"/>
                <w:b/>
                <w:sz w:val="20"/>
                <w:lang w:val="en-US"/>
              </w:rPr>
            </w:pPr>
            <w:r w:rsidRPr="0018361A">
              <w:rPr>
                <w:rFonts w:ascii="Arial" w:hAnsi="Arial" w:cs="Arial"/>
                <w:b/>
                <w:sz w:val="20"/>
                <w:lang w:val="en-US"/>
              </w:rPr>
              <w:t>2019-20</w:t>
            </w:r>
          </w:p>
        </w:tc>
      </w:tr>
      <w:tr w:rsidR="005A3D2C" w:rsidRPr="0018361A" w:rsidTr="00BB474C">
        <w:trPr>
          <w:trHeight w:val="412"/>
        </w:trPr>
        <w:tc>
          <w:tcPr>
            <w:tcW w:w="1550" w:type="dxa"/>
          </w:tcPr>
          <w:p w:rsidR="005A3D2C" w:rsidRPr="0018361A" w:rsidRDefault="005A3D2C" w:rsidP="00BB474C">
            <w:pPr>
              <w:tabs>
                <w:tab w:val="left" w:pos="720"/>
                <w:tab w:val="left" w:pos="1140"/>
              </w:tabs>
              <w:jc w:val="center"/>
              <w:rPr>
                <w:rFonts w:ascii="Arial" w:hAnsi="Arial" w:cs="Arial"/>
                <w:sz w:val="20"/>
                <w:lang w:val="en-US"/>
              </w:rPr>
            </w:pPr>
            <w:r w:rsidRPr="0018361A">
              <w:rPr>
                <w:rFonts w:ascii="Arial" w:hAnsi="Arial" w:cs="Arial"/>
                <w:sz w:val="20"/>
                <w:lang w:val="en-US"/>
              </w:rPr>
              <w:t>291</w:t>
            </w:r>
          </w:p>
        </w:tc>
        <w:tc>
          <w:tcPr>
            <w:tcW w:w="1551" w:type="dxa"/>
          </w:tcPr>
          <w:p w:rsidR="005A3D2C" w:rsidRPr="0018361A" w:rsidRDefault="005A3D2C" w:rsidP="00BB474C">
            <w:pPr>
              <w:tabs>
                <w:tab w:val="left" w:pos="720"/>
                <w:tab w:val="left" w:pos="1140"/>
              </w:tabs>
              <w:jc w:val="center"/>
              <w:rPr>
                <w:rFonts w:ascii="Arial" w:hAnsi="Arial" w:cs="Arial"/>
                <w:sz w:val="20"/>
                <w:lang w:val="en-US"/>
              </w:rPr>
            </w:pPr>
            <w:r w:rsidRPr="0018361A">
              <w:rPr>
                <w:rFonts w:ascii="Arial" w:hAnsi="Arial" w:cs="Arial"/>
                <w:sz w:val="20"/>
                <w:lang w:val="en-US"/>
              </w:rPr>
              <w:t>314</w:t>
            </w:r>
          </w:p>
        </w:tc>
        <w:tc>
          <w:tcPr>
            <w:tcW w:w="1551" w:type="dxa"/>
          </w:tcPr>
          <w:p w:rsidR="005A3D2C" w:rsidRPr="0018361A" w:rsidRDefault="005A3D2C" w:rsidP="00BB474C">
            <w:pPr>
              <w:tabs>
                <w:tab w:val="left" w:pos="720"/>
                <w:tab w:val="left" w:pos="1140"/>
              </w:tabs>
              <w:jc w:val="center"/>
              <w:rPr>
                <w:rFonts w:ascii="Arial" w:hAnsi="Arial" w:cs="Arial"/>
                <w:sz w:val="20"/>
                <w:lang w:val="en-US"/>
              </w:rPr>
            </w:pPr>
            <w:r w:rsidRPr="0018361A">
              <w:rPr>
                <w:rFonts w:ascii="Arial" w:hAnsi="Arial" w:cs="Arial"/>
                <w:sz w:val="20"/>
                <w:lang w:val="en-US"/>
              </w:rPr>
              <w:t>337</w:t>
            </w:r>
          </w:p>
        </w:tc>
        <w:tc>
          <w:tcPr>
            <w:tcW w:w="1550" w:type="dxa"/>
          </w:tcPr>
          <w:p w:rsidR="005A3D2C" w:rsidRPr="0018361A" w:rsidRDefault="005A3D2C" w:rsidP="00BB474C">
            <w:pPr>
              <w:tabs>
                <w:tab w:val="left" w:pos="720"/>
                <w:tab w:val="left" w:pos="1140"/>
              </w:tabs>
              <w:jc w:val="center"/>
              <w:rPr>
                <w:rFonts w:ascii="Arial" w:hAnsi="Arial" w:cs="Arial"/>
                <w:sz w:val="20"/>
                <w:lang w:val="en-US"/>
              </w:rPr>
            </w:pPr>
            <w:r w:rsidRPr="0018361A">
              <w:rPr>
                <w:rFonts w:ascii="Arial" w:hAnsi="Arial" w:cs="Arial"/>
                <w:sz w:val="20"/>
                <w:lang w:val="en-US"/>
              </w:rPr>
              <w:t>360</w:t>
            </w:r>
          </w:p>
        </w:tc>
        <w:tc>
          <w:tcPr>
            <w:tcW w:w="1551" w:type="dxa"/>
          </w:tcPr>
          <w:p w:rsidR="005A3D2C" w:rsidRPr="0018361A" w:rsidRDefault="005A3D2C" w:rsidP="00BB474C">
            <w:pPr>
              <w:tabs>
                <w:tab w:val="left" w:pos="720"/>
                <w:tab w:val="left" w:pos="1140"/>
              </w:tabs>
              <w:jc w:val="center"/>
              <w:rPr>
                <w:rFonts w:ascii="Arial" w:hAnsi="Arial" w:cs="Arial"/>
                <w:sz w:val="20"/>
                <w:lang w:val="en-US"/>
              </w:rPr>
            </w:pPr>
            <w:r w:rsidRPr="0018361A">
              <w:rPr>
                <w:rFonts w:ascii="Arial" w:hAnsi="Arial" w:cs="Arial"/>
                <w:sz w:val="20"/>
                <w:lang w:val="en-US"/>
              </w:rPr>
              <w:t>384</w:t>
            </w:r>
          </w:p>
        </w:tc>
        <w:tc>
          <w:tcPr>
            <w:tcW w:w="1551" w:type="dxa"/>
          </w:tcPr>
          <w:p w:rsidR="005A3D2C" w:rsidRPr="0018361A" w:rsidRDefault="005A3D2C" w:rsidP="00BB474C">
            <w:pPr>
              <w:tabs>
                <w:tab w:val="left" w:pos="720"/>
                <w:tab w:val="left" w:pos="1140"/>
              </w:tabs>
              <w:jc w:val="center"/>
              <w:rPr>
                <w:rFonts w:ascii="Arial" w:hAnsi="Arial" w:cs="Arial"/>
                <w:sz w:val="20"/>
                <w:lang w:val="en-US"/>
              </w:rPr>
            </w:pPr>
            <w:r w:rsidRPr="0018361A">
              <w:rPr>
                <w:rFonts w:ascii="Arial" w:hAnsi="Arial" w:cs="Arial"/>
                <w:sz w:val="20"/>
                <w:lang w:val="en-US"/>
              </w:rPr>
              <w:t>407</w:t>
            </w:r>
          </w:p>
        </w:tc>
      </w:tr>
    </w:tbl>
    <w:p w:rsidR="005A3D2C" w:rsidRDefault="005A3D2C" w:rsidP="00165432">
      <w:pPr>
        <w:rPr>
          <w:szCs w:val="24"/>
        </w:rPr>
      </w:pPr>
    </w:p>
    <w:p w:rsidR="009635B3" w:rsidRDefault="005A3D2C" w:rsidP="007F6E71">
      <w:pPr>
        <w:rPr>
          <w:szCs w:val="24"/>
        </w:rPr>
      </w:pPr>
      <w:r w:rsidRPr="005A3D2C">
        <w:rPr>
          <w:szCs w:val="24"/>
        </w:rPr>
        <w:t>Based on the current usage of the division and removal item and rates of division and removal of synthetic sl</w:t>
      </w:r>
      <w:r>
        <w:rPr>
          <w:szCs w:val="24"/>
        </w:rPr>
        <w:t xml:space="preserve">ings in the clinical literature, the table below </w:t>
      </w:r>
      <w:r w:rsidRPr="005A3D2C">
        <w:rPr>
          <w:szCs w:val="24"/>
        </w:rPr>
        <w:t xml:space="preserve">shows the projected usage of a division and removal item for </w:t>
      </w:r>
      <w:r w:rsidR="0017084B">
        <w:rPr>
          <w:szCs w:val="24"/>
        </w:rPr>
        <w:t xml:space="preserve">male urinary </w:t>
      </w:r>
      <w:r w:rsidRPr="005A3D2C">
        <w:rPr>
          <w:szCs w:val="24"/>
        </w:rPr>
        <w:t>synthetic slings.</w:t>
      </w:r>
    </w:p>
    <w:p w:rsidR="005A3D2C" w:rsidRPr="007F6E71" w:rsidRDefault="005A3D2C" w:rsidP="007F6E71">
      <w:pPr>
        <w:rPr>
          <w:szCs w:val="24"/>
        </w:rPr>
      </w:pPr>
    </w:p>
    <w:p w:rsidR="005A3D2C" w:rsidRPr="005A3D2C" w:rsidRDefault="005A3D2C" w:rsidP="007F6E71">
      <w:pPr>
        <w:rPr>
          <w:rFonts w:ascii="Arial" w:hAnsi="Arial" w:cs="Arial"/>
          <w:b/>
          <w:sz w:val="20"/>
        </w:rPr>
      </w:pPr>
      <w:r>
        <w:rPr>
          <w:rFonts w:ascii="Arial" w:hAnsi="Arial" w:cs="Arial"/>
          <w:b/>
          <w:sz w:val="20"/>
        </w:rPr>
        <w:t>P</w:t>
      </w:r>
      <w:r w:rsidRPr="005A3D2C">
        <w:rPr>
          <w:rFonts w:ascii="Arial" w:hAnsi="Arial" w:cs="Arial"/>
          <w:b/>
          <w:sz w:val="20"/>
        </w:rPr>
        <w:t xml:space="preserve">rojected usage of new MBS Items for </w:t>
      </w:r>
      <w:r w:rsidR="000C5C6C">
        <w:rPr>
          <w:rFonts w:ascii="Arial" w:hAnsi="Arial" w:cs="Arial"/>
          <w:b/>
          <w:sz w:val="20"/>
        </w:rPr>
        <w:t xml:space="preserve">male urinary </w:t>
      </w:r>
      <w:r w:rsidRPr="005A3D2C">
        <w:rPr>
          <w:rFonts w:ascii="Arial" w:hAnsi="Arial" w:cs="Arial"/>
          <w:b/>
          <w:sz w:val="20"/>
        </w:rPr>
        <w:t>synthetic slings, by financial year, for revision/adjustment and removal predicted usage for 2014 to 2020</w:t>
      </w:r>
    </w:p>
    <w:tbl>
      <w:tblPr>
        <w:tblW w:w="93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299"/>
        <w:gridCol w:w="1299"/>
        <w:gridCol w:w="1300"/>
        <w:gridCol w:w="1299"/>
        <w:gridCol w:w="1299"/>
        <w:gridCol w:w="1300"/>
      </w:tblGrid>
      <w:tr w:rsidR="005A3D2C" w:rsidRPr="005A3D2C" w:rsidTr="00BB474C">
        <w:trPr>
          <w:trHeight w:val="422"/>
        </w:trPr>
        <w:tc>
          <w:tcPr>
            <w:tcW w:w="1508" w:type="dxa"/>
          </w:tcPr>
          <w:p w:rsidR="005A3D2C" w:rsidRPr="005A3D2C" w:rsidRDefault="005A3D2C" w:rsidP="00BB474C">
            <w:pPr>
              <w:spacing w:after="160" w:line="26" w:lineRule="atLeast"/>
              <w:ind w:left="90"/>
              <w:jc w:val="center"/>
              <w:rPr>
                <w:rFonts w:ascii="Arial" w:hAnsi="Arial" w:cs="Arial"/>
                <w:b/>
                <w:sz w:val="20"/>
              </w:rPr>
            </w:pPr>
          </w:p>
        </w:tc>
        <w:tc>
          <w:tcPr>
            <w:tcW w:w="1299" w:type="dxa"/>
          </w:tcPr>
          <w:p w:rsidR="005A3D2C" w:rsidRPr="005A3D2C" w:rsidRDefault="005A3D2C" w:rsidP="00BB474C">
            <w:pPr>
              <w:spacing w:after="160" w:line="26" w:lineRule="atLeast"/>
              <w:jc w:val="center"/>
              <w:rPr>
                <w:rFonts w:ascii="Arial" w:hAnsi="Arial" w:cs="Arial"/>
                <w:b/>
                <w:sz w:val="20"/>
              </w:rPr>
            </w:pPr>
            <w:r w:rsidRPr="005A3D2C">
              <w:rPr>
                <w:rFonts w:ascii="Arial" w:hAnsi="Arial" w:cs="Arial"/>
                <w:b/>
                <w:sz w:val="20"/>
              </w:rPr>
              <w:t>2014-15</w:t>
            </w:r>
          </w:p>
        </w:tc>
        <w:tc>
          <w:tcPr>
            <w:tcW w:w="1299" w:type="dxa"/>
          </w:tcPr>
          <w:p w:rsidR="005A3D2C" w:rsidRPr="005A3D2C" w:rsidRDefault="005A3D2C" w:rsidP="00BB474C">
            <w:pPr>
              <w:spacing w:after="160" w:line="26" w:lineRule="atLeast"/>
              <w:jc w:val="center"/>
              <w:rPr>
                <w:rFonts w:ascii="Arial" w:hAnsi="Arial" w:cs="Arial"/>
                <w:b/>
                <w:sz w:val="20"/>
              </w:rPr>
            </w:pPr>
            <w:r w:rsidRPr="005A3D2C">
              <w:rPr>
                <w:rFonts w:ascii="Arial" w:hAnsi="Arial" w:cs="Arial"/>
                <w:b/>
                <w:sz w:val="20"/>
              </w:rPr>
              <w:t>2015-16</w:t>
            </w:r>
          </w:p>
        </w:tc>
        <w:tc>
          <w:tcPr>
            <w:tcW w:w="1300" w:type="dxa"/>
          </w:tcPr>
          <w:p w:rsidR="005A3D2C" w:rsidRPr="005A3D2C" w:rsidRDefault="005A3D2C" w:rsidP="00BB474C">
            <w:pPr>
              <w:spacing w:after="160" w:line="26" w:lineRule="atLeast"/>
              <w:jc w:val="center"/>
              <w:rPr>
                <w:rFonts w:ascii="Arial" w:hAnsi="Arial" w:cs="Arial"/>
                <w:b/>
                <w:sz w:val="20"/>
              </w:rPr>
            </w:pPr>
            <w:r w:rsidRPr="005A3D2C">
              <w:rPr>
                <w:rFonts w:ascii="Arial" w:hAnsi="Arial" w:cs="Arial"/>
                <w:b/>
                <w:sz w:val="20"/>
              </w:rPr>
              <w:t>2016-17</w:t>
            </w:r>
          </w:p>
        </w:tc>
        <w:tc>
          <w:tcPr>
            <w:tcW w:w="1299" w:type="dxa"/>
          </w:tcPr>
          <w:p w:rsidR="005A3D2C" w:rsidRPr="005A3D2C" w:rsidRDefault="005A3D2C" w:rsidP="00BB474C">
            <w:pPr>
              <w:spacing w:after="160" w:line="26" w:lineRule="atLeast"/>
              <w:jc w:val="center"/>
              <w:rPr>
                <w:rFonts w:ascii="Arial" w:hAnsi="Arial" w:cs="Arial"/>
                <w:b/>
                <w:sz w:val="20"/>
              </w:rPr>
            </w:pPr>
            <w:r w:rsidRPr="005A3D2C">
              <w:rPr>
                <w:rFonts w:ascii="Arial" w:hAnsi="Arial" w:cs="Arial"/>
                <w:b/>
                <w:sz w:val="20"/>
              </w:rPr>
              <w:t>2017-18</w:t>
            </w:r>
          </w:p>
        </w:tc>
        <w:tc>
          <w:tcPr>
            <w:tcW w:w="1299" w:type="dxa"/>
          </w:tcPr>
          <w:p w:rsidR="005A3D2C" w:rsidRPr="005A3D2C" w:rsidRDefault="005A3D2C" w:rsidP="00BB474C">
            <w:pPr>
              <w:spacing w:after="160" w:line="26" w:lineRule="atLeast"/>
              <w:jc w:val="center"/>
              <w:rPr>
                <w:rFonts w:ascii="Arial" w:hAnsi="Arial" w:cs="Arial"/>
                <w:b/>
                <w:sz w:val="20"/>
              </w:rPr>
            </w:pPr>
            <w:r w:rsidRPr="005A3D2C">
              <w:rPr>
                <w:rFonts w:ascii="Arial" w:hAnsi="Arial" w:cs="Arial"/>
                <w:b/>
                <w:sz w:val="20"/>
              </w:rPr>
              <w:t>2018-19</w:t>
            </w:r>
          </w:p>
        </w:tc>
        <w:tc>
          <w:tcPr>
            <w:tcW w:w="1300" w:type="dxa"/>
          </w:tcPr>
          <w:p w:rsidR="005A3D2C" w:rsidRPr="005A3D2C" w:rsidRDefault="005A3D2C" w:rsidP="00BB474C">
            <w:pPr>
              <w:spacing w:after="160" w:line="26" w:lineRule="atLeast"/>
              <w:jc w:val="center"/>
              <w:rPr>
                <w:rFonts w:ascii="Arial" w:hAnsi="Arial" w:cs="Arial"/>
                <w:b/>
                <w:sz w:val="20"/>
              </w:rPr>
            </w:pPr>
            <w:r w:rsidRPr="005A3D2C">
              <w:rPr>
                <w:rFonts w:ascii="Arial" w:hAnsi="Arial" w:cs="Arial"/>
                <w:b/>
                <w:sz w:val="20"/>
              </w:rPr>
              <w:t>2019-20</w:t>
            </w:r>
          </w:p>
        </w:tc>
      </w:tr>
      <w:tr w:rsidR="005A3D2C" w:rsidRPr="005A3D2C" w:rsidTr="00BB474C">
        <w:trPr>
          <w:trHeight w:val="412"/>
        </w:trPr>
        <w:tc>
          <w:tcPr>
            <w:tcW w:w="1508" w:type="dxa"/>
          </w:tcPr>
          <w:p w:rsidR="005A3D2C" w:rsidRPr="005A3D2C" w:rsidRDefault="005A3D2C" w:rsidP="00BB474C">
            <w:pPr>
              <w:spacing w:after="160" w:line="26" w:lineRule="atLeast"/>
              <w:ind w:left="90"/>
              <w:jc w:val="center"/>
              <w:rPr>
                <w:rFonts w:ascii="Arial" w:hAnsi="Arial" w:cs="Arial"/>
                <w:b/>
                <w:sz w:val="20"/>
              </w:rPr>
            </w:pPr>
            <w:r w:rsidRPr="005A3D2C">
              <w:rPr>
                <w:rFonts w:ascii="Arial" w:hAnsi="Arial" w:cs="Arial"/>
                <w:b/>
                <w:sz w:val="20"/>
              </w:rPr>
              <w:t>Revision/ Adjustment</w:t>
            </w:r>
          </w:p>
        </w:tc>
        <w:tc>
          <w:tcPr>
            <w:tcW w:w="1299" w:type="dxa"/>
          </w:tcPr>
          <w:p w:rsidR="005A3D2C" w:rsidRPr="005A3D2C" w:rsidRDefault="005A3D2C" w:rsidP="00BB474C">
            <w:pPr>
              <w:spacing w:after="160" w:line="26" w:lineRule="atLeast"/>
              <w:ind w:left="90"/>
              <w:jc w:val="center"/>
              <w:rPr>
                <w:rFonts w:ascii="Arial" w:hAnsi="Arial" w:cs="Arial"/>
                <w:sz w:val="20"/>
              </w:rPr>
            </w:pPr>
            <w:r w:rsidRPr="005A3D2C">
              <w:rPr>
                <w:rFonts w:ascii="Arial" w:hAnsi="Arial" w:cs="Arial"/>
                <w:sz w:val="20"/>
              </w:rPr>
              <w:t>2</w:t>
            </w:r>
          </w:p>
        </w:tc>
        <w:tc>
          <w:tcPr>
            <w:tcW w:w="1299" w:type="dxa"/>
          </w:tcPr>
          <w:p w:rsidR="005A3D2C" w:rsidRPr="005A3D2C" w:rsidRDefault="005A3D2C" w:rsidP="00BB474C">
            <w:pPr>
              <w:spacing w:after="160" w:line="26" w:lineRule="atLeast"/>
              <w:ind w:left="207"/>
              <w:jc w:val="center"/>
              <w:rPr>
                <w:rFonts w:ascii="Arial" w:hAnsi="Arial" w:cs="Arial"/>
                <w:sz w:val="20"/>
              </w:rPr>
            </w:pPr>
            <w:r w:rsidRPr="005A3D2C">
              <w:rPr>
                <w:rFonts w:ascii="Arial" w:hAnsi="Arial" w:cs="Arial"/>
                <w:sz w:val="20"/>
              </w:rPr>
              <w:t>2</w:t>
            </w:r>
          </w:p>
        </w:tc>
        <w:tc>
          <w:tcPr>
            <w:tcW w:w="1300" w:type="dxa"/>
          </w:tcPr>
          <w:p w:rsidR="005A3D2C" w:rsidRPr="005A3D2C" w:rsidRDefault="005A3D2C" w:rsidP="00BB474C">
            <w:pPr>
              <w:spacing w:after="160" w:line="26" w:lineRule="atLeast"/>
              <w:ind w:left="309"/>
              <w:jc w:val="center"/>
              <w:rPr>
                <w:rFonts w:ascii="Arial" w:hAnsi="Arial" w:cs="Arial"/>
                <w:sz w:val="20"/>
              </w:rPr>
            </w:pPr>
            <w:r w:rsidRPr="005A3D2C">
              <w:rPr>
                <w:rFonts w:ascii="Arial" w:hAnsi="Arial" w:cs="Arial"/>
                <w:sz w:val="20"/>
              </w:rPr>
              <w:t>2</w:t>
            </w:r>
          </w:p>
        </w:tc>
        <w:tc>
          <w:tcPr>
            <w:tcW w:w="1299" w:type="dxa"/>
          </w:tcPr>
          <w:p w:rsidR="005A3D2C" w:rsidRPr="005A3D2C" w:rsidRDefault="005A3D2C" w:rsidP="00BB474C">
            <w:pPr>
              <w:spacing w:after="160" w:line="26" w:lineRule="atLeast"/>
              <w:jc w:val="center"/>
              <w:rPr>
                <w:rFonts w:ascii="Arial" w:hAnsi="Arial" w:cs="Arial"/>
                <w:sz w:val="20"/>
              </w:rPr>
            </w:pPr>
            <w:r w:rsidRPr="005A3D2C">
              <w:rPr>
                <w:rFonts w:ascii="Arial" w:hAnsi="Arial" w:cs="Arial"/>
                <w:sz w:val="20"/>
              </w:rPr>
              <w:t>2</w:t>
            </w:r>
          </w:p>
        </w:tc>
        <w:tc>
          <w:tcPr>
            <w:tcW w:w="1299" w:type="dxa"/>
          </w:tcPr>
          <w:p w:rsidR="005A3D2C" w:rsidRPr="005A3D2C" w:rsidRDefault="005A3D2C" w:rsidP="00BB474C">
            <w:pPr>
              <w:spacing w:after="160" w:line="26" w:lineRule="atLeast"/>
              <w:jc w:val="center"/>
              <w:rPr>
                <w:rFonts w:ascii="Arial" w:hAnsi="Arial" w:cs="Arial"/>
                <w:sz w:val="20"/>
              </w:rPr>
            </w:pPr>
            <w:r w:rsidRPr="005A3D2C">
              <w:rPr>
                <w:rFonts w:ascii="Arial" w:hAnsi="Arial" w:cs="Arial"/>
                <w:sz w:val="20"/>
              </w:rPr>
              <w:t>2</w:t>
            </w:r>
          </w:p>
        </w:tc>
        <w:tc>
          <w:tcPr>
            <w:tcW w:w="1300" w:type="dxa"/>
          </w:tcPr>
          <w:p w:rsidR="005A3D2C" w:rsidRPr="005A3D2C" w:rsidRDefault="005A3D2C" w:rsidP="00BB474C">
            <w:pPr>
              <w:spacing w:after="160" w:line="26" w:lineRule="atLeast"/>
              <w:ind w:right="-108"/>
              <w:jc w:val="center"/>
              <w:rPr>
                <w:rFonts w:ascii="Arial" w:hAnsi="Arial" w:cs="Arial"/>
                <w:sz w:val="20"/>
              </w:rPr>
            </w:pPr>
            <w:r w:rsidRPr="005A3D2C">
              <w:rPr>
                <w:rFonts w:ascii="Arial" w:hAnsi="Arial" w:cs="Arial"/>
                <w:sz w:val="20"/>
              </w:rPr>
              <w:t>2</w:t>
            </w:r>
          </w:p>
        </w:tc>
      </w:tr>
      <w:tr w:rsidR="005A3D2C" w:rsidRPr="005A3D2C" w:rsidTr="00BB474C">
        <w:trPr>
          <w:trHeight w:val="412"/>
        </w:trPr>
        <w:tc>
          <w:tcPr>
            <w:tcW w:w="1508" w:type="dxa"/>
          </w:tcPr>
          <w:p w:rsidR="005A3D2C" w:rsidRPr="005A3D2C" w:rsidRDefault="005A3D2C" w:rsidP="00BB474C">
            <w:pPr>
              <w:spacing w:after="160" w:line="26" w:lineRule="atLeast"/>
              <w:ind w:left="90"/>
              <w:jc w:val="center"/>
              <w:rPr>
                <w:rFonts w:ascii="Arial" w:hAnsi="Arial" w:cs="Arial"/>
                <w:b/>
                <w:sz w:val="20"/>
              </w:rPr>
            </w:pPr>
            <w:r w:rsidRPr="005A3D2C">
              <w:rPr>
                <w:rFonts w:ascii="Arial" w:hAnsi="Arial" w:cs="Arial"/>
                <w:b/>
                <w:sz w:val="20"/>
              </w:rPr>
              <w:t>Removal</w:t>
            </w:r>
          </w:p>
        </w:tc>
        <w:tc>
          <w:tcPr>
            <w:tcW w:w="1299" w:type="dxa"/>
          </w:tcPr>
          <w:p w:rsidR="005A3D2C" w:rsidRPr="005A3D2C" w:rsidRDefault="005A3D2C" w:rsidP="00BB474C">
            <w:pPr>
              <w:spacing w:after="160" w:line="26" w:lineRule="atLeast"/>
              <w:ind w:left="90"/>
              <w:jc w:val="center"/>
              <w:rPr>
                <w:rFonts w:ascii="Arial" w:hAnsi="Arial" w:cs="Arial"/>
                <w:sz w:val="20"/>
              </w:rPr>
            </w:pPr>
            <w:r w:rsidRPr="005A3D2C">
              <w:rPr>
                <w:rFonts w:ascii="Arial" w:hAnsi="Arial" w:cs="Arial"/>
                <w:sz w:val="20"/>
              </w:rPr>
              <w:t>2</w:t>
            </w:r>
          </w:p>
        </w:tc>
        <w:tc>
          <w:tcPr>
            <w:tcW w:w="1299" w:type="dxa"/>
          </w:tcPr>
          <w:p w:rsidR="005A3D2C" w:rsidRPr="005A3D2C" w:rsidRDefault="005A3D2C" w:rsidP="00BB474C">
            <w:pPr>
              <w:spacing w:after="160" w:line="26" w:lineRule="atLeast"/>
              <w:ind w:left="207"/>
              <w:jc w:val="center"/>
              <w:rPr>
                <w:rFonts w:ascii="Arial" w:hAnsi="Arial" w:cs="Arial"/>
                <w:sz w:val="20"/>
              </w:rPr>
            </w:pPr>
            <w:r w:rsidRPr="005A3D2C">
              <w:rPr>
                <w:rFonts w:ascii="Arial" w:hAnsi="Arial" w:cs="Arial"/>
                <w:sz w:val="20"/>
              </w:rPr>
              <w:t>2</w:t>
            </w:r>
          </w:p>
        </w:tc>
        <w:tc>
          <w:tcPr>
            <w:tcW w:w="1300" w:type="dxa"/>
          </w:tcPr>
          <w:p w:rsidR="005A3D2C" w:rsidRPr="005A3D2C" w:rsidRDefault="005A3D2C" w:rsidP="00BB474C">
            <w:pPr>
              <w:spacing w:after="160" w:line="26" w:lineRule="atLeast"/>
              <w:ind w:left="309"/>
              <w:jc w:val="center"/>
              <w:rPr>
                <w:rFonts w:ascii="Arial" w:hAnsi="Arial" w:cs="Arial"/>
                <w:sz w:val="20"/>
              </w:rPr>
            </w:pPr>
            <w:r w:rsidRPr="005A3D2C">
              <w:rPr>
                <w:rFonts w:ascii="Arial" w:hAnsi="Arial" w:cs="Arial"/>
                <w:sz w:val="20"/>
              </w:rPr>
              <w:t>2</w:t>
            </w:r>
          </w:p>
        </w:tc>
        <w:tc>
          <w:tcPr>
            <w:tcW w:w="1299" w:type="dxa"/>
          </w:tcPr>
          <w:p w:rsidR="005A3D2C" w:rsidRPr="005A3D2C" w:rsidRDefault="005A3D2C" w:rsidP="00BB474C">
            <w:pPr>
              <w:spacing w:after="160" w:line="26" w:lineRule="atLeast"/>
              <w:jc w:val="center"/>
              <w:rPr>
                <w:rFonts w:ascii="Arial" w:hAnsi="Arial" w:cs="Arial"/>
                <w:sz w:val="20"/>
              </w:rPr>
            </w:pPr>
            <w:r w:rsidRPr="005A3D2C">
              <w:rPr>
                <w:rFonts w:ascii="Arial" w:hAnsi="Arial" w:cs="Arial"/>
                <w:sz w:val="20"/>
              </w:rPr>
              <w:t>2</w:t>
            </w:r>
          </w:p>
        </w:tc>
        <w:tc>
          <w:tcPr>
            <w:tcW w:w="1299" w:type="dxa"/>
          </w:tcPr>
          <w:p w:rsidR="005A3D2C" w:rsidRPr="005A3D2C" w:rsidRDefault="005A3D2C" w:rsidP="00BB474C">
            <w:pPr>
              <w:spacing w:after="160" w:line="26" w:lineRule="atLeast"/>
              <w:jc w:val="center"/>
              <w:rPr>
                <w:rFonts w:ascii="Arial" w:hAnsi="Arial" w:cs="Arial"/>
                <w:sz w:val="20"/>
              </w:rPr>
            </w:pPr>
            <w:r w:rsidRPr="005A3D2C">
              <w:rPr>
                <w:rFonts w:ascii="Arial" w:hAnsi="Arial" w:cs="Arial"/>
                <w:sz w:val="20"/>
              </w:rPr>
              <w:t>2</w:t>
            </w:r>
          </w:p>
        </w:tc>
        <w:tc>
          <w:tcPr>
            <w:tcW w:w="1300" w:type="dxa"/>
          </w:tcPr>
          <w:p w:rsidR="005A3D2C" w:rsidRPr="005A3D2C" w:rsidRDefault="005A3D2C" w:rsidP="00BB474C">
            <w:pPr>
              <w:spacing w:after="160" w:line="26" w:lineRule="atLeast"/>
              <w:jc w:val="center"/>
              <w:rPr>
                <w:rFonts w:ascii="Arial" w:hAnsi="Arial" w:cs="Arial"/>
                <w:sz w:val="20"/>
              </w:rPr>
            </w:pPr>
            <w:r w:rsidRPr="005A3D2C">
              <w:rPr>
                <w:rFonts w:ascii="Arial" w:hAnsi="Arial" w:cs="Arial"/>
                <w:sz w:val="20"/>
              </w:rPr>
              <w:t>2</w:t>
            </w:r>
          </w:p>
        </w:tc>
      </w:tr>
    </w:tbl>
    <w:p w:rsidR="005A3D2C" w:rsidRDefault="005A3D2C" w:rsidP="00165432">
      <w:pPr>
        <w:rPr>
          <w:szCs w:val="24"/>
        </w:rPr>
      </w:pPr>
    </w:p>
    <w:p w:rsidR="00165432" w:rsidRDefault="00165432" w:rsidP="00165432">
      <w:pPr>
        <w:rPr>
          <w:szCs w:val="24"/>
        </w:rPr>
      </w:pPr>
      <w:r>
        <w:rPr>
          <w:szCs w:val="24"/>
        </w:rPr>
        <w:t xml:space="preserve">The </w:t>
      </w:r>
      <w:r w:rsidRPr="00437C77">
        <w:rPr>
          <w:szCs w:val="24"/>
        </w:rPr>
        <w:t xml:space="preserve">projected future use and cost to the MBS for the MBS items for autologous slings </w:t>
      </w:r>
      <w:r w:rsidR="009A1EBE">
        <w:rPr>
          <w:szCs w:val="24"/>
        </w:rPr>
        <w:t>was</w:t>
      </w:r>
      <w:r w:rsidRPr="00437C77">
        <w:rPr>
          <w:szCs w:val="24"/>
        </w:rPr>
        <w:t xml:space="preserve"> used to model the MBS impact based on two scenarios:</w:t>
      </w:r>
    </w:p>
    <w:p w:rsidR="00165432" w:rsidRPr="00437C77" w:rsidRDefault="00165432" w:rsidP="009635B3">
      <w:pPr>
        <w:rPr>
          <w:szCs w:val="24"/>
        </w:rPr>
      </w:pPr>
    </w:p>
    <w:p w:rsidR="009A1EBE" w:rsidRDefault="00165432" w:rsidP="00165432">
      <w:pPr>
        <w:pStyle w:val="ListParagraph"/>
        <w:numPr>
          <w:ilvl w:val="0"/>
          <w:numId w:val="29"/>
        </w:numPr>
        <w:ind w:left="709"/>
        <w:rPr>
          <w:szCs w:val="24"/>
        </w:rPr>
      </w:pPr>
      <w:r w:rsidRPr="00437C77">
        <w:rPr>
          <w:szCs w:val="24"/>
          <w:u w:val="single"/>
        </w:rPr>
        <w:t>Option 1</w:t>
      </w:r>
      <w:r w:rsidRPr="000C5C6C">
        <w:rPr>
          <w:szCs w:val="24"/>
        </w:rPr>
        <w:t>:</w:t>
      </w:r>
      <w:r w:rsidRPr="00437C77">
        <w:rPr>
          <w:szCs w:val="24"/>
        </w:rPr>
        <w:t xml:space="preserve"> Create 3 new items (two at same fee as existing MBS items 37042 </w:t>
      </w:r>
      <w:r w:rsidR="000C5C6C">
        <w:rPr>
          <w:szCs w:val="24"/>
        </w:rPr>
        <w:t xml:space="preserve">and 37341 </w:t>
      </w:r>
      <w:r w:rsidRPr="00437C77">
        <w:rPr>
          <w:szCs w:val="24"/>
        </w:rPr>
        <w:t xml:space="preserve">for the insertion and removal of </w:t>
      </w:r>
      <w:r w:rsidR="000C5C6C">
        <w:rPr>
          <w:szCs w:val="24"/>
        </w:rPr>
        <w:t xml:space="preserve">male urinary </w:t>
      </w:r>
      <w:r w:rsidRPr="00437C77">
        <w:rPr>
          <w:szCs w:val="24"/>
        </w:rPr>
        <w:t>synthetic slings and) and one new item for the adjustment o</w:t>
      </w:r>
      <w:r w:rsidR="009635B3">
        <w:rPr>
          <w:szCs w:val="24"/>
        </w:rPr>
        <w:t xml:space="preserve">f </w:t>
      </w:r>
      <w:r w:rsidR="000C5C6C">
        <w:rPr>
          <w:szCs w:val="24"/>
        </w:rPr>
        <w:t xml:space="preserve">male urinary </w:t>
      </w:r>
      <w:r w:rsidR="009635B3">
        <w:rPr>
          <w:szCs w:val="24"/>
        </w:rPr>
        <w:t>synthetic slings at $408.75.</w:t>
      </w:r>
    </w:p>
    <w:p w:rsidR="009A1EBE" w:rsidRDefault="009A1EBE" w:rsidP="009A1EBE">
      <w:pPr>
        <w:rPr>
          <w:szCs w:val="24"/>
        </w:rPr>
      </w:pPr>
    </w:p>
    <w:p w:rsidR="00165432" w:rsidRPr="009A1EBE" w:rsidRDefault="00165432" w:rsidP="009635B3">
      <w:pPr>
        <w:ind w:left="709"/>
        <w:rPr>
          <w:szCs w:val="24"/>
        </w:rPr>
      </w:pPr>
      <w:r w:rsidRPr="009A1EBE">
        <w:rPr>
          <w:szCs w:val="24"/>
        </w:rPr>
        <w:t>Th</w:t>
      </w:r>
      <w:r w:rsidR="0018361A">
        <w:rPr>
          <w:szCs w:val="24"/>
        </w:rPr>
        <w:t>is wa</w:t>
      </w:r>
      <w:r w:rsidRPr="009A1EBE">
        <w:rPr>
          <w:szCs w:val="24"/>
        </w:rPr>
        <w:t>s projected to result in a</w:t>
      </w:r>
      <w:r w:rsidR="0018361A">
        <w:rPr>
          <w:szCs w:val="24"/>
        </w:rPr>
        <w:t>n estimated</w:t>
      </w:r>
      <w:r w:rsidRPr="009A1EBE">
        <w:rPr>
          <w:szCs w:val="24"/>
        </w:rPr>
        <w:t xml:space="preserve"> $2,087 saving over the forward estimates. The saving </w:t>
      </w:r>
      <w:r w:rsidR="0018361A">
        <w:rPr>
          <w:szCs w:val="24"/>
        </w:rPr>
        <w:t>would be</w:t>
      </w:r>
      <w:r w:rsidRPr="009A1EBE">
        <w:rPr>
          <w:szCs w:val="24"/>
        </w:rPr>
        <w:t xml:space="preserve"> a result of a shift of use from the more expensive </w:t>
      </w:r>
      <w:r w:rsidR="0018361A">
        <w:rPr>
          <w:szCs w:val="24"/>
        </w:rPr>
        <w:t xml:space="preserve">MBS </w:t>
      </w:r>
      <w:r w:rsidRPr="009A1EBE">
        <w:rPr>
          <w:szCs w:val="24"/>
        </w:rPr>
        <w:t>item 37341 to a less expensive new item for the adjustment of synthetic slings.</w:t>
      </w:r>
    </w:p>
    <w:p w:rsidR="00165432" w:rsidRPr="009635B3" w:rsidRDefault="00165432" w:rsidP="009635B3">
      <w:pPr>
        <w:rPr>
          <w:szCs w:val="24"/>
        </w:rPr>
      </w:pPr>
    </w:p>
    <w:p w:rsidR="009A1EBE" w:rsidRDefault="00165432" w:rsidP="00165432">
      <w:pPr>
        <w:pStyle w:val="ListParagraph"/>
        <w:numPr>
          <w:ilvl w:val="0"/>
          <w:numId w:val="29"/>
        </w:numPr>
        <w:ind w:left="709"/>
        <w:rPr>
          <w:szCs w:val="24"/>
        </w:rPr>
      </w:pPr>
      <w:r w:rsidRPr="00437C77">
        <w:rPr>
          <w:szCs w:val="24"/>
          <w:u w:val="single"/>
        </w:rPr>
        <w:t>Option 2</w:t>
      </w:r>
      <w:r w:rsidRPr="000C5C6C">
        <w:rPr>
          <w:szCs w:val="24"/>
        </w:rPr>
        <w:t>:</w:t>
      </w:r>
      <w:r w:rsidRPr="00437C77">
        <w:rPr>
          <w:szCs w:val="24"/>
        </w:rPr>
        <w:t xml:space="preserve"> Create two new items for the insertion and removal of </w:t>
      </w:r>
      <w:r w:rsidR="000C5C6C">
        <w:rPr>
          <w:szCs w:val="24"/>
        </w:rPr>
        <w:t xml:space="preserve">male urinary </w:t>
      </w:r>
      <w:r w:rsidRPr="00437C77">
        <w:rPr>
          <w:szCs w:val="24"/>
        </w:rPr>
        <w:t>synthetic slings at a higher cost than the current autologous items as requested by applicant and one new item for the adjustment o</w:t>
      </w:r>
      <w:r w:rsidR="004C4558">
        <w:rPr>
          <w:szCs w:val="24"/>
        </w:rPr>
        <w:t>f synthetic slings at $408.75.</w:t>
      </w:r>
    </w:p>
    <w:p w:rsidR="009A1EBE" w:rsidRDefault="009A1EBE" w:rsidP="009A1EBE">
      <w:pPr>
        <w:rPr>
          <w:szCs w:val="24"/>
        </w:rPr>
      </w:pPr>
    </w:p>
    <w:p w:rsidR="00165432" w:rsidRPr="009A1EBE" w:rsidRDefault="0018361A" w:rsidP="009635B3">
      <w:pPr>
        <w:ind w:left="709"/>
        <w:rPr>
          <w:szCs w:val="24"/>
        </w:rPr>
      </w:pPr>
      <w:r>
        <w:rPr>
          <w:szCs w:val="24"/>
        </w:rPr>
        <w:lastRenderedPageBreak/>
        <w:t>This wa</w:t>
      </w:r>
      <w:r w:rsidR="00165432" w:rsidRPr="009A1EBE">
        <w:rPr>
          <w:szCs w:val="24"/>
        </w:rPr>
        <w:t>s projected to result in a</w:t>
      </w:r>
      <w:r>
        <w:rPr>
          <w:szCs w:val="24"/>
        </w:rPr>
        <w:t>n estimated cost of</w:t>
      </w:r>
      <w:r w:rsidR="00165432" w:rsidRPr="009A1EBE">
        <w:rPr>
          <w:szCs w:val="24"/>
        </w:rPr>
        <w:t xml:space="preserve"> $317,2</w:t>
      </w:r>
      <w:r w:rsidR="009A23C2">
        <w:rPr>
          <w:szCs w:val="24"/>
        </w:rPr>
        <w:t xml:space="preserve">37 over the forward estimates. </w:t>
      </w:r>
      <w:r w:rsidR="00165432" w:rsidRPr="009A1EBE">
        <w:rPr>
          <w:szCs w:val="24"/>
        </w:rPr>
        <w:t xml:space="preserve">The cost </w:t>
      </w:r>
      <w:r>
        <w:rPr>
          <w:szCs w:val="24"/>
        </w:rPr>
        <w:t>would be</w:t>
      </w:r>
      <w:r w:rsidR="00165432" w:rsidRPr="009A1EBE">
        <w:rPr>
          <w:szCs w:val="24"/>
        </w:rPr>
        <w:t xml:space="preserve"> a result of the higher fee for the new items for insertion and removal of synthetic slings compared to fees for the current items (37042</w:t>
      </w:r>
      <w:r w:rsidR="00862716" w:rsidRPr="00862716">
        <w:rPr>
          <w:szCs w:val="24"/>
        </w:rPr>
        <w:t xml:space="preserve"> </w:t>
      </w:r>
      <w:r w:rsidR="00862716">
        <w:rPr>
          <w:szCs w:val="24"/>
        </w:rPr>
        <w:t>and 37341</w:t>
      </w:r>
      <w:r w:rsidR="00165432" w:rsidRPr="009A1EBE">
        <w:rPr>
          <w:szCs w:val="24"/>
        </w:rPr>
        <w:t>).</w:t>
      </w:r>
    </w:p>
    <w:p w:rsidR="00C41B16" w:rsidRDefault="00C41B16" w:rsidP="0018361A">
      <w:pPr>
        <w:tabs>
          <w:tab w:val="left" w:pos="720"/>
          <w:tab w:val="left" w:pos="1140"/>
        </w:tabs>
        <w:rPr>
          <w:szCs w:val="24"/>
        </w:rPr>
      </w:pPr>
    </w:p>
    <w:p w:rsidR="00BC1364" w:rsidRDefault="00DB05EC" w:rsidP="00D340DE">
      <w:pPr>
        <w:rPr>
          <w:szCs w:val="24"/>
        </w:rPr>
      </w:pPr>
      <w:r>
        <w:rPr>
          <w:szCs w:val="24"/>
        </w:rPr>
        <w:t>The assessment report noted</w:t>
      </w:r>
      <w:r w:rsidRPr="00DB05EC">
        <w:rPr>
          <w:szCs w:val="24"/>
        </w:rPr>
        <w:t xml:space="preserve"> that the use of a </w:t>
      </w:r>
      <w:r w:rsidR="00862716">
        <w:rPr>
          <w:szCs w:val="24"/>
        </w:rPr>
        <w:t xml:space="preserve">male urinary </w:t>
      </w:r>
      <w:r w:rsidRPr="00DB05EC">
        <w:rPr>
          <w:szCs w:val="24"/>
        </w:rPr>
        <w:t xml:space="preserve">synthetic </w:t>
      </w:r>
      <w:r w:rsidR="00862716">
        <w:rPr>
          <w:szCs w:val="24"/>
        </w:rPr>
        <w:t xml:space="preserve">sling </w:t>
      </w:r>
      <w:r w:rsidRPr="00DB05EC">
        <w:rPr>
          <w:szCs w:val="24"/>
        </w:rPr>
        <w:t xml:space="preserve">rather than </w:t>
      </w:r>
      <w:r w:rsidR="00862716">
        <w:rPr>
          <w:szCs w:val="24"/>
        </w:rPr>
        <w:t xml:space="preserve">an </w:t>
      </w:r>
      <w:r w:rsidRPr="00DB05EC">
        <w:rPr>
          <w:szCs w:val="24"/>
        </w:rPr>
        <w:t>autologous sling w</w:t>
      </w:r>
      <w:r w:rsidR="004C4558">
        <w:rPr>
          <w:szCs w:val="24"/>
        </w:rPr>
        <w:t>ould</w:t>
      </w:r>
      <w:r w:rsidRPr="00DB05EC">
        <w:rPr>
          <w:szCs w:val="24"/>
        </w:rPr>
        <w:t xml:space="preserve"> have an additional financial impact.</w:t>
      </w:r>
    </w:p>
    <w:p w:rsidR="00DB05EC" w:rsidRPr="009635B3" w:rsidRDefault="00DB05EC" w:rsidP="00D340DE">
      <w:pPr>
        <w:rPr>
          <w:szCs w:val="24"/>
        </w:rPr>
      </w:pPr>
    </w:p>
    <w:p w:rsidR="009635B3" w:rsidRDefault="00967A39">
      <w:r>
        <w:t xml:space="preserve">The pre-MSAC response from the applicant stated that option 2 would be the preferred option, with the higher fee based on the increased operating time and technical difficulty of insertion of </w:t>
      </w:r>
      <w:r w:rsidR="00862716">
        <w:rPr>
          <w:szCs w:val="24"/>
        </w:rPr>
        <w:t xml:space="preserve">male urinary </w:t>
      </w:r>
      <w:r>
        <w:t>synthetic slings versus autologous</w:t>
      </w:r>
      <w:r w:rsidR="004C4558">
        <w:t xml:space="preserve"> slings</w:t>
      </w:r>
      <w:r>
        <w:t>.</w:t>
      </w:r>
    </w:p>
    <w:p w:rsidR="009635B3" w:rsidRDefault="009635B3"/>
    <w:p w:rsidR="006A0D97" w:rsidRDefault="006A0D97" w:rsidP="006A0D97">
      <w:pPr>
        <w:pStyle w:val="Heading1"/>
        <w:numPr>
          <w:ilvl w:val="0"/>
          <w:numId w:val="23"/>
        </w:numPr>
        <w:ind w:hanging="720"/>
      </w:pPr>
      <w:r w:rsidRPr="006A0D97">
        <w:t>Key issues from ESC for MSAC</w:t>
      </w:r>
    </w:p>
    <w:p w:rsidR="006A0D97" w:rsidRDefault="006A0D97" w:rsidP="006A0D97"/>
    <w:p w:rsidR="00165432" w:rsidRDefault="00165432" w:rsidP="00165432">
      <w:pPr>
        <w:rPr>
          <w:szCs w:val="24"/>
        </w:rPr>
      </w:pPr>
      <w:r w:rsidRPr="00312D3A">
        <w:rPr>
          <w:szCs w:val="24"/>
        </w:rPr>
        <w:t xml:space="preserve">ESC did not consider that there was sufficient evidence to support higher fees for </w:t>
      </w:r>
      <w:r w:rsidR="004C4558">
        <w:rPr>
          <w:szCs w:val="24"/>
        </w:rPr>
        <w:t xml:space="preserve">male urinary </w:t>
      </w:r>
      <w:r w:rsidRPr="00312D3A">
        <w:rPr>
          <w:szCs w:val="24"/>
        </w:rPr>
        <w:t>synthetic slings co</w:t>
      </w:r>
      <w:r w:rsidR="004C4558">
        <w:rPr>
          <w:szCs w:val="24"/>
        </w:rPr>
        <w:t xml:space="preserve">mpared with autologous slings. </w:t>
      </w:r>
      <w:r w:rsidRPr="00312D3A">
        <w:rPr>
          <w:szCs w:val="24"/>
        </w:rPr>
        <w:t xml:space="preserve">ESC further noted that the </w:t>
      </w:r>
      <w:r w:rsidR="004C4558">
        <w:rPr>
          <w:szCs w:val="24"/>
        </w:rPr>
        <w:t>P</w:t>
      </w:r>
      <w:r w:rsidRPr="00312D3A">
        <w:rPr>
          <w:szCs w:val="24"/>
        </w:rPr>
        <w:t>rosthes</w:t>
      </w:r>
      <w:r w:rsidR="004C4558">
        <w:rPr>
          <w:szCs w:val="24"/>
        </w:rPr>
        <w:t>e</w:t>
      </w:r>
      <w:r w:rsidRPr="00312D3A">
        <w:rPr>
          <w:szCs w:val="24"/>
        </w:rPr>
        <w:t xml:space="preserve">s </w:t>
      </w:r>
      <w:r w:rsidR="004C4558" w:rsidRPr="00312D3A">
        <w:rPr>
          <w:szCs w:val="24"/>
        </w:rPr>
        <w:t>L</w:t>
      </w:r>
      <w:r w:rsidRPr="00312D3A">
        <w:rPr>
          <w:szCs w:val="24"/>
        </w:rPr>
        <w:t xml:space="preserve">ist costs of </w:t>
      </w:r>
      <w:r w:rsidR="00862716">
        <w:rPr>
          <w:szCs w:val="24"/>
        </w:rPr>
        <w:t xml:space="preserve">male urinary </w:t>
      </w:r>
      <w:r w:rsidRPr="00312D3A">
        <w:rPr>
          <w:szCs w:val="24"/>
        </w:rPr>
        <w:t xml:space="preserve">synthetic slings (borne by insurers and patients) were significant, considering there was no strong evidence that </w:t>
      </w:r>
      <w:r w:rsidR="004C4558">
        <w:rPr>
          <w:szCs w:val="24"/>
        </w:rPr>
        <w:t xml:space="preserve">male urinary </w:t>
      </w:r>
      <w:r w:rsidRPr="00312D3A">
        <w:rPr>
          <w:szCs w:val="24"/>
        </w:rPr>
        <w:t>synthetic slings are safer or clinically effective than autologous slings.</w:t>
      </w:r>
    </w:p>
    <w:p w:rsidR="00165432" w:rsidRDefault="00165432" w:rsidP="00165432">
      <w:pPr>
        <w:rPr>
          <w:szCs w:val="24"/>
        </w:rPr>
      </w:pPr>
    </w:p>
    <w:p w:rsidR="00165432" w:rsidRDefault="00165432" w:rsidP="00165432">
      <w:pPr>
        <w:rPr>
          <w:szCs w:val="24"/>
        </w:rPr>
      </w:pPr>
      <w:r w:rsidRPr="00312D3A">
        <w:rPr>
          <w:szCs w:val="24"/>
        </w:rPr>
        <w:t xml:space="preserve">ESC </w:t>
      </w:r>
      <w:r w:rsidR="006515D1">
        <w:rPr>
          <w:szCs w:val="24"/>
        </w:rPr>
        <w:t>considered that</w:t>
      </w:r>
      <w:r w:rsidRPr="00312D3A">
        <w:rPr>
          <w:szCs w:val="24"/>
        </w:rPr>
        <w:t xml:space="preserve"> the current item descriptors could be amended to include synthetic slings, or </w:t>
      </w:r>
      <w:r w:rsidR="006515D1">
        <w:rPr>
          <w:szCs w:val="24"/>
        </w:rPr>
        <w:t>new items c</w:t>
      </w:r>
      <w:r w:rsidRPr="00312D3A">
        <w:rPr>
          <w:szCs w:val="24"/>
        </w:rPr>
        <w:t>ould be adopted to collect data and enable future comparison of synthetic and autologous sling usage.</w:t>
      </w:r>
    </w:p>
    <w:p w:rsidR="00165432" w:rsidRDefault="00165432" w:rsidP="00165432">
      <w:pPr>
        <w:rPr>
          <w:szCs w:val="24"/>
        </w:rPr>
      </w:pPr>
    </w:p>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BC1364" w:rsidRDefault="0018361A" w:rsidP="00DD2858">
      <w:pPr>
        <w:tabs>
          <w:tab w:val="left" w:pos="720"/>
        </w:tabs>
        <w:ind w:left="709" w:hanging="709"/>
        <w:rPr>
          <w:szCs w:val="24"/>
        </w:rPr>
      </w:pPr>
      <w:r>
        <w:rPr>
          <w:szCs w:val="24"/>
        </w:rPr>
        <w:t>Nil</w:t>
      </w:r>
    </w:p>
    <w:p w:rsidR="0018361A" w:rsidRPr="00707064" w:rsidRDefault="0018361A"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C1364" w:rsidRPr="009635B3" w:rsidRDefault="00BC1364" w:rsidP="00230D6B">
      <w:pPr>
        <w:tabs>
          <w:tab w:val="left" w:pos="720"/>
        </w:tabs>
        <w:ind w:left="709" w:hanging="709"/>
        <w:rPr>
          <w:szCs w:val="24"/>
        </w:rPr>
      </w:pPr>
    </w:p>
    <w:p w:rsidR="00082E44" w:rsidRDefault="00E64365" w:rsidP="00082E44">
      <w:pPr>
        <w:rPr>
          <w:szCs w:val="24"/>
        </w:rPr>
      </w:pPr>
      <w:r w:rsidRPr="0086778B">
        <w:rPr>
          <w:rFonts w:eastAsia="Calibri"/>
          <w:szCs w:val="24"/>
          <w:lang w:val="en-US"/>
        </w:rPr>
        <w:t>American Medical Systems accepts MSAC’s advice to the Minister.</w:t>
      </w:r>
      <w:r w:rsidR="007C6614" w:rsidRPr="0086778B">
        <w:rPr>
          <w:rFonts w:eastAsia="Calibri"/>
          <w:szCs w:val="24"/>
          <w:lang w:val="en-US"/>
        </w:rPr>
        <w:t xml:space="preserve"> We are pleased that it is now acknowledged that </w:t>
      </w:r>
      <w:r w:rsidRPr="0086778B">
        <w:rPr>
          <w:szCs w:val="24"/>
        </w:rPr>
        <w:t xml:space="preserve">AMS provided a letter </w:t>
      </w:r>
      <w:r w:rsidR="00DF69B5" w:rsidRPr="0086778B">
        <w:rPr>
          <w:szCs w:val="24"/>
        </w:rPr>
        <w:t>from</w:t>
      </w:r>
      <w:r w:rsidRPr="0086778B">
        <w:rPr>
          <w:szCs w:val="24"/>
        </w:rPr>
        <w:t xml:space="preserve"> the </w:t>
      </w:r>
      <w:r w:rsidR="00DF69B5" w:rsidRPr="0086778B">
        <w:rPr>
          <w:szCs w:val="24"/>
        </w:rPr>
        <w:t xml:space="preserve">Australian and New Zealand Association of Urological Surgeons </w:t>
      </w:r>
      <w:r w:rsidR="007C6614" w:rsidRPr="0086778B">
        <w:rPr>
          <w:szCs w:val="24"/>
        </w:rPr>
        <w:t>in support of higher fees. This was based on the increased surgical time and difficulty of inserting a synthetic sling:</w:t>
      </w:r>
    </w:p>
    <w:p w:rsidR="00082E44" w:rsidRPr="0086778B" w:rsidRDefault="00082E44" w:rsidP="00082E44">
      <w:pPr>
        <w:rPr>
          <w:rFonts w:eastAsia="Calibri"/>
          <w:szCs w:val="24"/>
          <w:lang w:val="en-US"/>
        </w:rPr>
      </w:pPr>
    </w:p>
    <w:p w:rsidR="00E64365" w:rsidRPr="0086778B" w:rsidRDefault="00E64365" w:rsidP="00E64365">
      <w:pPr>
        <w:autoSpaceDE w:val="0"/>
        <w:autoSpaceDN w:val="0"/>
        <w:adjustRightInd w:val="0"/>
        <w:rPr>
          <w:rFonts w:eastAsia="Calibri"/>
          <w:szCs w:val="24"/>
          <w:lang w:val="en-US"/>
        </w:rPr>
      </w:pPr>
      <w:r w:rsidRPr="0086778B">
        <w:rPr>
          <w:rFonts w:eastAsia="Calibri"/>
          <w:szCs w:val="24"/>
          <w:lang w:val="en-US"/>
        </w:rPr>
        <w:t xml:space="preserve">ANZAUS is of the view that the descriptor should be changed and the reimbursement should be increased for the reasons noted below: </w:t>
      </w:r>
    </w:p>
    <w:p w:rsidR="00E059A7" w:rsidRPr="0086778B" w:rsidRDefault="00E059A7" w:rsidP="00E64365">
      <w:pPr>
        <w:autoSpaceDE w:val="0"/>
        <w:autoSpaceDN w:val="0"/>
        <w:adjustRightInd w:val="0"/>
        <w:rPr>
          <w:rFonts w:eastAsia="Calibri"/>
          <w:szCs w:val="24"/>
          <w:lang w:val="en-US"/>
        </w:rPr>
      </w:pPr>
    </w:p>
    <w:p w:rsidR="00E64365" w:rsidRPr="0086778B" w:rsidRDefault="007C6614" w:rsidP="00E64365">
      <w:pPr>
        <w:autoSpaceDE w:val="0"/>
        <w:autoSpaceDN w:val="0"/>
        <w:adjustRightInd w:val="0"/>
        <w:rPr>
          <w:rFonts w:eastAsia="Calibri"/>
          <w:szCs w:val="24"/>
          <w:lang w:val="en-US"/>
        </w:rPr>
      </w:pPr>
      <w:r w:rsidRPr="0086778B">
        <w:rPr>
          <w:rFonts w:eastAsia="Calibri"/>
          <w:szCs w:val="24"/>
          <w:lang w:val="en-US"/>
        </w:rPr>
        <w:t>“</w:t>
      </w:r>
      <w:r w:rsidR="00E64365" w:rsidRPr="0086778B">
        <w:rPr>
          <w:rFonts w:eastAsia="Calibri"/>
          <w:szCs w:val="24"/>
          <w:lang w:val="en-US"/>
        </w:rPr>
        <w:t xml:space="preserve">2. The insertion of a synthetic sling is technically more demanding and time consuming than an autologous sling in view of the use of trocars, dissection and mobilisation of the bulbar urethra to the perineal body and repositioning of the bulbar urethra to support the urogenital diaphragm. The passage of the trocars is technically more demanding in that potential risks of pelvic bleeding from the obturator vessels must be managed within the description of the procedure as well. </w:t>
      </w:r>
      <w:r w:rsidRPr="0086778B">
        <w:rPr>
          <w:rFonts w:eastAsia="Calibri"/>
          <w:szCs w:val="24"/>
          <w:lang w:val="en-US"/>
        </w:rPr>
        <w:t>“</w:t>
      </w:r>
    </w:p>
    <w:p w:rsidR="007C6614" w:rsidRPr="0086778B" w:rsidRDefault="007C6614" w:rsidP="00E64365">
      <w:pPr>
        <w:autoSpaceDE w:val="0"/>
        <w:autoSpaceDN w:val="0"/>
        <w:adjustRightInd w:val="0"/>
        <w:rPr>
          <w:rFonts w:eastAsia="Calibri"/>
          <w:szCs w:val="24"/>
          <w:lang w:val="en-US"/>
        </w:rPr>
      </w:pPr>
    </w:p>
    <w:p w:rsidR="007C6614" w:rsidRPr="0086778B" w:rsidRDefault="007C6614" w:rsidP="00E64365">
      <w:pPr>
        <w:autoSpaceDE w:val="0"/>
        <w:autoSpaceDN w:val="0"/>
        <w:adjustRightInd w:val="0"/>
        <w:rPr>
          <w:rFonts w:eastAsia="Calibri"/>
          <w:color w:val="000000"/>
          <w:szCs w:val="24"/>
          <w:lang w:val="en-US"/>
        </w:rPr>
      </w:pPr>
      <w:r w:rsidRPr="0086778B">
        <w:rPr>
          <w:rFonts w:eastAsia="Calibri"/>
          <w:color w:val="000000"/>
          <w:szCs w:val="24"/>
          <w:lang w:val="en-US"/>
        </w:rPr>
        <w:t>We believe further consideration could be given to increasing the MBS fee.</w:t>
      </w:r>
    </w:p>
    <w:p w:rsidR="00C85D4E" w:rsidRPr="009635B3" w:rsidRDefault="00C85D4E" w:rsidP="00230D6B">
      <w:pPr>
        <w:rPr>
          <w:szCs w:val="24"/>
        </w:rPr>
      </w:pPr>
    </w:p>
    <w:p w:rsidR="00BC1364" w:rsidRDefault="00271F18" w:rsidP="007B32D1">
      <w:pPr>
        <w:pStyle w:val="Heading1"/>
        <w:numPr>
          <w:ilvl w:val="0"/>
          <w:numId w:val="23"/>
        </w:numPr>
        <w:ind w:hanging="720"/>
      </w:pPr>
      <w:r>
        <w:t>Further information on MSAC</w:t>
      </w:r>
    </w:p>
    <w:p w:rsidR="00BC1364" w:rsidRPr="009635B3" w:rsidRDefault="00BC1364" w:rsidP="00DD2858">
      <w:pPr>
        <w:tabs>
          <w:tab w:val="left" w:pos="720"/>
        </w:tabs>
        <w:ind w:left="709" w:hanging="709"/>
        <w:rPr>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0" w:tooltip="This is a link to the MSAC website" w:history="1">
        <w:r w:rsidR="00BC1364" w:rsidRPr="00DD2858">
          <w:rPr>
            <w:rStyle w:val="Hyperlink"/>
            <w:color w:val="auto"/>
            <w:szCs w:val="24"/>
          </w:rPr>
          <w:t>www.msac.gov.au</w:t>
        </w:r>
      </w:hyperlink>
      <w:r w:rsidR="009635B3">
        <w:rPr>
          <w:szCs w:val="24"/>
        </w:rPr>
        <w:t>.</w:t>
      </w:r>
    </w:p>
    <w:sectPr w:rsidR="00BC1364" w:rsidRPr="00DD2858" w:rsidSect="00271F18">
      <w:footerReference w:type="default" r:id="rId11"/>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C2" w:rsidRDefault="00E27FC2" w:rsidP="00065623">
      <w:r>
        <w:separator/>
      </w:r>
    </w:p>
  </w:endnote>
  <w:endnote w:type="continuationSeparator" w:id="0">
    <w:p w:rsidR="00E27FC2" w:rsidRDefault="00E27FC2"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BB474C" w:rsidRDefault="00BB474C">
        <w:pPr>
          <w:pStyle w:val="Footer"/>
          <w:jc w:val="right"/>
        </w:pPr>
        <w:r>
          <w:fldChar w:fldCharType="begin"/>
        </w:r>
        <w:r>
          <w:instrText xml:space="preserve"> PAGE   \* MERGEFORMAT </w:instrText>
        </w:r>
        <w:r>
          <w:fldChar w:fldCharType="separate"/>
        </w:r>
        <w:r w:rsidR="00EF12E0">
          <w:rPr>
            <w:noProof/>
          </w:rPr>
          <w:t>1</w:t>
        </w:r>
        <w:r>
          <w:rPr>
            <w:noProof/>
          </w:rPr>
          <w:fldChar w:fldCharType="end"/>
        </w:r>
      </w:p>
    </w:sdtContent>
  </w:sdt>
  <w:p w:rsidR="00BB474C" w:rsidRDefault="00BB4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C2" w:rsidRDefault="00E27FC2" w:rsidP="00065623">
      <w:r>
        <w:separator/>
      </w:r>
    </w:p>
  </w:footnote>
  <w:footnote w:type="continuationSeparator" w:id="0">
    <w:p w:rsidR="00E27FC2" w:rsidRDefault="00E27FC2"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199A"/>
    <w:multiLevelType w:val="hybridMultilevel"/>
    <w:tmpl w:val="A530B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4400A15"/>
    <w:multiLevelType w:val="hybridMultilevel"/>
    <w:tmpl w:val="049051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24278F"/>
    <w:multiLevelType w:val="hybridMultilevel"/>
    <w:tmpl w:val="E8B8789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755D7E"/>
    <w:multiLevelType w:val="hybridMultilevel"/>
    <w:tmpl w:val="1BDC5004"/>
    <w:lvl w:ilvl="0" w:tplc="0C090001">
      <w:start w:val="1"/>
      <w:numFmt w:val="bullet"/>
      <w:lvlText w:val=""/>
      <w:lvlJc w:val="left"/>
      <w:pPr>
        <w:ind w:left="720" w:hanging="360"/>
      </w:pPr>
      <w:rPr>
        <w:rFonts w:ascii="Symbol" w:hAnsi="Symbol" w:hint="default"/>
      </w:rPr>
    </w:lvl>
    <w:lvl w:ilvl="1" w:tplc="DBFA83DC">
      <w:start w:val="1"/>
      <w:numFmt w:val="bullet"/>
      <w:lvlText w:val=""/>
      <w:lvlJc w:val="left"/>
      <w:pPr>
        <w:ind w:left="1440" w:hanging="360"/>
      </w:pPr>
      <w:rPr>
        <w:rFonts w:ascii="Symbol" w:hAnsi="Symbol" w:hint="default"/>
        <w:color w:val="auto"/>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962C6C"/>
    <w:multiLevelType w:val="hybridMultilevel"/>
    <w:tmpl w:val="B4A481F6"/>
    <w:lvl w:ilvl="0" w:tplc="DBFA83DC">
      <w:start w:val="1"/>
      <w:numFmt w:val="bullet"/>
      <w:lvlText w:val=""/>
      <w:lvlJc w:val="left"/>
      <w:pPr>
        <w:ind w:left="1800" w:hanging="360"/>
      </w:pPr>
      <w:rPr>
        <w:rFonts w:ascii="Symbol" w:hAnsi="Symbol" w:hint="default"/>
        <w:color w:val="auto"/>
        <w:sz w:val="22"/>
        <w:szCs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2"/>
  </w:num>
  <w:num w:numId="4">
    <w:abstractNumId w:val="19"/>
  </w:num>
  <w:num w:numId="5">
    <w:abstractNumId w:val="11"/>
  </w:num>
  <w:num w:numId="6">
    <w:abstractNumId w:val="18"/>
  </w:num>
  <w:num w:numId="7">
    <w:abstractNumId w:val="22"/>
  </w:num>
  <w:num w:numId="8">
    <w:abstractNumId w:val="12"/>
  </w:num>
  <w:num w:numId="9">
    <w:abstractNumId w:val="29"/>
  </w:num>
  <w:num w:numId="10">
    <w:abstractNumId w:val="1"/>
  </w:num>
  <w:num w:numId="11">
    <w:abstractNumId w:val="21"/>
  </w:num>
  <w:num w:numId="12">
    <w:abstractNumId w:val="23"/>
  </w:num>
  <w:num w:numId="13">
    <w:abstractNumId w:val="6"/>
  </w:num>
  <w:num w:numId="14">
    <w:abstractNumId w:val="28"/>
  </w:num>
  <w:num w:numId="15">
    <w:abstractNumId w:val="20"/>
  </w:num>
  <w:num w:numId="16">
    <w:abstractNumId w:val="24"/>
  </w:num>
  <w:num w:numId="17">
    <w:abstractNumId w:val="13"/>
  </w:num>
  <w:num w:numId="18">
    <w:abstractNumId w:val="15"/>
  </w:num>
  <w:num w:numId="19">
    <w:abstractNumId w:val="26"/>
  </w:num>
  <w:num w:numId="20">
    <w:abstractNumId w:val="25"/>
  </w:num>
  <w:num w:numId="21">
    <w:abstractNumId w:val="4"/>
  </w:num>
  <w:num w:numId="22">
    <w:abstractNumId w:val="10"/>
  </w:num>
  <w:num w:numId="23">
    <w:abstractNumId w:val="3"/>
  </w:num>
  <w:num w:numId="24">
    <w:abstractNumId w:val="9"/>
  </w:num>
  <w:num w:numId="25">
    <w:abstractNumId w:val="7"/>
  </w:num>
  <w:num w:numId="26">
    <w:abstractNumId w:val="14"/>
  </w:num>
  <w:num w:numId="27">
    <w:abstractNumId w:val="16"/>
  </w:num>
  <w:num w:numId="28">
    <w:abstractNumId w:val="27"/>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276BF"/>
    <w:rsid w:val="000362A6"/>
    <w:rsid w:val="00047606"/>
    <w:rsid w:val="00065623"/>
    <w:rsid w:val="000756B9"/>
    <w:rsid w:val="00082E44"/>
    <w:rsid w:val="00092996"/>
    <w:rsid w:val="00096B67"/>
    <w:rsid w:val="00096DAF"/>
    <w:rsid w:val="000C2F47"/>
    <w:rsid w:val="000C5C6C"/>
    <w:rsid w:val="000D474F"/>
    <w:rsid w:val="000D6C00"/>
    <w:rsid w:val="000E157C"/>
    <w:rsid w:val="000E4E04"/>
    <w:rsid w:val="000E576B"/>
    <w:rsid w:val="000E6A10"/>
    <w:rsid w:val="000F14B4"/>
    <w:rsid w:val="000F65C8"/>
    <w:rsid w:val="000F75DF"/>
    <w:rsid w:val="001328FA"/>
    <w:rsid w:val="00147AAF"/>
    <w:rsid w:val="001552C0"/>
    <w:rsid w:val="001640B1"/>
    <w:rsid w:val="00165432"/>
    <w:rsid w:val="0017084B"/>
    <w:rsid w:val="0018361A"/>
    <w:rsid w:val="0018435E"/>
    <w:rsid w:val="001A4906"/>
    <w:rsid w:val="001C7F99"/>
    <w:rsid w:val="002041A1"/>
    <w:rsid w:val="002054F0"/>
    <w:rsid w:val="00230D6B"/>
    <w:rsid w:val="00232068"/>
    <w:rsid w:val="002330F2"/>
    <w:rsid w:val="0024221E"/>
    <w:rsid w:val="00243D9E"/>
    <w:rsid w:val="00253B66"/>
    <w:rsid w:val="00257D66"/>
    <w:rsid w:val="00261DF1"/>
    <w:rsid w:val="00271F18"/>
    <w:rsid w:val="00282779"/>
    <w:rsid w:val="0028334D"/>
    <w:rsid w:val="002867F9"/>
    <w:rsid w:val="002B7FFA"/>
    <w:rsid w:val="002C2BCF"/>
    <w:rsid w:val="002E131E"/>
    <w:rsid w:val="002F279D"/>
    <w:rsid w:val="002F43B8"/>
    <w:rsid w:val="0031062F"/>
    <w:rsid w:val="0034102E"/>
    <w:rsid w:val="0034554D"/>
    <w:rsid w:val="00352224"/>
    <w:rsid w:val="00356214"/>
    <w:rsid w:val="00365D63"/>
    <w:rsid w:val="003671E6"/>
    <w:rsid w:val="00384272"/>
    <w:rsid w:val="00386CE3"/>
    <w:rsid w:val="00386D67"/>
    <w:rsid w:val="00390343"/>
    <w:rsid w:val="003945B8"/>
    <w:rsid w:val="003D7F29"/>
    <w:rsid w:val="00405A6B"/>
    <w:rsid w:val="00407B1F"/>
    <w:rsid w:val="00414C57"/>
    <w:rsid w:val="0041758C"/>
    <w:rsid w:val="004539DE"/>
    <w:rsid w:val="00491E65"/>
    <w:rsid w:val="004A2CF1"/>
    <w:rsid w:val="004C3035"/>
    <w:rsid w:val="004C307F"/>
    <w:rsid w:val="004C4558"/>
    <w:rsid w:val="004D0BB5"/>
    <w:rsid w:val="004E4BA8"/>
    <w:rsid w:val="004F20B1"/>
    <w:rsid w:val="004F340F"/>
    <w:rsid w:val="004F7B7C"/>
    <w:rsid w:val="005150B8"/>
    <w:rsid w:val="0052243D"/>
    <w:rsid w:val="00532435"/>
    <w:rsid w:val="00550354"/>
    <w:rsid w:val="00571236"/>
    <w:rsid w:val="00580583"/>
    <w:rsid w:val="005953A1"/>
    <w:rsid w:val="005A3D2C"/>
    <w:rsid w:val="005D0332"/>
    <w:rsid w:val="005D0D8C"/>
    <w:rsid w:val="005E07ED"/>
    <w:rsid w:val="006031FD"/>
    <w:rsid w:val="006515D1"/>
    <w:rsid w:val="0065329B"/>
    <w:rsid w:val="00671B3A"/>
    <w:rsid w:val="006776AE"/>
    <w:rsid w:val="00682BA1"/>
    <w:rsid w:val="006A0D97"/>
    <w:rsid w:val="006A6A9C"/>
    <w:rsid w:val="006B1F86"/>
    <w:rsid w:val="006C0A91"/>
    <w:rsid w:val="006D0471"/>
    <w:rsid w:val="006D1C14"/>
    <w:rsid w:val="006D75DA"/>
    <w:rsid w:val="007054BB"/>
    <w:rsid w:val="00707064"/>
    <w:rsid w:val="00730683"/>
    <w:rsid w:val="0075261F"/>
    <w:rsid w:val="00753AD3"/>
    <w:rsid w:val="0075468E"/>
    <w:rsid w:val="00762388"/>
    <w:rsid w:val="007630CB"/>
    <w:rsid w:val="007665D8"/>
    <w:rsid w:val="00766E36"/>
    <w:rsid w:val="007765F4"/>
    <w:rsid w:val="00776633"/>
    <w:rsid w:val="00780870"/>
    <w:rsid w:val="00784D53"/>
    <w:rsid w:val="00786627"/>
    <w:rsid w:val="00797797"/>
    <w:rsid w:val="007A5611"/>
    <w:rsid w:val="007A63C9"/>
    <w:rsid w:val="007B32D1"/>
    <w:rsid w:val="007B7095"/>
    <w:rsid w:val="007C6614"/>
    <w:rsid w:val="007D24E1"/>
    <w:rsid w:val="007E1E5D"/>
    <w:rsid w:val="007F4CE9"/>
    <w:rsid w:val="007F4E20"/>
    <w:rsid w:val="007F6E71"/>
    <w:rsid w:val="00822C7E"/>
    <w:rsid w:val="00847060"/>
    <w:rsid w:val="00856A33"/>
    <w:rsid w:val="00862716"/>
    <w:rsid w:val="0086778B"/>
    <w:rsid w:val="00870043"/>
    <w:rsid w:val="00870D44"/>
    <w:rsid w:val="00892620"/>
    <w:rsid w:val="008B72B2"/>
    <w:rsid w:val="008C601E"/>
    <w:rsid w:val="008C7D37"/>
    <w:rsid w:val="008D1853"/>
    <w:rsid w:val="008D5885"/>
    <w:rsid w:val="008E2F72"/>
    <w:rsid w:val="008E6E5D"/>
    <w:rsid w:val="00923FA2"/>
    <w:rsid w:val="00935755"/>
    <w:rsid w:val="00942422"/>
    <w:rsid w:val="009552C1"/>
    <w:rsid w:val="0096060D"/>
    <w:rsid w:val="009635B3"/>
    <w:rsid w:val="0096458A"/>
    <w:rsid w:val="00967A39"/>
    <w:rsid w:val="00974A50"/>
    <w:rsid w:val="0097585A"/>
    <w:rsid w:val="009924B0"/>
    <w:rsid w:val="00993D90"/>
    <w:rsid w:val="009942C9"/>
    <w:rsid w:val="009962E3"/>
    <w:rsid w:val="009A1EBE"/>
    <w:rsid w:val="009A23C2"/>
    <w:rsid w:val="009B35C4"/>
    <w:rsid w:val="009C630A"/>
    <w:rsid w:val="009E0D98"/>
    <w:rsid w:val="009E340E"/>
    <w:rsid w:val="009F091A"/>
    <w:rsid w:val="00A068A1"/>
    <w:rsid w:val="00A1207D"/>
    <w:rsid w:val="00A12FD8"/>
    <w:rsid w:val="00A21436"/>
    <w:rsid w:val="00A275A5"/>
    <w:rsid w:val="00A346FC"/>
    <w:rsid w:val="00A43227"/>
    <w:rsid w:val="00A57C9C"/>
    <w:rsid w:val="00A84F93"/>
    <w:rsid w:val="00AB1AC5"/>
    <w:rsid w:val="00AB3BFC"/>
    <w:rsid w:val="00AC4F2E"/>
    <w:rsid w:val="00AD0C37"/>
    <w:rsid w:val="00AD385F"/>
    <w:rsid w:val="00AE6E2A"/>
    <w:rsid w:val="00AF1784"/>
    <w:rsid w:val="00B31E9C"/>
    <w:rsid w:val="00B35595"/>
    <w:rsid w:val="00B51C6D"/>
    <w:rsid w:val="00B86D64"/>
    <w:rsid w:val="00BA4AC5"/>
    <w:rsid w:val="00BA72D2"/>
    <w:rsid w:val="00BB474C"/>
    <w:rsid w:val="00BC1364"/>
    <w:rsid w:val="00BC7DE9"/>
    <w:rsid w:val="00BF479B"/>
    <w:rsid w:val="00C02577"/>
    <w:rsid w:val="00C204FB"/>
    <w:rsid w:val="00C20945"/>
    <w:rsid w:val="00C20BEE"/>
    <w:rsid w:val="00C2158D"/>
    <w:rsid w:val="00C3175B"/>
    <w:rsid w:val="00C40591"/>
    <w:rsid w:val="00C41B16"/>
    <w:rsid w:val="00C67DD2"/>
    <w:rsid w:val="00C725CB"/>
    <w:rsid w:val="00C76F5C"/>
    <w:rsid w:val="00C80538"/>
    <w:rsid w:val="00C85D4E"/>
    <w:rsid w:val="00C96BAD"/>
    <w:rsid w:val="00C9758D"/>
    <w:rsid w:val="00CA6944"/>
    <w:rsid w:val="00CB0F8E"/>
    <w:rsid w:val="00CB7E7D"/>
    <w:rsid w:val="00CC2911"/>
    <w:rsid w:val="00CE1188"/>
    <w:rsid w:val="00CF0C6D"/>
    <w:rsid w:val="00CF7307"/>
    <w:rsid w:val="00CF7C68"/>
    <w:rsid w:val="00D11102"/>
    <w:rsid w:val="00D124FA"/>
    <w:rsid w:val="00D25F35"/>
    <w:rsid w:val="00D31E3D"/>
    <w:rsid w:val="00D340DE"/>
    <w:rsid w:val="00D448DF"/>
    <w:rsid w:val="00D512CA"/>
    <w:rsid w:val="00D55723"/>
    <w:rsid w:val="00D62FAD"/>
    <w:rsid w:val="00D70450"/>
    <w:rsid w:val="00D83BFD"/>
    <w:rsid w:val="00D90A38"/>
    <w:rsid w:val="00DA0515"/>
    <w:rsid w:val="00DA171E"/>
    <w:rsid w:val="00DA56AA"/>
    <w:rsid w:val="00DB05EC"/>
    <w:rsid w:val="00DB5833"/>
    <w:rsid w:val="00DD2858"/>
    <w:rsid w:val="00DE598A"/>
    <w:rsid w:val="00DF69B5"/>
    <w:rsid w:val="00E03E33"/>
    <w:rsid w:val="00E059A7"/>
    <w:rsid w:val="00E21AC5"/>
    <w:rsid w:val="00E27FC2"/>
    <w:rsid w:val="00E3642A"/>
    <w:rsid w:val="00E415C4"/>
    <w:rsid w:val="00E43CC9"/>
    <w:rsid w:val="00E50016"/>
    <w:rsid w:val="00E50EAA"/>
    <w:rsid w:val="00E64365"/>
    <w:rsid w:val="00E656D6"/>
    <w:rsid w:val="00E977EE"/>
    <w:rsid w:val="00EA67A2"/>
    <w:rsid w:val="00EC1E70"/>
    <w:rsid w:val="00EC2574"/>
    <w:rsid w:val="00EC4F98"/>
    <w:rsid w:val="00EF12E0"/>
    <w:rsid w:val="00F12F02"/>
    <w:rsid w:val="00F32E0D"/>
    <w:rsid w:val="00F35134"/>
    <w:rsid w:val="00F41812"/>
    <w:rsid w:val="00F441A1"/>
    <w:rsid w:val="00F73333"/>
    <w:rsid w:val="00F8589F"/>
    <w:rsid w:val="00F95D8F"/>
    <w:rsid w:val="00FB350A"/>
    <w:rsid w:val="00FD37C4"/>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annotation reference"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qFormat/>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6D0471"/>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annotation reference"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qFormat/>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6D0471"/>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3927</Words>
  <Characters>21425</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Gill Sharon</cp:lastModifiedBy>
  <cp:revision>2</cp:revision>
  <cp:lastPrinted>2015-11-20T01:09:00Z</cp:lastPrinted>
  <dcterms:created xsi:type="dcterms:W3CDTF">2015-12-03T03:04:00Z</dcterms:created>
  <dcterms:modified xsi:type="dcterms:W3CDTF">2015-12-03T03:04:00Z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