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C2F82">
        <w:rPr>
          <w:rFonts w:ascii="Arial" w:hAnsi="Arial" w:cs="Arial"/>
          <w:b/>
          <w:sz w:val="52"/>
          <w:szCs w:val="52"/>
        </w:rPr>
        <w:t>374.1</w:t>
      </w:r>
      <w:bookmarkStart w:id="0" w:name="_GoBack"/>
      <w:bookmarkEnd w:id="0"/>
    </w:p>
    <w:p w:rsidR="00A26932" w:rsidRDefault="00A26932" w:rsidP="00A26932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A26932">
        <w:rPr>
          <w:rFonts w:ascii="Arial" w:hAnsi="Arial" w:cs="Arial"/>
          <w:b/>
          <w:sz w:val="32"/>
          <w:szCs w:val="32"/>
        </w:rPr>
        <w:t>Subcutaneous implantable cardioverter defibrillator therapy for the prevention of sudden cardiac death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C2F82">
        <w:rPr>
          <w:b w:val="0"/>
        </w:rPr>
      </w:r>
      <w:r w:rsidR="000C2F8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0C2F82" w:rsidRPr="000C2F82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2F82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2A5B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26932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BB4857"/>
    <w:rsid w:val="00BC29EC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D7EC4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81420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3ADC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2020-10-30T04:54:00Z</dcterms:created>
  <dcterms:modified xsi:type="dcterms:W3CDTF">2020-11-02T05:14:00Z</dcterms:modified>
</cp:coreProperties>
</file>