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79451"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75369DEB" wp14:editId="4B552C0B">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BD1AAB7" w14:textId="77777777" w:rsidR="00BC1364" w:rsidRPr="008D5885" w:rsidRDefault="00BC1364" w:rsidP="008D5885"/>
    <w:p w14:paraId="058EE64E" w14:textId="77777777" w:rsidR="00C67DD2" w:rsidRPr="008D5885" w:rsidRDefault="00C67DD2" w:rsidP="008D5885"/>
    <w:p w14:paraId="5625FE2C"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0A94D4E6" w14:textId="77777777" w:rsidR="00BC1364" w:rsidRPr="007B32D1" w:rsidRDefault="00BC1364" w:rsidP="007B32D1"/>
    <w:p w14:paraId="0AB83926" w14:textId="263244ED" w:rsidR="00396A8E" w:rsidRPr="00BB418D" w:rsidRDefault="00BC1364" w:rsidP="00396A8E">
      <w:pPr>
        <w:tabs>
          <w:tab w:val="left" w:pos="4320"/>
        </w:tabs>
        <w:spacing w:before="120" w:line="360" w:lineRule="auto"/>
        <w:jc w:val="center"/>
        <w:rPr>
          <w:rFonts w:ascii="Arial" w:hAnsi="Arial" w:cs="Arial"/>
          <w:b/>
          <w:i/>
          <w:color w:val="000080"/>
          <w:sz w:val="28"/>
          <w:szCs w:val="28"/>
        </w:rPr>
      </w:pPr>
      <w:r w:rsidRPr="007B32D1">
        <w:rPr>
          <w:rFonts w:ascii="Arial" w:hAnsi="Arial" w:cs="Arial"/>
          <w:b/>
          <w:bCs/>
          <w:i/>
          <w:color w:val="000080"/>
          <w:sz w:val="28"/>
          <w:szCs w:val="28"/>
        </w:rPr>
        <w:t xml:space="preserve">Application No. </w:t>
      </w:r>
      <w:r w:rsidR="00396A8E">
        <w:rPr>
          <w:rFonts w:ascii="Arial" w:hAnsi="Arial" w:cs="Arial"/>
          <w:b/>
          <w:bCs/>
          <w:i/>
          <w:color w:val="000080"/>
          <w:sz w:val="28"/>
          <w:szCs w:val="28"/>
        </w:rPr>
        <w:t xml:space="preserve">1386 </w:t>
      </w:r>
      <w:r w:rsidR="00396A8E" w:rsidRPr="007B32D1">
        <w:rPr>
          <w:rFonts w:ascii="Arial" w:hAnsi="Arial" w:cs="Arial"/>
          <w:b/>
          <w:bCs/>
          <w:i/>
          <w:color w:val="000080"/>
          <w:sz w:val="28"/>
          <w:szCs w:val="28"/>
        </w:rPr>
        <w:t xml:space="preserve">– </w:t>
      </w:r>
      <w:r w:rsidR="0086475A">
        <w:rPr>
          <w:rFonts w:ascii="Arial" w:hAnsi="Arial" w:cs="Arial"/>
          <w:b/>
          <w:bCs/>
          <w:i/>
          <w:color w:val="000080"/>
          <w:sz w:val="28"/>
          <w:szCs w:val="28"/>
        </w:rPr>
        <w:t>g</w:t>
      </w:r>
      <w:r w:rsidR="00396A8E" w:rsidRPr="004F50EF">
        <w:rPr>
          <w:rFonts w:ascii="Arial" w:hAnsi="Arial" w:cs="Arial"/>
          <w:b/>
          <w:i/>
          <w:color w:val="000080"/>
          <w:sz w:val="28"/>
          <w:szCs w:val="28"/>
        </w:rPr>
        <w:t xml:space="preserve">astric </w:t>
      </w:r>
      <w:r w:rsidR="0086475A">
        <w:rPr>
          <w:rFonts w:ascii="Arial" w:hAnsi="Arial" w:cs="Arial"/>
          <w:b/>
          <w:i/>
          <w:color w:val="000080"/>
          <w:sz w:val="28"/>
          <w:szCs w:val="28"/>
        </w:rPr>
        <w:t>c</w:t>
      </w:r>
      <w:r w:rsidR="00396A8E" w:rsidRPr="004F50EF">
        <w:rPr>
          <w:rFonts w:ascii="Arial" w:hAnsi="Arial" w:cs="Arial"/>
          <w:b/>
          <w:i/>
          <w:color w:val="000080"/>
          <w:sz w:val="28"/>
          <w:szCs w:val="28"/>
        </w:rPr>
        <w:t xml:space="preserve">ontractility </w:t>
      </w:r>
      <w:r w:rsidR="0086475A">
        <w:rPr>
          <w:rFonts w:ascii="Arial" w:hAnsi="Arial" w:cs="Arial"/>
          <w:b/>
          <w:i/>
          <w:color w:val="000080"/>
          <w:sz w:val="28"/>
          <w:szCs w:val="28"/>
        </w:rPr>
        <w:t>m</w:t>
      </w:r>
      <w:r w:rsidR="00396A8E" w:rsidRPr="004F50EF">
        <w:rPr>
          <w:rFonts w:ascii="Arial" w:hAnsi="Arial" w:cs="Arial"/>
          <w:b/>
          <w:i/>
          <w:color w:val="000080"/>
          <w:sz w:val="28"/>
          <w:szCs w:val="28"/>
        </w:rPr>
        <w:t xml:space="preserve">odulation (GCM) therapy for patients with </w:t>
      </w:r>
      <w:r w:rsidR="003965EB">
        <w:rPr>
          <w:rFonts w:ascii="Arial" w:hAnsi="Arial" w:cs="Arial"/>
          <w:b/>
          <w:i/>
          <w:color w:val="000080"/>
          <w:sz w:val="28"/>
          <w:szCs w:val="28"/>
        </w:rPr>
        <w:t>t</w:t>
      </w:r>
      <w:r w:rsidR="00396A8E" w:rsidRPr="004F50EF">
        <w:rPr>
          <w:rFonts w:ascii="Arial" w:hAnsi="Arial" w:cs="Arial"/>
          <w:b/>
          <w:i/>
          <w:color w:val="000080"/>
          <w:sz w:val="28"/>
          <w:szCs w:val="28"/>
        </w:rPr>
        <w:t xml:space="preserve">ype 2 </w:t>
      </w:r>
      <w:r w:rsidR="003965EB">
        <w:rPr>
          <w:rFonts w:ascii="Arial" w:hAnsi="Arial" w:cs="Arial"/>
          <w:b/>
          <w:i/>
          <w:color w:val="000080"/>
          <w:sz w:val="28"/>
          <w:szCs w:val="28"/>
        </w:rPr>
        <w:t>d</w:t>
      </w:r>
      <w:r w:rsidR="00396A8E" w:rsidRPr="004F50EF">
        <w:rPr>
          <w:rFonts w:ascii="Arial" w:hAnsi="Arial" w:cs="Arial"/>
          <w:b/>
          <w:i/>
          <w:color w:val="000080"/>
          <w:sz w:val="28"/>
          <w:szCs w:val="28"/>
        </w:rPr>
        <w:t xml:space="preserve">iabetes </w:t>
      </w:r>
      <w:r w:rsidR="003965EB">
        <w:rPr>
          <w:rFonts w:ascii="Arial" w:hAnsi="Arial" w:cs="Arial"/>
          <w:b/>
          <w:i/>
          <w:color w:val="000080"/>
          <w:sz w:val="28"/>
          <w:szCs w:val="28"/>
        </w:rPr>
        <w:t>and o</w:t>
      </w:r>
      <w:r w:rsidR="00396A8E" w:rsidRPr="004F50EF">
        <w:rPr>
          <w:rFonts w:ascii="Arial" w:hAnsi="Arial" w:cs="Arial"/>
          <w:b/>
          <w:i/>
          <w:color w:val="000080"/>
          <w:sz w:val="28"/>
          <w:szCs w:val="28"/>
        </w:rPr>
        <w:t>besity</w:t>
      </w:r>
    </w:p>
    <w:p w14:paraId="5875261E" w14:textId="77777777" w:rsidR="00BC1364" w:rsidRDefault="00BC1364" w:rsidP="00396A8E">
      <w:pPr>
        <w:jc w:val="center"/>
        <w:rPr>
          <w:szCs w:val="24"/>
        </w:rPr>
      </w:pPr>
    </w:p>
    <w:p w14:paraId="21443966" w14:textId="77777777" w:rsidR="00BC1364" w:rsidRPr="00707064" w:rsidRDefault="00BC1364" w:rsidP="00065623">
      <w:pPr>
        <w:tabs>
          <w:tab w:val="left" w:pos="3600"/>
        </w:tabs>
        <w:ind w:left="3600" w:hanging="3600"/>
        <w:rPr>
          <w:szCs w:val="24"/>
        </w:rPr>
      </w:pPr>
    </w:p>
    <w:p w14:paraId="515AB221" w14:textId="41F47122" w:rsidR="00BC1364" w:rsidRPr="00D90A38" w:rsidRDefault="00B35595" w:rsidP="00DD2858">
      <w:pPr>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930BFE">
        <w:rPr>
          <w:rFonts w:ascii="Arial" w:hAnsi="Arial" w:cs="Arial"/>
          <w:b/>
          <w:szCs w:val="24"/>
        </w:rPr>
        <w:t xml:space="preserve"> </w:t>
      </w:r>
      <w:proofErr w:type="spellStart"/>
      <w:r w:rsidR="00396A8E">
        <w:rPr>
          <w:rFonts w:ascii="Arial" w:hAnsi="Arial" w:cs="Arial"/>
          <w:b/>
          <w:szCs w:val="24"/>
        </w:rPr>
        <w:t>MetaCure</w:t>
      </w:r>
      <w:proofErr w:type="spellEnd"/>
      <w:r w:rsidR="00396A8E">
        <w:rPr>
          <w:rFonts w:ascii="Arial" w:hAnsi="Arial" w:cs="Arial"/>
          <w:b/>
          <w:szCs w:val="24"/>
        </w:rPr>
        <w:t xml:space="preserve"> Australia</w:t>
      </w:r>
      <w:r w:rsidRPr="00B35595">
        <w:rPr>
          <w:rFonts w:ascii="Arial" w:hAnsi="Arial" w:cs="Arial"/>
          <w:b/>
          <w:szCs w:val="24"/>
        </w:rPr>
        <w:t xml:space="preserve"> Pty Ltd</w:t>
      </w:r>
    </w:p>
    <w:p w14:paraId="1F707F0C" w14:textId="77777777" w:rsidR="00BC1364" w:rsidRPr="00D90A38" w:rsidRDefault="00BC1364" w:rsidP="00065623">
      <w:pPr>
        <w:tabs>
          <w:tab w:val="left" w:pos="2265"/>
          <w:tab w:val="left" w:pos="3420"/>
          <w:tab w:val="left" w:pos="4320"/>
        </w:tabs>
        <w:rPr>
          <w:rFonts w:ascii="Arial" w:hAnsi="Arial" w:cs="Arial"/>
          <w:b/>
        </w:rPr>
      </w:pPr>
    </w:p>
    <w:p w14:paraId="39C6A7C8"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396A8E">
        <w:rPr>
          <w:rFonts w:ascii="Arial" w:hAnsi="Arial" w:cs="Arial"/>
          <w:b/>
          <w:szCs w:val="24"/>
        </w:rPr>
        <w:t>64</w:t>
      </w:r>
      <w:r w:rsidR="00396A8E">
        <w:rPr>
          <w:rFonts w:ascii="Arial" w:hAnsi="Arial" w:cs="Arial"/>
          <w:b/>
          <w:szCs w:val="24"/>
          <w:vertAlign w:val="superscript"/>
        </w:rPr>
        <w:t xml:space="preserve">th </w:t>
      </w:r>
      <w:r w:rsidRPr="00D90A38">
        <w:rPr>
          <w:rFonts w:ascii="Arial" w:hAnsi="Arial" w:cs="Arial"/>
          <w:b/>
          <w:szCs w:val="24"/>
        </w:rPr>
        <w:t xml:space="preserve">Meeting, </w:t>
      </w:r>
      <w:r w:rsidR="00396A8E">
        <w:rPr>
          <w:rFonts w:ascii="Arial" w:hAnsi="Arial" w:cs="Arial"/>
          <w:b/>
          <w:szCs w:val="24"/>
        </w:rPr>
        <w:t>30-31 July 2015</w:t>
      </w:r>
    </w:p>
    <w:p w14:paraId="151F74E2" w14:textId="77777777" w:rsidR="00BC1364" w:rsidRDefault="00BC1364" w:rsidP="00065623">
      <w:pPr>
        <w:rPr>
          <w:szCs w:val="24"/>
        </w:rPr>
      </w:pPr>
    </w:p>
    <w:p w14:paraId="72D3B1AE" w14:textId="6C4BB619" w:rsidR="0041758C"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14:paraId="3E54472A" w14:textId="77777777" w:rsidR="0041758C" w:rsidRDefault="0041758C" w:rsidP="00065623">
      <w:pPr>
        <w:rPr>
          <w:szCs w:val="24"/>
        </w:rPr>
      </w:pPr>
    </w:p>
    <w:p w14:paraId="423ADFEA" w14:textId="77777777" w:rsidR="00F41812" w:rsidRDefault="00F41812" w:rsidP="00065623">
      <w:pPr>
        <w:rPr>
          <w:szCs w:val="24"/>
        </w:rPr>
      </w:pPr>
    </w:p>
    <w:p w14:paraId="67ACDCB0"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6D9B2D1E" w14:textId="77777777" w:rsidR="003D7F29" w:rsidRPr="00631609" w:rsidRDefault="003D7F29" w:rsidP="00631609">
      <w:pPr>
        <w:tabs>
          <w:tab w:val="left" w:pos="720"/>
          <w:tab w:val="left" w:pos="1140"/>
        </w:tabs>
        <w:rPr>
          <w:bCs/>
          <w:szCs w:val="24"/>
        </w:rPr>
      </w:pPr>
    </w:p>
    <w:p w14:paraId="751EC84A" w14:textId="6DE5C5F9" w:rsidR="00396A8E" w:rsidRDefault="00396A8E" w:rsidP="00396A8E">
      <w:pPr>
        <w:pStyle w:val="ListParagraph"/>
        <w:ind w:left="0"/>
      </w:pPr>
      <w:r w:rsidRPr="002F74F3">
        <w:t xml:space="preserve">In February 2015, an application requesting Medicare Benefits Schedule (MBS) listing of gastric contractility modulation (GCM) therapy (DIAMOND™ system) for patients with inadequately controlled </w:t>
      </w:r>
      <w:r w:rsidR="003965EB" w:rsidRPr="002F74F3">
        <w:t>t</w:t>
      </w:r>
      <w:r w:rsidRPr="002F74F3">
        <w:t xml:space="preserve">ype 2 diabetes mellitus (T2DM) and obesity was received from </w:t>
      </w:r>
      <w:proofErr w:type="spellStart"/>
      <w:r w:rsidRPr="002F74F3">
        <w:t>MetaCure</w:t>
      </w:r>
      <w:proofErr w:type="spellEnd"/>
      <w:r w:rsidRPr="002F74F3">
        <w:t xml:space="preserve"> Australia Pty Ltd.</w:t>
      </w:r>
    </w:p>
    <w:p w14:paraId="38F6AA68" w14:textId="77777777" w:rsidR="003D7F29" w:rsidRPr="00631609" w:rsidRDefault="003D7F29" w:rsidP="003D7F29">
      <w:pPr>
        <w:rPr>
          <w:szCs w:val="24"/>
        </w:rPr>
      </w:pPr>
    </w:p>
    <w:p w14:paraId="69F4246E" w14:textId="77777777" w:rsidR="00E977EE" w:rsidRDefault="00E977EE" w:rsidP="00E977EE">
      <w:pPr>
        <w:pStyle w:val="Heading1"/>
        <w:numPr>
          <w:ilvl w:val="0"/>
          <w:numId w:val="23"/>
        </w:numPr>
        <w:ind w:hanging="720"/>
      </w:pPr>
      <w:r w:rsidRPr="008D5885">
        <w:t>MSAC’s advice to the Minister</w:t>
      </w:r>
    </w:p>
    <w:p w14:paraId="56268932" w14:textId="77777777" w:rsidR="00E977EE" w:rsidRPr="00631609" w:rsidRDefault="00E977EE" w:rsidP="00E977EE">
      <w:pPr>
        <w:tabs>
          <w:tab w:val="left" w:pos="720"/>
        </w:tabs>
        <w:ind w:left="709" w:hanging="709"/>
        <w:rPr>
          <w:szCs w:val="24"/>
        </w:rPr>
      </w:pPr>
    </w:p>
    <w:p w14:paraId="1F6A18F6" w14:textId="59F24FE7" w:rsidR="0057414E" w:rsidRDefault="0057414E" w:rsidP="0057414E">
      <w:r>
        <w:t>After considering the available evidence presented in relation to safety, clinical effectiveness and cost-effectiveness of Gastric Contractility Modulation (GCM) therapy (DIAMOND</w:t>
      </w:r>
      <w:r>
        <w:rPr>
          <w:vertAlign w:val="superscript"/>
        </w:rPr>
        <w:t>TM</w:t>
      </w:r>
      <w:r>
        <w:t xml:space="preserve"> system)</w:t>
      </w:r>
      <w:r w:rsidR="00631609">
        <w:t>,</w:t>
      </w:r>
      <w:r>
        <w:t xml:space="preserve"> </w:t>
      </w:r>
      <w:r w:rsidRPr="006E369E">
        <w:t xml:space="preserve">MSAC </w:t>
      </w:r>
      <w:r>
        <w:t xml:space="preserve">did not support public funding for this technology for adult patients with </w:t>
      </w:r>
      <w:r w:rsidR="003965EB">
        <w:t>t</w:t>
      </w:r>
      <w:r>
        <w:t>ype 2 diabetes mellitus (T2DM) who have:</w:t>
      </w:r>
    </w:p>
    <w:p w14:paraId="444C4805" w14:textId="77777777" w:rsidR="0057414E" w:rsidRDefault="0057414E" w:rsidP="0057414E">
      <w:pPr>
        <w:pStyle w:val="ListParagraph"/>
        <w:numPr>
          <w:ilvl w:val="0"/>
          <w:numId w:val="32"/>
        </w:numPr>
      </w:pPr>
      <w:r>
        <w:t>obesity (body mass index, BMI, of 30-45 kg/m</w:t>
      </w:r>
      <w:r w:rsidRPr="00AA4459">
        <w:rPr>
          <w:vertAlign w:val="superscript"/>
        </w:rPr>
        <w:t>2</w:t>
      </w:r>
      <w:r>
        <w:t>);</w:t>
      </w:r>
    </w:p>
    <w:p w14:paraId="3D73B990" w14:textId="77777777" w:rsidR="0057414E" w:rsidRDefault="0057414E" w:rsidP="0057414E">
      <w:pPr>
        <w:pStyle w:val="ListParagraph"/>
        <w:numPr>
          <w:ilvl w:val="0"/>
          <w:numId w:val="32"/>
        </w:numPr>
      </w:pPr>
      <w:r>
        <w:t>inadequate diabetic control on standard oral glucose lowering (anti-diabetic) therapy;</w:t>
      </w:r>
    </w:p>
    <w:p w14:paraId="1BA2A9AC" w14:textId="77777777" w:rsidR="0057414E" w:rsidRDefault="0057414E" w:rsidP="0057414E">
      <w:pPr>
        <w:pStyle w:val="ListParagraph"/>
        <w:numPr>
          <w:ilvl w:val="0"/>
          <w:numId w:val="32"/>
        </w:numPr>
      </w:pPr>
      <w:r>
        <w:t xml:space="preserve">normal triglyceride levels (fasting plasma triglycerides ≤ 1.7 </w:t>
      </w:r>
      <w:proofErr w:type="spellStart"/>
      <w:r>
        <w:t>mmol</w:t>
      </w:r>
      <w:proofErr w:type="spellEnd"/>
      <w:r>
        <w:t>/L); and</w:t>
      </w:r>
    </w:p>
    <w:p w14:paraId="4A53F597" w14:textId="7FE26DAA" w:rsidR="0057414E" w:rsidRDefault="0057414E" w:rsidP="0057414E">
      <w:pPr>
        <w:pStyle w:val="ListParagraph"/>
        <w:numPr>
          <w:ilvl w:val="0"/>
          <w:numId w:val="32"/>
        </w:numPr>
      </w:pPr>
      <w:proofErr w:type="gramStart"/>
      <w:r>
        <w:t>elevated</w:t>
      </w:r>
      <w:proofErr w:type="gramEnd"/>
      <w:r>
        <w:t xml:space="preserve"> </w:t>
      </w:r>
      <w:proofErr w:type="spellStart"/>
      <w:r>
        <w:t>glycated</w:t>
      </w:r>
      <w:proofErr w:type="spellEnd"/>
      <w:r>
        <w:t xml:space="preserve"> haemoglobin (HbA</w:t>
      </w:r>
      <w:r>
        <w:rPr>
          <w:vertAlign w:val="subscript"/>
        </w:rPr>
        <w:t>1c</w:t>
      </w:r>
      <w:r>
        <w:t xml:space="preserve"> ≥ 7.5% and ≤ 10%).</w:t>
      </w:r>
    </w:p>
    <w:p w14:paraId="12016DFC" w14:textId="77777777" w:rsidR="0057414E" w:rsidRDefault="0057414E" w:rsidP="0057414E"/>
    <w:p w14:paraId="5BE52500" w14:textId="77777777" w:rsidR="0057414E" w:rsidRDefault="0057414E" w:rsidP="0057414E">
      <w:r>
        <w:t>MSAC considered that the clinical need and effects of DIAMOND were uncertain and also found uncertainties regarding the financial impact of listing on the MBS.</w:t>
      </w:r>
    </w:p>
    <w:p w14:paraId="00C963A5" w14:textId="77777777" w:rsidR="00E977EE" w:rsidRPr="00631609" w:rsidRDefault="00E977EE" w:rsidP="00631609">
      <w:pPr>
        <w:pStyle w:val="Default"/>
        <w:rPr>
          <w:color w:val="auto"/>
        </w:rPr>
      </w:pPr>
    </w:p>
    <w:p w14:paraId="490060F8" w14:textId="2C95FF68" w:rsidR="00550354" w:rsidRDefault="00550354" w:rsidP="00550354">
      <w:pPr>
        <w:pStyle w:val="Heading1"/>
        <w:numPr>
          <w:ilvl w:val="0"/>
          <w:numId w:val="23"/>
        </w:numPr>
        <w:ind w:hanging="720"/>
      </w:pPr>
      <w:r w:rsidRPr="008D5885">
        <w:t>Summary of consideration and rationale for MSAC’s advice</w:t>
      </w:r>
    </w:p>
    <w:p w14:paraId="2E94F47F" w14:textId="77777777" w:rsidR="00550354" w:rsidRDefault="00550354" w:rsidP="00550354">
      <w:pPr>
        <w:rPr>
          <w:szCs w:val="24"/>
        </w:rPr>
      </w:pPr>
    </w:p>
    <w:p w14:paraId="23746862" w14:textId="7B22C50F" w:rsidR="009E3EF7" w:rsidRDefault="009E3EF7" w:rsidP="0057414E">
      <w:r>
        <w:t xml:space="preserve">MSAC recognised the public health importance of </w:t>
      </w:r>
      <w:r w:rsidR="005C410B">
        <w:t xml:space="preserve">optimal management of </w:t>
      </w:r>
      <w:r>
        <w:t>T2DM.</w:t>
      </w:r>
    </w:p>
    <w:p w14:paraId="43D52C93" w14:textId="55005E7F" w:rsidR="0057414E" w:rsidRDefault="0057414E" w:rsidP="0057414E">
      <w:r>
        <w:t xml:space="preserve">MSAC noted that the GCM therapy </w:t>
      </w:r>
      <w:r w:rsidR="000A1AA3">
        <w:t>w</w:t>
      </w:r>
      <w:r>
        <w:t>ould be considered after the failure of a combination of at least three PBS</w:t>
      </w:r>
      <w:r w:rsidR="00631609">
        <w:t>-</w:t>
      </w:r>
      <w:r>
        <w:t xml:space="preserve">listed therapies. Furthermore, GCM therapy would be an alternative to </w:t>
      </w:r>
      <w:r>
        <w:lastRenderedPageBreak/>
        <w:t>injected pharmacological agents, continued inadequately controlled oral pharmacological agents, or bariatric surgery.</w:t>
      </w:r>
      <w:r w:rsidR="000D1A88">
        <w:t xml:space="preserve"> Although all comparators were considered informative, </w:t>
      </w:r>
      <w:r w:rsidR="00EE46E4">
        <w:t xml:space="preserve">the committee considered that </w:t>
      </w:r>
      <w:r w:rsidR="000D1A88">
        <w:t>bariatric surgery was most likely to be the usual comparator in clinical practice</w:t>
      </w:r>
      <w:r w:rsidR="003417DB">
        <w:t>.</w:t>
      </w:r>
    </w:p>
    <w:p w14:paraId="641BED59" w14:textId="77777777" w:rsidR="0057414E" w:rsidRDefault="0057414E" w:rsidP="0057414E"/>
    <w:p w14:paraId="1E6D6965" w14:textId="005D3634" w:rsidR="0057414E" w:rsidRDefault="0057414E" w:rsidP="0057414E">
      <w:r>
        <w:t xml:space="preserve">MSAC </w:t>
      </w:r>
      <w:r w:rsidR="00132983">
        <w:t xml:space="preserve">noted there was uncertainty about whether there was </w:t>
      </w:r>
      <w:r>
        <w:t>unmet clinical need</w:t>
      </w:r>
      <w:r w:rsidR="00132983">
        <w:t xml:space="preserve"> given </w:t>
      </w:r>
      <w:r w:rsidR="000A1AA3">
        <w:t xml:space="preserve">the available </w:t>
      </w:r>
      <w:r w:rsidR="00132983">
        <w:t xml:space="preserve">publicly subsidised </w:t>
      </w:r>
      <w:r w:rsidR="000A1AA3">
        <w:t xml:space="preserve">effective </w:t>
      </w:r>
      <w:r w:rsidR="00132983">
        <w:t xml:space="preserve">therapies. MSAC also noted the </w:t>
      </w:r>
      <w:r>
        <w:t xml:space="preserve">potential for </w:t>
      </w:r>
      <w:r w:rsidR="000D1A88">
        <w:t xml:space="preserve">substantial </w:t>
      </w:r>
      <w:r w:rsidR="000A1AA3">
        <w:t>use beyond the proposed patient population</w:t>
      </w:r>
      <w:r w:rsidR="000D1A88">
        <w:t>,</w:t>
      </w:r>
      <w:r>
        <w:t xml:space="preserve"> mak</w:t>
      </w:r>
      <w:r w:rsidR="000D1A88">
        <w:t>ing</w:t>
      </w:r>
      <w:r>
        <w:t xml:space="preserve"> </w:t>
      </w:r>
      <w:r w:rsidR="000D1A88">
        <w:t xml:space="preserve">the </w:t>
      </w:r>
      <w:r>
        <w:t>budgetary impact very uncertain.</w:t>
      </w:r>
    </w:p>
    <w:p w14:paraId="6670F70B" w14:textId="77777777" w:rsidR="0057414E" w:rsidRDefault="0057414E" w:rsidP="0057414E"/>
    <w:p w14:paraId="31F36658" w14:textId="37FCD879" w:rsidR="00AC6BF5" w:rsidRDefault="0057414E" w:rsidP="0057414E">
      <w:r>
        <w:t xml:space="preserve">MSAC noted that there was a lack of robust comparative efficacy and safety data and therefore there was </w:t>
      </w:r>
      <w:r w:rsidR="000D1A88">
        <w:t xml:space="preserve">substantial </w:t>
      </w:r>
      <w:r>
        <w:t xml:space="preserve">uncertainty surrounding the long-term safety and efficacy of the GCM. </w:t>
      </w:r>
    </w:p>
    <w:p w14:paraId="00FB0EF7" w14:textId="77777777" w:rsidR="00955AF9" w:rsidRDefault="00955AF9" w:rsidP="009E3EF7"/>
    <w:p w14:paraId="4DF16482" w14:textId="2B5E6E51" w:rsidR="009E3EF7" w:rsidRDefault="0057414E" w:rsidP="009E3EF7">
      <w:r>
        <w:t xml:space="preserve">MSAC noted the difficulty associated with extrapolating from </w:t>
      </w:r>
      <w:r w:rsidR="000D1A88">
        <w:t>a few,</w:t>
      </w:r>
      <w:r>
        <w:t xml:space="preserve"> small </w:t>
      </w:r>
      <w:r w:rsidR="000D1A88">
        <w:t xml:space="preserve">trials, and over a short term period, involving cross-over comparisons, to the likely effects in what may be a large number of patients treated. </w:t>
      </w:r>
      <w:r w:rsidR="009E3EF7">
        <w:t>It was noted that there was sparse safety data, with data derived</w:t>
      </w:r>
      <w:r w:rsidR="00AC6BF5">
        <w:t xml:space="preserve"> largely</w:t>
      </w:r>
      <w:r w:rsidR="009E3EF7">
        <w:t xml:space="preserve"> from the </w:t>
      </w:r>
      <w:r w:rsidR="00631609">
        <w:t xml:space="preserve">applicant’s </w:t>
      </w:r>
      <w:r w:rsidR="009E3EF7">
        <w:t>internal database only.</w:t>
      </w:r>
    </w:p>
    <w:p w14:paraId="40A9AFF6" w14:textId="77777777" w:rsidR="000D1A88" w:rsidRDefault="000D1A88" w:rsidP="0057414E"/>
    <w:p w14:paraId="7A02A395" w14:textId="7F528687" w:rsidR="009E3EF7" w:rsidRDefault="0057414E" w:rsidP="0057414E">
      <w:r>
        <w:t xml:space="preserve">MSAC noted that the comparative effectiveness was </w:t>
      </w:r>
      <w:r w:rsidR="000D1A88">
        <w:t xml:space="preserve">also </w:t>
      </w:r>
      <w:r w:rsidR="009E3EF7">
        <w:t xml:space="preserve">highly </w:t>
      </w:r>
      <w:r>
        <w:t>uncertain</w:t>
      </w:r>
      <w:r w:rsidR="009E3EF7">
        <w:t>,</w:t>
      </w:r>
      <w:r>
        <w:t xml:space="preserve"> as randomised comparisons against </w:t>
      </w:r>
      <w:r w:rsidR="000D1A88">
        <w:t xml:space="preserve">some comparators, </w:t>
      </w:r>
      <w:r w:rsidR="009E3EF7">
        <w:t xml:space="preserve">such as injectable agents and </w:t>
      </w:r>
      <w:r>
        <w:t>bariatric surgery</w:t>
      </w:r>
      <w:r w:rsidR="009E3EF7">
        <w:t>,</w:t>
      </w:r>
      <w:r w:rsidR="00631609">
        <w:t xml:space="preserve"> were </w:t>
      </w:r>
      <w:r w:rsidR="000A1AA3">
        <w:t xml:space="preserve">limited or </w:t>
      </w:r>
      <w:r w:rsidR="00631609">
        <w:t>not presented.</w:t>
      </w:r>
    </w:p>
    <w:p w14:paraId="11E40137" w14:textId="77777777" w:rsidR="0057414E" w:rsidRDefault="0057414E" w:rsidP="0057414E"/>
    <w:p w14:paraId="2C6FD99E" w14:textId="5407A28C" w:rsidR="0057414E" w:rsidRDefault="009E3EF7" w:rsidP="0057414E">
      <w:r>
        <w:t xml:space="preserve">In summary, </w:t>
      </w:r>
      <w:r w:rsidR="0057414E">
        <w:t xml:space="preserve">MSAC noted that the </w:t>
      </w:r>
      <w:r>
        <w:t xml:space="preserve">long-term, comparative </w:t>
      </w:r>
      <w:r w:rsidR="0057414E">
        <w:t xml:space="preserve">effects of DIAMOND </w:t>
      </w:r>
      <w:r>
        <w:t xml:space="preserve">on patient-relevant outcomes, </w:t>
      </w:r>
      <w:r w:rsidR="0057414E">
        <w:t xml:space="preserve">were </w:t>
      </w:r>
      <w:r>
        <w:t xml:space="preserve">highly </w:t>
      </w:r>
      <w:r w:rsidR="0057414E">
        <w:t xml:space="preserve">uncertain and </w:t>
      </w:r>
      <w:r>
        <w:t xml:space="preserve">substantially more data are required to demonstrate the clinical place of this intervention before </w:t>
      </w:r>
      <w:r w:rsidR="0086475A">
        <w:t xml:space="preserve">any </w:t>
      </w:r>
      <w:r>
        <w:t>resubmission</w:t>
      </w:r>
      <w:r w:rsidR="0057414E">
        <w:t>.</w:t>
      </w:r>
      <w:r w:rsidRPr="009E3EF7">
        <w:t xml:space="preserve"> </w:t>
      </w:r>
      <w:r>
        <w:t xml:space="preserve">Such data would need to include comparisons against other surgical interventions, and </w:t>
      </w:r>
      <w:r w:rsidR="00D73FE7">
        <w:t xml:space="preserve">as an </w:t>
      </w:r>
      <w:r>
        <w:t>add</w:t>
      </w:r>
      <w:r w:rsidR="00D73FE7">
        <w:t>-</w:t>
      </w:r>
      <w:r>
        <w:t xml:space="preserve">on </w:t>
      </w:r>
      <w:r w:rsidR="00D73FE7">
        <w:t xml:space="preserve">to </w:t>
      </w:r>
      <w:r>
        <w:t xml:space="preserve">maximal pharmacological therapy and life style </w:t>
      </w:r>
      <w:r w:rsidR="00D73FE7">
        <w:t xml:space="preserve">interventions </w:t>
      </w:r>
      <w:r>
        <w:t xml:space="preserve">(including </w:t>
      </w:r>
      <w:r w:rsidR="00631609">
        <w:t xml:space="preserve">the </w:t>
      </w:r>
      <w:r>
        <w:t xml:space="preserve">newer blood glucose-lowering agents </w:t>
      </w:r>
      <w:r w:rsidR="00631609">
        <w:t xml:space="preserve">of </w:t>
      </w:r>
      <w:r>
        <w:t>SGLT2 inhibitors and G</w:t>
      </w:r>
      <w:r w:rsidR="00772898">
        <w:t>LP-</w:t>
      </w:r>
      <w:r>
        <w:t>1 agonists).</w:t>
      </w:r>
    </w:p>
    <w:p w14:paraId="59FC55CB" w14:textId="77777777" w:rsidR="009E3EF7" w:rsidRDefault="009E3EF7" w:rsidP="0057414E"/>
    <w:p w14:paraId="343CC5C0" w14:textId="5915BC5B" w:rsidR="003417DB" w:rsidRDefault="0057414E" w:rsidP="0057414E">
      <w:r>
        <w:t xml:space="preserve">MSAC noted that the economic evaluation </w:t>
      </w:r>
      <w:r w:rsidR="00631609">
        <w:t>wa</w:t>
      </w:r>
      <w:r>
        <w:t>s very premature. MSAC expressed concerns that the economic modelling was based on the United Kingdo</w:t>
      </w:r>
      <w:r w:rsidR="00631609">
        <w:t>m</w:t>
      </w:r>
      <w:r>
        <w:t xml:space="preserve"> Prospective Diabetes Study (UKPDS) Outcomes model as UKPDS patients are likely to be different from eligible MBS subjects. It was unclear </w:t>
      </w:r>
      <w:r w:rsidR="006B3286">
        <w:t xml:space="preserve">to the committee </w:t>
      </w:r>
      <w:r>
        <w:t>as to the derivation of the costs compared to insulin</w:t>
      </w:r>
      <w:r w:rsidR="003417DB">
        <w:t>.</w:t>
      </w:r>
      <w:r>
        <w:t xml:space="preserve"> </w:t>
      </w:r>
    </w:p>
    <w:p w14:paraId="7F40EDD9" w14:textId="77777777" w:rsidR="003417DB" w:rsidRDefault="003417DB" w:rsidP="0057414E"/>
    <w:p w14:paraId="06CEBF5C" w14:textId="1A7B177E" w:rsidR="0057414E" w:rsidRDefault="0057414E" w:rsidP="0057414E">
      <w:r>
        <w:t>MSAC questioned whether that was based on data from the small-scale insulin comparison study. MSAC further noted that the costs of the GCM to the MBS and health budget were underestimated.</w:t>
      </w:r>
    </w:p>
    <w:p w14:paraId="448FCDC4" w14:textId="77777777" w:rsidR="0057414E" w:rsidRDefault="0057414E" w:rsidP="0057414E"/>
    <w:p w14:paraId="2F220CEC" w14:textId="77777777" w:rsidR="00BC1364" w:rsidRPr="00D90A38" w:rsidRDefault="00BC1364" w:rsidP="007B32D1">
      <w:pPr>
        <w:pStyle w:val="Heading1"/>
        <w:numPr>
          <w:ilvl w:val="0"/>
          <w:numId w:val="23"/>
        </w:numPr>
        <w:ind w:hanging="720"/>
      </w:pPr>
      <w:r w:rsidRPr="00D90A38">
        <w:t>Background</w:t>
      </w:r>
    </w:p>
    <w:p w14:paraId="48567A06" w14:textId="77777777" w:rsidR="00BC1364" w:rsidRPr="00631609" w:rsidRDefault="00BC1364" w:rsidP="00DD2858">
      <w:pPr>
        <w:rPr>
          <w:szCs w:val="24"/>
        </w:rPr>
      </w:pPr>
    </w:p>
    <w:p w14:paraId="38940C2D" w14:textId="53B999EB" w:rsidR="00DB5D42" w:rsidRDefault="00DB5D42" w:rsidP="00DB5D42">
      <w:r>
        <w:t>GCM therapy has not been</w:t>
      </w:r>
      <w:r w:rsidR="00631609">
        <w:t xml:space="preserve"> previously considered by MSAC.</w:t>
      </w:r>
    </w:p>
    <w:p w14:paraId="22A3E594" w14:textId="77777777" w:rsidR="007B32D1" w:rsidRPr="007B32D1" w:rsidRDefault="007B32D1" w:rsidP="007B32D1"/>
    <w:p w14:paraId="04AB2055" w14:textId="77777777" w:rsidR="00BC1364" w:rsidRPr="00D90A38" w:rsidRDefault="00BC1364" w:rsidP="007B32D1">
      <w:pPr>
        <w:pStyle w:val="Heading1"/>
        <w:numPr>
          <w:ilvl w:val="0"/>
          <w:numId w:val="23"/>
        </w:numPr>
        <w:ind w:hanging="720"/>
      </w:pPr>
      <w:r w:rsidRPr="00D90A38">
        <w:t>Prerequisites to implementation of any funding advice</w:t>
      </w:r>
    </w:p>
    <w:p w14:paraId="34040DE2" w14:textId="77777777" w:rsidR="00BC1364" w:rsidRPr="00631609" w:rsidRDefault="00BC1364" w:rsidP="00631609">
      <w:pPr>
        <w:tabs>
          <w:tab w:val="left" w:pos="720"/>
          <w:tab w:val="left" w:pos="1140"/>
        </w:tabs>
        <w:rPr>
          <w:szCs w:val="24"/>
        </w:rPr>
      </w:pPr>
    </w:p>
    <w:p w14:paraId="1A956900" w14:textId="77777777" w:rsidR="00DB5D42" w:rsidRDefault="00DB5D42" w:rsidP="00DB5D42">
      <w:r>
        <w:t>The GCM device and its associated components were registered with the Australian Register of Therapeutic Goods in 2012.</w:t>
      </w:r>
    </w:p>
    <w:p w14:paraId="70E9ECEE" w14:textId="77777777" w:rsidR="00DB5D42" w:rsidRDefault="00DB5D42" w:rsidP="00DB5D42"/>
    <w:p w14:paraId="59334EAF" w14:textId="77777777" w:rsidR="00DB5D42" w:rsidRDefault="00DB5D42" w:rsidP="00DB5D42">
      <w:r>
        <w:t xml:space="preserve">The applicant stated that laparoscopic surgeons performing the procedure would undergo formal training by </w:t>
      </w:r>
      <w:proofErr w:type="spellStart"/>
      <w:r>
        <w:t>MetaCure</w:t>
      </w:r>
      <w:proofErr w:type="spellEnd"/>
      <w:r>
        <w:t xml:space="preserve"> at specialised centres.</w:t>
      </w:r>
    </w:p>
    <w:p w14:paraId="205E82E4" w14:textId="77777777" w:rsidR="00BC1364" w:rsidRPr="00631609" w:rsidRDefault="00BC1364" w:rsidP="009E0D98">
      <w:pPr>
        <w:tabs>
          <w:tab w:val="left" w:pos="720"/>
          <w:tab w:val="left" w:pos="1140"/>
        </w:tabs>
        <w:rPr>
          <w:szCs w:val="24"/>
        </w:rPr>
      </w:pPr>
    </w:p>
    <w:p w14:paraId="64D02D35" w14:textId="77777777" w:rsidR="00BC1364" w:rsidRPr="007B32D1" w:rsidRDefault="00BC1364" w:rsidP="007B32D1">
      <w:pPr>
        <w:pStyle w:val="Heading1"/>
        <w:numPr>
          <w:ilvl w:val="0"/>
          <w:numId w:val="23"/>
        </w:numPr>
        <w:ind w:hanging="720"/>
      </w:pPr>
      <w:r w:rsidRPr="007B32D1">
        <w:lastRenderedPageBreak/>
        <w:t>Proposal for public funding</w:t>
      </w:r>
    </w:p>
    <w:p w14:paraId="216335EE" w14:textId="77777777" w:rsidR="00BC1364" w:rsidRDefault="00BC1364" w:rsidP="00AB3BFC">
      <w:pPr>
        <w:tabs>
          <w:tab w:val="left" w:pos="720"/>
          <w:tab w:val="left" w:pos="1140"/>
        </w:tabs>
        <w:rPr>
          <w:sz w:val="23"/>
          <w:szCs w:val="23"/>
        </w:rPr>
      </w:pPr>
    </w:p>
    <w:p w14:paraId="76189F9C" w14:textId="3A035560" w:rsidR="00DB5D42" w:rsidRDefault="00DB5D42" w:rsidP="00DB5D42">
      <w:r>
        <w:t xml:space="preserve">The </w:t>
      </w:r>
      <w:r w:rsidR="00B07DD9">
        <w:t>applicant sought</w:t>
      </w:r>
      <w:r>
        <w:t xml:space="preserve"> MBS funding for the implantation, removal, replacement and interrogation of a GCM device for the treatment of obese patients with inadequately controlled T2DM on standard oral anti-diabetic medication. GCM therapy uses an implanted electro-stimulator to deliver meal-dependent gastric stimulation to induce early satiety. Once implanted, the device can rema</w:t>
      </w:r>
      <w:r w:rsidR="00631609">
        <w:t>in in the patient for 15 years.</w:t>
      </w:r>
    </w:p>
    <w:p w14:paraId="29B00DB2" w14:textId="77777777" w:rsidR="00DB5D42" w:rsidRDefault="00DB5D42" w:rsidP="00DB5D42"/>
    <w:p w14:paraId="620A4067" w14:textId="2CEF18FF" w:rsidR="00DB5D42" w:rsidRDefault="00DB5D42" w:rsidP="00DB5D42">
      <w:r>
        <w:t xml:space="preserve">MBS listing </w:t>
      </w:r>
      <w:r w:rsidR="00B07DD9">
        <w:t>wa</w:t>
      </w:r>
      <w:r>
        <w:t>s sought for adult patients with T2DM who have:</w:t>
      </w:r>
    </w:p>
    <w:p w14:paraId="3E5587FC" w14:textId="77777777" w:rsidR="00DB5D42" w:rsidRPr="00065C43" w:rsidRDefault="00DB5D42" w:rsidP="00533A7C">
      <w:pPr>
        <w:pStyle w:val="ListParagraph"/>
        <w:numPr>
          <w:ilvl w:val="0"/>
          <w:numId w:val="32"/>
        </w:numPr>
      </w:pPr>
      <w:r>
        <w:t>obesity</w:t>
      </w:r>
      <w:r w:rsidRPr="00065C43">
        <w:t xml:space="preserve"> (</w:t>
      </w:r>
      <w:r>
        <w:t>b</w:t>
      </w:r>
      <w:r w:rsidRPr="00065C43">
        <w:t>ody mass index</w:t>
      </w:r>
      <w:r>
        <w:t>, BMI,</w:t>
      </w:r>
      <w:r w:rsidRPr="00065C43">
        <w:t xml:space="preserve"> of ≥ 30 kg/m</w:t>
      </w:r>
      <w:r w:rsidRPr="007C0682">
        <w:rPr>
          <w:vertAlign w:val="superscript"/>
        </w:rPr>
        <w:t>2</w:t>
      </w:r>
      <w:r w:rsidRPr="00065C43">
        <w:t xml:space="preserve"> and &lt; 45 kg/m</w:t>
      </w:r>
      <w:r w:rsidRPr="007C0682">
        <w:rPr>
          <w:vertAlign w:val="superscript"/>
        </w:rPr>
        <w:t>2</w:t>
      </w:r>
      <w:r>
        <w:t>);</w:t>
      </w:r>
    </w:p>
    <w:p w14:paraId="724E9CD8" w14:textId="77777777" w:rsidR="00DB5D42" w:rsidRPr="00754BFE" w:rsidRDefault="00DB5D42" w:rsidP="00533A7C">
      <w:pPr>
        <w:pStyle w:val="ListParagraph"/>
        <w:numPr>
          <w:ilvl w:val="0"/>
          <w:numId w:val="32"/>
        </w:numPr>
      </w:pPr>
      <w:r>
        <w:t>i</w:t>
      </w:r>
      <w:r w:rsidRPr="00754BFE">
        <w:t>nadequate diabetic control on standard oral glucose lowering (anti-diabetic)</w:t>
      </w:r>
      <w:r>
        <w:t xml:space="preserve"> therapy;</w:t>
      </w:r>
    </w:p>
    <w:p w14:paraId="4CE4038D" w14:textId="77777777" w:rsidR="00DB5D42" w:rsidRPr="00065C43" w:rsidRDefault="00DB5D42" w:rsidP="00533A7C">
      <w:pPr>
        <w:pStyle w:val="ListParagraph"/>
        <w:numPr>
          <w:ilvl w:val="0"/>
          <w:numId w:val="32"/>
        </w:numPr>
      </w:pPr>
      <w:r>
        <w:t>n</w:t>
      </w:r>
      <w:r w:rsidRPr="00065C43">
        <w:t>ormal triglyceride levels (fasting plasma triglycerid</w:t>
      </w:r>
      <w:r>
        <w:t xml:space="preserve">es ≤ 1.7 </w:t>
      </w:r>
      <w:proofErr w:type="spellStart"/>
      <w:r>
        <w:t>mmol</w:t>
      </w:r>
      <w:proofErr w:type="spellEnd"/>
      <w:r>
        <w:t>/L); and</w:t>
      </w:r>
    </w:p>
    <w:p w14:paraId="62692671" w14:textId="77777777" w:rsidR="00DB5D42" w:rsidRDefault="00DB5D42" w:rsidP="00533A7C">
      <w:pPr>
        <w:pStyle w:val="ListParagraph"/>
        <w:numPr>
          <w:ilvl w:val="0"/>
          <w:numId w:val="32"/>
        </w:numPr>
      </w:pPr>
      <w:proofErr w:type="gramStart"/>
      <w:r>
        <w:t>e</w:t>
      </w:r>
      <w:r w:rsidRPr="00065C43">
        <w:t>levated</w:t>
      </w:r>
      <w:proofErr w:type="gramEnd"/>
      <w:r w:rsidRPr="00065C43">
        <w:t xml:space="preserve"> </w:t>
      </w:r>
      <w:proofErr w:type="spellStart"/>
      <w:r>
        <w:t>glycated</w:t>
      </w:r>
      <w:proofErr w:type="spellEnd"/>
      <w:r>
        <w:t xml:space="preserve"> haemoglobin (</w:t>
      </w:r>
      <w:r w:rsidRPr="00065C43">
        <w:t>HbA</w:t>
      </w:r>
      <w:r w:rsidRPr="007C0682">
        <w:rPr>
          <w:vertAlign w:val="subscript"/>
        </w:rPr>
        <w:t>1c</w:t>
      </w:r>
      <w:r w:rsidRPr="00065C43">
        <w:t xml:space="preserve"> ≥ 7.5% and ≤ 10%).</w:t>
      </w:r>
    </w:p>
    <w:p w14:paraId="76F49E4E" w14:textId="77777777" w:rsidR="00DB5D42" w:rsidRDefault="00DB5D42" w:rsidP="00DB5D42"/>
    <w:p w14:paraId="216A0DB3" w14:textId="77777777" w:rsidR="00DB5D42" w:rsidRDefault="00DB5D42" w:rsidP="00DB5D42">
      <w:r>
        <w:t>The applicant stated that GCM therapy should be considered after the failure of a pharmacological agent combination of at least three Pharmaceutical Benefits Scheme (PBS) listed therapies, and is an alternative to injected pharmacological agents, continued inadequately controlled oral pharmacological agents and bariatric surgery.</w:t>
      </w:r>
    </w:p>
    <w:p w14:paraId="7C9C4D23" w14:textId="77777777" w:rsidR="00DB5D42" w:rsidRDefault="00DB5D42" w:rsidP="00DB5D42"/>
    <w:p w14:paraId="53B2EE42" w14:textId="77777777"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126B4607" w14:textId="77777777" w:rsidR="00BC1364" w:rsidRPr="00B07DD9" w:rsidRDefault="00BC1364" w:rsidP="00DD2858">
      <w:pPr>
        <w:rPr>
          <w:szCs w:val="24"/>
        </w:rPr>
      </w:pPr>
    </w:p>
    <w:p w14:paraId="386A2B2C" w14:textId="2AA75015" w:rsidR="00DB5D42" w:rsidRDefault="00DB5D42" w:rsidP="00DB5D42">
      <w:pPr>
        <w:tabs>
          <w:tab w:val="left" w:pos="720"/>
          <w:tab w:val="left" w:pos="1140"/>
        </w:tabs>
        <w:rPr>
          <w:szCs w:val="24"/>
        </w:rPr>
      </w:pPr>
      <w:r>
        <w:rPr>
          <w:szCs w:val="24"/>
        </w:rPr>
        <w:t>Consumers concluded it was difficult to support the intervention as there were issues with the safety and efficacy of the intervention, in particular the short ter</w:t>
      </w:r>
      <w:r w:rsidR="00B07DD9">
        <w:rPr>
          <w:szCs w:val="24"/>
        </w:rPr>
        <w:t>m and long term adverse events.</w:t>
      </w:r>
    </w:p>
    <w:p w14:paraId="5C070C67" w14:textId="77777777" w:rsidR="00BC1364" w:rsidRPr="00B07DD9" w:rsidRDefault="00BC1364" w:rsidP="00DD2858">
      <w:pPr>
        <w:rPr>
          <w:szCs w:val="24"/>
        </w:rPr>
      </w:pPr>
    </w:p>
    <w:p w14:paraId="1573A7F5" w14:textId="77777777" w:rsidR="00BC1364" w:rsidRDefault="00BC1364" w:rsidP="007B32D1">
      <w:pPr>
        <w:pStyle w:val="Heading1"/>
        <w:numPr>
          <w:ilvl w:val="0"/>
          <w:numId w:val="23"/>
        </w:numPr>
        <w:ind w:hanging="720"/>
      </w:pPr>
      <w:r w:rsidRPr="00D90A38">
        <w:t>Proposed intervention’s place in clinical management</w:t>
      </w:r>
    </w:p>
    <w:p w14:paraId="10FF21FF" w14:textId="77777777" w:rsidR="00BC1364" w:rsidRPr="00B07DD9" w:rsidRDefault="00BC1364" w:rsidP="00DD2858">
      <w:pPr>
        <w:rPr>
          <w:szCs w:val="24"/>
        </w:rPr>
      </w:pPr>
    </w:p>
    <w:p w14:paraId="00BDDCB9" w14:textId="6B9EAF4C" w:rsidR="00B07DD9" w:rsidRDefault="00DB5D42" w:rsidP="00DB5D42">
      <w:pPr>
        <w:rPr>
          <w:bCs/>
        </w:rPr>
      </w:pPr>
      <w:r>
        <w:rPr>
          <w:bCs/>
        </w:rPr>
        <w:t>The applicant provided the following clinical management algorithm for GCM therapy.</w:t>
      </w:r>
    </w:p>
    <w:p w14:paraId="421EC446" w14:textId="77777777" w:rsidR="00B07DD9" w:rsidRDefault="00B07DD9" w:rsidP="00DB5D42">
      <w:pPr>
        <w:rPr>
          <w:bCs/>
        </w:rPr>
      </w:pPr>
    </w:p>
    <w:p w14:paraId="5EAC4D30" w14:textId="41B7ED72" w:rsidR="00DB5D42" w:rsidRDefault="00DB5D42" w:rsidP="00DB5D42">
      <w:pPr>
        <w:keepNext/>
        <w:widowControl w:val="0"/>
        <w:rPr>
          <w:rFonts w:ascii="Arial Narrow" w:hAnsi="Arial Narrow"/>
          <w:b/>
          <w:bCs/>
          <w:sz w:val="20"/>
        </w:rPr>
      </w:pPr>
      <w:r w:rsidRPr="009E65B9">
        <w:rPr>
          <w:rFonts w:ascii="Arial Narrow" w:hAnsi="Arial Narrow"/>
          <w:b/>
          <w:bCs/>
          <w:sz w:val="20"/>
        </w:rPr>
        <w:lastRenderedPageBreak/>
        <w:t>Figure 1: Clinical management algorithm for patients with T2DM and obesity and the place of GCM therapy</w:t>
      </w:r>
    </w:p>
    <w:p w14:paraId="6A05D3BC" w14:textId="77777777" w:rsidR="00DB5D42" w:rsidRPr="009E65B9" w:rsidRDefault="00DB5D42" w:rsidP="00DB5D42">
      <w:pPr>
        <w:keepNext/>
        <w:widowControl w:val="0"/>
        <w:rPr>
          <w:rFonts w:ascii="Arial Narrow" w:hAnsi="Arial Narrow"/>
          <w:b/>
          <w:bCs/>
          <w:sz w:val="20"/>
        </w:rPr>
      </w:pPr>
      <w:r>
        <w:rPr>
          <w:noProof/>
        </w:rPr>
        <w:drawing>
          <wp:inline distT="0" distB="0" distL="0" distR="0" wp14:anchorId="1D877C96" wp14:editId="25A6F213">
            <wp:extent cx="5731510" cy="3223895"/>
            <wp:effectExtent l="0" t="0" r="2540" b="0"/>
            <wp:docPr id="1" name="Picture 1" descr="The treatment algorithm for T2DM and the place of GCM therapy shows that patients with T2DM and obesity will commence exercise and diet, if this doesn’t control the diabetes the patient will commence treatment with a single oral pharmaceutical agent. If still uncontrolled the patient will commence a combination oral pharmacological agent. The next stage in the clinical management algorithm consists of 4 options – the DIAMOND system and an oral pharmacological, an injected pharmacological agent, continue the oral pharmacological agent or bariatric surgery. Options after these include nothing additional or bariatric surgery." title="Figure 1: Clinical management algorithm for patients with T2DM  and obesity and the place of GCM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ES.1 AND Figure A.5.1 Clinical management algorithm.tif"/>
                    <pic:cNvPicPr/>
                  </pic:nvPicPr>
                  <pic:blipFill>
                    <a:blip r:embed="rId1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C98D13F" w14:textId="0D05779C" w:rsidR="00DB5D42" w:rsidRPr="009E65B9" w:rsidRDefault="00DB5D42" w:rsidP="00DB5D42">
      <w:pPr>
        <w:keepNext/>
        <w:widowControl w:val="0"/>
        <w:rPr>
          <w:bCs/>
        </w:rPr>
      </w:pPr>
      <w:r w:rsidRPr="009E65B9">
        <w:rPr>
          <w:rFonts w:ascii="Arial Narrow" w:hAnsi="Arial Narrow"/>
          <w:sz w:val="20"/>
        </w:rPr>
        <w:t>Source: Figure A</w:t>
      </w:r>
      <w:proofErr w:type="gramStart"/>
      <w:r w:rsidRPr="009E65B9">
        <w:rPr>
          <w:rFonts w:ascii="Arial Narrow" w:hAnsi="Arial Narrow"/>
          <w:sz w:val="20"/>
        </w:rPr>
        <w:t>:7</w:t>
      </w:r>
      <w:proofErr w:type="gramEnd"/>
      <w:r w:rsidRPr="009E65B9">
        <w:rPr>
          <w:rFonts w:ascii="Arial Narrow" w:hAnsi="Arial Narrow"/>
          <w:sz w:val="20"/>
        </w:rPr>
        <w:t xml:space="preserve">, p26 of the </w:t>
      </w:r>
      <w:r w:rsidR="0086475A" w:rsidRPr="009E65B9">
        <w:rPr>
          <w:rFonts w:ascii="Arial Narrow" w:hAnsi="Arial Narrow"/>
          <w:sz w:val="20"/>
        </w:rPr>
        <w:t>s</w:t>
      </w:r>
      <w:r w:rsidRPr="009E65B9">
        <w:rPr>
          <w:rFonts w:ascii="Arial Narrow" w:hAnsi="Arial Narrow"/>
          <w:sz w:val="20"/>
        </w:rPr>
        <w:t>ubmission</w:t>
      </w:r>
    </w:p>
    <w:p w14:paraId="0DA06B0E" w14:textId="7E6B2634" w:rsidR="00DB5D42" w:rsidRPr="009E65B9" w:rsidRDefault="00DB5D42" w:rsidP="00DB5D42">
      <w:pPr>
        <w:keepNext/>
        <w:widowControl w:val="0"/>
        <w:rPr>
          <w:rFonts w:ascii="Arial Narrow" w:hAnsi="Arial Narrow"/>
          <w:sz w:val="20"/>
        </w:rPr>
      </w:pPr>
      <w:r w:rsidRPr="009E65B9">
        <w:rPr>
          <w:rFonts w:ascii="Arial Narrow" w:hAnsi="Arial Narrow"/>
          <w:sz w:val="20"/>
        </w:rPr>
        <w:t xml:space="preserve">DIAMOND system = gastric contractility modulation system; GCM = gastric contractility modulation; T2DM = </w:t>
      </w:r>
      <w:r w:rsidR="003965EB" w:rsidRPr="009E65B9">
        <w:rPr>
          <w:rFonts w:ascii="Arial Narrow" w:hAnsi="Arial Narrow"/>
          <w:sz w:val="20"/>
        </w:rPr>
        <w:t>t</w:t>
      </w:r>
      <w:r w:rsidRPr="009E65B9">
        <w:rPr>
          <w:rFonts w:ascii="Arial Narrow" w:hAnsi="Arial Narrow"/>
          <w:sz w:val="20"/>
        </w:rPr>
        <w:t>ype 2 diabetes mellitus</w:t>
      </w:r>
    </w:p>
    <w:p w14:paraId="5E37B3A7" w14:textId="315C85E0" w:rsidR="00DB5D42" w:rsidRDefault="00DB5D42" w:rsidP="00DB5D42"/>
    <w:p w14:paraId="3F583D21" w14:textId="27FD0EEC" w:rsidR="00BC1364" w:rsidRPr="008D5885" w:rsidRDefault="00B07DD9" w:rsidP="007B32D1">
      <w:pPr>
        <w:pStyle w:val="Heading1"/>
        <w:numPr>
          <w:ilvl w:val="0"/>
          <w:numId w:val="23"/>
        </w:numPr>
        <w:ind w:hanging="720"/>
      </w:pPr>
      <w:r>
        <w:t>Comparator</w:t>
      </w:r>
    </w:p>
    <w:p w14:paraId="372DEB50" w14:textId="77777777" w:rsidR="00BC1364" w:rsidRPr="00B07DD9" w:rsidRDefault="00BC1364" w:rsidP="00DD2858">
      <w:pPr>
        <w:rPr>
          <w:szCs w:val="24"/>
        </w:rPr>
      </w:pPr>
    </w:p>
    <w:p w14:paraId="77A92B1C" w14:textId="77777777" w:rsidR="00DB5D42" w:rsidRDefault="00DB5D42" w:rsidP="00DB5D42">
      <w:r>
        <w:t>The applicant nominated two primary comparators:</w:t>
      </w:r>
    </w:p>
    <w:p w14:paraId="2FE7C337" w14:textId="5772BE9E" w:rsidR="00DB5D42" w:rsidRPr="00C94325" w:rsidRDefault="00DB5D42" w:rsidP="00533A7C">
      <w:pPr>
        <w:pStyle w:val="ListParagraph"/>
        <w:numPr>
          <w:ilvl w:val="0"/>
          <w:numId w:val="32"/>
        </w:numPr>
        <w:rPr>
          <w:bCs/>
          <w:i/>
        </w:rPr>
      </w:pPr>
      <w:r w:rsidRPr="00533A7C">
        <w:t>injectable</w:t>
      </w:r>
      <w:r w:rsidRPr="00C94325">
        <w:rPr>
          <w:bCs/>
        </w:rPr>
        <w:t xml:space="preserve"> anti-diabetic therapy, i</w:t>
      </w:r>
      <w:r>
        <w:rPr>
          <w:bCs/>
        </w:rPr>
        <w:t xml:space="preserve">ncluding insulins and </w:t>
      </w:r>
      <w:proofErr w:type="spellStart"/>
      <w:r>
        <w:rPr>
          <w:bCs/>
        </w:rPr>
        <w:t>exenatide</w:t>
      </w:r>
      <w:proofErr w:type="spellEnd"/>
    </w:p>
    <w:p w14:paraId="6938DA23" w14:textId="6807A6DC" w:rsidR="00DB5D42" w:rsidRDefault="00DB5D42" w:rsidP="00533A7C">
      <w:pPr>
        <w:pStyle w:val="ListParagraph"/>
        <w:numPr>
          <w:ilvl w:val="0"/>
          <w:numId w:val="32"/>
        </w:numPr>
      </w:pPr>
      <w:proofErr w:type="gramStart"/>
      <w:r w:rsidRPr="00C23D51">
        <w:rPr>
          <w:bCs/>
        </w:rPr>
        <w:t>oral</w:t>
      </w:r>
      <w:proofErr w:type="gramEnd"/>
      <w:r w:rsidRPr="00C23D51">
        <w:rPr>
          <w:bCs/>
        </w:rPr>
        <w:t xml:space="preserve"> anti-diabetic therapy, which includes all PBS available oral medications. In the economic modelling</w:t>
      </w:r>
      <w:r w:rsidR="00B07DD9">
        <w:rPr>
          <w:bCs/>
        </w:rPr>
        <w:t>,</w:t>
      </w:r>
      <w:r w:rsidRPr="00C23D51">
        <w:rPr>
          <w:bCs/>
        </w:rPr>
        <w:t xml:space="preserve"> metformin, a sulfonylurea and a </w:t>
      </w:r>
      <w:proofErr w:type="spellStart"/>
      <w:r w:rsidRPr="00C23D51">
        <w:rPr>
          <w:bCs/>
        </w:rPr>
        <w:t>dipeptidyl</w:t>
      </w:r>
      <w:proofErr w:type="spellEnd"/>
      <w:r w:rsidRPr="00C23D51">
        <w:rPr>
          <w:bCs/>
        </w:rPr>
        <w:t xml:space="preserve"> p</w:t>
      </w:r>
      <w:r w:rsidR="00B07DD9">
        <w:rPr>
          <w:bCs/>
        </w:rPr>
        <w:t>eptidase-4 inhibitor were used.</w:t>
      </w:r>
    </w:p>
    <w:p w14:paraId="451563A8" w14:textId="77777777" w:rsidR="00DB5D42" w:rsidRDefault="00DB5D42" w:rsidP="00B07DD9"/>
    <w:p w14:paraId="609CEFEF" w14:textId="5CAA3DB8" w:rsidR="00DB5D42" w:rsidRDefault="00DB5D42" w:rsidP="00DB5D42">
      <w:r>
        <w:t xml:space="preserve">The applicant noted that bariatric surgery was recommended as an appropriate comparator by the </w:t>
      </w:r>
      <w:r w:rsidRPr="006D2B18">
        <w:t xml:space="preserve">Protocol Advisory Sub-Committee </w:t>
      </w:r>
      <w:r w:rsidR="00B07DD9">
        <w:t xml:space="preserve">(PASC). </w:t>
      </w:r>
      <w:r>
        <w:t xml:space="preserve">Although the </w:t>
      </w:r>
      <w:r w:rsidR="0086475A">
        <w:t>s</w:t>
      </w:r>
      <w:r>
        <w:t>ubmission did not consider bariatric surgery an appropriate comparator, a secondary analysis of GCM therapy compared to adjustable gastric bandi</w:t>
      </w:r>
      <w:r w:rsidR="00B07DD9">
        <w:t>ng was provided as an appendix.</w:t>
      </w:r>
    </w:p>
    <w:p w14:paraId="7FAD7DBC" w14:textId="77777777" w:rsidR="00DB5D42" w:rsidRDefault="00DB5D42" w:rsidP="00B07DD9"/>
    <w:p w14:paraId="3DBD944D" w14:textId="3E4ACBC1" w:rsidR="00DB5D42" w:rsidRPr="00036C93" w:rsidRDefault="00DB5D42" w:rsidP="00DB5D42">
      <w:r w:rsidRPr="00036C93">
        <w:t>ESC noted that although the nominated comparators, oral and injectable anti-diabetic agents, are appropriate, the clinical evidence presented in the submission does not adequately compare GCM therap</w:t>
      </w:r>
      <w:r w:rsidR="00B07DD9">
        <w:t>y to either of the comparators.</w:t>
      </w:r>
    </w:p>
    <w:p w14:paraId="2CEF2351" w14:textId="77777777" w:rsidR="00BC1364" w:rsidRPr="00B07DD9" w:rsidRDefault="00BC1364" w:rsidP="00DD2858">
      <w:pPr>
        <w:rPr>
          <w:szCs w:val="24"/>
        </w:rPr>
      </w:pPr>
    </w:p>
    <w:p w14:paraId="6D2AAFFE" w14:textId="77777777" w:rsidR="00BC1364" w:rsidRPr="008D5885" w:rsidRDefault="00BC1364" w:rsidP="007B32D1">
      <w:pPr>
        <w:pStyle w:val="Heading1"/>
        <w:numPr>
          <w:ilvl w:val="0"/>
          <w:numId w:val="23"/>
        </w:numPr>
        <w:ind w:hanging="720"/>
      </w:pPr>
      <w:r w:rsidRPr="008D5885">
        <w:t>Comparative safety</w:t>
      </w:r>
    </w:p>
    <w:p w14:paraId="19AE8DC0" w14:textId="77777777" w:rsidR="00BC1364" w:rsidRPr="00B07DD9" w:rsidRDefault="00BC1364" w:rsidP="00DD2858">
      <w:pPr>
        <w:pStyle w:val="ListParagraph"/>
        <w:ind w:left="0"/>
        <w:rPr>
          <w:szCs w:val="24"/>
        </w:rPr>
      </w:pPr>
    </w:p>
    <w:p w14:paraId="5880B692" w14:textId="63A342D6" w:rsidR="00DB5D42" w:rsidRDefault="00DB5D42" w:rsidP="00DB5D42">
      <w:r>
        <w:t>The applicant noted that</w:t>
      </w:r>
      <w:r w:rsidR="00B07DD9">
        <w:t>,</w:t>
      </w:r>
      <w:r>
        <w:t xml:space="preserve"> as safety was not an outcome of the trial or studies evaluated in the submission, no comparative safety information was presented. Instead, data from 138 patients implanted with the GCM device from the applicant’s internal database were analysed. This identified that 43% of adverse events were related to the implantation procedure and included events such as abdominal vibration, pressure pain from the device, infection and bloating, and 85% of adverse events were mild or moderate.</w:t>
      </w:r>
    </w:p>
    <w:p w14:paraId="5CE8E53D" w14:textId="77777777" w:rsidR="00DB5D42" w:rsidRDefault="00DB5D42" w:rsidP="00DB5D42"/>
    <w:p w14:paraId="6DAF4C12" w14:textId="0008BC04" w:rsidR="00DB5D42" w:rsidRDefault="00DB5D42" w:rsidP="00DB5D42">
      <w:pPr>
        <w:rPr>
          <w:bCs/>
          <w:szCs w:val="24"/>
        </w:rPr>
      </w:pPr>
      <w:r w:rsidRPr="00943047">
        <w:rPr>
          <w:szCs w:val="24"/>
        </w:rPr>
        <w:t>The applicant indicated that</w:t>
      </w:r>
      <w:r w:rsidR="00B07DD9">
        <w:rPr>
          <w:szCs w:val="24"/>
        </w:rPr>
        <w:t>,</w:t>
      </w:r>
      <w:r w:rsidRPr="00943047">
        <w:rPr>
          <w:szCs w:val="24"/>
        </w:rPr>
        <w:t xml:space="preserve"> w</w:t>
      </w:r>
      <w:r w:rsidRPr="00943047">
        <w:rPr>
          <w:bCs/>
          <w:szCs w:val="24"/>
        </w:rPr>
        <w:t xml:space="preserve">hile safety data from the clinical trials was not presented in the submission, an analysis of all adverse events for the DIAMOND™ system was presented in </w:t>
      </w:r>
      <w:r w:rsidRPr="00943047">
        <w:rPr>
          <w:bCs/>
          <w:szCs w:val="24"/>
        </w:rPr>
        <w:lastRenderedPageBreak/>
        <w:t>Sec</w:t>
      </w:r>
      <w:r w:rsidR="00B07DD9">
        <w:rPr>
          <w:bCs/>
          <w:szCs w:val="24"/>
        </w:rPr>
        <w:t xml:space="preserve">tion B.7 of the submission. </w:t>
      </w:r>
      <w:r w:rsidRPr="00943047">
        <w:rPr>
          <w:bCs/>
          <w:szCs w:val="24"/>
        </w:rPr>
        <w:t>One of the analyses included 138 patients, and the results show</w:t>
      </w:r>
      <w:r w:rsidR="00B07DD9">
        <w:rPr>
          <w:bCs/>
          <w:szCs w:val="24"/>
        </w:rPr>
        <w:t>ed</w:t>
      </w:r>
      <w:r w:rsidRPr="00943047">
        <w:rPr>
          <w:bCs/>
          <w:szCs w:val="24"/>
        </w:rPr>
        <w:t xml:space="preserve"> that the majority of AEs were mild to moderate (85%), anticipated</w:t>
      </w:r>
      <w:r>
        <w:rPr>
          <w:bCs/>
          <w:szCs w:val="24"/>
        </w:rPr>
        <w:t xml:space="preserve"> and resolved without </w:t>
      </w:r>
      <w:proofErr w:type="spellStart"/>
      <w:r>
        <w:rPr>
          <w:bCs/>
          <w:szCs w:val="24"/>
        </w:rPr>
        <w:t>sequelae</w:t>
      </w:r>
      <w:proofErr w:type="spellEnd"/>
      <w:r>
        <w:rPr>
          <w:bCs/>
          <w:szCs w:val="24"/>
        </w:rPr>
        <w:t>.</w:t>
      </w:r>
    </w:p>
    <w:p w14:paraId="7906327E" w14:textId="77777777" w:rsidR="00DB5D42" w:rsidRDefault="00DB5D42" w:rsidP="00DB5D42">
      <w:pPr>
        <w:rPr>
          <w:bCs/>
          <w:szCs w:val="24"/>
        </w:rPr>
      </w:pPr>
    </w:p>
    <w:p w14:paraId="7DCBF199" w14:textId="481D0B66" w:rsidR="00DB5D42" w:rsidRPr="00943047" w:rsidRDefault="00DB5D42" w:rsidP="00DB5D42">
      <w:pPr>
        <w:rPr>
          <w:bCs/>
          <w:szCs w:val="24"/>
        </w:rPr>
      </w:pPr>
      <w:r w:rsidRPr="00943047">
        <w:rPr>
          <w:bCs/>
          <w:szCs w:val="24"/>
        </w:rPr>
        <w:t>Additionally, the period of 3 years is considered reasonable. Even though treatment will be used for more than 3 years, it is uncommon for chronic treatment to have trials of longer durations, and the 3</w:t>
      </w:r>
      <w:r w:rsidR="00B07DD9">
        <w:rPr>
          <w:bCs/>
          <w:szCs w:val="24"/>
        </w:rPr>
        <w:t>-</w:t>
      </w:r>
      <w:r w:rsidRPr="00943047">
        <w:rPr>
          <w:bCs/>
          <w:szCs w:val="24"/>
        </w:rPr>
        <w:t>year period is considered sufficient to assess the overall safety and efficacy of GCM therapy. Three years of data is in line with other data sets provided by former devices approved by MSAC. Furthermore, the three year data provides significantly longer data than recently approved T2DM medications on the PBS.</w:t>
      </w:r>
    </w:p>
    <w:p w14:paraId="7098CC98" w14:textId="77777777" w:rsidR="00BC1364" w:rsidRPr="00B07DD9" w:rsidRDefault="00BC1364" w:rsidP="00DD2858">
      <w:pPr>
        <w:pStyle w:val="ListParagraph"/>
        <w:ind w:left="0"/>
        <w:rPr>
          <w:szCs w:val="24"/>
        </w:rPr>
      </w:pPr>
    </w:p>
    <w:p w14:paraId="30EDC9DF" w14:textId="77777777" w:rsidR="00BC1364" w:rsidRPr="008D5885" w:rsidRDefault="00BC1364" w:rsidP="007B32D1">
      <w:pPr>
        <w:pStyle w:val="Heading1"/>
        <w:numPr>
          <w:ilvl w:val="0"/>
          <w:numId w:val="23"/>
        </w:numPr>
        <w:ind w:hanging="720"/>
      </w:pPr>
      <w:r w:rsidRPr="008D5885">
        <w:t>Comparative effectiveness</w:t>
      </w:r>
    </w:p>
    <w:p w14:paraId="2D664428" w14:textId="77777777" w:rsidR="00BC1364" w:rsidRPr="00B07DD9" w:rsidRDefault="00BC1364" w:rsidP="00DD2858"/>
    <w:p w14:paraId="47518BB2" w14:textId="56D8530A" w:rsidR="00DB5D42" w:rsidRPr="00082235" w:rsidRDefault="00DB5D42" w:rsidP="00DB5D42">
      <w:pPr>
        <w:rPr>
          <w:i/>
        </w:rPr>
      </w:pPr>
      <w:r>
        <w:t>The applicant noted that the basis of the assessment of GCM therapy effectiveness was formed by three studies: one cross-over trial, one case-control study and a long-term retrospective study. The applicant claimed that GCM therapy is superior in terms of efficacy compared to oral and i</w:t>
      </w:r>
      <w:r w:rsidR="00B07DD9">
        <w:t>njectable anti-diabetic agents.</w:t>
      </w:r>
    </w:p>
    <w:p w14:paraId="1E690B5A" w14:textId="77777777" w:rsidR="00DB5D42" w:rsidRPr="00B07DD9" w:rsidRDefault="00DB5D42" w:rsidP="00DB5D42"/>
    <w:p w14:paraId="3EE52D73" w14:textId="77777777" w:rsidR="00DB5D42" w:rsidRDefault="00DB5D42" w:rsidP="00DB5D42">
      <w:r>
        <w:t>The applicant stated t</w:t>
      </w:r>
      <w:r w:rsidRPr="00407789">
        <w:t xml:space="preserve">he primary outcome of all the studies reviewed in the </w:t>
      </w:r>
      <w:r>
        <w:t>submission wa</w:t>
      </w:r>
      <w:r w:rsidRPr="00407789">
        <w:t>s change in HbA</w:t>
      </w:r>
      <w:r w:rsidRPr="005320DC">
        <w:rPr>
          <w:vertAlign w:val="subscript"/>
        </w:rPr>
        <w:t>1c</w:t>
      </w:r>
      <w:r w:rsidRPr="00407789">
        <w:t xml:space="preserve"> from baseline. The pivotal cross-over trial compare</w:t>
      </w:r>
      <w:r>
        <w:t>d</w:t>
      </w:r>
      <w:r w:rsidRPr="00407789">
        <w:t xml:space="preserve"> active GCM therapy to a control of no</w:t>
      </w:r>
      <w:r>
        <w:t xml:space="preserve"> GCM therapy in patients who were</w:t>
      </w:r>
      <w:r w:rsidRPr="00407789">
        <w:t xml:space="preserve"> ‘inadequately treated’</w:t>
      </w:r>
      <w:r>
        <w:t xml:space="preserve"> and no information was provided about what constituted inadequate treatment; however, the submission used this trial to compare GCM therapy with oral anti-diabetic agents. </w:t>
      </w:r>
      <w:r w:rsidRPr="00407789">
        <w:t xml:space="preserve">The results are provided in </w:t>
      </w:r>
      <w:r>
        <w:t>the table below.</w:t>
      </w:r>
    </w:p>
    <w:p w14:paraId="790D5FA1" w14:textId="43F6966D" w:rsidR="00DB5D42" w:rsidRPr="00407789" w:rsidRDefault="00DB5D42" w:rsidP="00DB5D42"/>
    <w:p w14:paraId="111A8EF0" w14:textId="1D4B31DB" w:rsidR="00DB5D42" w:rsidRDefault="00DB5D42" w:rsidP="00DB5D42">
      <w:pPr>
        <w:keepNext/>
        <w:rPr>
          <w:rFonts w:ascii="Arial Narrow" w:hAnsi="Arial Narrow"/>
          <w:b/>
          <w:sz w:val="20"/>
        </w:rPr>
      </w:pPr>
      <w:r w:rsidRPr="00A84F3D">
        <w:rPr>
          <w:rFonts w:ascii="Arial Narrow" w:hAnsi="Arial Narrow"/>
          <w:b/>
          <w:sz w:val="20"/>
        </w:rPr>
        <w:t xml:space="preserve">Table </w:t>
      </w:r>
      <w:r w:rsidR="00B07DD9">
        <w:rPr>
          <w:rFonts w:ascii="Arial Narrow" w:hAnsi="Arial Narrow"/>
          <w:b/>
          <w:sz w:val="20"/>
        </w:rPr>
        <w:t>1</w:t>
      </w:r>
      <w:r w:rsidRPr="00A84F3D">
        <w:rPr>
          <w:rFonts w:ascii="Arial Narrow" w:hAnsi="Arial Narrow"/>
          <w:b/>
          <w:sz w:val="20"/>
        </w:rPr>
        <w:t>: Results of change in HbA</w:t>
      </w:r>
      <w:r w:rsidRPr="00A84F3D">
        <w:rPr>
          <w:rFonts w:ascii="Arial Narrow" w:hAnsi="Arial Narrow"/>
          <w:b/>
          <w:sz w:val="20"/>
          <w:vertAlign w:val="subscript"/>
        </w:rPr>
        <w:t>1c</w:t>
      </w:r>
      <w:r w:rsidRPr="00A84F3D">
        <w:rPr>
          <w:rFonts w:ascii="Arial Narrow" w:hAnsi="Arial Narrow"/>
          <w:b/>
          <w:sz w:val="20"/>
        </w:rPr>
        <w:t xml:space="preserve"> from baseline in </w:t>
      </w:r>
      <w:r w:rsidR="00B07DD9">
        <w:rPr>
          <w:rFonts w:ascii="Arial Narrow" w:hAnsi="Arial Narrow"/>
          <w:b/>
          <w:sz w:val="20"/>
        </w:rPr>
        <w:t>the randomised cross-over trial</w:t>
      </w:r>
    </w:p>
    <w:p w14:paraId="7DE94CD7" w14:textId="4B8D3941" w:rsidR="00EA761E" w:rsidRPr="00A84F3D" w:rsidRDefault="00EA761E" w:rsidP="00EA761E">
      <w:pPr>
        <w:keepNext/>
        <w:rPr>
          <w:rFonts w:ascii="Arial Narrow" w:hAnsi="Arial Narrow"/>
          <w:b/>
          <w:sz w:val="20"/>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ES.2: Results of change in HbA1c from baseline in the randomised cross-over trial"/>
        <w:tblDescription w:val="Results from the cross-over trial in terms of change from baseline in HbA1c levels"/>
      </w:tblPr>
      <w:tblGrid>
        <w:gridCol w:w="2293"/>
        <w:gridCol w:w="1984"/>
        <w:gridCol w:w="1843"/>
        <w:gridCol w:w="1843"/>
        <w:gridCol w:w="1127"/>
      </w:tblGrid>
      <w:tr w:rsidR="00EA761E" w:rsidRPr="006B6F55" w14:paraId="29966ECC" w14:textId="77777777" w:rsidTr="00B5322E">
        <w:trPr>
          <w:cantSplit/>
          <w:tblHeader/>
        </w:trPr>
        <w:tc>
          <w:tcPr>
            <w:tcW w:w="1261" w:type="pct"/>
            <w:vAlign w:val="center"/>
          </w:tcPr>
          <w:p w14:paraId="7A35E2EA" w14:textId="77777777" w:rsidR="00EA761E" w:rsidRPr="003C478C" w:rsidRDefault="00EA761E" w:rsidP="00632A76">
            <w:pPr>
              <w:pStyle w:val="Tabletextboldleft"/>
              <w:widowControl w:val="0"/>
            </w:pPr>
            <w:r w:rsidRPr="003C478C">
              <w:t>HbA</w:t>
            </w:r>
            <w:r w:rsidRPr="003C478C">
              <w:rPr>
                <w:vertAlign w:val="subscript"/>
              </w:rPr>
              <w:t>1c</w:t>
            </w:r>
          </w:p>
        </w:tc>
        <w:tc>
          <w:tcPr>
            <w:tcW w:w="1091" w:type="pct"/>
          </w:tcPr>
          <w:p w14:paraId="004F3328" w14:textId="77777777" w:rsidR="00EA761E" w:rsidRDefault="00EA761E" w:rsidP="00632A76">
            <w:pPr>
              <w:pStyle w:val="Tabletextbold"/>
              <w:widowControl w:val="0"/>
            </w:pPr>
            <w:r w:rsidRPr="0018034E">
              <w:t>Group A</w:t>
            </w:r>
            <w:r>
              <w:t xml:space="preserve"> </w:t>
            </w:r>
            <w:proofErr w:type="spellStart"/>
            <w:r w:rsidRPr="00BF4CD3">
              <w:rPr>
                <w:vertAlign w:val="superscript"/>
              </w:rPr>
              <w:t>a</w:t>
            </w:r>
            <w:proofErr w:type="spellEnd"/>
          </w:p>
          <w:p w14:paraId="796A3AA7" w14:textId="77777777" w:rsidR="00EA761E" w:rsidRDefault="00EA761E" w:rsidP="00632A76">
            <w:pPr>
              <w:pStyle w:val="Tabletextbold"/>
              <w:widowControl w:val="0"/>
            </w:pPr>
            <w:r>
              <w:t>(active/control)</w:t>
            </w:r>
          </w:p>
          <w:p w14:paraId="7B59108D" w14:textId="77777777" w:rsidR="00EA761E" w:rsidRPr="0018034E" w:rsidRDefault="00EA761E" w:rsidP="00632A76">
            <w:pPr>
              <w:pStyle w:val="Tabletextbold"/>
              <w:widowControl w:val="0"/>
            </w:pPr>
            <w:r>
              <w:t>n = 19</w:t>
            </w:r>
          </w:p>
        </w:tc>
        <w:tc>
          <w:tcPr>
            <w:tcW w:w="1014" w:type="pct"/>
          </w:tcPr>
          <w:p w14:paraId="22DCF16D" w14:textId="77777777" w:rsidR="00EA761E" w:rsidRPr="0018034E" w:rsidRDefault="00EA761E" w:rsidP="00632A76">
            <w:pPr>
              <w:pStyle w:val="Tabletextbold"/>
              <w:widowControl w:val="0"/>
            </w:pPr>
            <w:r w:rsidRPr="0018034E">
              <w:t>Group B</w:t>
            </w:r>
            <w:r>
              <w:t xml:space="preserve"> </w:t>
            </w:r>
            <w:proofErr w:type="spellStart"/>
            <w:r w:rsidRPr="00BF4CD3">
              <w:rPr>
                <w:vertAlign w:val="superscript"/>
              </w:rPr>
              <w:t>b</w:t>
            </w:r>
            <w:proofErr w:type="spellEnd"/>
          </w:p>
          <w:p w14:paraId="1126B459" w14:textId="77777777" w:rsidR="00EA761E" w:rsidRPr="0018034E" w:rsidRDefault="00EA761E" w:rsidP="00632A76">
            <w:pPr>
              <w:pStyle w:val="Tabletextbold"/>
              <w:widowControl w:val="0"/>
            </w:pPr>
            <w:r w:rsidRPr="0018034E">
              <w:t>(</w:t>
            </w:r>
            <w:r>
              <w:t>control/active</w:t>
            </w:r>
            <w:r w:rsidRPr="0018034E">
              <w:t>)</w:t>
            </w:r>
          </w:p>
          <w:p w14:paraId="14E17454" w14:textId="77777777" w:rsidR="00EA761E" w:rsidRDefault="00EA761E" w:rsidP="00632A76">
            <w:pPr>
              <w:pStyle w:val="Tabletextbold"/>
              <w:widowControl w:val="0"/>
              <w:rPr>
                <w:sz w:val="24"/>
                <w:szCs w:val="24"/>
              </w:rPr>
            </w:pPr>
            <w:r w:rsidRPr="0018034E">
              <w:t>n = 24</w:t>
            </w:r>
          </w:p>
        </w:tc>
        <w:tc>
          <w:tcPr>
            <w:tcW w:w="1014" w:type="pct"/>
            <w:vAlign w:val="center"/>
          </w:tcPr>
          <w:p w14:paraId="2838849F" w14:textId="77777777" w:rsidR="00EA761E" w:rsidRPr="0018034E" w:rsidRDefault="00EA761E" w:rsidP="00632A76">
            <w:pPr>
              <w:pStyle w:val="Tabletextbold"/>
              <w:widowControl w:val="0"/>
            </w:pPr>
            <w:r w:rsidRPr="0018034E">
              <w:t>Difference</w:t>
            </w:r>
          </w:p>
          <w:p w14:paraId="1B4493E4" w14:textId="77777777" w:rsidR="00EA761E" w:rsidRPr="0018034E" w:rsidRDefault="00EA761E" w:rsidP="00632A76">
            <w:pPr>
              <w:pStyle w:val="Tabletextbold"/>
              <w:widowControl w:val="0"/>
            </w:pPr>
            <w:r>
              <w:t>(g</w:t>
            </w:r>
            <w:r w:rsidRPr="0018034E">
              <w:t xml:space="preserve">roup A – </w:t>
            </w:r>
            <w:r>
              <w:t>g</w:t>
            </w:r>
            <w:r w:rsidRPr="0018034E">
              <w:t>roup B</w:t>
            </w:r>
            <w:r>
              <w:t>)</w:t>
            </w:r>
          </w:p>
        </w:tc>
        <w:tc>
          <w:tcPr>
            <w:tcW w:w="620" w:type="pct"/>
            <w:vAlign w:val="center"/>
          </w:tcPr>
          <w:p w14:paraId="30EA5A49" w14:textId="77777777" w:rsidR="00EA761E" w:rsidRPr="0018034E" w:rsidRDefault="00EA761E" w:rsidP="00632A76">
            <w:pPr>
              <w:pStyle w:val="Tabletextbold"/>
              <w:widowControl w:val="0"/>
            </w:pPr>
            <w:r>
              <w:t>p-value</w:t>
            </w:r>
          </w:p>
        </w:tc>
      </w:tr>
      <w:tr w:rsidR="00EA761E" w:rsidRPr="0018034E" w14:paraId="66B01145" w14:textId="77777777" w:rsidTr="00B5322E">
        <w:trPr>
          <w:cantSplit/>
        </w:trPr>
        <w:tc>
          <w:tcPr>
            <w:tcW w:w="1261" w:type="pct"/>
          </w:tcPr>
          <w:p w14:paraId="0B255E81" w14:textId="77777777" w:rsidR="00EA761E" w:rsidRPr="00B319AA" w:rsidRDefault="00EA761E" w:rsidP="00632A76">
            <w:pPr>
              <w:pStyle w:val="Tabletext"/>
              <w:keepNext/>
              <w:widowControl w:val="0"/>
              <w:rPr>
                <w:b/>
              </w:rPr>
            </w:pPr>
            <w:r w:rsidRPr="00B319AA">
              <w:rPr>
                <w:b/>
              </w:rPr>
              <w:t>HbA</w:t>
            </w:r>
            <w:r w:rsidRPr="00B319AA">
              <w:rPr>
                <w:b/>
                <w:vertAlign w:val="subscript"/>
              </w:rPr>
              <w:t>1c</w:t>
            </w:r>
            <w:r w:rsidRPr="00B319AA">
              <w:rPr>
                <w:b/>
              </w:rPr>
              <w:t xml:space="preserve"> level; %</w:t>
            </w:r>
            <w:r>
              <w:rPr>
                <w:b/>
              </w:rPr>
              <w:t xml:space="preserve"> (SE)</w:t>
            </w:r>
          </w:p>
        </w:tc>
        <w:tc>
          <w:tcPr>
            <w:tcW w:w="1091" w:type="pct"/>
          </w:tcPr>
          <w:p w14:paraId="33A73EE6" w14:textId="77777777" w:rsidR="00EA761E" w:rsidRPr="0018034E" w:rsidRDefault="00EA761E" w:rsidP="00632A76">
            <w:pPr>
              <w:pStyle w:val="Tabletext"/>
              <w:keepNext/>
              <w:widowControl w:val="0"/>
              <w:jc w:val="center"/>
            </w:pPr>
            <w:r>
              <w:t>-</w:t>
            </w:r>
          </w:p>
        </w:tc>
        <w:tc>
          <w:tcPr>
            <w:tcW w:w="1014" w:type="pct"/>
          </w:tcPr>
          <w:p w14:paraId="3224D4B3" w14:textId="77777777" w:rsidR="00EA761E" w:rsidRPr="0018034E" w:rsidRDefault="00EA761E" w:rsidP="00632A76">
            <w:pPr>
              <w:pStyle w:val="Tabletext"/>
              <w:keepNext/>
              <w:widowControl w:val="0"/>
              <w:jc w:val="center"/>
            </w:pPr>
            <w:r>
              <w:t>-</w:t>
            </w:r>
          </w:p>
        </w:tc>
        <w:tc>
          <w:tcPr>
            <w:tcW w:w="1014" w:type="pct"/>
          </w:tcPr>
          <w:p w14:paraId="4A009405" w14:textId="77777777" w:rsidR="00EA761E" w:rsidRPr="0018034E" w:rsidRDefault="00EA761E" w:rsidP="00632A76">
            <w:pPr>
              <w:pStyle w:val="Tabletext"/>
              <w:keepNext/>
              <w:widowControl w:val="0"/>
              <w:jc w:val="center"/>
            </w:pPr>
            <w:r>
              <w:t>-</w:t>
            </w:r>
          </w:p>
        </w:tc>
        <w:tc>
          <w:tcPr>
            <w:tcW w:w="620" w:type="pct"/>
          </w:tcPr>
          <w:p w14:paraId="133B581D" w14:textId="77777777" w:rsidR="00EA761E" w:rsidRPr="0018034E" w:rsidRDefault="00EA761E" w:rsidP="00632A76">
            <w:pPr>
              <w:pStyle w:val="Tabletext"/>
              <w:keepNext/>
              <w:widowControl w:val="0"/>
              <w:jc w:val="center"/>
            </w:pPr>
            <w:r>
              <w:t>-</w:t>
            </w:r>
          </w:p>
        </w:tc>
      </w:tr>
      <w:tr w:rsidR="00EA761E" w:rsidRPr="0018034E" w14:paraId="492DB7E1" w14:textId="77777777" w:rsidTr="00632A76">
        <w:trPr>
          <w:cantSplit/>
        </w:trPr>
        <w:tc>
          <w:tcPr>
            <w:tcW w:w="1261" w:type="pct"/>
          </w:tcPr>
          <w:p w14:paraId="0B9381E0" w14:textId="77777777" w:rsidR="00EA761E" w:rsidRPr="0018034E" w:rsidRDefault="00EA761E" w:rsidP="00632A76">
            <w:pPr>
              <w:pStyle w:val="Tabletext"/>
              <w:keepNext/>
              <w:widowControl w:val="0"/>
            </w:pPr>
            <w:r>
              <w:t xml:space="preserve">  Baseline</w:t>
            </w:r>
          </w:p>
        </w:tc>
        <w:tc>
          <w:tcPr>
            <w:tcW w:w="1091" w:type="pct"/>
          </w:tcPr>
          <w:p w14:paraId="34EA20E1" w14:textId="77777777" w:rsidR="00EA761E" w:rsidRPr="0018034E" w:rsidRDefault="00EA761E" w:rsidP="00632A76">
            <w:pPr>
              <w:pStyle w:val="Tabletext"/>
              <w:keepNext/>
              <w:widowControl w:val="0"/>
              <w:jc w:val="center"/>
            </w:pPr>
            <w:r>
              <w:t>8.33% (0.16)</w:t>
            </w:r>
          </w:p>
        </w:tc>
        <w:tc>
          <w:tcPr>
            <w:tcW w:w="1014" w:type="pct"/>
          </w:tcPr>
          <w:p w14:paraId="14FC1B8D" w14:textId="77777777" w:rsidR="00EA761E" w:rsidRPr="0018034E" w:rsidRDefault="00EA761E" w:rsidP="00632A76">
            <w:pPr>
              <w:pStyle w:val="Tabletext"/>
              <w:keepNext/>
              <w:widowControl w:val="0"/>
              <w:jc w:val="center"/>
            </w:pPr>
            <w:r>
              <w:t>8.40% (0.14)</w:t>
            </w:r>
          </w:p>
        </w:tc>
        <w:tc>
          <w:tcPr>
            <w:tcW w:w="1014" w:type="pct"/>
          </w:tcPr>
          <w:p w14:paraId="26B9B276" w14:textId="77777777" w:rsidR="00EA761E" w:rsidRPr="0018034E" w:rsidRDefault="00EA761E" w:rsidP="00632A76">
            <w:pPr>
              <w:pStyle w:val="Tabletext"/>
              <w:keepNext/>
              <w:widowControl w:val="0"/>
              <w:jc w:val="center"/>
            </w:pPr>
            <w:r>
              <w:t>-0.07%</w:t>
            </w:r>
          </w:p>
        </w:tc>
        <w:tc>
          <w:tcPr>
            <w:tcW w:w="620" w:type="pct"/>
          </w:tcPr>
          <w:p w14:paraId="3D002239" w14:textId="77777777" w:rsidR="00EA761E" w:rsidRPr="0018034E" w:rsidRDefault="00EA761E" w:rsidP="00632A76">
            <w:pPr>
              <w:pStyle w:val="Tabletext"/>
              <w:keepNext/>
              <w:widowControl w:val="0"/>
              <w:jc w:val="center"/>
            </w:pPr>
            <w:r>
              <w:t>0.76</w:t>
            </w:r>
          </w:p>
        </w:tc>
      </w:tr>
      <w:tr w:rsidR="00EA761E" w:rsidRPr="0018034E" w14:paraId="40A1962C" w14:textId="77777777" w:rsidTr="00632A76">
        <w:trPr>
          <w:cantSplit/>
          <w:trHeight w:val="149"/>
        </w:trPr>
        <w:tc>
          <w:tcPr>
            <w:tcW w:w="1261" w:type="pct"/>
          </w:tcPr>
          <w:p w14:paraId="79F3FE0A" w14:textId="77777777" w:rsidR="00EA761E" w:rsidRDefault="00EA761E" w:rsidP="00632A76">
            <w:pPr>
              <w:pStyle w:val="Tabletext"/>
              <w:keepNext/>
              <w:widowControl w:val="0"/>
            </w:pPr>
            <w:r>
              <w:t xml:space="preserve">  Week 24</w:t>
            </w:r>
          </w:p>
        </w:tc>
        <w:tc>
          <w:tcPr>
            <w:tcW w:w="1091" w:type="pct"/>
          </w:tcPr>
          <w:p w14:paraId="2065B487" w14:textId="77777777" w:rsidR="00EA761E" w:rsidRPr="0018034E" w:rsidRDefault="00EA761E" w:rsidP="00632A76">
            <w:pPr>
              <w:pStyle w:val="Tabletext"/>
              <w:keepNext/>
              <w:widowControl w:val="0"/>
              <w:jc w:val="center"/>
            </w:pPr>
            <w:r>
              <w:t>7.52% (0.29)</w:t>
            </w:r>
          </w:p>
        </w:tc>
        <w:tc>
          <w:tcPr>
            <w:tcW w:w="1014" w:type="pct"/>
          </w:tcPr>
          <w:p w14:paraId="78CB7249" w14:textId="77777777" w:rsidR="00EA761E" w:rsidRPr="0018034E" w:rsidRDefault="00EA761E" w:rsidP="00632A76">
            <w:pPr>
              <w:pStyle w:val="Tabletext"/>
              <w:keepNext/>
              <w:widowControl w:val="0"/>
              <w:jc w:val="center"/>
            </w:pPr>
            <w:r>
              <w:t>7.55% (0.19)</w:t>
            </w:r>
          </w:p>
        </w:tc>
        <w:tc>
          <w:tcPr>
            <w:tcW w:w="1014" w:type="pct"/>
          </w:tcPr>
          <w:p w14:paraId="2FEC5328" w14:textId="77777777" w:rsidR="00EA761E" w:rsidRPr="0018034E" w:rsidRDefault="00EA761E" w:rsidP="00632A76">
            <w:pPr>
              <w:pStyle w:val="Tabletext"/>
              <w:keepNext/>
              <w:widowControl w:val="0"/>
              <w:jc w:val="center"/>
            </w:pPr>
            <w:r>
              <w:t>-0.03%</w:t>
            </w:r>
          </w:p>
        </w:tc>
        <w:tc>
          <w:tcPr>
            <w:tcW w:w="620" w:type="pct"/>
          </w:tcPr>
          <w:p w14:paraId="183EE9F2" w14:textId="77777777" w:rsidR="00EA761E" w:rsidRPr="0018034E" w:rsidRDefault="00EA761E" w:rsidP="00632A76">
            <w:pPr>
              <w:pStyle w:val="Tabletext"/>
              <w:keepNext/>
              <w:widowControl w:val="0"/>
              <w:jc w:val="center"/>
            </w:pPr>
            <w:r>
              <w:t>0.46</w:t>
            </w:r>
          </w:p>
        </w:tc>
      </w:tr>
      <w:tr w:rsidR="00EA761E" w:rsidRPr="0018034E" w14:paraId="52E64131" w14:textId="77777777" w:rsidTr="00B5322E">
        <w:trPr>
          <w:cantSplit/>
        </w:trPr>
        <w:tc>
          <w:tcPr>
            <w:tcW w:w="1261" w:type="pct"/>
          </w:tcPr>
          <w:p w14:paraId="120AE4BD" w14:textId="77777777" w:rsidR="00EA761E" w:rsidRDefault="00EA761E" w:rsidP="00632A76">
            <w:pPr>
              <w:pStyle w:val="Tabletext"/>
              <w:keepNext/>
              <w:widowControl w:val="0"/>
            </w:pPr>
            <w:r>
              <w:t xml:space="preserve">  Week 48</w:t>
            </w:r>
          </w:p>
        </w:tc>
        <w:tc>
          <w:tcPr>
            <w:tcW w:w="1091" w:type="pct"/>
          </w:tcPr>
          <w:p w14:paraId="46F5D677" w14:textId="77777777" w:rsidR="00EA761E" w:rsidRPr="0018034E" w:rsidRDefault="00EA761E" w:rsidP="00632A76">
            <w:pPr>
              <w:pStyle w:val="Tabletext"/>
              <w:keepNext/>
              <w:widowControl w:val="0"/>
              <w:jc w:val="center"/>
            </w:pPr>
            <w:r>
              <w:t>8.04% (0.32)</w:t>
            </w:r>
          </w:p>
        </w:tc>
        <w:tc>
          <w:tcPr>
            <w:tcW w:w="1014" w:type="pct"/>
          </w:tcPr>
          <w:p w14:paraId="603168B9" w14:textId="77777777" w:rsidR="00EA761E" w:rsidRPr="0018034E" w:rsidRDefault="00EA761E" w:rsidP="00632A76">
            <w:pPr>
              <w:pStyle w:val="Tabletext"/>
              <w:keepNext/>
              <w:widowControl w:val="0"/>
              <w:jc w:val="center"/>
            </w:pPr>
            <w:r>
              <w:t>7.47% (0.15)</w:t>
            </w:r>
          </w:p>
        </w:tc>
        <w:tc>
          <w:tcPr>
            <w:tcW w:w="1014" w:type="pct"/>
          </w:tcPr>
          <w:p w14:paraId="628B64B6" w14:textId="77777777" w:rsidR="00EA761E" w:rsidRPr="0018034E" w:rsidRDefault="00EA761E" w:rsidP="00632A76">
            <w:pPr>
              <w:pStyle w:val="Tabletext"/>
              <w:keepNext/>
              <w:widowControl w:val="0"/>
              <w:jc w:val="center"/>
            </w:pPr>
            <w:r>
              <w:t>0.57%</w:t>
            </w:r>
          </w:p>
        </w:tc>
        <w:tc>
          <w:tcPr>
            <w:tcW w:w="620" w:type="pct"/>
          </w:tcPr>
          <w:p w14:paraId="18A37C5A" w14:textId="77777777" w:rsidR="00EA761E" w:rsidRPr="0018034E" w:rsidRDefault="00EA761E" w:rsidP="00632A76">
            <w:pPr>
              <w:pStyle w:val="Tabletext"/>
              <w:keepNext/>
              <w:widowControl w:val="0"/>
              <w:jc w:val="center"/>
            </w:pPr>
            <w:r>
              <w:t>0.05</w:t>
            </w:r>
          </w:p>
        </w:tc>
      </w:tr>
      <w:tr w:rsidR="00EA761E" w:rsidRPr="0018034E" w14:paraId="5E7CF2E4" w14:textId="77777777" w:rsidTr="00B5322E">
        <w:trPr>
          <w:cantSplit/>
        </w:trPr>
        <w:tc>
          <w:tcPr>
            <w:tcW w:w="1261" w:type="pct"/>
          </w:tcPr>
          <w:p w14:paraId="665FCCFD" w14:textId="77777777" w:rsidR="00EA761E" w:rsidRPr="00B319AA" w:rsidRDefault="00EA761E" w:rsidP="00632A76">
            <w:pPr>
              <w:pStyle w:val="Tabletext"/>
              <w:rPr>
                <w:b/>
              </w:rPr>
            </w:pPr>
            <w:r w:rsidRPr="00B319AA">
              <w:rPr>
                <w:b/>
              </w:rPr>
              <w:t>Change in HbA</w:t>
            </w:r>
            <w:r w:rsidRPr="00B319AA">
              <w:rPr>
                <w:b/>
                <w:vertAlign w:val="subscript"/>
              </w:rPr>
              <w:t>1c</w:t>
            </w:r>
            <w:r w:rsidRPr="00B319AA">
              <w:rPr>
                <w:b/>
              </w:rPr>
              <w:t>; %</w:t>
            </w:r>
            <w:r>
              <w:rPr>
                <w:b/>
              </w:rPr>
              <w:t xml:space="preserve"> (SE)</w:t>
            </w:r>
          </w:p>
        </w:tc>
        <w:tc>
          <w:tcPr>
            <w:tcW w:w="1091" w:type="pct"/>
          </w:tcPr>
          <w:p w14:paraId="0447FE19" w14:textId="77777777" w:rsidR="00EA761E" w:rsidRPr="0018034E" w:rsidRDefault="00EA761E" w:rsidP="00632A76">
            <w:pPr>
              <w:pStyle w:val="Tabletext"/>
              <w:jc w:val="center"/>
            </w:pPr>
            <w:r>
              <w:t>-</w:t>
            </w:r>
          </w:p>
        </w:tc>
        <w:tc>
          <w:tcPr>
            <w:tcW w:w="1014" w:type="pct"/>
          </w:tcPr>
          <w:p w14:paraId="58EBC60B" w14:textId="77777777" w:rsidR="00EA761E" w:rsidRPr="0018034E" w:rsidRDefault="00EA761E" w:rsidP="00632A76">
            <w:pPr>
              <w:pStyle w:val="Tabletext"/>
              <w:jc w:val="center"/>
            </w:pPr>
            <w:r>
              <w:t>-</w:t>
            </w:r>
          </w:p>
        </w:tc>
        <w:tc>
          <w:tcPr>
            <w:tcW w:w="1014" w:type="pct"/>
          </w:tcPr>
          <w:p w14:paraId="68198057" w14:textId="77777777" w:rsidR="00EA761E" w:rsidRPr="0018034E" w:rsidRDefault="00EA761E" w:rsidP="00632A76">
            <w:pPr>
              <w:pStyle w:val="Tabletext"/>
              <w:jc w:val="center"/>
            </w:pPr>
            <w:r>
              <w:t>-</w:t>
            </w:r>
          </w:p>
        </w:tc>
        <w:tc>
          <w:tcPr>
            <w:tcW w:w="620" w:type="pct"/>
          </w:tcPr>
          <w:p w14:paraId="355D7C79" w14:textId="77777777" w:rsidR="00EA761E" w:rsidRPr="0018034E" w:rsidRDefault="00EA761E" w:rsidP="00632A76">
            <w:pPr>
              <w:pStyle w:val="Tabletext"/>
              <w:jc w:val="center"/>
            </w:pPr>
            <w:r>
              <w:t>-</w:t>
            </w:r>
          </w:p>
        </w:tc>
      </w:tr>
      <w:tr w:rsidR="00EA761E" w:rsidRPr="0018034E" w14:paraId="640389F6" w14:textId="77777777" w:rsidTr="00632A76">
        <w:trPr>
          <w:cantSplit/>
        </w:trPr>
        <w:tc>
          <w:tcPr>
            <w:tcW w:w="1261" w:type="pct"/>
          </w:tcPr>
          <w:p w14:paraId="7A7EF2DC" w14:textId="77777777" w:rsidR="00EA761E" w:rsidRDefault="00EA761E" w:rsidP="00632A76">
            <w:pPr>
              <w:pStyle w:val="Tabletext"/>
            </w:pPr>
            <w:r>
              <w:t xml:space="preserve">  Week 24 – baseline</w:t>
            </w:r>
          </w:p>
        </w:tc>
        <w:tc>
          <w:tcPr>
            <w:tcW w:w="1091" w:type="pct"/>
          </w:tcPr>
          <w:p w14:paraId="7337E08C" w14:textId="77777777" w:rsidR="00EA761E" w:rsidRPr="0018034E" w:rsidRDefault="00EA761E" w:rsidP="00632A76">
            <w:pPr>
              <w:pStyle w:val="Tabletext"/>
              <w:jc w:val="center"/>
            </w:pPr>
            <w:r>
              <w:t>-0.81% (0.33)</w:t>
            </w:r>
          </w:p>
        </w:tc>
        <w:tc>
          <w:tcPr>
            <w:tcW w:w="1014" w:type="pct"/>
          </w:tcPr>
          <w:p w14:paraId="41AE5A03" w14:textId="77777777" w:rsidR="00EA761E" w:rsidRPr="0018034E" w:rsidRDefault="00EA761E" w:rsidP="00632A76">
            <w:pPr>
              <w:pStyle w:val="Tabletext"/>
              <w:jc w:val="center"/>
            </w:pPr>
            <w:r>
              <w:t>-0.85% (0.23)</w:t>
            </w:r>
          </w:p>
        </w:tc>
        <w:tc>
          <w:tcPr>
            <w:tcW w:w="1014" w:type="pct"/>
          </w:tcPr>
          <w:p w14:paraId="58C0085E" w14:textId="77777777" w:rsidR="00EA761E" w:rsidRPr="0018034E" w:rsidRDefault="00EA761E" w:rsidP="00632A76">
            <w:pPr>
              <w:pStyle w:val="Tabletext"/>
              <w:jc w:val="center"/>
            </w:pPr>
            <w:r>
              <w:t>0.04%</w:t>
            </w:r>
          </w:p>
        </w:tc>
        <w:tc>
          <w:tcPr>
            <w:tcW w:w="620" w:type="pct"/>
          </w:tcPr>
          <w:p w14:paraId="5A0DF1D6" w14:textId="77777777" w:rsidR="00EA761E" w:rsidRPr="0018034E" w:rsidRDefault="00EA761E" w:rsidP="00632A76">
            <w:pPr>
              <w:pStyle w:val="Tabletext"/>
              <w:jc w:val="center"/>
            </w:pPr>
            <w:r>
              <w:t>NS</w:t>
            </w:r>
          </w:p>
        </w:tc>
      </w:tr>
      <w:tr w:rsidR="00EA761E" w:rsidRPr="0018034E" w14:paraId="31A652D6" w14:textId="77777777" w:rsidTr="00632A76">
        <w:trPr>
          <w:cantSplit/>
        </w:trPr>
        <w:tc>
          <w:tcPr>
            <w:tcW w:w="1261" w:type="pct"/>
          </w:tcPr>
          <w:p w14:paraId="76D09FCB" w14:textId="77777777" w:rsidR="00EA761E" w:rsidRDefault="00EA761E" w:rsidP="00632A76">
            <w:pPr>
              <w:pStyle w:val="Tabletext"/>
            </w:pPr>
            <w:r>
              <w:t xml:space="preserve">  Week 48 – week 24</w:t>
            </w:r>
          </w:p>
        </w:tc>
        <w:tc>
          <w:tcPr>
            <w:tcW w:w="1091" w:type="pct"/>
          </w:tcPr>
          <w:p w14:paraId="3C8F317F" w14:textId="77777777" w:rsidR="00EA761E" w:rsidRPr="0018034E" w:rsidRDefault="00EA761E" w:rsidP="00632A76">
            <w:pPr>
              <w:pStyle w:val="Tabletext"/>
              <w:jc w:val="center"/>
            </w:pPr>
            <w:r>
              <w:t>0.52% (0.29)</w:t>
            </w:r>
          </w:p>
        </w:tc>
        <w:tc>
          <w:tcPr>
            <w:tcW w:w="1014" w:type="pct"/>
          </w:tcPr>
          <w:p w14:paraId="5C6AADA0" w14:textId="77777777" w:rsidR="00EA761E" w:rsidRPr="0018034E" w:rsidRDefault="00EA761E" w:rsidP="00632A76">
            <w:pPr>
              <w:pStyle w:val="Tabletext"/>
              <w:jc w:val="center"/>
            </w:pPr>
            <w:r>
              <w:t>-0.08% (0.14)</w:t>
            </w:r>
          </w:p>
        </w:tc>
        <w:tc>
          <w:tcPr>
            <w:tcW w:w="1014" w:type="pct"/>
          </w:tcPr>
          <w:p w14:paraId="0393C0D3" w14:textId="77777777" w:rsidR="00EA761E" w:rsidRPr="0018034E" w:rsidRDefault="00EA761E" w:rsidP="00632A76">
            <w:pPr>
              <w:pStyle w:val="Tabletext"/>
              <w:jc w:val="center"/>
            </w:pPr>
            <w:r>
              <w:t>0.60%</w:t>
            </w:r>
          </w:p>
        </w:tc>
        <w:tc>
          <w:tcPr>
            <w:tcW w:w="620" w:type="pct"/>
          </w:tcPr>
          <w:p w14:paraId="56590F21" w14:textId="77777777" w:rsidR="00EA761E" w:rsidRPr="0018034E" w:rsidRDefault="00EA761E" w:rsidP="00632A76">
            <w:pPr>
              <w:pStyle w:val="Tabletext"/>
              <w:jc w:val="center"/>
            </w:pPr>
            <w:r>
              <w:t>0.05</w:t>
            </w:r>
          </w:p>
        </w:tc>
      </w:tr>
      <w:tr w:rsidR="00EA761E" w:rsidRPr="0018034E" w14:paraId="0AE3D431" w14:textId="77777777" w:rsidTr="00632A76">
        <w:trPr>
          <w:cantSplit/>
        </w:trPr>
        <w:tc>
          <w:tcPr>
            <w:tcW w:w="1261" w:type="pct"/>
          </w:tcPr>
          <w:p w14:paraId="54C49A28" w14:textId="77777777" w:rsidR="00EA761E" w:rsidRDefault="00EA761E" w:rsidP="00632A76">
            <w:pPr>
              <w:pStyle w:val="Tabletext"/>
            </w:pPr>
            <w:r>
              <w:t xml:space="preserve">  Week 48 – baseline</w:t>
            </w:r>
          </w:p>
        </w:tc>
        <w:tc>
          <w:tcPr>
            <w:tcW w:w="1091" w:type="pct"/>
          </w:tcPr>
          <w:p w14:paraId="155AD623" w14:textId="77777777" w:rsidR="00EA761E" w:rsidRPr="0018034E" w:rsidRDefault="00EA761E" w:rsidP="00632A76">
            <w:pPr>
              <w:pStyle w:val="Tabletext"/>
              <w:jc w:val="center"/>
            </w:pPr>
            <w:r>
              <w:t>-0.29% (0.35)</w:t>
            </w:r>
          </w:p>
        </w:tc>
        <w:tc>
          <w:tcPr>
            <w:tcW w:w="1014" w:type="pct"/>
          </w:tcPr>
          <w:p w14:paraId="58D5BBE1" w14:textId="77777777" w:rsidR="00EA761E" w:rsidRPr="0018034E" w:rsidRDefault="00EA761E" w:rsidP="00632A76">
            <w:pPr>
              <w:pStyle w:val="Tabletext"/>
              <w:jc w:val="center"/>
            </w:pPr>
            <w:r>
              <w:t>-0.93% (0.19)</w:t>
            </w:r>
          </w:p>
        </w:tc>
        <w:tc>
          <w:tcPr>
            <w:tcW w:w="1014" w:type="pct"/>
          </w:tcPr>
          <w:p w14:paraId="1A95854D" w14:textId="77777777" w:rsidR="00EA761E" w:rsidRPr="0018034E" w:rsidRDefault="00EA761E" w:rsidP="00632A76">
            <w:pPr>
              <w:pStyle w:val="Tabletext"/>
              <w:jc w:val="center"/>
            </w:pPr>
            <w:r>
              <w:t>0.64%</w:t>
            </w:r>
          </w:p>
        </w:tc>
        <w:tc>
          <w:tcPr>
            <w:tcW w:w="620" w:type="pct"/>
          </w:tcPr>
          <w:p w14:paraId="75279749" w14:textId="77777777" w:rsidR="00EA761E" w:rsidRPr="0018034E" w:rsidRDefault="00EA761E" w:rsidP="00632A76">
            <w:pPr>
              <w:pStyle w:val="Tabletext"/>
              <w:jc w:val="center"/>
            </w:pPr>
            <w:r>
              <w:t>0.05</w:t>
            </w:r>
          </w:p>
        </w:tc>
      </w:tr>
    </w:tbl>
    <w:p w14:paraId="7D71C1AB" w14:textId="77777777" w:rsidR="00DB5D42" w:rsidRDefault="00DB5D42" w:rsidP="00DB5D42">
      <w:pPr>
        <w:pStyle w:val="Tablecaption"/>
      </w:pPr>
      <w:proofErr w:type="gramStart"/>
      <w:r>
        <w:t>a</w:t>
      </w:r>
      <w:proofErr w:type="gramEnd"/>
      <w:r>
        <w:t xml:space="preserve"> Group A: GCM therapy ON for weeks 1–24 (active) and OFF for weeks 25–48 (control)</w:t>
      </w:r>
    </w:p>
    <w:p w14:paraId="101FC066" w14:textId="77777777" w:rsidR="00DB5D42" w:rsidRDefault="00DB5D42" w:rsidP="00DB5D42">
      <w:pPr>
        <w:pStyle w:val="Tablecaption"/>
      </w:pPr>
      <w:proofErr w:type="gramStart"/>
      <w:r>
        <w:t>b</w:t>
      </w:r>
      <w:proofErr w:type="gramEnd"/>
      <w:r>
        <w:t xml:space="preserve"> Group B: GCM therapy OFF for weeks 1–24 (control) and ON for weeks 25–48 (active)</w:t>
      </w:r>
    </w:p>
    <w:p w14:paraId="2D24C586" w14:textId="6C96EBFC" w:rsidR="00DB5D42" w:rsidRDefault="00DB5D42" w:rsidP="00DB5D42">
      <w:pPr>
        <w:pStyle w:val="Tablecaption"/>
      </w:pPr>
      <w:r w:rsidRPr="006B6F55">
        <w:t xml:space="preserve">Source: </w:t>
      </w:r>
      <w:r>
        <w:t>Table B</w:t>
      </w:r>
      <w:proofErr w:type="gramStart"/>
      <w:r>
        <w:t>:21</w:t>
      </w:r>
      <w:proofErr w:type="gramEnd"/>
      <w:r>
        <w:t xml:space="preserve">, p64 of the </w:t>
      </w:r>
      <w:r w:rsidR="0086475A">
        <w:t>s</w:t>
      </w:r>
      <w:r>
        <w:t>ubmission</w:t>
      </w:r>
    </w:p>
    <w:p w14:paraId="76BA6F8E" w14:textId="77777777" w:rsidR="00DB5D42" w:rsidRDefault="00DB5D42" w:rsidP="00DB5D42">
      <w:pPr>
        <w:pStyle w:val="Tablecaption"/>
      </w:pPr>
      <w:r>
        <w:t>HbA</w:t>
      </w:r>
      <w:r w:rsidRPr="00B319AA">
        <w:rPr>
          <w:vertAlign w:val="subscript"/>
        </w:rPr>
        <w:t>1c</w:t>
      </w:r>
      <w:r>
        <w:t xml:space="preserve"> = </w:t>
      </w:r>
      <w:proofErr w:type="spellStart"/>
      <w:r>
        <w:t>glycated</w:t>
      </w:r>
      <w:proofErr w:type="spellEnd"/>
      <w:r>
        <w:t xml:space="preserve"> haemoglobin; NS = non-significant; SE </w:t>
      </w:r>
      <w:r w:rsidRPr="006B6F55">
        <w:t>=</w:t>
      </w:r>
      <w:r>
        <w:t xml:space="preserve"> s</w:t>
      </w:r>
      <w:r w:rsidRPr="006B6F55">
        <w:t xml:space="preserve">tandard </w:t>
      </w:r>
      <w:r>
        <w:t>error</w:t>
      </w:r>
    </w:p>
    <w:p w14:paraId="095621CD" w14:textId="77777777" w:rsidR="00B07DD9" w:rsidRDefault="00B07DD9" w:rsidP="00DB5D42"/>
    <w:p w14:paraId="3B0CC2AA" w14:textId="77777777" w:rsidR="00DB5D42" w:rsidRDefault="00DB5D42" w:rsidP="00DB5D42">
      <w:r>
        <w:t>The insulin study compares GCM therapy to insulin therapy and the applicant has provided the results in the table below.</w:t>
      </w:r>
    </w:p>
    <w:p w14:paraId="7394C5E0" w14:textId="485B79CF" w:rsidR="00DB5D42" w:rsidRDefault="00DB5D42" w:rsidP="00DB5D42"/>
    <w:p w14:paraId="2D782593" w14:textId="68C46451" w:rsidR="00DB5D42" w:rsidRDefault="00DB5D42" w:rsidP="00DB5D42">
      <w:pPr>
        <w:keepNext/>
        <w:widowControl w:val="0"/>
        <w:rPr>
          <w:rFonts w:ascii="Arial Narrow" w:hAnsi="Arial Narrow"/>
          <w:b/>
          <w:sz w:val="20"/>
        </w:rPr>
      </w:pPr>
      <w:r w:rsidRPr="00631C5B">
        <w:rPr>
          <w:rFonts w:ascii="Arial Narrow" w:hAnsi="Arial Narrow"/>
          <w:b/>
          <w:sz w:val="20"/>
        </w:rPr>
        <w:t xml:space="preserve">Table </w:t>
      </w:r>
      <w:r w:rsidR="00B07DD9">
        <w:rPr>
          <w:rFonts w:ascii="Arial Narrow" w:hAnsi="Arial Narrow"/>
          <w:b/>
          <w:sz w:val="20"/>
        </w:rPr>
        <w:t>2</w:t>
      </w:r>
      <w:r w:rsidRPr="00631C5B">
        <w:rPr>
          <w:rFonts w:ascii="Arial Narrow" w:hAnsi="Arial Narrow"/>
          <w:b/>
          <w:sz w:val="20"/>
        </w:rPr>
        <w:t>: Results of change in HbA</w:t>
      </w:r>
      <w:r w:rsidRPr="00031B25">
        <w:rPr>
          <w:rFonts w:ascii="Arial Narrow" w:hAnsi="Arial Narrow"/>
          <w:b/>
          <w:sz w:val="20"/>
          <w:vertAlign w:val="subscript"/>
        </w:rPr>
        <w:t>1c</w:t>
      </w:r>
      <w:r w:rsidRPr="00631C5B">
        <w:rPr>
          <w:rFonts w:ascii="Arial Narrow" w:hAnsi="Arial Narrow"/>
          <w:b/>
          <w:sz w:val="20"/>
        </w:rPr>
        <w:t xml:space="preserve"> from baseline in the insulin study</w:t>
      </w:r>
    </w:p>
    <w:tbl>
      <w:tblPr>
        <w:tblStyle w:val="TableGrid"/>
        <w:tblpPr w:leftFromText="180" w:rightFromText="180" w:vertAnchor="text" w:horzAnchor="margin" w:tblpX="108" w:tblpY="134"/>
        <w:tblW w:w="4890" w:type="pct"/>
        <w:tblLook w:val="04A0" w:firstRow="1" w:lastRow="0" w:firstColumn="1" w:lastColumn="0" w:noHBand="0" w:noVBand="1"/>
        <w:tblCaption w:val="Table ES.3: Results of change in HbA1c from baseline in the insulin study"/>
        <w:tblDescription w:val="Results from the insulidn study in terms of change from baseline in HbA1c for 12 months"/>
      </w:tblPr>
      <w:tblGrid>
        <w:gridCol w:w="3085"/>
        <w:gridCol w:w="2411"/>
        <w:gridCol w:w="2410"/>
        <w:gridCol w:w="1133"/>
      </w:tblGrid>
      <w:tr w:rsidR="00DB5D42" w14:paraId="44CCF74B" w14:textId="77777777" w:rsidTr="002C5003">
        <w:trPr>
          <w:cantSplit/>
          <w:tblHeader/>
        </w:trPr>
        <w:tc>
          <w:tcPr>
            <w:tcW w:w="1706" w:type="pct"/>
            <w:vAlign w:val="center"/>
          </w:tcPr>
          <w:p w14:paraId="75465456" w14:textId="77777777" w:rsidR="00DB5D42" w:rsidRDefault="00DB5D42" w:rsidP="00132983">
            <w:pPr>
              <w:keepNext/>
              <w:widowControl w:val="0"/>
              <w:rPr>
                <w:rFonts w:ascii="Arial Narrow" w:hAnsi="Arial Narrow"/>
                <w:b/>
                <w:sz w:val="20"/>
              </w:rPr>
            </w:pPr>
            <w:r>
              <w:rPr>
                <w:rFonts w:ascii="Arial Narrow" w:hAnsi="Arial Narrow"/>
                <w:b/>
                <w:sz w:val="20"/>
              </w:rPr>
              <w:t>HbA</w:t>
            </w:r>
            <w:r w:rsidRPr="003C478C">
              <w:rPr>
                <w:rFonts w:ascii="Arial Narrow" w:hAnsi="Arial Narrow"/>
                <w:b/>
                <w:sz w:val="20"/>
                <w:vertAlign w:val="subscript"/>
              </w:rPr>
              <w:t>1c</w:t>
            </w:r>
          </w:p>
        </w:tc>
        <w:tc>
          <w:tcPr>
            <w:tcW w:w="1333" w:type="pct"/>
            <w:vAlign w:val="center"/>
          </w:tcPr>
          <w:p w14:paraId="261E6293" w14:textId="77777777" w:rsidR="00DB5D42" w:rsidRDefault="00DB5D42" w:rsidP="00132983">
            <w:pPr>
              <w:keepNext/>
              <w:widowControl w:val="0"/>
              <w:jc w:val="center"/>
              <w:rPr>
                <w:rFonts w:ascii="Arial Narrow" w:hAnsi="Arial Narrow"/>
                <w:b/>
                <w:sz w:val="20"/>
              </w:rPr>
            </w:pPr>
            <w:r>
              <w:rPr>
                <w:rFonts w:ascii="Arial Narrow" w:hAnsi="Arial Narrow"/>
                <w:b/>
                <w:sz w:val="20"/>
              </w:rPr>
              <w:t>GCM group</w:t>
            </w:r>
          </w:p>
          <w:p w14:paraId="76B87AA4" w14:textId="77777777" w:rsidR="00DB5D42" w:rsidRDefault="00DB5D42" w:rsidP="00132983">
            <w:pPr>
              <w:keepNext/>
              <w:widowControl w:val="0"/>
              <w:jc w:val="center"/>
              <w:rPr>
                <w:rFonts w:ascii="Arial Narrow" w:hAnsi="Arial Narrow"/>
                <w:b/>
                <w:sz w:val="20"/>
              </w:rPr>
            </w:pPr>
            <w:r>
              <w:rPr>
                <w:rFonts w:ascii="Arial Narrow" w:hAnsi="Arial Narrow"/>
                <w:b/>
                <w:sz w:val="20"/>
              </w:rPr>
              <w:t>n = 8</w:t>
            </w:r>
          </w:p>
        </w:tc>
        <w:tc>
          <w:tcPr>
            <w:tcW w:w="1333" w:type="pct"/>
            <w:vAlign w:val="center"/>
          </w:tcPr>
          <w:p w14:paraId="1E45CC3B" w14:textId="77777777" w:rsidR="00DB5D42" w:rsidRDefault="00DB5D42" w:rsidP="00132983">
            <w:pPr>
              <w:keepNext/>
              <w:widowControl w:val="0"/>
              <w:jc w:val="center"/>
              <w:rPr>
                <w:rFonts w:ascii="Arial Narrow" w:hAnsi="Arial Narrow"/>
                <w:b/>
                <w:sz w:val="20"/>
              </w:rPr>
            </w:pPr>
            <w:r>
              <w:rPr>
                <w:rFonts w:ascii="Arial Narrow" w:hAnsi="Arial Narrow"/>
                <w:b/>
                <w:sz w:val="20"/>
              </w:rPr>
              <w:t>Insulin group</w:t>
            </w:r>
          </w:p>
          <w:p w14:paraId="76B8C793" w14:textId="77777777" w:rsidR="00DB5D42" w:rsidRDefault="00DB5D42" w:rsidP="00132983">
            <w:pPr>
              <w:keepNext/>
              <w:widowControl w:val="0"/>
              <w:jc w:val="center"/>
              <w:rPr>
                <w:rFonts w:ascii="Arial Narrow" w:hAnsi="Arial Narrow"/>
                <w:b/>
                <w:sz w:val="20"/>
              </w:rPr>
            </w:pPr>
            <w:r>
              <w:rPr>
                <w:rFonts w:ascii="Arial Narrow" w:hAnsi="Arial Narrow"/>
                <w:b/>
                <w:sz w:val="20"/>
              </w:rPr>
              <w:t>n = 8</w:t>
            </w:r>
          </w:p>
        </w:tc>
        <w:tc>
          <w:tcPr>
            <w:tcW w:w="627" w:type="pct"/>
            <w:vAlign w:val="center"/>
          </w:tcPr>
          <w:p w14:paraId="29CD51EF" w14:textId="77777777" w:rsidR="00DB5D42" w:rsidRDefault="00DB5D42" w:rsidP="00132983">
            <w:pPr>
              <w:keepNext/>
              <w:widowControl w:val="0"/>
              <w:jc w:val="center"/>
              <w:rPr>
                <w:rFonts w:ascii="Arial Narrow" w:hAnsi="Arial Narrow"/>
                <w:b/>
                <w:sz w:val="20"/>
              </w:rPr>
            </w:pPr>
            <w:r>
              <w:rPr>
                <w:rFonts w:ascii="Arial Narrow" w:hAnsi="Arial Narrow"/>
                <w:b/>
                <w:sz w:val="20"/>
              </w:rPr>
              <w:t xml:space="preserve">p-value </w:t>
            </w:r>
            <w:r w:rsidRPr="0032034A">
              <w:rPr>
                <w:rFonts w:ascii="Arial Narrow" w:hAnsi="Arial Narrow"/>
                <w:b/>
                <w:sz w:val="20"/>
                <w:vertAlign w:val="superscript"/>
              </w:rPr>
              <w:t>a</w:t>
            </w:r>
          </w:p>
        </w:tc>
      </w:tr>
      <w:tr w:rsidR="00DB5D42" w14:paraId="3F96CDCE" w14:textId="77777777" w:rsidTr="002C5003">
        <w:trPr>
          <w:cantSplit/>
        </w:trPr>
        <w:tc>
          <w:tcPr>
            <w:tcW w:w="1706" w:type="pct"/>
          </w:tcPr>
          <w:p w14:paraId="0637DE4D" w14:textId="77777777" w:rsidR="00DB5D42" w:rsidRDefault="00DB5D42" w:rsidP="00132983">
            <w:pPr>
              <w:keepNext/>
              <w:widowControl w:val="0"/>
              <w:rPr>
                <w:rFonts w:ascii="Arial Narrow" w:hAnsi="Arial Narrow"/>
                <w:b/>
                <w:sz w:val="20"/>
              </w:rPr>
            </w:pPr>
            <w:r>
              <w:rPr>
                <w:rFonts w:ascii="Arial Narrow" w:hAnsi="Arial Narrow"/>
                <w:b/>
                <w:sz w:val="20"/>
              </w:rPr>
              <w:t>HbA</w:t>
            </w:r>
            <w:r w:rsidRPr="00031B25">
              <w:rPr>
                <w:rFonts w:ascii="Arial Narrow" w:hAnsi="Arial Narrow"/>
                <w:b/>
                <w:sz w:val="20"/>
                <w:vertAlign w:val="subscript"/>
              </w:rPr>
              <w:t>1c</w:t>
            </w:r>
            <w:r>
              <w:rPr>
                <w:rFonts w:ascii="Arial Narrow" w:hAnsi="Arial Narrow"/>
                <w:b/>
                <w:sz w:val="20"/>
              </w:rPr>
              <w:t xml:space="preserve"> level; % (SEM)</w:t>
            </w:r>
          </w:p>
        </w:tc>
        <w:tc>
          <w:tcPr>
            <w:tcW w:w="1333" w:type="pct"/>
          </w:tcPr>
          <w:p w14:paraId="2857F296" w14:textId="77777777" w:rsidR="00DB5D42" w:rsidRPr="001C68FA" w:rsidRDefault="00DB5D42" w:rsidP="00132983">
            <w:pPr>
              <w:keepNext/>
              <w:widowControl w:val="0"/>
              <w:jc w:val="center"/>
              <w:rPr>
                <w:rFonts w:ascii="Arial Narrow" w:hAnsi="Arial Narrow"/>
                <w:sz w:val="20"/>
              </w:rPr>
            </w:pPr>
            <w:r w:rsidRPr="001C68FA">
              <w:rPr>
                <w:rFonts w:ascii="Arial Narrow" w:hAnsi="Arial Narrow"/>
                <w:sz w:val="20"/>
              </w:rPr>
              <w:t>-</w:t>
            </w:r>
          </w:p>
        </w:tc>
        <w:tc>
          <w:tcPr>
            <w:tcW w:w="1333" w:type="pct"/>
          </w:tcPr>
          <w:p w14:paraId="51022A53" w14:textId="77777777" w:rsidR="00DB5D42" w:rsidRPr="001C68FA" w:rsidRDefault="00DB5D42" w:rsidP="00132983">
            <w:pPr>
              <w:keepNext/>
              <w:widowControl w:val="0"/>
              <w:jc w:val="center"/>
              <w:rPr>
                <w:rFonts w:ascii="Arial Narrow" w:hAnsi="Arial Narrow"/>
                <w:sz w:val="20"/>
              </w:rPr>
            </w:pPr>
            <w:r w:rsidRPr="001C68FA">
              <w:rPr>
                <w:rFonts w:ascii="Arial Narrow" w:hAnsi="Arial Narrow"/>
                <w:sz w:val="20"/>
              </w:rPr>
              <w:t>-</w:t>
            </w:r>
          </w:p>
        </w:tc>
        <w:tc>
          <w:tcPr>
            <w:tcW w:w="627" w:type="pct"/>
          </w:tcPr>
          <w:p w14:paraId="5B1E9714" w14:textId="77777777" w:rsidR="00DB5D42" w:rsidRPr="001C68FA" w:rsidRDefault="00DB5D42" w:rsidP="00132983">
            <w:pPr>
              <w:keepNext/>
              <w:widowControl w:val="0"/>
              <w:jc w:val="center"/>
              <w:rPr>
                <w:rFonts w:ascii="Arial Narrow" w:hAnsi="Arial Narrow"/>
                <w:sz w:val="20"/>
              </w:rPr>
            </w:pPr>
            <w:r w:rsidRPr="001C68FA">
              <w:rPr>
                <w:rFonts w:ascii="Arial Narrow" w:hAnsi="Arial Narrow"/>
                <w:sz w:val="20"/>
              </w:rPr>
              <w:t>-</w:t>
            </w:r>
          </w:p>
        </w:tc>
      </w:tr>
      <w:tr w:rsidR="00DB5D42" w14:paraId="2E822B10" w14:textId="77777777" w:rsidTr="00196B2E">
        <w:trPr>
          <w:cantSplit/>
        </w:trPr>
        <w:tc>
          <w:tcPr>
            <w:tcW w:w="1706" w:type="pct"/>
          </w:tcPr>
          <w:p w14:paraId="17623520" w14:textId="77777777" w:rsidR="00DB5D42" w:rsidRPr="00631C5B" w:rsidRDefault="00DB5D42" w:rsidP="00132983">
            <w:pPr>
              <w:keepNext/>
              <w:widowControl w:val="0"/>
              <w:rPr>
                <w:rFonts w:ascii="Arial Narrow" w:hAnsi="Arial Narrow"/>
                <w:sz w:val="20"/>
              </w:rPr>
            </w:pPr>
            <w:r>
              <w:rPr>
                <w:rFonts w:ascii="Arial Narrow" w:hAnsi="Arial Narrow"/>
                <w:sz w:val="20"/>
              </w:rPr>
              <w:t xml:space="preserve">  Baseline</w:t>
            </w:r>
          </w:p>
        </w:tc>
        <w:tc>
          <w:tcPr>
            <w:tcW w:w="1333" w:type="pct"/>
          </w:tcPr>
          <w:p w14:paraId="2D9CC592" w14:textId="77777777" w:rsidR="00DB5D42" w:rsidRPr="00631C5B" w:rsidRDefault="00DB5D42" w:rsidP="00132983">
            <w:pPr>
              <w:keepNext/>
              <w:widowControl w:val="0"/>
              <w:jc w:val="center"/>
              <w:rPr>
                <w:rFonts w:ascii="Arial Narrow" w:hAnsi="Arial Narrow"/>
                <w:sz w:val="20"/>
              </w:rPr>
            </w:pPr>
            <w:r>
              <w:rPr>
                <w:rFonts w:ascii="Arial Narrow" w:hAnsi="Arial Narrow"/>
                <w:sz w:val="20"/>
              </w:rPr>
              <w:t>9.1% (0.3)</w:t>
            </w:r>
          </w:p>
        </w:tc>
        <w:tc>
          <w:tcPr>
            <w:tcW w:w="1333" w:type="pct"/>
          </w:tcPr>
          <w:p w14:paraId="72544DAC" w14:textId="77777777" w:rsidR="00DB5D42" w:rsidRPr="00631C5B" w:rsidRDefault="00DB5D42" w:rsidP="00132983">
            <w:pPr>
              <w:keepNext/>
              <w:widowControl w:val="0"/>
              <w:jc w:val="center"/>
              <w:rPr>
                <w:rFonts w:ascii="Arial Narrow" w:hAnsi="Arial Narrow"/>
                <w:sz w:val="20"/>
              </w:rPr>
            </w:pPr>
            <w:r>
              <w:rPr>
                <w:rFonts w:ascii="Arial Narrow" w:hAnsi="Arial Narrow"/>
                <w:sz w:val="20"/>
              </w:rPr>
              <w:t>8.9% (0.3)</w:t>
            </w:r>
          </w:p>
        </w:tc>
        <w:tc>
          <w:tcPr>
            <w:tcW w:w="627" w:type="pct"/>
          </w:tcPr>
          <w:p w14:paraId="2734C54F" w14:textId="77777777" w:rsidR="00DB5D42" w:rsidRPr="00631C5B" w:rsidRDefault="00DB5D42" w:rsidP="00132983">
            <w:pPr>
              <w:keepNext/>
              <w:widowControl w:val="0"/>
              <w:jc w:val="center"/>
              <w:rPr>
                <w:rFonts w:ascii="Arial Narrow" w:hAnsi="Arial Narrow"/>
                <w:sz w:val="20"/>
              </w:rPr>
            </w:pPr>
            <w:r>
              <w:rPr>
                <w:rFonts w:ascii="Arial Narrow" w:hAnsi="Arial Narrow"/>
                <w:sz w:val="20"/>
              </w:rPr>
              <w:t>0.798</w:t>
            </w:r>
          </w:p>
        </w:tc>
      </w:tr>
      <w:tr w:rsidR="00DB5D42" w14:paraId="520991D4" w14:textId="77777777" w:rsidTr="00196B2E">
        <w:trPr>
          <w:cantSplit/>
        </w:trPr>
        <w:tc>
          <w:tcPr>
            <w:tcW w:w="1706" w:type="pct"/>
          </w:tcPr>
          <w:p w14:paraId="52BAC39A" w14:textId="77777777" w:rsidR="00DB5D42" w:rsidRPr="00631C5B" w:rsidRDefault="00DB5D42" w:rsidP="00132983">
            <w:pPr>
              <w:keepNext/>
              <w:widowControl w:val="0"/>
              <w:rPr>
                <w:rFonts w:ascii="Arial Narrow" w:hAnsi="Arial Narrow"/>
                <w:sz w:val="20"/>
              </w:rPr>
            </w:pPr>
            <w:r>
              <w:rPr>
                <w:rFonts w:ascii="Arial Narrow" w:hAnsi="Arial Narrow"/>
                <w:sz w:val="20"/>
              </w:rPr>
              <w:t xml:space="preserve">  6 months</w:t>
            </w:r>
          </w:p>
        </w:tc>
        <w:tc>
          <w:tcPr>
            <w:tcW w:w="1333" w:type="pct"/>
          </w:tcPr>
          <w:p w14:paraId="61EECD06" w14:textId="77777777" w:rsidR="00DB5D42" w:rsidRPr="00631C5B" w:rsidRDefault="00DB5D42" w:rsidP="00132983">
            <w:pPr>
              <w:keepNext/>
              <w:widowControl w:val="0"/>
              <w:jc w:val="center"/>
              <w:rPr>
                <w:rFonts w:ascii="Arial Narrow" w:hAnsi="Arial Narrow"/>
                <w:sz w:val="20"/>
              </w:rPr>
            </w:pPr>
            <w:r>
              <w:rPr>
                <w:rFonts w:ascii="Arial Narrow" w:hAnsi="Arial Narrow"/>
                <w:sz w:val="20"/>
              </w:rPr>
              <w:t>7.5% (0.3)</w:t>
            </w:r>
          </w:p>
        </w:tc>
        <w:tc>
          <w:tcPr>
            <w:tcW w:w="1333" w:type="pct"/>
          </w:tcPr>
          <w:p w14:paraId="213C5678" w14:textId="77777777" w:rsidR="00DB5D42" w:rsidRPr="00631C5B" w:rsidRDefault="00DB5D42" w:rsidP="00132983">
            <w:pPr>
              <w:keepNext/>
              <w:widowControl w:val="0"/>
              <w:jc w:val="center"/>
              <w:rPr>
                <w:rFonts w:ascii="Arial Narrow" w:hAnsi="Arial Narrow"/>
                <w:sz w:val="20"/>
              </w:rPr>
            </w:pPr>
            <w:r>
              <w:rPr>
                <w:rFonts w:ascii="Arial Narrow" w:hAnsi="Arial Narrow"/>
                <w:sz w:val="20"/>
              </w:rPr>
              <w:t>8.3% (0.5)</w:t>
            </w:r>
          </w:p>
        </w:tc>
        <w:tc>
          <w:tcPr>
            <w:tcW w:w="627" w:type="pct"/>
          </w:tcPr>
          <w:p w14:paraId="22CDF3AA" w14:textId="77777777" w:rsidR="00DB5D42" w:rsidRPr="00631C5B" w:rsidRDefault="00DB5D42" w:rsidP="00132983">
            <w:pPr>
              <w:keepNext/>
              <w:widowControl w:val="0"/>
              <w:jc w:val="center"/>
              <w:rPr>
                <w:rFonts w:ascii="Arial Narrow" w:hAnsi="Arial Narrow"/>
                <w:sz w:val="20"/>
              </w:rPr>
            </w:pPr>
            <w:r>
              <w:rPr>
                <w:rFonts w:ascii="Arial Narrow" w:hAnsi="Arial Narrow"/>
                <w:sz w:val="20"/>
              </w:rPr>
              <w:t>0.130</w:t>
            </w:r>
          </w:p>
        </w:tc>
      </w:tr>
      <w:tr w:rsidR="00DB5D42" w14:paraId="3409DC99" w14:textId="77777777" w:rsidTr="002C5003">
        <w:trPr>
          <w:cantSplit/>
        </w:trPr>
        <w:tc>
          <w:tcPr>
            <w:tcW w:w="1706" w:type="pct"/>
          </w:tcPr>
          <w:p w14:paraId="542C6062" w14:textId="77777777" w:rsidR="00DB5D42" w:rsidRDefault="00DB5D42" w:rsidP="00132983">
            <w:pPr>
              <w:keepNext/>
              <w:widowControl w:val="0"/>
              <w:rPr>
                <w:rFonts w:ascii="Arial Narrow" w:hAnsi="Arial Narrow"/>
                <w:sz w:val="20"/>
              </w:rPr>
            </w:pPr>
            <w:r>
              <w:rPr>
                <w:rFonts w:ascii="Arial Narrow" w:hAnsi="Arial Narrow"/>
                <w:sz w:val="20"/>
              </w:rPr>
              <w:lastRenderedPageBreak/>
              <w:t xml:space="preserve">  12 months</w:t>
            </w:r>
          </w:p>
        </w:tc>
        <w:tc>
          <w:tcPr>
            <w:tcW w:w="1333" w:type="pct"/>
          </w:tcPr>
          <w:p w14:paraId="457A7ECC" w14:textId="77777777" w:rsidR="00DB5D42" w:rsidRPr="00631C5B" w:rsidRDefault="00DB5D42" w:rsidP="00132983">
            <w:pPr>
              <w:keepNext/>
              <w:widowControl w:val="0"/>
              <w:jc w:val="center"/>
              <w:rPr>
                <w:rFonts w:ascii="Arial Narrow" w:hAnsi="Arial Narrow"/>
                <w:sz w:val="20"/>
              </w:rPr>
            </w:pPr>
            <w:r>
              <w:rPr>
                <w:rFonts w:ascii="Arial Narrow" w:hAnsi="Arial Narrow"/>
                <w:sz w:val="20"/>
              </w:rPr>
              <w:t xml:space="preserve">8.2% (0.5) </w:t>
            </w:r>
            <w:r>
              <w:rPr>
                <w:rFonts w:ascii="Arial Narrow" w:hAnsi="Arial Narrow"/>
                <w:sz w:val="20"/>
                <w:vertAlign w:val="superscript"/>
              </w:rPr>
              <w:t>b</w:t>
            </w:r>
          </w:p>
        </w:tc>
        <w:tc>
          <w:tcPr>
            <w:tcW w:w="1333" w:type="pct"/>
          </w:tcPr>
          <w:p w14:paraId="075F20DE" w14:textId="77777777" w:rsidR="00DB5D42" w:rsidRPr="00631C5B" w:rsidRDefault="00DB5D42" w:rsidP="00132983">
            <w:pPr>
              <w:keepNext/>
              <w:widowControl w:val="0"/>
              <w:jc w:val="center"/>
              <w:rPr>
                <w:rFonts w:ascii="Arial Narrow" w:hAnsi="Arial Narrow"/>
                <w:sz w:val="20"/>
              </w:rPr>
            </w:pPr>
            <w:r>
              <w:rPr>
                <w:rFonts w:ascii="Arial Narrow" w:hAnsi="Arial Narrow"/>
                <w:sz w:val="20"/>
              </w:rPr>
              <w:t>8.4% (0.5)</w:t>
            </w:r>
          </w:p>
        </w:tc>
        <w:tc>
          <w:tcPr>
            <w:tcW w:w="627" w:type="pct"/>
          </w:tcPr>
          <w:p w14:paraId="677CA66F" w14:textId="77777777" w:rsidR="00DB5D42" w:rsidRPr="00631C5B" w:rsidRDefault="00DB5D42" w:rsidP="00132983">
            <w:pPr>
              <w:keepNext/>
              <w:widowControl w:val="0"/>
              <w:jc w:val="center"/>
              <w:rPr>
                <w:rFonts w:ascii="Arial Narrow" w:hAnsi="Arial Narrow"/>
                <w:sz w:val="20"/>
              </w:rPr>
            </w:pPr>
            <w:r>
              <w:rPr>
                <w:rFonts w:ascii="Arial Narrow" w:hAnsi="Arial Narrow"/>
                <w:sz w:val="20"/>
              </w:rPr>
              <w:t>0.959</w:t>
            </w:r>
          </w:p>
        </w:tc>
      </w:tr>
      <w:tr w:rsidR="00DB5D42" w:rsidRPr="00031B25" w14:paraId="4DF9AAC3" w14:textId="77777777" w:rsidTr="002C5003">
        <w:trPr>
          <w:cantSplit/>
        </w:trPr>
        <w:tc>
          <w:tcPr>
            <w:tcW w:w="1706" w:type="pct"/>
          </w:tcPr>
          <w:p w14:paraId="79609F1D" w14:textId="77777777" w:rsidR="00DB5D42" w:rsidRPr="00031B25" w:rsidRDefault="00DB5D42" w:rsidP="00132983">
            <w:pPr>
              <w:rPr>
                <w:rFonts w:ascii="Arial Narrow" w:hAnsi="Arial Narrow"/>
                <w:b/>
                <w:i/>
                <w:sz w:val="20"/>
              </w:rPr>
            </w:pPr>
            <w:r w:rsidRPr="00031B25">
              <w:rPr>
                <w:rFonts w:ascii="Arial Narrow" w:hAnsi="Arial Narrow"/>
                <w:b/>
                <w:i/>
                <w:sz w:val="20"/>
              </w:rPr>
              <w:t>Change in HbA</w:t>
            </w:r>
            <w:r w:rsidRPr="00031B25">
              <w:rPr>
                <w:rFonts w:ascii="Arial Narrow" w:hAnsi="Arial Narrow"/>
                <w:b/>
                <w:i/>
                <w:sz w:val="20"/>
                <w:vertAlign w:val="subscript"/>
              </w:rPr>
              <w:t>1c</w:t>
            </w:r>
            <w:r w:rsidRPr="00031B25">
              <w:rPr>
                <w:rFonts w:ascii="Arial Narrow" w:hAnsi="Arial Narrow"/>
                <w:b/>
                <w:i/>
                <w:sz w:val="20"/>
              </w:rPr>
              <w:t>; %</w:t>
            </w:r>
            <w:r>
              <w:rPr>
                <w:rFonts w:ascii="Arial Narrow" w:hAnsi="Arial Narrow"/>
                <w:b/>
                <w:i/>
                <w:sz w:val="20"/>
              </w:rPr>
              <w:t xml:space="preserve"> (p-value)</w:t>
            </w:r>
          </w:p>
        </w:tc>
        <w:tc>
          <w:tcPr>
            <w:tcW w:w="1333" w:type="pct"/>
          </w:tcPr>
          <w:p w14:paraId="0AC50AF5" w14:textId="77777777" w:rsidR="00DB5D42" w:rsidRPr="00031B25" w:rsidRDefault="00DB5D42" w:rsidP="00132983">
            <w:pPr>
              <w:jc w:val="center"/>
              <w:rPr>
                <w:rFonts w:ascii="Arial Narrow" w:hAnsi="Arial Narrow"/>
                <w:i/>
                <w:sz w:val="20"/>
              </w:rPr>
            </w:pPr>
            <w:r>
              <w:rPr>
                <w:rFonts w:ascii="Arial Narrow" w:hAnsi="Arial Narrow"/>
                <w:i/>
                <w:sz w:val="20"/>
              </w:rPr>
              <w:t>-</w:t>
            </w:r>
          </w:p>
        </w:tc>
        <w:tc>
          <w:tcPr>
            <w:tcW w:w="1333" w:type="pct"/>
          </w:tcPr>
          <w:p w14:paraId="44421060" w14:textId="77777777" w:rsidR="00DB5D42" w:rsidRPr="00031B25" w:rsidRDefault="00DB5D42" w:rsidP="00132983">
            <w:pPr>
              <w:jc w:val="center"/>
              <w:rPr>
                <w:rFonts w:ascii="Arial Narrow" w:hAnsi="Arial Narrow"/>
                <w:i/>
                <w:sz w:val="20"/>
              </w:rPr>
            </w:pPr>
            <w:r>
              <w:rPr>
                <w:rFonts w:ascii="Arial Narrow" w:hAnsi="Arial Narrow"/>
                <w:i/>
                <w:sz w:val="20"/>
              </w:rPr>
              <w:t>-</w:t>
            </w:r>
          </w:p>
        </w:tc>
        <w:tc>
          <w:tcPr>
            <w:tcW w:w="627" w:type="pct"/>
          </w:tcPr>
          <w:p w14:paraId="357B15A2" w14:textId="77777777" w:rsidR="00DB5D42" w:rsidRPr="00031B25" w:rsidRDefault="00DB5D42" w:rsidP="00132983">
            <w:pPr>
              <w:jc w:val="center"/>
              <w:rPr>
                <w:rFonts w:ascii="Arial Narrow" w:hAnsi="Arial Narrow"/>
                <w:i/>
                <w:sz w:val="20"/>
              </w:rPr>
            </w:pPr>
            <w:r>
              <w:rPr>
                <w:rFonts w:ascii="Arial Narrow" w:hAnsi="Arial Narrow"/>
                <w:i/>
                <w:sz w:val="20"/>
              </w:rPr>
              <w:t>-</w:t>
            </w:r>
          </w:p>
        </w:tc>
      </w:tr>
      <w:tr w:rsidR="00DB5D42" w:rsidRPr="00031B25" w14:paraId="732AB289" w14:textId="77777777" w:rsidTr="00196B2E">
        <w:trPr>
          <w:cantSplit/>
        </w:trPr>
        <w:tc>
          <w:tcPr>
            <w:tcW w:w="1706" w:type="pct"/>
          </w:tcPr>
          <w:p w14:paraId="7E18DC8B" w14:textId="77777777" w:rsidR="00DB5D42" w:rsidRPr="00031B25" w:rsidRDefault="00DB5D42" w:rsidP="00132983">
            <w:pPr>
              <w:rPr>
                <w:rFonts w:ascii="Arial Narrow" w:hAnsi="Arial Narrow"/>
                <w:i/>
                <w:sz w:val="20"/>
              </w:rPr>
            </w:pPr>
            <w:r>
              <w:rPr>
                <w:rFonts w:ascii="Arial Narrow" w:hAnsi="Arial Narrow"/>
                <w:i/>
                <w:sz w:val="20"/>
              </w:rPr>
              <w:t xml:space="preserve">  </w:t>
            </w:r>
            <w:r w:rsidRPr="00031B25">
              <w:rPr>
                <w:rFonts w:ascii="Arial Narrow" w:hAnsi="Arial Narrow"/>
                <w:i/>
                <w:sz w:val="20"/>
              </w:rPr>
              <w:t>6 months – baseline</w:t>
            </w:r>
          </w:p>
        </w:tc>
        <w:tc>
          <w:tcPr>
            <w:tcW w:w="1333" w:type="pct"/>
          </w:tcPr>
          <w:p w14:paraId="1AD1BB4E" w14:textId="77777777" w:rsidR="00DB5D42" w:rsidRPr="00031B25" w:rsidRDefault="00DB5D42" w:rsidP="00132983">
            <w:pPr>
              <w:jc w:val="center"/>
              <w:rPr>
                <w:rFonts w:ascii="Arial Narrow" w:hAnsi="Arial Narrow"/>
                <w:i/>
                <w:sz w:val="20"/>
              </w:rPr>
            </w:pPr>
            <w:r w:rsidRPr="00031B25">
              <w:rPr>
                <w:rFonts w:ascii="Arial Narrow" w:hAnsi="Arial Narrow"/>
                <w:i/>
                <w:sz w:val="20"/>
              </w:rPr>
              <w:t>-1.6%</w:t>
            </w:r>
            <w:r>
              <w:rPr>
                <w:rFonts w:ascii="Arial Narrow" w:hAnsi="Arial Narrow"/>
                <w:i/>
                <w:sz w:val="20"/>
              </w:rPr>
              <w:t xml:space="preserve"> </w:t>
            </w:r>
            <w:r w:rsidRPr="004B0879">
              <w:rPr>
                <w:rFonts w:ascii="Arial Narrow" w:hAnsi="Arial Narrow"/>
                <w:sz w:val="20"/>
              </w:rPr>
              <w:t>(p = 0.011)</w:t>
            </w:r>
          </w:p>
        </w:tc>
        <w:tc>
          <w:tcPr>
            <w:tcW w:w="1333" w:type="pct"/>
          </w:tcPr>
          <w:p w14:paraId="7B0B6E15" w14:textId="77777777" w:rsidR="00DB5D42" w:rsidRPr="00031B25" w:rsidRDefault="00DB5D42" w:rsidP="00132983">
            <w:pPr>
              <w:jc w:val="center"/>
              <w:rPr>
                <w:rFonts w:ascii="Arial Narrow" w:hAnsi="Arial Narrow"/>
                <w:i/>
                <w:sz w:val="20"/>
              </w:rPr>
            </w:pPr>
            <w:r w:rsidRPr="00031B25">
              <w:rPr>
                <w:rFonts w:ascii="Arial Narrow" w:hAnsi="Arial Narrow"/>
                <w:i/>
                <w:sz w:val="20"/>
              </w:rPr>
              <w:t>-0.6%</w:t>
            </w:r>
          </w:p>
        </w:tc>
        <w:tc>
          <w:tcPr>
            <w:tcW w:w="627" w:type="pct"/>
          </w:tcPr>
          <w:p w14:paraId="008B182A" w14:textId="77777777" w:rsidR="00DB5D42" w:rsidRPr="00031B25" w:rsidRDefault="00DB5D42" w:rsidP="00132983">
            <w:pPr>
              <w:jc w:val="center"/>
              <w:rPr>
                <w:rFonts w:ascii="Arial Narrow" w:hAnsi="Arial Narrow"/>
                <w:i/>
                <w:sz w:val="20"/>
              </w:rPr>
            </w:pPr>
            <w:r>
              <w:rPr>
                <w:rFonts w:ascii="Arial Narrow" w:hAnsi="Arial Narrow"/>
                <w:i/>
                <w:sz w:val="20"/>
              </w:rPr>
              <w:t>NC</w:t>
            </w:r>
          </w:p>
        </w:tc>
      </w:tr>
      <w:tr w:rsidR="00DB5D42" w:rsidRPr="00031B25" w14:paraId="6F6ACD84" w14:textId="77777777" w:rsidTr="00196B2E">
        <w:trPr>
          <w:cantSplit/>
        </w:trPr>
        <w:tc>
          <w:tcPr>
            <w:tcW w:w="1706" w:type="pct"/>
          </w:tcPr>
          <w:p w14:paraId="48102336" w14:textId="77777777" w:rsidR="00DB5D42" w:rsidRPr="00031B25" w:rsidRDefault="00DB5D42" w:rsidP="00132983">
            <w:pPr>
              <w:rPr>
                <w:rFonts w:ascii="Arial Narrow" w:hAnsi="Arial Narrow"/>
                <w:i/>
                <w:sz w:val="20"/>
              </w:rPr>
            </w:pPr>
            <w:r>
              <w:rPr>
                <w:rFonts w:ascii="Arial Narrow" w:hAnsi="Arial Narrow"/>
                <w:i/>
                <w:sz w:val="20"/>
              </w:rPr>
              <w:t xml:space="preserve">  </w:t>
            </w:r>
            <w:r w:rsidRPr="00031B25">
              <w:rPr>
                <w:rFonts w:ascii="Arial Narrow" w:hAnsi="Arial Narrow"/>
                <w:i/>
                <w:sz w:val="20"/>
              </w:rPr>
              <w:t>12 months – 6 months</w:t>
            </w:r>
          </w:p>
        </w:tc>
        <w:tc>
          <w:tcPr>
            <w:tcW w:w="1333" w:type="pct"/>
          </w:tcPr>
          <w:p w14:paraId="2E23B425" w14:textId="77777777" w:rsidR="00DB5D42" w:rsidRPr="00031B25" w:rsidRDefault="00DB5D42" w:rsidP="00132983">
            <w:pPr>
              <w:jc w:val="center"/>
              <w:rPr>
                <w:rFonts w:ascii="Arial Narrow" w:hAnsi="Arial Narrow"/>
                <w:i/>
                <w:sz w:val="20"/>
              </w:rPr>
            </w:pPr>
            <w:r w:rsidRPr="00031B25">
              <w:rPr>
                <w:rFonts w:ascii="Arial Narrow" w:hAnsi="Arial Narrow"/>
                <w:i/>
                <w:sz w:val="20"/>
              </w:rPr>
              <w:t>0.7%</w:t>
            </w:r>
          </w:p>
        </w:tc>
        <w:tc>
          <w:tcPr>
            <w:tcW w:w="1333" w:type="pct"/>
          </w:tcPr>
          <w:p w14:paraId="2AC2CE01" w14:textId="77777777" w:rsidR="00DB5D42" w:rsidRPr="00031B25" w:rsidRDefault="00DB5D42" w:rsidP="00132983">
            <w:pPr>
              <w:jc w:val="center"/>
              <w:rPr>
                <w:rFonts w:ascii="Arial Narrow" w:hAnsi="Arial Narrow"/>
                <w:i/>
                <w:sz w:val="20"/>
              </w:rPr>
            </w:pPr>
            <w:r w:rsidRPr="00031B25">
              <w:rPr>
                <w:rFonts w:ascii="Arial Narrow" w:hAnsi="Arial Narrow"/>
                <w:i/>
                <w:sz w:val="20"/>
              </w:rPr>
              <w:t>0.1%</w:t>
            </w:r>
          </w:p>
        </w:tc>
        <w:tc>
          <w:tcPr>
            <w:tcW w:w="627" w:type="pct"/>
          </w:tcPr>
          <w:p w14:paraId="0E65B8AF" w14:textId="77777777" w:rsidR="00DB5D42" w:rsidRPr="00031B25" w:rsidRDefault="00DB5D42" w:rsidP="00132983">
            <w:pPr>
              <w:jc w:val="center"/>
              <w:rPr>
                <w:rFonts w:ascii="Arial Narrow" w:hAnsi="Arial Narrow"/>
                <w:i/>
                <w:sz w:val="20"/>
              </w:rPr>
            </w:pPr>
            <w:r>
              <w:rPr>
                <w:rFonts w:ascii="Arial Narrow" w:hAnsi="Arial Narrow"/>
                <w:i/>
                <w:sz w:val="20"/>
              </w:rPr>
              <w:t>NC</w:t>
            </w:r>
          </w:p>
        </w:tc>
      </w:tr>
      <w:tr w:rsidR="00DB5D42" w:rsidRPr="00031B25" w14:paraId="0E763090" w14:textId="77777777" w:rsidTr="00196B2E">
        <w:trPr>
          <w:cantSplit/>
        </w:trPr>
        <w:tc>
          <w:tcPr>
            <w:tcW w:w="1706" w:type="pct"/>
          </w:tcPr>
          <w:p w14:paraId="6F5B26C7" w14:textId="77777777" w:rsidR="00DB5D42" w:rsidRPr="00031B25" w:rsidRDefault="00DB5D42" w:rsidP="00132983">
            <w:pPr>
              <w:rPr>
                <w:rFonts w:ascii="Arial Narrow" w:hAnsi="Arial Narrow"/>
                <w:i/>
                <w:sz w:val="20"/>
              </w:rPr>
            </w:pPr>
            <w:r>
              <w:rPr>
                <w:rFonts w:ascii="Arial Narrow" w:hAnsi="Arial Narrow"/>
                <w:i/>
                <w:sz w:val="20"/>
              </w:rPr>
              <w:t xml:space="preserve">  </w:t>
            </w:r>
            <w:r w:rsidRPr="00031B25">
              <w:rPr>
                <w:rFonts w:ascii="Arial Narrow" w:hAnsi="Arial Narrow"/>
                <w:i/>
                <w:sz w:val="20"/>
              </w:rPr>
              <w:t>12 months - baseline</w:t>
            </w:r>
          </w:p>
        </w:tc>
        <w:tc>
          <w:tcPr>
            <w:tcW w:w="1333" w:type="pct"/>
          </w:tcPr>
          <w:p w14:paraId="16EB9ACE" w14:textId="77777777" w:rsidR="00DB5D42" w:rsidRPr="00031B25" w:rsidRDefault="00DB5D42" w:rsidP="00132983">
            <w:pPr>
              <w:jc w:val="center"/>
              <w:rPr>
                <w:rFonts w:ascii="Arial Narrow" w:hAnsi="Arial Narrow"/>
                <w:i/>
                <w:sz w:val="20"/>
              </w:rPr>
            </w:pPr>
            <w:r w:rsidRPr="00031B25">
              <w:rPr>
                <w:rFonts w:ascii="Arial Narrow" w:hAnsi="Arial Narrow"/>
                <w:i/>
                <w:sz w:val="20"/>
              </w:rPr>
              <w:t>-0.9%</w:t>
            </w:r>
            <w:r>
              <w:rPr>
                <w:rFonts w:ascii="Arial Narrow" w:hAnsi="Arial Narrow"/>
                <w:i/>
                <w:sz w:val="20"/>
              </w:rPr>
              <w:t xml:space="preserve"> </w:t>
            </w:r>
            <w:r w:rsidRPr="004B0879">
              <w:rPr>
                <w:rFonts w:ascii="Arial Narrow" w:hAnsi="Arial Narrow"/>
                <w:sz w:val="20"/>
              </w:rPr>
              <w:t>(p &lt; 0.05)</w:t>
            </w:r>
          </w:p>
        </w:tc>
        <w:tc>
          <w:tcPr>
            <w:tcW w:w="1333" w:type="pct"/>
          </w:tcPr>
          <w:p w14:paraId="679E83B6" w14:textId="77777777" w:rsidR="00DB5D42" w:rsidRPr="00031B25" w:rsidRDefault="00DB5D42" w:rsidP="00132983">
            <w:pPr>
              <w:jc w:val="center"/>
              <w:rPr>
                <w:rFonts w:ascii="Arial Narrow" w:hAnsi="Arial Narrow"/>
                <w:i/>
                <w:sz w:val="20"/>
              </w:rPr>
            </w:pPr>
            <w:r w:rsidRPr="00031B25">
              <w:rPr>
                <w:rFonts w:ascii="Arial Narrow" w:hAnsi="Arial Narrow"/>
                <w:i/>
                <w:sz w:val="20"/>
              </w:rPr>
              <w:t>-0.5%</w:t>
            </w:r>
          </w:p>
        </w:tc>
        <w:tc>
          <w:tcPr>
            <w:tcW w:w="627" w:type="pct"/>
          </w:tcPr>
          <w:p w14:paraId="472FC3C5" w14:textId="77777777" w:rsidR="00DB5D42" w:rsidRPr="00031B25" w:rsidRDefault="00DB5D42" w:rsidP="00132983">
            <w:pPr>
              <w:jc w:val="center"/>
              <w:rPr>
                <w:rFonts w:ascii="Arial Narrow" w:hAnsi="Arial Narrow"/>
                <w:i/>
                <w:sz w:val="20"/>
              </w:rPr>
            </w:pPr>
            <w:r>
              <w:rPr>
                <w:rFonts w:ascii="Arial Narrow" w:hAnsi="Arial Narrow"/>
                <w:i/>
                <w:sz w:val="20"/>
              </w:rPr>
              <w:t>NC</w:t>
            </w:r>
          </w:p>
        </w:tc>
      </w:tr>
    </w:tbl>
    <w:p w14:paraId="6731CF8A" w14:textId="77777777" w:rsidR="00DB5D42" w:rsidRDefault="00DB5D42" w:rsidP="00DB5D42">
      <w:pPr>
        <w:rPr>
          <w:rFonts w:ascii="Arial Narrow" w:hAnsi="Arial Narrow"/>
          <w:sz w:val="20"/>
        </w:rPr>
      </w:pPr>
      <w:proofErr w:type="gramStart"/>
      <w:r w:rsidRPr="0079249F">
        <w:rPr>
          <w:rFonts w:ascii="Arial Narrow" w:hAnsi="Arial Narrow"/>
          <w:sz w:val="20"/>
        </w:rPr>
        <w:t>a</w:t>
      </w:r>
      <w:proofErr w:type="gramEnd"/>
      <w:r w:rsidRPr="00031B25">
        <w:rPr>
          <w:rFonts w:ascii="Arial Narrow" w:hAnsi="Arial Narrow"/>
          <w:sz w:val="20"/>
        </w:rPr>
        <w:t xml:space="preserve"> </w:t>
      </w:r>
      <w:r>
        <w:rPr>
          <w:rFonts w:ascii="Arial Narrow" w:hAnsi="Arial Narrow"/>
          <w:sz w:val="20"/>
        </w:rPr>
        <w:t>p-value between groups estimated by Mann-Whitey U test</w:t>
      </w:r>
    </w:p>
    <w:p w14:paraId="7CF3C90E" w14:textId="77777777" w:rsidR="00DB5D42" w:rsidRDefault="00DB5D42" w:rsidP="00DB5D42">
      <w:pPr>
        <w:rPr>
          <w:rFonts w:ascii="Arial Narrow" w:hAnsi="Arial Narrow"/>
          <w:sz w:val="20"/>
        </w:rPr>
      </w:pPr>
      <w:proofErr w:type="gramStart"/>
      <w:r w:rsidRPr="0079249F">
        <w:rPr>
          <w:rFonts w:ascii="Arial Narrow" w:hAnsi="Arial Narrow"/>
          <w:sz w:val="20"/>
        </w:rPr>
        <w:t>b</w:t>
      </w:r>
      <w:proofErr w:type="gramEnd"/>
      <w:r>
        <w:rPr>
          <w:rFonts w:ascii="Arial Narrow" w:hAnsi="Arial Narrow"/>
          <w:sz w:val="20"/>
        </w:rPr>
        <w:t xml:space="preserve"> </w:t>
      </w:r>
      <w:r w:rsidRPr="00031B25">
        <w:rPr>
          <w:rFonts w:ascii="Arial Narrow" w:hAnsi="Arial Narrow"/>
          <w:sz w:val="20"/>
        </w:rPr>
        <w:t>p-value &lt; 0.05 within group estimated by repeated measure</w:t>
      </w:r>
      <w:r>
        <w:rPr>
          <w:rFonts w:ascii="Arial Narrow" w:hAnsi="Arial Narrow"/>
          <w:sz w:val="20"/>
        </w:rPr>
        <w:t>s</w:t>
      </w:r>
      <w:r w:rsidRPr="00031B25">
        <w:rPr>
          <w:rFonts w:ascii="Arial Narrow" w:hAnsi="Arial Narrow"/>
          <w:sz w:val="20"/>
        </w:rPr>
        <w:t xml:space="preserve"> analysis of variance (</w:t>
      </w:r>
      <w:proofErr w:type="spellStart"/>
      <w:r w:rsidRPr="00031B25">
        <w:rPr>
          <w:rFonts w:ascii="Arial Narrow" w:hAnsi="Arial Narrow"/>
          <w:sz w:val="20"/>
        </w:rPr>
        <w:t>rANOVA</w:t>
      </w:r>
      <w:proofErr w:type="spellEnd"/>
      <w:r w:rsidRPr="00031B25">
        <w:rPr>
          <w:rFonts w:ascii="Arial Narrow" w:hAnsi="Arial Narrow"/>
          <w:sz w:val="20"/>
        </w:rPr>
        <w:t>)</w:t>
      </w:r>
    </w:p>
    <w:p w14:paraId="2F751BD1" w14:textId="073C8081" w:rsidR="00DB5D42" w:rsidRPr="00031B25" w:rsidRDefault="00DB5D42" w:rsidP="00DB5D42">
      <w:pPr>
        <w:rPr>
          <w:rFonts w:ascii="Arial Narrow" w:hAnsi="Arial Narrow"/>
          <w:sz w:val="20"/>
        </w:rPr>
      </w:pPr>
      <w:r>
        <w:rPr>
          <w:rFonts w:ascii="Arial Narrow" w:hAnsi="Arial Narrow"/>
          <w:sz w:val="20"/>
        </w:rPr>
        <w:t>Source: Table B</w:t>
      </w:r>
      <w:proofErr w:type="gramStart"/>
      <w:r>
        <w:rPr>
          <w:rFonts w:ascii="Arial Narrow" w:hAnsi="Arial Narrow"/>
          <w:sz w:val="20"/>
        </w:rPr>
        <w:t>:22</w:t>
      </w:r>
      <w:proofErr w:type="gramEnd"/>
      <w:r>
        <w:rPr>
          <w:rFonts w:ascii="Arial Narrow" w:hAnsi="Arial Narrow"/>
          <w:sz w:val="20"/>
        </w:rPr>
        <w:t xml:space="preserve">, p66; Section B.6.1, p65 of the </w:t>
      </w:r>
      <w:r w:rsidR="0086475A">
        <w:rPr>
          <w:rFonts w:ascii="Arial Narrow" w:hAnsi="Arial Narrow"/>
          <w:sz w:val="20"/>
        </w:rPr>
        <w:t>s</w:t>
      </w:r>
      <w:r>
        <w:rPr>
          <w:rFonts w:ascii="Arial Narrow" w:hAnsi="Arial Narrow"/>
          <w:sz w:val="20"/>
        </w:rPr>
        <w:t xml:space="preserve">ubmission; </w:t>
      </w:r>
      <w:r>
        <w:rPr>
          <w:rFonts w:ascii="Arial Narrow" w:hAnsi="Arial Narrow"/>
          <w:i/>
          <w:sz w:val="20"/>
        </w:rPr>
        <w:t>and calculated during the evaluation</w:t>
      </w:r>
    </w:p>
    <w:p w14:paraId="3AB8F2F9" w14:textId="76C83603" w:rsidR="00DB5D42" w:rsidRPr="00031B25" w:rsidRDefault="00DB5D42" w:rsidP="00DB5D42">
      <w:pPr>
        <w:rPr>
          <w:rFonts w:ascii="Arial Narrow" w:hAnsi="Arial Narrow"/>
          <w:sz w:val="20"/>
        </w:rPr>
      </w:pPr>
      <w:r w:rsidRPr="00031B25">
        <w:rPr>
          <w:rFonts w:ascii="Arial Narrow" w:hAnsi="Arial Narrow"/>
          <w:sz w:val="20"/>
        </w:rPr>
        <w:t>GCM = gastric contractility modulat</w:t>
      </w:r>
      <w:r>
        <w:rPr>
          <w:rFonts w:ascii="Arial Narrow" w:hAnsi="Arial Narrow"/>
          <w:sz w:val="20"/>
        </w:rPr>
        <w:t>ion</w:t>
      </w:r>
      <w:r w:rsidRPr="00031B25">
        <w:rPr>
          <w:rFonts w:ascii="Arial Narrow" w:hAnsi="Arial Narrow"/>
          <w:sz w:val="20"/>
        </w:rPr>
        <w:t>; HbA</w:t>
      </w:r>
      <w:r w:rsidRPr="00031B25">
        <w:rPr>
          <w:rFonts w:ascii="Arial Narrow" w:hAnsi="Arial Narrow"/>
          <w:sz w:val="20"/>
          <w:vertAlign w:val="subscript"/>
        </w:rPr>
        <w:t>1c</w:t>
      </w:r>
      <w:r w:rsidRPr="00031B25">
        <w:rPr>
          <w:rFonts w:ascii="Arial Narrow" w:hAnsi="Arial Narrow"/>
          <w:sz w:val="20"/>
        </w:rPr>
        <w:t xml:space="preserve"> = </w:t>
      </w:r>
      <w:proofErr w:type="spellStart"/>
      <w:r w:rsidRPr="00031B25">
        <w:rPr>
          <w:rFonts w:ascii="Arial Narrow" w:hAnsi="Arial Narrow"/>
          <w:sz w:val="20"/>
        </w:rPr>
        <w:t>glycated</w:t>
      </w:r>
      <w:proofErr w:type="spellEnd"/>
      <w:r w:rsidRPr="00031B25">
        <w:rPr>
          <w:rFonts w:ascii="Arial Narrow" w:hAnsi="Arial Narrow"/>
          <w:sz w:val="20"/>
        </w:rPr>
        <w:t xml:space="preserve"> haem</w:t>
      </w:r>
      <w:r>
        <w:rPr>
          <w:rFonts w:ascii="Arial Narrow" w:hAnsi="Arial Narrow"/>
          <w:sz w:val="20"/>
        </w:rPr>
        <w:t>o</w:t>
      </w:r>
      <w:r w:rsidRPr="00031B25">
        <w:rPr>
          <w:rFonts w:ascii="Arial Narrow" w:hAnsi="Arial Narrow"/>
          <w:sz w:val="20"/>
        </w:rPr>
        <w:t xml:space="preserve">globin; </w:t>
      </w:r>
      <w:r>
        <w:rPr>
          <w:rFonts w:ascii="Arial Narrow" w:hAnsi="Arial Narrow"/>
          <w:sz w:val="20"/>
        </w:rPr>
        <w:t xml:space="preserve">NC = </w:t>
      </w:r>
      <w:proofErr w:type="spellStart"/>
      <w:r>
        <w:rPr>
          <w:rFonts w:ascii="Arial Narrow" w:hAnsi="Arial Narrow"/>
          <w:sz w:val="20"/>
        </w:rPr>
        <w:t>not</w:t>
      </w:r>
      <w:proofErr w:type="spellEnd"/>
      <w:r>
        <w:rPr>
          <w:rFonts w:ascii="Arial Narrow" w:hAnsi="Arial Narrow"/>
          <w:sz w:val="20"/>
        </w:rPr>
        <w:t xml:space="preserve"> calculated; </w:t>
      </w:r>
      <w:r w:rsidRPr="00031B25">
        <w:rPr>
          <w:rFonts w:ascii="Arial Narrow" w:hAnsi="Arial Narrow"/>
          <w:sz w:val="20"/>
        </w:rPr>
        <w:t>SE</w:t>
      </w:r>
      <w:r>
        <w:rPr>
          <w:rFonts w:ascii="Arial Narrow" w:hAnsi="Arial Narrow"/>
          <w:sz w:val="20"/>
        </w:rPr>
        <w:t>M</w:t>
      </w:r>
      <w:r w:rsidRPr="00031B25">
        <w:rPr>
          <w:rFonts w:ascii="Arial Narrow" w:hAnsi="Arial Narrow"/>
          <w:sz w:val="20"/>
        </w:rPr>
        <w:t xml:space="preserve"> = standard error</w:t>
      </w:r>
      <w:r>
        <w:rPr>
          <w:rFonts w:ascii="Arial Narrow" w:hAnsi="Arial Narrow"/>
          <w:sz w:val="20"/>
        </w:rPr>
        <w:t xml:space="preserve"> of the mean</w:t>
      </w:r>
    </w:p>
    <w:p w14:paraId="644E1053" w14:textId="77777777" w:rsidR="00DB5D42" w:rsidRDefault="00DB5D42" w:rsidP="00DB5D42"/>
    <w:p w14:paraId="21D52023" w14:textId="51495563" w:rsidR="00DB5D42" w:rsidRDefault="00DB5D42" w:rsidP="00DB5D42">
      <w:r>
        <w:t>The triglyceride study compared the effect of GCM therapy in patients with normal (≤</w:t>
      </w:r>
      <w:r w:rsidR="00B07DD9">
        <w:t> </w:t>
      </w:r>
      <w:proofErr w:type="gramStart"/>
      <w:r>
        <w:t>1.7</w:t>
      </w:r>
      <w:r w:rsidR="00B07DD9">
        <w:t> </w:t>
      </w:r>
      <w:proofErr w:type="spellStart"/>
      <w:r>
        <w:t>mmol</w:t>
      </w:r>
      <w:proofErr w:type="spellEnd"/>
      <w:r>
        <w:t>/L</w:t>
      </w:r>
      <w:proofErr w:type="gramEnd"/>
      <w:r>
        <w:t>) and high (&gt;</w:t>
      </w:r>
      <w:r w:rsidR="00B07DD9">
        <w:t> </w:t>
      </w:r>
      <w:r>
        <w:t>1.7</w:t>
      </w:r>
      <w:r w:rsidR="00B07DD9">
        <w:t> </w:t>
      </w:r>
      <w:proofErr w:type="spellStart"/>
      <w:r>
        <w:t>mmol</w:t>
      </w:r>
      <w:proofErr w:type="spellEnd"/>
      <w:r>
        <w:t xml:space="preserve">/L) baseline fasting triglyceride levels using data from several studies with almost identical protocols. The results (presented in Table </w:t>
      </w:r>
      <w:r w:rsidR="00B07DD9">
        <w:t>3</w:t>
      </w:r>
      <w:r>
        <w:t>) suggest that GCM is more effective in patients with normal fasting triglyceride levels at baseline.</w:t>
      </w:r>
    </w:p>
    <w:p w14:paraId="67666656" w14:textId="77777777" w:rsidR="00DB5D42" w:rsidRDefault="00DB5D42" w:rsidP="00DB5D42">
      <w:bookmarkStart w:id="0" w:name="_GoBack"/>
      <w:bookmarkEnd w:id="0"/>
    </w:p>
    <w:p w14:paraId="5E70DE30" w14:textId="055D8844" w:rsidR="00DB5D42" w:rsidRDefault="00DB5D42" w:rsidP="00DB5D42">
      <w:pPr>
        <w:keepNext/>
        <w:widowControl w:val="0"/>
        <w:rPr>
          <w:rFonts w:ascii="Arial Narrow" w:hAnsi="Arial Narrow"/>
          <w:b/>
          <w:sz w:val="20"/>
        </w:rPr>
      </w:pPr>
      <w:r w:rsidRPr="00031B25">
        <w:rPr>
          <w:rFonts w:ascii="Arial Narrow" w:hAnsi="Arial Narrow"/>
          <w:b/>
          <w:sz w:val="20"/>
        </w:rPr>
        <w:t xml:space="preserve">Table </w:t>
      </w:r>
      <w:r w:rsidR="00B07DD9">
        <w:rPr>
          <w:rFonts w:ascii="Arial Narrow" w:hAnsi="Arial Narrow"/>
          <w:b/>
          <w:sz w:val="20"/>
        </w:rPr>
        <w:t>3</w:t>
      </w:r>
      <w:r w:rsidRPr="00031B25">
        <w:rPr>
          <w:rFonts w:ascii="Arial Narrow" w:hAnsi="Arial Narrow"/>
          <w:b/>
          <w:sz w:val="20"/>
        </w:rPr>
        <w:t>: Results of change in HbA</w:t>
      </w:r>
      <w:r w:rsidRPr="00031B25">
        <w:rPr>
          <w:rFonts w:ascii="Arial Narrow" w:hAnsi="Arial Narrow"/>
          <w:b/>
          <w:sz w:val="20"/>
          <w:vertAlign w:val="subscript"/>
        </w:rPr>
        <w:t>1c</w:t>
      </w:r>
      <w:r>
        <w:rPr>
          <w:rFonts w:ascii="Arial Narrow" w:hAnsi="Arial Narrow"/>
          <w:b/>
          <w:sz w:val="20"/>
        </w:rPr>
        <w:t xml:space="preserve"> from baseline in the triglyceride</w:t>
      </w:r>
      <w:r w:rsidRPr="00031B25">
        <w:rPr>
          <w:rFonts w:ascii="Arial Narrow" w:hAnsi="Arial Narrow"/>
          <w:b/>
          <w:sz w:val="20"/>
        </w:rPr>
        <w:t xml:space="preserve"> study</w:t>
      </w:r>
    </w:p>
    <w:tbl>
      <w:tblPr>
        <w:tblStyle w:val="TableGrid"/>
        <w:tblpPr w:leftFromText="180" w:rightFromText="180" w:vertAnchor="text" w:horzAnchor="margin" w:tblpX="108" w:tblpY="123"/>
        <w:tblW w:w="0" w:type="auto"/>
        <w:tblLook w:val="04A0" w:firstRow="1" w:lastRow="0" w:firstColumn="1" w:lastColumn="0" w:noHBand="0" w:noVBand="1"/>
        <w:tblCaption w:val="Table B.6.1.3: Results of change in HbA1c from baseline in the triglyceride study"/>
        <w:tblDescription w:val="Comparison of change from baseline in HbA1c for patients with GCM therapy and normal or high fasting triglyceride levels over 36 months"/>
      </w:tblPr>
      <w:tblGrid>
        <w:gridCol w:w="1526"/>
        <w:gridCol w:w="709"/>
        <w:gridCol w:w="1417"/>
        <w:gridCol w:w="1559"/>
        <w:gridCol w:w="709"/>
        <w:gridCol w:w="1418"/>
        <w:gridCol w:w="1701"/>
      </w:tblGrid>
      <w:tr w:rsidR="00DB5D42" w14:paraId="6EC2BB7B" w14:textId="77777777" w:rsidTr="003C76A2">
        <w:trPr>
          <w:cantSplit/>
          <w:tblHeader/>
        </w:trPr>
        <w:tc>
          <w:tcPr>
            <w:tcW w:w="1526" w:type="dxa"/>
            <w:vAlign w:val="center"/>
          </w:tcPr>
          <w:p w14:paraId="2B08B553" w14:textId="22B075B0" w:rsidR="00DB5D42" w:rsidRPr="003C478C" w:rsidRDefault="002C5003" w:rsidP="002C5003">
            <w:pPr>
              <w:keepNext/>
              <w:widowControl w:val="0"/>
              <w:jc w:val="center"/>
              <w:rPr>
                <w:rFonts w:ascii="Arial Narrow" w:hAnsi="Arial Narrow"/>
                <w:b/>
                <w:sz w:val="20"/>
              </w:rPr>
            </w:pPr>
            <w:r>
              <w:rPr>
                <w:rFonts w:ascii="Arial Narrow" w:hAnsi="Arial Narrow"/>
                <w:b/>
                <w:sz w:val="20"/>
              </w:rPr>
              <w:t>-</w:t>
            </w:r>
          </w:p>
        </w:tc>
        <w:tc>
          <w:tcPr>
            <w:tcW w:w="709" w:type="dxa"/>
            <w:tcMar>
              <w:left w:w="28" w:type="dxa"/>
              <w:right w:w="28" w:type="dxa"/>
            </w:tcMar>
          </w:tcPr>
          <w:p w14:paraId="0820FB7C" w14:textId="77777777" w:rsidR="00DB5D42" w:rsidRDefault="00DB5D42" w:rsidP="00132983">
            <w:pPr>
              <w:keepNext/>
              <w:widowControl w:val="0"/>
              <w:jc w:val="right"/>
              <w:rPr>
                <w:rFonts w:ascii="Arial Narrow" w:hAnsi="Arial Narrow"/>
                <w:b/>
                <w:sz w:val="20"/>
              </w:rPr>
            </w:pPr>
            <w:r>
              <w:rPr>
                <w:rFonts w:ascii="Arial Narrow" w:hAnsi="Arial Narrow"/>
                <w:b/>
                <w:sz w:val="20"/>
              </w:rPr>
              <w:t xml:space="preserve">GCM + </w:t>
            </w:r>
          </w:p>
        </w:tc>
        <w:tc>
          <w:tcPr>
            <w:tcW w:w="1417" w:type="dxa"/>
            <w:tcMar>
              <w:left w:w="28" w:type="dxa"/>
              <w:right w:w="28" w:type="dxa"/>
            </w:tcMar>
          </w:tcPr>
          <w:p w14:paraId="745C7EB6" w14:textId="77777777" w:rsidR="00DB5D42" w:rsidRPr="008B4FDC" w:rsidRDefault="00DB5D42" w:rsidP="00132983">
            <w:pPr>
              <w:keepNext/>
              <w:widowControl w:val="0"/>
              <w:jc w:val="center"/>
              <w:rPr>
                <w:rFonts w:ascii="Arial Narrow" w:hAnsi="Arial Narrow"/>
                <w:b/>
                <w:sz w:val="20"/>
              </w:rPr>
            </w:pPr>
            <w:r>
              <w:rPr>
                <w:rFonts w:ascii="Arial Narrow" w:hAnsi="Arial Narrow"/>
                <w:b/>
                <w:sz w:val="20"/>
              </w:rPr>
              <w:t>n</w:t>
            </w:r>
            <w:r w:rsidRPr="008B4FDC">
              <w:rPr>
                <w:rFonts w:ascii="Arial Narrow" w:hAnsi="Arial Narrow"/>
                <w:b/>
                <w:sz w:val="20"/>
              </w:rPr>
              <w:t xml:space="preserve">ormal </w:t>
            </w:r>
            <w:r>
              <w:rPr>
                <w:rFonts w:ascii="Arial Narrow" w:hAnsi="Arial Narrow"/>
                <w:b/>
                <w:sz w:val="20"/>
              </w:rPr>
              <w:t>TG level</w:t>
            </w:r>
          </w:p>
        </w:tc>
        <w:tc>
          <w:tcPr>
            <w:tcW w:w="1559" w:type="dxa"/>
            <w:tcMar>
              <w:left w:w="28" w:type="dxa"/>
              <w:right w:w="28" w:type="dxa"/>
            </w:tcMar>
          </w:tcPr>
          <w:p w14:paraId="1B7614F0" w14:textId="77777777" w:rsidR="00DB5D42" w:rsidRPr="008B4FDC" w:rsidRDefault="00DB5D42" w:rsidP="00132983">
            <w:pPr>
              <w:keepNext/>
              <w:widowControl w:val="0"/>
              <w:rPr>
                <w:rFonts w:ascii="Arial Narrow" w:hAnsi="Arial Narrow"/>
                <w:b/>
                <w:sz w:val="20"/>
              </w:rPr>
            </w:pPr>
            <w:r w:rsidRPr="008B4FDC">
              <w:rPr>
                <w:rFonts w:ascii="Arial Narrow" w:hAnsi="Arial Narrow"/>
                <w:b/>
                <w:sz w:val="20"/>
              </w:rPr>
              <w:t xml:space="preserve">(≤ 1.7 </w:t>
            </w:r>
            <w:proofErr w:type="spellStart"/>
            <w:r w:rsidRPr="008B4FDC">
              <w:rPr>
                <w:rFonts w:ascii="Arial Narrow" w:hAnsi="Arial Narrow"/>
                <w:b/>
                <w:sz w:val="20"/>
              </w:rPr>
              <w:t>mmol</w:t>
            </w:r>
            <w:proofErr w:type="spellEnd"/>
            <w:r w:rsidRPr="008B4FDC">
              <w:rPr>
                <w:rFonts w:ascii="Arial Narrow" w:hAnsi="Arial Narrow"/>
                <w:b/>
                <w:sz w:val="20"/>
              </w:rPr>
              <w:t>/L)</w:t>
            </w:r>
          </w:p>
        </w:tc>
        <w:tc>
          <w:tcPr>
            <w:tcW w:w="709" w:type="dxa"/>
            <w:tcMar>
              <w:left w:w="28" w:type="dxa"/>
              <w:right w:w="28" w:type="dxa"/>
            </w:tcMar>
          </w:tcPr>
          <w:p w14:paraId="1C0E08BE" w14:textId="77777777" w:rsidR="00DB5D42" w:rsidRDefault="00DB5D42" w:rsidP="00132983">
            <w:pPr>
              <w:keepNext/>
              <w:widowControl w:val="0"/>
              <w:jc w:val="right"/>
              <w:rPr>
                <w:rFonts w:ascii="Arial Narrow" w:hAnsi="Arial Narrow"/>
                <w:b/>
                <w:sz w:val="20"/>
              </w:rPr>
            </w:pPr>
            <w:r>
              <w:rPr>
                <w:rFonts w:ascii="Arial Narrow" w:hAnsi="Arial Narrow"/>
                <w:b/>
                <w:sz w:val="20"/>
              </w:rPr>
              <w:t xml:space="preserve">GCM + </w:t>
            </w:r>
          </w:p>
        </w:tc>
        <w:tc>
          <w:tcPr>
            <w:tcW w:w="1418" w:type="dxa"/>
            <w:tcMar>
              <w:left w:w="28" w:type="dxa"/>
              <w:right w:w="28" w:type="dxa"/>
            </w:tcMar>
          </w:tcPr>
          <w:p w14:paraId="6172146C" w14:textId="77777777" w:rsidR="00DB5D42" w:rsidRPr="008B4FDC" w:rsidRDefault="00DB5D42" w:rsidP="00132983">
            <w:pPr>
              <w:keepNext/>
              <w:widowControl w:val="0"/>
              <w:jc w:val="center"/>
              <w:rPr>
                <w:rFonts w:ascii="Arial Narrow" w:hAnsi="Arial Narrow"/>
                <w:b/>
                <w:sz w:val="20"/>
              </w:rPr>
            </w:pPr>
            <w:r>
              <w:rPr>
                <w:rFonts w:ascii="Arial Narrow" w:hAnsi="Arial Narrow"/>
                <w:b/>
                <w:sz w:val="20"/>
              </w:rPr>
              <w:t>h</w:t>
            </w:r>
            <w:r w:rsidRPr="008B4FDC">
              <w:rPr>
                <w:rFonts w:ascii="Arial Narrow" w:hAnsi="Arial Narrow"/>
                <w:b/>
                <w:sz w:val="20"/>
              </w:rPr>
              <w:t xml:space="preserve">igh </w:t>
            </w:r>
            <w:r>
              <w:rPr>
                <w:rFonts w:ascii="Arial Narrow" w:hAnsi="Arial Narrow"/>
                <w:b/>
                <w:sz w:val="20"/>
              </w:rPr>
              <w:t>TG level</w:t>
            </w:r>
          </w:p>
        </w:tc>
        <w:tc>
          <w:tcPr>
            <w:tcW w:w="1701" w:type="dxa"/>
            <w:tcMar>
              <w:left w:w="28" w:type="dxa"/>
              <w:right w:w="28" w:type="dxa"/>
            </w:tcMar>
          </w:tcPr>
          <w:p w14:paraId="7086644C" w14:textId="77777777" w:rsidR="00DB5D42" w:rsidRPr="008B4FDC" w:rsidRDefault="00DB5D42" w:rsidP="00132983">
            <w:pPr>
              <w:keepNext/>
              <w:widowControl w:val="0"/>
              <w:rPr>
                <w:rFonts w:ascii="Arial Narrow" w:hAnsi="Arial Narrow"/>
                <w:b/>
                <w:sz w:val="20"/>
              </w:rPr>
            </w:pPr>
            <w:r w:rsidRPr="008B4FDC">
              <w:rPr>
                <w:rFonts w:ascii="Arial Narrow" w:hAnsi="Arial Narrow"/>
                <w:b/>
                <w:sz w:val="20"/>
              </w:rPr>
              <w:t xml:space="preserve">(&gt; 1.7 </w:t>
            </w:r>
            <w:proofErr w:type="spellStart"/>
            <w:r w:rsidRPr="008B4FDC">
              <w:rPr>
                <w:rFonts w:ascii="Arial Narrow" w:hAnsi="Arial Narrow"/>
                <w:b/>
                <w:sz w:val="20"/>
              </w:rPr>
              <w:t>mmol</w:t>
            </w:r>
            <w:proofErr w:type="spellEnd"/>
            <w:r w:rsidRPr="008B4FDC">
              <w:rPr>
                <w:rFonts w:ascii="Arial Narrow" w:hAnsi="Arial Narrow"/>
                <w:b/>
                <w:sz w:val="20"/>
              </w:rPr>
              <w:t>/L)</w:t>
            </w:r>
          </w:p>
        </w:tc>
      </w:tr>
      <w:tr w:rsidR="00DB5D42" w14:paraId="74204DA5" w14:textId="77777777" w:rsidTr="003C76A2">
        <w:trPr>
          <w:cantSplit/>
          <w:tblHeader/>
        </w:trPr>
        <w:tc>
          <w:tcPr>
            <w:tcW w:w="1526" w:type="dxa"/>
            <w:vAlign w:val="center"/>
          </w:tcPr>
          <w:p w14:paraId="3F9F51E6" w14:textId="77777777" w:rsidR="00DB5D42" w:rsidRPr="00031B25" w:rsidRDefault="00DB5D42" w:rsidP="00132983">
            <w:pPr>
              <w:keepNext/>
              <w:widowControl w:val="0"/>
              <w:rPr>
                <w:rFonts w:ascii="Arial Narrow" w:hAnsi="Arial Narrow"/>
                <w:sz w:val="20"/>
              </w:rPr>
            </w:pPr>
            <w:r w:rsidRPr="003C478C">
              <w:rPr>
                <w:rFonts w:ascii="Arial Narrow" w:hAnsi="Arial Narrow"/>
                <w:b/>
                <w:sz w:val="20"/>
              </w:rPr>
              <w:t>Time</w:t>
            </w:r>
            <w:r w:rsidDel="00255F9D">
              <w:rPr>
                <w:rFonts w:ascii="Arial Narrow" w:hAnsi="Arial Narrow"/>
                <w:sz w:val="20"/>
              </w:rPr>
              <w:t xml:space="preserve"> </w:t>
            </w:r>
          </w:p>
        </w:tc>
        <w:tc>
          <w:tcPr>
            <w:tcW w:w="709" w:type="dxa"/>
            <w:tcMar>
              <w:left w:w="28" w:type="dxa"/>
              <w:right w:w="28" w:type="dxa"/>
            </w:tcMar>
            <w:vAlign w:val="center"/>
          </w:tcPr>
          <w:p w14:paraId="5E15B3E7" w14:textId="77777777" w:rsidR="00DB5D42" w:rsidRPr="008B4FDC" w:rsidRDefault="00DB5D42" w:rsidP="00132983">
            <w:pPr>
              <w:keepNext/>
              <w:widowControl w:val="0"/>
              <w:jc w:val="center"/>
              <w:rPr>
                <w:rFonts w:ascii="Arial Narrow" w:hAnsi="Arial Narrow"/>
                <w:b/>
                <w:sz w:val="20"/>
              </w:rPr>
            </w:pPr>
            <w:r w:rsidRPr="008B4FDC">
              <w:rPr>
                <w:rFonts w:ascii="Arial Narrow" w:hAnsi="Arial Narrow"/>
                <w:b/>
                <w:sz w:val="20"/>
              </w:rPr>
              <w:t>n</w:t>
            </w:r>
          </w:p>
        </w:tc>
        <w:tc>
          <w:tcPr>
            <w:tcW w:w="1417" w:type="dxa"/>
            <w:tcMar>
              <w:left w:w="28" w:type="dxa"/>
              <w:right w:w="28" w:type="dxa"/>
            </w:tcMar>
            <w:vAlign w:val="center"/>
          </w:tcPr>
          <w:p w14:paraId="01A38C79" w14:textId="77777777" w:rsidR="00DB5D42" w:rsidRPr="008B4FDC" w:rsidRDefault="00DB5D42" w:rsidP="00132983">
            <w:pPr>
              <w:keepNext/>
              <w:widowControl w:val="0"/>
              <w:jc w:val="center"/>
              <w:rPr>
                <w:rFonts w:ascii="Arial Narrow" w:hAnsi="Arial Narrow"/>
                <w:b/>
                <w:sz w:val="20"/>
              </w:rPr>
            </w:pPr>
            <w:r w:rsidRPr="008B4FDC">
              <w:rPr>
                <w:rFonts w:ascii="Arial Narrow" w:hAnsi="Arial Narrow"/>
                <w:b/>
                <w:sz w:val="20"/>
              </w:rPr>
              <w:t>HbA</w:t>
            </w:r>
            <w:r w:rsidRPr="00FA489E">
              <w:rPr>
                <w:rFonts w:ascii="Arial Narrow" w:hAnsi="Arial Narrow"/>
                <w:b/>
                <w:sz w:val="20"/>
                <w:vertAlign w:val="subscript"/>
              </w:rPr>
              <w:t>1c</w:t>
            </w:r>
            <w:r w:rsidRPr="008B4FDC">
              <w:rPr>
                <w:rFonts w:ascii="Arial Narrow" w:hAnsi="Arial Narrow"/>
                <w:b/>
                <w:sz w:val="20"/>
              </w:rPr>
              <w:t>; %</w:t>
            </w:r>
            <w:r>
              <w:rPr>
                <w:rFonts w:ascii="Arial Narrow" w:hAnsi="Arial Narrow"/>
                <w:b/>
                <w:sz w:val="20"/>
              </w:rPr>
              <w:t xml:space="preserve"> (SE)</w:t>
            </w:r>
          </w:p>
        </w:tc>
        <w:tc>
          <w:tcPr>
            <w:tcW w:w="1559" w:type="dxa"/>
            <w:tcMar>
              <w:left w:w="28" w:type="dxa"/>
              <w:right w:w="28" w:type="dxa"/>
            </w:tcMar>
            <w:vAlign w:val="center"/>
          </w:tcPr>
          <w:p w14:paraId="7A50B27B" w14:textId="77777777" w:rsidR="00DB5D42" w:rsidRPr="008B4FDC" w:rsidRDefault="00DB5D42" w:rsidP="00132983">
            <w:pPr>
              <w:keepNext/>
              <w:widowControl w:val="0"/>
              <w:jc w:val="center"/>
              <w:rPr>
                <w:rFonts w:ascii="Arial Narrow" w:hAnsi="Arial Narrow"/>
                <w:b/>
                <w:sz w:val="20"/>
              </w:rPr>
            </w:pPr>
            <w:r w:rsidRPr="008B4FDC">
              <w:rPr>
                <w:rFonts w:ascii="Arial Narrow" w:hAnsi="Arial Narrow"/>
                <w:b/>
                <w:sz w:val="20"/>
              </w:rPr>
              <w:t>Change from baseline; %</w:t>
            </w:r>
            <w:r>
              <w:rPr>
                <w:rFonts w:ascii="Arial Narrow" w:hAnsi="Arial Narrow"/>
                <w:b/>
                <w:sz w:val="20"/>
              </w:rPr>
              <w:t xml:space="preserve"> (SE)</w:t>
            </w:r>
          </w:p>
        </w:tc>
        <w:tc>
          <w:tcPr>
            <w:tcW w:w="709" w:type="dxa"/>
            <w:tcMar>
              <w:left w:w="28" w:type="dxa"/>
              <w:right w:w="28" w:type="dxa"/>
            </w:tcMar>
            <w:vAlign w:val="center"/>
          </w:tcPr>
          <w:p w14:paraId="04DBFF31" w14:textId="77777777" w:rsidR="00DB5D42" w:rsidRPr="008B4FDC" w:rsidRDefault="00DB5D42" w:rsidP="00132983">
            <w:pPr>
              <w:keepNext/>
              <w:widowControl w:val="0"/>
              <w:jc w:val="center"/>
              <w:rPr>
                <w:rFonts w:ascii="Arial Narrow" w:hAnsi="Arial Narrow"/>
                <w:b/>
                <w:sz w:val="20"/>
              </w:rPr>
            </w:pPr>
            <w:r w:rsidRPr="008B4FDC">
              <w:rPr>
                <w:rFonts w:ascii="Arial Narrow" w:hAnsi="Arial Narrow"/>
                <w:b/>
                <w:sz w:val="20"/>
              </w:rPr>
              <w:t>n</w:t>
            </w:r>
          </w:p>
        </w:tc>
        <w:tc>
          <w:tcPr>
            <w:tcW w:w="1418" w:type="dxa"/>
            <w:tcMar>
              <w:left w:w="28" w:type="dxa"/>
              <w:right w:w="28" w:type="dxa"/>
            </w:tcMar>
            <w:vAlign w:val="center"/>
          </w:tcPr>
          <w:p w14:paraId="06D9A60A" w14:textId="77777777" w:rsidR="00DB5D42" w:rsidRPr="008B4FDC" w:rsidRDefault="00DB5D42" w:rsidP="00132983">
            <w:pPr>
              <w:keepNext/>
              <w:widowControl w:val="0"/>
              <w:jc w:val="center"/>
              <w:rPr>
                <w:rFonts w:ascii="Arial Narrow" w:hAnsi="Arial Narrow"/>
                <w:b/>
                <w:sz w:val="20"/>
              </w:rPr>
            </w:pPr>
            <w:r w:rsidRPr="008B4FDC">
              <w:rPr>
                <w:rFonts w:ascii="Arial Narrow" w:hAnsi="Arial Narrow"/>
                <w:b/>
                <w:sz w:val="20"/>
              </w:rPr>
              <w:t>HbA</w:t>
            </w:r>
            <w:r w:rsidRPr="00FA489E">
              <w:rPr>
                <w:rFonts w:ascii="Arial Narrow" w:hAnsi="Arial Narrow"/>
                <w:b/>
                <w:sz w:val="20"/>
                <w:vertAlign w:val="subscript"/>
              </w:rPr>
              <w:t>1c</w:t>
            </w:r>
            <w:r w:rsidRPr="008B4FDC">
              <w:rPr>
                <w:rFonts w:ascii="Arial Narrow" w:hAnsi="Arial Narrow"/>
                <w:b/>
                <w:sz w:val="20"/>
              </w:rPr>
              <w:t>; %</w:t>
            </w:r>
            <w:r>
              <w:rPr>
                <w:rFonts w:ascii="Arial Narrow" w:hAnsi="Arial Narrow"/>
                <w:b/>
                <w:sz w:val="20"/>
              </w:rPr>
              <w:t xml:space="preserve"> (SE)</w:t>
            </w:r>
          </w:p>
        </w:tc>
        <w:tc>
          <w:tcPr>
            <w:tcW w:w="1701" w:type="dxa"/>
            <w:tcMar>
              <w:left w:w="28" w:type="dxa"/>
              <w:right w:w="28" w:type="dxa"/>
            </w:tcMar>
            <w:vAlign w:val="center"/>
          </w:tcPr>
          <w:p w14:paraId="66C379B0" w14:textId="77777777" w:rsidR="00DB5D42" w:rsidRPr="008B4FDC" w:rsidRDefault="00DB5D42" w:rsidP="00132983">
            <w:pPr>
              <w:keepNext/>
              <w:widowControl w:val="0"/>
              <w:jc w:val="center"/>
              <w:rPr>
                <w:rFonts w:ascii="Arial Narrow" w:hAnsi="Arial Narrow"/>
                <w:b/>
                <w:sz w:val="20"/>
              </w:rPr>
            </w:pPr>
            <w:r w:rsidRPr="008B4FDC">
              <w:rPr>
                <w:rFonts w:ascii="Arial Narrow" w:hAnsi="Arial Narrow"/>
                <w:b/>
                <w:sz w:val="20"/>
              </w:rPr>
              <w:t>Change from baseline; %</w:t>
            </w:r>
            <w:r>
              <w:rPr>
                <w:rFonts w:ascii="Arial Narrow" w:hAnsi="Arial Narrow"/>
                <w:b/>
                <w:sz w:val="20"/>
              </w:rPr>
              <w:t xml:space="preserve"> (SE)</w:t>
            </w:r>
          </w:p>
        </w:tc>
      </w:tr>
      <w:tr w:rsidR="00DB5D42" w14:paraId="28E6BCCC" w14:textId="77777777" w:rsidTr="00533A7C">
        <w:trPr>
          <w:cantSplit/>
        </w:trPr>
        <w:tc>
          <w:tcPr>
            <w:tcW w:w="1526" w:type="dxa"/>
          </w:tcPr>
          <w:p w14:paraId="164FA4AF" w14:textId="77777777" w:rsidR="00DB5D42" w:rsidRPr="00031B25" w:rsidRDefault="00DB5D42" w:rsidP="00132983">
            <w:pPr>
              <w:keepNext/>
              <w:widowControl w:val="0"/>
              <w:rPr>
                <w:rFonts w:ascii="Arial Narrow" w:hAnsi="Arial Narrow"/>
                <w:sz w:val="20"/>
              </w:rPr>
            </w:pPr>
            <w:r>
              <w:rPr>
                <w:rFonts w:ascii="Arial Narrow" w:hAnsi="Arial Narrow"/>
                <w:sz w:val="20"/>
              </w:rPr>
              <w:t>Baseline</w:t>
            </w:r>
          </w:p>
        </w:tc>
        <w:tc>
          <w:tcPr>
            <w:tcW w:w="709" w:type="dxa"/>
            <w:tcMar>
              <w:left w:w="28" w:type="dxa"/>
              <w:right w:w="28" w:type="dxa"/>
            </w:tcMar>
          </w:tcPr>
          <w:p w14:paraId="086D9D3A"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32</w:t>
            </w:r>
          </w:p>
        </w:tc>
        <w:tc>
          <w:tcPr>
            <w:tcW w:w="1417" w:type="dxa"/>
            <w:tcMar>
              <w:left w:w="28" w:type="dxa"/>
              <w:right w:w="28" w:type="dxa"/>
            </w:tcMar>
          </w:tcPr>
          <w:p w14:paraId="703570C4"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8.30% (0.14)</w:t>
            </w:r>
          </w:p>
        </w:tc>
        <w:tc>
          <w:tcPr>
            <w:tcW w:w="1559" w:type="dxa"/>
            <w:tcMar>
              <w:left w:w="28" w:type="dxa"/>
              <w:right w:w="28" w:type="dxa"/>
            </w:tcMar>
          </w:tcPr>
          <w:p w14:paraId="4D33FFF8"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w:t>
            </w:r>
          </w:p>
        </w:tc>
        <w:tc>
          <w:tcPr>
            <w:tcW w:w="709" w:type="dxa"/>
            <w:tcMar>
              <w:left w:w="28" w:type="dxa"/>
              <w:right w:w="28" w:type="dxa"/>
            </w:tcMar>
          </w:tcPr>
          <w:p w14:paraId="5EEFB52B"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38</w:t>
            </w:r>
          </w:p>
        </w:tc>
        <w:tc>
          <w:tcPr>
            <w:tcW w:w="1418" w:type="dxa"/>
            <w:tcMar>
              <w:left w:w="28" w:type="dxa"/>
              <w:right w:w="28" w:type="dxa"/>
            </w:tcMar>
          </w:tcPr>
          <w:p w14:paraId="2D0617ED"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8.40% (0.19)</w:t>
            </w:r>
          </w:p>
        </w:tc>
        <w:tc>
          <w:tcPr>
            <w:tcW w:w="1701" w:type="dxa"/>
            <w:tcMar>
              <w:left w:w="28" w:type="dxa"/>
              <w:right w:w="28" w:type="dxa"/>
            </w:tcMar>
          </w:tcPr>
          <w:p w14:paraId="5DD0A8C0"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w:t>
            </w:r>
          </w:p>
        </w:tc>
      </w:tr>
      <w:tr w:rsidR="00DB5D42" w14:paraId="3FB29B2D" w14:textId="77777777" w:rsidTr="00533A7C">
        <w:trPr>
          <w:cantSplit/>
        </w:trPr>
        <w:tc>
          <w:tcPr>
            <w:tcW w:w="1526" w:type="dxa"/>
          </w:tcPr>
          <w:p w14:paraId="36E598EE" w14:textId="77777777" w:rsidR="00DB5D42" w:rsidRPr="00031B25" w:rsidRDefault="00DB5D42" w:rsidP="00132983">
            <w:pPr>
              <w:keepNext/>
              <w:widowControl w:val="0"/>
              <w:rPr>
                <w:rFonts w:ascii="Arial Narrow" w:hAnsi="Arial Narrow"/>
                <w:sz w:val="20"/>
              </w:rPr>
            </w:pPr>
            <w:r>
              <w:rPr>
                <w:rFonts w:ascii="Arial Narrow" w:hAnsi="Arial Narrow"/>
                <w:sz w:val="20"/>
              </w:rPr>
              <w:t>6 months</w:t>
            </w:r>
          </w:p>
        </w:tc>
        <w:tc>
          <w:tcPr>
            <w:tcW w:w="709" w:type="dxa"/>
            <w:tcMar>
              <w:left w:w="28" w:type="dxa"/>
              <w:right w:w="28" w:type="dxa"/>
            </w:tcMar>
          </w:tcPr>
          <w:p w14:paraId="2128AC7E"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32</w:t>
            </w:r>
          </w:p>
        </w:tc>
        <w:tc>
          <w:tcPr>
            <w:tcW w:w="1417" w:type="dxa"/>
            <w:tcMar>
              <w:left w:w="28" w:type="dxa"/>
              <w:right w:w="28" w:type="dxa"/>
            </w:tcMar>
          </w:tcPr>
          <w:p w14:paraId="306E22EF"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7.12% (0.16)</w:t>
            </w:r>
          </w:p>
        </w:tc>
        <w:tc>
          <w:tcPr>
            <w:tcW w:w="1559" w:type="dxa"/>
            <w:tcMar>
              <w:left w:w="28" w:type="dxa"/>
              <w:right w:w="28" w:type="dxa"/>
            </w:tcMar>
          </w:tcPr>
          <w:p w14:paraId="0C3EF768" w14:textId="77777777" w:rsidR="00DB5D42" w:rsidRPr="00A9176C" w:rsidRDefault="00DB5D42" w:rsidP="00132983">
            <w:pPr>
              <w:keepNext/>
              <w:widowControl w:val="0"/>
              <w:jc w:val="center"/>
              <w:rPr>
                <w:rFonts w:ascii="Arial Narrow" w:hAnsi="Arial Narrow"/>
                <w:b/>
                <w:sz w:val="20"/>
              </w:rPr>
            </w:pPr>
            <w:r w:rsidRPr="00A9176C">
              <w:rPr>
                <w:rFonts w:ascii="Arial Narrow" w:hAnsi="Arial Narrow"/>
                <w:b/>
                <w:sz w:val="20"/>
              </w:rPr>
              <w:t xml:space="preserve">-1.18% </w:t>
            </w:r>
            <w:r>
              <w:rPr>
                <w:rFonts w:ascii="Arial Narrow" w:hAnsi="Arial Narrow"/>
                <w:b/>
                <w:sz w:val="20"/>
              </w:rPr>
              <w:t>(</w:t>
            </w:r>
            <w:r w:rsidRPr="00A9176C">
              <w:rPr>
                <w:rFonts w:ascii="Arial Narrow" w:hAnsi="Arial Narrow"/>
                <w:b/>
                <w:sz w:val="20"/>
              </w:rPr>
              <w:t>0.17</w:t>
            </w:r>
            <w:r>
              <w:rPr>
                <w:rFonts w:ascii="Arial Narrow" w:hAnsi="Arial Narrow"/>
                <w:b/>
                <w:sz w:val="20"/>
              </w:rPr>
              <w:t>)</w:t>
            </w:r>
            <w:r w:rsidRPr="00A9176C">
              <w:rPr>
                <w:rFonts w:ascii="Arial Narrow" w:hAnsi="Arial Narrow"/>
                <w:b/>
                <w:sz w:val="20"/>
              </w:rPr>
              <w:t xml:space="preserve"> </w:t>
            </w:r>
            <w:proofErr w:type="spellStart"/>
            <w:r w:rsidRPr="00A9176C">
              <w:rPr>
                <w:rFonts w:ascii="Arial Narrow" w:hAnsi="Arial Narrow"/>
                <w:b/>
                <w:sz w:val="20"/>
                <w:vertAlign w:val="superscript"/>
              </w:rPr>
              <w:t>a,e</w:t>
            </w:r>
            <w:proofErr w:type="spellEnd"/>
          </w:p>
        </w:tc>
        <w:tc>
          <w:tcPr>
            <w:tcW w:w="709" w:type="dxa"/>
            <w:tcMar>
              <w:left w:w="28" w:type="dxa"/>
              <w:right w:w="28" w:type="dxa"/>
            </w:tcMar>
          </w:tcPr>
          <w:p w14:paraId="66A5F651"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36</w:t>
            </w:r>
          </w:p>
        </w:tc>
        <w:tc>
          <w:tcPr>
            <w:tcW w:w="1418" w:type="dxa"/>
            <w:tcMar>
              <w:left w:w="28" w:type="dxa"/>
              <w:right w:w="28" w:type="dxa"/>
            </w:tcMar>
          </w:tcPr>
          <w:p w14:paraId="07E781B5"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7.80% (0.21)</w:t>
            </w:r>
          </w:p>
        </w:tc>
        <w:tc>
          <w:tcPr>
            <w:tcW w:w="1701" w:type="dxa"/>
            <w:tcMar>
              <w:left w:w="28" w:type="dxa"/>
              <w:right w:w="28" w:type="dxa"/>
            </w:tcMar>
          </w:tcPr>
          <w:p w14:paraId="5767AF08" w14:textId="77777777" w:rsidR="00DB5D42" w:rsidRPr="00A9176C" w:rsidRDefault="00DB5D42" w:rsidP="00132983">
            <w:pPr>
              <w:keepNext/>
              <w:widowControl w:val="0"/>
              <w:jc w:val="center"/>
              <w:rPr>
                <w:rFonts w:ascii="Arial Narrow" w:hAnsi="Arial Narrow"/>
                <w:b/>
                <w:sz w:val="20"/>
              </w:rPr>
            </w:pPr>
            <w:r w:rsidRPr="00A9176C">
              <w:rPr>
                <w:rFonts w:ascii="Arial Narrow" w:hAnsi="Arial Narrow"/>
                <w:b/>
                <w:sz w:val="20"/>
              </w:rPr>
              <w:t xml:space="preserve">-0.67% </w:t>
            </w:r>
            <w:r>
              <w:rPr>
                <w:rFonts w:ascii="Arial Narrow" w:hAnsi="Arial Narrow"/>
                <w:b/>
                <w:sz w:val="20"/>
              </w:rPr>
              <w:t>(</w:t>
            </w:r>
            <w:r w:rsidRPr="00A9176C">
              <w:rPr>
                <w:rFonts w:ascii="Arial Narrow" w:hAnsi="Arial Narrow"/>
                <w:b/>
                <w:sz w:val="20"/>
              </w:rPr>
              <w:t>0.19</w:t>
            </w:r>
            <w:r>
              <w:rPr>
                <w:rFonts w:ascii="Arial Narrow" w:hAnsi="Arial Narrow"/>
                <w:b/>
                <w:sz w:val="20"/>
              </w:rPr>
              <w:t>)</w:t>
            </w:r>
            <w:r w:rsidRPr="00A9176C">
              <w:rPr>
                <w:rFonts w:ascii="Arial Narrow" w:hAnsi="Arial Narrow"/>
                <w:b/>
                <w:sz w:val="20"/>
              </w:rPr>
              <w:t xml:space="preserve"> </w:t>
            </w:r>
            <w:r w:rsidRPr="00A9176C">
              <w:rPr>
                <w:rFonts w:ascii="Arial Narrow" w:hAnsi="Arial Narrow"/>
                <w:b/>
                <w:sz w:val="20"/>
                <w:vertAlign w:val="superscript"/>
              </w:rPr>
              <w:t>d</w:t>
            </w:r>
          </w:p>
        </w:tc>
      </w:tr>
      <w:tr w:rsidR="00DB5D42" w14:paraId="17074249" w14:textId="77777777" w:rsidTr="00533A7C">
        <w:trPr>
          <w:cantSplit/>
        </w:trPr>
        <w:tc>
          <w:tcPr>
            <w:tcW w:w="1526" w:type="dxa"/>
          </w:tcPr>
          <w:p w14:paraId="41F7DBF3" w14:textId="77777777" w:rsidR="00DB5D42" w:rsidRPr="00031B25" w:rsidRDefault="00DB5D42" w:rsidP="00132983">
            <w:pPr>
              <w:keepNext/>
              <w:widowControl w:val="0"/>
              <w:rPr>
                <w:rFonts w:ascii="Arial Narrow" w:hAnsi="Arial Narrow"/>
                <w:sz w:val="20"/>
              </w:rPr>
            </w:pPr>
            <w:r>
              <w:rPr>
                <w:rFonts w:ascii="Arial Narrow" w:hAnsi="Arial Narrow"/>
                <w:sz w:val="20"/>
              </w:rPr>
              <w:t>12 months</w:t>
            </w:r>
          </w:p>
        </w:tc>
        <w:tc>
          <w:tcPr>
            <w:tcW w:w="709" w:type="dxa"/>
            <w:tcMar>
              <w:left w:w="28" w:type="dxa"/>
              <w:right w:w="28" w:type="dxa"/>
            </w:tcMar>
          </w:tcPr>
          <w:p w14:paraId="5CBDC182"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28</w:t>
            </w:r>
          </w:p>
        </w:tc>
        <w:tc>
          <w:tcPr>
            <w:tcW w:w="1417" w:type="dxa"/>
            <w:tcMar>
              <w:left w:w="28" w:type="dxa"/>
              <w:right w:w="28" w:type="dxa"/>
            </w:tcMar>
          </w:tcPr>
          <w:p w14:paraId="76B575F5"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7.25% (0.20)</w:t>
            </w:r>
          </w:p>
        </w:tc>
        <w:tc>
          <w:tcPr>
            <w:tcW w:w="1559" w:type="dxa"/>
            <w:tcMar>
              <w:left w:w="28" w:type="dxa"/>
              <w:right w:w="28" w:type="dxa"/>
            </w:tcMar>
          </w:tcPr>
          <w:p w14:paraId="2A7B4120" w14:textId="77777777" w:rsidR="00DB5D42" w:rsidRPr="00A9176C" w:rsidRDefault="00DB5D42" w:rsidP="00132983">
            <w:pPr>
              <w:keepNext/>
              <w:widowControl w:val="0"/>
              <w:jc w:val="center"/>
              <w:rPr>
                <w:rFonts w:ascii="Arial Narrow" w:hAnsi="Arial Narrow"/>
                <w:b/>
                <w:sz w:val="20"/>
              </w:rPr>
            </w:pPr>
            <w:r w:rsidRPr="00A9176C">
              <w:rPr>
                <w:rFonts w:ascii="Arial Narrow" w:hAnsi="Arial Narrow"/>
                <w:b/>
                <w:sz w:val="20"/>
              </w:rPr>
              <w:t xml:space="preserve">-1.12% </w:t>
            </w:r>
            <w:r>
              <w:rPr>
                <w:rFonts w:ascii="Arial Narrow" w:hAnsi="Arial Narrow"/>
                <w:b/>
                <w:sz w:val="20"/>
              </w:rPr>
              <w:t>(</w:t>
            </w:r>
            <w:r w:rsidRPr="00A9176C">
              <w:rPr>
                <w:rFonts w:ascii="Arial Narrow" w:hAnsi="Arial Narrow"/>
                <w:b/>
                <w:sz w:val="20"/>
              </w:rPr>
              <w:t>0.25</w:t>
            </w:r>
            <w:r>
              <w:rPr>
                <w:rFonts w:ascii="Arial Narrow" w:hAnsi="Arial Narrow"/>
                <w:b/>
                <w:sz w:val="20"/>
              </w:rPr>
              <w:t>)</w:t>
            </w:r>
            <w:r w:rsidRPr="00A9176C">
              <w:rPr>
                <w:rFonts w:ascii="Arial Narrow" w:hAnsi="Arial Narrow"/>
                <w:b/>
                <w:sz w:val="20"/>
              </w:rPr>
              <w:t xml:space="preserve"> </w:t>
            </w:r>
            <w:proofErr w:type="spellStart"/>
            <w:r w:rsidRPr="00A9176C">
              <w:rPr>
                <w:rFonts w:ascii="Arial Narrow" w:hAnsi="Arial Narrow"/>
                <w:b/>
                <w:sz w:val="20"/>
                <w:vertAlign w:val="superscript"/>
              </w:rPr>
              <w:t>a,f</w:t>
            </w:r>
            <w:proofErr w:type="spellEnd"/>
          </w:p>
        </w:tc>
        <w:tc>
          <w:tcPr>
            <w:tcW w:w="709" w:type="dxa"/>
            <w:tcMar>
              <w:left w:w="28" w:type="dxa"/>
              <w:right w:w="28" w:type="dxa"/>
            </w:tcMar>
          </w:tcPr>
          <w:p w14:paraId="557E2BAF"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26</w:t>
            </w:r>
          </w:p>
        </w:tc>
        <w:tc>
          <w:tcPr>
            <w:tcW w:w="1418" w:type="dxa"/>
            <w:tcMar>
              <w:left w:w="28" w:type="dxa"/>
              <w:right w:w="28" w:type="dxa"/>
            </w:tcMar>
          </w:tcPr>
          <w:p w14:paraId="645EC837"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7.80% (0.18)</w:t>
            </w:r>
          </w:p>
        </w:tc>
        <w:tc>
          <w:tcPr>
            <w:tcW w:w="1701" w:type="dxa"/>
            <w:tcMar>
              <w:left w:w="28" w:type="dxa"/>
              <w:right w:w="28" w:type="dxa"/>
            </w:tcMar>
          </w:tcPr>
          <w:p w14:paraId="2333D88C" w14:textId="77777777" w:rsidR="00DB5D42" w:rsidRPr="00A9176C" w:rsidRDefault="00DB5D42" w:rsidP="00132983">
            <w:pPr>
              <w:keepNext/>
              <w:widowControl w:val="0"/>
              <w:jc w:val="center"/>
              <w:rPr>
                <w:rFonts w:ascii="Arial Narrow" w:hAnsi="Arial Narrow"/>
                <w:b/>
                <w:sz w:val="20"/>
              </w:rPr>
            </w:pPr>
            <w:r w:rsidRPr="00A9176C">
              <w:rPr>
                <w:rFonts w:ascii="Arial Narrow" w:hAnsi="Arial Narrow"/>
                <w:b/>
                <w:sz w:val="20"/>
              </w:rPr>
              <w:t xml:space="preserve">-0.37% </w:t>
            </w:r>
            <w:r>
              <w:rPr>
                <w:rFonts w:ascii="Arial Narrow" w:hAnsi="Arial Narrow"/>
                <w:b/>
                <w:sz w:val="20"/>
              </w:rPr>
              <w:t>(</w:t>
            </w:r>
            <w:r w:rsidRPr="00A9176C">
              <w:rPr>
                <w:rFonts w:ascii="Arial Narrow" w:hAnsi="Arial Narrow"/>
                <w:b/>
                <w:sz w:val="20"/>
              </w:rPr>
              <w:t>0.17</w:t>
            </w:r>
            <w:r>
              <w:rPr>
                <w:rFonts w:ascii="Arial Narrow" w:hAnsi="Arial Narrow"/>
                <w:b/>
                <w:sz w:val="20"/>
              </w:rPr>
              <w:t>)</w:t>
            </w:r>
            <w:r w:rsidRPr="00A9176C">
              <w:rPr>
                <w:rFonts w:ascii="Arial Narrow" w:hAnsi="Arial Narrow"/>
                <w:b/>
                <w:sz w:val="20"/>
              </w:rPr>
              <w:t xml:space="preserve"> </w:t>
            </w:r>
            <w:r w:rsidRPr="00A9176C">
              <w:rPr>
                <w:rFonts w:ascii="Arial Narrow" w:hAnsi="Arial Narrow"/>
                <w:b/>
                <w:sz w:val="20"/>
                <w:vertAlign w:val="superscript"/>
              </w:rPr>
              <w:t>d</w:t>
            </w:r>
          </w:p>
        </w:tc>
      </w:tr>
      <w:tr w:rsidR="00DB5D42" w14:paraId="1D69ACFF" w14:textId="77777777" w:rsidTr="00533A7C">
        <w:trPr>
          <w:cantSplit/>
        </w:trPr>
        <w:tc>
          <w:tcPr>
            <w:tcW w:w="1526" w:type="dxa"/>
          </w:tcPr>
          <w:p w14:paraId="0C86B2AE" w14:textId="77777777" w:rsidR="00DB5D42" w:rsidRPr="00031B25" w:rsidRDefault="00DB5D42" w:rsidP="00132983">
            <w:pPr>
              <w:keepNext/>
              <w:widowControl w:val="0"/>
              <w:rPr>
                <w:rFonts w:ascii="Arial Narrow" w:hAnsi="Arial Narrow"/>
                <w:sz w:val="20"/>
              </w:rPr>
            </w:pPr>
            <w:r>
              <w:rPr>
                <w:rFonts w:ascii="Arial Narrow" w:hAnsi="Arial Narrow"/>
                <w:sz w:val="20"/>
              </w:rPr>
              <w:t>18 months</w:t>
            </w:r>
          </w:p>
        </w:tc>
        <w:tc>
          <w:tcPr>
            <w:tcW w:w="709" w:type="dxa"/>
            <w:tcMar>
              <w:left w:w="28" w:type="dxa"/>
              <w:right w:w="28" w:type="dxa"/>
            </w:tcMar>
          </w:tcPr>
          <w:p w14:paraId="26816D9E"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15</w:t>
            </w:r>
          </w:p>
        </w:tc>
        <w:tc>
          <w:tcPr>
            <w:tcW w:w="1417" w:type="dxa"/>
            <w:tcMar>
              <w:left w:w="28" w:type="dxa"/>
              <w:right w:w="28" w:type="dxa"/>
            </w:tcMar>
          </w:tcPr>
          <w:p w14:paraId="4E5706E9"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7.24% (0.36)</w:t>
            </w:r>
          </w:p>
        </w:tc>
        <w:tc>
          <w:tcPr>
            <w:tcW w:w="1559" w:type="dxa"/>
            <w:tcMar>
              <w:left w:w="28" w:type="dxa"/>
              <w:right w:w="28" w:type="dxa"/>
            </w:tcMar>
          </w:tcPr>
          <w:p w14:paraId="7BB1018A" w14:textId="77777777" w:rsidR="00DB5D42" w:rsidRPr="00A9176C" w:rsidRDefault="00DB5D42" w:rsidP="00132983">
            <w:pPr>
              <w:keepNext/>
              <w:widowControl w:val="0"/>
              <w:jc w:val="center"/>
              <w:rPr>
                <w:rFonts w:ascii="Arial Narrow" w:hAnsi="Arial Narrow"/>
                <w:b/>
                <w:sz w:val="20"/>
              </w:rPr>
            </w:pPr>
            <w:r>
              <w:rPr>
                <w:rFonts w:ascii="Arial Narrow" w:hAnsi="Arial Narrow"/>
                <w:b/>
                <w:sz w:val="20"/>
              </w:rPr>
              <w:t>-1</w:t>
            </w:r>
            <w:r w:rsidRPr="00A9176C">
              <w:rPr>
                <w:rFonts w:ascii="Arial Narrow" w:hAnsi="Arial Narrow"/>
                <w:b/>
                <w:sz w:val="20"/>
              </w:rPr>
              <w:t xml:space="preserve">.15% </w:t>
            </w:r>
            <w:r>
              <w:rPr>
                <w:rFonts w:ascii="Arial Narrow" w:hAnsi="Arial Narrow"/>
                <w:b/>
                <w:sz w:val="20"/>
              </w:rPr>
              <w:t>(</w:t>
            </w:r>
            <w:r w:rsidRPr="00A9176C">
              <w:rPr>
                <w:rFonts w:ascii="Arial Narrow" w:hAnsi="Arial Narrow"/>
                <w:b/>
                <w:sz w:val="20"/>
              </w:rPr>
              <w:t>0.44</w:t>
            </w:r>
            <w:r>
              <w:rPr>
                <w:rFonts w:ascii="Arial Narrow" w:hAnsi="Arial Narrow"/>
                <w:b/>
                <w:sz w:val="20"/>
              </w:rPr>
              <w:t>)</w:t>
            </w:r>
            <w:r w:rsidRPr="00A9176C">
              <w:rPr>
                <w:rFonts w:ascii="Arial Narrow" w:hAnsi="Arial Narrow"/>
                <w:b/>
                <w:sz w:val="20"/>
              </w:rPr>
              <w:t xml:space="preserve"> </w:t>
            </w:r>
            <w:r w:rsidRPr="00A9176C">
              <w:rPr>
                <w:rFonts w:ascii="Arial Narrow" w:hAnsi="Arial Narrow"/>
                <w:b/>
                <w:sz w:val="20"/>
                <w:vertAlign w:val="superscript"/>
              </w:rPr>
              <w:t>b</w:t>
            </w:r>
          </w:p>
        </w:tc>
        <w:tc>
          <w:tcPr>
            <w:tcW w:w="709" w:type="dxa"/>
            <w:tcMar>
              <w:left w:w="28" w:type="dxa"/>
              <w:right w:w="28" w:type="dxa"/>
            </w:tcMar>
          </w:tcPr>
          <w:p w14:paraId="509516B9"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21</w:t>
            </w:r>
          </w:p>
        </w:tc>
        <w:tc>
          <w:tcPr>
            <w:tcW w:w="1418" w:type="dxa"/>
            <w:tcMar>
              <w:left w:w="28" w:type="dxa"/>
              <w:right w:w="28" w:type="dxa"/>
            </w:tcMar>
          </w:tcPr>
          <w:p w14:paraId="0295A056" w14:textId="77777777" w:rsidR="00DB5D42" w:rsidRPr="00031B25" w:rsidRDefault="00DB5D42" w:rsidP="00132983">
            <w:pPr>
              <w:keepNext/>
              <w:widowControl w:val="0"/>
              <w:jc w:val="center"/>
              <w:rPr>
                <w:rFonts w:ascii="Arial Narrow" w:hAnsi="Arial Narrow"/>
                <w:sz w:val="20"/>
              </w:rPr>
            </w:pPr>
            <w:r>
              <w:rPr>
                <w:rFonts w:ascii="Arial Narrow" w:hAnsi="Arial Narrow"/>
                <w:sz w:val="20"/>
              </w:rPr>
              <w:t>7.74% (0.19)</w:t>
            </w:r>
          </w:p>
        </w:tc>
        <w:tc>
          <w:tcPr>
            <w:tcW w:w="1701" w:type="dxa"/>
            <w:tcMar>
              <w:left w:w="28" w:type="dxa"/>
              <w:right w:w="28" w:type="dxa"/>
            </w:tcMar>
          </w:tcPr>
          <w:p w14:paraId="4134B0A6" w14:textId="77777777" w:rsidR="00DB5D42" w:rsidRPr="00A9176C" w:rsidRDefault="00DB5D42" w:rsidP="00132983">
            <w:pPr>
              <w:keepNext/>
              <w:widowControl w:val="0"/>
              <w:jc w:val="center"/>
              <w:rPr>
                <w:rFonts w:ascii="Arial Narrow" w:hAnsi="Arial Narrow"/>
                <w:b/>
                <w:sz w:val="20"/>
              </w:rPr>
            </w:pPr>
            <w:r w:rsidRPr="00A9176C">
              <w:rPr>
                <w:rFonts w:ascii="Arial Narrow" w:hAnsi="Arial Narrow"/>
                <w:b/>
                <w:sz w:val="20"/>
              </w:rPr>
              <w:t xml:space="preserve">-0.41% </w:t>
            </w:r>
            <w:r>
              <w:rPr>
                <w:rFonts w:ascii="Arial Narrow" w:hAnsi="Arial Narrow"/>
                <w:b/>
                <w:sz w:val="20"/>
              </w:rPr>
              <w:t>(</w:t>
            </w:r>
            <w:r w:rsidRPr="00A9176C">
              <w:rPr>
                <w:rFonts w:ascii="Arial Narrow" w:hAnsi="Arial Narrow"/>
                <w:b/>
                <w:sz w:val="20"/>
              </w:rPr>
              <w:t>0.22</w:t>
            </w:r>
            <w:r>
              <w:rPr>
                <w:rFonts w:ascii="Arial Narrow" w:hAnsi="Arial Narrow"/>
                <w:b/>
                <w:sz w:val="20"/>
              </w:rPr>
              <w:t>)</w:t>
            </w:r>
            <w:r w:rsidRPr="00A9176C">
              <w:rPr>
                <w:rFonts w:ascii="Arial Narrow" w:hAnsi="Arial Narrow"/>
                <w:b/>
                <w:sz w:val="20"/>
              </w:rPr>
              <w:t xml:space="preserve"> </w:t>
            </w:r>
            <w:r w:rsidRPr="00A9176C">
              <w:rPr>
                <w:rFonts w:ascii="Arial Narrow" w:hAnsi="Arial Narrow"/>
                <w:b/>
                <w:sz w:val="20"/>
                <w:vertAlign w:val="superscript"/>
              </w:rPr>
              <w:t>d</w:t>
            </w:r>
          </w:p>
        </w:tc>
      </w:tr>
      <w:tr w:rsidR="00DB5D42" w14:paraId="6FEED695" w14:textId="77777777" w:rsidTr="00533A7C">
        <w:trPr>
          <w:cantSplit/>
        </w:trPr>
        <w:tc>
          <w:tcPr>
            <w:tcW w:w="1526" w:type="dxa"/>
          </w:tcPr>
          <w:p w14:paraId="7A1E7133" w14:textId="77777777" w:rsidR="00DB5D42" w:rsidRPr="00031B25" w:rsidRDefault="00DB5D42" w:rsidP="00132983">
            <w:pPr>
              <w:rPr>
                <w:rFonts w:ascii="Arial Narrow" w:hAnsi="Arial Narrow"/>
                <w:sz w:val="20"/>
              </w:rPr>
            </w:pPr>
            <w:r>
              <w:rPr>
                <w:rFonts w:ascii="Arial Narrow" w:hAnsi="Arial Narrow"/>
                <w:sz w:val="20"/>
              </w:rPr>
              <w:t>24 months</w:t>
            </w:r>
          </w:p>
        </w:tc>
        <w:tc>
          <w:tcPr>
            <w:tcW w:w="709" w:type="dxa"/>
            <w:tcMar>
              <w:left w:w="28" w:type="dxa"/>
              <w:right w:w="28" w:type="dxa"/>
            </w:tcMar>
          </w:tcPr>
          <w:p w14:paraId="7CE9A510" w14:textId="77777777" w:rsidR="00DB5D42" w:rsidRPr="00031B25" w:rsidRDefault="00DB5D42" w:rsidP="00132983">
            <w:pPr>
              <w:jc w:val="center"/>
              <w:rPr>
                <w:rFonts w:ascii="Arial Narrow" w:hAnsi="Arial Narrow"/>
                <w:sz w:val="20"/>
              </w:rPr>
            </w:pPr>
            <w:r>
              <w:rPr>
                <w:rFonts w:ascii="Arial Narrow" w:hAnsi="Arial Narrow"/>
                <w:sz w:val="20"/>
              </w:rPr>
              <w:t>14</w:t>
            </w:r>
          </w:p>
        </w:tc>
        <w:tc>
          <w:tcPr>
            <w:tcW w:w="1417" w:type="dxa"/>
            <w:tcMar>
              <w:left w:w="28" w:type="dxa"/>
              <w:right w:w="28" w:type="dxa"/>
            </w:tcMar>
          </w:tcPr>
          <w:p w14:paraId="2A6E5A9D" w14:textId="77777777" w:rsidR="00DB5D42" w:rsidRPr="00031B25" w:rsidRDefault="00DB5D42" w:rsidP="00132983">
            <w:pPr>
              <w:jc w:val="center"/>
              <w:rPr>
                <w:rFonts w:ascii="Arial Narrow" w:hAnsi="Arial Narrow"/>
                <w:sz w:val="20"/>
              </w:rPr>
            </w:pPr>
            <w:r>
              <w:rPr>
                <w:rFonts w:ascii="Arial Narrow" w:hAnsi="Arial Narrow"/>
                <w:sz w:val="20"/>
              </w:rPr>
              <w:t>7.45% (0.32)</w:t>
            </w:r>
          </w:p>
        </w:tc>
        <w:tc>
          <w:tcPr>
            <w:tcW w:w="1559" w:type="dxa"/>
            <w:tcMar>
              <w:left w:w="28" w:type="dxa"/>
              <w:right w:w="28" w:type="dxa"/>
            </w:tcMar>
          </w:tcPr>
          <w:p w14:paraId="6696FFFD" w14:textId="77777777" w:rsidR="00DB5D42" w:rsidRPr="00A9176C" w:rsidRDefault="00DB5D42" w:rsidP="00132983">
            <w:pPr>
              <w:jc w:val="center"/>
              <w:rPr>
                <w:rFonts w:ascii="Arial Narrow" w:hAnsi="Arial Narrow"/>
                <w:b/>
                <w:sz w:val="20"/>
              </w:rPr>
            </w:pPr>
            <w:r w:rsidRPr="00A9176C">
              <w:rPr>
                <w:rFonts w:ascii="Arial Narrow" w:hAnsi="Arial Narrow"/>
                <w:b/>
                <w:sz w:val="20"/>
              </w:rPr>
              <w:t xml:space="preserve">-1.23% </w:t>
            </w:r>
            <w:r>
              <w:rPr>
                <w:rFonts w:ascii="Arial Narrow" w:hAnsi="Arial Narrow"/>
                <w:b/>
                <w:sz w:val="20"/>
              </w:rPr>
              <w:t>(</w:t>
            </w:r>
            <w:r w:rsidRPr="00A9176C">
              <w:rPr>
                <w:rFonts w:ascii="Arial Narrow" w:hAnsi="Arial Narrow"/>
                <w:b/>
                <w:sz w:val="20"/>
              </w:rPr>
              <w:t>0.43</w:t>
            </w:r>
            <w:r>
              <w:rPr>
                <w:rFonts w:ascii="Arial Narrow" w:hAnsi="Arial Narrow"/>
                <w:b/>
                <w:sz w:val="20"/>
              </w:rPr>
              <w:t>)</w:t>
            </w:r>
            <w:r w:rsidRPr="00A9176C">
              <w:rPr>
                <w:rFonts w:ascii="Arial Narrow" w:hAnsi="Arial Narrow"/>
                <w:b/>
                <w:sz w:val="20"/>
                <w:vertAlign w:val="superscript"/>
              </w:rPr>
              <w:t xml:space="preserve"> b</w:t>
            </w:r>
          </w:p>
        </w:tc>
        <w:tc>
          <w:tcPr>
            <w:tcW w:w="709" w:type="dxa"/>
            <w:tcMar>
              <w:left w:w="28" w:type="dxa"/>
              <w:right w:w="28" w:type="dxa"/>
            </w:tcMar>
          </w:tcPr>
          <w:p w14:paraId="49E78DA3" w14:textId="77777777" w:rsidR="00DB5D42" w:rsidRPr="00031B25" w:rsidRDefault="00DB5D42" w:rsidP="00132983">
            <w:pPr>
              <w:jc w:val="center"/>
              <w:rPr>
                <w:rFonts w:ascii="Arial Narrow" w:hAnsi="Arial Narrow"/>
                <w:sz w:val="20"/>
              </w:rPr>
            </w:pPr>
            <w:r>
              <w:rPr>
                <w:rFonts w:ascii="Arial Narrow" w:hAnsi="Arial Narrow"/>
                <w:sz w:val="20"/>
              </w:rPr>
              <w:t>17</w:t>
            </w:r>
          </w:p>
        </w:tc>
        <w:tc>
          <w:tcPr>
            <w:tcW w:w="1418" w:type="dxa"/>
            <w:tcMar>
              <w:left w:w="28" w:type="dxa"/>
              <w:right w:w="28" w:type="dxa"/>
            </w:tcMar>
          </w:tcPr>
          <w:p w14:paraId="5331824D" w14:textId="77777777" w:rsidR="00DB5D42" w:rsidRPr="00031B25" w:rsidRDefault="00DB5D42" w:rsidP="00132983">
            <w:pPr>
              <w:jc w:val="center"/>
              <w:rPr>
                <w:rFonts w:ascii="Arial Narrow" w:hAnsi="Arial Narrow"/>
                <w:sz w:val="20"/>
              </w:rPr>
            </w:pPr>
            <w:r>
              <w:rPr>
                <w:rFonts w:ascii="Arial Narrow" w:hAnsi="Arial Narrow"/>
                <w:sz w:val="20"/>
              </w:rPr>
              <w:t>8.08% (0.38)</w:t>
            </w:r>
          </w:p>
        </w:tc>
        <w:tc>
          <w:tcPr>
            <w:tcW w:w="1701" w:type="dxa"/>
            <w:tcMar>
              <w:left w:w="28" w:type="dxa"/>
              <w:right w:w="28" w:type="dxa"/>
            </w:tcMar>
          </w:tcPr>
          <w:p w14:paraId="2D60A6E1" w14:textId="77777777" w:rsidR="00DB5D42" w:rsidRPr="00031B25" w:rsidRDefault="00DB5D42" w:rsidP="00132983">
            <w:pPr>
              <w:jc w:val="center"/>
              <w:rPr>
                <w:rFonts w:ascii="Arial Narrow" w:hAnsi="Arial Narrow"/>
                <w:sz w:val="20"/>
              </w:rPr>
            </w:pPr>
            <w:r>
              <w:rPr>
                <w:rFonts w:ascii="Arial Narrow" w:hAnsi="Arial Narrow"/>
                <w:sz w:val="20"/>
              </w:rPr>
              <w:t>-0.21% (0.32)</w:t>
            </w:r>
          </w:p>
        </w:tc>
      </w:tr>
      <w:tr w:rsidR="00DB5D42" w14:paraId="10FC0913" w14:textId="77777777" w:rsidTr="00533A7C">
        <w:trPr>
          <w:cantSplit/>
        </w:trPr>
        <w:tc>
          <w:tcPr>
            <w:tcW w:w="1526" w:type="dxa"/>
          </w:tcPr>
          <w:p w14:paraId="38AB11F5" w14:textId="77777777" w:rsidR="00DB5D42" w:rsidRPr="00031B25" w:rsidRDefault="00DB5D42" w:rsidP="00132983">
            <w:pPr>
              <w:rPr>
                <w:rFonts w:ascii="Arial Narrow" w:hAnsi="Arial Narrow"/>
                <w:sz w:val="20"/>
              </w:rPr>
            </w:pPr>
            <w:r>
              <w:rPr>
                <w:rFonts w:ascii="Arial Narrow" w:hAnsi="Arial Narrow"/>
                <w:sz w:val="20"/>
              </w:rPr>
              <w:t>30 months</w:t>
            </w:r>
          </w:p>
        </w:tc>
        <w:tc>
          <w:tcPr>
            <w:tcW w:w="709" w:type="dxa"/>
            <w:tcMar>
              <w:left w:w="28" w:type="dxa"/>
              <w:right w:w="28" w:type="dxa"/>
            </w:tcMar>
          </w:tcPr>
          <w:p w14:paraId="15DCB95A" w14:textId="77777777" w:rsidR="00DB5D42" w:rsidRPr="00031B25" w:rsidRDefault="00DB5D42" w:rsidP="00132983">
            <w:pPr>
              <w:jc w:val="center"/>
              <w:rPr>
                <w:rFonts w:ascii="Arial Narrow" w:hAnsi="Arial Narrow"/>
                <w:sz w:val="20"/>
              </w:rPr>
            </w:pPr>
            <w:r>
              <w:rPr>
                <w:rFonts w:ascii="Arial Narrow" w:hAnsi="Arial Narrow"/>
                <w:sz w:val="20"/>
              </w:rPr>
              <w:t>8</w:t>
            </w:r>
          </w:p>
        </w:tc>
        <w:tc>
          <w:tcPr>
            <w:tcW w:w="1417" w:type="dxa"/>
            <w:tcMar>
              <w:left w:w="28" w:type="dxa"/>
              <w:right w:w="28" w:type="dxa"/>
            </w:tcMar>
          </w:tcPr>
          <w:p w14:paraId="4FBF60E6" w14:textId="77777777" w:rsidR="00DB5D42" w:rsidRPr="00031B25" w:rsidRDefault="00DB5D42" w:rsidP="00132983">
            <w:pPr>
              <w:jc w:val="center"/>
              <w:rPr>
                <w:rFonts w:ascii="Arial Narrow" w:hAnsi="Arial Narrow"/>
                <w:sz w:val="20"/>
              </w:rPr>
            </w:pPr>
            <w:r>
              <w:rPr>
                <w:rFonts w:ascii="Arial Narrow" w:hAnsi="Arial Narrow"/>
                <w:sz w:val="20"/>
              </w:rPr>
              <w:t>7.36% (0.39)</w:t>
            </w:r>
          </w:p>
        </w:tc>
        <w:tc>
          <w:tcPr>
            <w:tcW w:w="1559" w:type="dxa"/>
            <w:tcMar>
              <w:left w:w="28" w:type="dxa"/>
              <w:right w:w="28" w:type="dxa"/>
            </w:tcMar>
          </w:tcPr>
          <w:p w14:paraId="7BF54206" w14:textId="77777777" w:rsidR="00DB5D42" w:rsidRPr="00A9176C" w:rsidRDefault="00DB5D42" w:rsidP="00132983">
            <w:pPr>
              <w:jc w:val="center"/>
              <w:rPr>
                <w:rFonts w:ascii="Arial Narrow" w:hAnsi="Arial Narrow"/>
                <w:b/>
                <w:sz w:val="20"/>
              </w:rPr>
            </w:pPr>
            <w:r w:rsidRPr="00A9176C">
              <w:rPr>
                <w:rFonts w:ascii="Arial Narrow" w:hAnsi="Arial Narrow"/>
                <w:b/>
                <w:sz w:val="20"/>
              </w:rPr>
              <w:t xml:space="preserve">-1.63% </w:t>
            </w:r>
            <w:r>
              <w:rPr>
                <w:rFonts w:ascii="Arial Narrow" w:hAnsi="Arial Narrow"/>
                <w:b/>
                <w:sz w:val="20"/>
              </w:rPr>
              <w:t>(</w:t>
            </w:r>
            <w:r w:rsidRPr="00A9176C">
              <w:rPr>
                <w:rFonts w:ascii="Arial Narrow" w:hAnsi="Arial Narrow"/>
                <w:b/>
                <w:sz w:val="20"/>
              </w:rPr>
              <w:t>0.37</w:t>
            </w:r>
            <w:r>
              <w:rPr>
                <w:rFonts w:ascii="Arial Narrow" w:hAnsi="Arial Narrow"/>
                <w:b/>
                <w:sz w:val="20"/>
              </w:rPr>
              <w:t>)</w:t>
            </w:r>
            <w:r w:rsidRPr="00A9176C">
              <w:rPr>
                <w:rFonts w:ascii="Arial Narrow" w:hAnsi="Arial Narrow"/>
                <w:b/>
                <w:sz w:val="20"/>
                <w:vertAlign w:val="superscript"/>
              </w:rPr>
              <w:t xml:space="preserve"> b</w:t>
            </w:r>
          </w:p>
        </w:tc>
        <w:tc>
          <w:tcPr>
            <w:tcW w:w="709" w:type="dxa"/>
            <w:tcMar>
              <w:left w:w="28" w:type="dxa"/>
              <w:right w:w="28" w:type="dxa"/>
            </w:tcMar>
          </w:tcPr>
          <w:p w14:paraId="0AF2E4A8" w14:textId="77777777" w:rsidR="00DB5D42" w:rsidRPr="00031B25" w:rsidRDefault="00DB5D42" w:rsidP="00132983">
            <w:pPr>
              <w:jc w:val="center"/>
              <w:rPr>
                <w:rFonts w:ascii="Arial Narrow" w:hAnsi="Arial Narrow"/>
                <w:sz w:val="20"/>
              </w:rPr>
            </w:pPr>
            <w:r>
              <w:rPr>
                <w:rFonts w:ascii="Arial Narrow" w:hAnsi="Arial Narrow"/>
                <w:sz w:val="20"/>
              </w:rPr>
              <w:t>5</w:t>
            </w:r>
          </w:p>
        </w:tc>
        <w:tc>
          <w:tcPr>
            <w:tcW w:w="1418" w:type="dxa"/>
            <w:tcMar>
              <w:left w:w="28" w:type="dxa"/>
              <w:right w:w="28" w:type="dxa"/>
            </w:tcMar>
          </w:tcPr>
          <w:p w14:paraId="233AB9E7" w14:textId="77777777" w:rsidR="00DB5D42" w:rsidRPr="00031B25" w:rsidRDefault="00DB5D42" w:rsidP="00132983">
            <w:pPr>
              <w:jc w:val="center"/>
              <w:rPr>
                <w:rFonts w:ascii="Arial Narrow" w:hAnsi="Arial Narrow"/>
                <w:sz w:val="20"/>
              </w:rPr>
            </w:pPr>
            <w:r>
              <w:rPr>
                <w:rFonts w:ascii="Arial Narrow" w:hAnsi="Arial Narrow"/>
                <w:sz w:val="20"/>
              </w:rPr>
              <w:t>8.89% (0.53)</w:t>
            </w:r>
          </w:p>
        </w:tc>
        <w:tc>
          <w:tcPr>
            <w:tcW w:w="1701" w:type="dxa"/>
            <w:tcMar>
              <w:left w:w="28" w:type="dxa"/>
              <w:right w:w="28" w:type="dxa"/>
            </w:tcMar>
          </w:tcPr>
          <w:p w14:paraId="1EFAA797" w14:textId="77777777" w:rsidR="00DB5D42" w:rsidRPr="00031B25" w:rsidRDefault="00DB5D42" w:rsidP="00132983">
            <w:pPr>
              <w:jc w:val="center"/>
              <w:rPr>
                <w:rFonts w:ascii="Arial Narrow" w:hAnsi="Arial Narrow"/>
                <w:sz w:val="20"/>
              </w:rPr>
            </w:pPr>
            <w:r>
              <w:rPr>
                <w:rFonts w:ascii="Arial Narrow" w:hAnsi="Arial Narrow"/>
                <w:sz w:val="20"/>
              </w:rPr>
              <w:t>0.44% (0.78)</w:t>
            </w:r>
          </w:p>
        </w:tc>
      </w:tr>
      <w:tr w:rsidR="00DB5D42" w14:paraId="2AAFC2C0" w14:textId="77777777" w:rsidTr="00533A7C">
        <w:trPr>
          <w:cantSplit/>
        </w:trPr>
        <w:tc>
          <w:tcPr>
            <w:tcW w:w="1526" w:type="dxa"/>
          </w:tcPr>
          <w:p w14:paraId="2FF4E0BD" w14:textId="77777777" w:rsidR="00DB5D42" w:rsidRPr="00031B25" w:rsidRDefault="00DB5D42" w:rsidP="00132983">
            <w:pPr>
              <w:rPr>
                <w:rFonts w:ascii="Arial Narrow" w:hAnsi="Arial Narrow"/>
                <w:sz w:val="20"/>
              </w:rPr>
            </w:pPr>
            <w:r>
              <w:rPr>
                <w:rFonts w:ascii="Arial Narrow" w:hAnsi="Arial Narrow"/>
                <w:sz w:val="20"/>
              </w:rPr>
              <w:t>36 months</w:t>
            </w:r>
          </w:p>
        </w:tc>
        <w:tc>
          <w:tcPr>
            <w:tcW w:w="709" w:type="dxa"/>
            <w:tcMar>
              <w:left w:w="28" w:type="dxa"/>
              <w:right w:w="28" w:type="dxa"/>
            </w:tcMar>
          </w:tcPr>
          <w:p w14:paraId="605E8D66" w14:textId="77777777" w:rsidR="00DB5D42" w:rsidRPr="00031B25" w:rsidRDefault="00DB5D42" w:rsidP="00132983">
            <w:pPr>
              <w:jc w:val="center"/>
              <w:rPr>
                <w:rFonts w:ascii="Arial Narrow" w:hAnsi="Arial Narrow"/>
                <w:sz w:val="20"/>
              </w:rPr>
            </w:pPr>
            <w:r>
              <w:rPr>
                <w:rFonts w:ascii="Arial Narrow" w:hAnsi="Arial Narrow"/>
                <w:sz w:val="20"/>
              </w:rPr>
              <w:t>8</w:t>
            </w:r>
          </w:p>
        </w:tc>
        <w:tc>
          <w:tcPr>
            <w:tcW w:w="1417" w:type="dxa"/>
            <w:tcMar>
              <w:left w:w="28" w:type="dxa"/>
              <w:right w:w="28" w:type="dxa"/>
            </w:tcMar>
          </w:tcPr>
          <w:p w14:paraId="26635A9F" w14:textId="77777777" w:rsidR="00DB5D42" w:rsidRPr="00031B25" w:rsidRDefault="00DB5D42" w:rsidP="00132983">
            <w:pPr>
              <w:jc w:val="center"/>
              <w:rPr>
                <w:rFonts w:ascii="Arial Narrow" w:hAnsi="Arial Narrow"/>
                <w:sz w:val="20"/>
              </w:rPr>
            </w:pPr>
            <w:r>
              <w:rPr>
                <w:rFonts w:ascii="Arial Narrow" w:hAnsi="Arial Narrow"/>
                <w:sz w:val="20"/>
              </w:rPr>
              <w:t>7.55% (0.64)</w:t>
            </w:r>
          </w:p>
        </w:tc>
        <w:tc>
          <w:tcPr>
            <w:tcW w:w="1559" w:type="dxa"/>
            <w:tcMar>
              <w:left w:w="28" w:type="dxa"/>
              <w:right w:w="28" w:type="dxa"/>
            </w:tcMar>
          </w:tcPr>
          <w:p w14:paraId="4C985410" w14:textId="77777777" w:rsidR="00DB5D42" w:rsidRPr="00A9176C" w:rsidRDefault="00DB5D42" w:rsidP="00132983">
            <w:pPr>
              <w:jc w:val="center"/>
              <w:rPr>
                <w:rFonts w:ascii="Arial Narrow" w:hAnsi="Arial Narrow"/>
                <w:b/>
                <w:sz w:val="20"/>
              </w:rPr>
            </w:pPr>
            <w:r w:rsidRPr="00A9176C">
              <w:rPr>
                <w:rFonts w:ascii="Arial Narrow" w:hAnsi="Arial Narrow"/>
                <w:b/>
                <w:sz w:val="20"/>
              </w:rPr>
              <w:t xml:space="preserve">-1.04% </w:t>
            </w:r>
            <w:r>
              <w:rPr>
                <w:rFonts w:ascii="Arial Narrow" w:hAnsi="Arial Narrow"/>
                <w:b/>
                <w:sz w:val="20"/>
              </w:rPr>
              <w:t>(</w:t>
            </w:r>
            <w:r w:rsidRPr="00A9176C">
              <w:rPr>
                <w:rFonts w:ascii="Arial Narrow" w:hAnsi="Arial Narrow"/>
                <w:b/>
                <w:sz w:val="20"/>
              </w:rPr>
              <w:t>0.46</w:t>
            </w:r>
            <w:r>
              <w:rPr>
                <w:rFonts w:ascii="Arial Narrow" w:hAnsi="Arial Narrow"/>
                <w:b/>
                <w:sz w:val="20"/>
              </w:rPr>
              <w:t>)</w:t>
            </w:r>
            <w:r w:rsidRPr="00A9176C">
              <w:rPr>
                <w:rFonts w:ascii="Arial Narrow" w:hAnsi="Arial Narrow"/>
                <w:b/>
                <w:sz w:val="20"/>
              </w:rPr>
              <w:t xml:space="preserve"> </w:t>
            </w:r>
            <w:r w:rsidRPr="00A9176C">
              <w:rPr>
                <w:rFonts w:ascii="Arial Narrow" w:hAnsi="Arial Narrow"/>
                <w:b/>
                <w:sz w:val="20"/>
                <w:vertAlign w:val="superscript"/>
              </w:rPr>
              <w:t>c</w:t>
            </w:r>
          </w:p>
        </w:tc>
        <w:tc>
          <w:tcPr>
            <w:tcW w:w="709" w:type="dxa"/>
            <w:tcMar>
              <w:left w:w="28" w:type="dxa"/>
              <w:right w:w="28" w:type="dxa"/>
            </w:tcMar>
          </w:tcPr>
          <w:p w14:paraId="0ADDBC89" w14:textId="77777777" w:rsidR="00DB5D42" w:rsidRPr="00031B25" w:rsidRDefault="00DB5D42" w:rsidP="00132983">
            <w:pPr>
              <w:jc w:val="center"/>
              <w:rPr>
                <w:rFonts w:ascii="Arial Narrow" w:hAnsi="Arial Narrow"/>
                <w:sz w:val="20"/>
              </w:rPr>
            </w:pPr>
            <w:r>
              <w:rPr>
                <w:rFonts w:ascii="Arial Narrow" w:hAnsi="Arial Narrow"/>
                <w:sz w:val="20"/>
              </w:rPr>
              <w:t>-</w:t>
            </w:r>
          </w:p>
        </w:tc>
        <w:tc>
          <w:tcPr>
            <w:tcW w:w="1418" w:type="dxa"/>
            <w:tcMar>
              <w:left w:w="28" w:type="dxa"/>
              <w:right w:w="28" w:type="dxa"/>
            </w:tcMar>
          </w:tcPr>
          <w:p w14:paraId="77969B9F" w14:textId="77777777" w:rsidR="00DB5D42" w:rsidRPr="00031B25" w:rsidRDefault="00DB5D42" w:rsidP="00132983">
            <w:pPr>
              <w:jc w:val="center"/>
              <w:rPr>
                <w:rFonts w:ascii="Arial Narrow" w:hAnsi="Arial Narrow"/>
                <w:sz w:val="20"/>
              </w:rPr>
            </w:pPr>
            <w:r>
              <w:rPr>
                <w:rFonts w:ascii="Arial Narrow" w:hAnsi="Arial Narrow"/>
                <w:sz w:val="20"/>
              </w:rPr>
              <w:t>-</w:t>
            </w:r>
          </w:p>
        </w:tc>
        <w:tc>
          <w:tcPr>
            <w:tcW w:w="1701" w:type="dxa"/>
            <w:tcMar>
              <w:left w:w="28" w:type="dxa"/>
              <w:right w:w="28" w:type="dxa"/>
            </w:tcMar>
          </w:tcPr>
          <w:p w14:paraId="67DD2A61" w14:textId="77777777" w:rsidR="00DB5D42" w:rsidRPr="00031B25" w:rsidRDefault="00DB5D42" w:rsidP="00132983">
            <w:pPr>
              <w:jc w:val="center"/>
              <w:rPr>
                <w:rFonts w:ascii="Arial Narrow" w:hAnsi="Arial Narrow"/>
                <w:sz w:val="20"/>
              </w:rPr>
            </w:pPr>
            <w:r>
              <w:rPr>
                <w:rFonts w:ascii="Arial Narrow" w:hAnsi="Arial Narrow"/>
                <w:sz w:val="20"/>
              </w:rPr>
              <w:t>-</w:t>
            </w:r>
          </w:p>
        </w:tc>
      </w:tr>
    </w:tbl>
    <w:p w14:paraId="33CF0EBA" w14:textId="77777777" w:rsidR="00DB5D42" w:rsidRPr="00766F7B" w:rsidRDefault="00DB5D42" w:rsidP="00DB5D42">
      <w:pPr>
        <w:rPr>
          <w:rFonts w:ascii="Arial Narrow" w:hAnsi="Arial Narrow"/>
          <w:sz w:val="20"/>
        </w:rPr>
      </w:pPr>
      <w:r w:rsidRPr="008B4FDC">
        <w:rPr>
          <w:rFonts w:ascii="Arial Narrow" w:hAnsi="Arial Narrow"/>
          <w:sz w:val="20"/>
        </w:rPr>
        <w:t>Significance from baseline</w:t>
      </w:r>
      <w:r w:rsidRPr="00766F7B">
        <w:rPr>
          <w:rFonts w:ascii="Arial Narrow" w:hAnsi="Arial Narrow"/>
          <w:sz w:val="20"/>
        </w:rPr>
        <w:t xml:space="preserve">: </w:t>
      </w:r>
      <w:r w:rsidRPr="0079249F">
        <w:rPr>
          <w:rFonts w:ascii="Arial Narrow" w:hAnsi="Arial Narrow"/>
          <w:sz w:val="20"/>
        </w:rPr>
        <w:t>a</w:t>
      </w:r>
      <w:r w:rsidRPr="00766F7B">
        <w:rPr>
          <w:rFonts w:ascii="Arial Narrow" w:hAnsi="Arial Narrow"/>
          <w:sz w:val="20"/>
        </w:rPr>
        <w:t xml:space="preserve"> p-value &lt; 0.0001; </w:t>
      </w:r>
      <w:r w:rsidRPr="0079249F">
        <w:rPr>
          <w:rFonts w:ascii="Arial Narrow" w:hAnsi="Arial Narrow"/>
          <w:sz w:val="20"/>
        </w:rPr>
        <w:t>b</w:t>
      </w:r>
      <w:r w:rsidRPr="00766F7B">
        <w:rPr>
          <w:rFonts w:ascii="Arial Narrow" w:hAnsi="Arial Narrow"/>
          <w:sz w:val="20"/>
        </w:rPr>
        <w:t xml:space="preserve"> p-value &lt; 0.005; </w:t>
      </w:r>
      <w:r w:rsidRPr="0079249F">
        <w:rPr>
          <w:rFonts w:ascii="Arial Narrow" w:hAnsi="Arial Narrow"/>
          <w:sz w:val="20"/>
        </w:rPr>
        <w:t>c</w:t>
      </w:r>
      <w:r w:rsidRPr="00766F7B">
        <w:rPr>
          <w:rFonts w:ascii="Arial Narrow" w:hAnsi="Arial Narrow"/>
          <w:sz w:val="20"/>
        </w:rPr>
        <w:t xml:space="preserve"> p-value &lt; 0.025; </w:t>
      </w:r>
      <w:r w:rsidRPr="0079249F">
        <w:rPr>
          <w:rFonts w:ascii="Arial Narrow" w:hAnsi="Arial Narrow"/>
          <w:sz w:val="20"/>
        </w:rPr>
        <w:t>d</w:t>
      </w:r>
      <w:r w:rsidRPr="00766F7B">
        <w:rPr>
          <w:rFonts w:ascii="Arial Narrow" w:hAnsi="Arial Narrow"/>
          <w:sz w:val="20"/>
        </w:rPr>
        <w:t xml:space="preserve"> p-value &lt; 0.05</w:t>
      </w:r>
    </w:p>
    <w:p w14:paraId="2974BA48" w14:textId="77777777" w:rsidR="00DB5D42" w:rsidRPr="00766F7B" w:rsidRDefault="00DB5D42" w:rsidP="00DB5D42">
      <w:pPr>
        <w:rPr>
          <w:rFonts w:ascii="Arial Narrow" w:hAnsi="Arial Narrow"/>
          <w:sz w:val="20"/>
        </w:rPr>
      </w:pPr>
      <w:r w:rsidRPr="00766F7B">
        <w:rPr>
          <w:rFonts w:ascii="Arial Narrow" w:hAnsi="Arial Narrow"/>
          <w:sz w:val="20"/>
        </w:rPr>
        <w:t xml:space="preserve">Significance between normal and high triglyceride groups: </w:t>
      </w:r>
      <w:r w:rsidRPr="0079249F">
        <w:rPr>
          <w:rFonts w:ascii="Arial Narrow" w:hAnsi="Arial Narrow"/>
          <w:sz w:val="20"/>
        </w:rPr>
        <w:t>e</w:t>
      </w:r>
      <w:r w:rsidRPr="00766F7B">
        <w:rPr>
          <w:rFonts w:ascii="Arial Narrow" w:hAnsi="Arial Narrow"/>
          <w:sz w:val="20"/>
        </w:rPr>
        <w:t xml:space="preserve"> p-value &lt; 0.02; </w:t>
      </w:r>
      <w:r w:rsidRPr="0079249F">
        <w:rPr>
          <w:rFonts w:ascii="Arial Narrow" w:hAnsi="Arial Narrow"/>
          <w:sz w:val="20"/>
        </w:rPr>
        <w:t>f</w:t>
      </w:r>
      <w:r w:rsidRPr="00766F7B">
        <w:rPr>
          <w:rFonts w:ascii="Arial Narrow" w:hAnsi="Arial Narrow"/>
          <w:sz w:val="20"/>
        </w:rPr>
        <w:t xml:space="preserve"> p-value &lt; 0.05</w:t>
      </w:r>
    </w:p>
    <w:p w14:paraId="7E1B2548" w14:textId="042EBE92" w:rsidR="00DB5D42" w:rsidRPr="008B4FDC" w:rsidRDefault="00DB5D42" w:rsidP="00DB5D42">
      <w:pPr>
        <w:rPr>
          <w:rFonts w:ascii="Arial Narrow" w:hAnsi="Arial Narrow"/>
          <w:sz w:val="20"/>
        </w:rPr>
      </w:pPr>
      <w:r>
        <w:rPr>
          <w:rFonts w:ascii="Arial Narrow" w:hAnsi="Arial Narrow"/>
          <w:sz w:val="20"/>
        </w:rPr>
        <w:t>Source: T</w:t>
      </w:r>
      <w:r w:rsidRPr="008B4FDC">
        <w:rPr>
          <w:rFonts w:ascii="Arial Narrow" w:hAnsi="Arial Narrow"/>
          <w:sz w:val="20"/>
        </w:rPr>
        <w:t>able B</w:t>
      </w:r>
      <w:proofErr w:type="gramStart"/>
      <w:r w:rsidRPr="008B4FDC">
        <w:rPr>
          <w:rFonts w:ascii="Arial Narrow" w:hAnsi="Arial Narrow"/>
          <w:sz w:val="20"/>
        </w:rPr>
        <w:t>:23</w:t>
      </w:r>
      <w:proofErr w:type="gramEnd"/>
      <w:r w:rsidRPr="008B4FDC">
        <w:rPr>
          <w:rFonts w:ascii="Arial Narrow" w:hAnsi="Arial Narrow"/>
          <w:sz w:val="20"/>
        </w:rPr>
        <w:t>, p67 of the</w:t>
      </w:r>
      <w:r>
        <w:rPr>
          <w:rFonts w:ascii="Arial Narrow" w:hAnsi="Arial Narrow"/>
          <w:sz w:val="20"/>
        </w:rPr>
        <w:t xml:space="preserve"> </w:t>
      </w:r>
      <w:r w:rsidR="0086475A">
        <w:rPr>
          <w:rFonts w:ascii="Arial Narrow" w:hAnsi="Arial Narrow"/>
          <w:sz w:val="20"/>
        </w:rPr>
        <w:t>s</w:t>
      </w:r>
      <w:r>
        <w:rPr>
          <w:rFonts w:ascii="Arial Narrow" w:hAnsi="Arial Narrow"/>
          <w:sz w:val="20"/>
        </w:rPr>
        <w:t>ubmission</w:t>
      </w:r>
    </w:p>
    <w:p w14:paraId="72724625" w14:textId="77777777" w:rsidR="00DB5D42" w:rsidRDefault="00DB5D42" w:rsidP="00DB5D42">
      <w:pPr>
        <w:rPr>
          <w:rFonts w:ascii="Arial Narrow" w:hAnsi="Arial Narrow"/>
          <w:sz w:val="20"/>
        </w:rPr>
      </w:pPr>
      <w:r>
        <w:rPr>
          <w:rFonts w:ascii="Arial Narrow" w:hAnsi="Arial Narrow"/>
          <w:sz w:val="20"/>
        </w:rPr>
        <w:t xml:space="preserve">GCM = gastric contractility modulation; </w:t>
      </w:r>
      <w:r w:rsidRPr="008B4FDC">
        <w:rPr>
          <w:rFonts w:ascii="Arial Narrow" w:hAnsi="Arial Narrow"/>
          <w:sz w:val="20"/>
        </w:rPr>
        <w:t>HbA</w:t>
      </w:r>
      <w:r w:rsidRPr="008B4FDC">
        <w:rPr>
          <w:rFonts w:ascii="Arial Narrow" w:hAnsi="Arial Narrow"/>
          <w:sz w:val="20"/>
          <w:vertAlign w:val="subscript"/>
        </w:rPr>
        <w:t>1c</w:t>
      </w:r>
      <w:r w:rsidRPr="008B4FDC">
        <w:rPr>
          <w:rFonts w:ascii="Arial Narrow" w:hAnsi="Arial Narrow"/>
          <w:sz w:val="20"/>
        </w:rPr>
        <w:t xml:space="preserve"> = </w:t>
      </w:r>
      <w:proofErr w:type="spellStart"/>
      <w:r w:rsidRPr="008B4FDC">
        <w:rPr>
          <w:rFonts w:ascii="Arial Narrow" w:hAnsi="Arial Narrow"/>
          <w:sz w:val="20"/>
        </w:rPr>
        <w:t>glycated</w:t>
      </w:r>
      <w:proofErr w:type="spellEnd"/>
      <w:r w:rsidRPr="008B4FDC">
        <w:rPr>
          <w:rFonts w:ascii="Arial Narrow" w:hAnsi="Arial Narrow"/>
          <w:sz w:val="20"/>
        </w:rPr>
        <w:t xml:space="preserve"> haemoglobin</w:t>
      </w:r>
      <w:r>
        <w:rPr>
          <w:rFonts w:ascii="Arial Narrow" w:hAnsi="Arial Narrow"/>
          <w:sz w:val="20"/>
        </w:rPr>
        <w:t xml:space="preserve">; SE = standard error; TG = triglyceride; </w:t>
      </w:r>
      <w:r w:rsidRPr="00A9176C">
        <w:rPr>
          <w:rFonts w:ascii="Arial Narrow" w:hAnsi="Arial Narrow"/>
          <w:b/>
          <w:sz w:val="20"/>
        </w:rPr>
        <w:t>Bold</w:t>
      </w:r>
      <w:r>
        <w:rPr>
          <w:rFonts w:ascii="Arial Narrow" w:hAnsi="Arial Narrow"/>
          <w:sz w:val="20"/>
        </w:rPr>
        <w:t xml:space="preserve"> = statistically significant result</w:t>
      </w:r>
    </w:p>
    <w:p w14:paraId="24F9F78C" w14:textId="77777777" w:rsidR="00DB5D42" w:rsidRDefault="00DB5D42" w:rsidP="00DB5D42"/>
    <w:p w14:paraId="249A8450" w14:textId="6A52120D" w:rsidR="00DB5D42" w:rsidRPr="00F1776F" w:rsidRDefault="00DB5D42" w:rsidP="00DB5D42">
      <w:r w:rsidRPr="00F1776F">
        <w:t>The critique noted that due to the overall patient population being relatively small, there is potential bias and there was a lack of a common comparator; making it therefore difficult to assess the efficacy of GCM therapy on reducing HbA</w:t>
      </w:r>
      <w:r w:rsidRPr="00F1776F">
        <w:rPr>
          <w:vertAlign w:val="subscript"/>
        </w:rPr>
        <w:t>1c</w:t>
      </w:r>
      <w:r w:rsidRPr="00F1776F">
        <w:t xml:space="preserve"> levels. In addition, the critique noted that there is insufficient clinical evidence to support the listing as the clinical evidence in which the applicant relied on has not been published.</w:t>
      </w:r>
    </w:p>
    <w:p w14:paraId="6B04A809" w14:textId="77777777" w:rsidR="00BC1364" w:rsidRPr="00533A7C" w:rsidRDefault="00BC1364" w:rsidP="00DD2858">
      <w:pPr>
        <w:rPr>
          <w:szCs w:val="24"/>
        </w:rPr>
      </w:pPr>
    </w:p>
    <w:p w14:paraId="2CAF4347" w14:textId="77777777" w:rsidR="00BC1364" w:rsidRDefault="00BC1364" w:rsidP="007B32D1">
      <w:pPr>
        <w:pStyle w:val="Heading1"/>
        <w:numPr>
          <w:ilvl w:val="0"/>
          <w:numId w:val="23"/>
        </w:numPr>
        <w:ind w:hanging="720"/>
      </w:pPr>
      <w:r w:rsidRPr="008D5885">
        <w:t>Economic evaluation</w:t>
      </w:r>
    </w:p>
    <w:p w14:paraId="5AB4C4BF" w14:textId="77777777" w:rsidR="00BC1364" w:rsidRPr="00533A7C" w:rsidRDefault="00BC1364" w:rsidP="00DD2858">
      <w:pPr>
        <w:rPr>
          <w:szCs w:val="24"/>
        </w:rPr>
      </w:pPr>
    </w:p>
    <w:p w14:paraId="63ECB7F0" w14:textId="7612EA45" w:rsidR="00DB5D42" w:rsidRDefault="00DB5D42" w:rsidP="00DB5D42">
      <w:r>
        <w:t xml:space="preserve">The applicant </w:t>
      </w:r>
      <w:r w:rsidR="00533A7C">
        <w:t xml:space="preserve">provided </w:t>
      </w:r>
      <w:r>
        <w:t>a s</w:t>
      </w:r>
      <w:r w:rsidRPr="008A0837">
        <w:t>tepped</w:t>
      </w:r>
      <w:r w:rsidRPr="006E0071">
        <w:t xml:space="preserve"> economic evaluation in the form </w:t>
      </w:r>
      <w:r>
        <w:t>of a cost-utility analysis</w:t>
      </w:r>
      <w:r w:rsidR="00533A7C">
        <w:t>, with</w:t>
      </w:r>
      <w:r>
        <w:t xml:space="preserve"> model</w:t>
      </w:r>
      <w:r w:rsidR="00533A7C">
        <w:t>ling</w:t>
      </w:r>
      <w:r>
        <w:t xml:space="preserve"> based on the United Kingdom Prospective Diabetes Study (UKPDS) Outcomes Model. The applicant noted that the model is an individual-patient simulation analysis which comprised three broad health states:</w:t>
      </w:r>
    </w:p>
    <w:p w14:paraId="0B596941" w14:textId="77777777" w:rsidR="00DB5D42" w:rsidRDefault="00DB5D42" w:rsidP="00DB5D42">
      <w:pPr>
        <w:pStyle w:val="ListParagraph"/>
        <w:numPr>
          <w:ilvl w:val="0"/>
          <w:numId w:val="29"/>
        </w:numPr>
        <w:ind w:left="709"/>
        <w:jc w:val="both"/>
      </w:pPr>
      <w:r>
        <w:t>alive without a diabetes-related event;</w:t>
      </w:r>
    </w:p>
    <w:p w14:paraId="002787C8" w14:textId="77777777" w:rsidR="00DB5D42" w:rsidRDefault="00DB5D42" w:rsidP="00DB5D42">
      <w:pPr>
        <w:pStyle w:val="ListParagraph"/>
        <w:numPr>
          <w:ilvl w:val="0"/>
          <w:numId w:val="29"/>
        </w:numPr>
        <w:ind w:left="709"/>
        <w:jc w:val="both"/>
      </w:pPr>
      <w:r>
        <w:t>alive with a diabetes-related event; and</w:t>
      </w:r>
    </w:p>
    <w:p w14:paraId="0790BABB" w14:textId="77777777" w:rsidR="00DB5D42" w:rsidRDefault="00DB5D42" w:rsidP="00DB5D42">
      <w:pPr>
        <w:pStyle w:val="ListParagraph"/>
        <w:numPr>
          <w:ilvl w:val="0"/>
          <w:numId w:val="29"/>
        </w:numPr>
        <w:ind w:left="709"/>
        <w:jc w:val="both"/>
      </w:pPr>
      <w:proofErr w:type="gramStart"/>
      <w:r>
        <w:t>dead</w:t>
      </w:r>
      <w:proofErr w:type="gramEnd"/>
      <w:r>
        <w:t>.</w:t>
      </w:r>
    </w:p>
    <w:p w14:paraId="56585ED1" w14:textId="77777777" w:rsidR="00DB5D42" w:rsidRDefault="00DB5D42" w:rsidP="00DB5D42"/>
    <w:p w14:paraId="173A59B3" w14:textId="77777777" w:rsidR="00DB5D42" w:rsidRDefault="00DB5D42" w:rsidP="00DB5D42">
      <w:r>
        <w:t>According to the applicant, all patients entered the model in the health state ‘alive without a diabetes-related event’. Patients could remain in this state, transition to ‘alive with a diabetes-related event’, or transition to ‘dead’. In subsequent cycles, patients in the ‘alive with a diabetes-related event’ could remain in this state if they experienced another event, return to ‘alive without a diabetes-related event’ or transitioned to ‘dead’.</w:t>
      </w:r>
    </w:p>
    <w:p w14:paraId="348FF428" w14:textId="698B6ADD" w:rsidR="00DB5D42" w:rsidRDefault="00DB5D42" w:rsidP="00DB5D42"/>
    <w:p w14:paraId="11966AFD" w14:textId="0F560B39" w:rsidR="00DB5D42" w:rsidRDefault="00DB5D42" w:rsidP="00DB5D42">
      <w:r>
        <w:lastRenderedPageBreak/>
        <w:t xml:space="preserve">The applicant used a 15 year time horizon in the modelled economic evaluation with each cycle representing one year of life. The final outcomes considered by the model are incremental cost per quality-adjusted life year (QALY) and cost per life year gained. These surrogate outcomes </w:t>
      </w:r>
      <w:r w:rsidR="00533A7C">
        <w:t>we</w:t>
      </w:r>
      <w:r>
        <w:t>re translated from</w:t>
      </w:r>
      <w:r w:rsidR="00533A7C">
        <w:t>:</w:t>
      </w:r>
      <w:r>
        <w:t xml:space="preserve"> cost per 1% change in HbA</w:t>
      </w:r>
      <w:r w:rsidRPr="00E54AA0">
        <w:rPr>
          <w:vertAlign w:val="subscript"/>
        </w:rPr>
        <w:t>1c</w:t>
      </w:r>
      <w:r>
        <w:t xml:space="preserve"> for the comparison between GCM therapy and oral anti-diabetic agents, and cost per hypoglycaemic event avoided for the comparison between GCM therapy and insulin. The incremental cost-effectiveness ratios </w:t>
      </w:r>
      <w:r w:rsidR="00533A7C">
        <w:t>we</w:t>
      </w:r>
      <w:r>
        <w:t>re weighted based on assumed oral and injectable anti-diabetic use.</w:t>
      </w:r>
    </w:p>
    <w:p w14:paraId="52933830" w14:textId="77777777" w:rsidR="00DB5D42" w:rsidRDefault="00DB5D42" w:rsidP="00DB5D42"/>
    <w:p w14:paraId="74DF5FD4" w14:textId="77777777" w:rsidR="00DB5D42" w:rsidRPr="00036C93" w:rsidRDefault="00DB5D42" w:rsidP="00DB5D42">
      <w:r w:rsidRPr="00036C93">
        <w:t>The critique noted that while the model structure was appropriate, there were issues with a number of the inputs which resulted in the outcomes not being accurate. The key issues included:</w:t>
      </w:r>
    </w:p>
    <w:p w14:paraId="386C326A" w14:textId="77777777" w:rsidR="00DB5D42" w:rsidRPr="00036C93" w:rsidRDefault="00DB5D42" w:rsidP="00533A7C">
      <w:pPr>
        <w:pStyle w:val="ListParagraph"/>
        <w:numPr>
          <w:ilvl w:val="0"/>
          <w:numId w:val="32"/>
        </w:numPr>
      </w:pPr>
      <w:r w:rsidRPr="00036C93">
        <w:t>The trial-based analysis, which formed the basis of the stepped economic analysis, was not appropriate as the cross-over trial did not compare GCM therapy to oral anti-diabetic therapy.</w:t>
      </w:r>
    </w:p>
    <w:p w14:paraId="33E83AA9" w14:textId="4C354A86" w:rsidR="00DB5D42" w:rsidRPr="00036C93" w:rsidRDefault="00DB5D42" w:rsidP="00533A7C">
      <w:pPr>
        <w:pStyle w:val="ListParagraph"/>
        <w:numPr>
          <w:ilvl w:val="1"/>
          <w:numId w:val="32"/>
        </w:numPr>
      </w:pPr>
      <w:r w:rsidRPr="00036C93">
        <w:t>In its Pre-ESC response (page 4), the applicant agreed that the trial based analysis was not strictly a pure trial based analysis and that the analysis made some minor adjustments to make it more relevant for consideration by MSAC. This included adjusting triglyceride levels using the TG study</w:t>
      </w:r>
      <w:r w:rsidR="0086475A">
        <w:t xml:space="preserve"> in the comparison against OMT.</w:t>
      </w:r>
    </w:p>
    <w:p w14:paraId="1BF4FC0B" w14:textId="30A2E96B" w:rsidR="00DB5D42" w:rsidRPr="00036C93" w:rsidRDefault="00DB5D42" w:rsidP="00533A7C">
      <w:pPr>
        <w:pStyle w:val="ListParagraph"/>
        <w:numPr>
          <w:ilvl w:val="0"/>
          <w:numId w:val="32"/>
        </w:numPr>
      </w:pPr>
      <w:r w:rsidRPr="00036C93">
        <w:t>The critique also noted that assumptions made surrounding the number of patients on oral and injectable anti-diabetic therapies were unfounded and unsupported as the assumptions were based on clinical opinion but no information about the how the clinical opi</w:t>
      </w:r>
      <w:r w:rsidR="00533A7C">
        <w:t>nion was garnered was provided.</w:t>
      </w:r>
    </w:p>
    <w:p w14:paraId="2075E314" w14:textId="77777777" w:rsidR="00DB5D42" w:rsidRPr="00036C93" w:rsidRDefault="00DB5D42" w:rsidP="00533A7C">
      <w:pPr>
        <w:pStyle w:val="ListParagraph"/>
        <w:numPr>
          <w:ilvl w:val="0"/>
          <w:numId w:val="32"/>
        </w:numPr>
      </w:pPr>
      <w:r w:rsidRPr="00036C93">
        <w:t>Further, the critique stated that the model did not consider all the MBS costs associated with the implantation of the GCM device and that there was no provision for costs associated with the removal or replacement of the GCM device.</w:t>
      </w:r>
    </w:p>
    <w:p w14:paraId="2649D161" w14:textId="01B51F9D" w:rsidR="00DB5D42" w:rsidRPr="00036C93" w:rsidRDefault="00DB5D42" w:rsidP="0086475A">
      <w:pPr>
        <w:pStyle w:val="ListParagraph"/>
        <w:numPr>
          <w:ilvl w:val="1"/>
          <w:numId w:val="32"/>
        </w:numPr>
      </w:pPr>
      <w:r w:rsidRPr="00036C93">
        <w:t>In its Pre-ESC response (page 4), the applicant noted that the model did consider costs associated with the implantation: insertion of implantable pulse generator ($192); insertion of leads ($918); and interrogation of implantable pulse generator ($105), which are all the costs included in the prosthesis list application fo</w:t>
      </w:r>
      <w:r w:rsidR="00533A7C">
        <w:t>r the DIAMOND.</w:t>
      </w:r>
      <w:r w:rsidRPr="00036C93">
        <w:t xml:space="preserve"> However, the applicant noted that the model did not include costs associated with the removal or replacement of the device because the duration of the model is within the manufacturer recommended lifetime of the device and other costs would have a small impact on the economic evaluation.</w:t>
      </w:r>
    </w:p>
    <w:p w14:paraId="7F6D69AC" w14:textId="11EEB97B" w:rsidR="00DB5D42" w:rsidRPr="00036C93" w:rsidRDefault="00DB5D42" w:rsidP="00533A7C">
      <w:pPr>
        <w:pStyle w:val="ListParagraph"/>
        <w:numPr>
          <w:ilvl w:val="0"/>
          <w:numId w:val="32"/>
        </w:numPr>
      </w:pPr>
      <w:r w:rsidRPr="00036C93">
        <w:t>The baseline population is not representative of the trial or study populations, the Australian population or the proposed MBS population. Additionally, failure to incorporate baseline triglyceride levels into the model means the model population does not mat</w:t>
      </w:r>
      <w:r w:rsidR="0086475A">
        <w:t>ch the proposed MBS population.</w:t>
      </w:r>
    </w:p>
    <w:p w14:paraId="237BE518" w14:textId="77777777" w:rsidR="00DB5D42" w:rsidRDefault="00DB5D42" w:rsidP="00DB5D42"/>
    <w:p w14:paraId="63109C10" w14:textId="3A69DC60" w:rsidR="00DB5D42" w:rsidRDefault="00DB5D42" w:rsidP="00DB5D42">
      <w:r>
        <w:t xml:space="preserve">The </w:t>
      </w:r>
      <w:r w:rsidRPr="006E0071">
        <w:t xml:space="preserve">results of the economic evaluation </w:t>
      </w:r>
      <w:r>
        <w:t xml:space="preserve">of GCM therapy and oral and injectable anti-diabetic agents </w:t>
      </w:r>
      <w:r w:rsidR="0086475A">
        <w:t xml:space="preserve">are summarised </w:t>
      </w:r>
      <w:r>
        <w:t>in the table below.</w:t>
      </w:r>
    </w:p>
    <w:p w14:paraId="0F40038F" w14:textId="655A30C2" w:rsidR="00DB5D42" w:rsidRDefault="00DB5D42" w:rsidP="00DB5D42"/>
    <w:p w14:paraId="25D52E16" w14:textId="0A3816F6" w:rsidR="00DB5D42" w:rsidRDefault="00DB5D42" w:rsidP="00DB5D42">
      <w:pPr>
        <w:pStyle w:val="Tabletext"/>
        <w:keepNext/>
        <w:rPr>
          <w:b/>
        </w:rPr>
      </w:pPr>
      <w:r w:rsidRPr="00FC059B">
        <w:rPr>
          <w:b/>
        </w:rPr>
        <w:lastRenderedPageBreak/>
        <w:t xml:space="preserve">Table </w:t>
      </w:r>
      <w:r w:rsidR="0086475A">
        <w:rPr>
          <w:b/>
        </w:rPr>
        <w:t>4</w:t>
      </w:r>
      <w:r w:rsidRPr="00FC059B">
        <w:rPr>
          <w:b/>
        </w:rPr>
        <w:t xml:space="preserve">: Results of the economic evaluation: </w:t>
      </w:r>
      <w:r>
        <w:rPr>
          <w:b/>
        </w:rPr>
        <w:t>Incremental cost-effectiveness ratio (cost per QALY)</w:t>
      </w:r>
      <w:r w:rsidRPr="00FC059B">
        <w:rPr>
          <w:b/>
        </w:rPr>
        <w:t xml:space="preserve"> for GCM therapy versus OAD and insulin therapy</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ES.6: Results of the economic evaluation: Incremental cost-effectiveness ratio (cost per QALY) for GCM therapy versus OAD and insulin therapy"/>
        <w:tblDescription w:val="The results of the incremental cost-effectiveness ratio for GCM therapy versus a weighted average of oral anti-diabetic agents and insulin"/>
      </w:tblPr>
      <w:tblGrid>
        <w:gridCol w:w="2202"/>
        <w:gridCol w:w="2311"/>
        <w:gridCol w:w="2313"/>
        <w:gridCol w:w="2309"/>
      </w:tblGrid>
      <w:tr w:rsidR="00F6000E" w:rsidRPr="006B6F55" w14:paraId="7304533A" w14:textId="77777777" w:rsidTr="00632A76">
        <w:trPr>
          <w:cantSplit/>
          <w:tblHeader/>
        </w:trPr>
        <w:tc>
          <w:tcPr>
            <w:tcW w:w="1205" w:type="pct"/>
          </w:tcPr>
          <w:p w14:paraId="23345A6C" w14:textId="77777777" w:rsidR="00F6000E" w:rsidRPr="005F4741" w:rsidRDefault="00F6000E" w:rsidP="00632A76">
            <w:pPr>
              <w:pStyle w:val="Tabletextboldleft"/>
            </w:pPr>
            <w:r w:rsidRPr="005F4741">
              <w:t>Component</w:t>
            </w:r>
          </w:p>
        </w:tc>
        <w:tc>
          <w:tcPr>
            <w:tcW w:w="1265" w:type="pct"/>
            <w:vAlign w:val="center"/>
          </w:tcPr>
          <w:p w14:paraId="2A7DAC64" w14:textId="77777777" w:rsidR="00F6000E" w:rsidRPr="005F4741" w:rsidRDefault="00F6000E" w:rsidP="00632A76">
            <w:pPr>
              <w:pStyle w:val="Tabletextbold"/>
              <w:jc w:val="right"/>
            </w:pPr>
            <w:r w:rsidRPr="005F4741">
              <w:t>GCM therapy</w:t>
            </w:r>
          </w:p>
        </w:tc>
        <w:tc>
          <w:tcPr>
            <w:tcW w:w="1266" w:type="pct"/>
            <w:vAlign w:val="center"/>
          </w:tcPr>
          <w:p w14:paraId="324B32EC" w14:textId="77777777" w:rsidR="00F6000E" w:rsidRPr="005F4741" w:rsidRDefault="00F6000E" w:rsidP="00632A76">
            <w:pPr>
              <w:pStyle w:val="Tabletextbold"/>
              <w:jc w:val="right"/>
            </w:pPr>
            <w:r w:rsidRPr="005F4741">
              <w:t>OAD and insulin therapy</w:t>
            </w:r>
          </w:p>
        </w:tc>
        <w:tc>
          <w:tcPr>
            <w:tcW w:w="1264" w:type="pct"/>
            <w:vAlign w:val="center"/>
          </w:tcPr>
          <w:p w14:paraId="09ED633A" w14:textId="77777777" w:rsidR="00F6000E" w:rsidRPr="005F4741" w:rsidRDefault="00F6000E" w:rsidP="00632A76">
            <w:pPr>
              <w:pStyle w:val="Tabletextbold"/>
              <w:jc w:val="right"/>
            </w:pPr>
            <w:r w:rsidRPr="005F4741">
              <w:t>Increment</w:t>
            </w:r>
          </w:p>
        </w:tc>
      </w:tr>
      <w:tr w:rsidR="00F6000E" w:rsidRPr="006B6F55" w14:paraId="6FBCD333" w14:textId="77777777" w:rsidTr="00632A76">
        <w:trPr>
          <w:cantSplit/>
        </w:trPr>
        <w:tc>
          <w:tcPr>
            <w:tcW w:w="1205" w:type="pct"/>
          </w:tcPr>
          <w:p w14:paraId="07F9C9E4" w14:textId="77777777" w:rsidR="00F6000E" w:rsidRPr="005F4741" w:rsidRDefault="00F6000E" w:rsidP="00632A76">
            <w:pPr>
              <w:pStyle w:val="Tabletext"/>
              <w:keepNext/>
            </w:pPr>
            <w:r w:rsidRPr="005F4741">
              <w:t>Costs</w:t>
            </w:r>
          </w:p>
        </w:tc>
        <w:tc>
          <w:tcPr>
            <w:tcW w:w="1265" w:type="pct"/>
          </w:tcPr>
          <w:p w14:paraId="14C2E003" w14:textId="77777777" w:rsidR="00F6000E" w:rsidRPr="005F4741" w:rsidRDefault="00F6000E" w:rsidP="00632A76">
            <w:pPr>
              <w:pStyle w:val="Tabletextcentred"/>
              <w:keepNext/>
              <w:jc w:val="right"/>
              <w:rPr>
                <w:szCs w:val="20"/>
              </w:rPr>
            </w:pPr>
            <w:r w:rsidRPr="005F4741">
              <w:rPr>
                <w:szCs w:val="20"/>
              </w:rPr>
              <w:t>$35,576</w:t>
            </w:r>
          </w:p>
        </w:tc>
        <w:tc>
          <w:tcPr>
            <w:tcW w:w="1266" w:type="pct"/>
          </w:tcPr>
          <w:p w14:paraId="13187EB4" w14:textId="77777777" w:rsidR="00F6000E" w:rsidRPr="005F4741" w:rsidRDefault="00F6000E" w:rsidP="00632A76">
            <w:pPr>
              <w:pStyle w:val="Tabletextcentred"/>
              <w:keepNext/>
              <w:jc w:val="right"/>
              <w:rPr>
                <w:szCs w:val="20"/>
              </w:rPr>
            </w:pPr>
            <w:r w:rsidRPr="005F4741">
              <w:rPr>
                <w:szCs w:val="20"/>
              </w:rPr>
              <w:t>$35,598</w:t>
            </w:r>
          </w:p>
        </w:tc>
        <w:tc>
          <w:tcPr>
            <w:tcW w:w="1264" w:type="pct"/>
          </w:tcPr>
          <w:p w14:paraId="2DC167EE" w14:textId="77777777" w:rsidR="00F6000E" w:rsidRPr="005F4741" w:rsidRDefault="00F6000E" w:rsidP="00632A76">
            <w:pPr>
              <w:pStyle w:val="Tabletextcentred"/>
              <w:keepNext/>
              <w:jc w:val="right"/>
              <w:rPr>
                <w:szCs w:val="20"/>
              </w:rPr>
            </w:pPr>
            <w:r w:rsidRPr="005F4741">
              <w:rPr>
                <w:szCs w:val="20"/>
              </w:rPr>
              <w:t>$-22</w:t>
            </w:r>
          </w:p>
        </w:tc>
      </w:tr>
      <w:tr w:rsidR="00F6000E" w:rsidRPr="00B81876" w14:paraId="37D85994" w14:textId="77777777" w:rsidTr="00632A76">
        <w:trPr>
          <w:cantSplit/>
        </w:trPr>
        <w:tc>
          <w:tcPr>
            <w:tcW w:w="1205" w:type="pct"/>
            <w:tcBorders>
              <w:bottom w:val="single" w:sz="4" w:space="0" w:color="auto"/>
            </w:tcBorders>
          </w:tcPr>
          <w:p w14:paraId="39FF3F24" w14:textId="77777777" w:rsidR="00F6000E" w:rsidRPr="005F4741" w:rsidRDefault="00F6000E" w:rsidP="00632A76">
            <w:pPr>
              <w:pStyle w:val="Tabletext"/>
              <w:keepNext/>
            </w:pPr>
            <w:r w:rsidRPr="005F4741">
              <w:t>QALY</w:t>
            </w:r>
          </w:p>
        </w:tc>
        <w:tc>
          <w:tcPr>
            <w:tcW w:w="1265" w:type="pct"/>
            <w:tcBorders>
              <w:bottom w:val="single" w:sz="4" w:space="0" w:color="auto"/>
            </w:tcBorders>
          </w:tcPr>
          <w:p w14:paraId="10262C69" w14:textId="77777777" w:rsidR="00F6000E" w:rsidRPr="005F4741" w:rsidRDefault="00F6000E" w:rsidP="00632A76">
            <w:pPr>
              <w:pStyle w:val="Tabletextcentred"/>
              <w:keepNext/>
              <w:jc w:val="right"/>
              <w:rPr>
                <w:szCs w:val="20"/>
              </w:rPr>
            </w:pPr>
            <w:r w:rsidRPr="005F4741">
              <w:rPr>
                <w:szCs w:val="20"/>
              </w:rPr>
              <w:t>5.56</w:t>
            </w:r>
          </w:p>
        </w:tc>
        <w:tc>
          <w:tcPr>
            <w:tcW w:w="1266" w:type="pct"/>
            <w:tcBorders>
              <w:bottom w:val="single" w:sz="4" w:space="0" w:color="auto"/>
            </w:tcBorders>
          </w:tcPr>
          <w:p w14:paraId="238273F0" w14:textId="77777777" w:rsidR="00F6000E" w:rsidRPr="005F4741" w:rsidRDefault="00F6000E" w:rsidP="00632A76">
            <w:pPr>
              <w:pStyle w:val="Tabletextcentred"/>
              <w:keepNext/>
              <w:jc w:val="right"/>
              <w:rPr>
                <w:szCs w:val="20"/>
              </w:rPr>
            </w:pPr>
            <w:r w:rsidRPr="005F4741">
              <w:rPr>
                <w:szCs w:val="20"/>
              </w:rPr>
              <w:t>5.37</w:t>
            </w:r>
          </w:p>
        </w:tc>
        <w:tc>
          <w:tcPr>
            <w:tcW w:w="1264" w:type="pct"/>
            <w:tcBorders>
              <w:bottom w:val="single" w:sz="4" w:space="0" w:color="auto"/>
            </w:tcBorders>
          </w:tcPr>
          <w:p w14:paraId="5EA69614" w14:textId="77777777" w:rsidR="00F6000E" w:rsidRPr="005F4741" w:rsidRDefault="00F6000E" w:rsidP="00632A76">
            <w:pPr>
              <w:pStyle w:val="Tabletextcentred"/>
              <w:keepNext/>
              <w:jc w:val="right"/>
              <w:rPr>
                <w:szCs w:val="20"/>
              </w:rPr>
            </w:pPr>
            <w:r w:rsidRPr="005F4741">
              <w:rPr>
                <w:szCs w:val="20"/>
              </w:rPr>
              <w:t>0.19</w:t>
            </w:r>
          </w:p>
        </w:tc>
      </w:tr>
      <w:tr w:rsidR="00F6000E" w:rsidRPr="006B6F55" w14:paraId="58978549" w14:textId="77777777" w:rsidTr="00632A76">
        <w:trPr>
          <w:cantSplit/>
        </w:trPr>
        <w:tc>
          <w:tcPr>
            <w:tcW w:w="1205" w:type="pct"/>
            <w:tcBorders>
              <w:right w:val="single" w:sz="4" w:space="0" w:color="auto"/>
            </w:tcBorders>
          </w:tcPr>
          <w:p w14:paraId="01F15437" w14:textId="77777777" w:rsidR="00F6000E" w:rsidRPr="005F4741" w:rsidRDefault="00F6000E" w:rsidP="00632A76">
            <w:pPr>
              <w:pStyle w:val="Tabletextboldleft"/>
            </w:pPr>
            <w:r w:rsidRPr="005F4741">
              <w:t>ICER</w:t>
            </w:r>
          </w:p>
        </w:tc>
        <w:tc>
          <w:tcPr>
            <w:tcW w:w="1265" w:type="pct"/>
            <w:tcBorders>
              <w:top w:val="single" w:sz="4" w:space="0" w:color="auto"/>
              <w:left w:val="single" w:sz="4" w:space="0" w:color="auto"/>
              <w:bottom w:val="single" w:sz="4" w:space="0" w:color="auto"/>
              <w:right w:val="nil"/>
            </w:tcBorders>
          </w:tcPr>
          <w:p w14:paraId="22388678" w14:textId="77777777" w:rsidR="00F6000E" w:rsidRPr="000238C3" w:rsidRDefault="00F6000E" w:rsidP="00632A76">
            <w:pPr>
              <w:pStyle w:val="Tabletextboldleft"/>
              <w:jc w:val="right"/>
              <w:rPr>
                <w:b w:val="0"/>
              </w:rPr>
            </w:pPr>
            <w:r w:rsidRPr="000238C3">
              <w:rPr>
                <w:b w:val="0"/>
              </w:rPr>
              <w:t>-</w:t>
            </w:r>
          </w:p>
        </w:tc>
        <w:tc>
          <w:tcPr>
            <w:tcW w:w="1266" w:type="pct"/>
            <w:tcBorders>
              <w:top w:val="single" w:sz="4" w:space="0" w:color="auto"/>
              <w:left w:val="nil"/>
              <w:bottom w:val="single" w:sz="4" w:space="0" w:color="auto"/>
              <w:right w:val="nil"/>
            </w:tcBorders>
          </w:tcPr>
          <w:p w14:paraId="6D8B5DD2" w14:textId="77777777" w:rsidR="00F6000E" w:rsidRPr="000238C3" w:rsidRDefault="00F6000E" w:rsidP="00632A76">
            <w:pPr>
              <w:pStyle w:val="Tabletextboldleft"/>
              <w:jc w:val="right"/>
              <w:rPr>
                <w:b w:val="0"/>
              </w:rPr>
            </w:pPr>
            <w:r w:rsidRPr="000238C3">
              <w:rPr>
                <w:b w:val="0"/>
              </w:rPr>
              <w:t>-</w:t>
            </w:r>
          </w:p>
        </w:tc>
        <w:tc>
          <w:tcPr>
            <w:tcW w:w="1264" w:type="pct"/>
            <w:tcBorders>
              <w:top w:val="single" w:sz="4" w:space="0" w:color="auto"/>
              <w:left w:val="nil"/>
              <w:bottom w:val="single" w:sz="4" w:space="0" w:color="auto"/>
              <w:right w:val="single" w:sz="4" w:space="0" w:color="auto"/>
            </w:tcBorders>
          </w:tcPr>
          <w:p w14:paraId="169B22EC" w14:textId="77777777" w:rsidR="00F6000E" w:rsidRPr="005F4741" w:rsidRDefault="00F6000E" w:rsidP="00632A76">
            <w:pPr>
              <w:pStyle w:val="Tabletextbold"/>
              <w:jc w:val="right"/>
            </w:pPr>
            <w:r w:rsidRPr="005F4741">
              <w:t>Dominant</w:t>
            </w:r>
          </w:p>
        </w:tc>
      </w:tr>
    </w:tbl>
    <w:p w14:paraId="3D443E8B" w14:textId="6E8DCD12" w:rsidR="00DB5D42" w:rsidRDefault="00DB5D42" w:rsidP="00DB5D42">
      <w:pPr>
        <w:pStyle w:val="Tablecaption"/>
      </w:pPr>
      <w:r w:rsidRPr="006B6F55">
        <w:t xml:space="preserve">Source: </w:t>
      </w:r>
      <w:r>
        <w:t>Table D</w:t>
      </w:r>
      <w:proofErr w:type="gramStart"/>
      <w:r>
        <w:t>:20</w:t>
      </w:r>
      <w:proofErr w:type="gramEnd"/>
      <w:r>
        <w:t xml:space="preserve">, p120 of the </w:t>
      </w:r>
      <w:r w:rsidR="0086475A">
        <w:t>s</w:t>
      </w:r>
      <w:r>
        <w:t>ubmission</w:t>
      </w:r>
    </w:p>
    <w:p w14:paraId="7E2041D2" w14:textId="77777777" w:rsidR="00DB5D42" w:rsidRDefault="00DB5D42" w:rsidP="00DB5D42">
      <w:pPr>
        <w:pStyle w:val="Tablecaption"/>
        <w:rPr>
          <w:rFonts w:ascii="Arial" w:hAnsi="Arial"/>
        </w:rPr>
      </w:pPr>
      <w:r>
        <w:t>GCM = gastric contractility modulation; ICER = incremental cost-effectiveness ratio; OAD = oral anti-diabetic; QALY = quality-adjusted life year</w:t>
      </w:r>
    </w:p>
    <w:p w14:paraId="368A01A3" w14:textId="77777777" w:rsidR="00DB5D42" w:rsidRPr="0086475A" w:rsidRDefault="00DB5D42" w:rsidP="00DB5D42">
      <w:pPr>
        <w:pStyle w:val="Comment"/>
        <w:numPr>
          <w:ilvl w:val="0"/>
          <w:numId w:val="0"/>
        </w:numPr>
        <w:rPr>
          <w:color w:val="auto"/>
        </w:rPr>
      </w:pPr>
    </w:p>
    <w:p w14:paraId="676D96DD" w14:textId="77777777" w:rsidR="00DB5D42" w:rsidRDefault="00DB5D42" w:rsidP="00DB5D42">
      <w:r>
        <w:t>ESC considered that in order to achieve a small positive incremental cost-effectiveness the data had to be extrapolated out to 15 years.</w:t>
      </w:r>
    </w:p>
    <w:p w14:paraId="72419584" w14:textId="450418F6" w:rsidR="00DB5D42" w:rsidRDefault="00DB5D42" w:rsidP="00DB5D42"/>
    <w:p w14:paraId="1E8F3C44" w14:textId="77777777" w:rsidR="00BC1364" w:rsidRDefault="00BC1364" w:rsidP="007B32D1">
      <w:pPr>
        <w:pStyle w:val="Heading1"/>
        <w:numPr>
          <w:ilvl w:val="0"/>
          <w:numId w:val="23"/>
        </w:numPr>
        <w:ind w:hanging="720"/>
      </w:pPr>
      <w:r w:rsidRPr="008D5885">
        <w:t>Financial/budgetary impacts</w:t>
      </w:r>
    </w:p>
    <w:p w14:paraId="7807AF0D" w14:textId="77777777" w:rsidR="00BC1364" w:rsidRDefault="00BC1364" w:rsidP="00D340DE">
      <w:pPr>
        <w:pStyle w:val="Default"/>
      </w:pPr>
    </w:p>
    <w:p w14:paraId="59D38852" w14:textId="24D584CE" w:rsidR="00DB5D42" w:rsidRDefault="00DB5D42" w:rsidP="00DB5D42">
      <w:r>
        <w:t>The applicant estimated that 5,865 people w</w:t>
      </w:r>
      <w:r w:rsidR="00533A7C">
        <w:t>ould</w:t>
      </w:r>
      <w:r>
        <w:t xml:space="preserve"> choose GCM therapy in the first five years following its listing on the MBS.</w:t>
      </w:r>
    </w:p>
    <w:p w14:paraId="2321A2B5" w14:textId="77777777" w:rsidR="00DB5D42" w:rsidRDefault="00DB5D42" w:rsidP="00DB5D42"/>
    <w:p w14:paraId="5C6BC954" w14:textId="2E549779" w:rsidR="00DB5D42" w:rsidRDefault="00DB5D42" w:rsidP="00DB5D42">
      <w:r>
        <w:t xml:space="preserve">The financial estimates provided by the applicant (Table </w:t>
      </w:r>
      <w:r w:rsidR="0086475A">
        <w:t>5</w:t>
      </w:r>
      <w:r>
        <w:t>), assumed that insertion of the implantable pulse generator and gastric leads would occur once only with interrogation of the device assumed to occur twice in the first year, then once annually.</w:t>
      </w:r>
    </w:p>
    <w:p w14:paraId="2E17719C" w14:textId="1CC70552" w:rsidR="00DB5D42" w:rsidRDefault="00DB5D42" w:rsidP="00DB5D42"/>
    <w:p w14:paraId="546E3C32" w14:textId="7E43BF1E" w:rsidR="00DB5D42" w:rsidRDefault="00DB5D42" w:rsidP="00DB5D42">
      <w:pPr>
        <w:keepNext/>
        <w:rPr>
          <w:rFonts w:ascii="Arial Narrow" w:hAnsi="Arial Narrow"/>
          <w:b/>
          <w:sz w:val="20"/>
        </w:rPr>
      </w:pPr>
      <w:r w:rsidRPr="0087235B">
        <w:rPr>
          <w:rFonts w:ascii="Arial Narrow" w:hAnsi="Arial Narrow"/>
          <w:b/>
          <w:sz w:val="20"/>
        </w:rPr>
        <w:t xml:space="preserve">Table </w:t>
      </w:r>
      <w:r w:rsidR="0086475A">
        <w:rPr>
          <w:rFonts w:ascii="Arial Narrow" w:hAnsi="Arial Narrow"/>
          <w:b/>
          <w:sz w:val="20"/>
        </w:rPr>
        <w:t>5</w:t>
      </w:r>
      <w:r w:rsidRPr="0087235B">
        <w:rPr>
          <w:rFonts w:ascii="Arial Narrow" w:hAnsi="Arial Narrow"/>
          <w:b/>
          <w:sz w:val="20"/>
        </w:rPr>
        <w:t xml:space="preserve">: Estimated number of patients </w:t>
      </w:r>
      <w:r>
        <w:rPr>
          <w:rFonts w:ascii="Arial Narrow" w:hAnsi="Arial Narrow"/>
          <w:b/>
          <w:sz w:val="20"/>
        </w:rPr>
        <w:t>accepting</w:t>
      </w:r>
      <w:r w:rsidRPr="0087235B">
        <w:rPr>
          <w:rFonts w:ascii="Arial Narrow" w:hAnsi="Arial Narrow"/>
          <w:b/>
          <w:sz w:val="20"/>
        </w:rPr>
        <w:t xml:space="preserve"> GCM therapy and the services provided for </w:t>
      </w:r>
      <w:r>
        <w:rPr>
          <w:rFonts w:ascii="Arial Narrow" w:hAnsi="Arial Narrow"/>
          <w:b/>
          <w:sz w:val="20"/>
        </w:rPr>
        <w:t>y</w:t>
      </w:r>
      <w:r w:rsidRPr="0087235B">
        <w:rPr>
          <w:rFonts w:ascii="Arial Narrow" w:hAnsi="Arial Narrow"/>
          <w:b/>
          <w:sz w:val="20"/>
        </w:rPr>
        <w:t>e</w:t>
      </w:r>
      <w:r>
        <w:rPr>
          <w:rFonts w:ascii="Arial Narrow" w:hAnsi="Arial Narrow"/>
          <w:b/>
          <w:sz w:val="20"/>
        </w:rPr>
        <w:t>ar 1 to y</w:t>
      </w:r>
      <w:r w:rsidRPr="0087235B">
        <w:rPr>
          <w:rFonts w:ascii="Arial Narrow" w:hAnsi="Arial Narrow"/>
          <w:b/>
          <w:sz w:val="20"/>
        </w:rPr>
        <w:t>ear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Caption w:val="Table ES.7: Estimated number of patients receiving GCM therapy and the services provided per patient for Year 1 to Year 5"/>
        <w:tblDescription w:val="An estimate of the number of eligible patients who will actually use GCM therapy, and the number and cost of the MBS services provided"/>
      </w:tblPr>
      <w:tblGrid>
        <w:gridCol w:w="3172"/>
        <w:gridCol w:w="1134"/>
        <w:gridCol w:w="1275"/>
        <w:gridCol w:w="1275"/>
        <w:gridCol w:w="1133"/>
        <w:gridCol w:w="1093"/>
      </w:tblGrid>
      <w:tr w:rsidR="00F6000E" w:rsidRPr="00256DE8" w14:paraId="4D1D73EF" w14:textId="77777777" w:rsidTr="00632A76">
        <w:trPr>
          <w:cantSplit/>
          <w:trHeight w:val="255"/>
          <w:tblHeader/>
        </w:trPr>
        <w:tc>
          <w:tcPr>
            <w:tcW w:w="1746" w:type="pct"/>
            <w:shd w:val="clear" w:color="auto" w:fill="auto"/>
            <w:tcMar>
              <w:left w:w="28" w:type="dxa"/>
              <w:right w:w="28" w:type="dxa"/>
            </w:tcMar>
            <w:vAlign w:val="center"/>
          </w:tcPr>
          <w:p w14:paraId="3C19EA09" w14:textId="77777777" w:rsidR="00F6000E" w:rsidRPr="00256DE8" w:rsidRDefault="00F6000E" w:rsidP="00632A76">
            <w:pPr>
              <w:pStyle w:val="Tabletext"/>
              <w:keepNext/>
              <w:rPr>
                <w:b/>
              </w:rPr>
            </w:pPr>
            <w:r>
              <w:rPr>
                <w:b/>
              </w:rPr>
              <w:t>Description</w:t>
            </w:r>
          </w:p>
        </w:tc>
        <w:tc>
          <w:tcPr>
            <w:tcW w:w="624" w:type="pct"/>
            <w:shd w:val="clear" w:color="auto" w:fill="auto"/>
            <w:noWrap/>
            <w:tcMar>
              <w:left w:w="28" w:type="dxa"/>
              <w:right w:w="28" w:type="dxa"/>
            </w:tcMar>
            <w:vAlign w:val="center"/>
          </w:tcPr>
          <w:p w14:paraId="4934387B" w14:textId="77777777" w:rsidR="00F6000E" w:rsidRPr="00256DE8" w:rsidRDefault="00F6000E" w:rsidP="00632A76">
            <w:pPr>
              <w:pStyle w:val="Tabletext"/>
              <w:keepNext/>
              <w:jc w:val="center"/>
              <w:rPr>
                <w:b/>
              </w:rPr>
            </w:pPr>
            <w:r>
              <w:rPr>
                <w:b/>
              </w:rPr>
              <w:t>Year 1</w:t>
            </w:r>
          </w:p>
        </w:tc>
        <w:tc>
          <w:tcPr>
            <w:tcW w:w="702" w:type="pct"/>
            <w:shd w:val="clear" w:color="auto" w:fill="auto"/>
            <w:noWrap/>
            <w:tcMar>
              <w:left w:w="28" w:type="dxa"/>
              <w:right w:w="28" w:type="dxa"/>
            </w:tcMar>
            <w:vAlign w:val="center"/>
          </w:tcPr>
          <w:p w14:paraId="7367AA7C" w14:textId="77777777" w:rsidR="00F6000E" w:rsidRPr="00256DE8" w:rsidRDefault="00F6000E" w:rsidP="00632A76">
            <w:pPr>
              <w:pStyle w:val="Tabletext"/>
              <w:keepNext/>
              <w:jc w:val="center"/>
              <w:rPr>
                <w:b/>
              </w:rPr>
            </w:pPr>
            <w:r>
              <w:rPr>
                <w:b/>
              </w:rPr>
              <w:t>Year 2</w:t>
            </w:r>
          </w:p>
        </w:tc>
        <w:tc>
          <w:tcPr>
            <w:tcW w:w="702" w:type="pct"/>
            <w:shd w:val="clear" w:color="auto" w:fill="auto"/>
            <w:noWrap/>
            <w:tcMar>
              <w:left w:w="28" w:type="dxa"/>
              <w:right w:w="28" w:type="dxa"/>
            </w:tcMar>
            <w:vAlign w:val="center"/>
          </w:tcPr>
          <w:p w14:paraId="6B045526" w14:textId="77777777" w:rsidR="00F6000E" w:rsidRPr="00256DE8" w:rsidRDefault="00F6000E" w:rsidP="00632A76">
            <w:pPr>
              <w:pStyle w:val="Tabletext"/>
              <w:keepNext/>
              <w:jc w:val="center"/>
              <w:rPr>
                <w:b/>
              </w:rPr>
            </w:pPr>
            <w:r>
              <w:rPr>
                <w:b/>
              </w:rPr>
              <w:t>Year 3</w:t>
            </w:r>
          </w:p>
        </w:tc>
        <w:tc>
          <w:tcPr>
            <w:tcW w:w="624" w:type="pct"/>
            <w:shd w:val="clear" w:color="auto" w:fill="auto"/>
            <w:noWrap/>
            <w:tcMar>
              <w:left w:w="28" w:type="dxa"/>
              <w:right w:w="28" w:type="dxa"/>
            </w:tcMar>
            <w:vAlign w:val="center"/>
          </w:tcPr>
          <w:p w14:paraId="2043879F" w14:textId="77777777" w:rsidR="00F6000E" w:rsidRPr="00256DE8" w:rsidRDefault="00F6000E" w:rsidP="00632A76">
            <w:pPr>
              <w:pStyle w:val="Tabletext"/>
              <w:keepNext/>
              <w:jc w:val="center"/>
              <w:rPr>
                <w:b/>
              </w:rPr>
            </w:pPr>
            <w:r>
              <w:rPr>
                <w:b/>
              </w:rPr>
              <w:t>Year 4</w:t>
            </w:r>
          </w:p>
        </w:tc>
        <w:tc>
          <w:tcPr>
            <w:tcW w:w="602" w:type="pct"/>
            <w:shd w:val="clear" w:color="auto" w:fill="auto"/>
            <w:noWrap/>
            <w:tcMar>
              <w:left w:w="28" w:type="dxa"/>
              <w:right w:w="28" w:type="dxa"/>
            </w:tcMar>
            <w:vAlign w:val="center"/>
          </w:tcPr>
          <w:p w14:paraId="59B69921" w14:textId="77777777" w:rsidR="00F6000E" w:rsidRPr="00256DE8" w:rsidRDefault="00F6000E" w:rsidP="00632A76">
            <w:pPr>
              <w:pStyle w:val="Tabletext"/>
              <w:keepNext/>
              <w:jc w:val="center"/>
              <w:rPr>
                <w:b/>
              </w:rPr>
            </w:pPr>
            <w:r>
              <w:rPr>
                <w:b/>
              </w:rPr>
              <w:t>Year 5</w:t>
            </w:r>
          </w:p>
        </w:tc>
      </w:tr>
      <w:tr w:rsidR="00F6000E" w:rsidRPr="00256DE8" w14:paraId="60D7CA30" w14:textId="77777777" w:rsidTr="00632A76">
        <w:trPr>
          <w:cantSplit/>
          <w:trHeight w:val="255"/>
        </w:trPr>
        <w:tc>
          <w:tcPr>
            <w:tcW w:w="1746" w:type="pct"/>
            <w:shd w:val="clear" w:color="auto" w:fill="auto"/>
            <w:tcMar>
              <w:left w:w="28" w:type="dxa"/>
              <w:right w:w="28" w:type="dxa"/>
            </w:tcMar>
            <w:vAlign w:val="center"/>
          </w:tcPr>
          <w:p w14:paraId="7DF575B5" w14:textId="77777777" w:rsidR="00F6000E" w:rsidRPr="00256DE8" w:rsidRDefault="00F6000E" w:rsidP="00632A76">
            <w:pPr>
              <w:pStyle w:val="Tabletext"/>
              <w:keepNext/>
              <w:rPr>
                <w:b/>
              </w:rPr>
            </w:pPr>
            <w:r>
              <w:rPr>
                <w:b/>
              </w:rPr>
              <w:t xml:space="preserve">Patients accepting </w:t>
            </w:r>
            <w:r w:rsidRPr="00256DE8">
              <w:rPr>
                <w:b/>
              </w:rPr>
              <w:t>GCM therapy</w:t>
            </w:r>
          </w:p>
        </w:tc>
        <w:tc>
          <w:tcPr>
            <w:tcW w:w="624" w:type="pct"/>
            <w:shd w:val="clear" w:color="auto" w:fill="auto"/>
            <w:noWrap/>
            <w:tcMar>
              <w:left w:w="28" w:type="dxa"/>
              <w:right w:w="28" w:type="dxa"/>
            </w:tcMar>
            <w:vAlign w:val="center"/>
          </w:tcPr>
          <w:p w14:paraId="4CB19172" w14:textId="77777777" w:rsidR="00F6000E" w:rsidRPr="008D0A1B" w:rsidRDefault="00F6000E" w:rsidP="00632A76">
            <w:pPr>
              <w:pStyle w:val="Tabletext"/>
              <w:keepNext/>
              <w:jc w:val="center"/>
              <w:rPr>
                <w:b/>
              </w:rPr>
            </w:pPr>
            <w:r w:rsidRPr="00256DE8">
              <w:rPr>
                <w:b/>
              </w:rPr>
              <w:t>388</w:t>
            </w:r>
          </w:p>
        </w:tc>
        <w:tc>
          <w:tcPr>
            <w:tcW w:w="702" w:type="pct"/>
            <w:shd w:val="clear" w:color="auto" w:fill="auto"/>
            <w:noWrap/>
            <w:tcMar>
              <w:left w:w="28" w:type="dxa"/>
              <w:right w:w="28" w:type="dxa"/>
            </w:tcMar>
            <w:vAlign w:val="center"/>
          </w:tcPr>
          <w:p w14:paraId="5325A372" w14:textId="77777777" w:rsidR="00F6000E" w:rsidRPr="008D0A1B" w:rsidRDefault="00F6000E" w:rsidP="00632A76">
            <w:pPr>
              <w:pStyle w:val="Tabletext"/>
              <w:keepNext/>
              <w:jc w:val="center"/>
              <w:rPr>
                <w:b/>
              </w:rPr>
            </w:pPr>
            <w:r w:rsidRPr="00256DE8">
              <w:rPr>
                <w:b/>
              </w:rPr>
              <w:t>768</w:t>
            </w:r>
          </w:p>
        </w:tc>
        <w:tc>
          <w:tcPr>
            <w:tcW w:w="702" w:type="pct"/>
            <w:shd w:val="clear" w:color="auto" w:fill="auto"/>
            <w:noWrap/>
            <w:tcMar>
              <w:left w:w="28" w:type="dxa"/>
              <w:right w:w="28" w:type="dxa"/>
            </w:tcMar>
            <w:vAlign w:val="center"/>
          </w:tcPr>
          <w:p w14:paraId="65FC2EDE" w14:textId="77777777" w:rsidR="00F6000E" w:rsidRPr="008D0A1B" w:rsidRDefault="00F6000E" w:rsidP="00632A76">
            <w:pPr>
              <w:pStyle w:val="Tabletext"/>
              <w:keepNext/>
              <w:jc w:val="center"/>
              <w:rPr>
                <w:b/>
              </w:rPr>
            </w:pPr>
            <w:r w:rsidRPr="00256DE8">
              <w:rPr>
                <w:b/>
              </w:rPr>
              <w:t>1,161</w:t>
            </w:r>
          </w:p>
        </w:tc>
        <w:tc>
          <w:tcPr>
            <w:tcW w:w="624" w:type="pct"/>
            <w:shd w:val="clear" w:color="auto" w:fill="auto"/>
            <w:noWrap/>
            <w:tcMar>
              <w:left w:w="28" w:type="dxa"/>
              <w:right w:w="28" w:type="dxa"/>
            </w:tcMar>
            <w:vAlign w:val="center"/>
          </w:tcPr>
          <w:p w14:paraId="169EEE6A" w14:textId="77777777" w:rsidR="00F6000E" w:rsidRPr="008D0A1B" w:rsidRDefault="00F6000E" w:rsidP="00632A76">
            <w:pPr>
              <w:pStyle w:val="Tabletext"/>
              <w:keepNext/>
              <w:jc w:val="center"/>
              <w:rPr>
                <w:b/>
              </w:rPr>
            </w:pPr>
            <w:r w:rsidRPr="00256DE8">
              <w:rPr>
                <w:b/>
              </w:rPr>
              <w:t>1,565</w:t>
            </w:r>
          </w:p>
        </w:tc>
        <w:tc>
          <w:tcPr>
            <w:tcW w:w="602" w:type="pct"/>
            <w:shd w:val="clear" w:color="auto" w:fill="auto"/>
            <w:noWrap/>
            <w:tcMar>
              <w:left w:w="28" w:type="dxa"/>
              <w:right w:w="28" w:type="dxa"/>
            </w:tcMar>
            <w:vAlign w:val="center"/>
          </w:tcPr>
          <w:p w14:paraId="6A2D2455" w14:textId="77777777" w:rsidR="00F6000E" w:rsidRPr="008D0A1B" w:rsidRDefault="00F6000E" w:rsidP="00632A76">
            <w:pPr>
              <w:pStyle w:val="Tabletext"/>
              <w:keepNext/>
              <w:jc w:val="center"/>
              <w:rPr>
                <w:b/>
              </w:rPr>
            </w:pPr>
            <w:r w:rsidRPr="00256DE8">
              <w:rPr>
                <w:b/>
              </w:rPr>
              <w:t>1</w:t>
            </w:r>
            <w:r>
              <w:rPr>
                <w:b/>
              </w:rPr>
              <w:t>,</w:t>
            </w:r>
            <w:r w:rsidRPr="00256DE8">
              <w:rPr>
                <w:b/>
              </w:rPr>
              <w:t>983</w:t>
            </w:r>
          </w:p>
        </w:tc>
      </w:tr>
      <w:tr w:rsidR="00F6000E" w:rsidRPr="008D0A1B" w14:paraId="414E1418" w14:textId="77777777" w:rsidTr="00632A76">
        <w:trPr>
          <w:cantSplit/>
          <w:trHeight w:val="255"/>
        </w:trPr>
        <w:tc>
          <w:tcPr>
            <w:tcW w:w="17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747033" w14:textId="77777777" w:rsidR="00F6000E" w:rsidRPr="008D0A1B" w:rsidRDefault="00F6000E" w:rsidP="00632A76">
            <w:pPr>
              <w:pStyle w:val="Tabletext"/>
              <w:keepNext/>
            </w:pPr>
            <w:r w:rsidRPr="008D0A1B">
              <w:t>Total insertions of GCM</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B01296B" w14:textId="77777777" w:rsidR="00F6000E" w:rsidRPr="008D0A1B" w:rsidRDefault="00F6000E" w:rsidP="00632A76">
            <w:pPr>
              <w:pStyle w:val="Tabletext"/>
              <w:keepNext/>
              <w:jc w:val="center"/>
            </w:pPr>
            <w:r w:rsidRPr="008D0A1B">
              <w:t>388</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9EE65A" w14:textId="77777777" w:rsidR="00F6000E" w:rsidRPr="008D0A1B" w:rsidRDefault="00F6000E" w:rsidP="00632A76">
            <w:pPr>
              <w:pStyle w:val="Tabletext"/>
              <w:keepNext/>
              <w:jc w:val="center"/>
            </w:pPr>
            <w:r w:rsidRPr="008D0A1B">
              <w:t>768</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F80DE5" w14:textId="77777777" w:rsidR="00F6000E" w:rsidRPr="008D0A1B" w:rsidRDefault="00F6000E" w:rsidP="00632A76">
            <w:pPr>
              <w:pStyle w:val="Tabletext"/>
              <w:keepNext/>
              <w:jc w:val="center"/>
            </w:pPr>
            <w:r w:rsidRPr="008D0A1B">
              <w:t>1,161</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F39E620" w14:textId="77777777" w:rsidR="00F6000E" w:rsidRPr="008D0A1B" w:rsidRDefault="00F6000E" w:rsidP="00632A76">
            <w:pPr>
              <w:pStyle w:val="Tabletext"/>
              <w:keepNext/>
              <w:jc w:val="center"/>
            </w:pPr>
            <w:r w:rsidRPr="008D0A1B">
              <w:t>1,565</w:t>
            </w:r>
          </w:p>
        </w:tc>
        <w:tc>
          <w:tcPr>
            <w:tcW w:w="6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3E54F6" w14:textId="77777777" w:rsidR="00F6000E" w:rsidRPr="008D0A1B" w:rsidRDefault="00F6000E" w:rsidP="00632A76">
            <w:pPr>
              <w:pStyle w:val="Tabletext"/>
              <w:keepNext/>
              <w:jc w:val="center"/>
            </w:pPr>
            <w:r w:rsidRPr="008D0A1B">
              <w:t>1,983</w:t>
            </w:r>
          </w:p>
        </w:tc>
      </w:tr>
      <w:tr w:rsidR="00F6000E" w:rsidRPr="008D0A1B" w14:paraId="69CAA143" w14:textId="77777777" w:rsidTr="00632A76">
        <w:trPr>
          <w:cantSplit/>
          <w:trHeight w:val="255"/>
        </w:trPr>
        <w:tc>
          <w:tcPr>
            <w:tcW w:w="17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65B56E" w14:textId="77777777" w:rsidR="00F6000E" w:rsidRPr="008D0A1B" w:rsidRDefault="00F6000E" w:rsidP="00632A76">
            <w:pPr>
              <w:pStyle w:val="Tabletext"/>
              <w:keepNext/>
            </w:pPr>
            <w:r w:rsidRPr="008D0A1B">
              <w:t>Total insertions of leads</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7EE3F90" w14:textId="77777777" w:rsidR="00F6000E" w:rsidRPr="008D0A1B" w:rsidRDefault="00F6000E" w:rsidP="00632A76">
            <w:pPr>
              <w:pStyle w:val="Tabletext"/>
              <w:keepNext/>
              <w:jc w:val="center"/>
            </w:pPr>
            <w:r w:rsidRPr="008D0A1B">
              <w:t>388</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0941DE" w14:textId="77777777" w:rsidR="00F6000E" w:rsidRPr="008D0A1B" w:rsidRDefault="00F6000E" w:rsidP="00632A76">
            <w:pPr>
              <w:pStyle w:val="Tabletext"/>
              <w:keepNext/>
              <w:jc w:val="center"/>
            </w:pPr>
            <w:r w:rsidRPr="008D0A1B">
              <w:t>768</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030B138" w14:textId="77777777" w:rsidR="00F6000E" w:rsidRPr="008D0A1B" w:rsidRDefault="00F6000E" w:rsidP="00632A76">
            <w:pPr>
              <w:pStyle w:val="Tabletext"/>
              <w:keepNext/>
              <w:jc w:val="center"/>
            </w:pPr>
            <w:r w:rsidRPr="008D0A1B">
              <w:t>1,161</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0BADCD" w14:textId="77777777" w:rsidR="00F6000E" w:rsidRPr="008D0A1B" w:rsidRDefault="00F6000E" w:rsidP="00632A76">
            <w:pPr>
              <w:pStyle w:val="Tabletext"/>
              <w:keepNext/>
              <w:jc w:val="center"/>
            </w:pPr>
            <w:r w:rsidRPr="008D0A1B">
              <w:t>1,565</w:t>
            </w:r>
          </w:p>
        </w:tc>
        <w:tc>
          <w:tcPr>
            <w:tcW w:w="6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176000" w14:textId="77777777" w:rsidR="00F6000E" w:rsidRPr="008D0A1B" w:rsidRDefault="00F6000E" w:rsidP="00632A76">
            <w:pPr>
              <w:pStyle w:val="Tabletext"/>
              <w:keepNext/>
              <w:jc w:val="center"/>
            </w:pPr>
            <w:r w:rsidRPr="008D0A1B">
              <w:t>1,983</w:t>
            </w:r>
          </w:p>
        </w:tc>
      </w:tr>
      <w:tr w:rsidR="00F6000E" w:rsidRPr="008D0A1B" w14:paraId="45553644" w14:textId="77777777" w:rsidTr="00632A76">
        <w:trPr>
          <w:cantSplit/>
          <w:trHeight w:val="255"/>
        </w:trPr>
        <w:tc>
          <w:tcPr>
            <w:tcW w:w="17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996933" w14:textId="77777777" w:rsidR="00F6000E" w:rsidRPr="008D0A1B" w:rsidRDefault="00F6000E" w:rsidP="00632A76">
            <w:pPr>
              <w:pStyle w:val="Tabletext"/>
              <w:keepNext/>
            </w:pPr>
            <w:r w:rsidRPr="008D0A1B">
              <w:t>Total interrogations of GCM</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65858C" w14:textId="77777777" w:rsidR="00F6000E" w:rsidRPr="008D0A1B" w:rsidRDefault="00F6000E" w:rsidP="00632A76">
            <w:pPr>
              <w:pStyle w:val="Tabletext"/>
              <w:keepNext/>
              <w:jc w:val="center"/>
            </w:pPr>
            <w:r w:rsidRPr="008D0A1B">
              <w:t>776</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EC1124B" w14:textId="77777777" w:rsidR="00F6000E" w:rsidRPr="008D0A1B" w:rsidRDefault="00F6000E" w:rsidP="00632A76">
            <w:pPr>
              <w:pStyle w:val="Tabletext"/>
              <w:keepNext/>
              <w:jc w:val="center"/>
            </w:pPr>
            <w:r w:rsidRPr="008D0A1B">
              <w:t>1,925</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E79731" w14:textId="77777777" w:rsidR="00F6000E" w:rsidRPr="008D0A1B" w:rsidRDefault="00F6000E" w:rsidP="00632A76">
            <w:pPr>
              <w:pStyle w:val="Tabletext"/>
              <w:keepNext/>
              <w:jc w:val="center"/>
            </w:pPr>
            <w:r w:rsidRPr="008D0A1B">
              <w:t>3,478</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A02BBC" w14:textId="77777777" w:rsidR="00F6000E" w:rsidRPr="008D0A1B" w:rsidRDefault="00F6000E" w:rsidP="00632A76">
            <w:pPr>
              <w:pStyle w:val="Tabletext"/>
              <w:keepNext/>
              <w:jc w:val="center"/>
            </w:pPr>
            <w:r w:rsidRPr="008D0A1B">
              <w:t>5,448</w:t>
            </w:r>
          </w:p>
        </w:tc>
        <w:tc>
          <w:tcPr>
            <w:tcW w:w="6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BAAB94" w14:textId="77777777" w:rsidR="00F6000E" w:rsidRPr="008D0A1B" w:rsidRDefault="00F6000E" w:rsidP="00632A76">
            <w:pPr>
              <w:pStyle w:val="Tabletext"/>
              <w:keepNext/>
              <w:jc w:val="center"/>
            </w:pPr>
            <w:r w:rsidRPr="008D0A1B">
              <w:t>7,847</w:t>
            </w:r>
          </w:p>
        </w:tc>
      </w:tr>
      <w:tr w:rsidR="00F6000E" w:rsidRPr="002B64CA" w14:paraId="2AB51425" w14:textId="77777777" w:rsidTr="00632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7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0F9EF3" w14:textId="77777777" w:rsidR="00F6000E" w:rsidRPr="008D0A1B" w:rsidRDefault="00F6000E" w:rsidP="00632A76">
            <w:pPr>
              <w:pStyle w:val="Tabletext"/>
              <w:keepNext/>
              <w:rPr>
                <w:b/>
              </w:rPr>
            </w:pPr>
            <w:r w:rsidRPr="008D0A1B">
              <w:rPr>
                <w:b/>
              </w:rPr>
              <w:t>Total cost of GCM to MBS</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F51BEB8" w14:textId="77777777" w:rsidR="00F6000E" w:rsidRPr="008D0A1B" w:rsidRDefault="00F6000E" w:rsidP="00632A76">
            <w:pPr>
              <w:pStyle w:val="Tabletext"/>
              <w:keepNext/>
              <w:jc w:val="center"/>
              <w:rPr>
                <w:b/>
              </w:rPr>
            </w:pPr>
            <w:r w:rsidRPr="002B64CA">
              <w:rPr>
                <w:b/>
              </w:rPr>
              <w:t>$471,189</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0E8F01" w14:textId="77777777" w:rsidR="00F6000E" w:rsidRPr="008D0A1B" w:rsidRDefault="00F6000E" w:rsidP="00632A76">
            <w:pPr>
              <w:pStyle w:val="Tabletext"/>
              <w:keepNext/>
              <w:jc w:val="center"/>
              <w:rPr>
                <w:b/>
              </w:rPr>
            </w:pPr>
            <w:r w:rsidRPr="002B64CA">
              <w:rPr>
                <w:b/>
              </w:rPr>
              <w:t>$953,629</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F910470" w14:textId="77777777" w:rsidR="00F6000E" w:rsidRPr="008D0A1B" w:rsidRDefault="00F6000E" w:rsidP="00632A76">
            <w:pPr>
              <w:pStyle w:val="Tabletext"/>
              <w:keepNext/>
              <w:jc w:val="center"/>
              <w:rPr>
                <w:b/>
              </w:rPr>
            </w:pPr>
            <w:r w:rsidRPr="002B64CA">
              <w:rPr>
                <w:b/>
              </w:rPr>
              <w:t>$1,470,458</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6405E4" w14:textId="77777777" w:rsidR="00F6000E" w:rsidRPr="008D0A1B" w:rsidRDefault="00F6000E" w:rsidP="00632A76">
            <w:pPr>
              <w:pStyle w:val="Tabletext"/>
              <w:keepNext/>
              <w:jc w:val="center"/>
              <w:rPr>
                <w:b/>
              </w:rPr>
            </w:pPr>
            <w:r w:rsidRPr="002B64CA">
              <w:rPr>
                <w:b/>
              </w:rPr>
              <w:t>$2,022,643</w:t>
            </w:r>
          </w:p>
        </w:tc>
        <w:tc>
          <w:tcPr>
            <w:tcW w:w="6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42E76D" w14:textId="77777777" w:rsidR="00F6000E" w:rsidRPr="008D0A1B" w:rsidRDefault="00F6000E" w:rsidP="00632A76">
            <w:pPr>
              <w:pStyle w:val="Tabletext"/>
              <w:keepNext/>
              <w:jc w:val="center"/>
              <w:rPr>
                <w:b/>
              </w:rPr>
            </w:pPr>
            <w:r w:rsidRPr="002B64CA">
              <w:rPr>
                <w:b/>
              </w:rPr>
              <w:t>$2,611,173</w:t>
            </w:r>
          </w:p>
        </w:tc>
      </w:tr>
    </w:tbl>
    <w:p w14:paraId="4728AA8A" w14:textId="77777777" w:rsidR="00DB5D42" w:rsidRPr="00AE559F" w:rsidRDefault="00DB5D42" w:rsidP="00DB5D42">
      <w:pPr>
        <w:rPr>
          <w:rFonts w:ascii="Arial Narrow" w:hAnsi="Arial Narrow"/>
          <w:sz w:val="20"/>
        </w:rPr>
      </w:pPr>
      <w:r w:rsidRPr="00AE559F">
        <w:rPr>
          <w:rFonts w:ascii="Arial Narrow" w:hAnsi="Arial Narrow"/>
          <w:sz w:val="20"/>
        </w:rPr>
        <w:t>Source: Extracted during the evaluation</w:t>
      </w:r>
    </w:p>
    <w:p w14:paraId="7E235CED" w14:textId="77777777" w:rsidR="00DB5D42" w:rsidRPr="00AE559F" w:rsidRDefault="00DB5D42" w:rsidP="00DB5D42">
      <w:pPr>
        <w:rPr>
          <w:rFonts w:ascii="Arial Narrow" w:hAnsi="Arial Narrow"/>
          <w:sz w:val="20"/>
        </w:rPr>
      </w:pPr>
      <w:r w:rsidRPr="00AE559F">
        <w:rPr>
          <w:rFonts w:ascii="Arial Narrow" w:hAnsi="Arial Narrow"/>
          <w:sz w:val="20"/>
        </w:rPr>
        <w:t>GCM = gastric contractility modulation; MBS = Medicare Benefits Scheme</w:t>
      </w:r>
    </w:p>
    <w:p w14:paraId="2DB0E669" w14:textId="77777777" w:rsidR="00DB5D42" w:rsidRDefault="00DB5D42" w:rsidP="00DB5D42"/>
    <w:p w14:paraId="76841CCA" w14:textId="77777777" w:rsidR="00DB5D42" w:rsidRDefault="00DB5D42" w:rsidP="00DB5D42">
      <w:r>
        <w:t>The applicant stated the total cost of GCM therapy to the MBS would total approximately $7.5 million over the first five years. The applicant did not anticipate any other costs.</w:t>
      </w:r>
    </w:p>
    <w:p w14:paraId="455158A2" w14:textId="77777777" w:rsidR="00DB5D42" w:rsidRDefault="00DB5D42" w:rsidP="00DB5D42"/>
    <w:p w14:paraId="5CC22461" w14:textId="69A32321" w:rsidR="00DB5D42" w:rsidRPr="00036C93" w:rsidRDefault="00DB5D42" w:rsidP="00DB5D42">
      <w:r w:rsidRPr="00036C93">
        <w:t xml:space="preserve">The critique found a number of calculation errors in the estimation of patients receiving GCM therapy, despite the calculations surrounding the number of MBS services provided per estimated patient being correct. As such, the critique considered the total cost of GCM therapy to the MBS and health budget provided in the </w:t>
      </w:r>
      <w:r w:rsidR="0086475A" w:rsidRPr="00036C93">
        <w:t>s</w:t>
      </w:r>
      <w:r w:rsidRPr="00036C93">
        <w:t xml:space="preserve">ubmission </w:t>
      </w:r>
      <w:r w:rsidR="00F6000E">
        <w:t>an</w:t>
      </w:r>
      <w:r w:rsidRPr="00036C93">
        <w:t xml:space="preserve"> underestimation especially given that other factors such as additional MBS items which are associated with GCM implantation (e.g. consultation, anaesthesia and endoscopy fees) or the cost of the device wer</w:t>
      </w:r>
      <w:r w:rsidR="00533A7C">
        <w:t>e not taken into consideration.</w:t>
      </w:r>
    </w:p>
    <w:p w14:paraId="1EFA7BCD" w14:textId="77777777" w:rsidR="00DB5D42" w:rsidRPr="00036C93" w:rsidRDefault="00DB5D42" w:rsidP="00533A7C"/>
    <w:p w14:paraId="0A6C23CB" w14:textId="0807CAA7" w:rsidR="00DB5D42" w:rsidRPr="00036C93" w:rsidRDefault="00DB5D42" w:rsidP="00DB5D42">
      <w:r w:rsidRPr="00036C93">
        <w:t xml:space="preserve">The assessment group provided the revised table </w:t>
      </w:r>
      <w:r w:rsidR="0086475A">
        <w:t xml:space="preserve">below </w:t>
      </w:r>
      <w:r w:rsidRPr="00036C93">
        <w:t>summarising the additional cost using corrected patient numbers.</w:t>
      </w:r>
    </w:p>
    <w:p w14:paraId="035CEBC5" w14:textId="77777777" w:rsidR="00DB5D42" w:rsidRDefault="00DB5D42" w:rsidP="00DB5D42"/>
    <w:p w14:paraId="1ECD925A" w14:textId="2DF61999" w:rsidR="00DB5D42" w:rsidRDefault="00DB5D42" w:rsidP="00533A7C">
      <w:pPr>
        <w:pStyle w:val="Tabletext"/>
        <w:keepNext/>
        <w:spacing w:before="0" w:after="0"/>
        <w:rPr>
          <w:b/>
        </w:rPr>
      </w:pPr>
      <w:r w:rsidRPr="00FC059B">
        <w:rPr>
          <w:b/>
        </w:rPr>
        <w:t xml:space="preserve">Table </w:t>
      </w:r>
      <w:r w:rsidR="0086475A">
        <w:rPr>
          <w:b/>
        </w:rPr>
        <w:t>6</w:t>
      </w:r>
      <w:r w:rsidRPr="00FC059B">
        <w:rPr>
          <w:b/>
        </w:rPr>
        <w:t xml:space="preserve">: </w:t>
      </w:r>
      <w:r>
        <w:rPr>
          <w:b/>
        </w:rPr>
        <w:t>Revised e</w:t>
      </w:r>
      <w:r w:rsidRPr="00FC059B">
        <w:rPr>
          <w:b/>
        </w:rPr>
        <w:t xml:space="preserve">stimated </w:t>
      </w:r>
      <w:r>
        <w:rPr>
          <w:b/>
        </w:rPr>
        <w:t xml:space="preserve">total </w:t>
      </w:r>
      <w:r w:rsidRPr="00FC059B">
        <w:rPr>
          <w:b/>
        </w:rPr>
        <w:t xml:space="preserve">cost due to implantation of GCM device for </w:t>
      </w:r>
      <w:r>
        <w:rPr>
          <w:b/>
        </w:rPr>
        <w:t>y</w:t>
      </w:r>
      <w:r w:rsidRPr="00FC059B">
        <w:rPr>
          <w:b/>
        </w:rPr>
        <w:t>e</w:t>
      </w:r>
      <w:r>
        <w:rPr>
          <w:b/>
        </w:rPr>
        <w:t>ar 1 to y</w:t>
      </w:r>
      <w:r w:rsidRPr="00FC059B">
        <w:rPr>
          <w:b/>
        </w:rPr>
        <w:t>ear 5</w:t>
      </w:r>
    </w:p>
    <w:tbl>
      <w:tblPr>
        <w:tblStyle w:val="TableGrid1"/>
        <w:tblpPr w:leftFromText="180" w:rightFromText="180" w:vertAnchor="text" w:horzAnchor="margin" w:tblpY="77"/>
        <w:tblW w:w="5000" w:type="pct"/>
        <w:tblLook w:val="04A0" w:firstRow="1" w:lastRow="0" w:firstColumn="1" w:lastColumn="0" w:noHBand="0" w:noVBand="1"/>
        <w:tblCaption w:val="Table ES.8: Revised estimated total cost due to implantation of the GCM device for Year 1 to Year 5"/>
        <w:tblDescription w:val="The estimated costs of other MBS services related to the implantation of the GCM device such as the consultant surgeon, anaesthetist and anaesthesia, and endoscopy, and the non-MBS costs such as hospitalisation and the cost of the device"/>
      </w:tblPr>
      <w:tblGrid>
        <w:gridCol w:w="3574"/>
        <w:gridCol w:w="992"/>
        <w:gridCol w:w="1133"/>
        <w:gridCol w:w="1135"/>
        <w:gridCol w:w="1135"/>
        <w:gridCol w:w="1113"/>
      </w:tblGrid>
      <w:tr w:rsidR="005C410B" w:rsidRPr="00533A7C" w14:paraId="5291B527" w14:textId="77777777" w:rsidTr="00196B2E">
        <w:trPr>
          <w:cnfStyle w:val="100000000000" w:firstRow="1" w:lastRow="0" w:firstColumn="0" w:lastColumn="0" w:oddVBand="0" w:evenVBand="0" w:oddHBand="0" w:evenHBand="0" w:firstRowFirstColumn="0" w:firstRowLastColumn="0" w:lastRowFirstColumn="0" w:lastRowLastColumn="0"/>
          <w:tblHeader/>
        </w:trPr>
        <w:tc>
          <w:tcPr>
            <w:tcW w:w="1967" w:type="pct"/>
            <w:tcMar>
              <w:left w:w="28" w:type="dxa"/>
              <w:right w:w="28" w:type="dxa"/>
            </w:tcMar>
          </w:tcPr>
          <w:p w14:paraId="4F74397F" w14:textId="77777777" w:rsidR="00DB5D42" w:rsidRPr="00F1776F" w:rsidRDefault="00DB5D42" w:rsidP="00132983">
            <w:pPr>
              <w:pStyle w:val="Tabletextbold"/>
              <w:jc w:val="left"/>
              <w:rPr>
                <w:b w:val="0"/>
              </w:rPr>
            </w:pPr>
            <w:r w:rsidRPr="00F1776F">
              <w:t>Description</w:t>
            </w:r>
          </w:p>
        </w:tc>
        <w:tc>
          <w:tcPr>
            <w:tcW w:w="546" w:type="pct"/>
            <w:tcMar>
              <w:left w:w="28" w:type="dxa"/>
              <w:right w:w="28" w:type="dxa"/>
            </w:tcMar>
            <w:vAlign w:val="center"/>
          </w:tcPr>
          <w:p w14:paraId="38CE9CD2" w14:textId="77777777" w:rsidR="00DB5D42" w:rsidRPr="00F1776F" w:rsidRDefault="00DB5D42" w:rsidP="00132983">
            <w:pPr>
              <w:pStyle w:val="Tabletextbold"/>
              <w:jc w:val="right"/>
              <w:rPr>
                <w:b w:val="0"/>
              </w:rPr>
            </w:pPr>
            <w:r w:rsidRPr="00F1776F">
              <w:t>Year 1</w:t>
            </w:r>
          </w:p>
        </w:tc>
        <w:tc>
          <w:tcPr>
            <w:tcW w:w="624" w:type="pct"/>
            <w:tcMar>
              <w:left w:w="28" w:type="dxa"/>
              <w:right w:w="28" w:type="dxa"/>
            </w:tcMar>
            <w:vAlign w:val="center"/>
          </w:tcPr>
          <w:p w14:paraId="6962FC67" w14:textId="77777777" w:rsidR="00DB5D42" w:rsidRPr="00F1776F" w:rsidRDefault="00DB5D42" w:rsidP="00132983">
            <w:pPr>
              <w:pStyle w:val="Tabletextbold"/>
              <w:jc w:val="right"/>
              <w:rPr>
                <w:b w:val="0"/>
              </w:rPr>
            </w:pPr>
            <w:r w:rsidRPr="00F1776F">
              <w:t>Year 2</w:t>
            </w:r>
          </w:p>
        </w:tc>
        <w:tc>
          <w:tcPr>
            <w:tcW w:w="625" w:type="pct"/>
            <w:tcMar>
              <w:left w:w="28" w:type="dxa"/>
              <w:right w:w="28" w:type="dxa"/>
            </w:tcMar>
            <w:vAlign w:val="center"/>
          </w:tcPr>
          <w:p w14:paraId="1579ECA3" w14:textId="77777777" w:rsidR="00DB5D42" w:rsidRPr="00F1776F" w:rsidRDefault="00DB5D42" w:rsidP="00132983">
            <w:pPr>
              <w:pStyle w:val="Tabletextbold"/>
              <w:jc w:val="right"/>
              <w:rPr>
                <w:b w:val="0"/>
              </w:rPr>
            </w:pPr>
            <w:r w:rsidRPr="00F1776F">
              <w:t>Year 3</w:t>
            </w:r>
          </w:p>
        </w:tc>
        <w:tc>
          <w:tcPr>
            <w:tcW w:w="625" w:type="pct"/>
            <w:tcMar>
              <w:left w:w="28" w:type="dxa"/>
              <w:right w:w="28" w:type="dxa"/>
            </w:tcMar>
          </w:tcPr>
          <w:p w14:paraId="0177EE4E" w14:textId="77777777" w:rsidR="00DB5D42" w:rsidRPr="00F1776F" w:rsidRDefault="00DB5D42" w:rsidP="00132983">
            <w:pPr>
              <w:pStyle w:val="Tabletextbold"/>
              <w:jc w:val="right"/>
              <w:rPr>
                <w:b w:val="0"/>
              </w:rPr>
            </w:pPr>
            <w:r w:rsidRPr="00F1776F">
              <w:t>Year 4</w:t>
            </w:r>
          </w:p>
        </w:tc>
        <w:tc>
          <w:tcPr>
            <w:tcW w:w="613" w:type="pct"/>
            <w:tcMar>
              <w:left w:w="28" w:type="dxa"/>
              <w:right w:w="28" w:type="dxa"/>
            </w:tcMar>
            <w:vAlign w:val="center"/>
          </w:tcPr>
          <w:p w14:paraId="70FDC594" w14:textId="77777777" w:rsidR="00DB5D42" w:rsidRPr="00F1776F" w:rsidRDefault="00DB5D42" w:rsidP="00132983">
            <w:pPr>
              <w:pStyle w:val="Tabletextbold"/>
              <w:jc w:val="right"/>
              <w:rPr>
                <w:b w:val="0"/>
              </w:rPr>
            </w:pPr>
            <w:r w:rsidRPr="00F1776F">
              <w:t>Year 5</w:t>
            </w:r>
          </w:p>
        </w:tc>
      </w:tr>
      <w:tr w:rsidR="005C410B" w:rsidRPr="00533A7C" w14:paraId="4BD64E64" w14:textId="77777777" w:rsidTr="00196B2E">
        <w:tc>
          <w:tcPr>
            <w:tcW w:w="1967" w:type="pct"/>
            <w:tcMar>
              <w:left w:w="28" w:type="dxa"/>
              <w:right w:w="28" w:type="dxa"/>
            </w:tcMar>
            <w:vAlign w:val="center"/>
          </w:tcPr>
          <w:p w14:paraId="3ADF7E3F" w14:textId="77777777" w:rsidR="00DB5D42" w:rsidRPr="00F1776F" w:rsidRDefault="00DB5D42" w:rsidP="00132983">
            <w:pPr>
              <w:pStyle w:val="Tabletext"/>
              <w:keepNext/>
            </w:pPr>
            <w:r w:rsidRPr="00F1776F">
              <w:t>Corrected patient numbers</w:t>
            </w:r>
          </w:p>
        </w:tc>
        <w:tc>
          <w:tcPr>
            <w:tcW w:w="546" w:type="pct"/>
            <w:tcMar>
              <w:left w:w="28" w:type="dxa"/>
              <w:right w:w="28" w:type="dxa"/>
            </w:tcMar>
          </w:tcPr>
          <w:p w14:paraId="2AFB1200" w14:textId="77777777" w:rsidR="00DB5D42" w:rsidRPr="00F1776F" w:rsidRDefault="00DB5D42" w:rsidP="00132983">
            <w:pPr>
              <w:keepNext/>
              <w:jc w:val="right"/>
              <w:rPr>
                <w:sz w:val="20"/>
              </w:rPr>
            </w:pPr>
            <w:r w:rsidRPr="00F1776F">
              <w:rPr>
                <w:sz w:val="20"/>
              </w:rPr>
              <w:t>389</w:t>
            </w:r>
          </w:p>
        </w:tc>
        <w:tc>
          <w:tcPr>
            <w:tcW w:w="624" w:type="pct"/>
            <w:tcMar>
              <w:left w:w="28" w:type="dxa"/>
              <w:right w:w="28" w:type="dxa"/>
            </w:tcMar>
          </w:tcPr>
          <w:p w14:paraId="7CEE5F0A" w14:textId="77777777" w:rsidR="00DB5D42" w:rsidRPr="00F1776F" w:rsidRDefault="00DB5D42" w:rsidP="00132983">
            <w:pPr>
              <w:keepNext/>
              <w:jc w:val="right"/>
              <w:rPr>
                <w:sz w:val="20"/>
              </w:rPr>
            </w:pPr>
            <w:r w:rsidRPr="00F1776F">
              <w:rPr>
                <w:sz w:val="20"/>
              </w:rPr>
              <w:t>754</w:t>
            </w:r>
          </w:p>
        </w:tc>
        <w:tc>
          <w:tcPr>
            <w:tcW w:w="625" w:type="pct"/>
            <w:tcMar>
              <w:left w:w="28" w:type="dxa"/>
              <w:right w:w="28" w:type="dxa"/>
            </w:tcMar>
          </w:tcPr>
          <w:p w14:paraId="5FC1090D" w14:textId="77777777" w:rsidR="00DB5D42" w:rsidRPr="00F1776F" w:rsidRDefault="00DB5D42" w:rsidP="00132983">
            <w:pPr>
              <w:keepNext/>
              <w:jc w:val="right"/>
              <w:rPr>
                <w:sz w:val="20"/>
              </w:rPr>
            </w:pPr>
            <w:r w:rsidRPr="00F1776F">
              <w:rPr>
                <w:sz w:val="20"/>
              </w:rPr>
              <w:t>1,096</w:t>
            </w:r>
          </w:p>
        </w:tc>
        <w:tc>
          <w:tcPr>
            <w:tcW w:w="625" w:type="pct"/>
            <w:tcMar>
              <w:left w:w="28" w:type="dxa"/>
              <w:right w:w="28" w:type="dxa"/>
            </w:tcMar>
          </w:tcPr>
          <w:p w14:paraId="0B8532D5" w14:textId="77777777" w:rsidR="00DB5D42" w:rsidRPr="00F1776F" w:rsidRDefault="00DB5D42" w:rsidP="00132983">
            <w:pPr>
              <w:keepNext/>
              <w:jc w:val="right"/>
              <w:rPr>
                <w:sz w:val="20"/>
              </w:rPr>
            </w:pPr>
            <w:r w:rsidRPr="00F1776F">
              <w:rPr>
                <w:sz w:val="20"/>
              </w:rPr>
              <w:t>1,394</w:t>
            </w:r>
          </w:p>
        </w:tc>
        <w:tc>
          <w:tcPr>
            <w:tcW w:w="613" w:type="pct"/>
            <w:tcMar>
              <w:left w:w="28" w:type="dxa"/>
              <w:right w:w="28" w:type="dxa"/>
            </w:tcMar>
          </w:tcPr>
          <w:p w14:paraId="0FFBD991" w14:textId="77777777" w:rsidR="00DB5D42" w:rsidRPr="00F1776F" w:rsidRDefault="00DB5D42" w:rsidP="00132983">
            <w:pPr>
              <w:keepNext/>
              <w:jc w:val="right"/>
              <w:rPr>
                <w:sz w:val="20"/>
              </w:rPr>
            </w:pPr>
            <w:r w:rsidRPr="00F1776F">
              <w:rPr>
                <w:sz w:val="20"/>
              </w:rPr>
              <w:t>1,633</w:t>
            </w:r>
          </w:p>
        </w:tc>
      </w:tr>
      <w:tr w:rsidR="005C410B" w:rsidRPr="00533A7C" w14:paraId="058CE272" w14:textId="77777777" w:rsidTr="00196B2E">
        <w:tc>
          <w:tcPr>
            <w:tcW w:w="1967" w:type="pct"/>
            <w:tcMar>
              <w:left w:w="28" w:type="dxa"/>
              <w:right w:w="28" w:type="dxa"/>
            </w:tcMar>
            <w:vAlign w:val="center"/>
          </w:tcPr>
          <w:p w14:paraId="778A2D70" w14:textId="77777777" w:rsidR="00DB5D42" w:rsidRPr="00F1776F" w:rsidRDefault="00DB5D42" w:rsidP="00132983">
            <w:pPr>
              <w:pStyle w:val="Tabletext"/>
              <w:keepNext/>
            </w:pPr>
            <w:r w:rsidRPr="00F1776F">
              <w:t>Proposed MBS costs (insertion of device and leads, and interrogation)</w:t>
            </w:r>
          </w:p>
        </w:tc>
        <w:tc>
          <w:tcPr>
            <w:tcW w:w="546" w:type="pct"/>
            <w:tcMar>
              <w:left w:w="28" w:type="dxa"/>
              <w:right w:w="28" w:type="dxa"/>
            </w:tcMar>
            <w:vAlign w:val="center"/>
          </w:tcPr>
          <w:p w14:paraId="0AFE1D19" w14:textId="77777777" w:rsidR="00DB5D42" w:rsidRPr="00F1776F" w:rsidRDefault="00DB5D42" w:rsidP="00132983">
            <w:pPr>
              <w:keepNext/>
              <w:jc w:val="right"/>
              <w:rPr>
                <w:sz w:val="20"/>
              </w:rPr>
            </w:pPr>
            <w:r w:rsidRPr="00F1776F">
              <w:rPr>
                <w:sz w:val="20"/>
              </w:rPr>
              <w:t>$461,946</w:t>
            </w:r>
          </w:p>
        </w:tc>
        <w:tc>
          <w:tcPr>
            <w:tcW w:w="624" w:type="pct"/>
            <w:tcMar>
              <w:left w:w="28" w:type="dxa"/>
              <w:right w:w="28" w:type="dxa"/>
            </w:tcMar>
            <w:vAlign w:val="center"/>
          </w:tcPr>
          <w:p w14:paraId="51AF01DA" w14:textId="77777777" w:rsidR="00DB5D42" w:rsidRPr="00F1776F" w:rsidRDefault="00DB5D42" w:rsidP="00132983">
            <w:pPr>
              <w:keepNext/>
              <w:jc w:val="right"/>
              <w:rPr>
                <w:sz w:val="20"/>
              </w:rPr>
            </w:pPr>
            <w:r w:rsidRPr="00F1776F">
              <w:rPr>
                <w:sz w:val="20"/>
              </w:rPr>
              <w:t>$936,755</w:t>
            </w:r>
          </w:p>
        </w:tc>
        <w:tc>
          <w:tcPr>
            <w:tcW w:w="625" w:type="pct"/>
            <w:tcMar>
              <w:left w:w="28" w:type="dxa"/>
              <w:right w:w="28" w:type="dxa"/>
            </w:tcMar>
            <w:vAlign w:val="center"/>
          </w:tcPr>
          <w:p w14:paraId="41E6E3C2" w14:textId="77777777" w:rsidR="00DB5D42" w:rsidRPr="00F1776F" w:rsidRDefault="00DB5D42" w:rsidP="00132983">
            <w:pPr>
              <w:keepNext/>
              <w:jc w:val="right"/>
              <w:rPr>
                <w:sz w:val="20"/>
              </w:rPr>
            </w:pPr>
            <w:r w:rsidRPr="00F1776F">
              <w:rPr>
                <w:sz w:val="20"/>
              </w:rPr>
              <w:t>$1,391,078</w:t>
            </w:r>
          </w:p>
        </w:tc>
        <w:tc>
          <w:tcPr>
            <w:tcW w:w="625" w:type="pct"/>
            <w:tcMar>
              <w:left w:w="28" w:type="dxa"/>
              <w:right w:w="28" w:type="dxa"/>
            </w:tcMar>
            <w:vAlign w:val="center"/>
          </w:tcPr>
          <w:p w14:paraId="51BC61F7" w14:textId="77777777" w:rsidR="00DB5D42" w:rsidRPr="00F1776F" w:rsidRDefault="00DB5D42" w:rsidP="00132983">
            <w:pPr>
              <w:keepNext/>
              <w:jc w:val="right"/>
              <w:rPr>
                <w:sz w:val="20"/>
              </w:rPr>
            </w:pPr>
            <w:r w:rsidRPr="00F1776F">
              <w:rPr>
                <w:sz w:val="20"/>
              </w:rPr>
              <w:t>$1,810,349</w:t>
            </w:r>
          </w:p>
        </w:tc>
        <w:tc>
          <w:tcPr>
            <w:tcW w:w="613" w:type="pct"/>
            <w:tcMar>
              <w:left w:w="28" w:type="dxa"/>
              <w:right w:w="28" w:type="dxa"/>
            </w:tcMar>
            <w:vAlign w:val="center"/>
          </w:tcPr>
          <w:p w14:paraId="43072E6D" w14:textId="77777777" w:rsidR="00DB5D42" w:rsidRPr="00F1776F" w:rsidRDefault="00DB5D42" w:rsidP="00132983">
            <w:pPr>
              <w:keepNext/>
              <w:jc w:val="right"/>
              <w:rPr>
                <w:sz w:val="20"/>
              </w:rPr>
            </w:pPr>
            <w:r w:rsidRPr="00F1776F">
              <w:rPr>
                <w:sz w:val="20"/>
              </w:rPr>
              <w:t>$2,173,637</w:t>
            </w:r>
          </w:p>
        </w:tc>
      </w:tr>
      <w:tr w:rsidR="005C410B" w:rsidRPr="00533A7C" w14:paraId="36D98AAC" w14:textId="77777777" w:rsidTr="00196B2E">
        <w:tc>
          <w:tcPr>
            <w:tcW w:w="1967" w:type="pct"/>
            <w:tcMar>
              <w:left w:w="28" w:type="dxa"/>
              <w:right w:w="28" w:type="dxa"/>
            </w:tcMar>
            <w:vAlign w:val="center"/>
          </w:tcPr>
          <w:p w14:paraId="08D7D089" w14:textId="77777777" w:rsidR="00DB5D42" w:rsidRPr="00F1776F" w:rsidRDefault="00DB5D42" w:rsidP="00132983">
            <w:pPr>
              <w:pStyle w:val="Tabletext"/>
              <w:keepNext/>
              <w:rPr>
                <w:lang w:eastAsia="en-US"/>
              </w:rPr>
            </w:pPr>
            <w:r w:rsidRPr="00F1776F">
              <w:rPr>
                <w:lang w:eastAsia="en-US"/>
              </w:rPr>
              <w:lastRenderedPageBreak/>
              <w:t>Cost of consultant surgeon (MBS 110)</w:t>
            </w:r>
          </w:p>
        </w:tc>
        <w:tc>
          <w:tcPr>
            <w:tcW w:w="546" w:type="pct"/>
            <w:tcMar>
              <w:left w:w="28" w:type="dxa"/>
              <w:right w:w="28" w:type="dxa"/>
            </w:tcMar>
          </w:tcPr>
          <w:p w14:paraId="5A67D62F" w14:textId="77777777" w:rsidR="00DB5D42" w:rsidRPr="00F1776F" w:rsidRDefault="00DB5D42" w:rsidP="00132983">
            <w:pPr>
              <w:keepNext/>
              <w:jc w:val="right"/>
              <w:rPr>
                <w:sz w:val="20"/>
                <w:lang w:eastAsia="en-US"/>
              </w:rPr>
            </w:pPr>
            <w:r w:rsidRPr="00F1776F">
              <w:rPr>
                <w:sz w:val="20"/>
                <w:lang w:eastAsia="en-US"/>
              </w:rPr>
              <w:t>$43,983</w:t>
            </w:r>
          </w:p>
        </w:tc>
        <w:tc>
          <w:tcPr>
            <w:tcW w:w="624" w:type="pct"/>
            <w:tcMar>
              <w:left w:w="28" w:type="dxa"/>
              <w:right w:w="28" w:type="dxa"/>
            </w:tcMar>
          </w:tcPr>
          <w:p w14:paraId="5C90AEAD" w14:textId="77777777" w:rsidR="00DB5D42" w:rsidRPr="00F1776F" w:rsidRDefault="00DB5D42" w:rsidP="00132983">
            <w:pPr>
              <w:keepNext/>
              <w:jc w:val="right"/>
              <w:rPr>
                <w:sz w:val="20"/>
                <w:lang w:eastAsia="en-US"/>
              </w:rPr>
            </w:pPr>
            <w:r w:rsidRPr="00F1776F">
              <w:rPr>
                <w:sz w:val="20"/>
                <w:lang w:eastAsia="en-US"/>
              </w:rPr>
              <w:t>$85,407</w:t>
            </w:r>
          </w:p>
        </w:tc>
        <w:tc>
          <w:tcPr>
            <w:tcW w:w="625" w:type="pct"/>
            <w:tcMar>
              <w:left w:w="28" w:type="dxa"/>
              <w:right w:w="28" w:type="dxa"/>
            </w:tcMar>
          </w:tcPr>
          <w:p w14:paraId="358A0860" w14:textId="77777777" w:rsidR="00DB5D42" w:rsidRPr="00F1776F" w:rsidRDefault="00DB5D42" w:rsidP="00132983">
            <w:pPr>
              <w:keepNext/>
              <w:jc w:val="right"/>
              <w:rPr>
                <w:sz w:val="20"/>
                <w:lang w:eastAsia="en-US"/>
              </w:rPr>
            </w:pPr>
            <w:r w:rsidRPr="00F1776F">
              <w:rPr>
                <w:sz w:val="20"/>
                <w:lang w:eastAsia="en-US"/>
              </w:rPr>
              <w:t>$124,069</w:t>
            </w:r>
          </w:p>
        </w:tc>
        <w:tc>
          <w:tcPr>
            <w:tcW w:w="625" w:type="pct"/>
            <w:tcMar>
              <w:left w:w="28" w:type="dxa"/>
              <w:right w:w="28" w:type="dxa"/>
            </w:tcMar>
          </w:tcPr>
          <w:p w14:paraId="0B702970" w14:textId="77777777" w:rsidR="00DB5D42" w:rsidRPr="00F1776F" w:rsidRDefault="00DB5D42" w:rsidP="00132983">
            <w:pPr>
              <w:keepNext/>
              <w:jc w:val="right"/>
              <w:rPr>
                <w:sz w:val="20"/>
              </w:rPr>
            </w:pPr>
            <w:r w:rsidRPr="00F1776F">
              <w:rPr>
                <w:sz w:val="20"/>
              </w:rPr>
              <w:t>$157,800</w:t>
            </w:r>
          </w:p>
        </w:tc>
        <w:tc>
          <w:tcPr>
            <w:tcW w:w="613" w:type="pct"/>
            <w:tcMar>
              <w:left w:w="28" w:type="dxa"/>
              <w:right w:w="28" w:type="dxa"/>
            </w:tcMar>
          </w:tcPr>
          <w:p w14:paraId="68F26A01" w14:textId="77777777" w:rsidR="00DB5D42" w:rsidRPr="00F1776F" w:rsidRDefault="00DB5D42" w:rsidP="00132983">
            <w:pPr>
              <w:keepNext/>
              <w:jc w:val="right"/>
              <w:rPr>
                <w:sz w:val="20"/>
                <w:lang w:eastAsia="en-US"/>
              </w:rPr>
            </w:pPr>
            <w:r w:rsidRPr="00F1776F">
              <w:rPr>
                <w:sz w:val="20"/>
                <w:lang w:eastAsia="en-US"/>
              </w:rPr>
              <w:t>$184,861</w:t>
            </w:r>
          </w:p>
        </w:tc>
      </w:tr>
      <w:tr w:rsidR="005C410B" w:rsidRPr="00533A7C" w14:paraId="08E13BFC" w14:textId="77777777" w:rsidTr="00196B2E">
        <w:tc>
          <w:tcPr>
            <w:tcW w:w="1967" w:type="pct"/>
            <w:tcMar>
              <w:left w:w="28" w:type="dxa"/>
              <w:right w:w="28" w:type="dxa"/>
            </w:tcMar>
            <w:vAlign w:val="center"/>
          </w:tcPr>
          <w:p w14:paraId="52A9A7F3" w14:textId="77777777" w:rsidR="00DB5D42" w:rsidRPr="00F1776F" w:rsidRDefault="00DB5D42" w:rsidP="00132983">
            <w:pPr>
              <w:pStyle w:val="Tabletext"/>
              <w:rPr>
                <w:lang w:eastAsia="en-US"/>
              </w:rPr>
            </w:pPr>
            <w:r w:rsidRPr="00F1776F">
              <w:rPr>
                <w:lang w:eastAsia="en-US"/>
              </w:rPr>
              <w:t>Cost of anaesthetist (MBS 17610)</w:t>
            </w:r>
          </w:p>
        </w:tc>
        <w:tc>
          <w:tcPr>
            <w:tcW w:w="546" w:type="pct"/>
            <w:tcMar>
              <w:left w:w="28" w:type="dxa"/>
              <w:right w:w="28" w:type="dxa"/>
            </w:tcMar>
          </w:tcPr>
          <w:p w14:paraId="519CE959" w14:textId="77777777" w:rsidR="00DB5D42" w:rsidRPr="00F1776F" w:rsidRDefault="00DB5D42" w:rsidP="00132983">
            <w:pPr>
              <w:jc w:val="right"/>
              <w:rPr>
                <w:sz w:val="20"/>
                <w:lang w:eastAsia="en-US"/>
              </w:rPr>
            </w:pPr>
            <w:r w:rsidRPr="00F1776F">
              <w:rPr>
                <w:sz w:val="20"/>
                <w:lang w:eastAsia="en-US"/>
              </w:rPr>
              <w:t>$12,530</w:t>
            </w:r>
          </w:p>
        </w:tc>
        <w:tc>
          <w:tcPr>
            <w:tcW w:w="624" w:type="pct"/>
            <w:tcMar>
              <w:left w:w="28" w:type="dxa"/>
              <w:right w:w="28" w:type="dxa"/>
            </w:tcMar>
          </w:tcPr>
          <w:p w14:paraId="0BB0CD88" w14:textId="77777777" w:rsidR="00DB5D42" w:rsidRPr="00F1776F" w:rsidRDefault="00DB5D42" w:rsidP="00132983">
            <w:pPr>
              <w:jc w:val="right"/>
              <w:rPr>
                <w:sz w:val="20"/>
                <w:lang w:eastAsia="en-US"/>
              </w:rPr>
            </w:pPr>
            <w:r w:rsidRPr="00F1776F">
              <w:rPr>
                <w:sz w:val="20"/>
                <w:lang w:eastAsia="en-US"/>
              </w:rPr>
              <w:t>$24,332</w:t>
            </w:r>
          </w:p>
        </w:tc>
        <w:tc>
          <w:tcPr>
            <w:tcW w:w="625" w:type="pct"/>
            <w:tcMar>
              <w:left w:w="28" w:type="dxa"/>
              <w:right w:w="28" w:type="dxa"/>
            </w:tcMar>
          </w:tcPr>
          <w:p w14:paraId="18C997DA" w14:textId="77777777" w:rsidR="00DB5D42" w:rsidRPr="00F1776F" w:rsidRDefault="00DB5D42" w:rsidP="00132983">
            <w:pPr>
              <w:jc w:val="right"/>
              <w:rPr>
                <w:sz w:val="20"/>
                <w:lang w:eastAsia="en-US"/>
              </w:rPr>
            </w:pPr>
            <w:r w:rsidRPr="00F1776F">
              <w:rPr>
                <w:sz w:val="20"/>
                <w:lang w:eastAsia="en-US"/>
              </w:rPr>
              <w:t>$35,347</w:t>
            </w:r>
          </w:p>
        </w:tc>
        <w:tc>
          <w:tcPr>
            <w:tcW w:w="625" w:type="pct"/>
            <w:tcMar>
              <w:left w:w="28" w:type="dxa"/>
              <w:right w:w="28" w:type="dxa"/>
            </w:tcMar>
          </w:tcPr>
          <w:p w14:paraId="08D33794" w14:textId="77777777" w:rsidR="00DB5D42" w:rsidRPr="00F1776F" w:rsidRDefault="00DB5D42" w:rsidP="00132983">
            <w:pPr>
              <w:jc w:val="right"/>
              <w:rPr>
                <w:sz w:val="20"/>
              </w:rPr>
            </w:pPr>
            <w:r w:rsidRPr="00F1776F">
              <w:rPr>
                <w:sz w:val="20"/>
              </w:rPr>
              <w:t>$44,956</w:t>
            </w:r>
          </w:p>
        </w:tc>
        <w:tc>
          <w:tcPr>
            <w:tcW w:w="613" w:type="pct"/>
            <w:tcMar>
              <w:left w:w="28" w:type="dxa"/>
              <w:right w:w="28" w:type="dxa"/>
            </w:tcMar>
          </w:tcPr>
          <w:p w14:paraId="2A07D0C7" w14:textId="77777777" w:rsidR="00DB5D42" w:rsidRPr="00F1776F" w:rsidRDefault="00DB5D42" w:rsidP="00132983">
            <w:pPr>
              <w:jc w:val="right"/>
              <w:rPr>
                <w:sz w:val="20"/>
                <w:lang w:eastAsia="en-US"/>
              </w:rPr>
            </w:pPr>
            <w:r w:rsidRPr="00F1776F">
              <w:rPr>
                <w:sz w:val="20"/>
                <w:lang w:eastAsia="en-US"/>
              </w:rPr>
              <w:t>$52,666</w:t>
            </w:r>
          </w:p>
        </w:tc>
      </w:tr>
      <w:tr w:rsidR="005C410B" w:rsidRPr="00533A7C" w14:paraId="02D9406D" w14:textId="77777777" w:rsidTr="00196B2E">
        <w:tc>
          <w:tcPr>
            <w:tcW w:w="1967" w:type="pct"/>
            <w:tcMar>
              <w:left w:w="28" w:type="dxa"/>
              <w:right w:w="28" w:type="dxa"/>
            </w:tcMar>
            <w:vAlign w:val="center"/>
          </w:tcPr>
          <w:p w14:paraId="43C6F648" w14:textId="77777777" w:rsidR="00DB5D42" w:rsidRPr="00F1776F" w:rsidRDefault="00DB5D42" w:rsidP="00132983">
            <w:pPr>
              <w:pStyle w:val="Tabletext"/>
              <w:rPr>
                <w:lang w:eastAsia="en-US"/>
              </w:rPr>
            </w:pPr>
            <w:r w:rsidRPr="00F1776F">
              <w:rPr>
                <w:lang w:eastAsia="en-US"/>
              </w:rPr>
              <w:t>Cost of anaesthesia initiation (MBS 20706)</w:t>
            </w:r>
          </w:p>
        </w:tc>
        <w:tc>
          <w:tcPr>
            <w:tcW w:w="546" w:type="pct"/>
            <w:tcMar>
              <w:left w:w="28" w:type="dxa"/>
              <w:right w:w="28" w:type="dxa"/>
            </w:tcMar>
          </w:tcPr>
          <w:p w14:paraId="42E309CA" w14:textId="77777777" w:rsidR="00DB5D42" w:rsidRPr="00F1776F" w:rsidRDefault="00DB5D42" w:rsidP="00132983">
            <w:pPr>
              <w:jc w:val="right"/>
              <w:rPr>
                <w:sz w:val="20"/>
                <w:lang w:eastAsia="en-US"/>
              </w:rPr>
            </w:pPr>
            <w:r w:rsidRPr="00F1776F">
              <w:rPr>
                <w:sz w:val="20"/>
                <w:lang w:eastAsia="en-US"/>
              </w:rPr>
              <w:t>$40,389</w:t>
            </w:r>
          </w:p>
        </w:tc>
        <w:tc>
          <w:tcPr>
            <w:tcW w:w="624" w:type="pct"/>
            <w:tcMar>
              <w:left w:w="28" w:type="dxa"/>
              <w:right w:w="28" w:type="dxa"/>
            </w:tcMar>
          </w:tcPr>
          <w:p w14:paraId="1AFB57DC" w14:textId="77777777" w:rsidR="00DB5D42" w:rsidRPr="00F1776F" w:rsidRDefault="00DB5D42" w:rsidP="00132983">
            <w:pPr>
              <w:jc w:val="right"/>
              <w:rPr>
                <w:sz w:val="20"/>
                <w:lang w:eastAsia="en-US"/>
              </w:rPr>
            </w:pPr>
            <w:r w:rsidRPr="00F1776F">
              <w:rPr>
                <w:sz w:val="20"/>
                <w:lang w:eastAsia="en-US"/>
              </w:rPr>
              <w:t>$78,428</w:t>
            </w:r>
          </w:p>
        </w:tc>
        <w:tc>
          <w:tcPr>
            <w:tcW w:w="625" w:type="pct"/>
            <w:tcMar>
              <w:left w:w="28" w:type="dxa"/>
              <w:right w:w="28" w:type="dxa"/>
            </w:tcMar>
          </w:tcPr>
          <w:p w14:paraId="376665B8" w14:textId="77777777" w:rsidR="00DB5D42" w:rsidRPr="00F1776F" w:rsidRDefault="00DB5D42" w:rsidP="00132983">
            <w:pPr>
              <w:jc w:val="right"/>
              <w:rPr>
                <w:sz w:val="20"/>
                <w:lang w:eastAsia="en-US"/>
              </w:rPr>
            </w:pPr>
            <w:r w:rsidRPr="00F1776F">
              <w:rPr>
                <w:sz w:val="20"/>
                <w:lang w:eastAsia="en-US"/>
              </w:rPr>
              <w:t>$113,931</w:t>
            </w:r>
          </w:p>
        </w:tc>
        <w:tc>
          <w:tcPr>
            <w:tcW w:w="625" w:type="pct"/>
            <w:tcMar>
              <w:left w:w="28" w:type="dxa"/>
              <w:right w:w="28" w:type="dxa"/>
            </w:tcMar>
          </w:tcPr>
          <w:p w14:paraId="6E5912AA" w14:textId="77777777" w:rsidR="00DB5D42" w:rsidRPr="00F1776F" w:rsidRDefault="00DB5D42" w:rsidP="00132983">
            <w:pPr>
              <w:jc w:val="right"/>
              <w:rPr>
                <w:sz w:val="20"/>
              </w:rPr>
            </w:pPr>
            <w:r w:rsidRPr="00F1776F">
              <w:rPr>
                <w:sz w:val="20"/>
              </w:rPr>
              <w:t>$144,905</w:t>
            </w:r>
          </w:p>
        </w:tc>
        <w:tc>
          <w:tcPr>
            <w:tcW w:w="613" w:type="pct"/>
            <w:tcMar>
              <w:left w:w="28" w:type="dxa"/>
              <w:right w:w="28" w:type="dxa"/>
            </w:tcMar>
          </w:tcPr>
          <w:p w14:paraId="6A2E0741" w14:textId="77777777" w:rsidR="00DB5D42" w:rsidRPr="00F1776F" w:rsidRDefault="00DB5D42" w:rsidP="00132983">
            <w:pPr>
              <w:jc w:val="right"/>
              <w:rPr>
                <w:sz w:val="20"/>
                <w:lang w:eastAsia="en-US"/>
              </w:rPr>
            </w:pPr>
            <w:r w:rsidRPr="00F1776F">
              <w:rPr>
                <w:sz w:val="20"/>
                <w:lang w:eastAsia="en-US"/>
              </w:rPr>
              <w:t>$169,755</w:t>
            </w:r>
          </w:p>
        </w:tc>
      </w:tr>
      <w:tr w:rsidR="005C410B" w:rsidRPr="00533A7C" w14:paraId="20C24472" w14:textId="77777777" w:rsidTr="00196B2E">
        <w:tc>
          <w:tcPr>
            <w:tcW w:w="1967" w:type="pct"/>
            <w:tcMar>
              <w:left w:w="28" w:type="dxa"/>
              <w:right w:w="28" w:type="dxa"/>
            </w:tcMar>
            <w:vAlign w:val="center"/>
          </w:tcPr>
          <w:p w14:paraId="63895A15" w14:textId="77777777" w:rsidR="00DB5D42" w:rsidRPr="00F1776F" w:rsidRDefault="00DB5D42" w:rsidP="00132983">
            <w:pPr>
              <w:pStyle w:val="Tabletextboldleft"/>
              <w:rPr>
                <w:b w:val="0"/>
              </w:rPr>
            </w:pPr>
            <w:r w:rsidRPr="00F1776F">
              <w:rPr>
                <w:b w:val="0"/>
              </w:rPr>
              <w:t>Cost of anaesthesia – 2 hours (MBS 23083)</w:t>
            </w:r>
          </w:p>
        </w:tc>
        <w:tc>
          <w:tcPr>
            <w:tcW w:w="546" w:type="pct"/>
            <w:tcMar>
              <w:left w:w="28" w:type="dxa"/>
              <w:right w:w="28" w:type="dxa"/>
            </w:tcMar>
          </w:tcPr>
          <w:p w14:paraId="2751B239" w14:textId="77777777" w:rsidR="00DB5D42" w:rsidRPr="00F1776F" w:rsidRDefault="00DB5D42" w:rsidP="00132983">
            <w:pPr>
              <w:jc w:val="right"/>
              <w:rPr>
                <w:sz w:val="20"/>
                <w:lang w:eastAsia="en-US"/>
              </w:rPr>
            </w:pPr>
            <w:r w:rsidRPr="00F1776F">
              <w:rPr>
                <w:sz w:val="20"/>
                <w:lang w:eastAsia="en-US"/>
              </w:rPr>
              <w:t>$46,159</w:t>
            </w:r>
          </w:p>
        </w:tc>
        <w:tc>
          <w:tcPr>
            <w:tcW w:w="624" w:type="pct"/>
            <w:tcMar>
              <w:left w:w="28" w:type="dxa"/>
              <w:right w:w="28" w:type="dxa"/>
            </w:tcMar>
          </w:tcPr>
          <w:p w14:paraId="042EEFFB" w14:textId="77777777" w:rsidR="00DB5D42" w:rsidRPr="00F1776F" w:rsidRDefault="00DB5D42" w:rsidP="00132983">
            <w:pPr>
              <w:jc w:val="right"/>
              <w:rPr>
                <w:sz w:val="20"/>
                <w:lang w:eastAsia="en-US"/>
              </w:rPr>
            </w:pPr>
            <w:r w:rsidRPr="00F1776F">
              <w:rPr>
                <w:sz w:val="20"/>
                <w:lang w:eastAsia="en-US"/>
              </w:rPr>
              <w:t>$89,632</w:t>
            </w:r>
          </w:p>
        </w:tc>
        <w:tc>
          <w:tcPr>
            <w:tcW w:w="625" w:type="pct"/>
            <w:tcMar>
              <w:left w:w="28" w:type="dxa"/>
              <w:right w:w="28" w:type="dxa"/>
            </w:tcMar>
          </w:tcPr>
          <w:p w14:paraId="17B9174D" w14:textId="77777777" w:rsidR="00DB5D42" w:rsidRPr="00F1776F" w:rsidRDefault="00DB5D42" w:rsidP="00132983">
            <w:pPr>
              <w:jc w:val="right"/>
              <w:rPr>
                <w:sz w:val="20"/>
                <w:lang w:eastAsia="en-US"/>
              </w:rPr>
            </w:pPr>
            <w:r w:rsidRPr="00F1776F">
              <w:rPr>
                <w:sz w:val="20"/>
                <w:lang w:eastAsia="en-US"/>
              </w:rPr>
              <w:t>$130,207</w:t>
            </w:r>
          </w:p>
        </w:tc>
        <w:tc>
          <w:tcPr>
            <w:tcW w:w="625" w:type="pct"/>
            <w:tcMar>
              <w:left w:w="28" w:type="dxa"/>
              <w:right w:w="28" w:type="dxa"/>
            </w:tcMar>
          </w:tcPr>
          <w:p w14:paraId="32BF9168" w14:textId="77777777" w:rsidR="00DB5D42" w:rsidRPr="00F1776F" w:rsidRDefault="00DB5D42" w:rsidP="00132983">
            <w:pPr>
              <w:jc w:val="right"/>
              <w:rPr>
                <w:sz w:val="20"/>
              </w:rPr>
            </w:pPr>
            <w:r w:rsidRPr="00F1776F">
              <w:rPr>
                <w:sz w:val="20"/>
              </w:rPr>
              <w:t>$165,606</w:t>
            </w:r>
          </w:p>
        </w:tc>
        <w:tc>
          <w:tcPr>
            <w:tcW w:w="613" w:type="pct"/>
            <w:tcMar>
              <w:left w:w="28" w:type="dxa"/>
              <w:right w:w="28" w:type="dxa"/>
            </w:tcMar>
          </w:tcPr>
          <w:p w14:paraId="7A3A119A" w14:textId="77777777" w:rsidR="00DB5D42" w:rsidRPr="00F1776F" w:rsidRDefault="00DB5D42" w:rsidP="00132983">
            <w:pPr>
              <w:jc w:val="right"/>
              <w:rPr>
                <w:sz w:val="20"/>
                <w:lang w:eastAsia="en-US"/>
              </w:rPr>
            </w:pPr>
            <w:r w:rsidRPr="00F1776F">
              <w:rPr>
                <w:sz w:val="20"/>
                <w:lang w:eastAsia="en-US"/>
              </w:rPr>
              <w:t>$194,006</w:t>
            </w:r>
          </w:p>
        </w:tc>
      </w:tr>
      <w:tr w:rsidR="005C410B" w:rsidRPr="00533A7C" w14:paraId="06C3982B" w14:textId="77777777" w:rsidTr="00196B2E">
        <w:tc>
          <w:tcPr>
            <w:tcW w:w="1967" w:type="pct"/>
            <w:tcMar>
              <w:left w:w="28" w:type="dxa"/>
              <w:right w:w="28" w:type="dxa"/>
            </w:tcMar>
            <w:vAlign w:val="center"/>
          </w:tcPr>
          <w:p w14:paraId="57C89ADC" w14:textId="77777777" w:rsidR="00DB5D42" w:rsidRPr="00F1776F" w:rsidRDefault="00DB5D42" w:rsidP="00132983">
            <w:pPr>
              <w:pStyle w:val="Tabletextboldleft"/>
              <w:rPr>
                <w:b w:val="0"/>
              </w:rPr>
            </w:pPr>
            <w:r w:rsidRPr="00F1776F">
              <w:rPr>
                <w:b w:val="0"/>
              </w:rPr>
              <w:t>Cost of endoscopy (MBS 36860)</w:t>
            </w:r>
          </w:p>
        </w:tc>
        <w:tc>
          <w:tcPr>
            <w:tcW w:w="546" w:type="pct"/>
            <w:tcMar>
              <w:left w:w="28" w:type="dxa"/>
              <w:right w:w="28" w:type="dxa"/>
            </w:tcMar>
          </w:tcPr>
          <w:p w14:paraId="45E9D4C5" w14:textId="77777777" w:rsidR="00DB5D42" w:rsidRPr="00F1776F" w:rsidRDefault="00DB5D42" w:rsidP="00132983">
            <w:pPr>
              <w:jc w:val="right"/>
              <w:rPr>
                <w:sz w:val="20"/>
              </w:rPr>
            </w:pPr>
            <w:r w:rsidRPr="00F1776F">
              <w:rPr>
                <w:sz w:val="20"/>
              </w:rPr>
              <w:t>$48,587</w:t>
            </w:r>
          </w:p>
        </w:tc>
        <w:tc>
          <w:tcPr>
            <w:tcW w:w="624" w:type="pct"/>
            <w:tcMar>
              <w:left w:w="28" w:type="dxa"/>
              <w:right w:w="28" w:type="dxa"/>
            </w:tcMar>
          </w:tcPr>
          <w:p w14:paraId="36946428" w14:textId="77777777" w:rsidR="00DB5D42" w:rsidRPr="00F1776F" w:rsidRDefault="00DB5D42" w:rsidP="00132983">
            <w:pPr>
              <w:jc w:val="right"/>
              <w:rPr>
                <w:sz w:val="20"/>
              </w:rPr>
            </w:pPr>
            <w:r w:rsidRPr="00F1776F">
              <w:rPr>
                <w:sz w:val="20"/>
              </w:rPr>
              <w:t>$94,347</w:t>
            </w:r>
          </w:p>
        </w:tc>
        <w:tc>
          <w:tcPr>
            <w:tcW w:w="625" w:type="pct"/>
            <w:tcMar>
              <w:left w:w="28" w:type="dxa"/>
              <w:right w:w="28" w:type="dxa"/>
            </w:tcMar>
          </w:tcPr>
          <w:p w14:paraId="75D31D28" w14:textId="77777777" w:rsidR="00DB5D42" w:rsidRPr="00F1776F" w:rsidRDefault="00DB5D42" w:rsidP="00132983">
            <w:pPr>
              <w:jc w:val="right"/>
              <w:rPr>
                <w:sz w:val="20"/>
              </w:rPr>
            </w:pPr>
            <w:r w:rsidRPr="00F1776F">
              <w:rPr>
                <w:sz w:val="20"/>
              </w:rPr>
              <w:t>$137,057</w:t>
            </w:r>
          </w:p>
        </w:tc>
        <w:tc>
          <w:tcPr>
            <w:tcW w:w="625" w:type="pct"/>
            <w:tcMar>
              <w:left w:w="28" w:type="dxa"/>
              <w:right w:w="28" w:type="dxa"/>
            </w:tcMar>
          </w:tcPr>
          <w:p w14:paraId="3F128470" w14:textId="77777777" w:rsidR="00DB5D42" w:rsidRPr="00F1776F" w:rsidRDefault="00DB5D42" w:rsidP="00132983">
            <w:pPr>
              <w:jc w:val="right"/>
              <w:rPr>
                <w:sz w:val="20"/>
              </w:rPr>
            </w:pPr>
            <w:r w:rsidRPr="00F1776F">
              <w:rPr>
                <w:sz w:val="20"/>
              </w:rPr>
              <w:t>$174,319</w:t>
            </w:r>
          </w:p>
        </w:tc>
        <w:tc>
          <w:tcPr>
            <w:tcW w:w="613" w:type="pct"/>
            <w:tcMar>
              <w:left w:w="28" w:type="dxa"/>
              <w:right w:w="28" w:type="dxa"/>
            </w:tcMar>
          </w:tcPr>
          <w:p w14:paraId="446F8EBC" w14:textId="77777777" w:rsidR="00DB5D42" w:rsidRPr="00F1776F" w:rsidRDefault="00DB5D42" w:rsidP="00132983">
            <w:pPr>
              <w:jc w:val="right"/>
              <w:rPr>
                <w:sz w:val="20"/>
              </w:rPr>
            </w:pPr>
            <w:r w:rsidRPr="00F1776F">
              <w:rPr>
                <w:sz w:val="20"/>
              </w:rPr>
              <w:t>$204,212</w:t>
            </w:r>
          </w:p>
        </w:tc>
      </w:tr>
      <w:tr w:rsidR="005C410B" w:rsidRPr="00196B2E" w14:paraId="43F8D022" w14:textId="77777777" w:rsidTr="00196B2E">
        <w:tc>
          <w:tcPr>
            <w:tcW w:w="1967" w:type="pct"/>
            <w:tcMar>
              <w:left w:w="28" w:type="dxa"/>
              <w:right w:w="28" w:type="dxa"/>
            </w:tcMar>
          </w:tcPr>
          <w:p w14:paraId="18B1633E" w14:textId="77777777" w:rsidR="00DB5D42" w:rsidRPr="00F1776F" w:rsidRDefault="00DB5D42" w:rsidP="00132983">
            <w:pPr>
              <w:pStyle w:val="Tabletextboldleft"/>
              <w:rPr>
                <w:b w:val="0"/>
              </w:rPr>
            </w:pPr>
            <w:r w:rsidRPr="00F1776F">
              <w:rPr>
                <w:b w:val="0"/>
              </w:rPr>
              <w:t>Cost of hospitalisation (Vic. Government)</w:t>
            </w:r>
          </w:p>
        </w:tc>
        <w:tc>
          <w:tcPr>
            <w:tcW w:w="546" w:type="pct"/>
            <w:tcMar>
              <w:left w:w="28" w:type="dxa"/>
              <w:right w:w="28" w:type="dxa"/>
            </w:tcMar>
          </w:tcPr>
          <w:p w14:paraId="68390F26" w14:textId="77777777" w:rsidR="00DB5D42" w:rsidRPr="00F1776F" w:rsidRDefault="00DB5D42" w:rsidP="00132983">
            <w:pPr>
              <w:jc w:val="right"/>
              <w:rPr>
                <w:sz w:val="20"/>
              </w:rPr>
            </w:pPr>
            <w:r w:rsidRPr="00F1776F">
              <w:rPr>
                <w:sz w:val="20"/>
              </w:rPr>
              <w:t>$146,092</w:t>
            </w:r>
          </w:p>
        </w:tc>
        <w:tc>
          <w:tcPr>
            <w:tcW w:w="624" w:type="pct"/>
            <w:tcMar>
              <w:left w:w="28" w:type="dxa"/>
              <w:right w:w="28" w:type="dxa"/>
            </w:tcMar>
          </w:tcPr>
          <w:p w14:paraId="70070589" w14:textId="77777777" w:rsidR="00DB5D42" w:rsidRPr="00F1776F" w:rsidRDefault="00DB5D42" w:rsidP="00132983">
            <w:pPr>
              <w:jc w:val="right"/>
              <w:rPr>
                <w:sz w:val="20"/>
              </w:rPr>
            </w:pPr>
            <w:r w:rsidRPr="00F1776F">
              <w:rPr>
                <w:sz w:val="20"/>
              </w:rPr>
              <w:t>$283,683</w:t>
            </w:r>
          </w:p>
        </w:tc>
        <w:tc>
          <w:tcPr>
            <w:tcW w:w="625" w:type="pct"/>
            <w:tcMar>
              <w:left w:w="28" w:type="dxa"/>
              <w:right w:w="28" w:type="dxa"/>
            </w:tcMar>
          </w:tcPr>
          <w:p w14:paraId="586C45B7" w14:textId="77777777" w:rsidR="00DB5D42" w:rsidRPr="00F1776F" w:rsidRDefault="00DB5D42" w:rsidP="00132983">
            <w:pPr>
              <w:jc w:val="right"/>
              <w:rPr>
                <w:sz w:val="20"/>
              </w:rPr>
            </w:pPr>
            <w:r w:rsidRPr="00F1776F">
              <w:rPr>
                <w:sz w:val="20"/>
              </w:rPr>
              <w:t>$412,102</w:t>
            </w:r>
          </w:p>
        </w:tc>
        <w:tc>
          <w:tcPr>
            <w:tcW w:w="625" w:type="pct"/>
            <w:tcMar>
              <w:left w:w="28" w:type="dxa"/>
              <w:right w:w="28" w:type="dxa"/>
            </w:tcMar>
          </w:tcPr>
          <w:p w14:paraId="4CBB5B84" w14:textId="77777777" w:rsidR="00DB5D42" w:rsidRPr="00F1776F" w:rsidRDefault="00DB5D42" w:rsidP="00132983">
            <w:pPr>
              <w:jc w:val="right"/>
              <w:rPr>
                <w:sz w:val="20"/>
              </w:rPr>
            </w:pPr>
            <w:r w:rsidRPr="00F1776F">
              <w:rPr>
                <w:sz w:val="20"/>
              </w:rPr>
              <w:t>$524,141</w:t>
            </w:r>
          </w:p>
        </w:tc>
        <w:tc>
          <w:tcPr>
            <w:tcW w:w="613" w:type="pct"/>
            <w:tcMar>
              <w:left w:w="28" w:type="dxa"/>
              <w:right w:w="28" w:type="dxa"/>
            </w:tcMar>
          </w:tcPr>
          <w:p w14:paraId="4AB2AF38" w14:textId="77777777" w:rsidR="00DB5D42" w:rsidRPr="00F1776F" w:rsidRDefault="00DB5D42" w:rsidP="00132983">
            <w:pPr>
              <w:jc w:val="right"/>
              <w:rPr>
                <w:sz w:val="20"/>
              </w:rPr>
            </w:pPr>
            <w:r w:rsidRPr="00F1776F">
              <w:rPr>
                <w:sz w:val="20"/>
              </w:rPr>
              <w:t>$614,025</w:t>
            </w:r>
          </w:p>
        </w:tc>
      </w:tr>
      <w:tr w:rsidR="005C410B" w:rsidRPr="00533A7C" w14:paraId="27D1E33C" w14:textId="77777777" w:rsidTr="00196B2E">
        <w:tc>
          <w:tcPr>
            <w:tcW w:w="1967" w:type="pct"/>
            <w:tcMar>
              <w:left w:w="28" w:type="dxa"/>
              <w:right w:w="28" w:type="dxa"/>
            </w:tcMar>
          </w:tcPr>
          <w:p w14:paraId="3B558B8F" w14:textId="1804D1A8" w:rsidR="00DB5D42" w:rsidRPr="00196B2E" w:rsidRDefault="00DB5D42" w:rsidP="00132983">
            <w:pPr>
              <w:pStyle w:val="Tabletext"/>
              <w:rPr>
                <w:lang w:eastAsia="en-US"/>
              </w:rPr>
            </w:pPr>
            <w:r w:rsidRPr="00F1776F">
              <w:rPr>
                <w:lang w:eastAsia="en-US"/>
              </w:rPr>
              <w:t>Cost of GCM device (</w:t>
            </w:r>
            <w:r w:rsidR="0086475A" w:rsidRPr="0086475A">
              <w:rPr>
                <w:lang w:eastAsia="en-US"/>
              </w:rPr>
              <w:t>s</w:t>
            </w:r>
            <w:r w:rsidRPr="00196B2E">
              <w:rPr>
                <w:lang w:eastAsia="en-US"/>
              </w:rPr>
              <w:t>ubmission)</w:t>
            </w:r>
          </w:p>
        </w:tc>
        <w:tc>
          <w:tcPr>
            <w:tcW w:w="546" w:type="pct"/>
            <w:tcMar>
              <w:left w:w="28" w:type="dxa"/>
              <w:right w:w="28" w:type="dxa"/>
            </w:tcMar>
          </w:tcPr>
          <w:p w14:paraId="5BD7B34E" w14:textId="77777777" w:rsidR="00DB5D42" w:rsidRPr="00F1776F" w:rsidRDefault="00DB5D42" w:rsidP="00132983">
            <w:pPr>
              <w:jc w:val="right"/>
              <w:rPr>
                <w:sz w:val="20"/>
                <w:lang w:eastAsia="en-US"/>
              </w:rPr>
            </w:pPr>
            <w:r w:rsidRPr="00F1776F">
              <w:rPr>
                <w:color w:val="000000"/>
                <w:sz w:val="20"/>
              </w:rPr>
              <w:t>$8,767,451</w:t>
            </w:r>
          </w:p>
        </w:tc>
        <w:tc>
          <w:tcPr>
            <w:tcW w:w="624" w:type="pct"/>
            <w:tcMar>
              <w:left w:w="28" w:type="dxa"/>
              <w:right w:w="28" w:type="dxa"/>
            </w:tcMar>
          </w:tcPr>
          <w:p w14:paraId="7D06A6AD" w14:textId="77777777" w:rsidR="00DB5D42" w:rsidRPr="00F1776F" w:rsidRDefault="00DB5D42" w:rsidP="00132983">
            <w:pPr>
              <w:jc w:val="right"/>
              <w:rPr>
                <w:sz w:val="20"/>
                <w:lang w:eastAsia="en-US"/>
              </w:rPr>
            </w:pPr>
            <w:r w:rsidRPr="00F1776F">
              <w:rPr>
                <w:color w:val="000000"/>
                <w:sz w:val="20"/>
              </w:rPr>
              <w:t>$17,024,724</w:t>
            </w:r>
          </w:p>
        </w:tc>
        <w:tc>
          <w:tcPr>
            <w:tcW w:w="625" w:type="pct"/>
            <w:tcMar>
              <w:left w:w="28" w:type="dxa"/>
              <w:right w:w="28" w:type="dxa"/>
            </w:tcMar>
          </w:tcPr>
          <w:p w14:paraId="033537E8" w14:textId="77777777" w:rsidR="00DB5D42" w:rsidRPr="00F1776F" w:rsidRDefault="00DB5D42" w:rsidP="00132983">
            <w:pPr>
              <w:jc w:val="right"/>
              <w:rPr>
                <w:sz w:val="20"/>
                <w:lang w:eastAsia="en-US"/>
              </w:rPr>
            </w:pPr>
            <w:r w:rsidRPr="00F1776F">
              <w:rPr>
                <w:color w:val="000000"/>
                <w:sz w:val="20"/>
              </w:rPr>
              <w:t>$24,731,600</w:t>
            </w:r>
          </w:p>
        </w:tc>
        <w:tc>
          <w:tcPr>
            <w:tcW w:w="625" w:type="pct"/>
            <w:tcMar>
              <w:left w:w="28" w:type="dxa"/>
              <w:right w:w="28" w:type="dxa"/>
            </w:tcMar>
          </w:tcPr>
          <w:p w14:paraId="2BAE78E7" w14:textId="77777777" w:rsidR="00DB5D42" w:rsidRPr="00F1776F" w:rsidRDefault="00DB5D42" w:rsidP="00132983">
            <w:pPr>
              <w:jc w:val="right"/>
              <w:rPr>
                <w:sz w:val="20"/>
              </w:rPr>
            </w:pPr>
            <w:r w:rsidRPr="00F1776F">
              <w:rPr>
                <w:color w:val="000000"/>
                <w:sz w:val="20"/>
              </w:rPr>
              <w:t>$31,455,415</w:t>
            </w:r>
          </w:p>
        </w:tc>
        <w:tc>
          <w:tcPr>
            <w:tcW w:w="613" w:type="pct"/>
            <w:tcMar>
              <w:left w:w="28" w:type="dxa"/>
              <w:right w:w="28" w:type="dxa"/>
            </w:tcMar>
          </w:tcPr>
          <w:p w14:paraId="5F61038B" w14:textId="77777777" w:rsidR="00DB5D42" w:rsidRPr="00F1776F" w:rsidRDefault="00DB5D42" w:rsidP="00132983">
            <w:pPr>
              <w:jc w:val="right"/>
              <w:rPr>
                <w:sz w:val="20"/>
                <w:lang w:eastAsia="en-US"/>
              </w:rPr>
            </w:pPr>
            <w:r w:rsidRPr="00F1776F">
              <w:rPr>
                <w:color w:val="000000"/>
                <w:sz w:val="20"/>
              </w:rPr>
              <w:t>$36,849,649</w:t>
            </w:r>
          </w:p>
        </w:tc>
      </w:tr>
      <w:tr w:rsidR="005C410B" w:rsidRPr="00533A7C" w14:paraId="48796BC7" w14:textId="77777777" w:rsidTr="00196B2E">
        <w:trPr>
          <w:trHeight w:val="235"/>
        </w:trPr>
        <w:tc>
          <w:tcPr>
            <w:tcW w:w="1967" w:type="pct"/>
            <w:noWrap/>
            <w:tcMar>
              <w:left w:w="28" w:type="dxa"/>
              <w:right w:w="28" w:type="dxa"/>
            </w:tcMar>
          </w:tcPr>
          <w:p w14:paraId="3A073250" w14:textId="77777777" w:rsidR="00DB5D42" w:rsidRPr="00F1776F" w:rsidRDefault="00DB5D42" w:rsidP="00132983">
            <w:pPr>
              <w:pStyle w:val="Tabletext"/>
              <w:rPr>
                <w:b/>
              </w:rPr>
            </w:pPr>
            <w:r w:rsidRPr="00F1776F">
              <w:rPr>
                <w:b/>
              </w:rPr>
              <w:t>Total net cost of GCM</w:t>
            </w:r>
          </w:p>
        </w:tc>
        <w:tc>
          <w:tcPr>
            <w:tcW w:w="546" w:type="pct"/>
            <w:noWrap/>
            <w:tcMar>
              <w:left w:w="28" w:type="dxa"/>
              <w:right w:w="28" w:type="dxa"/>
            </w:tcMar>
          </w:tcPr>
          <w:p w14:paraId="412205C6" w14:textId="77777777" w:rsidR="00DB5D42" w:rsidRPr="00F1776F" w:rsidRDefault="00DB5D42" w:rsidP="00132983">
            <w:pPr>
              <w:pStyle w:val="Tabletextcentred"/>
              <w:jc w:val="right"/>
              <w:rPr>
                <w:b/>
                <w:color w:val="000000"/>
                <w:szCs w:val="20"/>
              </w:rPr>
            </w:pPr>
            <w:r w:rsidRPr="00F1776F">
              <w:rPr>
                <w:b/>
                <w:color w:val="000000"/>
                <w:szCs w:val="20"/>
              </w:rPr>
              <w:t>$9,577,138</w:t>
            </w:r>
          </w:p>
        </w:tc>
        <w:tc>
          <w:tcPr>
            <w:tcW w:w="624" w:type="pct"/>
            <w:noWrap/>
            <w:tcMar>
              <w:left w:w="28" w:type="dxa"/>
              <w:right w:w="28" w:type="dxa"/>
            </w:tcMar>
          </w:tcPr>
          <w:p w14:paraId="5144472F" w14:textId="77777777" w:rsidR="00DB5D42" w:rsidRPr="00F1776F" w:rsidRDefault="00DB5D42" w:rsidP="00132983">
            <w:pPr>
              <w:pStyle w:val="Tabletextcentred"/>
              <w:jc w:val="right"/>
              <w:rPr>
                <w:b/>
                <w:color w:val="000000"/>
                <w:szCs w:val="20"/>
              </w:rPr>
            </w:pPr>
            <w:r w:rsidRPr="00F1776F">
              <w:rPr>
                <w:b/>
                <w:color w:val="000000"/>
                <w:szCs w:val="20"/>
              </w:rPr>
              <w:t>$18,617,306</w:t>
            </w:r>
          </w:p>
        </w:tc>
        <w:tc>
          <w:tcPr>
            <w:tcW w:w="625" w:type="pct"/>
            <w:noWrap/>
            <w:tcMar>
              <w:left w:w="28" w:type="dxa"/>
              <w:right w:w="28" w:type="dxa"/>
            </w:tcMar>
          </w:tcPr>
          <w:p w14:paraId="436BB023" w14:textId="77777777" w:rsidR="00DB5D42" w:rsidRPr="00F1776F" w:rsidRDefault="00DB5D42" w:rsidP="00132983">
            <w:pPr>
              <w:pStyle w:val="Tabletextcentred"/>
              <w:jc w:val="right"/>
              <w:rPr>
                <w:b/>
                <w:color w:val="000000"/>
                <w:szCs w:val="20"/>
              </w:rPr>
            </w:pPr>
            <w:r w:rsidRPr="00F1776F">
              <w:rPr>
                <w:b/>
                <w:color w:val="000000"/>
                <w:szCs w:val="20"/>
              </w:rPr>
              <w:t>$27,075,390</w:t>
            </w:r>
          </w:p>
        </w:tc>
        <w:tc>
          <w:tcPr>
            <w:tcW w:w="625" w:type="pct"/>
            <w:noWrap/>
            <w:tcMar>
              <w:left w:w="28" w:type="dxa"/>
              <w:right w:w="28" w:type="dxa"/>
            </w:tcMar>
          </w:tcPr>
          <w:p w14:paraId="1551154B" w14:textId="77777777" w:rsidR="00DB5D42" w:rsidRPr="00F1776F" w:rsidRDefault="00DB5D42" w:rsidP="00132983">
            <w:pPr>
              <w:pStyle w:val="Tabletextcentred"/>
              <w:jc w:val="right"/>
              <w:rPr>
                <w:b/>
                <w:color w:val="000000"/>
                <w:szCs w:val="20"/>
              </w:rPr>
            </w:pPr>
            <w:r w:rsidRPr="00F1776F">
              <w:rPr>
                <w:b/>
                <w:color w:val="000000"/>
                <w:szCs w:val="20"/>
              </w:rPr>
              <w:t>$34,477,492</w:t>
            </w:r>
          </w:p>
        </w:tc>
        <w:tc>
          <w:tcPr>
            <w:tcW w:w="613" w:type="pct"/>
            <w:noWrap/>
            <w:tcMar>
              <w:left w:w="28" w:type="dxa"/>
              <w:right w:w="28" w:type="dxa"/>
            </w:tcMar>
          </w:tcPr>
          <w:p w14:paraId="62AAAB45" w14:textId="77777777" w:rsidR="00DB5D42" w:rsidRPr="00F1776F" w:rsidRDefault="00DB5D42" w:rsidP="00132983">
            <w:pPr>
              <w:pStyle w:val="Tabletextcentred"/>
              <w:jc w:val="right"/>
              <w:rPr>
                <w:b/>
                <w:color w:val="000000"/>
                <w:szCs w:val="20"/>
              </w:rPr>
            </w:pPr>
            <w:r w:rsidRPr="00F1776F">
              <w:rPr>
                <w:b/>
                <w:color w:val="000000"/>
                <w:szCs w:val="20"/>
              </w:rPr>
              <w:t>$40,442,811</w:t>
            </w:r>
          </w:p>
        </w:tc>
      </w:tr>
    </w:tbl>
    <w:p w14:paraId="752898D7" w14:textId="77777777" w:rsidR="00DB5D42" w:rsidRPr="00F1776F" w:rsidRDefault="00DB5D42" w:rsidP="00DB5D42">
      <w:pPr>
        <w:rPr>
          <w:rFonts w:ascii="Arial Narrow" w:hAnsi="Arial Narrow"/>
          <w:sz w:val="20"/>
        </w:rPr>
      </w:pPr>
      <w:r w:rsidRPr="00533A7C">
        <w:rPr>
          <w:rFonts w:ascii="Arial Narrow" w:hAnsi="Arial Narrow"/>
          <w:sz w:val="20"/>
        </w:rPr>
        <w:t>Source: Calculated during the evaluation</w:t>
      </w:r>
    </w:p>
    <w:p w14:paraId="317C715C" w14:textId="77777777" w:rsidR="00DB5D42" w:rsidRPr="003F0CA9" w:rsidRDefault="00DB5D42" w:rsidP="00DB5D42">
      <w:pPr>
        <w:rPr>
          <w:rFonts w:ascii="Arial Narrow" w:hAnsi="Arial Narrow"/>
          <w:sz w:val="20"/>
        </w:rPr>
      </w:pPr>
      <w:r w:rsidRPr="003F0CA9">
        <w:rPr>
          <w:rFonts w:ascii="Arial Narrow" w:hAnsi="Arial Narrow"/>
          <w:sz w:val="20"/>
        </w:rPr>
        <w:t>GCM = gastric contractility modulation;</w:t>
      </w:r>
      <w:r>
        <w:rPr>
          <w:rFonts w:ascii="Arial Narrow" w:hAnsi="Arial Narrow"/>
          <w:sz w:val="20"/>
        </w:rPr>
        <w:t xml:space="preserve"> MBS = Medicare Benefits Scheme; Vic = Victorian State</w:t>
      </w:r>
    </w:p>
    <w:p w14:paraId="0E1596A4" w14:textId="77777777" w:rsidR="00DB5D42" w:rsidRDefault="00DB5D42" w:rsidP="00DB5D42"/>
    <w:p w14:paraId="0F533AEB" w14:textId="77777777" w:rsidR="00533A7C" w:rsidRDefault="00DB5D42" w:rsidP="00DB5D42">
      <w:r w:rsidRPr="00036C93">
        <w:t>The critique anticipated that the estimate would rise further if pharmaceutical costs, costs relating to adverse events due to surgery, and costs associated with device removal or replacement were included.</w:t>
      </w:r>
    </w:p>
    <w:p w14:paraId="6D40B83D" w14:textId="583405BC" w:rsidR="00BC1364" w:rsidRPr="00533A7C" w:rsidRDefault="00BC1364" w:rsidP="00DB5D42">
      <w:pPr>
        <w:rPr>
          <w:szCs w:val="24"/>
        </w:rPr>
      </w:pPr>
    </w:p>
    <w:p w14:paraId="66E8F1DF" w14:textId="77777777" w:rsidR="006A0D97" w:rsidRDefault="006A0D97" w:rsidP="006A0D97">
      <w:pPr>
        <w:pStyle w:val="Heading1"/>
        <w:numPr>
          <w:ilvl w:val="0"/>
          <w:numId w:val="23"/>
        </w:numPr>
        <w:ind w:hanging="720"/>
      </w:pPr>
      <w:r w:rsidRPr="006A0D97">
        <w:t>Key issues from ESC for MSAC</w:t>
      </w:r>
    </w:p>
    <w:p w14:paraId="5B145EEB" w14:textId="77777777" w:rsidR="00DB5D42" w:rsidRDefault="00DB5D42" w:rsidP="00DB5D42"/>
    <w:p w14:paraId="378A4A3E" w14:textId="36BBA0D6" w:rsidR="00DB5D42" w:rsidRDefault="00DB5D42" w:rsidP="00DB5D42">
      <w:r>
        <w:t>ESC noted that a number of issues had not been addressed in the submission and concluded that there was a lack of clinical evidence supp</w:t>
      </w:r>
      <w:r w:rsidR="0086475A">
        <w:t xml:space="preserve">orting clinical effectiveness. </w:t>
      </w:r>
      <w:r>
        <w:t>ESC noted that the clinical evidence referred to in the submission was largely unpublished internal data available only to the applicant, which was of uncertain quality. ESC also considered that the clinical evidence presented did not adequately compare the effectiveness or safety CGM therapy to e</w:t>
      </w:r>
      <w:r w:rsidR="00533A7C">
        <w:t>ither of the comparators.</w:t>
      </w:r>
    </w:p>
    <w:p w14:paraId="4F4F0371" w14:textId="77777777" w:rsidR="00DB5D42" w:rsidRDefault="00DB5D42" w:rsidP="00DB5D42"/>
    <w:p w14:paraId="2543D481" w14:textId="2C08457A" w:rsidR="00DB5D42" w:rsidRDefault="00DB5D42" w:rsidP="00DB5D42">
      <w:r>
        <w:t>ESC noted that the proposed MBS population did not match the pivotal cross-over trial population and was broader than the population used in the economic model</w:t>
      </w:r>
      <w:r w:rsidR="00C74D4F">
        <w:t>.</w:t>
      </w:r>
    </w:p>
    <w:p w14:paraId="363C1329" w14:textId="77777777" w:rsidR="00DB5D42" w:rsidRDefault="00DB5D42" w:rsidP="00DB5D42"/>
    <w:p w14:paraId="39B7CB82" w14:textId="00D7D7E0" w:rsidR="00DB5D42" w:rsidRDefault="00DB5D42" w:rsidP="00DB5D42">
      <w:r>
        <w:t>ESC noted that the submission’s claim of clinical effectiveness and cost effectiveness</w:t>
      </w:r>
      <w:r w:rsidR="0086475A">
        <w:t xml:space="preserve"> of the device was not proven. </w:t>
      </w:r>
      <w:r>
        <w:t xml:space="preserve">ESC considered the 15 year time horizon inappropriate and noted that costs associated with the implantation and </w:t>
      </w:r>
      <w:proofErr w:type="gramStart"/>
      <w:r>
        <w:t>removal of the device were</w:t>
      </w:r>
      <w:proofErr w:type="gramEnd"/>
      <w:r>
        <w:t xml:space="preserve"> not i</w:t>
      </w:r>
      <w:r w:rsidR="00533A7C">
        <w:t xml:space="preserve">ncluded. </w:t>
      </w:r>
      <w:r>
        <w:t>From a consumer perspective, it was also noted that it was difficult to support the intervention as the larger cost to the community outweighed the benefit.</w:t>
      </w:r>
    </w:p>
    <w:p w14:paraId="3AD2F3C0" w14:textId="77777777" w:rsidR="00072045" w:rsidRDefault="00072045" w:rsidP="00DB5D42"/>
    <w:p w14:paraId="3F4A3ACC" w14:textId="77777777" w:rsidR="006A0D97" w:rsidRPr="006A0D97" w:rsidRDefault="006A0D97" w:rsidP="006A0D97"/>
    <w:p w14:paraId="1DBE818C" w14:textId="77777777" w:rsidR="00BC1364" w:rsidRDefault="00BC1364" w:rsidP="007B32D1">
      <w:pPr>
        <w:pStyle w:val="Heading1"/>
        <w:numPr>
          <w:ilvl w:val="0"/>
          <w:numId w:val="23"/>
        </w:numPr>
        <w:ind w:hanging="720"/>
      </w:pPr>
      <w:r w:rsidRPr="008D5885">
        <w:t>Other significant factors</w:t>
      </w:r>
    </w:p>
    <w:p w14:paraId="307C9EBE" w14:textId="77777777" w:rsidR="00D90A38" w:rsidRDefault="00D90A38" w:rsidP="00DD2858">
      <w:pPr>
        <w:rPr>
          <w:szCs w:val="24"/>
        </w:rPr>
      </w:pPr>
    </w:p>
    <w:p w14:paraId="37E2B26B" w14:textId="77777777" w:rsidR="00BC1364" w:rsidRPr="00DB5D42" w:rsidRDefault="00DB5D42" w:rsidP="00DD2858">
      <w:pPr>
        <w:rPr>
          <w:szCs w:val="24"/>
        </w:rPr>
      </w:pPr>
      <w:proofErr w:type="gramStart"/>
      <w:r w:rsidRPr="00DB5D42">
        <w:rPr>
          <w:szCs w:val="24"/>
        </w:rPr>
        <w:t>Nil.</w:t>
      </w:r>
      <w:proofErr w:type="gramEnd"/>
    </w:p>
    <w:p w14:paraId="0EE39315" w14:textId="77777777" w:rsidR="00BC1364" w:rsidRPr="00707064" w:rsidRDefault="00BC1364" w:rsidP="00DD2858">
      <w:pPr>
        <w:tabs>
          <w:tab w:val="left" w:pos="720"/>
        </w:tabs>
        <w:ind w:left="709" w:hanging="709"/>
        <w:rPr>
          <w:szCs w:val="24"/>
        </w:rPr>
      </w:pPr>
    </w:p>
    <w:p w14:paraId="4B8E48CC"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2C8B8E7B" w14:textId="77777777" w:rsidR="00BC1364" w:rsidRPr="00533A7C" w:rsidRDefault="00BC1364" w:rsidP="00230D6B">
      <w:pPr>
        <w:tabs>
          <w:tab w:val="left" w:pos="720"/>
        </w:tabs>
        <w:ind w:left="709" w:hanging="709"/>
        <w:rPr>
          <w:szCs w:val="24"/>
        </w:rPr>
      </w:pPr>
    </w:p>
    <w:p w14:paraId="7A830E36" w14:textId="01EC3EA0" w:rsidR="001C7D8C" w:rsidRPr="00C74D4F" w:rsidRDefault="001C7D8C" w:rsidP="00C74D4F">
      <w:pPr>
        <w:pStyle w:val="PlainText"/>
        <w:rPr>
          <w:rFonts w:ascii="Times New Roman" w:hAnsi="Times New Roman"/>
          <w:sz w:val="24"/>
          <w:szCs w:val="20"/>
          <w:lang w:eastAsia="en-AU"/>
        </w:rPr>
      </w:pPr>
      <w:r w:rsidRPr="00C74D4F">
        <w:rPr>
          <w:rFonts w:ascii="Times New Roman" w:hAnsi="Times New Roman"/>
          <w:sz w:val="24"/>
          <w:szCs w:val="20"/>
          <w:lang w:eastAsia="en-AU"/>
        </w:rPr>
        <w:t xml:space="preserve">GCM therapy is a novel treatment which has been demonstrated in a randomized controlled trial to reduce HbA1c in an at-need diabetic population who have failed oral therapy. It is the view of the sponsor that the committees have applied an excessively high evidence hurdle in their assessment of this device. It is also unfortunate that evaluators for the DIAMOND application have chosen to label </w:t>
      </w:r>
      <w:r>
        <w:rPr>
          <w:rFonts w:ascii="Times New Roman" w:hAnsi="Times New Roman"/>
          <w:sz w:val="24"/>
          <w:szCs w:val="20"/>
          <w:lang w:eastAsia="en-AU"/>
        </w:rPr>
        <w:t xml:space="preserve">differences in </w:t>
      </w:r>
      <w:r w:rsidR="00D46FF4">
        <w:rPr>
          <w:rFonts w:ascii="Times New Roman" w:hAnsi="Times New Roman"/>
          <w:sz w:val="24"/>
          <w:szCs w:val="20"/>
          <w:lang w:eastAsia="en-AU"/>
        </w:rPr>
        <w:t xml:space="preserve">approaches to </w:t>
      </w:r>
      <w:r w:rsidRPr="00C74D4F">
        <w:rPr>
          <w:rFonts w:ascii="Times New Roman" w:hAnsi="Times New Roman"/>
          <w:sz w:val="24"/>
          <w:szCs w:val="20"/>
          <w:lang w:eastAsia="en-AU"/>
        </w:rPr>
        <w:t xml:space="preserve">rounding </w:t>
      </w:r>
      <w:r>
        <w:rPr>
          <w:rFonts w:ascii="Times New Roman" w:hAnsi="Times New Roman"/>
          <w:sz w:val="24"/>
          <w:szCs w:val="20"/>
          <w:lang w:eastAsia="en-AU"/>
        </w:rPr>
        <w:t xml:space="preserve">and the </w:t>
      </w:r>
      <w:r w:rsidRPr="00C74D4F">
        <w:rPr>
          <w:rFonts w:ascii="Times New Roman" w:hAnsi="Times New Roman"/>
          <w:sz w:val="24"/>
          <w:szCs w:val="20"/>
          <w:lang w:eastAsia="en-AU"/>
        </w:rPr>
        <w:t>selection of references as errors. The sponsor would appreciate the opportunity to continue to work within the MSAC process to ensure that GCM therapy is not denied to those Australians who choose to benefit from this therapy.</w:t>
      </w:r>
    </w:p>
    <w:p w14:paraId="587F3C63" w14:textId="77777777" w:rsidR="001C7D8C" w:rsidRDefault="001C7D8C" w:rsidP="000F75DF">
      <w:pPr>
        <w:rPr>
          <w:color w:val="0070C0"/>
          <w:szCs w:val="24"/>
        </w:rPr>
      </w:pPr>
    </w:p>
    <w:p w14:paraId="0ADEEBA7" w14:textId="77777777" w:rsidR="00BC1364" w:rsidRPr="00533A7C" w:rsidRDefault="00BC1364" w:rsidP="00230D6B">
      <w:pPr>
        <w:rPr>
          <w:szCs w:val="24"/>
        </w:rPr>
      </w:pPr>
    </w:p>
    <w:p w14:paraId="2503188C" w14:textId="77777777" w:rsidR="00BC1364" w:rsidRDefault="00271F18" w:rsidP="007B32D1">
      <w:pPr>
        <w:pStyle w:val="Heading1"/>
        <w:numPr>
          <w:ilvl w:val="0"/>
          <w:numId w:val="23"/>
        </w:numPr>
        <w:ind w:hanging="720"/>
      </w:pPr>
      <w:r>
        <w:lastRenderedPageBreak/>
        <w:t>Further information on MSAC</w:t>
      </w:r>
    </w:p>
    <w:p w14:paraId="02D17EA7" w14:textId="77777777" w:rsidR="00BC1364" w:rsidRPr="00533A7C" w:rsidRDefault="00BC1364" w:rsidP="00DD2858">
      <w:pPr>
        <w:tabs>
          <w:tab w:val="left" w:pos="720"/>
        </w:tabs>
        <w:ind w:left="709" w:hanging="709"/>
        <w:rPr>
          <w:szCs w:val="24"/>
        </w:rPr>
      </w:pPr>
    </w:p>
    <w:p w14:paraId="39F488F3" w14:textId="206641F6"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533A7C">
        <w:rPr>
          <w:szCs w:val="24"/>
        </w:rPr>
        <w:t>.</w:t>
      </w:r>
    </w:p>
    <w:sectPr w:rsidR="00BC1364" w:rsidRPr="00DD2858" w:rsidSect="00072045">
      <w:footerReference w:type="default" r:id="rId12"/>
      <w:pgSz w:w="11906" w:h="16838"/>
      <w:pgMar w:top="127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B25A4" w14:textId="77777777" w:rsidR="002D5C04" w:rsidRDefault="002D5C04" w:rsidP="00065623">
      <w:r>
        <w:separator/>
      </w:r>
    </w:p>
  </w:endnote>
  <w:endnote w:type="continuationSeparator" w:id="0">
    <w:p w14:paraId="51CE54FA" w14:textId="77777777" w:rsidR="002D5C04" w:rsidRDefault="002D5C0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FB6A8C2" w14:textId="77777777" w:rsidR="000D1A88" w:rsidRDefault="000D1A88">
        <w:pPr>
          <w:pStyle w:val="Footer"/>
          <w:jc w:val="right"/>
        </w:pPr>
        <w:r>
          <w:fldChar w:fldCharType="begin"/>
        </w:r>
        <w:r>
          <w:instrText xml:space="preserve"> PAGE   \* MERGEFORMAT </w:instrText>
        </w:r>
        <w:r>
          <w:fldChar w:fldCharType="separate"/>
        </w:r>
        <w:r w:rsidR="003C76A2">
          <w:rPr>
            <w:noProof/>
          </w:rPr>
          <w:t>6</w:t>
        </w:r>
        <w:r>
          <w:rPr>
            <w:noProof/>
          </w:rPr>
          <w:fldChar w:fldCharType="end"/>
        </w:r>
      </w:p>
    </w:sdtContent>
  </w:sdt>
  <w:p w14:paraId="5D74DEAA" w14:textId="77777777" w:rsidR="000D1A88" w:rsidRDefault="000D1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E8472" w14:textId="77777777" w:rsidR="002D5C04" w:rsidRDefault="002D5C04" w:rsidP="00065623">
      <w:r>
        <w:separator/>
      </w:r>
    </w:p>
  </w:footnote>
  <w:footnote w:type="continuationSeparator" w:id="0">
    <w:p w14:paraId="5D003C41" w14:textId="77777777" w:rsidR="002D5C04" w:rsidRDefault="002D5C04"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1F92980"/>
    <w:multiLevelType w:val="hybridMultilevel"/>
    <w:tmpl w:val="9DD6C9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650263"/>
    <w:multiLevelType w:val="hybridMultilevel"/>
    <w:tmpl w:val="5EA40C78"/>
    <w:lvl w:ilvl="0" w:tplc="C638E278">
      <w:numFmt w:val="bullet"/>
      <w:pStyle w:val="Guidelines"/>
      <w:lvlText w:val="-"/>
      <w:lvlJc w:val="left"/>
      <w:pPr>
        <w:tabs>
          <w:tab w:val="num" w:pos="720"/>
        </w:tabs>
        <w:ind w:left="720" w:hanging="360"/>
      </w:pPr>
      <w:rPr>
        <w:rFonts w:ascii="Times New Roman" w:eastAsia="Times New Roman" w:hAnsi="Times New Roman" w:cs="Times New Roman" w:hint="default"/>
      </w:rPr>
    </w:lvl>
    <w:lvl w:ilvl="1" w:tplc="4446BC16">
      <w:start w:val="1"/>
      <w:numFmt w:val="bullet"/>
      <w:lvlText w:val="o"/>
      <w:lvlJc w:val="left"/>
      <w:pPr>
        <w:tabs>
          <w:tab w:val="num" w:pos="1440"/>
        </w:tabs>
        <w:ind w:left="1440" w:hanging="360"/>
      </w:pPr>
      <w:rPr>
        <w:rFonts w:ascii="Courier New" w:hAnsi="Courier New" w:cs="Courier New" w:hint="default"/>
      </w:rPr>
    </w:lvl>
    <w:lvl w:ilvl="2" w:tplc="1A048B04" w:tentative="1">
      <w:start w:val="1"/>
      <w:numFmt w:val="bullet"/>
      <w:lvlText w:val=""/>
      <w:lvlJc w:val="left"/>
      <w:pPr>
        <w:tabs>
          <w:tab w:val="num" w:pos="2160"/>
        </w:tabs>
        <w:ind w:left="2160" w:hanging="360"/>
      </w:pPr>
      <w:rPr>
        <w:rFonts w:ascii="Wingdings" w:hAnsi="Wingdings"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9">
    <w:nsid w:val="2DE72F8A"/>
    <w:multiLevelType w:val="hybridMultilevel"/>
    <w:tmpl w:val="FE4AF348"/>
    <w:lvl w:ilvl="0" w:tplc="B3E6FCD6">
      <w:start w:val="1"/>
      <w:numFmt w:val="decimal"/>
      <w:lvlText w:val="%1."/>
      <w:lvlJc w:val="left"/>
      <w:pPr>
        <w:ind w:left="144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856DBE"/>
    <w:multiLevelType w:val="hybridMultilevel"/>
    <w:tmpl w:val="C10C90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EB7E3F"/>
    <w:multiLevelType w:val="hybridMultilevel"/>
    <w:tmpl w:val="39141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3E27AE"/>
    <w:multiLevelType w:val="hybridMultilevel"/>
    <w:tmpl w:val="0DAE0E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10C2F5E"/>
    <w:multiLevelType w:val="hybridMultilevel"/>
    <w:tmpl w:val="ECF07B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
  </w:num>
  <w:num w:numId="4">
    <w:abstractNumId w:val="20"/>
  </w:num>
  <w:num w:numId="5">
    <w:abstractNumId w:val="12"/>
  </w:num>
  <w:num w:numId="6">
    <w:abstractNumId w:val="19"/>
  </w:num>
  <w:num w:numId="7">
    <w:abstractNumId w:val="23"/>
  </w:num>
  <w:num w:numId="8">
    <w:abstractNumId w:val="13"/>
  </w:num>
  <w:num w:numId="9">
    <w:abstractNumId w:val="31"/>
  </w:num>
  <w:num w:numId="10">
    <w:abstractNumId w:val="0"/>
  </w:num>
  <w:num w:numId="11">
    <w:abstractNumId w:val="22"/>
  </w:num>
  <w:num w:numId="12">
    <w:abstractNumId w:val="24"/>
  </w:num>
  <w:num w:numId="13">
    <w:abstractNumId w:val="5"/>
  </w:num>
  <w:num w:numId="14">
    <w:abstractNumId w:val="29"/>
  </w:num>
  <w:num w:numId="15">
    <w:abstractNumId w:val="21"/>
  </w:num>
  <w:num w:numId="16">
    <w:abstractNumId w:val="25"/>
  </w:num>
  <w:num w:numId="17">
    <w:abstractNumId w:val="14"/>
  </w:num>
  <w:num w:numId="18">
    <w:abstractNumId w:val="16"/>
  </w:num>
  <w:num w:numId="19">
    <w:abstractNumId w:val="27"/>
  </w:num>
  <w:num w:numId="20">
    <w:abstractNumId w:val="26"/>
  </w:num>
  <w:num w:numId="21">
    <w:abstractNumId w:val="3"/>
  </w:num>
  <w:num w:numId="22">
    <w:abstractNumId w:val="11"/>
  </w:num>
  <w:num w:numId="23">
    <w:abstractNumId w:val="2"/>
  </w:num>
  <w:num w:numId="24">
    <w:abstractNumId w:val="10"/>
  </w:num>
  <w:num w:numId="25">
    <w:abstractNumId w:val="6"/>
  </w:num>
  <w:num w:numId="26">
    <w:abstractNumId w:val="15"/>
  </w:num>
  <w:num w:numId="27">
    <w:abstractNumId w:val="4"/>
  </w:num>
  <w:num w:numId="28">
    <w:abstractNumId w:val="8"/>
  </w:num>
  <w:num w:numId="29">
    <w:abstractNumId w:val="9"/>
  </w:num>
  <w:num w:numId="30">
    <w:abstractNumId w:val="30"/>
  </w:num>
  <w:num w:numId="31">
    <w:abstractNumId w:val="28"/>
  </w:num>
  <w:num w:numId="3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Davey">
    <w15:presenceInfo w15:providerId="None" w15:userId="Peter Dav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6C93"/>
    <w:rsid w:val="00047606"/>
    <w:rsid w:val="00065623"/>
    <w:rsid w:val="00072045"/>
    <w:rsid w:val="000756B9"/>
    <w:rsid w:val="00096B67"/>
    <w:rsid w:val="00096DAF"/>
    <w:rsid w:val="000A1AA3"/>
    <w:rsid w:val="000B6386"/>
    <w:rsid w:val="000C2F47"/>
    <w:rsid w:val="000D1A88"/>
    <w:rsid w:val="000D6C00"/>
    <w:rsid w:val="000E4E04"/>
    <w:rsid w:val="000F14B4"/>
    <w:rsid w:val="000F75DF"/>
    <w:rsid w:val="001328FA"/>
    <w:rsid w:val="00132983"/>
    <w:rsid w:val="00133A05"/>
    <w:rsid w:val="00134D5F"/>
    <w:rsid w:val="00136B45"/>
    <w:rsid w:val="00147AAF"/>
    <w:rsid w:val="001552C0"/>
    <w:rsid w:val="001640B1"/>
    <w:rsid w:val="0018435E"/>
    <w:rsid w:val="00196B2E"/>
    <w:rsid w:val="001A379C"/>
    <w:rsid w:val="001A6EEB"/>
    <w:rsid w:val="001C7D8C"/>
    <w:rsid w:val="001F63C1"/>
    <w:rsid w:val="002041A1"/>
    <w:rsid w:val="002054F0"/>
    <w:rsid w:val="00230D6B"/>
    <w:rsid w:val="00232068"/>
    <w:rsid w:val="002330F2"/>
    <w:rsid w:val="00243D9E"/>
    <w:rsid w:val="00253B66"/>
    <w:rsid w:val="00261DF1"/>
    <w:rsid w:val="00271F18"/>
    <w:rsid w:val="00277914"/>
    <w:rsid w:val="00282779"/>
    <w:rsid w:val="0028334D"/>
    <w:rsid w:val="002B7FFA"/>
    <w:rsid w:val="002C2BCF"/>
    <w:rsid w:val="002C5003"/>
    <w:rsid w:val="002D5C04"/>
    <w:rsid w:val="002F279D"/>
    <w:rsid w:val="002F43B8"/>
    <w:rsid w:val="0031567C"/>
    <w:rsid w:val="003417DB"/>
    <w:rsid w:val="003436FD"/>
    <w:rsid w:val="0034554D"/>
    <w:rsid w:val="00352224"/>
    <w:rsid w:val="003671E6"/>
    <w:rsid w:val="00384272"/>
    <w:rsid w:val="00386D67"/>
    <w:rsid w:val="003945B8"/>
    <w:rsid w:val="003965EB"/>
    <w:rsid w:val="00396A8E"/>
    <w:rsid w:val="003C76A2"/>
    <w:rsid w:val="003D7F29"/>
    <w:rsid w:val="003F2291"/>
    <w:rsid w:val="00405A6B"/>
    <w:rsid w:val="00407B1F"/>
    <w:rsid w:val="00414C57"/>
    <w:rsid w:val="0041758C"/>
    <w:rsid w:val="004539DE"/>
    <w:rsid w:val="00454718"/>
    <w:rsid w:val="00475823"/>
    <w:rsid w:val="004A2CF1"/>
    <w:rsid w:val="004C3035"/>
    <w:rsid w:val="004C307F"/>
    <w:rsid w:val="004E2B2C"/>
    <w:rsid w:val="004E4BA8"/>
    <w:rsid w:val="004F340F"/>
    <w:rsid w:val="004F7B7C"/>
    <w:rsid w:val="0052243D"/>
    <w:rsid w:val="00532435"/>
    <w:rsid w:val="00533A7C"/>
    <w:rsid w:val="00550354"/>
    <w:rsid w:val="00571236"/>
    <w:rsid w:val="0057414E"/>
    <w:rsid w:val="005953A1"/>
    <w:rsid w:val="005C10CE"/>
    <w:rsid w:val="005C410B"/>
    <w:rsid w:val="005D0332"/>
    <w:rsid w:val="005D0D8C"/>
    <w:rsid w:val="00631609"/>
    <w:rsid w:val="006776AE"/>
    <w:rsid w:val="006A0D97"/>
    <w:rsid w:val="006B1F86"/>
    <w:rsid w:val="006B3286"/>
    <w:rsid w:val="006C0A91"/>
    <w:rsid w:val="007054BB"/>
    <w:rsid w:val="00707064"/>
    <w:rsid w:val="00730683"/>
    <w:rsid w:val="00740200"/>
    <w:rsid w:val="0075261F"/>
    <w:rsid w:val="0075468E"/>
    <w:rsid w:val="007665D8"/>
    <w:rsid w:val="00766E36"/>
    <w:rsid w:val="00772898"/>
    <w:rsid w:val="007765F4"/>
    <w:rsid w:val="00776633"/>
    <w:rsid w:val="00784D53"/>
    <w:rsid w:val="0078591D"/>
    <w:rsid w:val="00797797"/>
    <w:rsid w:val="007A3961"/>
    <w:rsid w:val="007A63C9"/>
    <w:rsid w:val="007B32D1"/>
    <w:rsid w:val="007B7095"/>
    <w:rsid w:val="007D24E1"/>
    <w:rsid w:val="007F4CE9"/>
    <w:rsid w:val="007F4E20"/>
    <w:rsid w:val="00822C7E"/>
    <w:rsid w:val="00847060"/>
    <w:rsid w:val="00850B15"/>
    <w:rsid w:val="00856A33"/>
    <w:rsid w:val="0086475A"/>
    <w:rsid w:val="0089034F"/>
    <w:rsid w:val="00892620"/>
    <w:rsid w:val="008C7D37"/>
    <w:rsid w:val="008D5885"/>
    <w:rsid w:val="00923FA2"/>
    <w:rsid w:val="00930BFE"/>
    <w:rsid w:val="00955AF9"/>
    <w:rsid w:val="0096060D"/>
    <w:rsid w:val="00964F40"/>
    <w:rsid w:val="00970C1B"/>
    <w:rsid w:val="00974A50"/>
    <w:rsid w:val="0097585A"/>
    <w:rsid w:val="009924B0"/>
    <w:rsid w:val="009942C9"/>
    <w:rsid w:val="009B35C4"/>
    <w:rsid w:val="009C630A"/>
    <w:rsid w:val="009E0D98"/>
    <w:rsid w:val="009E3EF7"/>
    <w:rsid w:val="00A068A1"/>
    <w:rsid w:val="00A1207D"/>
    <w:rsid w:val="00A12FD8"/>
    <w:rsid w:val="00A346FC"/>
    <w:rsid w:val="00A84F93"/>
    <w:rsid w:val="00AB1AC5"/>
    <w:rsid w:val="00AB3BFC"/>
    <w:rsid w:val="00AC4F2E"/>
    <w:rsid w:val="00AC6BF5"/>
    <w:rsid w:val="00AD0C37"/>
    <w:rsid w:val="00AD385F"/>
    <w:rsid w:val="00AE6E2A"/>
    <w:rsid w:val="00B07DD9"/>
    <w:rsid w:val="00B31E9C"/>
    <w:rsid w:val="00B32911"/>
    <w:rsid w:val="00B35595"/>
    <w:rsid w:val="00B51C6D"/>
    <w:rsid w:val="00B5322E"/>
    <w:rsid w:val="00B86D64"/>
    <w:rsid w:val="00BA4AC5"/>
    <w:rsid w:val="00BA7F70"/>
    <w:rsid w:val="00BC1364"/>
    <w:rsid w:val="00BC7DE9"/>
    <w:rsid w:val="00BF479B"/>
    <w:rsid w:val="00C02577"/>
    <w:rsid w:val="00C204FB"/>
    <w:rsid w:val="00C20BEE"/>
    <w:rsid w:val="00C2158D"/>
    <w:rsid w:val="00C67DD2"/>
    <w:rsid w:val="00C725CB"/>
    <w:rsid w:val="00C74D4F"/>
    <w:rsid w:val="00C76F5C"/>
    <w:rsid w:val="00C96BAD"/>
    <w:rsid w:val="00CA6944"/>
    <w:rsid w:val="00CB0F8E"/>
    <w:rsid w:val="00CB7E7D"/>
    <w:rsid w:val="00CC2911"/>
    <w:rsid w:val="00CC725D"/>
    <w:rsid w:val="00CD14F8"/>
    <w:rsid w:val="00CF0C6D"/>
    <w:rsid w:val="00CF7307"/>
    <w:rsid w:val="00CF7C68"/>
    <w:rsid w:val="00D124FA"/>
    <w:rsid w:val="00D3123A"/>
    <w:rsid w:val="00D340DE"/>
    <w:rsid w:val="00D46FF4"/>
    <w:rsid w:val="00D55723"/>
    <w:rsid w:val="00D62FAD"/>
    <w:rsid w:val="00D70450"/>
    <w:rsid w:val="00D73FE7"/>
    <w:rsid w:val="00D83BFD"/>
    <w:rsid w:val="00D90A38"/>
    <w:rsid w:val="00D943A0"/>
    <w:rsid w:val="00DA0515"/>
    <w:rsid w:val="00DA171E"/>
    <w:rsid w:val="00DA56AA"/>
    <w:rsid w:val="00DB5833"/>
    <w:rsid w:val="00DB5D42"/>
    <w:rsid w:val="00DD2858"/>
    <w:rsid w:val="00E02F83"/>
    <w:rsid w:val="00E03E33"/>
    <w:rsid w:val="00E260C6"/>
    <w:rsid w:val="00E3642A"/>
    <w:rsid w:val="00E415C4"/>
    <w:rsid w:val="00E45671"/>
    <w:rsid w:val="00E50016"/>
    <w:rsid w:val="00E50EAA"/>
    <w:rsid w:val="00E656D6"/>
    <w:rsid w:val="00E92BCA"/>
    <w:rsid w:val="00E977EE"/>
    <w:rsid w:val="00EA67A2"/>
    <w:rsid w:val="00EA761E"/>
    <w:rsid w:val="00EC109A"/>
    <w:rsid w:val="00EC4F98"/>
    <w:rsid w:val="00EE46E4"/>
    <w:rsid w:val="00EF0989"/>
    <w:rsid w:val="00F12F02"/>
    <w:rsid w:val="00F1776F"/>
    <w:rsid w:val="00F32E0D"/>
    <w:rsid w:val="00F35134"/>
    <w:rsid w:val="00F41812"/>
    <w:rsid w:val="00F6000E"/>
    <w:rsid w:val="00F73333"/>
    <w:rsid w:val="00F95D8F"/>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AD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Styl moj Char,Akapit z listą1 Char,Akapit z listą11 Char"/>
    <w:basedOn w:val="DefaultParagraphFont"/>
    <w:link w:val="ListParagraph"/>
    <w:uiPriority w:val="34"/>
    <w:rsid w:val="00396A8E"/>
    <w:rPr>
      <w:rFonts w:eastAsia="Times New Roman"/>
      <w:sz w:val="24"/>
      <w:szCs w:val="20"/>
    </w:rPr>
  </w:style>
  <w:style w:type="table" w:styleId="TableGrid">
    <w:name w:val="Table Grid"/>
    <w:basedOn w:val="TableNormal"/>
    <w:uiPriority w:val="39"/>
    <w:locked/>
    <w:rsid w:val="00DB5D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DB5D42"/>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DB5D42"/>
    <w:rPr>
      <w:rFonts w:ascii="Arial Narrow" w:eastAsia="Times New Roman" w:hAnsi="Arial Narrow" w:cs="Arial"/>
      <w:sz w:val="20"/>
      <w:szCs w:val="20"/>
      <w:lang w:eastAsia="en-US"/>
    </w:rPr>
  </w:style>
  <w:style w:type="paragraph" w:customStyle="1" w:styleId="Tabletext">
    <w:name w:val="Table text"/>
    <w:basedOn w:val="Normal"/>
    <w:link w:val="TabletextChar"/>
    <w:qFormat/>
    <w:rsid w:val="00DB5D42"/>
    <w:pPr>
      <w:spacing w:before="40" w:after="40"/>
    </w:pPr>
    <w:rPr>
      <w:rFonts w:ascii="Arial Narrow" w:hAnsi="Arial Narrow" w:cs="Tahoma"/>
      <w:sz w:val="20"/>
    </w:rPr>
  </w:style>
  <w:style w:type="character" w:customStyle="1" w:styleId="TabletextChar">
    <w:name w:val="Table text Char"/>
    <w:link w:val="Tabletext"/>
    <w:rsid w:val="00DB5D42"/>
    <w:rPr>
      <w:rFonts w:ascii="Arial Narrow" w:eastAsia="Times New Roman" w:hAnsi="Arial Narrow" w:cs="Tahoma"/>
      <w:sz w:val="20"/>
      <w:szCs w:val="20"/>
    </w:rPr>
  </w:style>
  <w:style w:type="paragraph" w:customStyle="1" w:styleId="Guidelines">
    <w:name w:val="Guidelines"/>
    <w:basedOn w:val="Normal"/>
    <w:qFormat/>
    <w:rsid w:val="00DB5D42"/>
    <w:pPr>
      <w:numPr>
        <w:numId w:val="28"/>
      </w:numPr>
      <w:tabs>
        <w:tab w:val="clear" w:pos="720"/>
        <w:tab w:val="num" w:pos="1080"/>
      </w:tabs>
      <w:jc w:val="both"/>
    </w:pPr>
    <w:rPr>
      <w:rFonts w:ascii="Garamond" w:hAnsi="Garamond"/>
      <w:color w:val="548DD4" w:themeColor="text2" w:themeTint="99"/>
      <w:szCs w:val="24"/>
      <w:lang w:eastAsia="en-US"/>
    </w:rPr>
  </w:style>
  <w:style w:type="paragraph" w:customStyle="1" w:styleId="Comment">
    <w:name w:val="Comment"/>
    <w:basedOn w:val="Guidelines"/>
    <w:link w:val="CommentChar"/>
    <w:qFormat/>
    <w:rsid w:val="00DB5D42"/>
    <w:rPr>
      <w:i/>
    </w:rPr>
  </w:style>
  <w:style w:type="character" w:customStyle="1" w:styleId="CommentChar">
    <w:name w:val="Comment Char"/>
    <w:basedOn w:val="DefaultParagraphFont"/>
    <w:link w:val="Comment"/>
    <w:rsid w:val="00DB5D42"/>
    <w:rPr>
      <w:rFonts w:ascii="Garamond" w:eastAsia="Times New Roman" w:hAnsi="Garamond"/>
      <w:i/>
      <w:color w:val="548DD4" w:themeColor="text2" w:themeTint="99"/>
      <w:sz w:val="24"/>
      <w:szCs w:val="24"/>
      <w:lang w:eastAsia="en-US"/>
    </w:rPr>
  </w:style>
  <w:style w:type="paragraph" w:customStyle="1" w:styleId="Tabletextboldleft">
    <w:name w:val="Table text bold left"/>
    <w:basedOn w:val="Normal"/>
    <w:link w:val="TabletextboldleftChar"/>
    <w:qFormat/>
    <w:rsid w:val="00DB5D42"/>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DB5D42"/>
    <w:rPr>
      <w:rFonts w:ascii="Arial Narrow" w:eastAsia="Times New Roman" w:hAnsi="Arial Narrow" w:cs="Arial"/>
      <w:b/>
      <w:sz w:val="20"/>
      <w:szCs w:val="20"/>
      <w:lang w:eastAsia="en-US"/>
    </w:rPr>
  </w:style>
  <w:style w:type="paragraph" w:customStyle="1" w:styleId="Tabletextbold">
    <w:name w:val="Table text bold"/>
    <w:basedOn w:val="Normal"/>
    <w:link w:val="TabletextboldChar"/>
    <w:qFormat/>
    <w:rsid w:val="00DB5D42"/>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DB5D42"/>
    <w:rPr>
      <w:rFonts w:ascii="Arial Narrow" w:eastAsia="Times New Roman" w:hAnsi="Arial Narrow" w:cs="Arial"/>
      <w:b/>
      <w:sz w:val="20"/>
      <w:szCs w:val="20"/>
      <w:lang w:eastAsia="en-US"/>
    </w:rPr>
  </w:style>
  <w:style w:type="paragraph" w:customStyle="1" w:styleId="Tabletextcentred">
    <w:name w:val="Table text centred"/>
    <w:basedOn w:val="Tabletext"/>
    <w:link w:val="TabletextcentredChar"/>
    <w:qFormat/>
    <w:rsid w:val="00DB5D42"/>
    <w:pPr>
      <w:spacing w:before="0" w:after="0"/>
      <w:jc w:val="center"/>
    </w:pPr>
    <w:rPr>
      <w:szCs w:val="24"/>
      <w:lang w:eastAsia="en-US"/>
    </w:rPr>
  </w:style>
  <w:style w:type="character" w:customStyle="1" w:styleId="TabletextcentredChar">
    <w:name w:val="Table text centred Char"/>
    <w:basedOn w:val="TabletextChar"/>
    <w:link w:val="Tabletextcentred"/>
    <w:rsid w:val="00DB5D42"/>
    <w:rPr>
      <w:rFonts w:ascii="Arial Narrow" w:eastAsia="Times New Roman" w:hAnsi="Arial Narrow" w:cs="Tahoma"/>
      <w:sz w:val="20"/>
      <w:szCs w:val="24"/>
      <w:lang w:eastAsia="en-US"/>
    </w:rPr>
  </w:style>
  <w:style w:type="table" w:customStyle="1" w:styleId="TableGrid1">
    <w:name w:val="Table Grid1"/>
    <w:basedOn w:val="TableNormal"/>
    <w:next w:val="TableGrid"/>
    <w:rsid w:val="00DB5D42"/>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styleId="PlainText">
    <w:name w:val="Plain Text"/>
    <w:basedOn w:val="Normal"/>
    <w:link w:val="PlainTextChar"/>
    <w:uiPriority w:val="99"/>
    <w:semiHidden/>
    <w:unhideWhenUsed/>
    <w:rsid w:val="001C7D8C"/>
    <w:rPr>
      <w:rFonts w:ascii="Calibri" w:hAnsi="Calibri"/>
      <w:sz w:val="22"/>
      <w:szCs w:val="21"/>
      <w:lang w:eastAsia="en-US"/>
    </w:rPr>
  </w:style>
  <w:style w:type="character" w:customStyle="1" w:styleId="PlainTextChar">
    <w:name w:val="Plain Text Char"/>
    <w:basedOn w:val="DefaultParagraphFont"/>
    <w:link w:val="PlainText"/>
    <w:uiPriority w:val="99"/>
    <w:semiHidden/>
    <w:rsid w:val="001C7D8C"/>
    <w:rPr>
      <w:rFonts w:ascii="Calibri" w:eastAsia="Times New Roman"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Styl moj Char,Akapit z listą1 Char,Akapit z listą11 Char"/>
    <w:basedOn w:val="DefaultParagraphFont"/>
    <w:link w:val="ListParagraph"/>
    <w:uiPriority w:val="34"/>
    <w:rsid w:val="00396A8E"/>
    <w:rPr>
      <w:rFonts w:eastAsia="Times New Roman"/>
      <w:sz w:val="24"/>
      <w:szCs w:val="20"/>
    </w:rPr>
  </w:style>
  <w:style w:type="table" w:styleId="TableGrid">
    <w:name w:val="Table Grid"/>
    <w:basedOn w:val="TableNormal"/>
    <w:uiPriority w:val="39"/>
    <w:locked/>
    <w:rsid w:val="00DB5D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DB5D42"/>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DB5D42"/>
    <w:rPr>
      <w:rFonts w:ascii="Arial Narrow" w:eastAsia="Times New Roman" w:hAnsi="Arial Narrow" w:cs="Arial"/>
      <w:sz w:val="20"/>
      <w:szCs w:val="20"/>
      <w:lang w:eastAsia="en-US"/>
    </w:rPr>
  </w:style>
  <w:style w:type="paragraph" w:customStyle="1" w:styleId="Tabletext">
    <w:name w:val="Table text"/>
    <w:basedOn w:val="Normal"/>
    <w:link w:val="TabletextChar"/>
    <w:qFormat/>
    <w:rsid w:val="00DB5D42"/>
    <w:pPr>
      <w:spacing w:before="40" w:after="40"/>
    </w:pPr>
    <w:rPr>
      <w:rFonts w:ascii="Arial Narrow" w:hAnsi="Arial Narrow" w:cs="Tahoma"/>
      <w:sz w:val="20"/>
    </w:rPr>
  </w:style>
  <w:style w:type="character" w:customStyle="1" w:styleId="TabletextChar">
    <w:name w:val="Table text Char"/>
    <w:link w:val="Tabletext"/>
    <w:rsid w:val="00DB5D42"/>
    <w:rPr>
      <w:rFonts w:ascii="Arial Narrow" w:eastAsia="Times New Roman" w:hAnsi="Arial Narrow" w:cs="Tahoma"/>
      <w:sz w:val="20"/>
      <w:szCs w:val="20"/>
    </w:rPr>
  </w:style>
  <w:style w:type="paragraph" w:customStyle="1" w:styleId="Guidelines">
    <w:name w:val="Guidelines"/>
    <w:basedOn w:val="Normal"/>
    <w:qFormat/>
    <w:rsid w:val="00DB5D42"/>
    <w:pPr>
      <w:numPr>
        <w:numId w:val="28"/>
      </w:numPr>
      <w:tabs>
        <w:tab w:val="clear" w:pos="720"/>
        <w:tab w:val="num" w:pos="1080"/>
      </w:tabs>
      <w:jc w:val="both"/>
    </w:pPr>
    <w:rPr>
      <w:rFonts w:ascii="Garamond" w:hAnsi="Garamond"/>
      <w:color w:val="548DD4" w:themeColor="text2" w:themeTint="99"/>
      <w:szCs w:val="24"/>
      <w:lang w:eastAsia="en-US"/>
    </w:rPr>
  </w:style>
  <w:style w:type="paragraph" w:customStyle="1" w:styleId="Comment">
    <w:name w:val="Comment"/>
    <w:basedOn w:val="Guidelines"/>
    <w:link w:val="CommentChar"/>
    <w:qFormat/>
    <w:rsid w:val="00DB5D42"/>
    <w:rPr>
      <w:i/>
    </w:rPr>
  </w:style>
  <w:style w:type="character" w:customStyle="1" w:styleId="CommentChar">
    <w:name w:val="Comment Char"/>
    <w:basedOn w:val="DefaultParagraphFont"/>
    <w:link w:val="Comment"/>
    <w:rsid w:val="00DB5D42"/>
    <w:rPr>
      <w:rFonts w:ascii="Garamond" w:eastAsia="Times New Roman" w:hAnsi="Garamond"/>
      <w:i/>
      <w:color w:val="548DD4" w:themeColor="text2" w:themeTint="99"/>
      <w:sz w:val="24"/>
      <w:szCs w:val="24"/>
      <w:lang w:eastAsia="en-US"/>
    </w:rPr>
  </w:style>
  <w:style w:type="paragraph" w:customStyle="1" w:styleId="Tabletextboldleft">
    <w:name w:val="Table text bold left"/>
    <w:basedOn w:val="Normal"/>
    <w:link w:val="TabletextboldleftChar"/>
    <w:qFormat/>
    <w:rsid w:val="00DB5D42"/>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DB5D42"/>
    <w:rPr>
      <w:rFonts w:ascii="Arial Narrow" w:eastAsia="Times New Roman" w:hAnsi="Arial Narrow" w:cs="Arial"/>
      <w:b/>
      <w:sz w:val="20"/>
      <w:szCs w:val="20"/>
      <w:lang w:eastAsia="en-US"/>
    </w:rPr>
  </w:style>
  <w:style w:type="paragraph" w:customStyle="1" w:styleId="Tabletextbold">
    <w:name w:val="Table text bold"/>
    <w:basedOn w:val="Normal"/>
    <w:link w:val="TabletextboldChar"/>
    <w:qFormat/>
    <w:rsid w:val="00DB5D42"/>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DB5D42"/>
    <w:rPr>
      <w:rFonts w:ascii="Arial Narrow" w:eastAsia="Times New Roman" w:hAnsi="Arial Narrow" w:cs="Arial"/>
      <w:b/>
      <w:sz w:val="20"/>
      <w:szCs w:val="20"/>
      <w:lang w:eastAsia="en-US"/>
    </w:rPr>
  </w:style>
  <w:style w:type="paragraph" w:customStyle="1" w:styleId="Tabletextcentred">
    <w:name w:val="Table text centred"/>
    <w:basedOn w:val="Tabletext"/>
    <w:link w:val="TabletextcentredChar"/>
    <w:qFormat/>
    <w:rsid w:val="00DB5D42"/>
    <w:pPr>
      <w:spacing w:before="0" w:after="0"/>
      <w:jc w:val="center"/>
    </w:pPr>
    <w:rPr>
      <w:szCs w:val="24"/>
      <w:lang w:eastAsia="en-US"/>
    </w:rPr>
  </w:style>
  <w:style w:type="character" w:customStyle="1" w:styleId="TabletextcentredChar">
    <w:name w:val="Table text centred Char"/>
    <w:basedOn w:val="TabletextChar"/>
    <w:link w:val="Tabletextcentred"/>
    <w:rsid w:val="00DB5D42"/>
    <w:rPr>
      <w:rFonts w:ascii="Arial Narrow" w:eastAsia="Times New Roman" w:hAnsi="Arial Narrow" w:cs="Tahoma"/>
      <w:sz w:val="20"/>
      <w:szCs w:val="24"/>
      <w:lang w:eastAsia="en-US"/>
    </w:rPr>
  </w:style>
  <w:style w:type="table" w:customStyle="1" w:styleId="TableGrid1">
    <w:name w:val="Table Grid1"/>
    <w:basedOn w:val="TableNormal"/>
    <w:next w:val="TableGrid"/>
    <w:rsid w:val="00DB5D42"/>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styleId="PlainText">
    <w:name w:val="Plain Text"/>
    <w:basedOn w:val="Normal"/>
    <w:link w:val="PlainTextChar"/>
    <w:uiPriority w:val="99"/>
    <w:semiHidden/>
    <w:unhideWhenUsed/>
    <w:rsid w:val="001C7D8C"/>
    <w:rPr>
      <w:rFonts w:ascii="Calibri" w:hAnsi="Calibri"/>
      <w:sz w:val="22"/>
      <w:szCs w:val="21"/>
      <w:lang w:eastAsia="en-US"/>
    </w:rPr>
  </w:style>
  <w:style w:type="character" w:customStyle="1" w:styleId="PlainTextChar">
    <w:name w:val="Plain Text Char"/>
    <w:basedOn w:val="DefaultParagraphFont"/>
    <w:link w:val="PlainText"/>
    <w:uiPriority w:val="99"/>
    <w:semiHidden/>
    <w:rsid w:val="001C7D8C"/>
    <w:rPr>
      <w:rFonts w:ascii="Calibri" w:eastAsia="Times New Roman"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6254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10</cp:revision>
  <cp:lastPrinted>2015-09-03T06:13:00Z</cp:lastPrinted>
  <dcterms:created xsi:type="dcterms:W3CDTF">2015-11-09T22:41:00Z</dcterms:created>
  <dcterms:modified xsi:type="dcterms:W3CDTF">2015-11-11T02:38:00Z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