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8931" w:type="dxa"/>
        <w:tblLayout w:type="fixed"/>
        <w:tblCellMar>
          <w:left w:w="0" w:type="dxa"/>
          <w:right w:w="0" w:type="dxa"/>
        </w:tblCellMar>
        <w:tblLook w:val="0000" w:firstRow="0" w:lastRow="0" w:firstColumn="0" w:lastColumn="0" w:noHBand="0" w:noVBand="0"/>
        <w:tblDescription w:val="Title page. Rapid point-of-care combined Antigen/Antibody HIV test to aid in the diagnosis of HIV infection "/>
      </w:tblPr>
      <w:tblGrid>
        <w:gridCol w:w="4253"/>
        <w:gridCol w:w="4678"/>
      </w:tblGrid>
      <w:tr w:rsidR="008F59A8" w:rsidRPr="004C6B15">
        <w:trPr>
          <w:cantSplit/>
          <w:trHeight w:hRule="exact" w:val="3969"/>
        </w:trPr>
        <w:tc>
          <w:tcPr>
            <w:tcW w:w="4253" w:type="dxa"/>
            <w:shd w:val="clear" w:color="auto" w:fill="auto"/>
            <w:vAlign w:val="bottom"/>
          </w:tcPr>
          <w:p w:rsidR="008F59A8" w:rsidRPr="009E5C5B" w:rsidRDefault="008F59A8" w:rsidP="009E5C5B">
            <w:pPr>
              <w:pStyle w:val="TOC9"/>
            </w:pPr>
          </w:p>
        </w:tc>
        <w:tc>
          <w:tcPr>
            <w:tcW w:w="4678" w:type="dxa"/>
            <w:shd w:val="clear" w:color="auto" w:fill="auto"/>
            <w:vAlign w:val="bottom"/>
          </w:tcPr>
          <w:p w:rsidR="008F59A8" w:rsidRPr="004C6B15" w:rsidRDefault="005B7B4A" w:rsidP="005B7B4A">
            <w:pPr>
              <w:pStyle w:val="PublicationTitle"/>
            </w:pPr>
            <w:r>
              <w:t>Rapid point-of-care combined Antigen/</w:t>
            </w:r>
            <w:r>
              <w:rPr>
                <w:caps/>
              </w:rPr>
              <w:t>a</w:t>
            </w:r>
            <w:r>
              <w:t>ntibody</w:t>
            </w:r>
            <w:r>
              <w:rPr>
                <w:caps/>
              </w:rPr>
              <w:t xml:space="preserve"> </w:t>
            </w:r>
            <w:r>
              <w:t xml:space="preserve">HIV test to aid in the diagnosis of HIV infection </w:t>
            </w:r>
          </w:p>
        </w:tc>
      </w:tr>
      <w:tr w:rsidR="008F59A8" w:rsidRPr="004C6B15">
        <w:trPr>
          <w:cantSplit/>
          <w:trHeight w:hRule="exact" w:val="2132"/>
        </w:trPr>
        <w:tc>
          <w:tcPr>
            <w:tcW w:w="4253" w:type="dxa"/>
            <w:shd w:val="clear" w:color="auto" w:fill="auto"/>
            <w:vAlign w:val="center"/>
          </w:tcPr>
          <w:p w:rsidR="008F59A8" w:rsidRPr="004C6B15" w:rsidRDefault="008F59A8">
            <w:pPr>
              <w:pStyle w:val="Date"/>
            </w:pPr>
          </w:p>
        </w:tc>
        <w:tc>
          <w:tcPr>
            <w:tcW w:w="4678" w:type="dxa"/>
            <w:shd w:val="clear" w:color="auto" w:fill="auto"/>
            <w:vAlign w:val="center"/>
          </w:tcPr>
          <w:p w:rsidR="008F59A8" w:rsidRPr="00CB20DE" w:rsidRDefault="001A4F18">
            <w:pPr>
              <w:pStyle w:val="Date"/>
              <w:rPr>
                <w:rFonts w:cs="Arial"/>
              </w:rPr>
            </w:pPr>
            <w:r>
              <w:rPr>
                <w:rFonts w:cs="Arial"/>
              </w:rPr>
              <w:t>June 2015</w:t>
            </w:r>
            <w:r w:rsidR="0032483C">
              <w:rPr>
                <w:rFonts w:cs="Arial"/>
              </w:rPr>
              <w:t xml:space="preserve"> </w:t>
            </w:r>
          </w:p>
        </w:tc>
      </w:tr>
      <w:tr w:rsidR="008F59A8" w:rsidRPr="00E97600">
        <w:trPr>
          <w:cantSplit/>
          <w:trHeight w:hRule="exact" w:val="2543"/>
        </w:trPr>
        <w:tc>
          <w:tcPr>
            <w:tcW w:w="4253" w:type="dxa"/>
            <w:shd w:val="clear" w:color="auto" w:fill="auto"/>
          </w:tcPr>
          <w:p w:rsidR="008F59A8" w:rsidRPr="004C6B15" w:rsidRDefault="008F59A8"/>
        </w:tc>
        <w:tc>
          <w:tcPr>
            <w:tcW w:w="4678" w:type="dxa"/>
            <w:shd w:val="clear" w:color="auto" w:fill="auto"/>
          </w:tcPr>
          <w:p w:rsidR="008F59A8" w:rsidRPr="00E97600" w:rsidRDefault="008F59A8">
            <w:pPr>
              <w:ind w:right="113"/>
              <w:jc w:val="right"/>
              <w:rPr>
                <w:i/>
                <w:highlight w:val="yellow"/>
              </w:rPr>
            </w:pPr>
          </w:p>
        </w:tc>
      </w:tr>
      <w:tr w:rsidR="008F59A8" w:rsidRPr="004C6B15">
        <w:trPr>
          <w:cantSplit/>
          <w:trHeight w:hRule="exact" w:val="4536"/>
        </w:trPr>
        <w:tc>
          <w:tcPr>
            <w:tcW w:w="4253" w:type="dxa"/>
            <w:shd w:val="clear" w:color="auto" w:fill="auto"/>
          </w:tcPr>
          <w:p w:rsidR="008F59A8" w:rsidRPr="004C6B15" w:rsidRDefault="008F59A8">
            <w:pPr>
              <w:pStyle w:val="Sub-title"/>
            </w:pPr>
          </w:p>
        </w:tc>
        <w:tc>
          <w:tcPr>
            <w:tcW w:w="4678" w:type="dxa"/>
            <w:shd w:val="clear" w:color="auto" w:fill="auto"/>
          </w:tcPr>
          <w:p w:rsidR="00CC192C" w:rsidRDefault="008F59A8" w:rsidP="00CC192C">
            <w:pPr>
              <w:pStyle w:val="Sub-title"/>
              <w:rPr>
                <w:b w:val="0"/>
              </w:rPr>
            </w:pPr>
            <w:r w:rsidRPr="004C6B15">
              <w:rPr>
                <w:b w:val="0"/>
              </w:rPr>
              <w:t xml:space="preserve">MSAC application </w:t>
            </w:r>
            <w:r w:rsidR="001C3A68">
              <w:rPr>
                <w:b w:val="0"/>
              </w:rPr>
              <w:t xml:space="preserve">no </w:t>
            </w:r>
            <w:r w:rsidR="005B7B4A">
              <w:rPr>
                <w:b w:val="0"/>
              </w:rPr>
              <w:t>1391</w:t>
            </w:r>
          </w:p>
          <w:p w:rsidR="008F59A8" w:rsidRPr="00A9202C" w:rsidRDefault="00CC192C" w:rsidP="00CC192C">
            <w:pPr>
              <w:pStyle w:val="Sub-title"/>
              <w:rPr>
                <w:b w:val="0"/>
              </w:rPr>
            </w:pPr>
            <w:r>
              <w:tab/>
            </w:r>
            <w:r>
              <w:tab/>
            </w:r>
            <w:r w:rsidR="008F59A8" w:rsidRPr="004C6B15">
              <w:t>Assessment report</w:t>
            </w:r>
          </w:p>
        </w:tc>
      </w:tr>
    </w:tbl>
    <w:p w:rsidR="008F59A8" w:rsidRPr="004C6B15" w:rsidRDefault="008F59A8"/>
    <w:p w:rsidR="0003725D" w:rsidRPr="00CC3F36" w:rsidRDefault="008F59A8" w:rsidP="0003725D">
      <w:pPr>
        <w:rPr>
          <w:b/>
          <w:sz w:val="20"/>
        </w:rPr>
      </w:pPr>
      <w:r w:rsidRPr="004C6B15">
        <w:br w:type="page"/>
      </w:r>
      <w:r w:rsidR="0003725D" w:rsidRPr="00CC3F36">
        <w:rPr>
          <w:b/>
          <w:sz w:val="20"/>
        </w:rPr>
        <w:lastRenderedPageBreak/>
        <w:t>© Commonwealth of Australia [Year]</w:t>
      </w:r>
    </w:p>
    <w:p w:rsidR="0003725D" w:rsidRPr="00CC3F36" w:rsidRDefault="0003725D" w:rsidP="0003725D">
      <w:pPr>
        <w:pStyle w:val="CommentText"/>
        <w:spacing w:after="120"/>
        <w:rPr>
          <w:b/>
          <w:i/>
        </w:rPr>
      </w:pPr>
      <w:r w:rsidRPr="00CC3F36">
        <w:rPr>
          <w:b/>
        </w:rPr>
        <w:t>ISBN (Print</w:t>
      </w:r>
      <w:proofErr w:type="gramStart"/>
      <w:r w:rsidRPr="00CC3F36">
        <w:rPr>
          <w:b/>
        </w:rPr>
        <w:t>)</w:t>
      </w:r>
      <w:r w:rsidRPr="00CC3F36">
        <w:rPr>
          <w:b/>
          <w:i/>
        </w:rPr>
        <w:t>&lt;</w:t>
      </w:r>
      <w:proofErr w:type="gramEnd"/>
      <w:r w:rsidRPr="00CC3F36">
        <w:rPr>
          <w:b/>
          <w:i/>
        </w:rPr>
        <w:t xml:space="preserve">number&gt;  </w:t>
      </w:r>
    </w:p>
    <w:p w:rsidR="0003725D" w:rsidRPr="00CC3F36" w:rsidRDefault="0003725D" w:rsidP="0003725D">
      <w:pPr>
        <w:pStyle w:val="CommentText"/>
        <w:rPr>
          <w:b/>
          <w:i/>
        </w:rPr>
      </w:pPr>
      <w:r w:rsidRPr="00CC3F36">
        <w:rPr>
          <w:b/>
        </w:rPr>
        <w:t xml:space="preserve">ISBN (Online) </w:t>
      </w:r>
      <w:r w:rsidRPr="00CC3F36">
        <w:rPr>
          <w:b/>
          <w:i/>
        </w:rPr>
        <w:t xml:space="preserve">&lt;number&gt;  </w:t>
      </w:r>
    </w:p>
    <w:p w:rsidR="00846D79" w:rsidRPr="00846D79" w:rsidRDefault="0003725D" w:rsidP="00846D79">
      <w:pPr>
        <w:rPr>
          <w:b/>
          <w:bCs/>
          <w:sz w:val="20"/>
        </w:rPr>
      </w:pPr>
      <w:r w:rsidRPr="00CC3F36">
        <w:rPr>
          <w:b/>
          <w:bCs/>
          <w:sz w:val="20"/>
        </w:rPr>
        <w:t>Internet sites</w:t>
      </w:r>
    </w:p>
    <w:p w:rsidR="0003725D" w:rsidRPr="00846D79" w:rsidRDefault="0003725D" w:rsidP="00846D79">
      <w:pPr>
        <w:rPr>
          <w:sz w:val="20"/>
        </w:rPr>
      </w:pPr>
      <w:r w:rsidRPr="00CC3F36">
        <w:rPr>
          <w:sz w:val="20"/>
        </w:rPr>
        <w:t>© Commonwealth of Australia 20</w:t>
      </w:r>
      <w:r>
        <w:rPr>
          <w:sz w:val="20"/>
        </w:rPr>
        <w:t>14</w:t>
      </w:r>
      <w:r w:rsidRPr="00CC3F36">
        <w:rPr>
          <w:sz w:val="20"/>
        </w:rPr>
        <w:br/>
      </w:r>
      <w:proofErr w:type="gramStart"/>
      <w:r w:rsidRPr="00CC3F36">
        <w:rPr>
          <w:sz w:val="20"/>
        </w:rPr>
        <w:t>This</w:t>
      </w:r>
      <w:proofErr w:type="gramEnd"/>
      <w:r w:rsidRPr="00CC3F36">
        <w:rPr>
          <w:sz w:val="20"/>
        </w:rPr>
        <w:t xml:space="preserve"> work is copyright. You may download, display, print and reproduce this material in unaltered form only</w:t>
      </w:r>
      <w:r>
        <w:rPr>
          <w:sz w:val="20"/>
        </w:rPr>
        <w:t xml:space="preserve"> </w:t>
      </w:r>
      <w:r w:rsidRPr="00CC3F36">
        <w:rPr>
          <w:sz w:val="20"/>
        </w:rPr>
        <w:t>(retaining this notice) for your personal, non-commercial use or use within your organisation. Apart from any use as</w:t>
      </w:r>
      <w:r>
        <w:rPr>
          <w:sz w:val="20"/>
        </w:rPr>
        <w:t xml:space="preserve"> </w:t>
      </w:r>
      <w:r w:rsidRPr="00CC3F36">
        <w:rPr>
          <w:sz w:val="20"/>
        </w:rPr>
        <w:t xml:space="preserve">permitted under the </w:t>
      </w:r>
      <w:r w:rsidRPr="00A33114">
        <w:rPr>
          <w:i/>
          <w:iCs/>
          <w:sz w:val="20"/>
        </w:rPr>
        <w:t>Copyright Act 1968</w:t>
      </w:r>
      <w:r w:rsidRPr="00CC3F36">
        <w:rPr>
          <w:sz w:val="20"/>
        </w:rPr>
        <w:t>, all other rights are reserved. Requests and inquiries concerning reproduction</w:t>
      </w:r>
      <w:r>
        <w:rPr>
          <w:sz w:val="20"/>
        </w:rPr>
        <w:t xml:space="preserve"> </w:t>
      </w:r>
      <w:r w:rsidRPr="00CC3F36">
        <w:rPr>
          <w:sz w:val="20"/>
        </w:rPr>
        <w:t>and rights should be addressed to Commonwealth Copyright Administration, Attorney-General's Department,</w:t>
      </w:r>
      <w:r>
        <w:rPr>
          <w:sz w:val="20"/>
        </w:rPr>
        <w:t xml:space="preserve"> </w:t>
      </w:r>
      <w:r w:rsidRPr="00CC3F36">
        <w:rPr>
          <w:sz w:val="20"/>
        </w:rPr>
        <w:t>Robert Garran Offices, National Circuit, Barton ACT 2600 or posted at http://www.ag.gov.au/cca</w:t>
      </w:r>
    </w:p>
    <w:p w:rsidR="0003725D" w:rsidRPr="00CC3F36" w:rsidRDefault="0003725D" w:rsidP="0003725D">
      <w:pPr>
        <w:rPr>
          <w:sz w:val="20"/>
        </w:rPr>
      </w:pPr>
      <w:r w:rsidRPr="00CC3F36">
        <w:rPr>
          <w:sz w:val="20"/>
        </w:rPr>
        <w:t>Electronic copies of the report can be obtained from the Medical Service Advisory Committee’s Internet site at http://www.msac.gov.au/</w:t>
      </w:r>
    </w:p>
    <w:p w:rsidR="0003725D" w:rsidRPr="00A33114" w:rsidRDefault="0003725D" w:rsidP="0003725D">
      <w:pPr>
        <w:rPr>
          <w:sz w:val="20"/>
        </w:rPr>
      </w:pPr>
      <w:r w:rsidRPr="00A33114">
        <w:rPr>
          <w:sz w:val="20"/>
        </w:rPr>
        <w:t>Enquiries about the content of the report should be directed to the above address.</w:t>
      </w:r>
    </w:p>
    <w:p w:rsidR="0003725D" w:rsidRPr="00A33114" w:rsidRDefault="0003725D" w:rsidP="0003725D">
      <w:pPr>
        <w:rPr>
          <w:sz w:val="20"/>
        </w:rPr>
      </w:pPr>
      <w:r w:rsidRPr="00A33114">
        <w:rPr>
          <w:sz w:val="20"/>
        </w:rPr>
        <w:t>This report is a contracted technical report for use by the Medical Services Advisory Committee (MSAC) to</w:t>
      </w:r>
      <w:r>
        <w:rPr>
          <w:sz w:val="20"/>
        </w:rPr>
        <w:t xml:space="preserve"> </w:t>
      </w:r>
      <w:r w:rsidRPr="00A33114">
        <w:rPr>
          <w:sz w:val="20"/>
        </w:rPr>
        <w:t>inform its deliberations. MSAC is an independent committee which has been established to provide advice to the</w:t>
      </w:r>
      <w:r>
        <w:rPr>
          <w:sz w:val="20"/>
        </w:rPr>
        <w:t xml:space="preserve"> </w:t>
      </w:r>
      <w:r w:rsidRPr="00A33114">
        <w:rPr>
          <w:sz w:val="20"/>
        </w:rPr>
        <w:t xml:space="preserve">Minister for Health and </w:t>
      </w:r>
      <w:r w:rsidR="001A4F18">
        <w:rPr>
          <w:sz w:val="20"/>
        </w:rPr>
        <w:t>Sport</w:t>
      </w:r>
      <w:r w:rsidRPr="00A33114">
        <w:rPr>
          <w:sz w:val="20"/>
        </w:rPr>
        <w:t xml:space="preserve"> on the strength of evidence available on new and existing medical technologies and</w:t>
      </w:r>
      <w:r>
        <w:rPr>
          <w:sz w:val="20"/>
        </w:rPr>
        <w:t xml:space="preserve"> </w:t>
      </w:r>
      <w:r w:rsidRPr="00A33114">
        <w:rPr>
          <w:sz w:val="20"/>
        </w:rPr>
        <w:t>procedures in terms of their safety, effectiveness and cost-effectiveness. This advice will help to inform government</w:t>
      </w:r>
      <w:r>
        <w:rPr>
          <w:sz w:val="20"/>
        </w:rPr>
        <w:t xml:space="preserve"> </w:t>
      </w:r>
      <w:r w:rsidRPr="00A33114">
        <w:rPr>
          <w:sz w:val="20"/>
        </w:rPr>
        <w:t>decisions about which medical services should attract funding under Medicare.</w:t>
      </w:r>
    </w:p>
    <w:p w:rsidR="0003725D" w:rsidRPr="00A33114" w:rsidRDefault="0003725D" w:rsidP="0003725D">
      <w:pPr>
        <w:rPr>
          <w:sz w:val="20"/>
        </w:rPr>
      </w:pPr>
      <w:r w:rsidRPr="00A33114">
        <w:rPr>
          <w:b/>
          <w:bCs/>
          <w:sz w:val="20"/>
          <w:u w:val="single"/>
        </w:rPr>
        <w:t>MSAC’s advice does not necessarily reflect the views of all individuals who participated in the MSAC evaluation</w:t>
      </w:r>
      <w:r w:rsidRPr="00A33114">
        <w:rPr>
          <w:sz w:val="20"/>
        </w:rPr>
        <w:t>.</w:t>
      </w:r>
    </w:p>
    <w:p w:rsidR="0003725D" w:rsidRPr="001A4F18" w:rsidRDefault="0003725D" w:rsidP="0003725D">
      <w:pPr>
        <w:rPr>
          <w:sz w:val="20"/>
        </w:rPr>
      </w:pPr>
      <w:r w:rsidRPr="00A33114">
        <w:rPr>
          <w:sz w:val="20"/>
        </w:rPr>
        <w:t xml:space="preserve">This report was prepared for MSAC by </w:t>
      </w:r>
      <w:r>
        <w:rPr>
          <w:sz w:val="20"/>
        </w:rPr>
        <w:t xml:space="preserve">Mr Peter </w:t>
      </w:r>
      <w:proofErr w:type="spellStart"/>
      <w:r>
        <w:rPr>
          <w:sz w:val="20"/>
        </w:rPr>
        <w:t>Ghijben</w:t>
      </w:r>
      <w:proofErr w:type="spellEnd"/>
      <w:r>
        <w:rPr>
          <w:sz w:val="20"/>
        </w:rPr>
        <w:t xml:space="preserve">, Associate Professor Silva </w:t>
      </w:r>
      <w:proofErr w:type="spellStart"/>
      <w:r>
        <w:rPr>
          <w:sz w:val="20"/>
        </w:rPr>
        <w:t>Zavarsek</w:t>
      </w:r>
      <w:proofErr w:type="spellEnd"/>
      <w:r>
        <w:rPr>
          <w:sz w:val="20"/>
        </w:rPr>
        <w:t>, Ms Karen Yong</w:t>
      </w:r>
      <w:r w:rsidRPr="00A33114">
        <w:rPr>
          <w:sz w:val="20"/>
        </w:rPr>
        <w:t xml:space="preserve"> </w:t>
      </w:r>
      <w:r>
        <w:rPr>
          <w:sz w:val="20"/>
        </w:rPr>
        <w:t xml:space="preserve">and Mr Francis </w:t>
      </w:r>
      <w:proofErr w:type="spellStart"/>
      <w:r>
        <w:rPr>
          <w:sz w:val="20"/>
        </w:rPr>
        <w:t>Ip</w:t>
      </w:r>
      <w:proofErr w:type="spellEnd"/>
      <w:r>
        <w:rPr>
          <w:sz w:val="20"/>
        </w:rPr>
        <w:t xml:space="preserve"> </w:t>
      </w:r>
      <w:r w:rsidRPr="00A33114">
        <w:rPr>
          <w:sz w:val="20"/>
        </w:rPr>
        <w:t xml:space="preserve">from </w:t>
      </w:r>
      <w:r>
        <w:rPr>
          <w:sz w:val="20"/>
        </w:rPr>
        <w:t>the Centre for Health Economics, Monash University</w:t>
      </w:r>
      <w:r w:rsidR="001A4F18">
        <w:rPr>
          <w:sz w:val="20"/>
        </w:rPr>
        <w:t>.</w:t>
      </w:r>
      <w:r w:rsidRPr="00A33114">
        <w:rPr>
          <w:sz w:val="20"/>
        </w:rPr>
        <w:t xml:space="preserve"> The</w:t>
      </w:r>
      <w:r>
        <w:rPr>
          <w:sz w:val="20"/>
        </w:rPr>
        <w:t xml:space="preserve"> </w:t>
      </w:r>
      <w:r w:rsidRPr="00A33114">
        <w:rPr>
          <w:sz w:val="20"/>
        </w:rPr>
        <w:t xml:space="preserve">report was commissioned by the Department of Health and Ageing on behalf of MSAC. </w:t>
      </w:r>
      <w:r w:rsidRPr="001A4F18">
        <w:rPr>
          <w:sz w:val="20"/>
        </w:rPr>
        <w:t>It was edited by xx.</w:t>
      </w:r>
    </w:p>
    <w:p w:rsidR="0003725D" w:rsidRPr="001A4F18" w:rsidRDefault="0003725D" w:rsidP="0003725D">
      <w:pPr>
        <w:spacing w:after="0"/>
        <w:rPr>
          <w:sz w:val="20"/>
        </w:rPr>
      </w:pPr>
      <w:r w:rsidRPr="001A4F18">
        <w:rPr>
          <w:sz w:val="20"/>
        </w:rPr>
        <w:t>This report should be referenced as follows:</w:t>
      </w:r>
    </w:p>
    <w:p w:rsidR="0003725D" w:rsidRPr="001A4F18" w:rsidRDefault="0003725D" w:rsidP="0003725D">
      <w:pPr>
        <w:rPr>
          <w:sz w:val="20"/>
        </w:rPr>
      </w:pPr>
      <w:proofErr w:type="spellStart"/>
      <w:r w:rsidRPr="001A4F18">
        <w:rPr>
          <w:sz w:val="20"/>
        </w:rPr>
        <w:t>Ghijben</w:t>
      </w:r>
      <w:proofErr w:type="spellEnd"/>
      <w:r w:rsidRPr="001A4F18">
        <w:rPr>
          <w:sz w:val="20"/>
        </w:rPr>
        <w:t xml:space="preserve"> P, </w:t>
      </w:r>
      <w:proofErr w:type="spellStart"/>
      <w:r w:rsidRPr="001A4F18">
        <w:rPr>
          <w:sz w:val="20"/>
        </w:rPr>
        <w:t>Zavarsek</w:t>
      </w:r>
      <w:proofErr w:type="spellEnd"/>
      <w:r w:rsidRPr="001A4F18">
        <w:rPr>
          <w:sz w:val="20"/>
        </w:rPr>
        <w:t xml:space="preserve"> S, Yong K, </w:t>
      </w:r>
      <w:proofErr w:type="spellStart"/>
      <w:r w:rsidRPr="001A4F18">
        <w:rPr>
          <w:sz w:val="20"/>
        </w:rPr>
        <w:t>Ip</w:t>
      </w:r>
      <w:proofErr w:type="spellEnd"/>
      <w:r w:rsidRPr="001A4F18">
        <w:rPr>
          <w:sz w:val="20"/>
        </w:rPr>
        <w:t xml:space="preserve"> F, </w:t>
      </w:r>
      <w:r w:rsidRPr="001A4F18">
        <w:rPr>
          <w:i/>
          <w:iCs/>
          <w:sz w:val="20"/>
        </w:rPr>
        <w:t>Rapid point-of-care combined Antigen/</w:t>
      </w:r>
      <w:r w:rsidRPr="001A4F18">
        <w:rPr>
          <w:i/>
          <w:iCs/>
          <w:caps/>
          <w:sz w:val="20"/>
        </w:rPr>
        <w:t>a</w:t>
      </w:r>
      <w:r w:rsidRPr="001A4F18">
        <w:rPr>
          <w:i/>
          <w:iCs/>
          <w:sz w:val="20"/>
        </w:rPr>
        <w:t>ntibody</w:t>
      </w:r>
      <w:r w:rsidRPr="001A4F18">
        <w:rPr>
          <w:i/>
          <w:iCs/>
          <w:caps/>
          <w:sz w:val="20"/>
        </w:rPr>
        <w:t xml:space="preserve"> </w:t>
      </w:r>
      <w:r w:rsidRPr="001A4F18">
        <w:rPr>
          <w:i/>
          <w:iCs/>
          <w:sz w:val="20"/>
        </w:rPr>
        <w:t>HIV test to aid in the diagnosis of HIV infection.</w:t>
      </w:r>
      <w:r w:rsidRPr="001A4F18">
        <w:rPr>
          <w:sz w:val="20"/>
        </w:rPr>
        <w:t xml:space="preserve"> MSAC Application 1391, Assessment Report. </w:t>
      </w:r>
      <w:proofErr w:type="gramStart"/>
      <w:r w:rsidRPr="001A4F18">
        <w:rPr>
          <w:sz w:val="20"/>
        </w:rPr>
        <w:t>Commonwealth of Australia, Canberra, ACT.</w:t>
      </w:r>
      <w:proofErr w:type="gramEnd"/>
    </w:p>
    <w:p w:rsidR="00B60AC5" w:rsidRPr="00E742A2" w:rsidRDefault="0003725D" w:rsidP="0003725D">
      <w:pPr>
        <w:rPr>
          <w:i/>
          <w:color w:val="0000FF"/>
          <w:sz w:val="20"/>
        </w:rPr>
      </w:pPr>
      <w:r w:rsidRPr="001A4F18">
        <w:rPr>
          <w:sz w:val="20"/>
        </w:rPr>
        <w:t>Publication approval number:</w:t>
      </w:r>
    </w:p>
    <w:p w:rsidR="00665179" w:rsidRDefault="00665179">
      <w:pPr>
        <w:rPr>
          <w:i/>
          <w:sz w:val="12"/>
        </w:rPr>
      </w:pPr>
    </w:p>
    <w:p w:rsidR="00665179" w:rsidRDefault="00665179">
      <w:pPr>
        <w:rPr>
          <w:i/>
          <w:sz w:val="12"/>
        </w:rPr>
      </w:pPr>
    </w:p>
    <w:p w:rsidR="008F59A8" w:rsidRPr="00D45AA1" w:rsidRDefault="00E75529" w:rsidP="00665179">
      <w:pPr>
        <w:jc w:val="right"/>
        <w:sectPr w:rsidR="008F59A8" w:rsidRPr="00D45AA1" w:rsidSect="00E742A2">
          <w:footerReference w:type="even" r:id="rId9"/>
          <w:footerReference w:type="default" r:id="rId10"/>
          <w:headerReference w:type="first" r:id="rId11"/>
          <w:footerReference w:type="first" r:id="rId12"/>
          <w:type w:val="oddPage"/>
          <w:pgSz w:w="11907" w:h="16840" w:code="9"/>
          <w:pgMar w:top="1440" w:right="1440" w:bottom="1440" w:left="1440" w:header="578" w:footer="74" w:gutter="0"/>
          <w:pgNumType w:fmt="lowerRoman" w:start="1"/>
          <w:cols w:space="720"/>
          <w:noEndnote/>
          <w:titlePg/>
        </w:sectPr>
      </w:pPr>
      <w:r>
        <w:rPr>
          <w:i/>
          <w:sz w:val="12"/>
        </w:rPr>
        <w:t xml:space="preserve">Template </w:t>
      </w:r>
      <w:r w:rsidR="00C33268">
        <w:rPr>
          <w:i/>
          <w:sz w:val="12"/>
        </w:rPr>
        <w:t xml:space="preserve">Version </w:t>
      </w:r>
      <w:r w:rsidR="00124EA4">
        <w:rPr>
          <w:i/>
          <w:sz w:val="12"/>
        </w:rPr>
        <w:t xml:space="preserve">updated </w:t>
      </w:r>
      <w:r w:rsidR="0049587A">
        <w:rPr>
          <w:i/>
          <w:sz w:val="12"/>
        </w:rPr>
        <w:t>Nov</w:t>
      </w:r>
      <w:r w:rsidR="009D4044" w:rsidRPr="009D4044">
        <w:rPr>
          <w:i/>
          <w:sz w:val="12"/>
        </w:rPr>
        <w:t xml:space="preserve"> 08</w:t>
      </w:r>
    </w:p>
    <w:p w:rsidR="008F59A8" w:rsidRPr="00776777" w:rsidRDefault="008F59A8" w:rsidP="00776777">
      <w:pPr>
        <w:pStyle w:val="Heading1"/>
      </w:pPr>
      <w:bookmarkStart w:id="0" w:name="_Toc192054741"/>
      <w:bookmarkStart w:id="1" w:name="_Toc206489930"/>
      <w:bookmarkStart w:id="2" w:name="_Toc206494639"/>
      <w:bookmarkStart w:id="3" w:name="_Toc418224846"/>
      <w:r w:rsidRPr="00776777">
        <w:lastRenderedPageBreak/>
        <w:t>Contents</w:t>
      </w:r>
      <w:bookmarkEnd w:id="0"/>
      <w:bookmarkEnd w:id="1"/>
      <w:bookmarkEnd w:id="2"/>
      <w:bookmarkEnd w:id="3"/>
    </w:p>
    <w:p w:rsidR="000D423C" w:rsidRDefault="00663116">
      <w:pPr>
        <w:pStyle w:val="TOC1"/>
        <w:rPr>
          <w:rFonts w:asciiTheme="minorHAnsi" w:eastAsiaTheme="minorEastAsia" w:hAnsiTheme="minorHAnsi" w:cstheme="minorBidi"/>
          <w:b w:val="0"/>
          <w:sz w:val="22"/>
          <w:szCs w:val="22"/>
        </w:rPr>
      </w:pPr>
      <w:r w:rsidRPr="004C6B15">
        <w:fldChar w:fldCharType="begin"/>
      </w:r>
      <w:r w:rsidRPr="004C6B15">
        <w:instrText xml:space="preserve"> TOC \o "1-2" \h \z \u </w:instrText>
      </w:r>
      <w:r w:rsidRPr="004C6B15">
        <w:fldChar w:fldCharType="separate"/>
      </w:r>
      <w:hyperlink w:anchor="_Toc418224846" w:history="1">
        <w:r w:rsidR="000D423C" w:rsidRPr="00C14159">
          <w:rPr>
            <w:rStyle w:val="Hyperlink"/>
          </w:rPr>
          <w:t>Contents</w:t>
        </w:r>
        <w:r w:rsidR="000D423C">
          <w:rPr>
            <w:webHidden/>
          </w:rPr>
          <w:tab/>
        </w:r>
        <w:r w:rsidR="000D423C">
          <w:rPr>
            <w:webHidden/>
          </w:rPr>
          <w:fldChar w:fldCharType="begin"/>
        </w:r>
        <w:r w:rsidR="000D423C">
          <w:rPr>
            <w:webHidden/>
          </w:rPr>
          <w:instrText xml:space="preserve"> PAGEREF _Toc418224846 \h </w:instrText>
        </w:r>
        <w:r w:rsidR="000D423C">
          <w:rPr>
            <w:webHidden/>
          </w:rPr>
        </w:r>
        <w:r w:rsidR="000D423C">
          <w:rPr>
            <w:webHidden/>
          </w:rPr>
          <w:fldChar w:fldCharType="separate"/>
        </w:r>
        <w:r w:rsidR="002242BF">
          <w:rPr>
            <w:webHidden/>
          </w:rPr>
          <w:t>iii</w:t>
        </w:r>
        <w:r w:rsidR="000D423C">
          <w:rPr>
            <w:webHidden/>
          </w:rPr>
          <w:fldChar w:fldCharType="end"/>
        </w:r>
      </w:hyperlink>
    </w:p>
    <w:p w:rsidR="000D423C" w:rsidRDefault="00D26B32">
      <w:pPr>
        <w:pStyle w:val="TOC1"/>
        <w:rPr>
          <w:rFonts w:asciiTheme="minorHAnsi" w:eastAsiaTheme="minorEastAsia" w:hAnsiTheme="minorHAnsi" w:cstheme="minorBidi"/>
          <w:b w:val="0"/>
          <w:sz w:val="22"/>
          <w:szCs w:val="22"/>
        </w:rPr>
      </w:pPr>
      <w:hyperlink w:anchor="_Toc418224847" w:history="1">
        <w:r w:rsidR="000D423C" w:rsidRPr="00C14159">
          <w:rPr>
            <w:rStyle w:val="Hyperlink"/>
          </w:rPr>
          <w:t>Executive summary</w:t>
        </w:r>
        <w:r w:rsidR="000D423C">
          <w:rPr>
            <w:webHidden/>
          </w:rPr>
          <w:tab/>
        </w:r>
        <w:r w:rsidR="000D423C">
          <w:rPr>
            <w:webHidden/>
          </w:rPr>
          <w:fldChar w:fldCharType="begin"/>
        </w:r>
        <w:r w:rsidR="000D423C">
          <w:rPr>
            <w:webHidden/>
          </w:rPr>
          <w:instrText xml:space="preserve"> PAGEREF _Toc418224847 \h </w:instrText>
        </w:r>
        <w:r w:rsidR="000D423C">
          <w:rPr>
            <w:webHidden/>
          </w:rPr>
        </w:r>
        <w:r w:rsidR="000D423C">
          <w:rPr>
            <w:webHidden/>
          </w:rPr>
          <w:fldChar w:fldCharType="separate"/>
        </w:r>
        <w:r w:rsidR="002242BF">
          <w:rPr>
            <w:webHidden/>
          </w:rPr>
          <w:t>vii</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48" w:history="1">
        <w:r w:rsidR="000D423C" w:rsidRPr="00C14159">
          <w:rPr>
            <w:rStyle w:val="Hyperlink"/>
          </w:rPr>
          <w:t>The test</w:t>
        </w:r>
        <w:r w:rsidR="000D423C">
          <w:rPr>
            <w:webHidden/>
          </w:rPr>
          <w:tab/>
        </w:r>
        <w:r w:rsidR="000D423C">
          <w:rPr>
            <w:webHidden/>
          </w:rPr>
          <w:fldChar w:fldCharType="begin"/>
        </w:r>
        <w:r w:rsidR="000D423C">
          <w:rPr>
            <w:webHidden/>
          </w:rPr>
          <w:instrText xml:space="preserve"> PAGEREF _Toc418224848 \h </w:instrText>
        </w:r>
        <w:r w:rsidR="000D423C">
          <w:rPr>
            <w:webHidden/>
          </w:rPr>
        </w:r>
        <w:r w:rsidR="000D423C">
          <w:rPr>
            <w:webHidden/>
          </w:rPr>
          <w:fldChar w:fldCharType="separate"/>
        </w:r>
        <w:r w:rsidR="002242BF">
          <w:rPr>
            <w:webHidden/>
          </w:rPr>
          <w:t>vii</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49" w:history="1">
        <w:r w:rsidR="000D423C" w:rsidRPr="00C14159">
          <w:rPr>
            <w:rStyle w:val="Hyperlink"/>
          </w:rPr>
          <w:t>Medical Services Advisory Committee – role and approach</w:t>
        </w:r>
        <w:r w:rsidR="000D423C">
          <w:rPr>
            <w:webHidden/>
          </w:rPr>
          <w:tab/>
        </w:r>
        <w:r w:rsidR="000D423C">
          <w:rPr>
            <w:webHidden/>
          </w:rPr>
          <w:fldChar w:fldCharType="begin"/>
        </w:r>
        <w:r w:rsidR="000D423C">
          <w:rPr>
            <w:webHidden/>
          </w:rPr>
          <w:instrText xml:space="preserve"> PAGEREF _Toc418224849 \h </w:instrText>
        </w:r>
        <w:r w:rsidR="000D423C">
          <w:rPr>
            <w:webHidden/>
          </w:rPr>
        </w:r>
        <w:r w:rsidR="000D423C">
          <w:rPr>
            <w:webHidden/>
          </w:rPr>
          <w:fldChar w:fldCharType="separate"/>
        </w:r>
        <w:r w:rsidR="002242BF">
          <w:rPr>
            <w:webHidden/>
          </w:rPr>
          <w:t>vii</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50" w:history="1">
        <w:r w:rsidR="000D423C" w:rsidRPr="00C14159">
          <w:rPr>
            <w:rStyle w:val="Hyperlink"/>
          </w:rPr>
          <w:t>Assessment of rapid point-of-care combined Antigen/Antibody HIV test to aid in the diagnosis of HIV infection</w:t>
        </w:r>
        <w:r w:rsidR="000D423C">
          <w:rPr>
            <w:webHidden/>
          </w:rPr>
          <w:tab/>
        </w:r>
        <w:r w:rsidR="000D423C">
          <w:rPr>
            <w:webHidden/>
          </w:rPr>
          <w:fldChar w:fldCharType="begin"/>
        </w:r>
        <w:r w:rsidR="000D423C">
          <w:rPr>
            <w:webHidden/>
          </w:rPr>
          <w:instrText xml:space="preserve"> PAGEREF _Toc418224850 \h </w:instrText>
        </w:r>
        <w:r w:rsidR="000D423C">
          <w:rPr>
            <w:webHidden/>
          </w:rPr>
        </w:r>
        <w:r w:rsidR="000D423C">
          <w:rPr>
            <w:webHidden/>
          </w:rPr>
          <w:fldChar w:fldCharType="separate"/>
        </w:r>
        <w:r w:rsidR="002242BF">
          <w:rPr>
            <w:webHidden/>
          </w:rPr>
          <w:t>vii</w:t>
        </w:r>
        <w:r w:rsidR="000D423C">
          <w:rPr>
            <w:webHidden/>
          </w:rPr>
          <w:fldChar w:fldCharType="end"/>
        </w:r>
      </w:hyperlink>
    </w:p>
    <w:p w:rsidR="000D423C" w:rsidRDefault="00D26B32">
      <w:pPr>
        <w:pStyle w:val="TOC1"/>
        <w:rPr>
          <w:rFonts w:asciiTheme="minorHAnsi" w:eastAsiaTheme="minorEastAsia" w:hAnsiTheme="minorHAnsi" w:cstheme="minorBidi"/>
          <w:b w:val="0"/>
          <w:sz w:val="22"/>
          <w:szCs w:val="22"/>
        </w:rPr>
      </w:pPr>
      <w:hyperlink w:anchor="_Toc418224851" w:history="1">
        <w:r w:rsidR="000D423C" w:rsidRPr="00C14159">
          <w:rPr>
            <w:rStyle w:val="Hyperlink"/>
          </w:rPr>
          <w:t>Introduction</w:t>
        </w:r>
        <w:r w:rsidR="000D423C">
          <w:rPr>
            <w:webHidden/>
          </w:rPr>
          <w:tab/>
        </w:r>
        <w:r w:rsidR="000D423C">
          <w:rPr>
            <w:webHidden/>
          </w:rPr>
          <w:fldChar w:fldCharType="begin"/>
        </w:r>
        <w:r w:rsidR="000D423C">
          <w:rPr>
            <w:webHidden/>
          </w:rPr>
          <w:instrText xml:space="preserve"> PAGEREF _Toc418224851 \h </w:instrText>
        </w:r>
        <w:r w:rsidR="000D423C">
          <w:rPr>
            <w:webHidden/>
          </w:rPr>
        </w:r>
        <w:r w:rsidR="000D423C">
          <w:rPr>
            <w:webHidden/>
          </w:rPr>
          <w:fldChar w:fldCharType="separate"/>
        </w:r>
        <w:r w:rsidR="002242BF">
          <w:rPr>
            <w:webHidden/>
          </w:rPr>
          <w:t>14</w:t>
        </w:r>
        <w:r w:rsidR="000D423C">
          <w:rPr>
            <w:webHidden/>
          </w:rPr>
          <w:fldChar w:fldCharType="end"/>
        </w:r>
      </w:hyperlink>
    </w:p>
    <w:p w:rsidR="000D423C" w:rsidRDefault="00D26B32">
      <w:pPr>
        <w:pStyle w:val="TOC1"/>
        <w:rPr>
          <w:rFonts w:asciiTheme="minorHAnsi" w:eastAsiaTheme="minorEastAsia" w:hAnsiTheme="minorHAnsi" w:cstheme="minorBidi"/>
          <w:b w:val="0"/>
          <w:sz w:val="22"/>
          <w:szCs w:val="22"/>
        </w:rPr>
      </w:pPr>
      <w:hyperlink w:anchor="_Toc418224852" w:history="1">
        <w:r w:rsidR="000D423C" w:rsidRPr="00C14159">
          <w:rPr>
            <w:rStyle w:val="Hyperlink"/>
          </w:rPr>
          <w:t>Background</w:t>
        </w:r>
        <w:r w:rsidR="000D423C">
          <w:rPr>
            <w:webHidden/>
          </w:rPr>
          <w:tab/>
        </w:r>
        <w:r w:rsidR="000D423C">
          <w:rPr>
            <w:webHidden/>
          </w:rPr>
          <w:fldChar w:fldCharType="begin"/>
        </w:r>
        <w:r w:rsidR="000D423C">
          <w:rPr>
            <w:webHidden/>
          </w:rPr>
          <w:instrText xml:space="preserve"> PAGEREF _Toc418224852 \h </w:instrText>
        </w:r>
        <w:r w:rsidR="000D423C">
          <w:rPr>
            <w:webHidden/>
          </w:rPr>
        </w:r>
        <w:r w:rsidR="000D423C">
          <w:rPr>
            <w:webHidden/>
          </w:rPr>
          <w:fldChar w:fldCharType="separate"/>
        </w:r>
        <w:r w:rsidR="002242BF">
          <w:rPr>
            <w:webHidden/>
          </w:rPr>
          <w:t>15</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53" w:history="1">
        <w:r w:rsidR="000D423C" w:rsidRPr="00C14159">
          <w:rPr>
            <w:rStyle w:val="Hyperlink"/>
            <w:bCs/>
          </w:rPr>
          <w:t>Intervention name</w:t>
        </w:r>
        <w:r w:rsidR="000D423C">
          <w:rPr>
            <w:webHidden/>
          </w:rPr>
          <w:tab/>
        </w:r>
        <w:r w:rsidR="000D423C">
          <w:rPr>
            <w:webHidden/>
          </w:rPr>
          <w:fldChar w:fldCharType="begin"/>
        </w:r>
        <w:r w:rsidR="000D423C">
          <w:rPr>
            <w:webHidden/>
          </w:rPr>
          <w:instrText xml:space="preserve"> PAGEREF _Toc418224853 \h </w:instrText>
        </w:r>
        <w:r w:rsidR="000D423C">
          <w:rPr>
            <w:webHidden/>
          </w:rPr>
        </w:r>
        <w:r w:rsidR="000D423C">
          <w:rPr>
            <w:webHidden/>
          </w:rPr>
          <w:fldChar w:fldCharType="separate"/>
        </w:r>
        <w:r w:rsidR="002242BF">
          <w:rPr>
            <w:webHidden/>
          </w:rPr>
          <w:t>15</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54" w:history="1">
        <w:r w:rsidR="000D423C" w:rsidRPr="00C14159">
          <w:rPr>
            <w:rStyle w:val="Hyperlink"/>
            <w:bCs/>
          </w:rPr>
          <w:t>The test</w:t>
        </w:r>
        <w:r w:rsidR="000D423C">
          <w:rPr>
            <w:webHidden/>
          </w:rPr>
          <w:tab/>
        </w:r>
        <w:r w:rsidR="000D423C">
          <w:rPr>
            <w:webHidden/>
          </w:rPr>
          <w:fldChar w:fldCharType="begin"/>
        </w:r>
        <w:r w:rsidR="000D423C">
          <w:rPr>
            <w:webHidden/>
          </w:rPr>
          <w:instrText xml:space="preserve"> PAGEREF _Toc418224854 \h </w:instrText>
        </w:r>
        <w:r w:rsidR="000D423C">
          <w:rPr>
            <w:webHidden/>
          </w:rPr>
        </w:r>
        <w:r w:rsidR="000D423C">
          <w:rPr>
            <w:webHidden/>
          </w:rPr>
          <w:fldChar w:fldCharType="separate"/>
        </w:r>
        <w:r w:rsidR="002242BF">
          <w:rPr>
            <w:webHidden/>
          </w:rPr>
          <w:t>15</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55" w:history="1">
        <w:r w:rsidR="000D423C" w:rsidRPr="00C14159">
          <w:rPr>
            <w:rStyle w:val="Hyperlink"/>
          </w:rPr>
          <w:t>Intended purpose</w:t>
        </w:r>
        <w:r w:rsidR="000D423C">
          <w:rPr>
            <w:webHidden/>
          </w:rPr>
          <w:tab/>
        </w:r>
        <w:r w:rsidR="000D423C">
          <w:rPr>
            <w:webHidden/>
          </w:rPr>
          <w:fldChar w:fldCharType="begin"/>
        </w:r>
        <w:r w:rsidR="000D423C">
          <w:rPr>
            <w:webHidden/>
          </w:rPr>
          <w:instrText xml:space="preserve"> PAGEREF _Toc418224855 \h </w:instrText>
        </w:r>
        <w:r w:rsidR="000D423C">
          <w:rPr>
            <w:webHidden/>
          </w:rPr>
        </w:r>
        <w:r w:rsidR="000D423C">
          <w:rPr>
            <w:webHidden/>
          </w:rPr>
          <w:fldChar w:fldCharType="separate"/>
        </w:r>
        <w:r w:rsidR="002242BF">
          <w:rPr>
            <w:webHidden/>
          </w:rPr>
          <w:t>16</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56" w:history="1">
        <w:r w:rsidR="000D423C" w:rsidRPr="00C14159">
          <w:rPr>
            <w:rStyle w:val="Hyperlink"/>
            <w:bCs/>
          </w:rPr>
          <w:t>Clinical need</w:t>
        </w:r>
        <w:r w:rsidR="000D423C">
          <w:rPr>
            <w:webHidden/>
          </w:rPr>
          <w:tab/>
        </w:r>
        <w:r w:rsidR="000D423C">
          <w:rPr>
            <w:webHidden/>
          </w:rPr>
          <w:fldChar w:fldCharType="begin"/>
        </w:r>
        <w:r w:rsidR="000D423C">
          <w:rPr>
            <w:webHidden/>
          </w:rPr>
          <w:instrText xml:space="preserve"> PAGEREF _Toc418224856 \h </w:instrText>
        </w:r>
        <w:r w:rsidR="000D423C">
          <w:rPr>
            <w:webHidden/>
          </w:rPr>
        </w:r>
        <w:r w:rsidR="000D423C">
          <w:rPr>
            <w:webHidden/>
          </w:rPr>
          <w:fldChar w:fldCharType="separate"/>
        </w:r>
        <w:r w:rsidR="002242BF">
          <w:rPr>
            <w:webHidden/>
          </w:rPr>
          <w:t>17</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57" w:history="1">
        <w:r w:rsidR="000D423C" w:rsidRPr="00C14159">
          <w:rPr>
            <w:rStyle w:val="Hyperlink"/>
            <w:bCs/>
          </w:rPr>
          <w:t>Existing procedures /tests</w:t>
        </w:r>
        <w:r w:rsidR="000D423C">
          <w:rPr>
            <w:webHidden/>
          </w:rPr>
          <w:tab/>
        </w:r>
        <w:r w:rsidR="000D423C">
          <w:rPr>
            <w:webHidden/>
          </w:rPr>
          <w:fldChar w:fldCharType="begin"/>
        </w:r>
        <w:r w:rsidR="000D423C">
          <w:rPr>
            <w:webHidden/>
          </w:rPr>
          <w:instrText xml:space="preserve"> PAGEREF _Toc418224857 \h </w:instrText>
        </w:r>
        <w:r w:rsidR="000D423C">
          <w:rPr>
            <w:webHidden/>
          </w:rPr>
        </w:r>
        <w:r w:rsidR="000D423C">
          <w:rPr>
            <w:webHidden/>
          </w:rPr>
          <w:fldChar w:fldCharType="separate"/>
        </w:r>
        <w:r w:rsidR="002242BF">
          <w:rPr>
            <w:webHidden/>
          </w:rPr>
          <w:t>23</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58" w:history="1">
        <w:r w:rsidR="000D423C" w:rsidRPr="00C14159">
          <w:rPr>
            <w:rStyle w:val="Hyperlink"/>
            <w:bCs/>
          </w:rPr>
          <w:t>Marketing status of device</w:t>
        </w:r>
        <w:r w:rsidR="000D423C">
          <w:rPr>
            <w:webHidden/>
          </w:rPr>
          <w:tab/>
        </w:r>
        <w:r w:rsidR="000D423C">
          <w:rPr>
            <w:webHidden/>
          </w:rPr>
          <w:fldChar w:fldCharType="begin"/>
        </w:r>
        <w:r w:rsidR="000D423C">
          <w:rPr>
            <w:webHidden/>
          </w:rPr>
          <w:instrText xml:space="preserve"> PAGEREF _Toc418224858 \h </w:instrText>
        </w:r>
        <w:r w:rsidR="000D423C">
          <w:rPr>
            <w:webHidden/>
          </w:rPr>
        </w:r>
        <w:r w:rsidR="000D423C">
          <w:rPr>
            <w:webHidden/>
          </w:rPr>
          <w:fldChar w:fldCharType="separate"/>
        </w:r>
        <w:r w:rsidR="002242BF">
          <w:rPr>
            <w:webHidden/>
          </w:rPr>
          <w:t>24</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59" w:history="1">
        <w:r w:rsidR="000D423C" w:rsidRPr="00C14159">
          <w:rPr>
            <w:rStyle w:val="Hyperlink"/>
            <w:bCs/>
          </w:rPr>
          <w:t>Current reimbursement arrangements</w:t>
        </w:r>
        <w:r w:rsidR="000D423C">
          <w:rPr>
            <w:webHidden/>
          </w:rPr>
          <w:tab/>
        </w:r>
        <w:r w:rsidR="000D423C">
          <w:rPr>
            <w:webHidden/>
          </w:rPr>
          <w:fldChar w:fldCharType="begin"/>
        </w:r>
        <w:r w:rsidR="000D423C">
          <w:rPr>
            <w:webHidden/>
          </w:rPr>
          <w:instrText xml:space="preserve"> PAGEREF _Toc418224859 \h </w:instrText>
        </w:r>
        <w:r w:rsidR="000D423C">
          <w:rPr>
            <w:webHidden/>
          </w:rPr>
        </w:r>
        <w:r w:rsidR="000D423C">
          <w:rPr>
            <w:webHidden/>
          </w:rPr>
          <w:fldChar w:fldCharType="separate"/>
        </w:r>
        <w:r w:rsidR="002242BF">
          <w:rPr>
            <w:webHidden/>
          </w:rPr>
          <w:t>24</w:t>
        </w:r>
        <w:r w:rsidR="000D423C">
          <w:rPr>
            <w:webHidden/>
          </w:rPr>
          <w:fldChar w:fldCharType="end"/>
        </w:r>
      </w:hyperlink>
    </w:p>
    <w:p w:rsidR="000D423C" w:rsidRDefault="00D26B32">
      <w:pPr>
        <w:pStyle w:val="TOC1"/>
        <w:rPr>
          <w:rFonts w:asciiTheme="minorHAnsi" w:eastAsiaTheme="minorEastAsia" w:hAnsiTheme="minorHAnsi" w:cstheme="minorBidi"/>
          <w:b w:val="0"/>
          <w:sz w:val="22"/>
          <w:szCs w:val="22"/>
        </w:rPr>
      </w:pPr>
      <w:hyperlink w:anchor="_Toc418224860" w:history="1">
        <w:r w:rsidR="000D423C" w:rsidRPr="00C14159">
          <w:rPr>
            <w:rStyle w:val="Hyperlink"/>
          </w:rPr>
          <w:t>Approach to assessment</w:t>
        </w:r>
        <w:r w:rsidR="000D423C">
          <w:rPr>
            <w:webHidden/>
          </w:rPr>
          <w:tab/>
        </w:r>
        <w:r w:rsidR="000D423C">
          <w:rPr>
            <w:webHidden/>
          </w:rPr>
          <w:fldChar w:fldCharType="begin"/>
        </w:r>
        <w:r w:rsidR="000D423C">
          <w:rPr>
            <w:webHidden/>
          </w:rPr>
          <w:instrText xml:space="preserve"> PAGEREF _Toc418224860 \h </w:instrText>
        </w:r>
        <w:r w:rsidR="000D423C">
          <w:rPr>
            <w:webHidden/>
          </w:rPr>
        </w:r>
        <w:r w:rsidR="000D423C">
          <w:rPr>
            <w:webHidden/>
          </w:rPr>
          <w:fldChar w:fldCharType="separate"/>
        </w:r>
        <w:r w:rsidR="002242BF">
          <w:rPr>
            <w:webHidden/>
          </w:rPr>
          <w:t>29</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61" w:history="1">
        <w:r w:rsidR="000D423C" w:rsidRPr="00C14159">
          <w:rPr>
            <w:rStyle w:val="Hyperlink"/>
          </w:rPr>
          <w:t>Objective</w:t>
        </w:r>
        <w:r w:rsidR="000D423C">
          <w:rPr>
            <w:webHidden/>
          </w:rPr>
          <w:tab/>
        </w:r>
        <w:r w:rsidR="000D423C">
          <w:rPr>
            <w:webHidden/>
          </w:rPr>
          <w:fldChar w:fldCharType="begin"/>
        </w:r>
        <w:r w:rsidR="000D423C">
          <w:rPr>
            <w:webHidden/>
          </w:rPr>
          <w:instrText xml:space="preserve"> PAGEREF _Toc418224861 \h </w:instrText>
        </w:r>
        <w:r w:rsidR="000D423C">
          <w:rPr>
            <w:webHidden/>
          </w:rPr>
        </w:r>
        <w:r w:rsidR="000D423C">
          <w:rPr>
            <w:webHidden/>
          </w:rPr>
          <w:fldChar w:fldCharType="separate"/>
        </w:r>
        <w:r w:rsidR="002242BF">
          <w:rPr>
            <w:webHidden/>
          </w:rPr>
          <w:t>29</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62" w:history="1">
        <w:r w:rsidR="000D423C" w:rsidRPr="00C14159">
          <w:rPr>
            <w:rStyle w:val="Hyperlink"/>
            <w:bCs/>
          </w:rPr>
          <w:t>Clinical decision pathway</w:t>
        </w:r>
        <w:r w:rsidR="000D423C">
          <w:rPr>
            <w:webHidden/>
          </w:rPr>
          <w:tab/>
        </w:r>
        <w:r w:rsidR="000D423C">
          <w:rPr>
            <w:webHidden/>
          </w:rPr>
          <w:fldChar w:fldCharType="begin"/>
        </w:r>
        <w:r w:rsidR="000D423C">
          <w:rPr>
            <w:webHidden/>
          </w:rPr>
          <w:instrText xml:space="preserve"> PAGEREF _Toc418224862 \h </w:instrText>
        </w:r>
        <w:r w:rsidR="000D423C">
          <w:rPr>
            <w:webHidden/>
          </w:rPr>
        </w:r>
        <w:r w:rsidR="000D423C">
          <w:rPr>
            <w:webHidden/>
          </w:rPr>
          <w:fldChar w:fldCharType="separate"/>
        </w:r>
        <w:r w:rsidR="002242BF">
          <w:rPr>
            <w:webHidden/>
          </w:rPr>
          <w:t>29</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63" w:history="1">
        <w:r w:rsidR="000D423C" w:rsidRPr="00C14159">
          <w:rPr>
            <w:rStyle w:val="Hyperlink"/>
            <w:bCs/>
          </w:rPr>
          <w:t>Comparator</w:t>
        </w:r>
        <w:r w:rsidR="000D423C">
          <w:rPr>
            <w:webHidden/>
          </w:rPr>
          <w:tab/>
        </w:r>
        <w:r w:rsidR="000D423C">
          <w:rPr>
            <w:webHidden/>
          </w:rPr>
          <w:fldChar w:fldCharType="begin"/>
        </w:r>
        <w:r w:rsidR="000D423C">
          <w:rPr>
            <w:webHidden/>
          </w:rPr>
          <w:instrText xml:space="preserve"> PAGEREF _Toc418224863 \h </w:instrText>
        </w:r>
        <w:r w:rsidR="000D423C">
          <w:rPr>
            <w:webHidden/>
          </w:rPr>
        </w:r>
        <w:r w:rsidR="000D423C">
          <w:rPr>
            <w:webHidden/>
          </w:rPr>
          <w:fldChar w:fldCharType="separate"/>
        </w:r>
        <w:r w:rsidR="002242BF">
          <w:rPr>
            <w:webHidden/>
          </w:rPr>
          <w:t>30</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64" w:history="1">
        <w:r w:rsidR="000D423C" w:rsidRPr="00C14159">
          <w:rPr>
            <w:rStyle w:val="Hyperlink"/>
            <w:bCs/>
          </w:rPr>
          <w:t>The reference standard</w:t>
        </w:r>
        <w:r w:rsidR="000D423C">
          <w:rPr>
            <w:webHidden/>
          </w:rPr>
          <w:tab/>
        </w:r>
        <w:r w:rsidR="000D423C">
          <w:rPr>
            <w:webHidden/>
          </w:rPr>
          <w:fldChar w:fldCharType="begin"/>
        </w:r>
        <w:r w:rsidR="000D423C">
          <w:rPr>
            <w:webHidden/>
          </w:rPr>
          <w:instrText xml:space="preserve"> PAGEREF _Toc418224864 \h </w:instrText>
        </w:r>
        <w:r w:rsidR="000D423C">
          <w:rPr>
            <w:webHidden/>
          </w:rPr>
        </w:r>
        <w:r w:rsidR="000D423C">
          <w:rPr>
            <w:webHidden/>
          </w:rPr>
          <w:fldChar w:fldCharType="separate"/>
        </w:r>
        <w:r w:rsidR="002242BF">
          <w:rPr>
            <w:webHidden/>
          </w:rPr>
          <w:t>30</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65" w:history="1">
        <w:r w:rsidR="000D423C" w:rsidRPr="00C14159">
          <w:rPr>
            <w:rStyle w:val="Hyperlink"/>
            <w:bCs/>
          </w:rPr>
          <w:t>Research questions</w:t>
        </w:r>
        <w:r w:rsidR="000D423C">
          <w:rPr>
            <w:webHidden/>
          </w:rPr>
          <w:tab/>
        </w:r>
        <w:r w:rsidR="000D423C">
          <w:rPr>
            <w:webHidden/>
          </w:rPr>
          <w:fldChar w:fldCharType="begin"/>
        </w:r>
        <w:r w:rsidR="000D423C">
          <w:rPr>
            <w:webHidden/>
          </w:rPr>
          <w:instrText xml:space="preserve"> PAGEREF _Toc418224865 \h </w:instrText>
        </w:r>
        <w:r w:rsidR="000D423C">
          <w:rPr>
            <w:webHidden/>
          </w:rPr>
        </w:r>
        <w:r w:rsidR="000D423C">
          <w:rPr>
            <w:webHidden/>
          </w:rPr>
          <w:fldChar w:fldCharType="separate"/>
        </w:r>
        <w:r w:rsidR="002242BF">
          <w:rPr>
            <w:webHidden/>
          </w:rPr>
          <w:t>30</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66" w:history="1">
        <w:r w:rsidR="000D423C" w:rsidRPr="00C14159">
          <w:rPr>
            <w:rStyle w:val="Hyperlink"/>
          </w:rPr>
          <w:t>Diagnostic assessment framework</w:t>
        </w:r>
        <w:r w:rsidR="000D423C">
          <w:rPr>
            <w:webHidden/>
          </w:rPr>
          <w:tab/>
        </w:r>
        <w:r w:rsidR="000D423C">
          <w:rPr>
            <w:webHidden/>
          </w:rPr>
          <w:fldChar w:fldCharType="begin"/>
        </w:r>
        <w:r w:rsidR="000D423C">
          <w:rPr>
            <w:webHidden/>
          </w:rPr>
          <w:instrText xml:space="preserve"> PAGEREF _Toc418224866 \h </w:instrText>
        </w:r>
        <w:r w:rsidR="000D423C">
          <w:rPr>
            <w:webHidden/>
          </w:rPr>
        </w:r>
        <w:r w:rsidR="000D423C">
          <w:rPr>
            <w:webHidden/>
          </w:rPr>
          <w:fldChar w:fldCharType="separate"/>
        </w:r>
        <w:r w:rsidR="002242BF">
          <w:rPr>
            <w:webHidden/>
          </w:rPr>
          <w:t>30</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67" w:history="1">
        <w:r w:rsidR="000D423C" w:rsidRPr="00C14159">
          <w:rPr>
            <w:rStyle w:val="Hyperlink"/>
          </w:rPr>
          <w:t>Review of literature</w:t>
        </w:r>
        <w:r w:rsidR="000D423C">
          <w:rPr>
            <w:webHidden/>
          </w:rPr>
          <w:tab/>
        </w:r>
        <w:r w:rsidR="000D423C">
          <w:rPr>
            <w:webHidden/>
          </w:rPr>
          <w:fldChar w:fldCharType="begin"/>
        </w:r>
        <w:r w:rsidR="000D423C">
          <w:rPr>
            <w:webHidden/>
          </w:rPr>
          <w:instrText xml:space="preserve"> PAGEREF _Toc418224867 \h </w:instrText>
        </w:r>
        <w:r w:rsidR="000D423C">
          <w:rPr>
            <w:webHidden/>
          </w:rPr>
        </w:r>
        <w:r w:rsidR="000D423C">
          <w:rPr>
            <w:webHidden/>
          </w:rPr>
          <w:fldChar w:fldCharType="separate"/>
        </w:r>
        <w:r w:rsidR="002242BF">
          <w:rPr>
            <w:webHidden/>
          </w:rPr>
          <w:t>32</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68" w:history="1">
        <w:r w:rsidR="000D423C" w:rsidRPr="00C14159">
          <w:rPr>
            <w:rStyle w:val="Hyperlink"/>
          </w:rPr>
          <w:t>Appraisal of the evidence</w:t>
        </w:r>
        <w:r w:rsidR="000D423C">
          <w:rPr>
            <w:webHidden/>
          </w:rPr>
          <w:tab/>
        </w:r>
        <w:r w:rsidR="000D423C">
          <w:rPr>
            <w:webHidden/>
          </w:rPr>
          <w:fldChar w:fldCharType="begin"/>
        </w:r>
        <w:r w:rsidR="000D423C">
          <w:rPr>
            <w:webHidden/>
          </w:rPr>
          <w:instrText xml:space="preserve"> PAGEREF _Toc418224868 \h </w:instrText>
        </w:r>
        <w:r w:rsidR="000D423C">
          <w:rPr>
            <w:webHidden/>
          </w:rPr>
        </w:r>
        <w:r w:rsidR="000D423C">
          <w:rPr>
            <w:webHidden/>
          </w:rPr>
          <w:fldChar w:fldCharType="separate"/>
        </w:r>
        <w:r w:rsidR="002242BF">
          <w:rPr>
            <w:webHidden/>
          </w:rPr>
          <w:t>35</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69" w:history="1">
        <w:r w:rsidR="000D423C" w:rsidRPr="00C14159">
          <w:rPr>
            <w:rStyle w:val="Hyperlink"/>
            <w:lang w:val="en-US"/>
          </w:rPr>
          <w:t>Assessment of the body of evidence</w:t>
        </w:r>
        <w:r w:rsidR="000D423C">
          <w:rPr>
            <w:webHidden/>
          </w:rPr>
          <w:tab/>
        </w:r>
        <w:r w:rsidR="000D423C">
          <w:rPr>
            <w:webHidden/>
          </w:rPr>
          <w:fldChar w:fldCharType="begin"/>
        </w:r>
        <w:r w:rsidR="000D423C">
          <w:rPr>
            <w:webHidden/>
          </w:rPr>
          <w:instrText xml:space="preserve"> PAGEREF _Toc418224869 \h </w:instrText>
        </w:r>
        <w:r w:rsidR="000D423C">
          <w:rPr>
            <w:webHidden/>
          </w:rPr>
        </w:r>
        <w:r w:rsidR="000D423C">
          <w:rPr>
            <w:webHidden/>
          </w:rPr>
          <w:fldChar w:fldCharType="separate"/>
        </w:r>
        <w:r w:rsidR="002242BF">
          <w:rPr>
            <w:webHidden/>
          </w:rPr>
          <w:t>39</w:t>
        </w:r>
        <w:r w:rsidR="000D423C">
          <w:rPr>
            <w:webHidden/>
          </w:rPr>
          <w:fldChar w:fldCharType="end"/>
        </w:r>
      </w:hyperlink>
    </w:p>
    <w:p w:rsidR="000D423C" w:rsidRDefault="00D26B32">
      <w:pPr>
        <w:pStyle w:val="TOC1"/>
        <w:rPr>
          <w:rFonts w:asciiTheme="minorHAnsi" w:eastAsiaTheme="minorEastAsia" w:hAnsiTheme="minorHAnsi" w:cstheme="minorBidi"/>
          <w:b w:val="0"/>
          <w:sz w:val="22"/>
          <w:szCs w:val="22"/>
        </w:rPr>
      </w:pPr>
      <w:hyperlink w:anchor="_Toc418224870" w:history="1">
        <w:r w:rsidR="000D423C" w:rsidRPr="00C14159">
          <w:rPr>
            <w:rStyle w:val="Hyperlink"/>
          </w:rPr>
          <w:t>Results of assessment</w:t>
        </w:r>
        <w:r w:rsidR="000D423C">
          <w:rPr>
            <w:webHidden/>
          </w:rPr>
          <w:tab/>
        </w:r>
        <w:r w:rsidR="000D423C">
          <w:rPr>
            <w:webHidden/>
          </w:rPr>
          <w:fldChar w:fldCharType="begin"/>
        </w:r>
        <w:r w:rsidR="000D423C">
          <w:rPr>
            <w:webHidden/>
          </w:rPr>
          <w:instrText xml:space="preserve"> PAGEREF _Toc418224870 \h </w:instrText>
        </w:r>
        <w:r w:rsidR="000D423C">
          <w:rPr>
            <w:webHidden/>
          </w:rPr>
        </w:r>
        <w:r w:rsidR="000D423C">
          <w:rPr>
            <w:webHidden/>
          </w:rPr>
          <w:fldChar w:fldCharType="separate"/>
        </w:r>
        <w:r w:rsidR="002242BF">
          <w:rPr>
            <w:webHidden/>
          </w:rPr>
          <w:t>41</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71" w:history="1">
        <w:r w:rsidR="000D423C" w:rsidRPr="00C14159">
          <w:rPr>
            <w:rStyle w:val="Hyperlink"/>
            <w:bCs/>
          </w:rPr>
          <w:t>Is it safe?</w:t>
        </w:r>
        <w:r w:rsidR="000D423C">
          <w:rPr>
            <w:webHidden/>
          </w:rPr>
          <w:tab/>
        </w:r>
        <w:r w:rsidR="000D423C">
          <w:rPr>
            <w:webHidden/>
          </w:rPr>
          <w:fldChar w:fldCharType="begin"/>
        </w:r>
        <w:r w:rsidR="000D423C">
          <w:rPr>
            <w:webHidden/>
          </w:rPr>
          <w:instrText xml:space="preserve"> PAGEREF _Toc418224871 \h </w:instrText>
        </w:r>
        <w:r w:rsidR="000D423C">
          <w:rPr>
            <w:webHidden/>
          </w:rPr>
        </w:r>
        <w:r w:rsidR="000D423C">
          <w:rPr>
            <w:webHidden/>
          </w:rPr>
          <w:fldChar w:fldCharType="separate"/>
        </w:r>
        <w:r w:rsidR="002242BF">
          <w:rPr>
            <w:webHidden/>
          </w:rPr>
          <w:t>41</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72" w:history="1">
        <w:r w:rsidR="000D423C" w:rsidRPr="00C14159">
          <w:rPr>
            <w:rStyle w:val="Hyperlink"/>
          </w:rPr>
          <w:t>Is it effective?</w:t>
        </w:r>
        <w:r w:rsidR="000D423C">
          <w:rPr>
            <w:webHidden/>
          </w:rPr>
          <w:tab/>
        </w:r>
        <w:r w:rsidR="000D423C">
          <w:rPr>
            <w:webHidden/>
          </w:rPr>
          <w:fldChar w:fldCharType="begin"/>
        </w:r>
        <w:r w:rsidR="000D423C">
          <w:rPr>
            <w:webHidden/>
          </w:rPr>
          <w:instrText xml:space="preserve"> PAGEREF _Toc418224872 \h </w:instrText>
        </w:r>
        <w:r w:rsidR="000D423C">
          <w:rPr>
            <w:webHidden/>
          </w:rPr>
        </w:r>
        <w:r w:rsidR="000D423C">
          <w:rPr>
            <w:webHidden/>
          </w:rPr>
          <w:fldChar w:fldCharType="separate"/>
        </w:r>
        <w:r w:rsidR="002242BF">
          <w:rPr>
            <w:webHidden/>
          </w:rPr>
          <w:t>43</w:t>
        </w:r>
        <w:r w:rsidR="000D423C">
          <w:rPr>
            <w:webHidden/>
          </w:rPr>
          <w:fldChar w:fldCharType="end"/>
        </w:r>
      </w:hyperlink>
    </w:p>
    <w:p w:rsidR="000D423C" w:rsidRDefault="00D26B32">
      <w:pPr>
        <w:pStyle w:val="TOC1"/>
        <w:rPr>
          <w:rFonts w:asciiTheme="minorHAnsi" w:eastAsiaTheme="minorEastAsia" w:hAnsiTheme="minorHAnsi" w:cstheme="minorBidi"/>
          <w:b w:val="0"/>
          <w:sz w:val="22"/>
          <w:szCs w:val="22"/>
        </w:rPr>
      </w:pPr>
      <w:hyperlink w:anchor="_Toc418224873" w:history="1">
        <w:r w:rsidR="000D423C" w:rsidRPr="00C14159">
          <w:rPr>
            <w:rStyle w:val="Hyperlink"/>
          </w:rPr>
          <w:t>Other relevant considerations</w:t>
        </w:r>
        <w:r w:rsidR="000D423C">
          <w:rPr>
            <w:webHidden/>
          </w:rPr>
          <w:tab/>
        </w:r>
        <w:r w:rsidR="000D423C">
          <w:rPr>
            <w:webHidden/>
          </w:rPr>
          <w:fldChar w:fldCharType="begin"/>
        </w:r>
        <w:r w:rsidR="000D423C">
          <w:rPr>
            <w:webHidden/>
          </w:rPr>
          <w:instrText xml:space="preserve"> PAGEREF _Toc418224873 \h </w:instrText>
        </w:r>
        <w:r w:rsidR="000D423C">
          <w:rPr>
            <w:webHidden/>
          </w:rPr>
        </w:r>
        <w:r w:rsidR="000D423C">
          <w:rPr>
            <w:webHidden/>
          </w:rPr>
          <w:fldChar w:fldCharType="separate"/>
        </w:r>
        <w:r w:rsidR="002242BF">
          <w:rPr>
            <w:webHidden/>
          </w:rPr>
          <w:t>51</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74" w:history="1">
        <w:r w:rsidR="000D423C" w:rsidRPr="00C14159">
          <w:rPr>
            <w:rStyle w:val="Hyperlink"/>
          </w:rPr>
          <w:t>Consumer implications and other considerations</w:t>
        </w:r>
        <w:r w:rsidR="000D423C">
          <w:rPr>
            <w:webHidden/>
          </w:rPr>
          <w:tab/>
        </w:r>
        <w:r w:rsidR="000D423C">
          <w:rPr>
            <w:webHidden/>
          </w:rPr>
          <w:fldChar w:fldCharType="begin"/>
        </w:r>
        <w:r w:rsidR="000D423C">
          <w:rPr>
            <w:webHidden/>
          </w:rPr>
          <w:instrText xml:space="preserve"> PAGEREF _Toc418224874 \h </w:instrText>
        </w:r>
        <w:r w:rsidR="000D423C">
          <w:rPr>
            <w:webHidden/>
          </w:rPr>
        </w:r>
        <w:r w:rsidR="000D423C">
          <w:rPr>
            <w:webHidden/>
          </w:rPr>
          <w:fldChar w:fldCharType="separate"/>
        </w:r>
        <w:r w:rsidR="002242BF">
          <w:rPr>
            <w:webHidden/>
          </w:rPr>
          <w:t>51</w:t>
        </w:r>
        <w:r w:rsidR="000D423C">
          <w:rPr>
            <w:webHidden/>
          </w:rPr>
          <w:fldChar w:fldCharType="end"/>
        </w:r>
      </w:hyperlink>
    </w:p>
    <w:p w:rsidR="000D423C" w:rsidRDefault="00D26B32">
      <w:pPr>
        <w:pStyle w:val="TOC1"/>
        <w:rPr>
          <w:rFonts w:asciiTheme="minorHAnsi" w:eastAsiaTheme="minorEastAsia" w:hAnsiTheme="minorHAnsi" w:cstheme="minorBidi"/>
          <w:b w:val="0"/>
          <w:sz w:val="22"/>
          <w:szCs w:val="22"/>
        </w:rPr>
      </w:pPr>
      <w:hyperlink w:anchor="_Toc418224875" w:history="1">
        <w:r w:rsidR="000D423C" w:rsidRPr="00C14159">
          <w:rPr>
            <w:rStyle w:val="Hyperlink"/>
          </w:rPr>
          <w:t>What are the economic considerations?</w:t>
        </w:r>
        <w:r w:rsidR="000D423C">
          <w:rPr>
            <w:webHidden/>
          </w:rPr>
          <w:tab/>
        </w:r>
        <w:r w:rsidR="000D423C">
          <w:rPr>
            <w:webHidden/>
          </w:rPr>
          <w:fldChar w:fldCharType="begin"/>
        </w:r>
        <w:r w:rsidR="000D423C">
          <w:rPr>
            <w:webHidden/>
          </w:rPr>
          <w:instrText xml:space="preserve"> PAGEREF _Toc418224875 \h </w:instrText>
        </w:r>
        <w:r w:rsidR="000D423C">
          <w:rPr>
            <w:webHidden/>
          </w:rPr>
        </w:r>
        <w:r w:rsidR="000D423C">
          <w:rPr>
            <w:webHidden/>
          </w:rPr>
          <w:fldChar w:fldCharType="separate"/>
        </w:r>
        <w:r w:rsidR="002242BF">
          <w:rPr>
            <w:webHidden/>
          </w:rPr>
          <w:t>52</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76" w:history="1">
        <w:r w:rsidR="000D423C" w:rsidRPr="00C14159">
          <w:rPr>
            <w:rStyle w:val="Hyperlink"/>
          </w:rPr>
          <w:t>Economic evaluation</w:t>
        </w:r>
        <w:r w:rsidR="000D423C">
          <w:rPr>
            <w:webHidden/>
          </w:rPr>
          <w:tab/>
        </w:r>
        <w:r w:rsidR="000D423C">
          <w:rPr>
            <w:webHidden/>
          </w:rPr>
          <w:fldChar w:fldCharType="begin"/>
        </w:r>
        <w:r w:rsidR="000D423C">
          <w:rPr>
            <w:webHidden/>
          </w:rPr>
          <w:instrText xml:space="preserve"> PAGEREF _Toc418224876 \h </w:instrText>
        </w:r>
        <w:r w:rsidR="000D423C">
          <w:rPr>
            <w:webHidden/>
          </w:rPr>
        </w:r>
        <w:r w:rsidR="000D423C">
          <w:rPr>
            <w:webHidden/>
          </w:rPr>
          <w:fldChar w:fldCharType="separate"/>
        </w:r>
        <w:r w:rsidR="002242BF">
          <w:rPr>
            <w:webHidden/>
          </w:rPr>
          <w:t>52</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77" w:history="1">
        <w:r w:rsidR="000D423C" w:rsidRPr="00C14159">
          <w:rPr>
            <w:rStyle w:val="Hyperlink"/>
          </w:rPr>
          <w:t>Costing</w:t>
        </w:r>
        <w:r w:rsidR="000D423C">
          <w:rPr>
            <w:webHidden/>
          </w:rPr>
          <w:tab/>
        </w:r>
        <w:r w:rsidR="000D423C">
          <w:rPr>
            <w:webHidden/>
          </w:rPr>
          <w:fldChar w:fldCharType="begin"/>
        </w:r>
        <w:r w:rsidR="000D423C">
          <w:rPr>
            <w:webHidden/>
          </w:rPr>
          <w:instrText xml:space="preserve"> PAGEREF _Toc418224877 \h </w:instrText>
        </w:r>
        <w:r w:rsidR="000D423C">
          <w:rPr>
            <w:webHidden/>
          </w:rPr>
        </w:r>
        <w:r w:rsidR="000D423C">
          <w:rPr>
            <w:webHidden/>
          </w:rPr>
          <w:fldChar w:fldCharType="separate"/>
        </w:r>
        <w:r w:rsidR="002242BF">
          <w:rPr>
            <w:webHidden/>
          </w:rPr>
          <w:t>71</w:t>
        </w:r>
        <w:r w:rsidR="000D423C">
          <w:rPr>
            <w:webHidden/>
          </w:rPr>
          <w:fldChar w:fldCharType="end"/>
        </w:r>
      </w:hyperlink>
    </w:p>
    <w:p w:rsidR="000D423C" w:rsidRDefault="00D26B32">
      <w:pPr>
        <w:pStyle w:val="TOC1"/>
        <w:rPr>
          <w:rFonts w:asciiTheme="minorHAnsi" w:eastAsiaTheme="minorEastAsia" w:hAnsiTheme="minorHAnsi" w:cstheme="minorBidi"/>
          <w:b w:val="0"/>
          <w:sz w:val="22"/>
          <w:szCs w:val="22"/>
        </w:rPr>
      </w:pPr>
      <w:hyperlink w:anchor="_Toc418224878" w:history="1">
        <w:r w:rsidR="000D423C" w:rsidRPr="00C14159">
          <w:rPr>
            <w:rStyle w:val="Hyperlink"/>
          </w:rPr>
          <w:t>Discussion &amp; Conclusions</w:t>
        </w:r>
        <w:r w:rsidR="000D423C">
          <w:rPr>
            <w:webHidden/>
          </w:rPr>
          <w:tab/>
        </w:r>
        <w:r w:rsidR="000D423C">
          <w:rPr>
            <w:webHidden/>
          </w:rPr>
          <w:fldChar w:fldCharType="begin"/>
        </w:r>
        <w:r w:rsidR="000D423C">
          <w:rPr>
            <w:webHidden/>
          </w:rPr>
          <w:instrText xml:space="preserve"> PAGEREF _Toc418224878 \h </w:instrText>
        </w:r>
        <w:r w:rsidR="000D423C">
          <w:rPr>
            <w:webHidden/>
          </w:rPr>
        </w:r>
        <w:r w:rsidR="000D423C">
          <w:rPr>
            <w:webHidden/>
          </w:rPr>
          <w:fldChar w:fldCharType="separate"/>
        </w:r>
        <w:r w:rsidR="002242BF">
          <w:rPr>
            <w:webHidden/>
          </w:rPr>
          <w:t>74</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79" w:history="1">
        <w:r w:rsidR="000D423C" w:rsidRPr="00C14159">
          <w:rPr>
            <w:rStyle w:val="Hyperlink"/>
          </w:rPr>
          <w:t>Safety</w:t>
        </w:r>
        <w:r w:rsidR="000D423C">
          <w:rPr>
            <w:webHidden/>
          </w:rPr>
          <w:tab/>
        </w:r>
        <w:r w:rsidR="000D423C">
          <w:rPr>
            <w:webHidden/>
          </w:rPr>
          <w:fldChar w:fldCharType="begin"/>
        </w:r>
        <w:r w:rsidR="000D423C">
          <w:rPr>
            <w:webHidden/>
          </w:rPr>
          <w:instrText xml:space="preserve"> PAGEREF _Toc418224879 \h </w:instrText>
        </w:r>
        <w:r w:rsidR="000D423C">
          <w:rPr>
            <w:webHidden/>
          </w:rPr>
        </w:r>
        <w:r w:rsidR="000D423C">
          <w:rPr>
            <w:webHidden/>
          </w:rPr>
          <w:fldChar w:fldCharType="separate"/>
        </w:r>
        <w:r w:rsidR="002242BF">
          <w:rPr>
            <w:webHidden/>
          </w:rPr>
          <w:t>74</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80" w:history="1">
        <w:r w:rsidR="000D423C" w:rsidRPr="00C14159">
          <w:rPr>
            <w:rStyle w:val="Hyperlink"/>
          </w:rPr>
          <w:t>Effectiveness</w:t>
        </w:r>
        <w:r w:rsidR="000D423C">
          <w:rPr>
            <w:webHidden/>
          </w:rPr>
          <w:tab/>
        </w:r>
        <w:r w:rsidR="000D423C">
          <w:rPr>
            <w:webHidden/>
          </w:rPr>
          <w:fldChar w:fldCharType="begin"/>
        </w:r>
        <w:r w:rsidR="000D423C">
          <w:rPr>
            <w:webHidden/>
          </w:rPr>
          <w:instrText xml:space="preserve"> PAGEREF _Toc418224880 \h </w:instrText>
        </w:r>
        <w:r w:rsidR="000D423C">
          <w:rPr>
            <w:webHidden/>
          </w:rPr>
        </w:r>
        <w:r w:rsidR="000D423C">
          <w:rPr>
            <w:webHidden/>
          </w:rPr>
          <w:fldChar w:fldCharType="separate"/>
        </w:r>
        <w:r w:rsidR="002242BF">
          <w:rPr>
            <w:webHidden/>
          </w:rPr>
          <w:t>74</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81" w:history="1">
        <w:r w:rsidR="000D423C" w:rsidRPr="00C14159">
          <w:rPr>
            <w:rStyle w:val="Hyperlink"/>
          </w:rPr>
          <w:t>Economic considerations</w:t>
        </w:r>
        <w:r w:rsidR="000D423C">
          <w:rPr>
            <w:webHidden/>
          </w:rPr>
          <w:tab/>
        </w:r>
        <w:r w:rsidR="000D423C">
          <w:rPr>
            <w:webHidden/>
          </w:rPr>
          <w:fldChar w:fldCharType="begin"/>
        </w:r>
        <w:r w:rsidR="000D423C">
          <w:rPr>
            <w:webHidden/>
          </w:rPr>
          <w:instrText xml:space="preserve"> PAGEREF _Toc418224881 \h </w:instrText>
        </w:r>
        <w:r w:rsidR="000D423C">
          <w:rPr>
            <w:webHidden/>
          </w:rPr>
        </w:r>
        <w:r w:rsidR="000D423C">
          <w:rPr>
            <w:webHidden/>
          </w:rPr>
          <w:fldChar w:fldCharType="separate"/>
        </w:r>
        <w:r w:rsidR="002242BF">
          <w:rPr>
            <w:webHidden/>
          </w:rPr>
          <w:t>77</w:t>
        </w:r>
        <w:r w:rsidR="000D423C">
          <w:rPr>
            <w:webHidden/>
          </w:rPr>
          <w:fldChar w:fldCharType="end"/>
        </w:r>
      </w:hyperlink>
    </w:p>
    <w:p w:rsidR="000D423C" w:rsidRDefault="00D26B32">
      <w:pPr>
        <w:pStyle w:val="TOC1"/>
        <w:tabs>
          <w:tab w:val="left" w:pos="2145"/>
        </w:tabs>
        <w:rPr>
          <w:rFonts w:asciiTheme="minorHAnsi" w:eastAsiaTheme="minorEastAsia" w:hAnsiTheme="minorHAnsi" w:cstheme="minorBidi"/>
          <w:b w:val="0"/>
          <w:sz w:val="22"/>
          <w:szCs w:val="22"/>
        </w:rPr>
      </w:pPr>
      <w:hyperlink w:anchor="_Toc418224882" w:history="1">
        <w:r w:rsidR="000D423C" w:rsidRPr="00C14159">
          <w:rPr>
            <w:rStyle w:val="Hyperlink"/>
            <w:bCs/>
          </w:rPr>
          <w:t>Appendix A</w:t>
        </w:r>
        <w:r w:rsidR="000D423C">
          <w:rPr>
            <w:rFonts w:asciiTheme="minorHAnsi" w:eastAsiaTheme="minorEastAsia" w:hAnsiTheme="minorHAnsi" w:cstheme="minorBidi"/>
            <w:b w:val="0"/>
            <w:sz w:val="22"/>
            <w:szCs w:val="22"/>
          </w:rPr>
          <w:tab/>
        </w:r>
        <w:r w:rsidR="000D423C" w:rsidRPr="00C14159">
          <w:rPr>
            <w:rStyle w:val="Hyperlink"/>
            <w:bCs/>
          </w:rPr>
          <w:t>Rapid point-of-care combined Antigen/antibody HIV test to aid in the diagnosis of HIV infection, MSAC Application 1391</w:t>
        </w:r>
        <w:r w:rsidR="000D423C">
          <w:rPr>
            <w:webHidden/>
          </w:rPr>
          <w:tab/>
        </w:r>
        <w:r w:rsidR="000D423C">
          <w:rPr>
            <w:webHidden/>
          </w:rPr>
          <w:fldChar w:fldCharType="begin"/>
        </w:r>
        <w:r w:rsidR="000D423C">
          <w:rPr>
            <w:webHidden/>
          </w:rPr>
          <w:instrText xml:space="preserve"> PAGEREF _Toc418224882 \h </w:instrText>
        </w:r>
        <w:r w:rsidR="000D423C">
          <w:rPr>
            <w:webHidden/>
          </w:rPr>
        </w:r>
        <w:r w:rsidR="000D423C">
          <w:rPr>
            <w:webHidden/>
          </w:rPr>
          <w:fldChar w:fldCharType="separate"/>
        </w:r>
        <w:r w:rsidR="002242BF">
          <w:rPr>
            <w:webHidden/>
          </w:rPr>
          <w:t>80</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83" w:history="1">
        <w:r w:rsidR="000D423C" w:rsidRPr="00C14159">
          <w:rPr>
            <w:rStyle w:val="Hyperlink"/>
          </w:rPr>
          <w:t>Evaluators</w:t>
        </w:r>
        <w:r w:rsidR="000D423C">
          <w:rPr>
            <w:webHidden/>
          </w:rPr>
          <w:tab/>
        </w:r>
        <w:r w:rsidR="000D423C">
          <w:rPr>
            <w:webHidden/>
          </w:rPr>
          <w:fldChar w:fldCharType="begin"/>
        </w:r>
        <w:r w:rsidR="000D423C">
          <w:rPr>
            <w:webHidden/>
          </w:rPr>
          <w:instrText xml:space="preserve"> PAGEREF _Toc418224883 \h </w:instrText>
        </w:r>
        <w:r w:rsidR="000D423C">
          <w:rPr>
            <w:webHidden/>
          </w:rPr>
        </w:r>
        <w:r w:rsidR="000D423C">
          <w:rPr>
            <w:webHidden/>
          </w:rPr>
          <w:fldChar w:fldCharType="separate"/>
        </w:r>
        <w:r w:rsidR="002242BF">
          <w:rPr>
            <w:webHidden/>
          </w:rPr>
          <w:t>80</w:t>
        </w:r>
        <w:r w:rsidR="000D423C">
          <w:rPr>
            <w:webHidden/>
          </w:rPr>
          <w:fldChar w:fldCharType="end"/>
        </w:r>
      </w:hyperlink>
    </w:p>
    <w:p w:rsidR="000D423C" w:rsidRDefault="00D26B32">
      <w:pPr>
        <w:pStyle w:val="TOC1"/>
        <w:tabs>
          <w:tab w:val="left" w:pos="2150"/>
        </w:tabs>
        <w:rPr>
          <w:rFonts w:asciiTheme="minorHAnsi" w:eastAsiaTheme="minorEastAsia" w:hAnsiTheme="minorHAnsi" w:cstheme="minorBidi"/>
          <w:b w:val="0"/>
          <w:sz w:val="22"/>
          <w:szCs w:val="22"/>
        </w:rPr>
      </w:pPr>
      <w:hyperlink w:anchor="_Toc418224884" w:history="1">
        <w:r w:rsidR="000D423C" w:rsidRPr="00C14159">
          <w:rPr>
            <w:rStyle w:val="Hyperlink"/>
            <w:bCs/>
          </w:rPr>
          <w:t>Appendix B</w:t>
        </w:r>
        <w:r w:rsidR="000D423C">
          <w:rPr>
            <w:rFonts w:asciiTheme="minorHAnsi" w:eastAsiaTheme="minorEastAsia" w:hAnsiTheme="minorHAnsi" w:cstheme="minorBidi"/>
            <w:b w:val="0"/>
            <w:sz w:val="22"/>
            <w:szCs w:val="22"/>
          </w:rPr>
          <w:tab/>
        </w:r>
        <w:r w:rsidR="000D423C" w:rsidRPr="00C14159">
          <w:rPr>
            <w:rStyle w:val="Hyperlink"/>
            <w:bCs/>
          </w:rPr>
          <w:t>TGA conditions on the use of DHC</w:t>
        </w:r>
        <w:r w:rsidR="000D423C">
          <w:rPr>
            <w:webHidden/>
          </w:rPr>
          <w:tab/>
        </w:r>
        <w:r w:rsidR="000D423C">
          <w:rPr>
            <w:webHidden/>
          </w:rPr>
          <w:fldChar w:fldCharType="begin"/>
        </w:r>
        <w:r w:rsidR="000D423C">
          <w:rPr>
            <w:webHidden/>
          </w:rPr>
          <w:instrText xml:space="preserve"> PAGEREF _Toc418224884 \h </w:instrText>
        </w:r>
        <w:r w:rsidR="000D423C">
          <w:rPr>
            <w:webHidden/>
          </w:rPr>
        </w:r>
        <w:r w:rsidR="000D423C">
          <w:rPr>
            <w:webHidden/>
          </w:rPr>
          <w:fldChar w:fldCharType="separate"/>
        </w:r>
        <w:r w:rsidR="002242BF">
          <w:rPr>
            <w:webHidden/>
          </w:rPr>
          <w:t>81</w:t>
        </w:r>
        <w:r w:rsidR="000D423C">
          <w:rPr>
            <w:webHidden/>
          </w:rPr>
          <w:fldChar w:fldCharType="end"/>
        </w:r>
      </w:hyperlink>
    </w:p>
    <w:p w:rsidR="000D423C" w:rsidRDefault="00D26B32">
      <w:pPr>
        <w:pStyle w:val="TOC1"/>
        <w:tabs>
          <w:tab w:val="left" w:pos="2150"/>
        </w:tabs>
        <w:rPr>
          <w:rFonts w:asciiTheme="minorHAnsi" w:eastAsiaTheme="minorEastAsia" w:hAnsiTheme="minorHAnsi" w:cstheme="minorBidi"/>
          <w:b w:val="0"/>
          <w:sz w:val="22"/>
          <w:szCs w:val="22"/>
        </w:rPr>
      </w:pPr>
      <w:hyperlink w:anchor="_Toc418224885" w:history="1">
        <w:r w:rsidR="000D423C" w:rsidRPr="00C14159">
          <w:rPr>
            <w:rStyle w:val="Hyperlink"/>
          </w:rPr>
          <w:t>Appendix C</w:t>
        </w:r>
        <w:r w:rsidR="000D423C">
          <w:rPr>
            <w:rFonts w:asciiTheme="minorHAnsi" w:eastAsiaTheme="minorEastAsia" w:hAnsiTheme="minorHAnsi" w:cstheme="minorBidi"/>
            <w:b w:val="0"/>
            <w:sz w:val="22"/>
            <w:szCs w:val="22"/>
          </w:rPr>
          <w:tab/>
        </w:r>
        <w:r w:rsidR="000D423C" w:rsidRPr="00C14159">
          <w:rPr>
            <w:rStyle w:val="Hyperlink"/>
          </w:rPr>
          <w:t>Search strategies</w:t>
        </w:r>
        <w:r w:rsidR="000D423C">
          <w:rPr>
            <w:webHidden/>
          </w:rPr>
          <w:tab/>
        </w:r>
        <w:r w:rsidR="000D423C">
          <w:rPr>
            <w:webHidden/>
          </w:rPr>
          <w:fldChar w:fldCharType="begin"/>
        </w:r>
        <w:r w:rsidR="000D423C">
          <w:rPr>
            <w:webHidden/>
          </w:rPr>
          <w:instrText xml:space="preserve"> PAGEREF _Toc418224885 \h </w:instrText>
        </w:r>
        <w:r w:rsidR="000D423C">
          <w:rPr>
            <w:webHidden/>
          </w:rPr>
        </w:r>
        <w:r w:rsidR="000D423C">
          <w:rPr>
            <w:webHidden/>
          </w:rPr>
          <w:fldChar w:fldCharType="separate"/>
        </w:r>
        <w:r w:rsidR="002242BF">
          <w:rPr>
            <w:webHidden/>
          </w:rPr>
          <w:t>83</w:t>
        </w:r>
        <w:r w:rsidR="000D423C">
          <w:rPr>
            <w:webHidden/>
          </w:rPr>
          <w:fldChar w:fldCharType="end"/>
        </w:r>
      </w:hyperlink>
    </w:p>
    <w:p w:rsidR="000D423C" w:rsidRDefault="00D26B32">
      <w:pPr>
        <w:pStyle w:val="TOC1"/>
        <w:tabs>
          <w:tab w:val="left" w:pos="2175"/>
        </w:tabs>
        <w:rPr>
          <w:rFonts w:asciiTheme="minorHAnsi" w:eastAsiaTheme="minorEastAsia" w:hAnsiTheme="minorHAnsi" w:cstheme="minorBidi"/>
          <w:b w:val="0"/>
          <w:sz w:val="22"/>
          <w:szCs w:val="22"/>
        </w:rPr>
      </w:pPr>
      <w:hyperlink w:anchor="_Toc418224886" w:history="1">
        <w:r w:rsidR="000D423C" w:rsidRPr="00C14159">
          <w:rPr>
            <w:rStyle w:val="Hyperlink"/>
            <w:bCs/>
          </w:rPr>
          <w:t>Appendix D</w:t>
        </w:r>
        <w:r w:rsidR="000D423C">
          <w:rPr>
            <w:rFonts w:asciiTheme="minorHAnsi" w:eastAsiaTheme="minorEastAsia" w:hAnsiTheme="minorHAnsi" w:cstheme="minorBidi"/>
            <w:b w:val="0"/>
            <w:sz w:val="22"/>
            <w:szCs w:val="22"/>
          </w:rPr>
          <w:tab/>
        </w:r>
        <w:r w:rsidR="000D423C" w:rsidRPr="00C14159">
          <w:rPr>
            <w:rStyle w:val="Hyperlink"/>
            <w:bCs/>
          </w:rPr>
          <w:t>Studies included in the review</w:t>
        </w:r>
        <w:r w:rsidR="000D423C">
          <w:rPr>
            <w:webHidden/>
          </w:rPr>
          <w:tab/>
        </w:r>
        <w:r w:rsidR="000D423C">
          <w:rPr>
            <w:webHidden/>
          </w:rPr>
          <w:fldChar w:fldCharType="begin"/>
        </w:r>
        <w:r w:rsidR="000D423C">
          <w:rPr>
            <w:webHidden/>
          </w:rPr>
          <w:instrText xml:space="preserve"> PAGEREF _Toc418224886 \h </w:instrText>
        </w:r>
        <w:r w:rsidR="000D423C">
          <w:rPr>
            <w:webHidden/>
          </w:rPr>
        </w:r>
        <w:r w:rsidR="000D423C">
          <w:rPr>
            <w:webHidden/>
          </w:rPr>
          <w:fldChar w:fldCharType="separate"/>
        </w:r>
        <w:r w:rsidR="002242BF">
          <w:rPr>
            <w:webHidden/>
          </w:rPr>
          <w:t>86</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87" w:history="1">
        <w:r w:rsidR="000D423C" w:rsidRPr="00C14159">
          <w:rPr>
            <w:rStyle w:val="Hyperlink"/>
            <w:bCs/>
          </w:rPr>
          <w:t>Study profiles of included studies on diagnostic accuracy</w:t>
        </w:r>
        <w:r w:rsidR="000D423C">
          <w:rPr>
            <w:webHidden/>
          </w:rPr>
          <w:tab/>
        </w:r>
        <w:r w:rsidR="000D423C">
          <w:rPr>
            <w:webHidden/>
          </w:rPr>
          <w:fldChar w:fldCharType="begin"/>
        </w:r>
        <w:r w:rsidR="000D423C">
          <w:rPr>
            <w:webHidden/>
          </w:rPr>
          <w:instrText xml:space="preserve"> PAGEREF _Toc418224887 \h </w:instrText>
        </w:r>
        <w:r w:rsidR="000D423C">
          <w:rPr>
            <w:webHidden/>
          </w:rPr>
        </w:r>
        <w:r w:rsidR="000D423C">
          <w:rPr>
            <w:webHidden/>
          </w:rPr>
          <w:fldChar w:fldCharType="separate"/>
        </w:r>
        <w:r w:rsidR="002242BF">
          <w:rPr>
            <w:webHidden/>
          </w:rPr>
          <w:t>86</w:t>
        </w:r>
        <w:r w:rsidR="000D423C">
          <w:rPr>
            <w:webHidden/>
          </w:rPr>
          <w:fldChar w:fldCharType="end"/>
        </w:r>
      </w:hyperlink>
    </w:p>
    <w:p w:rsidR="000D423C" w:rsidRDefault="00D26B32">
      <w:pPr>
        <w:pStyle w:val="TOC2"/>
        <w:rPr>
          <w:rFonts w:asciiTheme="minorHAnsi" w:eastAsiaTheme="minorEastAsia" w:hAnsiTheme="minorHAnsi" w:cstheme="minorBidi"/>
          <w:sz w:val="22"/>
          <w:szCs w:val="22"/>
        </w:rPr>
      </w:pPr>
      <w:hyperlink w:anchor="_Toc418224888" w:history="1">
        <w:r w:rsidR="000D423C" w:rsidRPr="00C14159">
          <w:rPr>
            <w:rStyle w:val="Hyperlink"/>
            <w:bCs/>
          </w:rPr>
          <w:t>Study profiles of included studies on changes in patient management</w:t>
        </w:r>
        <w:r w:rsidR="000D423C">
          <w:rPr>
            <w:webHidden/>
          </w:rPr>
          <w:tab/>
        </w:r>
        <w:r w:rsidR="000D423C">
          <w:rPr>
            <w:webHidden/>
          </w:rPr>
          <w:fldChar w:fldCharType="begin"/>
        </w:r>
        <w:r w:rsidR="000D423C">
          <w:rPr>
            <w:webHidden/>
          </w:rPr>
          <w:instrText xml:space="preserve"> PAGEREF _Toc418224888 \h </w:instrText>
        </w:r>
        <w:r w:rsidR="000D423C">
          <w:rPr>
            <w:webHidden/>
          </w:rPr>
        </w:r>
        <w:r w:rsidR="000D423C">
          <w:rPr>
            <w:webHidden/>
          </w:rPr>
          <w:fldChar w:fldCharType="separate"/>
        </w:r>
        <w:r w:rsidR="002242BF">
          <w:rPr>
            <w:webHidden/>
          </w:rPr>
          <w:t>87</w:t>
        </w:r>
        <w:r w:rsidR="000D423C">
          <w:rPr>
            <w:webHidden/>
          </w:rPr>
          <w:fldChar w:fldCharType="end"/>
        </w:r>
      </w:hyperlink>
    </w:p>
    <w:p w:rsidR="000D423C" w:rsidRDefault="00D26B32">
      <w:pPr>
        <w:pStyle w:val="TOC1"/>
        <w:tabs>
          <w:tab w:val="left" w:pos="2158"/>
        </w:tabs>
        <w:rPr>
          <w:rFonts w:asciiTheme="minorHAnsi" w:eastAsiaTheme="minorEastAsia" w:hAnsiTheme="minorHAnsi" w:cstheme="minorBidi"/>
          <w:b w:val="0"/>
          <w:sz w:val="22"/>
          <w:szCs w:val="22"/>
        </w:rPr>
      </w:pPr>
      <w:hyperlink w:anchor="_Toc418224889" w:history="1">
        <w:r w:rsidR="000D423C" w:rsidRPr="00C14159">
          <w:rPr>
            <w:rStyle w:val="Hyperlink"/>
          </w:rPr>
          <w:t>Appendix E</w:t>
        </w:r>
        <w:r w:rsidR="000D423C">
          <w:rPr>
            <w:rFonts w:asciiTheme="minorHAnsi" w:eastAsiaTheme="minorEastAsia" w:hAnsiTheme="minorHAnsi" w:cstheme="minorBidi"/>
            <w:b w:val="0"/>
            <w:sz w:val="22"/>
            <w:szCs w:val="22"/>
          </w:rPr>
          <w:tab/>
        </w:r>
        <w:r w:rsidR="000D423C" w:rsidRPr="00C14159">
          <w:rPr>
            <w:rStyle w:val="Hyperlink"/>
          </w:rPr>
          <w:t>Excluded studies</w:t>
        </w:r>
        <w:r w:rsidR="000D423C">
          <w:rPr>
            <w:webHidden/>
          </w:rPr>
          <w:tab/>
        </w:r>
        <w:r w:rsidR="000D423C">
          <w:rPr>
            <w:webHidden/>
          </w:rPr>
          <w:fldChar w:fldCharType="begin"/>
        </w:r>
        <w:r w:rsidR="000D423C">
          <w:rPr>
            <w:webHidden/>
          </w:rPr>
          <w:instrText xml:space="preserve"> PAGEREF _Toc418224889 \h </w:instrText>
        </w:r>
        <w:r w:rsidR="000D423C">
          <w:rPr>
            <w:webHidden/>
          </w:rPr>
        </w:r>
        <w:r w:rsidR="000D423C">
          <w:rPr>
            <w:webHidden/>
          </w:rPr>
          <w:fldChar w:fldCharType="separate"/>
        </w:r>
        <w:r w:rsidR="002242BF">
          <w:rPr>
            <w:webHidden/>
          </w:rPr>
          <w:t>88</w:t>
        </w:r>
        <w:r w:rsidR="000D423C">
          <w:rPr>
            <w:webHidden/>
          </w:rPr>
          <w:fldChar w:fldCharType="end"/>
        </w:r>
      </w:hyperlink>
    </w:p>
    <w:p w:rsidR="000D423C" w:rsidRDefault="00D26B32">
      <w:pPr>
        <w:pStyle w:val="TOC1"/>
        <w:tabs>
          <w:tab w:val="left" w:pos="2135"/>
        </w:tabs>
        <w:rPr>
          <w:rFonts w:asciiTheme="minorHAnsi" w:eastAsiaTheme="minorEastAsia" w:hAnsiTheme="minorHAnsi" w:cstheme="minorBidi"/>
          <w:b w:val="0"/>
          <w:sz w:val="22"/>
          <w:szCs w:val="22"/>
        </w:rPr>
      </w:pPr>
      <w:hyperlink w:anchor="_Toc418224890" w:history="1">
        <w:r w:rsidR="000D423C" w:rsidRPr="00C14159">
          <w:rPr>
            <w:rStyle w:val="Hyperlink"/>
          </w:rPr>
          <w:t>Appendix F</w:t>
        </w:r>
        <w:r w:rsidR="000D423C">
          <w:rPr>
            <w:rFonts w:asciiTheme="minorHAnsi" w:eastAsiaTheme="minorEastAsia" w:hAnsiTheme="minorHAnsi" w:cstheme="minorBidi"/>
            <w:b w:val="0"/>
            <w:sz w:val="22"/>
            <w:szCs w:val="22"/>
          </w:rPr>
          <w:tab/>
        </w:r>
        <w:r w:rsidR="000D423C" w:rsidRPr="00C14159">
          <w:rPr>
            <w:rStyle w:val="Hyperlink"/>
          </w:rPr>
          <w:t>Economic evaluation search strategy</w:t>
        </w:r>
        <w:r w:rsidR="000D423C">
          <w:rPr>
            <w:webHidden/>
          </w:rPr>
          <w:tab/>
        </w:r>
        <w:r w:rsidR="000D423C">
          <w:rPr>
            <w:webHidden/>
          </w:rPr>
          <w:fldChar w:fldCharType="begin"/>
        </w:r>
        <w:r w:rsidR="000D423C">
          <w:rPr>
            <w:webHidden/>
          </w:rPr>
          <w:instrText xml:space="preserve"> PAGEREF _Toc418224890 \h </w:instrText>
        </w:r>
        <w:r w:rsidR="000D423C">
          <w:rPr>
            <w:webHidden/>
          </w:rPr>
        </w:r>
        <w:r w:rsidR="000D423C">
          <w:rPr>
            <w:webHidden/>
          </w:rPr>
          <w:fldChar w:fldCharType="separate"/>
        </w:r>
        <w:r w:rsidR="002242BF">
          <w:rPr>
            <w:webHidden/>
          </w:rPr>
          <w:t>96</w:t>
        </w:r>
        <w:r w:rsidR="000D423C">
          <w:rPr>
            <w:webHidden/>
          </w:rPr>
          <w:fldChar w:fldCharType="end"/>
        </w:r>
      </w:hyperlink>
    </w:p>
    <w:p w:rsidR="000D423C" w:rsidRDefault="00D26B32">
      <w:pPr>
        <w:pStyle w:val="TOC1"/>
        <w:rPr>
          <w:rFonts w:asciiTheme="minorHAnsi" w:eastAsiaTheme="minorEastAsia" w:hAnsiTheme="minorHAnsi" w:cstheme="minorBidi"/>
          <w:b w:val="0"/>
          <w:sz w:val="22"/>
          <w:szCs w:val="22"/>
        </w:rPr>
      </w:pPr>
      <w:hyperlink w:anchor="_Toc418224891" w:history="1">
        <w:r w:rsidR="000D423C" w:rsidRPr="00C14159">
          <w:rPr>
            <w:rStyle w:val="Hyperlink"/>
          </w:rPr>
          <w:t>Glossary and abbreviations</w:t>
        </w:r>
        <w:r w:rsidR="000D423C">
          <w:rPr>
            <w:webHidden/>
          </w:rPr>
          <w:tab/>
        </w:r>
        <w:r w:rsidR="000D423C">
          <w:rPr>
            <w:webHidden/>
          </w:rPr>
          <w:fldChar w:fldCharType="begin"/>
        </w:r>
        <w:r w:rsidR="000D423C">
          <w:rPr>
            <w:webHidden/>
          </w:rPr>
          <w:instrText xml:space="preserve"> PAGEREF _Toc418224891 \h </w:instrText>
        </w:r>
        <w:r w:rsidR="000D423C">
          <w:rPr>
            <w:webHidden/>
          </w:rPr>
        </w:r>
        <w:r w:rsidR="000D423C">
          <w:rPr>
            <w:webHidden/>
          </w:rPr>
          <w:fldChar w:fldCharType="separate"/>
        </w:r>
        <w:r w:rsidR="002242BF">
          <w:rPr>
            <w:webHidden/>
          </w:rPr>
          <w:t>97</w:t>
        </w:r>
        <w:r w:rsidR="000D423C">
          <w:rPr>
            <w:webHidden/>
          </w:rPr>
          <w:fldChar w:fldCharType="end"/>
        </w:r>
      </w:hyperlink>
    </w:p>
    <w:p w:rsidR="000D423C" w:rsidRDefault="00D26B32">
      <w:pPr>
        <w:pStyle w:val="TOC1"/>
        <w:rPr>
          <w:rFonts w:asciiTheme="minorHAnsi" w:eastAsiaTheme="minorEastAsia" w:hAnsiTheme="minorHAnsi" w:cstheme="minorBidi"/>
          <w:b w:val="0"/>
          <w:sz w:val="22"/>
          <w:szCs w:val="22"/>
        </w:rPr>
      </w:pPr>
      <w:hyperlink w:anchor="_Toc418224892" w:history="1">
        <w:r w:rsidR="000D423C" w:rsidRPr="00C14159">
          <w:rPr>
            <w:rStyle w:val="Hyperlink"/>
          </w:rPr>
          <w:t>References</w:t>
        </w:r>
        <w:r w:rsidR="000D423C">
          <w:rPr>
            <w:webHidden/>
          </w:rPr>
          <w:tab/>
        </w:r>
        <w:r w:rsidR="000D423C">
          <w:rPr>
            <w:webHidden/>
          </w:rPr>
          <w:fldChar w:fldCharType="begin"/>
        </w:r>
        <w:r w:rsidR="000D423C">
          <w:rPr>
            <w:webHidden/>
          </w:rPr>
          <w:instrText xml:space="preserve"> PAGEREF _Toc418224892 \h </w:instrText>
        </w:r>
        <w:r w:rsidR="000D423C">
          <w:rPr>
            <w:webHidden/>
          </w:rPr>
        </w:r>
        <w:r w:rsidR="000D423C">
          <w:rPr>
            <w:webHidden/>
          </w:rPr>
          <w:fldChar w:fldCharType="separate"/>
        </w:r>
        <w:r w:rsidR="002242BF">
          <w:rPr>
            <w:webHidden/>
          </w:rPr>
          <w:t>99</w:t>
        </w:r>
        <w:r w:rsidR="000D423C">
          <w:rPr>
            <w:webHidden/>
          </w:rPr>
          <w:fldChar w:fldCharType="end"/>
        </w:r>
      </w:hyperlink>
    </w:p>
    <w:p w:rsidR="008F59A8" w:rsidRPr="004C6B15" w:rsidRDefault="00663116" w:rsidP="007F6EF6">
      <w:pPr>
        <w:pStyle w:val="Heading2a"/>
      </w:pPr>
      <w:r w:rsidRPr="004C6B15">
        <w:rPr>
          <w:rFonts w:ascii="Garamond" w:hAnsi="Garamond"/>
          <w:noProof/>
          <w:sz w:val="24"/>
        </w:rPr>
        <w:fldChar w:fldCharType="end"/>
      </w:r>
      <w:r w:rsidR="008F59A8" w:rsidRPr="004C6B15">
        <w:br w:type="page"/>
      </w:r>
      <w:r w:rsidR="008F59A8" w:rsidRPr="000D423C">
        <w:lastRenderedPageBreak/>
        <w:t>Tables</w:t>
      </w:r>
    </w:p>
    <w:p w:rsidR="000D423C" w:rsidRDefault="00A050A0">
      <w:pPr>
        <w:pStyle w:val="TableofFigures"/>
        <w:rPr>
          <w:rFonts w:asciiTheme="minorHAnsi" w:eastAsiaTheme="minorEastAsia" w:hAnsiTheme="minorHAnsi" w:cstheme="minorBidi"/>
          <w:sz w:val="22"/>
          <w:szCs w:val="22"/>
        </w:rPr>
      </w:pPr>
      <w:r>
        <w:fldChar w:fldCharType="begin"/>
      </w:r>
      <w:r>
        <w:instrText xml:space="preserve"> TOC \f T \h \z \t "Caption,Table and Figure name,Tablecaption" \c </w:instrText>
      </w:r>
      <w:r>
        <w:fldChar w:fldCharType="separate"/>
      </w:r>
      <w:hyperlink w:anchor="_Toc418224990" w:history="1">
        <w:r w:rsidR="000D423C" w:rsidRPr="00BB2795">
          <w:rPr>
            <w:rStyle w:val="Hyperlink"/>
          </w:rPr>
          <w:t>Table ES.1</w:t>
        </w:r>
        <w:r w:rsidR="000D423C">
          <w:rPr>
            <w:rFonts w:asciiTheme="minorHAnsi" w:eastAsiaTheme="minorEastAsia" w:hAnsiTheme="minorHAnsi" w:cstheme="minorBidi"/>
            <w:sz w:val="22"/>
            <w:szCs w:val="22"/>
          </w:rPr>
          <w:tab/>
        </w:r>
        <w:r w:rsidR="000D423C" w:rsidRPr="00BB2795">
          <w:rPr>
            <w:rStyle w:val="Hyperlink"/>
          </w:rPr>
          <w:t>Proposed MBS item descriptor for rapid point-of-care testing for HIV</w:t>
        </w:r>
        <w:r w:rsidR="000D423C">
          <w:rPr>
            <w:webHidden/>
          </w:rPr>
          <w:tab/>
        </w:r>
        <w:r w:rsidR="000D423C">
          <w:rPr>
            <w:webHidden/>
          </w:rPr>
          <w:fldChar w:fldCharType="begin"/>
        </w:r>
        <w:r w:rsidR="000D423C">
          <w:rPr>
            <w:webHidden/>
          </w:rPr>
          <w:instrText xml:space="preserve"> PAGEREF _Toc418224990 \h </w:instrText>
        </w:r>
        <w:r w:rsidR="000D423C">
          <w:rPr>
            <w:webHidden/>
          </w:rPr>
        </w:r>
        <w:r w:rsidR="000D423C">
          <w:rPr>
            <w:webHidden/>
          </w:rPr>
          <w:fldChar w:fldCharType="separate"/>
        </w:r>
        <w:r w:rsidR="002242BF">
          <w:rPr>
            <w:webHidden/>
          </w:rPr>
          <w:t>viii</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4992" w:history="1">
        <w:r w:rsidR="000D423C" w:rsidRPr="00BB2795">
          <w:rPr>
            <w:rStyle w:val="Hyperlink"/>
          </w:rPr>
          <w:t>Table 1</w:t>
        </w:r>
        <w:r w:rsidR="000D423C">
          <w:rPr>
            <w:rFonts w:asciiTheme="minorHAnsi" w:eastAsiaTheme="minorEastAsia" w:hAnsiTheme="minorHAnsi" w:cstheme="minorBidi"/>
            <w:sz w:val="22"/>
            <w:szCs w:val="22"/>
          </w:rPr>
          <w:tab/>
        </w:r>
        <w:r w:rsidR="000D423C" w:rsidRPr="00BB2795">
          <w:rPr>
            <w:rStyle w:val="Hyperlink"/>
          </w:rPr>
          <w:t>HIV prevalence among selected populations in Australia</w:t>
        </w:r>
        <w:r w:rsidR="000D423C">
          <w:rPr>
            <w:webHidden/>
          </w:rPr>
          <w:tab/>
        </w:r>
        <w:r w:rsidR="000D423C">
          <w:rPr>
            <w:webHidden/>
          </w:rPr>
          <w:fldChar w:fldCharType="begin"/>
        </w:r>
        <w:r w:rsidR="000D423C">
          <w:rPr>
            <w:webHidden/>
          </w:rPr>
          <w:instrText xml:space="preserve"> PAGEREF _Toc418224992 \h </w:instrText>
        </w:r>
        <w:r w:rsidR="000D423C">
          <w:rPr>
            <w:webHidden/>
          </w:rPr>
        </w:r>
        <w:r w:rsidR="000D423C">
          <w:rPr>
            <w:webHidden/>
          </w:rPr>
          <w:fldChar w:fldCharType="separate"/>
        </w:r>
        <w:r w:rsidR="002242BF">
          <w:rPr>
            <w:webHidden/>
          </w:rPr>
          <w:t>17</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4993" w:history="1">
        <w:r w:rsidR="000D423C" w:rsidRPr="00BB2795">
          <w:rPr>
            <w:rStyle w:val="Hyperlink"/>
          </w:rPr>
          <w:t>Table 2</w:t>
        </w:r>
        <w:r w:rsidR="000D423C">
          <w:rPr>
            <w:rFonts w:asciiTheme="minorHAnsi" w:eastAsiaTheme="minorEastAsia" w:hAnsiTheme="minorHAnsi" w:cstheme="minorBidi"/>
            <w:sz w:val="22"/>
            <w:szCs w:val="22"/>
          </w:rPr>
          <w:tab/>
        </w:r>
        <w:r w:rsidR="000D423C" w:rsidRPr="00BB2795">
          <w:rPr>
            <w:rStyle w:val="Hyperlink"/>
          </w:rPr>
          <w:t>Reported barriers to conventional HIV testing indicated by men according to testing history and those who had engaged and not engaged in unprotected anal intercourse with casual partners (UAIC)</w:t>
        </w:r>
        <w:r w:rsidR="000D423C">
          <w:rPr>
            <w:webHidden/>
          </w:rPr>
          <w:tab/>
        </w:r>
        <w:r w:rsidR="000D423C">
          <w:rPr>
            <w:webHidden/>
          </w:rPr>
          <w:fldChar w:fldCharType="begin"/>
        </w:r>
        <w:r w:rsidR="000D423C">
          <w:rPr>
            <w:webHidden/>
          </w:rPr>
          <w:instrText xml:space="preserve"> PAGEREF _Toc418224993 \h </w:instrText>
        </w:r>
        <w:r w:rsidR="000D423C">
          <w:rPr>
            <w:webHidden/>
          </w:rPr>
        </w:r>
        <w:r w:rsidR="000D423C">
          <w:rPr>
            <w:webHidden/>
          </w:rPr>
          <w:fldChar w:fldCharType="separate"/>
        </w:r>
        <w:r w:rsidR="002242BF">
          <w:rPr>
            <w:webHidden/>
          </w:rPr>
          <w:t>21</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4994" w:history="1">
        <w:r w:rsidR="000D423C" w:rsidRPr="00BB2795">
          <w:rPr>
            <w:rStyle w:val="Hyperlink"/>
          </w:rPr>
          <w:t>Table 3</w:t>
        </w:r>
        <w:r w:rsidR="000D423C">
          <w:rPr>
            <w:rFonts w:asciiTheme="minorHAnsi" w:eastAsiaTheme="minorEastAsia" w:hAnsiTheme="minorHAnsi" w:cstheme="minorBidi"/>
            <w:sz w:val="22"/>
            <w:szCs w:val="22"/>
          </w:rPr>
          <w:tab/>
        </w:r>
        <w:r w:rsidR="000D423C" w:rsidRPr="00BB2795">
          <w:rPr>
            <w:rStyle w:val="Hyperlink"/>
          </w:rPr>
          <w:t>Number of clinics in Australia offering rapid point-of-care testing for HIV (March 2015)</w:t>
        </w:r>
        <w:r w:rsidR="000D423C">
          <w:rPr>
            <w:webHidden/>
          </w:rPr>
          <w:tab/>
        </w:r>
        <w:r w:rsidR="000D423C">
          <w:rPr>
            <w:webHidden/>
          </w:rPr>
          <w:fldChar w:fldCharType="begin"/>
        </w:r>
        <w:r w:rsidR="000D423C">
          <w:rPr>
            <w:webHidden/>
          </w:rPr>
          <w:instrText xml:space="preserve"> PAGEREF _Toc418224994 \h </w:instrText>
        </w:r>
        <w:r w:rsidR="000D423C">
          <w:rPr>
            <w:webHidden/>
          </w:rPr>
        </w:r>
        <w:r w:rsidR="000D423C">
          <w:rPr>
            <w:webHidden/>
          </w:rPr>
          <w:fldChar w:fldCharType="separate"/>
        </w:r>
        <w:r w:rsidR="002242BF">
          <w:rPr>
            <w:webHidden/>
          </w:rPr>
          <w:t>24</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4995" w:history="1">
        <w:r w:rsidR="000D423C" w:rsidRPr="00BB2795">
          <w:rPr>
            <w:rStyle w:val="Hyperlink"/>
          </w:rPr>
          <w:t>Table 4</w:t>
        </w:r>
        <w:r w:rsidR="000D423C">
          <w:rPr>
            <w:rFonts w:asciiTheme="minorHAnsi" w:eastAsiaTheme="minorEastAsia" w:hAnsiTheme="minorHAnsi" w:cstheme="minorBidi"/>
            <w:sz w:val="22"/>
            <w:szCs w:val="22"/>
          </w:rPr>
          <w:tab/>
        </w:r>
        <w:r w:rsidR="000D423C" w:rsidRPr="00BB2795">
          <w:rPr>
            <w:rStyle w:val="Hyperlink"/>
          </w:rPr>
          <w:t>Proposed MBS item descriptor for rapid point-of-care testing for HIV</w:t>
        </w:r>
        <w:r w:rsidR="000D423C">
          <w:rPr>
            <w:webHidden/>
          </w:rPr>
          <w:tab/>
        </w:r>
        <w:r w:rsidR="000D423C">
          <w:rPr>
            <w:webHidden/>
          </w:rPr>
          <w:fldChar w:fldCharType="begin"/>
        </w:r>
        <w:r w:rsidR="000D423C">
          <w:rPr>
            <w:webHidden/>
          </w:rPr>
          <w:instrText xml:space="preserve"> PAGEREF _Toc418224995 \h </w:instrText>
        </w:r>
        <w:r w:rsidR="000D423C">
          <w:rPr>
            <w:webHidden/>
          </w:rPr>
        </w:r>
        <w:r w:rsidR="000D423C">
          <w:rPr>
            <w:webHidden/>
          </w:rPr>
          <w:fldChar w:fldCharType="separate"/>
        </w:r>
        <w:r w:rsidR="002242BF">
          <w:rPr>
            <w:webHidden/>
          </w:rPr>
          <w:t>25</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4996" w:history="1">
        <w:r w:rsidR="000D423C" w:rsidRPr="00BB2795">
          <w:rPr>
            <w:rStyle w:val="Hyperlink"/>
          </w:rPr>
          <w:t>Table 5</w:t>
        </w:r>
        <w:r w:rsidR="000D423C">
          <w:rPr>
            <w:rFonts w:asciiTheme="minorHAnsi" w:eastAsiaTheme="minorEastAsia" w:hAnsiTheme="minorHAnsi" w:cstheme="minorBidi"/>
            <w:sz w:val="22"/>
            <w:szCs w:val="22"/>
          </w:rPr>
          <w:tab/>
        </w:r>
        <w:r w:rsidR="000D423C" w:rsidRPr="00BB2795">
          <w:rPr>
            <w:rStyle w:val="Hyperlink"/>
          </w:rPr>
          <w:t>MBS item numbers and descriptors associated with serology testing for HIV</w:t>
        </w:r>
        <w:r w:rsidR="000D423C">
          <w:rPr>
            <w:webHidden/>
          </w:rPr>
          <w:tab/>
        </w:r>
        <w:r w:rsidR="000D423C">
          <w:rPr>
            <w:webHidden/>
          </w:rPr>
          <w:fldChar w:fldCharType="begin"/>
        </w:r>
        <w:r w:rsidR="000D423C">
          <w:rPr>
            <w:webHidden/>
          </w:rPr>
          <w:instrText xml:space="preserve"> PAGEREF _Toc418224996 \h </w:instrText>
        </w:r>
        <w:r w:rsidR="000D423C">
          <w:rPr>
            <w:webHidden/>
          </w:rPr>
        </w:r>
        <w:r w:rsidR="000D423C">
          <w:rPr>
            <w:webHidden/>
          </w:rPr>
          <w:fldChar w:fldCharType="separate"/>
        </w:r>
        <w:r w:rsidR="002242BF">
          <w:rPr>
            <w:webHidden/>
          </w:rPr>
          <w:t>27</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4997" w:history="1">
        <w:r w:rsidR="000D423C" w:rsidRPr="00BB2795">
          <w:rPr>
            <w:rStyle w:val="Hyperlink"/>
          </w:rPr>
          <w:t>Table 6</w:t>
        </w:r>
        <w:r w:rsidR="000D423C">
          <w:rPr>
            <w:rFonts w:asciiTheme="minorHAnsi" w:eastAsiaTheme="minorEastAsia" w:hAnsiTheme="minorHAnsi" w:cstheme="minorBidi"/>
            <w:sz w:val="22"/>
            <w:szCs w:val="22"/>
          </w:rPr>
          <w:tab/>
        </w:r>
        <w:r w:rsidR="000D423C" w:rsidRPr="00BB2795">
          <w:rPr>
            <w:rStyle w:val="Hyperlink"/>
          </w:rPr>
          <w:t>Additional pathology MBS item numbers and descriptors associated with testing for HIV</w:t>
        </w:r>
        <w:r w:rsidR="000D423C">
          <w:rPr>
            <w:webHidden/>
          </w:rPr>
          <w:tab/>
        </w:r>
        <w:r w:rsidR="000D423C">
          <w:rPr>
            <w:webHidden/>
          </w:rPr>
          <w:fldChar w:fldCharType="begin"/>
        </w:r>
        <w:r w:rsidR="000D423C">
          <w:rPr>
            <w:webHidden/>
          </w:rPr>
          <w:instrText xml:space="preserve"> PAGEREF _Toc418224997 \h </w:instrText>
        </w:r>
        <w:r w:rsidR="000D423C">
          <w:rPr>
            <w:webHidden/>
          </w:rPr>
        </w:r>
        <w:r w:rsidR="000D423C">
          <w:rPr>
            <w:webHidden/>
          </w:rPr>
          <w:fldChar w:fldCharType="separate"/>
        </w:r>
        <w:r w:rsidR="002242BF">
          <w:rPr>
            <w:webHidden/>
          </w:rPr>
          <w:t>28</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4999" w:history="1">
        <w:r w:rsidR="000D423C" w:rsidRPr="00BB2795">
          <w:rPr>
            <w:rStyle w:val="Hyperlink"/>
          </w:rPr>
          <w:t>Table 7</w:t>
        </w:r>
        <w:r w:rsidR="000D423C">
          <w:rPr>
            <w:rFonts w:asciiTheme="minorHAnsi" w:eastAsiaTheme="minorEastAsia" w:hAnsiTheme="minorHAnsi" w:cstheme="minorBidi"/>
            <w:sz w:val="22"/>
            <w:szCs w:val="22"/>
          </w:rPr>
          <w:tab/>
        </w:r>
        <w:r w:rsidR="000D423C" w:rsidRPr="00BB2795">
          <w:rPr>
            <w:rStyle w:val="Hyperlink"/>
          </w:rPr>
          <w:t>Electronic databases searched</w:t>
        </w:r>
        <w:r w:rsidR="000D423C">
          <w:rPr>
            <w:webHidden/>
          </w:rPr>
          <w:tab/>
        </w:r>
        <w:r w:rsidR="000D423C">
          <w:rPr>
            <w:webHidden/>
          </w:rPr>
          <w:fldChar w:fldCharType="begin"/>
        </w:r>
        <w:r w:rsidR="000D423C">
          <w:rPr>
            <w:webHidden/>
          </w:rPr>
          <w:instrText xml:space="preserve"> PAGEREF _Toc418224999 \h </w:instrText>
        </w:r>
        <w:r w:rsidR="000D423C">
          <w:rPr>
            <w:webHidden/>
          </w:rPr>
        </w:r>
        <w:r w:rsidR="000D423C">
          <w:rPr>
            <w:webHidden/>
          </w:rPr>
          <w:fldChar w:fldCharType="separate"/>
        </w:r>
        <w:r w:rsidR="002242BF">
          <w:rPr>
            <w:webHidden/>
          </w:rPr>
          <w:t>32</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01" w:history="1">
        <w:r w:rsidR="000D423C" w:rsidRPr="00BB2795">
          <w:rPr>
            <w:rStyle w:val="Hyperlink"/>
          </w:rPr>
          <w:t>Table 8</w:t>
        </w:r>
        <w:r w:rsidR="000D423C">
          <w:rPr>
            <w:rFonts w:asciiTheme="minorHAnsi" w:eastAsiaTheme="minorEastAsia" w:hAnsiTheme="minorHAnsi" w:cstheme="minorBidi"/>
            <w:sz w:val="22"/>
            <w:szCs w:val="22"/>
          </w:rPr>
          <w:tab/>
        </w:r>
        <w:r w:rsidR="000D423C" w:rsidRPr="00BB2795">
          <w:rPr>
            <w:rStyle w:val="Hyperlink"/>
          </w:rPr>
          <w:t>Evidence dimensions</w:t>
        </w:r>
        <w:r w:rsidR="000D423C">
          <w:rPr>
            <w:webHidden/>
          </w:rPr>
          <w:tab/>
        </w:r>
        <w:r w:rsidR="000D423C">
          <w:rPr>
            <w:webHidden/>
          </w:rPr>
          <w:fldChar w:fldCharType="begin"/>
        </w:r>
        <w:r w:rsidR="000D423C">
          <w:rPr>
            <w:webHidden/>
          </w:rPr>
          <w:instrText xml:space="preserve"> PAGEREF _Toc418225001 \h </w:instrText>
        </w:r>
        <w:r w:rsidR="000D423C">
          <w:rPr>
            <w:webHidden/>
          </w:rPr>
        </w:r>
        <w:r w:rsidR="000D423C">
          <w:rPr>
            <w:webHidden/>
          </w:rPr>
          <w:fldChar w:fldCharType="separate"/>
        </w:r>
        <w:r w:rsidR="002242BF">
          <w:rPr>
            <w:webHidden/>
          </w:rPr>
          <w:t>35</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02" w:history="1">
        <w:r w:rsidR="000D423C" w:rsidRPr="00BB2795">
          <w:rPr>
            <w:rStyle w:val="Hyperlink"/>
          </w:rPr>
          <w:t>Table 9</w:t>
        </w:r>
        <w:r w:rsidR="000D423C">
          <w:rPr>
            <w:rFonts w:asciiTheme="minorHAnsi" w:eastAsiaTheme="minorEastAsia" w:hAnsiTheme="minorHAnsi" w:cstheme="minorBidi"/>
            <w:sz w:val="22"/>
            <w:szCs w:val="22"/>
          </w:rPr>
          <w:tab/>
        </w:r>
        <w:r w:rsidR="000D423C" w:rsidRPr="00BB2795">
          <w:rPr>
            <w:rStyle w:val="Hyperlink"/>
          </w:rPr>
          <w:t>Designations of levels of evidence according to type of research question (including table notes) (NHMRC 2008)</w:t>
        </w:r>
        <w:r w:rsidR="000D423C">
          <w:rPr>
            <w:webHidden/>
          </w:rPr>
          <w:tab/>
        </w:r>
        <w:r w:rsidR="000D423C">
          <w:rPr>
            <w:webHidden/>
          </w:rPr>
          <w:fldChar w:fldCharType="begin"/>
        </w:r>
        <w:r w:rsidR="000D423C">
          <w:rPr>
            <w:webHidden/>
          </w:rPr>
          <w:instrText xml:space="preserve"> PAGEREF _Toc418225002 \h </w:instrText>
        </w:r>
        <w:r w:rsidR="000D423C">
          <w:rPr>
            <w:webHidden/>
          </w:rPr>
        </w:r>
        <w:r w:rsidR="000D423C">
          <w:rPr>
            <w:webHidden/>
          </w:rPr>
          <w:fldChar w:fldCharType="separate"/>
        </w:r>
        <w:r w:rsidR="002242BF">
          <w:rPr>
            <w:webHidden/>
          </w:rPr>
          <w:t>37</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03" w:history="1">
        <w:r w:rsidR="000D423C" w:rsidRPr="00BB2795">
          <w:rPr>
            <w:rStyle w:val="Hyperlink"/>
          </w:rPr>
          <w:t>Table 10</w:t>
        </w:r>
        <w:r w:rsidR="000D423C">
          <w:rPr>
            <w:rFonts w:asciiTheme="minorHAnsi" w:eastAsiaTheme="minorEastAsia" w:hAnsiTheme="minorHAnsi" w:cstheme="minorBidi"/>
            <w:sz w:val="22"/>
            <w:szCs w:val="22"/>
          </w:rPr>
          <w:tab/>
        </w:r>
        <w:r w:rsidR="000D423C" w:rsidRPr="00BB2795">
          <w:rPr>
            <w:rStyle w:val="Hyperlink"/>
          </w:rPr>
          <w:t>Grading system used to rank included studies</w:t>
        </w:r>
        <w:r w:rsidR="000D423C">
          <w:rPr>
            <w:webHidden/>
          </w:rPr>
          <w:tab/>
        </w:r>
        <w:r w:rsidR="000D423C">
          <w:rPr>
            <w:webHidden/>
          </w:rPr>
          <w:fldChar w:fldCharType="begin"/>
        </w:r>
        <w:r w:rsidR="000D423C">
          <w:rPr>
            <w:webHidden/>
          </w:rPr>
          <w:instrText xml:space="preserve"> PAGEREF _Toc418225003 \h </w:instrText>
        </w:r>
        <w:r w:rsidR="000D423C">
          <w:rPr>
            <w:webHidden/>
          </w:rPr>
        </w:r>
        <w:r w:rsidR="000D423C">
          <w:rPr>
            <w:webHidden/>
          </w:rPr>
          <w:fldChar w:fldCharType="separate"/>
        </w:r>
        <w:r w:rsidR="002242BF">
          <w:rPr>
            <w:webHidden/>
          </w:rPr>
          <w:t>38</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04" w:history="1">
        <w:r w:rsidR="000D423C" w:rsidRPr="00BB2795">
          <w:rPr>
            <w:rStyle w:val="Hyperlink"/>
          </w:rPr>
          <w:t>Table 11</w:t>
        </w:r>
        <w:r w:rsidR="000D423C">
          <w:rPr>
            <w:rFonts w:asciiTheme="minorHAnsi" w:eastAsiaTheme="minorEastAsia" w:hAnsiTheme="minorHAnsi" w:cstheme="minorBidi"/>
            <w:sz w:val="22"/>
            <w:szCs w:val="22"/>
          </w:rPr>
          <w:tab/>
        </w:r>
        <w:r w:rsidR="000D423C" w:rsidRPr="00BB2795">
          <w:rPr>
            <w:rStyle w:val="Hyperlink"/>
          </w:rPr>
          <w:t>Body of evidence assessment matrix</w:t>
        </w:r>
        <w:r w:rsidR="000D423C">
          <w:rPr>
            <w:webHidden/>
          </w:rPr>
          <w:tab/>
        </w:r>
        <w:r w:rsidR="000D423C">
          <w:rPr>
            <w:webHidden/>
          </w:rPr>
          <w:fldChar w:fldCharType="begin"/>
        </w:r>
        <w:r w:rsidR="000D423C">
          <w:rPr>
            <w:webHidden/>
          </w:rPr>
          <w:instrText xml:space="preserve"> PAGEREF _Toc418225004 \h </w:instrText>
        </w:r>
        <w:r w:rsidR="000D423C">
          <w:rPr>
            <w:webHidden/>
          </w:rPr>
        </w:r>
        <w:r w:rsidR="000D423C">
          <w:rPr>
            <w:webHidden/>
          </w:rPr>
          <w:fldChar w:fldCharType="separate"/>
        </w:r>
        <w:r w:rsidR="002242BF">
          <w:rPr>
            <w:webHidden/>
          </w:rPr>
          <w:t>40</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05" w:history="1">
        <w:r w:rsidR="000D423C" w:rsidRPr="00BB2795">
          <w:rPr>
            <w:rStyle w:val="Hyperlink"/>
          </w:rPr>
          <w:t>Table 12</w:t>
        </w:r>
        <w:r w:rsidR="000D423C">
          <w:rPr>
            <w:rFonts w:asciiTheme="minorHAnsi" w:eastAsiaTheme="minorEastAsia" w:hAnsiTheme="minorHAnsi" w:cstheme="minorBidi"/>
            <w:sz w:val="22"/>
            <w:szCs w:val="22"/>
          </w:rPr>
          <w:tab/>
        </w:r>
        <w:r w:rsidR="000D423C" w:rsidRPr="00BB2795">
          <w:rPr>
            <w:rStyle w:val="Hyperlink"/>
          </w:rPr>
          <w:t>Diagnostic characteristics of the DHC test compared with serology testing for HIV</w:t>
        </w:r>
        <w:r w:rsidR="000D423C">
          <w:rPr>
            <w:webHidden/>
          </w:rPr>
          <w:tab/>
        </w:r>
        <w:r w:rsidR="000D423C">
          <w:rPr>
            <w:webHidden/>
          </w:rPr>
          <w:fldChar w:fldCharType="begin"/>
        </w:r>
        <w:r w:rsidR="000D423C">
          <w:rPr>
            <w:webHidden/>
          </w:rPr>
          <w:instrText xml:space="preserve"> PAGEREF _Toc418225005 \h </w:instrText>
        </w:r>
        <w:r w:rsidR="000D423C">
          <w:rPr>
            <w:webHidden/>
          </w:rPr>
        </w:r>
        <w:r w:rsidR="000D423C">
          <w:rPr>
            <w:webHidden/>
          </w:rPr>
          <w:fldChar w:fldCharType="separate"/>
        </w:r>
        <w:r w:rsidR="002242BF">
          <w:rPr>
            <w:webHidden/>
          </w:rPr>
          <w:t>46</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06" w:history="1">
        <w:r w:rsidR="000D423C" w:rsidRPr="00BB2795">
          <w:rPr>
            <w:rStyle w:val="Hyperlink"/>
          </w:rPr>
          <w:t>Table 13</w:t>
        </w:r>
        <w:r w:rsidR="000D423C">
          <w:rPr>
            <w:rFonts w:asciiTheme="minorHAnsi" w:eastAsiaTheme="minorEastAsia" w:hAnsiTheme="minorHAnsi" w:cstheme="minorBidi"/>
            <w:sz w:val="22"/>
            <w:szCs w:val="22"/>
          </w:rPr>
          <w:tab/>
        </w:r>
        <w:r w:rsidR="000D423C" w:rsidRPr="00BB2795">
          <w:rPr>
            <w:rStyle w:val="Hyperlink"/>
          </w:rPr>
          <w:t>Diagnostic characteristics of the components of the DHC test compared with serology testing for HIV reported in Conway (2014)</w:t>
        </w:r>
        <w:r w:rsidR="000D423C">
          <w:rPr>
            <w:webHidden/>
          </w:rPr>
          <w:tab/>
        </w:r>
        <w:r w:rsidR="000D423C">
          <w:rPr>
            <w:webHidden/>
          </w:rPr>
          <w:fldChar w:fldCharType="begin"/>
        </w:r>
        <w:r w:rsidR="000D423C">
          <w:rPr>
            <w:webHidden/>
          </w:rPr>
          <w:instrText xml:space="preserve"> PAGEREF _Toc418225006 \h </w:instrText>
        </w:r>
        <w:r w:rsidR="000D423C">
          <w:rPr>
            <w:webHidden/>
          </w:rPr>
        </w:r>
        <w:r w:rsidR="000D423C">
          <w:rPr>
            <w:webHidden/>
          </w:rPr>
          <w:fldChar w:fldCharType="separate"/>
        </w:r>
        <w:r w:rsidR="002242BF">
          <w:rPr>
            <w:webHidden/>
          </w:rPr>
          <w:t>47</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07" w:history="1">
        <w:r w:rsidR="000D423C" w:rsidRPr="00BB2795">
          <w:rPr>
            <w:rStyle w:val="Hyperlink"/>
          </w:rPr>
          <w:t>Table 14</w:t>
        </w:r>
        <w:r w:rsidR="000D423C">
          <w:rPr>
            <w:rFonts w:asciiTheme="minorHAnsi" w:eastAsiaTheme="minorEastAsia" w:hAnsiTheme="minorHAnsi" w:cstheme="minorBidi"/>
            <w:sz w:val="22"/>
            <w:szCs w:val="22"/>
          </w:rPr>
          <w:tab/>
        </w:r>
        <w:r w:rsidR="000D423C" w:rsidRPr="00BB2795">
          <w:rPr>
            <w:rStyle w:val="Hyperlink"/>
          </w:rPr>
          <w:t>Responses to the first and second questionnaires reported in Conway (2013a)</w:t>
        </w:r>
        <w:r w:rsidR="000D423C">
          <w:rPr>
            <w:webHidden/>
          </w:rPr>
          <w:tab/>
        </w:r>
        <w:r w:rsidR="000D423C">
          <w:rPr>
            <w:webHidden/>
          </w:rPr>
          <w:fldChar w:fldCharType="begin"/>
        </w:r>
        <w:r w:rsidR="000D423C">
          <w:rPr>
            <w:webHidden/>
          </w:rPr>
          <w:instrText xml:space="preserve"> PAGEREF _Toc418225007 \h </w:instrText>
        </w:r>
        <w:r w:rsidR="000D423C">
          <w:rPr>
            <w:webHidden/>
          </w:rPr>
        </w:r>
        <w:r w:rsidR="000D423C">
          <w:rPr>
            <w:webHidden/>
          </w:rPr>
          <w:fldChar w:fldCharType="separate"/>
        </w:r>
        <w:r w:rsidR="002242BF">
          <w:rPr>
            <w:webHidden/>
          </w:rPr>
          <w:t>48</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08" w:history="1">
        <w:r w:rsidR="000D423C" w:rsidRPr="00BB2795">
          <w:rPr>
            <w:rStyle w:val="Hyperlink"/>
          </w:rPr>
          <w:t>Table 15</w:t>
        </w:r>
        <w:r w:rsidR="000D423C">
          <w:rPr>
            <w:rFonts w:asciiTheme="minorHAnsi" w:eastAsiaTheme="minorEastAsia" w:hAnsiTheme="minorHAnsi" w:cstheme="minorBidi"/>
            <w:sz w:val="22"/>
            <w:szCs w:val="22"/>
          </w:rPr>
          <w:tab/>
        </w:r>
        <w:r w:rsidR="000D423C" w:rsidRPr="00BB2795">
          <w:rPr>
            <w:rStyle w:val="Hyperlink"/>
          </w:rPr>
          <w:t>Responses by doctors and nurses for the second questionnaire reported in Conway (2013a)</w:t>
        </w:r>
        <w:r w:rsidR="000D423C">
          <w:rPr>
            <w:webHidden/>
          </w:rPr>
          <w:tab/>
        </w:r>
        <w:r w:rsidR="000D423C">
          <w:rPr>
            <w:webHidden/>
          </w:rPr>
          <w:fldChar w:fldCharType="begin"/>
        </w:r>
        <w:r w:rsidR="000D423C">
          <w:rPr>
            <w:webHidden/>
          </w:rPr>
          <w:instrText xml:space="preserve"> PAGEREF _Toc418225008 \h </w:instrText>
        </w:r>
        <w:r w:rsidR="000D423C">
          <w:rPr>
            <w:webHidden/>
          </w:rPr>
        </w:r>
        <w:r w:rsidR="000D423C">
          <w:rPr>
            <w:webHidden/>
          </w:rPr>
          <w:fldChar w:fldCharType="separate"/>
        </w:r>
        <w:r w:rsidR="002242BF">
          <w:rPr>
            <w:webHidden/>
          </w:rPr>
          <w:t>48</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09" w:history="1">
        <w:r w:rsidR="000D423C" w:rsidRPr="00BB2795">
          <w:rPr>
            <w:rStyle w:val="Hyperlink"/>
          </w:rPr>
          <w:t>Table 16</w:t>
        </w:r>
        <w:r w:rsidR="000D423C">
          <w:rPr>
            <w:rFonts w:asciiTheme="minorHAnsi" w:eastAsiaTheme="minorEastAsia" w:hAnsiTheme="minorHAnsi" w:cstheme="minorBidi"/>
            <w:sz w:val="22"/>
            <w:szCs w:val="22"/>
          </w:rPr>
          <w:tab/>
        </w:r>
        <w:r w:rsidR="000D423C" w:rsidRPr="00BB2795">
          <w:rPr>
            <w:rStyle w:val="Hyperlink"/>
          </w:rPr>
          <w:t>Outcomes reported by Read (2013)</w:t>
        </w:r>
        <w:r w:rsidR="000D423C">
          <w:rPr>
            <w:webHidden/>
          </w:rPr>
          <w:tab/>
        </w:r>
        <w:r w:rsidR="000D423C">
          <w:rPr>
            <w:webHidden/>
          </w:rPr>
          <w:fldChar w:fldCharType="begin"/>
        </w:r>
        <w:r w:rsidR="000D423C">
          <w:rPr>
            <w:webHidden/>
          </w:rPr>
          <w:instrText xml:space="preserve"> PAGEREF _Toc418225009 \h </w:instrText>
        </w:r>
        <w:r w:rsidR="000D423C">
          <w:rPr>
            <w:webHidden/>
          </w:rPr>
        </w:r>
        <w:r w:rsidR="000D423C">
          <w:rPr>
            <w:webHidden/>
          </w:rPr>
          <w:fldChar w:fldCharType="separate"/>
        </w:r>
        <w:r w:rsidR="002242BF">
          <w:rPr>
            <w:webHidden/>
          </w:rPr>
          <w:t>49</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10" w:history="1">
        <w:r w:rsidR="000D423C" w:rsidRPr="00BB2795">
          <w:rPr>
            <w:rStyle w:val="Hyperlink"/>
          </w:rPr>
          <w:t>Table 17</w:t>
        </w:r>
        <w:r w:rsidR="000D423C">
          <w:rPr>
            <w:rFonts w:asciiTheme="minorHAnsi" w:eastAsiaTheme="minorEastAsia" w:hAnsiTheme="minorHAnsi" w:cstheme="minorBidi"/>
            <w:sz w:val="22"/>
            <w:szCs w:val="22"/>
          </w:rPr>
          <w:tab/>
        </w:r>
        <w:r w:rsidR="000D423C" w:rsidRPr="00BB2795">
          <w:rPr>
            <w:rStyle w:val="Hyperlink"/>
          </w:rPr>
          <w:t>Studies presenting modelled analyses of POCT versus laboratory HIV testing programs</w:t>
        </w:r>
        <w:r w:rsidR="000D423C">
          <w:rPr>
            <w:webHidden/>
          </w:rPr>
          <w:tab/>
        </w:r>
        <w:r w:rsidR="000D423C">
          <w:rPr>
            <w:webHidden/>
          </w:rPr>
          <w:fldChar w:fldCharType="begin"/>
        </w:r>
        <w:r w:rsidR="000D423C">
          <w:rPr>
            <w:webHidden/>
          </w:rPr>
          <w:instrText xml:space="preserve"> PAGEREF _Toc418225010 \h </w:instrText>
        </w:r>
        <w:r w:rsidR="000D423C">
          <w:rPr>
            <w:webHidden/>
          </w:rPr>
        </w:r>
        <w:r w:rsidR="000D423C">
          <w:rPr>
            <w:webHidden/>
          </w:rPr>
          <w:fldChar w:fldCharType="separate"/>
        </w:r>
        <w:r w:rsidR="002242BF">
          <w:rPr>
            <w:webHidden/>
          </w:rPr>
          <w:t>53</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12" w:history="1">
        <w:r w:rsidR="000D423C" w:rsidRPr="00BB2795">
          <w:rPr>
            <w:rStyle w:val="Hyperlink"/>
          </w:rPr>
          <w:t>Table 18</w:t>
        </w:r>
        <w:r w:rsidR="000D423C">
          <w:rPr>
            <w:rFonts w:asciiTheme="minorHAnsi" w:eastAsiaTheme="minorEastAsia" w:hAnsiTheme="minorHAnsi" w:cstheme="minorBidi"/>
            <w:sz w:val="22"/>
            <w:szCs w:val="22"/>
          </w:rPr>
          <w:tab/>
        </w:r>
        <w:r w:rsidR="000D423C" w:rsidRPr="00BB2795">
          <w:rPr>
            <w:rStyle w:val="Hyperlink"/>
          </w:rPr>
          <w:t>Outcomes reported by the model</w:t>
        </w:r>
        <w:r w:rsidR="000D423C">
          <w:rPr>
            <w:webHidden/>
          </w:rPr>
          <w:tab/>
        </w:r>
        <w:r w:rsidR="000D423C">
          <w:rPr>
            <w:webHidden/>
          </w:rPr>
          <w:fldChar w:fldCharType="begin"/>
        </w:r>
        <w:r w:rsidR="000D423C">
          <w:rPr>
            <w:webHidden/>
          </w:rPr>
          <w:instrText xml:space="preserve"> PAGEREF _Toc418225012 \h </w:instrText>
        </w:r>
        <w:r w:rsidR="000D423C">
          <w:rPr>
            <w:webHidden/>
          </w:rPr>
        </w:r>
        <w:r w:rsidR="000D423C">
          <w:rPr>
            <w:webHidden/>
          </w:rPr>
          <w:fldChar w:fldCharType="separate"/>
        </w:r>
        <w:r w:rsidR="002242BF">
          <w:rPr>
            <w:webHidden/>
          </w:rPr>
          <w:t>57</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14" w:history="1">
        <w:r w:rsidR="000D423C" w:rsidRPr="00BB2795">
          <w:rPr>
            <w:rStyle w:val="Hyperlink"/>
          </w:rPr>
          <w:t>Table 19</w:t>
        </w:r>
        <w:r w:rsidR="000D423C">
          <w:rPr>
            <w:rFonts w:asciiTheme="minorHAnsi" w:eastAsiaTheme="minorEastAsia" w:hAnsiTheme="minorHAnsi" w:cstheme="minorBidi"/>
            <w:sz w:val="22"/>
            <w:szCs w:val="22"/>
          </w:rPr>
          <w:tab/>
        </w:r>
        <w:r w:rsidR="000D423C" w:rsidRPr="00BB2795">
          <w:rPr>
            <w:rStyle w:val="Hyperlink"/>
          </w:rPr>
          <w:t>Summary of the economic evaluation</w:t>
        </w:r>
        <w:r w:rsidR="000D423C">
          <w:rPr>
            <w:webHidden/>
          </w:rPr>
          <w:tab/>
        </w:r>
        <w:r w:rsidR="000D423C">
          <w:rPr>
            <w:webHidden/>
          </w:rPr>
          <w:fldChar w:fldCharType="begin"/>
        </w:r>
        <w:r w:rsidR="000D423C">
          <w:rPr>
            <w:webHidden/>
          </w:rPr>
          <w:instrText xml:space="preserve"> PAGEREF _Toc418225014 \h </w:instrText>
        </w:r>
        <w:r w:rsidR="000D423C">
          <w:rPr>
            <w:webHidden/>
          </w:rPr>
        </w:r>
        <w:r w:rsidR="000D423C">
          <w:rPr>
            <w:webHidden/>
          </w:rPr>
          <w:fldChar w:fldCharType="separate"/>
        </w:r>
        <w:r w:rsidR="002242BF">
          <w:rPr>
            <w:webHidden/>
          </w:rPr>
          <w:t>59</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18" w:history="1">
        <w:r w:rsidR="000D423C" w:rsidRPr="00BB2795">
          <w:rPr>
            <w:rStyle w:val="Hyperlink"/>
          </w:rPr>
          <w:t>Table 20</w:t>
        </w:r>
        <w:r w:rsidR="000D423C">
          <w:rPr>
            <w:rFonts w:asciiTheme="minorHAnsi" w:eastAsiaTheme="minorEastAsia" w:hAnsiTheme="minorHAnsi" w:cstheme="minorBidi"/>
            <w:sz w:val="22"/>
            <w:szCs w:val="22"/>
          </w:rPr>
          <w:tab/>
        </w:r>
        <w:r w:rsidR="000D423C" w:rsidRPr="00BB2795">
          <w:rPr>
            <w:rStyle w:val="Hyperlink"/>
          </w:rPr>
          <w:t>Costs associated with testing in each arm of the model in the base-case analysis</w:t>
        </w:r>
        <w:r w:rsidR="000D423C">
          <w:rPr>
            <w:webHidden/>
          </w:rPr>
          <w:tab/>
        </w:r>
        <w:r w:rsidR="000D423C">
          <w:rPr>
            <w:webHidden/>
          </w:rPr>
          <w:fldChar w:fldCharType="begin"/>
        </w:r>
        <w:r w:rsidR="000D423C">
          <w:rPr>
            <w:webHidden/>
          </w:rPr>
          <w:instrText xml:space="preserve"> PAGEREF _Toc418225018 \h </w:instrText>
        </w:r>
        <w:r w:rsidR="000D423C">
          <w:rPr>
            <w:webHidden/>
          </w:rPr>
        </w:r>
        <w:r w:rsidR="000D423C">
          <w:rPr>
            <w:webHidden/>
          </w:rPr>
          <w:fldChar w:fldCharType="separate"/>
        </w:r>
        <w:r w:rsidR="002242BF">
          <w:rPr>
            <w:webHidden/>
          </w:rPr>
          <w:t>64</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19" w:history="1">
        <w:r w:rsidR="000D423C" w:rsidRPr="00BB2795">
          <w:rPr>
            <w:rStyle w:val="Hyperlink"/>
          </w:rPr>
          <w:t>Table 21</w:t>
        </w:r>
        <w:r w:rsidR="000D423C">
          <w:rPr>
            <w:rFonts w:asciiTheme="minorHAnsi" w:eastAsiaTheme="minorEastAsia" w:hAnsiTheme="minorHAnsi" w:cstheme="minorBidi"/>
            <w:sz w:val="22"/>
            <w:szCs w:val="22"/>
          </w:rPr>
          <w:tab/>
        </w:r>
        <w:r w:rsidR="000D423C" w:rsidRPr="00BB2795">
          <w:rPr>
            <w:rStyle w:val="Hyperlink"/>
          </w:rPr>
          <w:t>Inputs used in the model</w:t>
        </w:r>
        <w:r w:rsidR="000D423C">
          <w:rPr>
            <w:webHidden/>
          </w:rPr>
          <w:tab/>
        </w:r>
        <w:r w:rsidR="000D423C">
          <w:rPr>
            <w:webHidden/>
          </w:rPr>
          <w:fldChar w:fldCharType="begin"/>
        </w:r>
        <w:r w:rsidR="000D423C">
          <w:rPr>
            <w:webHidden/>
          </w:rPr>
          <w:instrText xml:space="preserve"> PAGEREF _Toc418225019 \h </w:instrText>
        </w:r>
        <w:r w:rsidR="000D423C">
          <w:rPr>
            <w:webHidden/>
          </w:rPr>
        </w:r>
        <w:r w:rsidR="000D423C">
          <w:rPr>
            <w:webHidden/>
          </w:rPr>
          <w:fldChar w:fldCharType="separate"/>
        </w:r>
        <w:r w:rsidR="002242BF">
          <w:rPr>
            <w:webHidden/>
          </w:rPr>
          <w:t>66</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20" w:history="1">
        <w:r w:rsidR="000D423C" w:rsidRPr="00BB2795">
          <w:rPr>
            <w:rStyle w:val="Hyperlink"/>
          </w:rPr>
          <w:t>Table 22</w:t>
        </w:r>
        <w:r w:rsidR="000D423C">
          <w:rPr>
            <w:rFonts w:asciiTheme="minorHAnsi" w:eastAsiaTheme="minorEastAsia" w:hAnsiTheme="minorHAnsi" w:cstheme="minorBidi"/>
            <w:sz w:val="22"/>
            <w:szCs w:val="22"/>
          </w:rPr>
          <w:tab/>
        </w:r>
        <w:r w:rsidR="000D423C" w:rsidRPr="00BB2795">
          <w:rPr>
            <w:rStyle w:val="Hyperlink"/>
          </w:rPr>
          <w:t>Base case results of the modelled economic evaluation</w:t>
        </w:r>
        <w:r w:rsidR="000D423C">
          <w:rPr>
            <w:webHidden/>
          </w:rPr>
          <w:tab/>
        </w:r>
        <w:r w:rsidR="000D423C">
          <w:rPr>
            <w:webHidden/>
          </w:rPr>
          <w:fldChar w:fldCharType="begin"/>
        </w:r>
        <w:r w:rsidR="000D423C">
          <w:rPr>
            <w:webHidden/>
          </w:rPr>
          <w:instrText xml:space="preserve"> PAGEREF _Toc418225020 \h </w:instrText>
        </w:r>
        <w:r w:rsidR="000D423C">
          <w:rPr>
            <w:webHidden/>
          </w:rPr>
        </w:r>
        <w:r w:rsidR="000D423C">
          <w:rPr>
            <w:webHidden/>
          </w:rPr>
          <w:fldChar w:fldCharType="separate"/>
        </w:r>
        <w:r w:rsidR="002242BF">
          <w:rPr>
            <w:webHidden/>
          </w:rPr>
          <w:t>67</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21" w:history="1">
        <w:r w:rsidR="000D423C" w:rsidRPr="00BB2795">
          <w:rPr>
            <w:rStyle w:val="Hyperlink"/>
          </w:rPr>
          <w:t>Table 23</w:t>
        </w:r>
        <w:r w:rsidR="000D423C">
          <w:rPr>
            <w:rFonts w:asciiTheme="minorHAnsi" w:eastAsiaTheme="minorEastAsia" w:hAnsiTheme="minorHAnsi" w:cstheme="minorBidi"/>
            <w:sz w:val="22"/>
            <w:szCs w:val="22"/>
          </w:rPr>
          <w:tab/>
        </w:r>
        <w:r w:rsidR="000D423C" w:rsidRPr="00BB2795">
          <w:rPr>
            <w:rStyle w:val="Hyperlink"/>
          </w:rPr>
          <w:t>Sensitivity analyses</w:t>
        </w:r>
        <w:r w:rsidR="000D423C">
          <w:rPr>
            <w:webHidden/>
          </w:rPr>
          <w:tab/>
        </w:r>
        <w:r w:rsidR="000D423C">
          <w:rPr>
            <w:webHidden/>
          </w:rPr>
          <w:fldChar w:fldCharType="begin"/>
        </w:r>
        <w:r w:rsidR="000D423C">
          <w:rPr>
            <w:webHidden/>
          </w:rPr>
          <w:instrText xml:space="preserve"> PAGEREF _Toc418225021 \h </w:instrText>
        </w:r>
        <w:r w:rsidR="000D423C">
          <w:rPr>
            <w:webHidden/>
          </w:rPr>
        </w:r>
        <w:r w:rsidR="000D423C">
          <w:rPr>
            <w:webHidden/>
          </w:rPr>
          <w:fldChar w:fldCharType="separate"/>
        </w:r>
        <w:r w:rsidR="002242BF">
          <w:rPr>
            <w:webHidden/>
          </w:rPr>
          <w:t>69</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22" w:history="1">
        <w:r w:rsidR="000D423C" w:rsidRPr="00BB2795">
          <w:rPr>
            <w:rStyle w:val="Hyperlink"/>
          </w:rPr>
          <w:t>Table 24</w:t>
        </w:r>
        <w:r w:rsidR="000D423C">
          <w:rPr>
            <w:rFonts w:asciiTheme="minorHAnsi" w:eastAsiaTheme="minorEastAsia" w:hAnsiTheme="minorHAnsi" w:cstheme="minorBidi"/>
            <w:sz w:val="22"/>
            <w:szCs w:val="22"/>
          </w:rPr>
          <w:tab/>
        </w:r>
        <w:r w:rsidR="000D423C" w:rsidRPr="00BB2795">
          <w:rPr>
            <w:rStyle w:val="Hyperlink"/>
          </w:rPr>
          <w:t>Direct costs associated with a standard HIV pathology test and a point-of-care rapid test</w:t>
        </w:r>
        <w:r w:rsidR="000D423C">
          <w:rPr>
            <w:webHidden/>
          </w:rPr>
          <w:tab/>
        </w:r>
        <w:r w:rsidR="000D423C">
          <w:rPr>
            <w:webHidden/>
          </w:rPr>
          <w:fldChar w:fldCharType="begin"/>
        </w:r>
        <w:r w:rsidR="000D423C">
          <w:rPr>
            <w:webHidden/>
          </w:rPr>
          <w:instrText xml:space="preserve"> PAGEREF _Toc418225022 \h </w:instrText>
        </w:r>
        <w:r w:rsidR="000D423C">
          <w:rPr>
            <w:webHidden/>
          </w:rPr>
        </w:r>
        <w:r w:rsidR="000D423C">
          <w:rPr>
            <w:webHidden/>
          </w:rPr>
          <w:fldChar w:fldCharType="separate"/>
        </w:r>
        <w:r w:rsidR="002242BF">
          <w:rPr>
            <w:webHidden/>
          </w:rPr>
          <w:t>72</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23" w:history="1">
        <w:r w:rsidR="000D423C" w:rsidRPr="00BB2795">
          <w:rPr>
            <w:rStyle w:val="Hyperlink"/>
          </w:rPr>
          <w:t>Table 25</w:t>
        </w:r>
        <w:r w:rsidR="000D423C">
          <w:rPr>
            <w:rFonts w:asciiTheme="minorHAnsi" w:eastAsiaTheme="minorEastAsia" w:hAnsiTheme="minorHAnsi" w:cstheme="minorBidi"/>
            <w:sz w:val="22"/>
            <w:szCs w:val="22"/>
          </w:rPr>
          <w:tab/>
        </w:r>
        <w:r w:rsidR="000D423C" w:rsidRPr="00BB2795">
          <w:rPr>
            <w:rStyle w:val="Hyperlink"/>
          </w:rPr>
          <w:t>Body of evidence matrix for diagnostic accuracy</w:t>
        </w:r>
        <w:r w:rsidR="000D423C">
          <w:rPr>
            <w:webHidden/>
          </w:rPr>
          <w:tab/>
        </w:r>
        <w:r w:rsidR="000D423C">
          <w:rPr>
            <w:webHidden/>
          </w:rPr>
          <w:fldChar w:fldCharType="begin"/>
        </w:r>
        <w:r w:rsidR="000D423C">
          <w:rPr>
            <w:webHidden/>
          </w:rPr>
          <w:instrText xml:space="preserve"> PAGEREF _Toc418225023 \h </w:instrText>
        </w:r>
        <w:r w:rsidR="000D423C">
          <w:rPr>
            <w:webHidden/>
          </w:rPr>
        </w:r>
        <w:r w:rsidR="000D423C">
          <w:rPr>
            <w:webHidden/>
          </w:rPr>
          <w:fldChar w:fldCharType="separate"/>
        </w:r>
        <w:r w:rsidR="002242BF">
          <w:rPr>
            <w:webHidden/>
          </w:rPr>
          <w:t>75</w:t>
        </w:r>
        <w:r w:rsidR="000D423C">
          <w:rPr>
            <w:webHidden/>
          </w:rPr>
          <w:fldChar w:fldCharType="end"/>
        </w:r>
      </w:hyperlink>
    </w:p>
    <w:p w:rsidR="000D423C" w:rsidRDefault="00D26B32">
      <w:pPr>
        <w:pStyle w:val="TableofFigures"/>
        <w:rPr>
          <w:rFonts w:asciiTheme="minorHAnsi" w:eastAsiaTheme="minorEastAsia" w:hAnsiTheme="minorHAnsi" w:cstheme="minorBidi"/>
          <w:sz w:val="22"/>
          <w:szCs w:val="22"/>
        </w:rPr>
      </w:pPr>
      <w:hyperlink w:anchor="_Toc418225024" w:history="1">
        <w:r w:rsidR="000D423C" w:rsidRPr="00BB2795">
          <w:rPr>
            <w:rStyle w:val="Hyperlink"/>
          </w:rPr>
          <w:t>Table 26</w:t>
        </w:r>
        <w:r w:rsidR="000D423C">
          <w:rPr>
            <w:rFonts w:asciiTheme="minorHAnsi" w:eastAsiaTheme="minorEastAsia" w:hAnsiTheme="minorHAnsi" w:cstheme="minorBidi"/>
            <w:sz w:val="22"/>
            <w:szCs w:val="22"/>
          </w:rPr>
          <w:tab/>
        </w:r>
        <w:r w:rsidR="000D423C" w:rsidRPr="00BB2795">
          <w:rPr>
            <w:rStyle w:val="Hyperlink"/>
          </w:rPr>
          <w:t>Body of evidence matrix for patient management</w:t>
        </w:r>
        <w:r w:rsidR="000D423C">
          <w:rPr>
            <w:webHidden/>
          </w:rPr>
          <w:tab/>
        </w:r>
        <w:r w:rsidR="000D423C">
          <w:rPr>
            <w:webHidden/>
          </w:rPr>
          <w:fldChar w:fldCharType="begin"/>
        </w:r>
        <w:r w:rsidR="000D423C">
          <w:rPr>
            <w:webHidden/>
          </w:rPr>
          <w:instrText xml:space="preserve"> PAGEREF _Toc418225024 \h </w:instrText>
        </w:r>
        <w:r w:rsidR="000D423C">
          <w:rPr>
            <w:webHidden/>
          </w:rPr>
        </w:r>
        <w:r w:rsidR="000D423C">
          <w:rPr>
            <w:webHidden/>
          </w:rPr>
          <w:fldChar w:fldCharType="separate"/>
        </w:r>
        <w:r w:rsidR="002242BF">
          <w:rPr>
            <w:webHidden/>
          </w:rPr>
          <w:t>76</w:t>
        </w:r>
        <w:r w:rsidR="000D423C">
          <w:rPr>
            <w:webHidden/>
          </w:rPr>
          <w:fldChar w:fldCharType="end"/>
        </w:r>
      </w:hyperlink>
    </w:p>
    <w:p w:rsidR="000D445C" w:rsidRDefault="00A050A0" w:rsidP="00924D47">
      <w:pPr>
        <w:pStyle w:val="TableofFigures"/>
      </w:pPr>
      <w:r>
        <w:fldChar w:fldCharType="end"/>
      </w:r>
    </w:p>
    <w:p w:rsidR="00310008" w:rsidRPr="004C6B15" w:rsidRDefault="00310008" w:rsidP="000D445C">
      <w:pPr>
        <w:pStyle w:val="Heading2a"/>
      </w:pPr>
      <w:r w:rsidRPr="004C6B15">
        <w:t>Boxes</w:t>
      </w:r>
    </w:p>
    <w:p w:rsidR="00A050A0" w:rsidRDefault="008A46A4">
      <w:pPr>
        <w:pStyle w:val="TableofFigures"/>
        <w:rPr>
          <w:rFonts w:asciiTheme="minorHAnsi" w:eastAsiaTheme="minorEastAsia" w:hAnsiTheme="minorHAnsi" w:cstheme="minorBidi"/>
          <w:sz w:val="22"/>
          <w:szCs w:val="22"/>
        </w:rPr>
      </w:pPr>
      <w:r w:rsidRPr="004C6B15">
        <w:fldChar w:fldCharType="begin"/>
      </w:r>
      <w:r w:rsidRPr="004C6B15">
        <w:instrText xml:space="preserve"> TOC \h \z \c "Box" </w:instrText>
      </w:r>
      <w:r w:rsidRPr="004C6B15">
        <w:fldChar w:fldCharType="separate"/>
      </w:r>
      <w:hyperlink w:anchor="_Toc415103467" w:history="1">
        <w:r w:rsidR="00A050A0" w:rsidRPr="00D77408">
          <w:rPr>
            <w:rStyle w:val="Hyperlink"/>
          </w:rPr>
          <w:t xml:space="preserve">Box 1 </w:t>
        </w:r>
        <w:r w:rsidR="00A050A0">
          <w:rPr>
            <w:rFonts w:asciiTheme="minorHAnsi" w:eastAsiaTheme="minorEastAsia" w:hAnsiTheme="minorHAnsi" w:cstheme="minorBidi"/>
            <w:sz w:val="22"/>
            <w:szCs w:val="22"/>
          </w:rPr>
          <w:tab/>
        </w:r>
        <w:r w:rsidR="00A050A0" w:rsidRPr="00D77408">
          <w:rPr>
            <w:rStyle w:val="Hyperlink"/>
          </w:rPr>
          <w:t>Selection criteria for included studies</w:t>
        </w:r>
        <w:r w:rsidR="00A050A0">
          <w:rPr>
            <w:webHidden/>
          </w:rPr>
          <w:tab/>
        </w:r>
        <w:r w:rsidR="00A050A0">
          <w:rPr>
            <w:webHidden/>
          </w:rPr>
          <w:fldChar w:fldCharType="begin"/>
        </w:r>
        <w:r w:rsidR="00A050A0">
          <w:rPr>
            <w:webHidden/>
          </w:rPr>
          <w:instrText xml:space="preserve"> PAGEREF _Toc415103467 \h </w:instrText>
        </w:r>
        <w:r w:rsidR="00A050A0">
          <w:rPr>
            <w:webHidden/>
          </w:rPr>
        </w:r>
        <w:r w:rsidR="00A050A0">
          <w:rPr>
            <w:webHidden/>
          </w:rPr>
          <w:fldChar w:fldCharType="separate"/>
        </w:r>
        <w:r w:rsidR="002242BF">
          <w:rPr>
            <w:webHidden/>
          </w:rPr>
          <w:t>33</w:t>
        </w:r>
        <w:r w:rsidR="00A050A0">
          <w:rPr>
            <w:webHidden/>
          </w:rPr>
          <w:fldChar w:fldCharType="end"/>
        </w:r>
      </w:hyperlink>
    </w:p>
    <w:p w:rsidR="008A46A4" w:rsidRPr="004C6B15" w:rsidRDefault="008A46A4" w:rsidP="00924D47">
      <w:pPr>
        <w:pStyle w:val="TableofFigures"/>
      </w:pPr>
      <w:r w:rsidRPr="004C6B15">
        <w:fldChar w:fldCharType="end"/>
      </w:r>
    </w:p>
    <w:p w:rsidR="009648A4" w:rsidRDefault="008F59A8" w:rsidP="009648A4">
      <w:pPr>
        <w:pStyle w:val="Heading2a"/>
        <w:rPr>
          <w:rFonts w:asciiTheme="minorHAnsi" w:eastAsiaTheme="minorEastAsia" w:hAnsiTheme="minorHAnsi" w:cstheme="minorBidi"/>
          <w:noProof/>
          <w:szCs w:val="22"/>
        </w:rPr>
      </w:pPr>
      <w:r w:rsidRPr="000D423C">
        <w:t>Figures</w:t>
      </w:r>
      <w:r w:rsidR="00A050A0">
        <w:fldChar w:fldCharType="begin"/>
      </w:r>
      <w:r w:rsidR="00A050A0">
        <w:instrText xml:space="preserve"> TOC \f F \h \z \t "Caption,Table and Figure name,Tablecaption" \c "Figure" </w:instrText>
      </w:r>
      <w:r w:rsidR="00A050A0">
        <w:fldChar w:fldCharType="separate"/>
      </w:r>
    </w:p>
    <w:p w:rsidR="009648A4" w:rsidRDefault="00D26B32">
      <w:pPr>
        <w:pStyle w:val="TableofFigures"/>
        <w:rPr>
          <w:rFonts w:asciiTheme="minorHAnsi" w:eastAsiaTheme="minorEastAsia" w:hAnsiTheme="minorHAnsi" w:cstheme="minorBidi"/>
          <w:sz w:val="22"/>
          <w:szCs w:val="22"/>
        </w:rPr>
      </w:pPr>
      <w:hyperlink w:anchor="_Toc418225636" w:history="1">
        <w:r w:rsidR="009648A4" w:rsidRPr="00672786">
          <w:rPr>
            <w:rStyle w:val="Hyperlink"/>
          </w:rPr>
          <w:t>Figure 1</w:t>
        </w:r>
        <w:r w:rsidR="009648A4">
          <w:rPr>
            <w:rFonts w:asciiTheme="minorHAnsi" w:eastAsiaTheme="minorEastAsia" w:hAnsiTheme="minorHAnsi" w:cstheme="minorBidi"/>
            <w:sz w:val="22"/>
            <w:szCs w:val="22"/>
          </w:rPr>
          <w:tab/>
        </w:r>
        <w:r w:rsidR="009648A4" w:rsidRPr="00672786">
          <w:rPr>
            <w:rStyle w:val="Hyperlink"/>
          </w:rPr>
          <w:t>Interpretation of results for the DHC test</w:t>
        </w:r>
        <w:r w:rsidR="009648A4">
          <w:rPr>
            <w:webHidden/>
          </w:rPr>
          <w:tab/>
        </w:r>
        <w:r w:rsidR="009648A4">
          <w:rPr>
            <w:webHidden/>
          </w:rPr>
          <w:fldChar w:fldCharType="begin"/>
        </w:r>
        <w:r w:rsidR="009648A4">
          <w:rPr>
            <w:webHidden/>
          </w:rPr>
          <w:instrText xml:space="preserve"> PAGEREF _Toc418225636 \h </w:instrText>
        </w:r>
        <w:r w:rsidR="009648A4">
          <w:rPr>
            <w:webHidden/>
          </w:rPr>
        </w:r>
        <w:r w:rsidR="009648A4">
          <w:rPr>
            <w:webHidden/>
          </w:rPr>
          <w:fldChar w:fldCharType="separate"/>
        </w:r>
        <w:r w:rsidR="002242BF">
          <w:rPr>
            <w:webHidden/>
          </w:rPr>
          <w:t>16</w:t>
        </w:r>
        <w:r w:rsidR="009648A4">
          <w:rPr>
            <w:webHidden/>
          </w:rPr>
          <w:fldChar w:fldCharType="end"/>
        </w:r>
      </w:hyperlink>
    </w:p>
    <w:p w:rsidR="009648A4" w:rsidRDefault="00D26B32">
      <w:pPr>
        <w:pStyle w:val="TableofFigures"/>
        <w:rPr>
          <w:rFonts w:asciiTheme="minorHAnsi" w:eastAsiaTheme="minorEastAsia" w:hAnsiTheme="minorHAnsi" w:cstheme="minorBidi"/>
          <w:sz w:val="22"/>
          <w:szCs w:val="22"/>
        </w:rPr>
      </w:pPr>
      <w:hyperlink w:anchor="_Toc418225643" w:history="1">
        <w:r w:rsidR="009648A4" w:rsidRPr="00672786">
          <w:rPr>
            <w:rStyle w:val="Hyperlink"/>
          </w:rPr>
          <w:t>Figure 2</w:t>
        </w:r>
        <w:r w:rsidR="009648A4">
          <w:rPr>
            <w:rFonts w:asciiTheme="minorHAnsi" w:eastAsiaTheme="minorEastAsia" w:hAnsiTheme="minorHAnsi" w:cstheme="minorBidi"/>
            <w:sz w:val="22"/>
            <w:szCs w:val="22"/>
          </w:rPr>
          <w:tab/>
        </w:r>
        <w:r w:rsidR="009648A4" w:rsidRPr="00672786">
          <w:rPr>
            <w:rStyle w:val="Hyperlink"/>
          </w:rPr>
          <w:t>Current and proposed clinical decision tree</w:t>
        </w:r>
        <w:r w:rsidR="009648A4">
          <w:rPr>
            <w:webHidden/>
          </w:rPr>
          <w:tab/>
        </w:r>
        <w:r w:rsidR="009648A4">
          <w:rPr>
            <w:webHidden/>
          </w:rPr>
          <w:fldChar w:fldCharType="begin"/>
        </w:r>
        <w:r w:rsidR="009648A4">
          <w:rPr>
            <w:webHidden/>
          </w:rPr>
          <w:instrText xml:space="preserve"> PAGEREF _Toc418225643 \h </w:instrText>
        </w:r>
        <w:r w:rsidR="009648A4">
          <w:rPr>
            <w:webHidden/>
          </w:rPr>
        </w:r>
        <w:r w:rsidR="009648A4">
          <w:rPr>
            <w:webHidden/>
          </w:rPr>
          <w:fldChar w:fldCharType="separate"/>
        </w:r>
        <w:r w:rsidR="002242BF">
          <w:rPr>
            <w:webHidden/>
          </w:rPr>
          <w:t>29</w:t>
        </w:r>
        <w:r w:rsidR="009648A4">
          <w:rPr>
            <w:webHidden/>
          </w:rPr>
          <w:fldChar w:fldCharType="end"/>
        </w:r>
      </w:hyperlink>
    </w:p>
    <w:p w:rsidR="009648A4" w:rsidRDefault="00D26B32">
      <w:pPr>
        <w:pStyle w:val="TableofFigures"/>
        <w:rPr>
          <w:rFonts w:asciiTheme="minorHAnsi" w:eastAsiaTheme="minorEastAsia" w:hAnsiTheme="minorHAnsi" w:cstheme="minorBidi"/>
          <w:sz w:val="22"/>
          <w:szCs w:val="22"/>
        </w:rPr>
      </w:pPr>
      <w:hyperlink w:anchor="_Toc418225644" w:history="1">
        <w:r w:rsidR="009648A4" w:rsidRPr="00672786">
          <w:rPr>
            <w:rStyle w:val="Hyperlink"/>
          </w:rPr>
          <w:t>Figure 3</w:t>
        </w:r>
        <w:r w:rsidR="009648A4">
          <w:rPr>
            <w:rFonts w:asciiTheme="minorHAnsi" w:eastAsiaTheme="minorEastAsia" w:hAnsiTheme="minorHAnsi" w:cstheme="minorBidi"/>
            <w:sz w:val="22"/>
            <w:szCs w:val="22"/>
          </w:rPr>
          <w:tab/>
        </w:r>
        <w:r w:rsidR="009648A4" w:rsidRPr="00672786">
          <w:rPr>
            <w:rStyle w:val="Hyperlink"/>
          </w:rPr>
          <w:t>Decision framework to implement the linked evidence approach when evaluating medical tests</w:t>
        </w:r>
        <w:r w:rsidR="009648A4">
          <w:rPr>
            <w:webHidden/>
          </w:rPr>
          <w:tab/>
        </w:r>
        <w:r w:rsidR="009648A4">
          <w:rPr>
            <w:webHidden/>
          </w:rPr>
          <w:fldChar w:fldCharType="begin"/>
        </w:r>
        <w:r w:rsidR="009648A4">
          <w:rPr>
            <w:webHidden/>
          </w:rPr>
          <w:instrText xml:space="preserve"> PAGEREF _Toc418225644 \h </w:instrText>
        </w:r>
        <w:r w:rsidR="009648A4">
          <w:rPr>
            <w:webHidden/>
          </w:rPr>
        </w:r>
        <w:r w:rsidR="009648A4">
          <w:rPr>
            <w:webHidden/>
          </w:rPr>
          <w:fldChar w:fldCharType="separate"/>
        </w:r>
        <w:r w:rsidR="002242BF">
          <w:rPr>
            <w:webHidden/>
          </w:rPr>
          <w:t>31</w:t>
        </w:r>
        <w:r w:rsidR="009648A4">
          <w:rPr>
            <w:webHidden/>
          </w:rPr>
          <w:fldChar w:fldCharType="end"/>
        </w:r>
      </w:hyperlink>
    </w:p>
    <w:p w:rsidR="009648A4" w:rsidRDefault="00D26B32">
      <w:pPr>
        <w:pStyle w:val="TableofFigures"/>
        <w:rPr>
          <w:rFonts w:asciiTheme="minorHAnsi" w:eastAsiaTheme="minorEastAsia" w:hAnsiTheme="minorHAnsi" w:cstheme="minorBidi"/>
          <w:sz w:val="22"/>
          <w:szCs w:val="22"/>
        </w:rPr>
      </w:pPr>
      <w:hyperlink w:anchor="_Toc418225646" w:history="1">
        <w:r w:rsidR="009648A4" w:rsidRPr="00672786">
          <w:rPr>
            <w:rStyle w:val="Hyperlink"/>
          </w:rPr>
          <w:t>Figure 4</w:t>
        </w:r>
        <w:r w:rsidR="009648A4">
          <w:rPr>
            <w:rFonts w:asciiTheme="minorHAnsi" w:eastAsiaTheme="minorEastAsia" w:hAnsiTheme="minorHAnsi" w:cstheme="minorBidi"/>
            <w:sz w:val="22"/>
            <w:szCs w:val="22"/>
          </w:rPr>
          <w:tab/>
        </w:r>
        <w:r w:rsidR="009648A4" w:rsidRPr="00672786">
          <w:rPr>
            <w:rStyle w:val="Hyperlink"/>
          </w:rPr>
          <w:t>PRISMA flowchart - summary of the process used to identify and select studies for the review</w:t>
        </w:r>
        <w:r w:rsidR="009648A4">
          <w:rPr>
            <w:webHidden/>
          </w:rPr>
          <w:tab/>
        </w:r>
        <w:r w:rsidR="009648A4">
          <w:rPr>
            <w:webHidden/>
          </w:rPr>
          <w:fldChar w:fldCharType="begin"/>
        </w:r>
        <w:r w:rsidR="009648A4">
          <w:rPr>
            <w:webHidden/>
          </w:rPr>
          <w:instrText xml:space="preserve"> PAGEREF _Toc418225646 \h </w:instrText>
        </w:r>
        <w:r w:rsidR="009648A4">
          <w:rPr>
            <w:webHidden/>
          </w:rPr>
        </w:r>
        <w:r w:rsidR="009648A4">
          <w:rPr>
            <w:webHidden/>
          </w:rPr>
          <w:fldChar w:fldCharType="separate"/>
        </w:r>
        <w:r w:rsidR="002242BF">
          <w:rPr>
            <w:webHidden/>
          </w:rPr>
          <w:t>34</w:t>
        </w:r>
        <w:r w:rsidR="009648A4">
          <w:rPr>
            <w:webHidden/>
          </w:rPr>
          <w:fldChar w:fldCharType="end"/>
        </w:r>
      </w:hyperlink>
    </w:p>
    <w:p w:rsidR="009648A4" w:rsidRDefault="00D26B32">
      <w:pPr>
        <w:pStyle w:val="TableofFigures"/>
        <w:rPr>
          <w:rFonts w:asciiTheme="minorHAnsi" w:eastAsiaTheme="minorEastAsia" w:hAnsiTheme="minorHAnsi" w:cstheme="minorBidi"/>
          <w:sz w:val="22"/>
          <w:szCs w:val="22"/>
        </w:rPr>
      </w:pPr>
      <w:hyperlink w:anchor="_Toc418225657" w:history="1">
        <w:r w:rsidR="009648A4" w:rsidRPr="00672786">
          <w:rPr>
            <w:rStyle w:val="Hyperlink"/>
          </w:rPr>
          <w:t>Figure 5</w:t>
        </w:r>
        <w:r w:rsidR="009648A4">
          <w:rPr>
            <w:rFonts w:asciiTheme="minorHAnsi" w:eastAsiaTheme="minorEastAsia" w:hAnsiTheme="minorHAnsi" w:cstheme="minorBidi"/>
            <w:sz w:val="22"/>
            <w:szCs w:val="22"/>
          </w:rPr>
          <w:tab/>
        </w:r>
        <w:r w:rsidR="009648A4" w:rsidRPr="00672786">
          <w:rPr>
            <w:rStyle w:val="Hyperlink"/>
          </w:rPr>
          <w:t>Transition state diagram</w:t>
        </w:r>
        <w:r w:rsidR="009648A4">
          <w:rPr>
            <w:webHidden/>
          </w:rPr>
          <w:tab/>
        </w:r>
        <w:r w:rsidR="009648A4">
          <w:rPr>
            <w:webHidden/>
          </w:rPr>
          <w:fldChar w:fldCharType="begin"/>
        </w:r>
        <w:r w:rsidR="009648A4">
          <w:rPr>
            <w:webHidden/>
          </w:rPr>
          <w:instrText xml:space="preserve"> PAGEREF _Toc418225657 \h </w:instrText>
        </w:r>
        <w:r w:rsidR="009648A4">
          <w:rPr>
            <w:webHidden/>
          </w:rPr>
        </w:r>
        <w:r w:rsidR="009648A4">
          <w:rPr>
            <w:webHidden/>
          </w:rPr>
          <w:fldChar w:fldCharType="separate"/>
        </w:r>
        <w:r w:rsidR="002242BF">
          <w:rPr>
            <w:webHidden/>
          </w:rPr>
          <w:t>56</w:t>
        </w:r>
        <w:r w:rsidR="009648A4">
          <w:rPr>
            <w:webHidden/>
          </w:rPr>
          <w:fldChar w:fldCharType="end"/>
        </w:r>
      </w:hyperlink>
    </w:p>
    <w:p w:rsidR="009648A4" w:rsidRDefault="00D26B32">
      <w:pPr>
        <w:pStyle w:val="TableofFigures"/>
        <w:rPr>
          <w:rFonts w:asciiTheme="minorHAnsi" w:eastAsiaTheme="minorEastAsia" w:hAnsiTheme="minorHAnsi" w:cstheme="minorBidi"/>
          <w:sz w:val="22"/>
          <w:szCs w:val="22"/>
        </w:rPr>
      </w:pPr>
      <w:hyperlink w:anchor="_Toc418225659" w:history="1">
        <w:r w:rsidR="009648A4" w:rsidRPr="00672786">
          <w:rPr>
            <w:rStyle w:val="Hyperlink"/>
          </w:rPr>
          <w:t>Figure 6</w:t>
        </w:r>
        <w:r w:rsidR="009648A4">
          <w:rPr>
            <w:rFonts w:asciiTheme="minorHAnsi" w:eastAsiaTheme="minorEastAsia" w:hAnsiTheme="minorHAnsi" w:cstheme="minorBidi"/>
            <w:sz w:val="22"/>
            <w:szCs w:val="22"/>
          </w:rPr>
          <w:tab/>
        </w:r>
        <w:r w:rsidR="009648A4" w:rsidRPr="00672786">
          <w:rPr>
            <w:rStyle w:val="Hyperlink"/>
          </w:rPr>
          <w:t>Structure of the modelled economic evaluation</w:t>
        </w:r>
        <w:r w:rsidR="009648A4">
          <w:rPr>
            <w:webHidden/>
          </w:rPr>
          <w:tab/>
        </w:r>
        <w:r w:rsidR="009648A4">
          <w:rPr>
            <w:webHidden/>
          </w:rPr>
          <w:fldChar w:fldCharType="begin"/>
        </w:r>
        <w:r w:rsidR="009648A4">
          <w:rPr>
            <w:webHidden/>
          </w:rPr>
          <w:instrText xml:space="preserve"> PAGEREF _Toc418225659 \h </w:instrText>
        </w:r>
        <w:r w:rsidR="009648A4">
          <w:rPr>
            <w:webHidden/>
          </w:rPr>
        </w:r>
        <w:r w:rsidR="009648A4">
          <w:rPr>
            <w:webHidden/>
          </w:rPr>
          <w:fldChar w:fldCharType="separate"/>
        </w:r>
        <w:r w:rsidR="002242BF">
          <w:rPr>
            <w:webHidden/>
          </w:rPr>
          <w:t>58</w:t>
        </w:r>
        <w:r w:rsidR="009648A4">
          <w:rPr>
            <w:webHidden/>
          </w:rPr>
          <w:fldChar w:fldCharType="end"/>
        </w:r>
      </w:hyperlink>
    </w:p>
    <w:p w:rsidR="009648A4" w:rsidRDefault="00D26B32">
      <w:pPr>
        <w:pStyle w:val="TableofFigures"/>
        <w:rPr>
          <w:rFonts w:asciiTheme="minorHAnsi" w:eastAsiaTheme="minorEastAsia" w:hAnsiTheme="minorHAnsi" w:cstheme="minorBidi"/>
          <w:sz w:val="22"/>
          <w:szCs w:val="22"/>
        </w:rPr>
      </w:pPr>
      <w:hyperlink w:anchor="_Toc418225661" w:history="1">
        <w:r w:rsidR="009648A4" w:rsidRPr="00672786">
          <w:rPr>
            <w:rStyle w:val="Hyperlink"/>
          </w:rPr>
          <w:t>Figure 7</w:t>
        </w:r>
        <w:r w:rsidR="009648A4">
          <w:rPr>
            <w:rFonts w:asciiTheme="minorHAnsi" w:eastAsiaTheme="minorEastAsia" w:hAnsiTheme="minorHAnsi" w:cstheme="minorBidi"/>
            <w:sz w:val="22"/>
            <w:szCs w:val="22"/>
          </w:rPr>
          <w:tab/>
        </w:r>
        <w:r w:rsidR="009648A4" w:rsidRPr="00672786">
          <w:rPr>
            <w:rStyle w:val="Hyperlink"/>
          </w:rPr>
          <w:t>Estimated log-normal distribution of year infected in MSM with undiagnosed HIV</w:t>
        </w:r>
        <w:r w:rsidR="009648A4">
          <w:rPr>
            <w:webHidden/>
          </w:rPr>
          <w:tab/>
        </w:r>
        <w:r w:rsidR="009648A4">
          <w:rPr>
            <w:webHidden/>
          </w:rPr>
          <w:fldChar w:fldCharType="begin"/>
        </w:r>
        <w:r w:rsidR="009648A4">
          <w:rPr>
            <w:webHidden/>
          </w:rPr>
          <w:instrText xml:space="preserve"> PAGEREF _Toc418225661 \h </w:instrText>
        </w:r>
        <w:r w:rsidR="009648A4">
          <w:rPr>
            <w:webHidden/>
          </w:rPr>
        </w:r>
        <w:r w:rsidR="009648A4">
          <w:rPr>
            <w:webHidden/>
          </w:rPr>
          <w:fldChar w:fldCharType="separate"/>
        </w:r>
        <w:r w:rsidR="002242BF">
          <w:rPr>
            <w:webHidden/>
          </w:rPr>
          <w:t>61</w:t>
        </w:r>
        <w:r w:rsidR="009648A4">
          <w:rPr>
            <w:webHidden/>
          </w:rPr>
          <w:fldChar w:fldCharType="end"/>
        </w:r>
      </w:hyperlink>
    </w:p>
    <w:p w:rsidR="009648A4" w:rsidRDefault="00D26B32">
      <w:pPr>
        <w:pStyle w:val="TableofFigures"/>
        <w:rPr>
          <w:rFonts w:asciiTheme="minorHAnsi" w:eastAsiaTheme="minorEastAsia" w:hAnsiTheme="minorHAnsi" w:cstheme="minorBidi"/>
          <w:sz w:val="22"/>
          <w:szCs w:val="22"/>
        </w:rPr>
      </w:pPr>
      <w:hyperlink w:anchor="_Toc418225662" w:history="1">
        <w:r w:rsidR="009648A4" w:rsidRPr="00672786">
          <w:rPr>
            <w:rStyle w:val="Hyperlink"/>
          </w:rPr>
          <w:t>Figure 8</w:t>
        </w:r>
        <w:r w:rsidR="009648A4">
          <w:rPr>
            <w:rFonts w:asciiTheme="minorHAnsi" w:eastAsiaTheme="minorEastAsia" w:hAnsiTheme="minorHAnsi" w:cstheme="minorBidi"/>
            <w:sz w:val="22"/>
            <w:szCs w:val="22"/>
          </w:rPr>
          <w:tab/>
        </w:r>
        <w:r w:rsidR="009648A4" w:rsidRPr="00672786">
          <w:rPr>
            <w:rStyle w:val="Hyperlink"/>
          </w:rPr>
          <w:t>Cumulative probability of progressing to AIDS, years after HIV infection</w:t>
        </w:r>
        <w:r w:rsidR="009648A4">
          <w:rPr>
            <w:webHidden/>
          </w:rPr>
          <w:tab/>
        </w:r>
        <w:r w:rsidR="009648A4">
          <w:rPr>
            <w:webHidden/>
          </w:rPr>
          <w:fldChar w:fldCharType="begin"/>
        </w:r>
        <w:r w:rsidR="009648A4">
          <w:rPr>
            <w:webHidden/>
          </w:rPr>
          <w:instrText xml:space="preserve"> PAGEREF _Toc418225662 \h </w:instrText>
        </w:r>
        <w:r w:rsidR="009648A4">
          <w:rPr>
            <w:webHidden/>
          </w:rPr>
        </w:r>
        <w:r w:rsidR="009648A4">
          <w:rPr>
            <w:webHidden/>
          </w:rPr>
          <w:fldChar w:fldCharType="separate"/>
        </w:r>
        <w:r w:rsidR="002242BF">
          <w:rPr>
            <w:webHidden/>
          </w:rPr>
          <w:t>62</w:t>
        </w:r>
        <w:r w:rsidR="009648A4">
          <w:rPr>
            <w:webHidden/>
          </w:rPr>
          <w:fldChar w:fldCharType="end"/>
        </w:r>
      </w:hyperlink>
    </w:p>
    <w:p w:rsidR="009648A4" w:rsidRDefault="00D26B32">
      <w:pPr>
        <w:pStyle w:val="TableofFigures"/>
        <w:rPr>
          <w:rFonts w:asciiTheme="minorHAnsi" w:eastAsiaTheme="minorEastAsia" w:hAnsiTheme="minorHAnsi" w:cstheme="minorBidi"/>
          <w:sz w:val="22"/>
          <w:szCs w:val="22"/>
        </w:rPr>
      </w:pPr>
      <w:hyperlink w:anchor="_Toc418225663" w:history="1">
        <w:r w:rsidR="009648A4" w:rsidRPr="00672786">
          <w:rPr>
            <w:rStyle w:val="Hyperlink"/>
          </w:rPr>
          <w:t>Figure 9</w:t>
        </w:r>
        <w:r w:rsidR="009648A4">
          <w:rPr>
            <w:rFonts w:asciiTheme="minorHAnsi" w:eastAsiaTheme="minorEastAsia" w:hAnsiTheme="minorHAnsi" w:cstheme="minorBidi"/>
            <w:sz w:val="22"/>
            <w:szCs w:val="22"/>
          </w:rPr>
          <w:tab/>
        </w:r>
        <w:r w:rsidR="009648A4" w:rsidRPr="00672786">
          <w:rPr>
            <w:rStyle w:val="Hyperlink"/>
          </w:rPr>
          <w:t>The median window periods for fourth generation EIA and the DHC test</w:t>
        </w:r>
        <w:r w:rsidR="009648A4">
          <w:rPr>
            <w:webHidden/>
          </w:rPr>
          <w:tab/>
        </w:r>
        <w:r w:rsidR="009648A4">
          <w:rPr>
            <w:webHidden/>
          </w:rPr>
          <w:fldChar w:fldCharType="begin"/>
        </w:r>
        <w:r w:rsidR="009648A4">
          <w:rPr>
            <w:webHidden/>
          </w:rPr>
          <w:instrText xml:space="preserve"> PAGEREF _Toc418225663 \h </w:instrText>
        </w:r>
        <w:r w:rsidR="009648A4">
          <w:rPr>
            <w:webHidden/>
          </w:rPr>
        </w:r>
        <w:r w:rsidR="009648A4">
          <w:rPr>
            <w:webHidden/>
          </w:rPr>
          <w:fldChar w:fldCharType="separate"/>
        </w:r>
        <w:r w:rsidR="002242BF">
          <w:rPr>
            <w:webHidden/>
          </w:rPr>
          <w:t>62</w:t>
        </w:r>
        <w:r w:rsidR="009648A4">
          <w:rPr>
            <w:webHidden/>
          </w:rPr>
          <w:fldChar w:fldCharType="end"/>
        </w:r>
      </w:hyperlink>
    </w:p>
    <w:p w:rsidR="00452F32" w:rsidRPr="004C6B15" w:rsidRDefault="00A050A0" w:rsidP="00452F32">
      <w:r>
        <w:fldChar w:fldCharType="end"/>
      </w:r>
    </w:p>
    <w:p w:rsidR="00452F32" w:rsidRPr="004C6B15" w:rsidRDefault="00452F32" w:rsidP="00452F32"/>
    <w:p w:rsidR="008F59A8" w:rsidRPr="004C6B15" w:rsidRDefault="008F59A8" w:rsidP="00452F32">
      <w:pPr>
        <w:sectPr w:rsidR="008F59A8" w:rsidRPr="004C6B15">
          <w:headerReference w:type="even" r:id="rId13"/>
          <w:headerReference w:type="default" r:id="rId14"/>
          <w:footerReference w:type="even" r:id="rId15"/>
          <w:footerReference w:type="default" r:id="rId16"/>
          <w:headerReference w:type="first" r:id="rId17"/>
          <w:type w:val="oddPage"/>
          <w:pgSz w:w="11906" w:h="16838"/>
          <w:pgMar w:top="1440" w:right="1440" w:bottom="1440" w:left="1440" w:header="720" w:footer="720" w:gutter="0"/>
          <w:paperSrc w:first="2" w:other="2"/>
          <w:pgNumType w:fmt="lowerRoman"/>
          <w:cols w:space="720"/>
        </w:sectPr>
      </w:pPr>
    </w:p>
    <w:p w:rsidR="008F59A8" w:rsidRPr="00776777" w:rsidRDefault="008F59A8" w:rsidP="00776777">
      <w:pPr>
        <w:pStyle w:val="Heading1"/>
      </w:pPr>
      <w:bookmarkStart w:id="4" w:name="_Toc451749498"/>
      <w:bookmarkStart w:id="5" w:name="_Ref169423921"/>
      <w:bookmarkStart w:id="6" w:name="_Ref169423925"/>
      <w:bookmarkStart w:id="7" w:name="_Toc418224847"/>
      <w:r w:rsidRPr="00FE6E79">
        <w:lastRenderedPageBreak/>
        <w:t>Executive summary</w:t>
      </w:r>
      <w:bookmarkEnd w:id="4"/>
      <w:bookmarkEnd w:id="5"/>
      <w:bookmarkEnd w:id="6"/>
      <w:bookmarkEnd w:id="7"/>
    </w:p>
    <w:p w:rsidR="008F59A8" w:rsidRDefault="008F59A8" w:rsidP="00D45AA1">
      <w:pPr>
        <w:pStyle w:val="Heading2"/>
      </w:pPr>
      <w:bookmarkStart w:id="8" w:name="_Toc418224848"/>
      <w:r w:rsidRPr="00334595">
        <w:t xml:space="preserve">The </w:t>
      </w:r>
      <w:r w:rsidR="0092233A">
        <w:t>test</w:t>
      </w:r>
      <w:bookmarkEnd w:id="8"/>
      <w:r w:rsidRPr="004C6B15">
        <w:t xml:space="preserve"> </w:t>
      </w:r>
    </w:p>
    <w:p w:rsidR="0092233A" w:rsidRDefault="0092233A" w:rsidP="0092233A">
      <w:r>
        <w:t xml:space="preserve">Rapid point-of-care combined Antigen/Antibody test for </w:t>
      </w:r>
      <w:r w:rsidR="0015008C">
        <w:t xml:space="preserve">the diagnosis of </w:t>
      </w:r>
      <w:r>
        <w:t>human immunodeficiency virus (</w:t>
      </w:r>
      <w:r w:rsidRPr="000D445C">
        <w:t>HIV</w:t>
      </w:r>
      <w:r>
        <w:t xml:space="preserve">) infection.  Rapid refers to the result of the test being available within 20-30 minutes from specimen collection and “point-of-care” refers to the test being conducted </w:t>
      </w:r>
      <w:r w:rsidRPr="005973E8">
        <w:t>near to, or at the side of, a patient by trained health professionals and/or care providers</w:t>
      </w:r>
      <w:r>
        <w:t>, rather than sample being sent to pathology laboratories.  Combined Antigen/Antibody refers to the detection of</w:t>
      </w:r>
      <w:r w:rsidRPr="008C3EDB">
        <w:t xml:space="preserve"> both HIV antigen and antibodies to HIV</w:t>
      </w:r>
      <w:r>
        <w:t>.</w:t>
      </w:r>
      <w:r w:rsidR="0015008C">
        <w:t xml:space="preserve">  Currently, only a single such test has </w:t>
      </w:r>
      <w:r w:rsidR="0015008C" w:rsidRPr="00644B4C">
        <w:t xml:space="preserve">been developed </w:t>
      </w:r>
      <w:r w:rsidR="0015008C">
        <w:t xml:space="preserve">- the </w:t>
      </w:r>
      <w:proofErr w:type="spellStart"/>
      <w:r w:rsidR="0015008C">
        <w:t>Alere</w:t>
      </w:r>
      <w:proofErr w:type="spellEnd"/>
      <w:r w:rsidR="0015008C">
        <w:t xml:space="preserve"> Determine HIV-1/2 Antigen/Antibody (Ag/Ab) Combo (Determine HIV Combo), </w:t>
      </w:r>
      <w:r w:rsidR="0015008C" w:rsidRPr="00B4120C">
        <w:t>referred to as the DHC test herein.</w:t>
      </w:r>
    </w:p>
    <w:p w:rsidR="0015008C" w:rsidRPr="0092233A" w:rsidRDefault="0015008C" w:rsidP="0092233A">
      <w:r>
        <w:t>The test is a qualitative “reactive” or “non-reactive” immunoassay.  This is in contrast to quantitative methods such as enzyme immune assay (EIA) where a quantitative result is obtained and a diagnostic cut</w:t>
      </w:r>
      <w:r w:rsidR="005C60E1">
        <w:t xml:space="preserve"> </w:t>
      </w:r>
      <w:r>
        <w:t>off is used.  Sample collection for the DHC test is a finger prick procedure.</w:t>
      </w:r>
    </w:p>
    <w:p w:rsidR="008F59A8" w:rsidRPr="005B7B4A" w:rsidRDefault="008F59A8" w:rsidP="00D45AA1">
      <w:pPr>
        <w:pStyle w:val="Heading2"/>
      </w:pPr>
      <w:bookmarkStart w:id="9" w:name="_Toc418224849"/>
      <w:r w:rsidRPr="005B7B4A">
        <w:t>Medical Services Advisory Committee – role and approach</w:t>
      </w:r>
      <w:bookmarkEnd w:id="9"/>
      <w:r w:rsidRPr="005B7B4A">
        <w:t xml:space="preserve"> </w:t>
      </w:r>
    </w:p>
    <w:p w:rsidR="008F59A8" w:rsidRPr="005B7B4A" w:rsidRDefault="008F59A8">
      <w:r w:rsidRPr="005B7B4A">
        <w:t xml:space="preserve">The Medical Services Advisory Committee (MSAC) </w:t>
      </w:r>
      <w:r w:rsidR="007761EB" w:rsidRPr="005B7B4A">
        <w:t xml:space="preserve">was established by the </w:t>
      </w:r>
      <w:r w:rsidR="007E012C" w:rsidRPr="005B7B4A">
        <w:t>Australian</w:t>
      </w:r>
      <w:r w:rsidRPr="005B7B4A">
        <w:t xml:space="preserve"> Government to strengthen the role of evidence in health financing decisions in Australia. MSAC advises the Minister for Health and </w:t>
      </w:r>
      <w:r w:rsidR="001A4F18">
        <w:t>Sport</w:t>
      </w:r>
      <w:r w:rsidRPr="005B7B4A">
        <w:t xml:space="preserve"> on the evidence relating to the safety, effectiveness and cost-effectiveness of new and existing medical technologies and </w:t>
      </w:r>
      <w:proofErr w:type="gramStart"/>
      <w:r w:rsidRPr="005B7B4A">
        <w:t>procedures,</w:t>
      </w:r>
      <w:proofErr w:type="gramEnd"/>
      <w:r w:rsidRPr="005B7B4A">
        <w:t xml:space="preserve"> and under what circumstances public funding should be supported.</w:t>
      </w:r>
    </w:p>
    <w:p w:rsidR="008F59A8" w:rsidRPr="004C6B15" w:rsidRDefault="008F59A8">
      <w:r w:rsidRPr="005B7B4A">
        <w:t xml:space="preserve">A rigorous assessment of evidence is thus the basis of decision making when funding is sought under Medicare. </w:t>
      </w:r>
      <w:r w:rsidR="0092233A">
        <w:t xml:space="preserve"> </w:t>
      </w:r>
      <w:r w:rsidRPr="005B7B4A">
        <w:t xml:space="preserve">A team from </w:t>
      </w:r>
      <w:r w:rsidR="005B7B4A" w:rsidRPr="005B7B4A">
        <w:t>Monash University</w:t>
      </w:r>
      <w:r w:rsidRPr="005B7B4A">
        <w:t xml:space="preserve"> was engaged to conduct a systematic review of </w:t>
      </w:r>
      <w:r w:rsidR="00174CBB" w:rsidRPr="005B7B4A">
        <w:t xml:space="preserve">the </w:t>
      </w:r>
      <w:r w:rsidRPr="005B7B4A">
        <w:t>literature</w:t>
      </w:r>
      <w:r w:rsidR="00174CBB" w:rsidRPr="005B7B4A">
        <w:t xml:space="preserve"> and an economic evaluation</w:t>
      </w:r>
      <w:r w:rsidRPr="005B7B4A">
        <w:t xml:space="preserve"> </w:t>
      </w:r>
      <w:r w:rsidR="001E3963" w:rsidRPr="005B7B4A">
        <w:t>o</w:t>
      </w:r>
      <w:r w:rsidR="00174CBB" w:rsidRPr="005B7B4A">
        <w:t>f</w:t>
      </w:r>
      <w:r w:rsidR="001E3963" w:rsidRPr="005B7B4A">
        <w:t xml:space="preserve"> </w:t>
      </w:r>
      <w:r w:rsidR="005B7B4A" w:rsidRPr="005B7B4A">
        <w:t>rapid point-of-care combined Antigen/Antibody HIV test to aid in the diagnosis of HIV infection</w:t>
      </w:r>
      <w:r w:rsidRPr="005B7B4A">
        <w:t xml:space="preserve">. </w:t>
      </w:r>
    </w:p>
    <w:p w:rsidR="008F59A8" w:rsidRPr="004C6B15" w:rsidRDefault="00E315A4" w:rsidP="00D45AA1">
      <w:pPr>
        <w:pStyle w:val="Heading2"/>
      </w:pPr>
      <w:bookmarkStart w:id="10" w:name="_Toc418224850"/>
      <w:r>
        <w:t>A</w:t>
      </w:r>
      <w:r w:rsidR="008F59A8" w:rsidRPr="004C6B15">
        <w:t xml:space="preserve">ssessment of </w:t>
      </w:r>
      <w:r w:rsidR="005B7B4A" w:rsidRPr="005B7B4A">
        <w:t>rapid point-of-care combined Antigen/Antibody HIV test to aid in the diagnosis of HIV infection</w:t>
      </w:r>
      <w:bookmarkEnd w:id="10"/>
    </w:p>
    <w:p w:rsidR="00B60AC5" w:rsidRDefault="00B60AC5" w:rsidP="00B60AC5">
      <w:pPr>
        <w:tabs>
          <w:tab w:val="left" w:pos="0"/>
          <w:tab w:val="left" w:pos="567"/>
          <w:tab w:val="left" w:pos="720"/>
          <w:tab w:val="left" w:pos="1140"/>
        </w:tabs>
        <w:spacing w:before="120"/>
        <w:ind w:left="360"/>
        <w:rPr>
          <w:rFonts w:ascii="Arial" w:hAnsi="Arial" w:cs="Arial"/>
          <w:b/>
          <w:szCs w:val="24"/>
        </w:rPr>
      </w:pPr>
      <w:r w:rsidRPr="00185929">
        <w:rPr>
          <w:rFonts w:ascii="Arial" w:hAnsi="Arial" w:cs="Arial"/>
          <w:b/>
          <w:szCs w:val="24"/>
        </w:rPr>
        <w:t>Purpose of Application</w:t>
      </w:r>
    </w:p>
    <w:p w:rsidR="0092233A" w:rsidRDefault="0015008C" w:rsidP="0092233A">
      <w:r>
        <w:t xml:space="preserve">An Application was submitted by </w:t>
      </w:r>
      <w:r w:rsidRPr="0015008C">
        <w:t>Inverness Medical Innovations Australia Pty Ltd</w:t>
      </w:r>
      <w:r>
        <w:t xml:space="preserve"> in May 2014 for MBS listing of a rapid point-of-care combined Antigen/Antibody test for diagnosis of </w:t>
      </w:r>
      <w:r w:rsidRPr="000D445C">
        <w:t>HIV</w:t>
      </w:r>
      <w:r>
        <w:t xml:space="preserve"> infection</w:t>
      </w:r>
      <w:r w:rsidR="000A6182">
        <w:t xml:space="preserve"> for use in GP and sexual health clinics.  The DHC test for HIV infection is intended to be used in individuals where a HIV test is indicated and in those who are at a high-risk of HIV infection.</w:t>
      </w:r>
    </w:p>
    <w:p w:rsidR="0015008C" w:rsidRPr="0092233A" w:rsidRDefault="0015008C" w:rsidP="0092233A">
      <w:r>
        <w:t xml:space="preserve">An application for the MBS listing of rapid point-of-care combined Antigen/Antibody test for </w:t>
      </w:r>
      <w:r w:rsidRPr="000D445C">
        <w:t>HIV</w:t>
      </w:r>
      <w:r>
        <w:t xml:space="preserve"> infection has not previously been considered by MSAC.</w:t>
      </w:r>
    </w:p>
    <w:p w:rsidR="00B60AC5" w:rsidRDefault="00B60AC5" w:rsidP="00B60AC5">
      <w:pPr>
        <w:tabs>
          <w:tab w:val="left" w:pos="0"/>
          <w:tab w:val="left" w:pos="567"/>
          <w:tab w:val="left" w:pos="1140"/>
        </w:tabs>
        <w:spacing w:before="120"/>
        <w:ind w:left="360"/>
        <w:rPr>
          <w:rFonts w:ascii="Arial" w:hAnsi="Arial" w:cs="Arial"/>
          <w:b/>
          <w:szCs w:val="24"/>
        </w:rPr>
      </w:pPr>
      <w:r>
        <w:rPr>
          <w:rFonts w:ascii="Arial" w:hAnsi="Arial" w:cs="Arial"/>
          <w:b/>
          <w:szCs w:val="24"/>
        </w:rPr>
        <w:t>Current arrangements for public reimbursement</w:t>
      </w:r>
    </w:p>
    <w:p w:rsidR="000A6182" w:rsidRDefault="000A6182" w:rsidP="000A6182">
      <w:pPr>
        <w:rPr>
          <w:bCs/>
        </w:rPr>
      </w:pPr>
      <w:r w:rsidRPr="00AF4C8D">
        <w:rPr>
          <w:bCs/>
        </w:rPr>
        <w:t>Rapid point-of-care testing is currently offered in a number of clinics Australia wide.</w:t>
      </w:r>
      <w:r>
        <w:rPr>
          <w:bCs/>
        </w:rPr>
        <w:t xml:space="preserve">  </w:t>
      </w:r>
      <w:r w:rsidRPr="00BF559E">
        <w:rPr>
          <w:bCs/>
        </w:rPr>
        <w:t xml:space="preserve">Funding arrangements for rapid point-of-care HIV testing exist in some States and </w:t>
      </w:r>
      <w:r w:rsidRPr="00BF559E">
        <w:rPr>
          <w:bCs/>
        </w:rPr>
        <w:lastRenderedPageBreak/>
        <w:t>Territories.  For example, the Queensland government provides rapid point-of-care HIV tests for free under the Community HIV Education and Prevention (CHEP) program.  The Victorian PRONTO! Clinics also offer the test for free, where this clinic is in partnership with the Victorian AIDS Council and the Burnet institute, who presumably fund the tests.  In clinics where no external funding arrangement exists, those being tested currently pay for the test privately</w:t>
      </w:r>
      <w:r w:rsidRPr="00AF4C8D">
        <w:rPr>
          <w:bCs/>
        </w:rPr>
        <w:t>.  One clinic reports the cost associated with the test, $25 (for cost recovery).</w:t>
      </w:r>
      <w:r>
        <w:rPr>
          <w:bCs/>
        </w:rPr>
        <w:t xml:space="preserve">  It is presumed that the funding arrangements in place for rapid point-of-care testing apply to all individuals who undergo the test (</w:t>
      </w:r>
      <w:proofErr w:type="spellStart"/>
      <w:r>
        <w:rPr>
          <w:bCs/>
        </w:rPr>
        <w:t>ie</w:t>
      </w:r>
      <w:proofErr w:type="spellEnd"/>
      <w:r>
        <w:rPr>
          <w:bCs/>
        </w:rPr>
        <w:t>, that is not only applicable to high-risk individuals).</w:t>
      </w:r>
    </w:p>
    <w:p w:rsidR="000A6182" w:rsidRDefault="000A6182" w:rsidP="000A6182">
      <w:pPr>
        <w:rPr>
          <w:bCs/>
        </w:rPr>
      </w:pPr>
      <w:r>
        <w:rPr>
          <w:bCs/>
        </w:rPr>
        <w:t>The Applicant’s proposed item descriptor and fee are presented in Table ES.1.</w:t>
      </w:r>
    </w:p>
    <w:p w:rsidR="000A6182" w:rsidRDefault="000A6182" w:rsidP="000A6182">
      <w:pPr>
        <w:pStyle w:val="Caption"/>
      </w:pPr>
      <w:bookmarkStart w:id="11" w:name="_Toc418224990"/>
      <w:bookmarkStart w:id="12" w:name="_Toc418225635"/>
      <w:r>
        <w:t>Table ES.1</w:t>
      </w:r>
      <w:r>
        <w:tab/>
        <w:t>Proposed MBS item descriptor for rapid point-of-care testing for HIV</w:t>
      </w:r>
      <w:bookmarkEnd w:id="11"/>
      <w:bookmarkEnd w:id="12"/>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Proposed MBS item descriptor for rapid point-of-care testing for HIV"/>
      </w:tblPr>
      <w:tblGrid>
        <w:gridCol w:w="8345"/>
      </w:tblGrid>
      <w:tr w:rsidR="000A6182" w:rsidTr="000D423C">
        <w:tc>
          <w:tcPr>
            <w:tcW w:w="8348" w:type="dxa"/>
            <w:shd w:val="clear" w:color="auto" w:fill="auto"/>
          </w:tcPr>
          <w:p w:rsidR="000A6182" w:rsidRDefault="000A6182" w:rsidP="000D423C">
            <w:pPr>
              <w:pStyle w:val="TableText"/>
            </w:pPr>
            <w:r w:rsidRPr="000E5514">
              <w:t xml:space="preserve">Category 6 – Pathology </w:t>
            </w:r>
            <w:r>
              <w:tab/>
            </w:r>
            <w:r>
              <w:tab/>
            </w:r>
            <w:r w:rsidRPr="000E5514">
              <w:t>Group P9 – Simple Basic Pathology Tests</w:t>
            </w:r>
          </w:p>
        </w:tc>
      </w:tr>
      <w:tr w:rsidR="000A6182" w:rsidTr="000D423C">
        <w:tc>
          <w:tcPr>
            <w:tcW w:w="8348" w:type="dxa"/>
            <w:shd w:val="clear" w:color="auto" w:fill="auto"/>
          </w:tcPr>
          <w:p w:rsidR="000A6182" w:rsidRDefault="000A6182" w:rsidP="000D423C">
            <w:pPr>
              <w:pStyle w:val="TableText"/>
            </w:pPr>
            <w:r>
              <w:t>MBS [item number]</w:t>
            </w:r>
          </w:p>
          <w:p w:rsidR="000A6182" w:rsidRDefault="000A6182" w:rsidP="000D423C">
            <w:pPr>
              <w:pStyle w:val="TableText"/>
            </w:pPr>
            <w:r>
              <w:t>Point of care HIV antigen/antibody test by one or more immunochemical methods in a blood sample from a high-risk patient.</w:t>
            </w:r>
          </w:p>
          <w:p w:rsidR="000A6182" w:rsidRPr="00204EEA" w:rsidRDefault="000A6182" w:rsidP="000D423C">
            <w:pPr>
              <w:pStyle w:val="TableText"/>
            </w:pPr>
            <w:r w:rsidRPr="00204EEA">
              <w:rPr>
                <w:b/>
              </w:rPr>
              <w:t>Fee:</w:t>
            </w:r>
            <w:r>
              <w:t xml:space="preserve">$30.00 </w:t>
            </w:r>
            <w:r>
              <w:rPr>
                <w:b/>
              </w:rPr>
              <w:t xml:space="preserve">Benefit: </w:t>
            </w:r>
            <w:r>
              <w:t>75% = $22.50 85% = $25.50</w:t>
            </w:r>
          </w:p>
        </w:tc>
      </w:tr>
    </w:tbl>
    <w:p w:rsidR="000A6182" w:rsidRDefault="000A6182" w:rsidP="000A6182">
      <w:pPr>
        <w:pStyle w:val="TableNotes"/>
      </w:pPr>
      <w:r>
        <w:t>Source: p5 of the MSAC 1391 Final Protocol – specifies a fee of $30.00, the 75% and 85% benefits were calculated during the assessment</w:t>
      </w:r>
    </w:p>
    <w:p w:rsidR="000A6182" w:rsidRDefault="000A6182" w:rsidP="000A6182">
      <w:pPr>
        <w:rPr>
          <w:bCs/>
        </w:rPr>
      </w:pPr>
      <w:r>
        <w:rPr>
          <w:bCs/>
        </w:rPr>
        <w:t>The MSAC 1391 Final Protocol states that “</w:t>
      </w:r>
      <w:r w:rsidRPr="00102204">
        <w:rPr>
          <w:bCs/>
        </w:rPr>
        <w:t>An explanatory note would need to be included or accompany the proposed MBS descriptor</w:t>
      </w:r>
      <w:r>
        <w:rPr>
          <w:bCs/>
        </w:rPr>
        <w:t xml:space="preserve"> </w:t>
      </w:r>
      <w:r w:rsidRPr="00102204">
        <w:rPr>
          <w:bCs/>
        </w:rPr>
        <w:t>explaining that the test must be performed at the point</w:t>
      </w:r>
      <w:r>
        <w:rPr>
          <w:bCs/>
        </w:rPr>
        <w:t>-</w:t>
      </w:r>
      <w:r w:rsidRPr="00102204">
        <w:rPr>
          <w:bCs/>
        </w:rPr>
        <w:t>of</w:t>
      </w:r>
      <w:r>
        <w:rPr>
          <w:bCs/>
        </w:rPr>
        <w:t>-</w:t>
      </w:r>
      <w:r w:rsidRPr="00102204">
        <w:rPr>
          <w:bCs/>
        </w:rPr>
        <w:t>care and that the MBS item cannot</w:t>
      </w:r>
      <w:r>
        <w:rPr>
          <w:bCs/>
        </w:rPr>
        <w:t xml:space="preserve"> </w:t>
      </w:r>
      <w:r w:rsidRPr="00102204">
        <w:rPr>
          <w:bCs/>
        </w:rPr>
        <w:t>be claimed on laboratory testing</w:t>
      </w:r>
      <w:r>
        <w:rPr>
          <w:bCs/>
        </w:rPr>
        <w:t>”</w:t>
      </w:r>
      <w:r w:rsidRPr="00102204">
        <w:rPr>
          <w:bCs/>
        </w:rPr>
        <w:t>.</w:t>
      </w:r>
    </w:p>
    <w:p w:rsidR="000A6182" w:rsidRDefault="000A6182" w:rsidP="0084604B">
      <w:r>
        <w:t>Consideration is required as to whether the item descriptor should be modified or whether further explanatory notes should be included addressing the following issues:</w:t>
      </w:r>
    </w:p>
    <w:p w:rsidR="000A6182" w:rsidRPr="0084604B" w:rsidRDefault="000A6182" w:rsidP="0084604B">
      <w:pPr>
        <w:pStyle w:val="ListParagraph"/>
        <w:numPr>
          <w:ilvl w:val="0"/>
          <w:numId w:val="40"/>
        </w:numPr>
        <w:spacing w:after="0" w:line="240" w:lineRule="auto"/>
        <w:ind w:left="993" w:hanging="284"/>
        <w:rPr>
          <w:rFonts w:ascii="Garamond" w:hAnsi="Garamond"/>
          <w:sz w:val="24"/>
        </w:rPr>
      </w:pPr>
      <w:r w:rsidRPr="0084604B">
        <w:rPr>
          <w:rFonts w:ascii="Garamond" w:hAnsi="Garamond"/>
          <w:sz w:val="24"/>
        </w:rPr>
        <w:t>There is no explicit statement the test should be used in GP or sexual health clinics, which is intended;</w:t>
      </w:r>
    </w:p>
    <w:p w:rsidR="000A6182" w:rsidRPr="0084604B" w:rsidRDefault="000A6182" w:rsidP="0084604B">
      <w:pPr>
        <w:pStyle w:val="ListParagraph"/>
        <w:numPr>
          <w:ilvl w:val="0"/>
          <w:numId w:val="40"/>
        </w:numPr>
        <w:spacing w:after="0" w:line="240" w:lineRule="auto"/>
        <w:ind w:left="993" w:hanging="284"/>
        <w:rPr>
          <w:rFonts w:ascii="Garamond" w:hAnsi="Garamond"/>
          <w:sz w:val="24"/>
        </w:rPr>
      </w:pPr>
      <w:r w:rsidRPr="0084604B">
        <w:rPr>
          <w:rFonts w:ascii="Garamond" w:hAnsi="Garamond"/>
          <w:sz w:val="24"/>
        </w:rPr>
        <w:t>No explicit exclusion of the use of the test for screening of blood or organ donation specimens, or use in routine pre-natal testing</w:t>
      </w:r>
      <w:r w:rsidR="0084604B">
        <w:rPr>
          <w:rFonts w:ascii="Garamond" w:hAnsi="Garamond"/>
          <w:sz w:val="24"/>
        </w:rPr>
        <w:t>, which is intended</w:t>
      </w:r>
      <w:r w:rsidRPr="0084604B">
        <w:rPr>
          <w:rFonts w:ascii="Garamond" w:hAnsi="Garamond"/>
          <w:sz w:val="24"/>
        </w:rPr>
        <w:t xml:space="preserve">; </w:t>
      </w:r>
      <w:r w:rsidR="0084604B">
        <w:rPr>
          <w:rFonts w:ascii="Garamond" w:hAnsi="Garamond"/>
          <w:sz w:val="24"/>
        </w:rPr>
        <w:t>and</w:t>
      </w:r>
    </w:p>
    <w:p w:rsidR="0084604B" w:rsidRPr="0084604B" w:rsidRDefault="000A6182" w:rsidP="0084604B">
      <w:pPr>
        <w:pStyle w:val="ListParagraph"/>
        <w:numPr>
          <w:ilvl w:val="0"/>
          <w:numId w:val="40"/>
        </w:numPr>
        <w:spacing w:after="240" w:line="240" w:lineRule="auto"/>
        <w:ind w:left="993" w:hanging="284"/>
        <w:rPr>
          <w:rFonts w:ascii="Garamond" w:hAnsi="Garamond"/>
          <w:sz w:val="24"/>
          <w:szCs w:val="24"/>
        </w:rPr>
      </w:pPr>
      <w:r w:rsidRPr="0084604B">
        <w:rPr>
          <w:rFonts w:ascii="Garamond" w:hAnsi="Garamond"/>
          <w:sz w:val="24"/>
        </w:rPr>
        <w:t xml:space="preserve">How the test would be billed in the event of an invalid test result or if a clinician decides to repeat the test in the </w:t>
      </w:r>
      <w:r w:rsidR="0084604B" w:rsidRPr="0084604B">
        <w:rPr>
          <w:rFonts w:ascii="Garamond" w:hAnsi="Garamond"/>
          <w:sz w:val="24"/>
          <w:szCs w:val="24"/>
        </w:rPr>
        <w:t xml:space="preserve">event of an initial reactive result prior to referral for serology testing (that is, </w:t>
      </w:r>
      <w:r w:rsidR="00014155">
        <w:rPr>
          <w:rFonts w:ascii="Garamond" w:hAnsi="Garamond"/>
          <w:sz w:val="24"/>
          <w:szCs w:val="24"/>
        </w:rPr>
        <w:t>could</w:t>
      </w:r>
      <w:r w:rsidR="0084604B" w:rsidRPr="0084604B">
        <w:rPr>
          <w:rFonts w:ascii="Garamond" w:hAnsi="Garamond"/>
          <w:sz w:val="24"/>
          <w:szCs w:val="24"/>
        </w:rPr>
        <w:t xml:space="preserve"> the test be billed multiple times per consultation).</w:t>
      </w:r>
    </w:p>
    <w:p w:rsidR="004A75DE" w:rsidRDefault="00E4422F" w:rsidP="00E4422F">
      <w:r>
        <w:t>An a</w:t>
      </w:r>
      <w:r w:rsidR="004A75DE">
        <w:t xml:space="preserve">dditional </w:t>
      </w:r>
      <w:r>
        <w:t xml:space="preserve">management </w:t>
      </w:r>
      <w:r w:rsidR="004A75DE">
        <w:t xml:space="preserve">fee </w:t>
      </w:r>
      <w:r>
        <w:t>is</w:t>
      </w:r>
      <w:r w:rsidR="004A75DE">
        <w:t xml:space="preserve"> applicable to Group P9 simple basic pathology tests if the service is bulk-billed</w:t>
      </w:r>
      <w:r>
        <w:t>,</w:t>
      </w:r>
      <w:r w:rsidR="004A75DE">
        <w:t xml:space="preserve"> $</w:t>
      </w:r>
      <w:r w:rsidR="006C5DE0">
        <w:t>7.05 to $10.65</w:t>
      </w:r>
      <w:r>
        <w:t xml:space="preserve"> (85% benefit of $6.00 to $9.10) depending on location.</w:t>
      </w:r>
    </w:p>
    <w:p w:rsidR="000A6182" w:rsidRDefault="0084604B" w:rsidP="006C5DE0">
      <w:r>
        <w:t xml:space="preserve">There are numerous MBS item numbers applicable to serology-based HIV testing, with a relevant associated </w:t>
      </w:r>
      <w:r w:rsidR="004A75DE">
        <w:t xml:space="preserve">direct </w:t>
      </w:r>
      <w:r>
        <w:t>fee of $15.65 (85% benefit of $13.35)</w:t>
      </w:r>
      <w:r w:rsidR="00FF3A29">
        <w:t xml:space="preserve"> plus additional fees </w:t>
      </w:r>
      <w:r w:rsidR="004A75DE">
        <w:t xml:space="preserve">of $2.40 to $9.95 (85% benefit $2.05 to $8.50) </w:t>
      </w:r>
      <w:r w:rsidR="00FF3A29">
        <w:t xml:space="preserve">depending </w:t>
      </w:r>
      <w:r w:rsidR="004A75DE">
        <w:t>on the circumstances of the test.</w:t>
      </w:r>
    </w:p>
    <w:p w:rsidR="00B60AC5" w:rsidRDefault="00B60AC5" w:rsidP="00B60AC5">
      <w:pPr>
        <w:tabs>
          <w:tab w:val="left" w:pos="0"/>
          <w:tab w:val="left" w:pos="567"/>
          <w:tab w:val="left" w:pos="1140"/>
        </w:tabs>
        <w:spacing w:before="120"/>
        <w:ind w:left="360"/>
        <w:rPr>
          <w:rFonts w:ascii="Arial" w:hAnsi="Arial" w:cs="Arial"/>
          <w:b/>
          <w:szCs w:val="24"/>
        </w:rPr>
      </w:pPr>
      <w:r w:rsidRPr="00185929">
        <w:rPr>
          <w:rFonts w:ascii="Arial" w:hAnsi="Arial" w:cs="Arial"/>
          <w:b/>
          <w:szCs w:val="24"/>
        </w:rPr>
        <w:t>Background</w:t>
      </w:r>
    </w:p>
    <w:p w:rsidR="0084604B" w:rsidRDefault="0084604B" w:rsidP="0084604B">
      <w:r w:rsidRPr="00193B79">
        <w:t xml:space="preserve">HIV (Human Immunodeficiency Virus) is a virus that weakens the immune system.  It infects immune cells and uses them to reproduce itself, destroying the cells in the process.  AIDS (Acquired Immune Deficiency Syndrome) is a serious weakening of the body’s immune system caused by HIV.  When a HIV positive person’s immune cells (CD4 </w:t>
      </w:r>
      <w:r>
        <w:t xml:space="preserve">positive </w:t>
      </w:r>
      <w:r w:rsidRPr="00193B79">
        <w:t>cells) drop below a certain level, they can be vulnerable to infections that their body would normally fight off.</w:t>
      </w:r>
    </w:p>
    <w:p w:rsidR="00B60AC5" w:rsidRDefault="00B60AC5" w:rsidP="00B60AC5">
      <w:pPr>
        <w:tabs>
          <w:tab w:val="left" w:pos="0"/>
          <w:tab w:val="left" w:pos="567"/>
          <w:tab w:val="left" w:pos="1140"/>
        </w:tabs>
        <w:spacing w:before="120"/>
        <w:ind w:left="360"/>
        <w:rPr>
          <w:rFonts w:ascii="Arial" w:hAnsi="Arial" w:cs="Arial"/>
          <w:b/>
          <w:szCs w:val="24"/>
        </w:rPr>
      </w:pPr>
      <w:r>
        <w:rPr>
          <w:rFonts w:ascii="Arial" w:hAnsi="Arial" w:cs="Arial"/>
          <w:b/>
          <w:szCs w:val="24"/>
        </w:rPr>
        <w:lastRenderedPageBreak/>
        <w:t>Clinical need</w:t>
      </w:r>
    </w:p>
    <w:p w:rsidR="00014155" w:rsidRDefault="00014155" w:rsidP="00014155">
      <w:r w:rsidRPr="00BB0837">
        <w:t>In Australia, it is estimated that approximately 26,800 (</w:t>
      </w:r>
      <w:r>
        <w:t xml:space="preserve">plausible range of </w:t>
      </w:r>
      <w:r w:rsidRPr="00BB0837">
        <w:t xml:space="preserve">24,500 – 30,900) people </w:t>
      </w:r>
      <w:r>
        <w:t>we</w:t>
      </w:r>
      <w:r w:rsidRPr="00BB0837">
        <w:t xml:space="preserve">re living with HIV </w:t>
      </w:r>
      <w:r>
        <w:t xml:space="preserve">at the end of 2013 </w:t>
      </w:r>
      <w:r w:rsidRPr="00BB0837">
        <w:t xml:space="preserve">(Kirby Institute </w:t>
      </w:r>
      <w:r>
        <w:t>2014a, 2014b</w:t>
      </w:r>
      <w:r w:rsidRPr="00C00C6A">
        <w:t xml:space="preserve">).  The prevalence of HIV infection </w:t>
      </w:r>
      <w:r>
        <w:t xml:space="preserve">varies </w:t>
      </w:r>
      <w:r w:rsidRPr="00C00C6A">
        <w:t>among various groups in Australia</w:t>
      </w:r>
      <w:r>
        <w:t xml:space="preserve">, with the highest prevalence observed among men who have sex with men (MSM) estimated to be 8-12% </w:t>
      </w:r>
      <w:r w:rsidRPr="00BB0837">
        <w:t xml:space="preserve">(Kirby Institute </w:t>
      </w:r>
      <w:r>
        <w:t>2014a, 2014b</w:t>
      </w:r>
      <w:r w:rsidRPr="00C00C6A">
        <w:t>)</w:t>
      </w:r>
      <w:r>
        <w:t>.  Given the high prevalence of HIV infection among MSM, this population represents a target group for this diagnostic test, where guidelines recommend annual HIV and other sexually transmitted infection testing for all men who have had any type of sex with another man in the previous year; and up to four tests per year for HIV and other sexually transmitted infection for all high-risk men who have sex with men.</w:t>
      </w:r>
    </w:p>
    <w:p w:rsidR="00014155" w:rsidRDefault="00014155" w:rsidP="00014155">
      <w:pPr>
        <w:ind w:left="709"/>
      </w:pPr>
      <w:r>
        <w:t>It is estimated that approximately 14% (11-21%) of all HIV cases in Australia are undiagnosed (</w:t>
      </w:r>
      <w:r w:rsidRPr="00BB0837">
        <w:t xml:space="preserve">Kirby Institute </w:t>
      </w:r>
      <w:r>
        <w:t>2014b).  Additionally, the proportion of people diagnosed late (defined by a CD4 positive cell count less than 350 cells/</w:t>
      </w:r>
      <w:proofErr w:type="spellStart"/>
      <w:r>
        <w:t>μl</w:t>
      </w:r>
      <w:proofErr w:type="spellEnd"/>
      <w:r>
        <w:t xml:space="preserve"> at diagnosis) was 29.6% in 2013.  It would be anticipated that both those with undiagnosed HIV infection and those diagnosed late contribute to a significant proportion of HIV transmission and new diagnoses of HIV infection.</w:t>
      </w:r>
    </w:p>
    <w:p w:rsidR="00014155" w:rsidRDefault="00014155" w:rsidP="00014155">
      <w:r>
        <w:t>The Seventh National HIV Strategy 2014-2017 (2014), the Draft National HIV Testing Policy (2014) and the Melbourne Declaration 2012 all support and encourage that programs be put in place to increase access to, and uptake of, voluntary HIV testing in Australia, with the latter citing that rapid testing should be made widely available in clinical and community settings.</w:t>
      </w:r>
    </w:p>
    <w:p w:rsidR="00EC7F0E" w:rsidRDefault="00EC7F0E" w:rsidP="00014155">
      <w:r>
        <w:t xml:space="preserve">Data from Australian studies have identified that men are being tested less </w:t>
      </w:r>
      <w:r w:rsidRPr="00796ABA">
        <w:rPr>
          <w:szCs w:val="24"/>
        </w:rPr>
        <w:t xml:space="preserve">frequently than recommended </w:t>
      </w:r>
      <w:r w:rsidR="002D1FFE" w:rsidRPr="00796ABA">
        <w:rPr>
          <w:rStyle w:val="CommentReference"/>
          <w:sz w:val="24"/>
          <w:szCs w:val="24"/>
        </w:rPr>
        <w:t xml:space="preserve">(Guy 2010) </w:t>
      </w:r>
      <w:r w:rsidRPr="00796ABA">
        <w:rPr>
          <w:szCs w:val="24"/>
        </w:rPr>
        <w:t>and other studies indicate that there is preference for rapid t</w:t>
      </w:r>
      <w:r>
        <w:t>ests among MSM</w:t>
      </w:r>
      <w:r w:rsidR="002D1FFE">
        <w:t xml:space="preserve"> (Yang 2014)</w:t>
      </w:r>
      <w:r>
        <w:t xml:space="preserve">. </w:t>
      </w:r>
    </w:p>
    <w:p w:rsidR="00B60AC5" w:rsidRDefault="00B60AC5" w:rsidP="00B60AC5">
      <w:pPr>
        <w:tabs>
          <w:tab w:val="left" w:pos="0"/>
          <w:tab w:val="left" w:pos="567"/>
          <w:tab w:val="left" w:pos="1140"/>
        </w:tabs>
        <w:spacing w:before="120"/>
        <w:ind w:left="360"/>
        <w:rPr>
          <w:rFonts w:ascii="Arial" w:hAnsi="Arial" w:cs="Arial"/>
          <w:b/>
          <w:szCs w:val="24"/>
        </w:rPr>
      </w:pPr>
      <w:r w:rsidRPr="009F62C6">
        <w:rPr>
          <w:rFonts w:ascii="Arial" w:hAnsi="Arial" w:cs="Arial"/>
          <w:b/>
          <w:szCs w:val="24"/>
        </w:rPr>
        <w:t>Comparator</w:t>
      </w:r>
    </w:p>
    <w:p w:rsidR="00EC7F0E" w:rsidRDefault="00EC7F0E" w:rsidP="00EC7F0E">
      <w:r>
        <w:t xml:space="preserve">The relevant comparator to assess the safety, effectiveness and cost-effectiveness of the rapid point-of-care HIV Antigen/Antibody test is serology testing for HIV.  </w:t>
      </w:r>
      <w:r w:rsidRPr="002F56AA">
        <w:t>The</w:t>
      </w:r>
      <w:r>
        <w:t xml:space="preserve"> </w:t>
      </w:r>
      <w:r w:rsidRPr="002F56AA">
        <w:t>exact testing performed by the laboratory will depend on the diagnostic algorithm in use but</w:t>
      </w:r>
      <w:r>
        <w:t xml:space="preserve"> </w:t>
      </w:r>
      <w:r w:rsidRPr="002F56AA">
        <w:t>would typically consist of full testing protocol i.e. initial and confirmatory testing.</w:t>
      </w:r>
      <w:r>
        <w:t xml:space="preserve">  Expert opinion sought during the assessment indicated that standard </w:t>
      </w:r>
      <w:r w:rsidRPr="006A4C35">
        <w:t xml:space="preserve">practice would be the use of a </w:t>
      </w:r>
      <w:r>
        <w:t>fourth</w:t>
      </w:r>
      <w:r w:rsidRPr="006A4C35">
        <w:t xml:space="preserve"> </w:t>
      </w:r>
      <w:r>
        <w:t>g</w:t>
      </w:r>
      <w:r w:rsidRPr="006A4C35">
        <w:t>eneration Ag/Ab screening assay</w:t>
      </w:r>
      <w:r>
        <w:t xml:space="preserve"> such as Abbott Architect®.  The advice also indicated that i</w:t>
      </w:r>
      <w:r w:rsidRPr="006A4C35">
        <w:t xml:space="preserve">n some instances, a reactive HIV sample might undergo (in total) testing in </w:t>
      </w:r>
      <w:r>
        <w:t xml:space="preserve">four </w:t>
      </w:r>
      <w:r w:rsidRPr="006A4C35">
        <w:t xml:space="preserve">different </w:t>
      </w:r>
      <w:r>
        <w:t>fourth</w:t>
      </w:r>
      <w:r w:rsidRPr="006A4C35">
        <w:t xml:space="preserve"> </w:t>
      </w:r>
      <w:r>
        <w:t>g</w:t>
      </w:r>
      <w:r w:rsidRPr="006A4C35">
        <w:t>en</w:t>
      </w:r>
      <w:r>
        <w:t>eration</w:t>
      </w:r>
      <w:r w:rsidRPr="006A4C35">
        <w:t xml:space="preserve"> HIV Ag/Ab EIAs</w:t>
      </w:r>
      <w:r>
        <w:t xml:space="preserve"> (where only a single MBS item billing applies),</w:t>
      </w:r>
      <w:r w:rsidRPr="006A4C35">
        <w:t xml:space="preserve"> as well as a HIV Western Blot </w:t>
      </w:r>
      <w:r>
        <w:t xml:space="preserve">(no MBS item number applies) </w:t>
      </w:r>
      <w:r w:rsidRPr="006A4C35">
        <w:t xml:space="preserve">and any other supplementary tests as indicated. </w:t>
      </w:r>
    </w:p>
    <w:p w:rsidR="00EC7F0E" w:rsidRDefault="00EC7F0E" w:rsidP="00EC7F0E">
      <w:r>
        <w:t xml:space="preserve">The proposed algorithm provided in the MSAC 1391 Final Protocol implies that rapid point-of-care testing will substitute for laboratory testing for HIV.  Expert opinion sought during the assessment indicated that in a Melbourne clinic using the DHC test, venous samples were still being collected on the same day as the rapid test for laboratory testing (regardless of whether the DHC test was reactive or not); indicating that the DHC test may be an additional, rather than an alternative test to serology.  The advice also indicated that this was an opt-out system for those who are adamant they do not want a venous sample taken (less than 10 in 100 would decline); and that individuals suspected of early HIV </w:t>
      </w:r>
      <w:proofErr w:type="spellStart"/>
      <w:r>
        <w:t>seroconversion</w:t>
      </w:r>
      <w:proofErr w:type="spellEnd"/>
      <w:r>
        <w:t xml:space="preserve"> were particularly encouraged to undergo </w:t>
      </w:r>
      <w:r w:rsidR="00D62DE8">
        <w:lastRenderedPageBreak/>
        <w:t xml:space="preserve">additional </w:t>
      </w:r>
      <w:r>
        <w:t>laboratory testing or should not be tested with a rapid test at all.  Given testing for syphilis is recommended at the time of HIV testing and syphilis serology requires venepuncture, it is not unreasonable (and could perhaps be considered inappropriate not) to test for HIV at the same time.</w:t>
      </w:r>
    </w:p>
    <w:p w:rsidR="00B60AC5" w:rsidRDefault="00B60AC5" w:rsidP="00B60AC5">
      <w:pPr>
        <w:tabs>
          <w:tab w:val="left" w:pos="0"/>
          <w:tab w:val="left" w:pos="567"/>
          <w:tab w:val="left" w:pos="1140"/>
        </w:tabs>
        <w:spacing w:before="120"/>
        <w:ind w:left="360"/>
        <w:rPr>
          <w:rFonts w:ascii="Arial" w:hAnsi="Arial" w:cs="Arial"/>
          <w:b/>
          <w:szCs w:val="24"/>
        </w:rPr>
      </w:pPr>
      <w:r>
        <w:rPr>
          <w:rFonts w:ascii="Arial" w:hAnsi="Arial" w:cs="Arial"/>
          <w:b/>
          <w:szCs w:val="24"/>
        </w:rPr>
        <w:t>Scientific basis of comparison</w:t>
      </w:r>
    </w:p>
    <w:p w:rsidR="00EC7F0E" w:rsidRDefault="00EC7F0E" w:rsidP="00EC7F0E">
      <w:r>
        <w:t>A linked evidence approach was undertaken as no direct evidence for the effectiveness of the test was identified.  The linked evidence approach is undertaken in three steps, with subsequent steps relying on the findings of the previous steps, as per the framework given in Merlin (2013).  Depending on the results of the diagnostic accuracy review (evidence linkage 1), evidence linkage 2 is undertaken to assess change in patient management; and depending on the results of that, evidence linkage 3, which looks at treatment effectiveness, may need to be addressed.</w:t>
      </w:r>
    </w:p>
    <w:p w:rsidR="00EC7F0E" w:rsidRDefault="00EC7F0E" w:rsidP="00EC7F0E">
      <w:r>
        <w:t>Two Australian studies were identified that assessed the diagnostic accuracy of the DHC test to serology testing for diagnosis of HIV infection amongst MSM in Sydney (Conway 2013a, 2013b, 2014) and Melbourne (</w:t>
      </w:r>
      <w:proofErr w:type="spellStart"/>
      <w:r>
        <w:t>Eu</w:t>
      </w:r>
      <w:proofErr w:type="spellEnd"/>
      <w:r>
        <w:t xml:space="preserve"> 2014).</w:t>
      </w:r>
      <w:r w:rsidR="00ED4DD9">
        <w:t xml:space="preserve">  The studies are considered to be directly applicable to those for whom listing is sought</w:t>
      </w:r>
      <w:r w:rsidR="00ED4DD9" w:rsidRPr="004A6251">
        <w:t xml:space="preserve">. </w:t>
      </w:r>
      <w:r w:rsidR="00ED4DD9">
        <w:t xml:space="preserve"> </w:t>
      </w:r>
    </w:p>
    <w:p w:rsidR="00EC7F0E" w:rsidRDefault="00EC7F0E" w:rsidP="00EC7F0E">
      <w:r>
        <w:t xml:space="preserve">A single randomised controlled trial reported by Read (2013) was identified which </w:t>
      </w:r>
      <w:r w:rsidR="00ED4DD9">
        <w:t>compared HIV testing frequency over an 18 month period among MSM randomised to</w:t>
      </w:r>
      <w:r>
        <w:t xml:space="preserve"> rapid point-of-care test </w:t>
      </w:r>
      <w:r w:rsidR="00ED4DD9">
        <w:t>or</w:t>
      </w:r>
      <w:r>
        <w:t xml:space="preserve"> conventional testing in an Australian clinic.  </w:t>
      </w:r>
      <w:r w:rsidR="00ED4DD9">
        <w:t xml:space="preserve">The trial is considered to be largely applicable to those for whom listing is sought, however eligibility for enrolment was restricted to MSM who had HIV testing within the last two years thus, </w:t>
      </w:r>
      <w:proofErr w:type="gramStart"/>
      <w:r w:rsidR="00ED4DD9">
        <w:t>“</w:t>
      </w:r>
      <w:proofErr w:type="gramEnd"/>
      <w:r w:rsidR="00ED4DD9">
        <w:t>never” testers were not represented.</w:t>
      </w:r>
    </w:p>
    <w:p w:rsidR="00B60AC5" w:rsidRDefault="00B60AC5" w:rsidP="00B60AC5">
      <w:pPr>
        <w:tabs>
          <w:tab w:val="left" w:pos="0"/>
          <w:tab w:val="left" w:pos="567"/>
          <w:tab w:val="left" w:pos="1140"/>
        </w:tabs>
        <w:spacing w:before="120"/>
        <w:ind w:left="360"/>
        <w:rPr>
          <w:rFonts w:ascii="Arial" w:hAnsi="Arial" w:cs="Arial"/>
          <w:b/>
          <w:szCs w:val="24"/>
        </w:rPr>
      </w:pPr>
      <w:r>
        <w:rPr>
          <w:rFonts w:ascii="Arial" w:hAnsi="Arial" w:cs="Arial"/>
          <w:b/>
          <w:szCs w:val="24"/>
        </w:rPr>
        <w:t>Safety</w:t>
      </w:r>
    </w:p>
    <w:p w:rsidR="00EC7F0E" w:rsidRDefault="00EC7F0E" w:rsidP="00EC7F0E">
      <w:r>
        <w:t>No studies assessing the comparative safety of rapid point-of-care testing and serology testing for HIV were identified.</w:t>
      </w:r>
    </w:p>
    <w:p w:rsidR="00EC7F0E" w:rsidRDefault="00EC7F0E" w:rsidP="00EC7F0E">
      <w:r>
        <w:t>With respect to the procedures undertaken to collect specimens for testing, a finger-prick of venepuncture for rapid point-of-care and serology, respectively, no real safety issues are associated with either,</w:t>
      </w:r>
      <w:r w:rsidRPr="004A00AA">
        <w:t xml:space="preserve"> </w:t>
      </w:r>
      <w:r w:rsidRPr="00DC4B53">
        <w:t>provided the person drawing the samples is trained and sterile equipment is used</w:t>
      </w:r>
      <w:r>
        <w:t>.  In addition, as the DHC test requires the same or fewer blood withdrawals than the comparators, it is reasonable to conclude that the test is safe</w:t>
      </w:r>
      <w:r w:rsidRPr="00DC4B53">
        <w:t>.</w:t>
      </w:r>
    </w:p>
    <w:p w:rsidR="00EC7F0E" w:rsidRDefault="00EC7F0E" w:rsidP="00EC7F0E">
      <w:r>
        <w:t>The impact of false positive or false negative results from the rapid point-of-care test however, should be considered.</w:t>
      </w:r>
      <w:r w:rsidR="0005449C">
        <w:t xml:space="preserve">  </w:t>
      </w:r>
      <w:r>
        <w:t>With respect to false positive results, where the rapid point-of-care test indicates the presence of HIV infection, but confirmatory serology testing does not; it would be anticipated that the anxiety felt over the week prior to delivery of the serology test results would be greater than for those who are undergoing routine testing with serology testing (with no rapid point-of-care test result).  The positive rapid point-of-care result would also be accompanied with counselling for the results according to the pro</w:t>
      </w:r>
      <w:r w:rsidR="0005449C">
        <w:t>posed clinical decision pathway</w:t>
      </w:r>
      <w:r>
        <w:t>.</w:t>
      </w:r>
    </w:p>
    <w:p w:rsidR="00EC7F0E" w:rsidRDefault="00EC7F0E" w:rsidP="00D62DE8">
      <w:r>
        <w:t xml:space="preserve">With respect to false negative results, where the rapid point-of-care test indicates no HIV infection, but confirmatory serology testing would; there is potential for those individuals to have worse health outcomes in the longer term due to having an undiagnosed HIV infection.  There is also the potential for these individuals to unknowingly transmit HIV to other individuals until such time they undergo further testing and are diagnosed.  </w:t>
      </w:r>
      <w:r w:rsidRPr="00E44BD6">
        <w:t xml:space="preserve">As </w:t>
      </w:r>
      <w:r w:rsidRPr="00E44BD6">
        <w:lastRenderedPageBreak/>
        <w:t xml:space="preserve">noted above, the current practice in at least one Melbourne clinic is to collect a venous sample on the same day as rapid testing for serology testing for HIV.  If this applies nationally, the risk of false negative results should be no greater than is currently the case.  The risk of false-negative results in practice may additionally be mitigated through information provided in the product’s instructions for use and through training of health professionals performing the test.  The product’s instructions for use detail the limitations of the test, including the limitation of the test at early stages of infection.  These limitations are explained to health professionals performing the test when they are trained in the use of the product. </w:t>
      </w:r>
      <w:r w:rsidR="00CF2E72">
        <w:t xml:space="preserve"> Expert advice has suggested that individuals suspected of early HIV </w:t>
      </w:r>
      <w:proofErr w:type="spellStart"/>
      <w:r w:rsidR="00CF2E72">
        <w:t>seroconversion</w:t>
      </w:r>
      <w:proofErr w:type="spellEnd"/>
      <w:r w:rsidR="00CF2E72">
        <w:t xml:space="preserve"> </w:t>
      </w:r>
      <w:r w:rsidR="009D161A">
        <w:t>a</w:t>
      </w:r>
      <w:r w:rsidR="002D1FFE">
        <w:t>re</w:t>
      </w:r>
      <w:r w:rsidR="00CF2E72">
        <w:t xml:space="preserve"> particularly encouraged to undergo </w:t>
      </w:r>
      <w:r w:rsidR="00D62DE8">
        <w:t xml:space="preserve">additional </w:t>
      </w:r>
      <w:r w:rsidR="00CF2E72">
        <w:t xml:space="preserve">laboratory </w:t>
      </w:r>
      <w:proofErr w:type="gramStart"/>
      <w:r w:rsidR="00CF2E72">
        <w:t>testing</w:t>
      </w:r>
      <w:r w:rsidR="002D1FFE">
        <w:t>,</w:t>
      </w:r>
      <w:proofErr w:type="gramEnd"/>
      <w:r w:rsidR="002D1FFE">
        <w:t xml:space="preserve"> other advice suggested those suspected of early infection</w:t>
      </w:r>
      <w:r w:rsidR="00CF2E72">
        <w:t xml:space="preserve"> should not be tested with a rapid test at all.</w:t>
      </w:r>
    </w:p>
    <w:p w:rsidR="00B60AC5" w:rsidRDefault="00B60AC5" w:rsidP="00EC7F0E">
      <w:pPr>
        <w:tabs>
          <w:tab w:val="left" w:pos="0"/>
          <w:tab w:val="left" w:pos="567"/>
          <w:tab w:val="left" w:pos="1140"/>
        </w:tabs>
        <w:spacing w:before="120"/>
        <w:ind w:left="360"/>
        <w:rPr>
          <w:rFonts w:ascii="Arial" w:hAnsi="Arial" w:cs="Arial"/>
          <w:b/>
        </w:rPr>
      </w:pPr>
      <w:r w:rsidRPr="00055292">
        <w:rPr>
          <w:rFonts w:ascii="Arial" w:hAnsi="Arial" w:cs="Arial"/>
          <w:b/>
        </w:rPr>
        <w:t>Clinical effectiveness</w:t>
      </w:r>
    </w:p>
    <w:p w:rsidR="0005449C" w:rsidRDefault="0005449C" w:rsidP="00EC7F0E">
      <w:pPr>
        <w:tabs>
          <w:tab w:val="left" w:pos="0"/>
          <w:tab w:val="left" w:pos="567"/>
          <w:tab w:val="left" w:pos="1140"/>
        </w:tabs>
        <w:spacing w:before="120"/>
        <w:ind w:left="360"/>
        <w:rPr>
          <w:rFonts w:ascii="Arial" w:hAnsi="Arial" w:cs="Arial"/>
          <w:u w:val="single"/>
        </w:rPr>
      </w:pPr>
      <w:r>
        <w:rPr>
          <w:rFonts w:ascii="Arial" w:hAnsi="Arial" w:cs="Arial"/>
          <w:u w:val="single"/>
        </w:rPr>
        <w:t>Diagnostic accuracy</w:t>
      </w:r>
    </w:p>
    <w:p w:rsidR="0005449C" w:rsidRDefault="0005449C" w:rsidP="0005449C">
      <w:r w:rsidRPr="0005449C">
        <w:t xml:space="preserve">A meta-analysis of the two included studies indicated that the </w:t>
      </w:r>
      <w:r w:rsidRPr="0061729B">
        <w:rPr>
          <w:u w:val="single"/>
        </w:rPr>
        <w:t>sensitivity of the DHC test was 87.8% (95% CI: 75.2%, 95.4%) and the specificity was 99.4% (95% CI: 99.1%, 99.7%) compared with serology testing for the diagnosis of HIV infection</w:t>
      </w:r>
      <w:r w:rsidRPr="0005449C">
        <w:t>.</w:t>
      </w:r>
      <w:r>
        <w:t xml:space="preserve">  These data differ from the sensitivity and specificity reported for the DHC test provided in the product insert which states that “the sensitivity of the Determine HIV Combo (DHC) is 100.00% across 1,179 specimens positive for various types and subtypes of HIV</w:t>
      </w:r>
      <w:r w:rsidR="00F9191F">
        <w:t xml:space="preserve"> and who were confirmed HIV antibody positive</w:t>
      </w:r>
      <w:r>
        <w:t xml:space="preserve">.  The specificity of the test is 99.61% for the antigen test line and the 99.21% for the antibody test line across 1,783 HIV-negative specimens”.  </w:t>
      </w:r>
    </w:p>
    <w:p w:rsidR="00C77723" w:rsidRPr="00C77723" w:rsidRDefault="0005449C" w:rsidP="00FC7D54">
      <w:r w:rsidRPr="0061729B">
        <w:t xml:space="preserve">The differences in the reported sensitivity of the DHC test from these Australian studies and the product insert are </w:t>
      </w:r>
      <w:r w:rsidR="0061729B" w:rsidRPr="0061729B">
        <w:t xml:space="preserve">likely to result from the estimates provided in </w:t>
      </w:r>
      <w:r w:rsidR="00FC7D54">
        <w:t>the product insert</w:t>
      </w:r>
      <w:r w:rsidR="0061729B" w:rsidRPr="0061729B">
        <w:t xml:space="preserve"> having been assessed from the two extreme ends of the </w:t>
      </w:r>
      <w:r w:rsidR="00FC7D54">
        <w:t xml:space="preserve">disease </w:t>
      </w:r>
      <w:r w:rsidR="0061729B" w:rsidRPr="0061729B">
        <w:t>spectrum (</w:t>
      </w:r>
      <w:proofErr w:type="spellStart"/>
      <w:r w:rsidR="0061729B" w:rsidRPr="0061729B">
        <w:t>ie</w:t>
      </w:r>
      <w:proofErr w:type="spellEnd"/>
      <w:r w:rsidR="00FC7D54">
        <w:t>,</w:t>
      </w:r>
      <w:r w:rsidR="0061729B" w:rsidRPr="0061729B">
        <w:t xml:space="preserve"> </w:t>
      </w:r>
      <w:r w:rsidR="00FC7D54">
        <w:t xml:space="preserve">confirmed </w:t>
      </w:r>
      <w:r w:rsidR="0061729B" w:rsidRPr="0061729B">
        <w:t>seronegative and seropositive</w:t>
      </w:r>
      <w:r w:rsidR="00FC7D54">
        <w:t xml:space="preserve"> specimens</w:t>
      </w:r>
      <w:r w:rsidR="0061729B" w:rsidRPr="0061729B">
        <w:t>), which tends to overestimate diagnostic accuracy (</w:t>
      </w:r>
      <w:proofErr w:type="spellStart"/>
      <w:r w:rsidR="0061729B" w:rsidRPr="0061729B">
        <w:t>Knottnerus</w:t>
      </w:r>
      <w:proofErr w:type="spellEnd"/>
      <w:r w:rsidR="0061729B" w:rsidRPr="0061729B">
        <w:t xml:space="preserve"> 2002).</w:t>
      </w:r>
      <w:r w:rsidR="0061729B">
        <w:t xml:space="preserve">  </w:t>
      </w:r>
      <w:r w:rsidR="00FC7D54">
        <w:t xml:space="preserve">Of the false negatives reported in the two Australian studies, </w:t>
      </w:r>
      <w:r w:rsidR="00FC7D54" w:rsidRPr="00C77723">
        <w:t>four of five (80%) were men with early HIV infection</w:t>
      </w:r>
      <w:r w:rsidR="00FC7D54">
        <w:t xml:space="preserve"> in Conway (2014) and the single false negative reported in </w:t>
      </w:r>
      <w:proofErr w:type="spellStart"/>
      <w:r w:rsidR="00FC7D54">
        <w:t>Eu</w:t>
      </w:r>
      <w:proofErr w:type="spellEnd"/>
      <w:r w:rsidR="00FC7D54">
        <w:t xml:space="preserve"> (2014) was one of </w:t>
      </w:r>
      <w:r w:rsidR="00FC7D54" w:rsidRPr="00C77723">
        <w:t xml:space="preserve">three (33%) </w:t>
      </w:r>
      <w:proofErr w:type="spellStart"/>
      <w:r w:rsidR="00FC7D54" w:rsidRPr="00C77723">
        <w:t>seroconverters</w:t>
      </w:r>
      <w:proofErr w:type="spellEnd"/>
      <w:r w:rsidR="00FC7D54">
        <w:t>.</w:t>
      </w:r>
    </w:p>
    <w:p w:rsidR="00ED4DD9" w:rsidRDefault="00ED4DD9" w:rsidP="00ED4DD9">
      <w:pPr>
        <w:tabs>
          <w:tab w:val="left" w:pos="0"/>
          <w:tab w:val="left" w:pos="567"/>
          <w:tab w:val="left" w:pos="1140"/>
        </w:tabs>
        <w:spacing w:before="120"/>
        <w:ind w:left="360"/>
        <w:rPr>
          <w:rFonts w:ascii="Arial" w:hAnsi="Arial" w:cs="Arial"/>
          <w:u w:val="single"/>
        </w:rPr>
      </w:pPr>
      <w:r>
        <w:rPr>
          <w:rFonts w:ascii="Arial" w:hAnsi="Arial" w:cs="Arial"/>
          <w:u w:val="single"/>
        </w:rPr>
        <w:t>Impact on patient management</w:t>
      </w:r>
    </w:p>
    <w:p w:rsidR="00ED4DD9" w:rsidRDefault="00ED4DD9" w:rsidP="00ED4DD9">
      <w:r>
        <w:t xml:space="preserve">The results of the trial indicate that there was </w:t>
      </w:r>
      <w:r w:rsidRPr="00E43046">
        <w:rPr>
          <w:u w:val="single"/>
        </w:rPr>
        <w:t xml:space="preserve">no statistically significant difference between </w:t>
      </w:r>
      <w:r w:rsidR="00EC3ED6">
        <w:rPr>
          <w:u w:val="single"/>
        </w:rPr>
        <w:t>those randomised to rapid point-of-care or conventional HIV testing</w:t>
      </w:r>
      <w:r w:rsidRPr="00E43046">
        <w:rPr>
          <w:u w:val="single"/>
        </w:rPr>
        <w:t xml:space="preserve"> for the primary outcome of “HIV tests over 18 months”</w:t>
      </w:r>
      <w:r>
        <w:t xml:space="preserve"> or the secondary outcomes of syphilis, chlamydia and gonorrhoea testing over 18 months.  Hence, </w:t>
      </w:r>
      <w:r w:rsidRPr="00EC3ED6">
        <w:rPr>
          <w:u w:val="single"/>
        </w:rPr>
        <w:t>the possibility of having HIV tests by rapid point-of-care testing did not result in higher testing frequency over the study period of 18 months.</w:t>
      </w:r>
    </w:p>
    <w:p w:rsidR="00ED4DD9" w:rsidRDefault="00ED4DD9" w:rsidP="00ED4DD9">
      <w:r>
        <w:t xml:space="preserve">The authors also undertook </w:t>
      </w:r>
      <w:r>
        <w:rPr>
          <w:i/>
          <w:iCs/>
        </w:rPr>
        <w:t xml:space="preserve">post-hoc </w:t>
      </w:r>
      <w:r>
        <w:t xml:space="preserve">analyses considering only the first HIV test after enrolment and considering only subsequent HIV tests (excluding first tests).  A statistically significantly greater number of first HIV tests/year after the enrolment test was observed in those randomised to the HIV testing by the rapid point-of-care test compared with conventional testing, however no differences were observed in the number of HIV tests/year when only considering subsequent tests.  Based on these </w:t>
      </w:r>
      <w:r>
        <w:lastRenderedPageBreak/>
        <w:t>results, the authors conclude that “Post hoc analysis showed an initial increase in their rate of testing that was not sustained”.</w:t>
      </w:r>
    </w:p>
    <w:p w:rsidR="00ED4DD9" w:rsidRDefault="00ED4DD9" w:rsidP="00ED4DD9">
      <w:r>
        <w:t xml:space="preserve">The exclusion of “never” testers in the trial </w:t>
      </w:r>
      <w:r w:rsidR="00BB12EC">
        <w:t xml:space="preserve">limits any increase in testing that may or may not have been observed if they had also been enrolled.  This is of particular relevance when considered in the context that the results of the patient satisfaction questionnaire reported in </w:t>
      </w:r>
      <w:proofErr w:type="spellStart"/>
      <w:r w:rsidR="00BB12EC">
        <w:t>Eu</w:t>
      </w:r>
      <w:proofErr w:type="spellEnd"/>
      <w:r w:rsidR="00BB12EC">
        <w:t xml:space="preserve"> (2014) indicated that one in five men would not have been tested if rapid point-of-care testing was not available.</w:t>
      </w:r>
    </w:p>
    <w:p w:rsidR="00B60AC5" w:rsidRDefault="00B60AC5" w:rsidP="00BB12EC">
      <w:pPr>
        <w:tabs>
          <w:tab w:val="left" w:pos="0"/>
          <w:tab w:val="left" w:pos="567"/>
        </w:tabs>
        <w:spacing w:before="120"/>
        <w:ind w:left="357"/>
        <w:rPr>
          <w:rFonts w:ascii="Arial" w:hAnsi="Arial" w:cs="Arial"/>
          <w:b/>
          <w:szCs w:val="24"/>
        </w:rPr>
      </w:pPr>
      <w:r>
        <w:rPr>
          <w:rFonts w:ascii="Arial" w:hAnsi="Arial" w:cs="Arial"/>
          <w:b/>
          <w:szCs w:val="24"/>
        </w:rPr>
        <w:t>Economic evaluation</w:t>
      </w:r>
    </w:p>
    <w:p w:rsidR="00BB12EC" w:rsidRDefault="00BB12EC" w:rsidP="00BB12EC">
      <w:r>
        <w:t xml:space="preserve">The data reported in Conway (2014) and </w:t>
      </w:r>
      <w:proofErr w:type="spellStart"/>
      <w:r>
        <w:t>Eu</w:t>
      </w:r>
      <w:proofErr w:type="spellEnd"/>
      <w:r>
        <w:t xml:space="preserve"> (2014) indicates that DHC has inferior diagnostic accuracy for detecting HIV compared to serology testing; whereas data reported in Read (2013) indicates that there was no statistically significant difference between the groups randomised to rapid point-of-care testing and serology testing in terms of number of tests/year for HIV.  To account for the differential diagnostic accuracy, a cost-effectiveness analysis is appropriate. </w:t>
      </w:r>
    </w:p>
    <w:p w:rsidR="00BB12EC" w:rsidRDefault="00BB12EC" w:rsidP="00BB12EC">
      <w:r>
        <w:t xml:space="preserve">The base case of the model assumes no differences in testing frequency between the two arms of the model.  Sensitivity analyses are conducted modifying some assumptions to attempt to capture other reasonable scenarios, including the qualitative patient satisfaction evidence in </w:t>
      </w:r>
      <w:proofErr w:type="spellStart"/>
      <w:r>
        <w:t>Eu</w:t>
      </w:r>
      <w:proofErr w:type="spellEnd"/>
      <w:r>
        <w:t xml:space="preserve"> (2014) and the </w:t>
      </w:r>
      <w:r w:rsidRPr="00A82411">
        <w:rPr>
          <w:i/>
        </w:rPr>
        <w:t>post-hoc</w:t>
      </w:r>
      <w:r>
        <w:t xml:space="preserve"> analysis in Read (2013).</w:t>
      </w:r>
    </w:p>
    <w:p w:rsidR="00BB12EC" w:rsidRDefault="00BB12EC" w:rsidP="00BB12EC">
      <w:r w:rsidRPr="0022302B">
        <w:t xml:space="preserve">The type of economic evaluation presented is a </w:t>
      </w:r>
      <w:r>
        <w:t xml:space="preserve">novel static </w:t>
      </w:r>
      <w:r w:rsidRPr="0022302B">
        <w:t>cost-consequences analysis which estimates cost per various test outcomes associated with the DHC test and conventional testing (</w:t>
      </w:r>
      <w:r>
        <w:t>four</w:t>
      </w:r>
      <w:r w:rsidRPr="0022302B">
        <w:t>th generation EIA) over one year.</w:t>
      </w:r>
      <w:r>
        <w:t xml:space="preserve">  </w:t>
      </w:r>
      <w:r w:rsidRPr="00AC00C9">
        <w:t xml:space="preserve">The population in the model is assumed to be all Australian MSMs without diagnosed HIV, and includes </w:t>
      </w:r>
      <w:r>
        <w:t>individuals</w:t>
      </w:r>
      <w:r w:rsidRPr="00AC00C9">
        <w:t xml:space="preserve"> who are seropositive, seroconverting and seronegative.  </w:t>
      </w:r>
    </w:p>
    <w:p w:rsidR="00BB12EC" w:rsidRDefault="00BB12EC" w:rsidP="00BB12EC">
      <w:r>
        <w:t xml:space="preserve">A decision analytic Markov model is used to estimate the cost per various test outcomes over a one year time horizon with three-monthly cycles, of a scenario where the DHC test is available for screening HIV in high-risk </w:t>
      </w:r>
      <w:r>
        <w:rPr>
          <w:bCs/>
        </w:rPr>
        <w:t>individual</w:t>
      </w:r>
      <w:r w:rsidRPr="00102204">
        <w:rPr>
          <w:bCs/>
        </w:rPr>
        <w:t>s</w:t>
      </w:r>
      <w:r>
        <w:t xml:space="preserve">.  </w:t>
      </w:r>
      <w:r w:rsidRPr="005C55AB">
        <w:t>MSMs without a diagnosis of HIV are assumed to commence each cycle in one of four health states</w:t>
      </w:r>
      <w:r>
        <w:t xml:space="preserve"> (</w:t>
      </w:r>
      <w:proofErr w:type="spellStart"/>
      <w:r>
        <w:t>i</w:t>
      </w:r>
      <w:proofErr w:type="spellEnd"/>
      <w:r>
        <w:t>) “Seropositive”, (ii) “Seroconverting”, (iii) “Seronegative” , (iv) “HIV diagnosed”.  The population enters the model in one of the three non-HIV diagnosed health states, and only transitions to the absorbing health state “HIV diagnosed” after a confirmed HIV diagnosis is made either through HIV screening or the development of AIDS complications and symptom-based testing.  The population who are “seronegative” may become infected with HIV during a cycle and transition to “seroconverting” or remain “seronegative”.  The population only remains in the “seroconverting” health state for one cycle.  They may be screened for HIV within the cycle and if diagnosed transition to “HIV diagnosed”, otherwise they will transition to “seropositive”.  Those with undiagnosed “seropositive” disease can transition to “HIV diagnosed” either via HIV screening, or due to development of AIDS symptoms via HIV symptom-based testing.</w:t>
      </w:r>
    </w:p>
    <w:p w:rsidR="00BB12EC" w:rsidRDefault="00BB12EC" w:rsidP="00BB12EC">
      <w:r>
        <w:t>Monte Carlo simulation is used to accommodate the heterogeneous population, conditional transition state probabilities, and incorporates a tracker variable for number of tests required by the clinical evidence available.  Therefore at the start of the model, individuals are assigned to one category for each of the following variables (</w:t>
      </w:r>
      <w:proofErr w:type="spellStart"/>
      <w:r>
        <w:t>i</w:t>
      </w:r>
      <w:proofErr w:type="spellEnd"/>
      <w:r>
        <w:t>) Initial non-HIV diagnosed health state (“seronegative”, “seroconverting”, “seropositive”); (ii) If “seropositive”, number of year seropositive (1 to 20); (iii) Undertakes routine HIV screening (yes or no); or (iv) Days since HIV infection (1 to 90).</w:t>
      </w:r>
    </w:p>
    <w:p w:rsidR="00BB12EC" w:rsidRDefault="00BB12EC" w:rsidP="00BB12EC">
      <w:r w:rsidRPr="00F4019F">
        <w:lastRenderedPageBreak/>
        <w:t xml:space="preserve">There is no precise “window period” at which time a HIV test will detect an infection that it would not have detected prior to this time.  Therefore, in the seroconverting health state, the probability of a positive diagnosis is assumed to increase over time (Owen 2008).  </w:t>
      </w:r>
      <w:r w:rsidR="009D161A">
        <w:t>T</w:t>
      </w:r>
      <w:r w:rsidRPr="00F4019F">
        <w:t xml:space="preserve">he median window periods for fourth generation EIA and the DHC test are </w:t>
      </w:r>
      <w:r w:rsidR="009D161A">
        <w:t xml:space="preserve">assumed to be </w:t>
      </w:r>
      <w:r w:rsidRPr="00F4019F">
        <w:t>approximately 20 and 25 days</w:t>
      </w:r>
      <w:r w:rsidR="009D161A">
        <w:t>,</w:t>
      </w:r>
      <w:r w:rsidRPr="00F4019F">
        <w:t xml:space="preserve"> respectively</w:t>
      </w:r>
      <w:r>
        <w:t xml:space="preserve"> </w:t>
      </w:r>
      <w:r w:rsidRPr="00F4019F">
        <w:t>(Cohen 2010)</w:t>
      </w:r>
      <w:r>
        <w:t>.</w:t>
      </w:r>
    </w:p>
    <w:p w:rsidR="00BB12EC" w:rsidRDefault="00BB12EC" w:rsidP="00BB12EC">
      <w:r>
        <w:t xml:space="preserve">The base case of the modelled economic evaluation predicts </w:t>
      </w:r>
      <w:r w:rsidRPr="00937CC5">
        <w:rPr>
          <w:u w:val="single"/>
        </w:rPr>
        <w:t>10 fewer cases of HIV will be detected via screening with the DHC test compared to standard laboratory testing</w:t>
      </w:r>
      <w:r>
        <w:t xml:space="preserve">, largely due to the window periods assumed for the tests.  Of those not diagnosed, all commenced in the seronegative health state and were infected within the year.  The </w:t>
      </w:r>
      <w:r w:rsidRPr="00937CC5">
        <w:rPr>
          <w:u w:val="single"/>
        </w:rPr>
        <w:t>incremental cost of the DHC test is $941,454, therefore the strategy is dominated</w:t>
      </w:r>
      <w:r>
        <w:t>.  This result is consistent with the assumption of no differences in testing frequency, and with the increased cost/test for the DHC test compared with serology testing.</w:t>
      </w:r>
    </w:p>
    <w:p w:rsidR="00BB12EC" w:rsidRDefault="00BB12EC" w:rsidP="00BB12EC">
      <w:r>
        <w:t>The results of the sensitivity analyses demonstrate that the ICER is most sensitive to the assumption that the availability of the DHC test would encourage a greater proportion of MSM to be tested (ICER=$46,689/additional HIV detection; assuming an increase from 55% to 58% of MSM are tested) and assumed increases in testing frequency with the DHC test compared with serology testing (ICER=$32,217/additional HIV detection).</w:t>
      </w:r>
    </w:p>
    <w:p w:rsidR="00B60AC5" w:rsidRDefault="00B60AC5" w:rsidP="00BB12EC">
      <w:pPr>
        <w:tabs>
          <w:tab w:val="left" w:pos="284"/>
          <w:tab w:val="left" w:pos="567"/>
          <w:tab w:val="left" w:pos="720"/>
          <w:tab w:val="left" w:pos="1140"/>
        </w:tabs>
        <w:spacing w:before="120"/>
        <w:ind w:left="360"/>
        <w:rPr>
          <w:rFonts w:ascii="Arial" w:hAnsi="Arial" w:cs="Arial"/>
          <w:b/>
          <w:szCs w:val="24"/>
        </w:rPr>
      </w:pPr>
      <w:r w:rsidRPr="009F62C6">
        <w:rPr>
          <w:rFonts w:ascii="Arial" w:hAnsi="Arial" w:cs="Arial"/>
          <w:b/>
          <w:szCs w:val="24"/>
        </w:rPr>
        <w:t xml:space="preserve">Financial/budgetary impacts </w:t>
      </w:r>
    </w:p>
    <w:p w:rsidR="00BB12EC" w:rsidRDefault="00BB12EC" w:rsidP="00BB12EC">
      <w:r>
        <w:t xml:space="preserve">The number of tests that are likely to be undertaken amongst high risk individuals is unknown.  </w:t>
      </w:r>
    </w:p>
    <w:p w:rsidR="00BB12EC" w:rsidRDefault="00BB12EC" w:rsidP="00BB12EC">
      <w:r>
        <w:t xml:space="preserve">Assuming direct substitution and 45,000 rapid tests per year (MSAC 1391 Final Protocol p5), the total cost to the Australian healthcare system is approximately $249,300, where this additional cost is associated with fewer HIV diagnoses.  Assuming sequential use and 45,000 tests per year, the total cost is approximately $1,175,850, where this additional cost is associated with no differences in the number of HIV diagnoses.  </w:t>
      </w:r>
    </w:p>
    <w:p w:rsidR="00BB12EC" w:rsidRPr="00776777" w:rsidRDefault="00BB12EC" w:rsidP="00BB12EC">
      <w:pPr>
        <w:rPr>
          <w:bCs/>
        </w:rPr>
      </w:pPr>
      <w:r>
        <w:t>Based on the number of tests estimated in the base case of the modelled economic evaluation of 119,889 tests per year, assuming direct substitution, the total cost to the Australian healthcare system is approximately $664,185 (additional cost with fewer HIV diagnoses); assuming sequential use, the total cost is approximately $3,132,700 (additional cost is associated with no differences in the number of HIV diagnoses).</w:t>
      </w:r>
    </w:p>
    <w:p w:rsidR="008F59A8" w:rsidRPr="004C6B15" w:rsidRDefault="008F59A8">
      <w:pPr>
        <w:sectPr w:rsidR="008F59A8" w:rsidRPr="004C6B15" w:rsidSect="001D7CCE">
          <w:headerReference w:type="even" r:id="rId18"/>
          <w:headerReference w:type="default" r:id="rId19"/>
          <w:headerReference w:type="first" r:id="rId20"/>
          <w:type w:val="oddPage"/>
          <w:pgSz w:w="11906" w:h="16838"/>
          <w:pgMar w:top="1440" w:right="1440" w:bottom="1440" w:left="1440" w:header="720" w:footer="720" w:gutter="0"/>
          <w:paperSrc w:first="2" w:other="2"/>
          <w:pgNumType w:fmt="lowerRoman"/>
          <w:cols w:space="720"/>
        </w:sectPr>
      </w:pPr>
    </w:p>
    <w:p w:rsidR="008F59A8" w:rsidRPr="00776777" w:rsidRDefault="008F59A8" w:rsidP="00776777">
      <w:pPr>
        <w:pStyle w:val="Heading1"/>
      </w:pPr>
      <w:bookmarkStart w:id="13" w:name="_Toc451749499"/>
      <w:bookmarkStart w:id="14" w:name="_Toc418224851"/>
      <w:r w:rsidRPr="00776777">
        <w:lastRenderedPageBreak/>
        <w:t>Introduction</w:t>
      </w:r>
      <w:bookmarkEnd w:id="13"/>
      <w:bookmarkEnd w:id="14"/>
    </w:p>
    <w:p w:rsidR="001C3A68" w:rsidRPr="000D445C" w:rsidRDefault="001C3A68" w:rsidP="001C3A68">
      <w:r w:rsidRPr="000D445C">
        <w:t xml:space="preserve">The Medical Services Advisory Committee (MSAC) has reviewed the use of </w:t>
      </w:r>
      <w:r w:rsidR="005B7B4A" w:rsidRPr="000D445C">
        <w:t xml:space="preserve">rapid point-of-care combined Antigen/Antibody </w:t>
      </w:r>
      <w:r w:rsidR="00285FE4">
        <w:t>human immunodeficiency virus (</w:t>
      </w:r>
      <w:r w:rsidR="005B7B4A" w:rsidRPr="000D445C">
        <w:t>HIV</w:t>
      </w:r>
      <w:r w:rsidR="00285FE4">
        <w:t>)</w:t>
      </w:r>
      <w:r w:rsidR="005B7B4A" w:rsidRPr="000D445C">
        <w:t xml:space="preserve"> test</w:t>
      </w:r>
      <w:r w:rsidRPr="000D445C">
        <w:t>, which is a</w:t>
      </w:r>
      <w:r w:rsidR="005B7B4A" w:rsidRPr="000D445C">
        <w:t xml:space="preserve"> </w:t>
      </w:r>
      <w:r w:rsidRPr="000D445C">
        <w:t>diagnostic</w:t>
      </w:r>
      <w:r w:rsidR="005B7B4A" w:rsidRPr="000D445C">
        <w:t xml:space="preserve"> </w:t>
      </w:r>
      <w:r w:rsidRPr="000D445C">
        <w:t xml:space="preserve">test for </w:t>
      </w:r>
      <w:r w:rsidR="005B7B4A" w:rsidRPr="000D445C">
        <w:t>the diagnosis of HIV infection</w:t>
      </w:r>
      <w:r w:rsidRPr="000D445C">
        <w:t xml:space="preserve">. </w:t>
      </w:r>
      <w:r w:rsidR="005B7B4A" w:rsidRPr="000D445C">
        <w:t xml:space="preserve"> </w:t>
      </w:r>
      <w:r w:rsidRPr="000D445C">
        <w:t xml:space="preserve">MSAC evaluates new and existing health technologies and procedures for which funding is sought under the Medicare Benefits Scheme in terms of their safety, effectiveness and cost-effectiveness, while taking into account other issues such as access and equity. </w:t>
      </w:r>
      <w:r w:rsidR="005B7B4A" w:rsidRPr="000D445C">
        <w:t xml:space="preserve"> </w:t>
      </w:r>
      <w:r w:rsidRPr="000D445C">
        <w:t>MSAC adopts an evidence-based approach to its assessments, based on reviews of the scientific literature and other information sources, including clinical expertise.</w:t>
      </w:r>
    </w:p>
    <w:p w:rsidR="001C3A68" w:rsidRPr="00A12E71" w:rsidRDefault="001C3A68" w:rsidP="00030FB4">
      <w:r w:rsidRPr="000D445C">
        <w:t>MSAC is a multidisciplinary expert body, comprising members drawn from such disciplines as diagnostic imaging, pathology, surgery, internal medicine and general practice, clinical epidemiology, health economics, consumer health and health administration.</w:t>
      </w:r>
    </w:p>
    <w:p w:rsidR="001C3A68" w:rsidRPr="00A12E71" w:rsidRDefault="001C3A68" w:rsidP="001C3A68">
      <w:r w:rsidRPr="00A12E71">
        <w:t xml:space="preserve">This report summarises the assessment of current evidence for </w:t>
      </w:r>
      <w:r w:rsidR="005B7B4A" w:rsidRPr="005B7B4A">
        <w:t>rapid point-of-care combined Antigen/Antibody HIV test to aid in the diagnosis of HIV infection</w:t>
      </w:r>
      <w:r w:rsidRPr="00A12E71">
        <w:t>.</w:t>
      </w:r>
    </w:p>
    <w:p w:rsidR="008F59A8" w:rsidRPr="00776777" w:rsidRDefault="008F59A8" w:rsidP="00776777">
      <w:pPr>
        <w:pStyle w:val="Heading1"/>
      </w:pPr>
      <w:bookmarkStart w:id="15" w:name="_Toc451749500"/>
      <w:bookmarkStart w:id="16" w:name="_Toc418224852"/>
      <w:r w:rsidRPr="00776777">
        <w:lastRenderedPageBreak/>
        <w:t>Background</w:t>
      </w:r>
      <w:bookmarkEnd w:id="15"/>
      <w:bookmarkEnd w:id="16"/>
    </w:p>
    <w:p w:rsidR="001C3A68" w:rsidRDefault="00E03346" w:rsidP="001C3A68">
      <w:pPr>
        <w:pStyle w:val="Heading2"/>
        <w:rPr>
          <w:bCs/>
        </w:rPr>
      </w:pPr>
      <w:bookmarkStart w:id="17" w:name="_Toc188861162"/>
      <w:bookmarkStart w:id="18" w:name="_Toc418224853"/>
      <w:r w:rsidRPr="005C7913">
        <w:rPr>
          <w:bCs/>
        </w:rPr>
        <w:t>Intervention</w:t>
      </w:r>
      <w:r w:rsidR="001C3A68" w:rsidRPr="005C7913">
        <w:rPr>
          <w:bCs/>
        </w:rPr>
        <w:t xml:space="preserve"> name</w:t>
      </w:r>
      <w:bookmarkEnd w:id="17"/>
      <w:bookmarkEnd w:id="18"/>
    </w:p>
    <w:p w:rsidR="008C3EDB" w:rsidRDefault="007556E6" w:rsidP="000B0364">
      <w:r>
        <w:t xml:space="preserve">Rapid </w:t>
      </w:r>
      <w:r w:rsidR="004A6FA6">
        <w:t>point-of-care</w:t>
      </w:r>
      <w:r>
        <w:t xml:space="preserve"> </w:t>
      </w:r>
      <w:r w:rsidR="00BB5B46">
        <w:t xml:space="preserve">combined Antigen/Antibody </w:t>
      </w:r>
      <w:r>
        <w:t>test for HIV infection</w:t>
      </w:r>
      <w:r w:rsidR="00BB5B46">
        <w:t xml:space="preserve">.  </w:t>
      </w:r>
      <w:r w:rsidR="008C3EDB">
        <w:t xml:space="preserve">Rapid refers to the result of the test being available within 20-30 minutes </w:t>
      </w:r>
      <w:r w:rsidR="002146A3">
        <w:t xml:space="preserve">from specimen collection </w:t>
      </w:r>
      <w:r w:rsidR="008C3EDB">
        <w:t>and “point-of-care” refer</w:t>
      </w:r>
      <w:r w:rsidR="00285FE4">
        <w:t>s</w:t>
      </w:r>
      <w:r w:rsidR="008C3EDB">
        <w:t xml:space="preserve"> to the test being conducted </w:t>
      </w:r>
      <w:r w:rsidR="005973E8" w:rsidRPr="005973E8">
        <w:t>near to, or at the side of, a patient by trained health professionals and/or care providers</w:t>
      </w:r>
      <w:r w:rsidR="00A6240A">
        <w:t>, rather than sample being sent to pathology laboratories</w:t>
      </w:r>
      <w:r w:rsidR="008C3EDB">
        <w:t xml:space="preserve">.  Combined Antigen/Antibody refers to the </w:t>
      </w:r>
      <w:r w:rsidR="005B7B4A">
        <w:t>detection of</w:t>
      </w:r>
      <w:r w:rsidR="008C3EDB" w:rsidRPr="008C3EDB">
        <w:t xml:space="preserve"> both HIV antigen and antibodies to HIV</w:t>
      </w:r>
      <w:r w:rsidR="00A6240A">
        <w:t>.</w:t>
      </w:r>
    </w:p>
    <w:p w:rsidR="000B0364" w:rsidRPr="000B0364" w:rsidRDefault="00BB5B46" w:rsidP="000B0364">
      <w:r>
        <w:t xml:space="preserve">Currently, only a single such test has </w:t>
      </w:r>
      <w:r w:rsidRPr="00644B4C">
        <w:t xml:space="preserve">been </w:t>
      </w:r>
      <w:r w:rsidR="00767A16" w:rsidRPr="00644B4C">
        <w:t xml:space="preserve">developed </w:t>
      </w:r>
      <w:r w:rsidR="00A6240A">
        <w:t xml:space="preserve">- </w:t>
      </w:r>
      <w:r>
        <w:t xml:space="preserve">the </w:t>
      </w:r>
      <w:proofErr w:type="spellStart"/>
      <w:r w:rsidR="007556E6">
        <w:t>Alere</w:t>
      </w:r>
      <w:proofErr w:type="spellEnd"/>
      <w:r w:rsidR="007556E6">
        <w:t xml:space="preserve"> Determine HIV-1/2 A</w:t>
      </w:r>
      <w:r w:rsidR="00BD3D03">
        <w:t>nti</w:t>
      </w:r>
      <w:r w:rsidR="007556E6">
        <w:t>g</w:t>
      </w:r>
      <w:r w:rsidR="00BD3D03">
        <w:t>en</w:t>
      </w:r>
      <w:r w:rsidR="007556E6">
        <w:t>/A</w:t>
      </w:r>
      <w:r w:rsidR="00BD3D03">
        <w:t>nti</w:t>
      </w:r>
      <w:r w:rsidR="007556E6">
        <w:t>b</w:t>
      </w:r>
      <w:r w:rsidR="00BD3D03">
        <w:t>ody (Ag/Ab)</w:t>
      </w:r>
      <w:r w:rsidR="007556E6">
        <w:t xml:space="preserve"> Combo</w:t>
      </w:r>
      <w:r>
        <w:t xml:space="preserve"> (Determine HIV Combo), </w:t>
      </w:r>
      <w:r w:rsidRPr="00B4120C">
        <w:t>referred to as the DHC test herein.</w:t>
      </w:r>
      <w:r w:rsidR="00A6240A">
        <w:t xml:space="preserve">  </w:t>
      </w:r>
    </w:p>
    <w:p w:rsidR="004F3970" w:rsidRPr="004C6B15" w:rsidRDefault="004F3970" w:rsidP="004F3970">
      <w:pPr>
        <w:pStyle w:val="Heading2"/>
        <w:rPr>
          <w:bCs/>
        </w:rPr>
      </w:pPr>
      <w:bookmarkStart w:id="19" w:name="_Toc418224854"/>
      <w:r w:rsidRPr="004C6B15">
        <w:rPr>
          <w:bCs/>
        </w:rPr>
        <w:t xml:space="preserve">The </w:t>
      </w:r>
      <w:r w:rsidR="006B7C8A">
        <w:rPr>
          <w:bCs/>
        </w:rPr>
        <w:t>test</w:t>
      </w:r>
      <w:bookmarkEnd w:id="19"/>
    </w:p>
    <w:p w:rsidR="00A6240A" w:rsidRDefault="00A6240A" w:rsidP="007556E6">
      <w:r>
        <w:t>DHC</w:t>
      </w:r>
      <w:r w:rsidR="007556E6">
        <w:t xml:space="preserve"> is the only rapid test </w:t>
      </w:r>
      <w:r w:rsidR="008C3EDB">
        <w:t xml:space="preserve">which detects both HIV antigen and antibodies to HIV </w:t>
      </w:r>
      <w:r w:rsidR="007556E6">
        <w:t xml:space="preserve">currently approved by the TGA for </w:t>
      </w:r>
      <w:r>
        <w:t xml:space="preserve">point-of-care </w:t>
      </w:r>
      <w:r w:rsidR="00285FE4">
        <w:t xml:space="preserve">use </w:t>
      </w:r>
      <w:r>
        <w:t>by medical professionals trained in its use</w:t>
      </w:r>
      <w:r w:rsidR="00AC0EA5">
        <w:t xml:space="preserve"> and interpretation </w:t>
      </w:r>
      <w:r w:rsidR="005973E8">
        <w:t xml:space="preserve">of results </w:t>
      </w:r>
      <w:r w:rsidR="007556E6">
        <w:t xml:space="preserve">in Australia.  </w:t>
      </w:r>
      <w:r w:rsidR="00AC0EA5">
        <w:t xml:space="preserve">The TGA has placed strict restrictions on the use of this test (see Appendix </w:t>
      </w:r>
      <w:r w:rsidR="006F6E93">
        <w:t>B</w:t>
      </w:r>
      <w:r w:rsidR="00AC0EA5">
        <w:t>).</w:t>
      </w:r>
    </w:p>
    <w:p w:rsidR="007556E6" w:rsidRDefault="00A6240A" w:rsidP="007556E6">
      <w:r>
        <w:t>DHC</w:t>
      </w:r>
      <w:r w:rsidR="007556E6">
        <w:t xml:space="preserve"> is a “</w:t>
      </w:r>
      <w:r w:rsidR="00750B7D">
        <w:t>fourth</w:t>
      </w:r>
      <w:r w:rsidR="007556E6">
        <w:t xml:space="preserve"> generation” </w:t>
      </w:r>
      <w:r w:rsidR="008C3EDB">
        <w:t>test, which refers to it detecting both free, non-</w:t>
      </w:r>
      <w:proofErr w:type="spellStart"/>
      <w:r w:rsidR="008C3EDB">
        <w:t>immunocomplexed</w:t>
      </w:r>
      <w:proofErr w:type="spellEnd"/>
      <w:r w:rsidR="008C3EDB">
        <w:t xml:space="preserve"> HIV-1 p24 HIV a</w:t>
      </w:r>
      <w:r w:rsidR="007556E6">
        <w:t>ntigen</w:t>
      </w:r>
      <w:r w:rsidR="008C3EDB">
        <w:t xml:space="preserve"> (Ag) and antibodies (Ab) to HIV-1 and HIV-2 in human blood.  </w:t>
      </w:r>
      <w:r w:rsidR="007556E6">
        <w:t>Antigen detection is important in reducing the window period</w:t>
      </w:r>
      <w:r w:rsidR="008C3EDB">
        <w:t xml:space="preserve"> for the detection of HIV infection as the virus secretes p24 antigen before antibodies to HIV are produced by the infected individual.  </w:t>
      </w:r>
      <w:r w:rsidR="002C7C82">
        <w:t>As the DHC</w:t>
      </w:r>
      <w:r w:rsidR="007556E6">
        <w:t xml:space="preserve"> </w:t>
      </w:r>
      <w:r w:rsidR="002C7C82">
        <w:t>test detect</w:t>
      </w:r>
      <w:r w:rsidR="00644B4C">
        <w:t>s</w:t>
      </w:r>
      <w:r w:rsidR="002C7C82">
        <w:t xml:space="preserve"> HIV antigen, </w:t>
      </w:r>
      <w:r w:rsidR="007556E6">
        <w:t xml:space="preserve">HIV infection </w:t>
      </w:r>
      <w:r w:rsidR="002C7C82">
        <w:t xml:space="preserve">can be detected </w:t>
      </w:r>
      <w:r w:rsidR="007556E6">
        <w:t>approximately 10 days earlier than a range of antibody-only rapid tests (</w:t>
      </w:r>
      <w:proofErr w:type="spellStart"/>
      <w:r w:rsidR="007556E6" w:rsidRPr="00644B4C">
        <w:t>Masciotra</w:t>
      </w:r>
      <w:proofErr w:type="spellEnd"/>
      <w:r w:rsidR="007556E6" w:rsidRPr="00644B4C">
        <w:t xml:space="preserve"> 2013</w:t>
      </w:r>
      <w:r w:rsidR="00E46E4C" w:rsidRPr="00644B4C">
        <w:t>a</w:t>
      </w:r>
      <w:r w:rsidR="007556E6">
        <w:t>).</w:t>
      </w:r>
    </w:p>
    <w:p w:rsidR="00EE6545" w:rsidRDefault="002C7C82" w:rsidP="00EE6545">
      <w:r>
        <w:t xml:space="preserve">The test is a qualitative “reactive” or “non-reactive” immunoassay.  </w:t>
      </w:r>
      <w:r w:rsidR="00EE6545">
        <w:t xml:space="preserve">This is in contrast to quantitative methods such as enzyme immune assay (EIA) where a quantitative result is obtained and a diagnostic cut-off is used.  </w:t>
      </w:r>
    </w:p>
    <w:p w:rsidR="00FD7A84" w:rsidRDefault="002C7C82" w:rsidP="00EE6545">
      <w:r>
        <w:t xml:space="preserve">The test procedure for </w:t>
      </w:r>
      <w:r w:rsidR="00800F20">
        <w:t>the</w:t>
      </w:r>
      <w:r>
        <w:t xml:space="preserve"> DHC </w:t>
      </w:r>
      <w:r w:rsidR="00800F20">
        <w:t xml:space="preserve">test </w:t>
      </w:r>
      <w:r>
        <w:t xml:space="preserve">begins with a small amount of blood, collected by a finger prick procedure.  The blood sample is then added to the test strip, followed by a drop of buffer.  After 20 minutes, test results are interpreted by the presence or absence of Control, Antigen and Antibody test lines.  </w:t>
      </w:r>
      <w:r w:rsidR="00FD7A84">
        <w:t xml:space="preserve">If red bars appear in the antibody or antigen or the antibody and antigen bars, the test should be interpreted as positive; if no bars appear in the antigen or antibody bars, the test should be interpreted as negative; as long as there is also a red bar in the control bar.  </w:t>
      </w:r>
      <w:r>
        <w:t xml:space="preserve">If the result from the point-of-care test is reactive, a confirmatory laboratory test is required.  </w:t>
      </w:r>
      <w:r w:rsidR="00FD7A84">
        <w:t>Should no red bar appear in the control bar, the test should be interpreted as invalid, regardless of the appearance of red bars in antibody or antigen bars</w:t>
      </w:r>
      <w:r>
        <w:t xml:space="preserve"> and the test should be </w:t>
      </w:r>
      <w:proofErr w:type="gramStart"/>
      <w:r>
        <w:t>repeated</w:t>
      </w:r>
      <w:r w:rsidR="00FD7A84">
        <w:t>.</w:t>
      </w:r>
      <w:proofErr w:type="gramEnd"/>
      <w:r w:rsidR="00FD7A84">
        <w:t xml:space="preserve">  </w:t>
      </w:r>
      <w:r w:rsidR="00AC0EA5">
        <w:t>Figure 1</w:t>
      </w:r>
      <w:r w:rsidR="00FD7A84">
        <w:t xml:space="preserve"> presents a diagrammatic representation of the interpretation of results</w:t>
      </w:r>
      <w:r>
        <w:t xml:space="preserve"> of the DHC test.</w:t>
      </w:r>
    </w:p>
    <w:p w:rsidR="005973E8" w:rsidRDefault="005973E8" w:rsidP="002A5CBD">
      <w:pPr>
        <w:pStyle w:val="Caption"/>
      </w:pPr>
    </w:p>
    <w:p w:rsidR="009E5DCE" w:rsidRDefault="009E5DCE" w:rsidP="009E5DCE">
      <w:pPr>
        <w:spacing w:after="0"/>
      </w:pPr>
    </w:p>
    <w:p w:rsidR="009A048B" w:rsidRDefault="009A048B" w:rsidP="002A5CBD">
      <w:pPr>
        <w:spacing w:after="0"/>
      </w:pPr>
      <w:r>
        <w:rPr>
          <w:noProof/>
        </w:rPr>
        <w:lastRenderedPageBreak/>
        <w:drawing>
          <wp:inline distT="0" distB="0" distL="0" distR="0" wp14:anchorId="77B093F2" wp14:editId="4C28ACC4">
            <wp:extent cx="5279666" cy="1399429"/>
            <wp:effectExtent l="0" t="0" r="0" b="0"/>
            <wp:docPr id="94" name="Picture 94" descr="Interpretation of results for the DHC test. The possible outcomes of the control bar, antigen bar and antibody bar are illustrated, and an interpretation of each is provided below. Specifcally, &quot;antigen positive&quot;, &quot;antibody positive&quot;, &quot;antigen and antibody positive&quot;, &quot;negative&quot; and &quot;invali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onash.edu\home\User057\pghijben\Desktop\Figure 1Interpretation of results for the DHC test.tiff"/>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283470" cy="1400437"/>
                    </a:xfrm>
                    <a:prstGeom prst="rect">
                      <a:avLst/>
                    </a:prstGeom>
                    <a:noFill/>
                    <a:ln>
                      <a:noFill/>
                    </a:ln>
                    <a:extLst>
                      <a:ext uri="{53640926-AAD7-44D8-BBD7-CCE9431645EC}">
                        <a14:shadowObscured xmlns:a14="http://schemas.microsoft.com/office/drawing/2010/main"/>
                      </a:ext>
                    </a:extLst>
                  </pic:spPr>
                </pic:pic>
              </a:graphicData>
            </a:graphic>
          </wp:inline>
        </w:drawing>
      </w:r>
    </w:p>
    <w:p w:rsidR="00EE50DC" w:rsidRDefault="00EE50DC" w:rsidP="00EE50DC">
      <w:pPr>
        <w:pStyle w:val="Caption"/>
      </w:pPr>
      <w:bookmarkStart w:id="20" w:name="_Toc418224894"/>
      <w:bookmarkStart w:id="21" w:name="_Toc418224991"/>
      <w:bookmarkStart w:id="22" w:name="_Toc418225636"/>
      <w:r>
        <w:t>Figure 1</w:t>
      </w:r>
      <w:r>
        <w:tab/>
        <w:t>Interpretation of results for the DHC test</w:t>
      </w:r>
      <w:bookmarkEnd w:id="20"/>
      <w:bookmarkEnd w:id="21"/>
      <w:bookmarkEnd w:id="22"/>
      <w:r w:rsidRPr="005973E8">
        <w:t xml:space="preserve"> </w:t>
      </w:r>
    </w:p>
    <w:p w:rsidR="00EE50DC" w:rsidRDefault="00EE50DC" w:rsidP="00EE50DC">
      <w:pPr>
        <w:pStyle w:val="TableNotes"/>
      </w:pPr>
      <w:r>
        <w:t>Source:  adapted from the DHC product insert</w:t>
      </w:r>
    </w:p>
    <w:p w:rsidR="00CB222D" w:rsidRDefault="00800F20" w:rsidP="009D161A">
      <w:r>
        <w:t>T</w:t>
      </w:r>
      <w:r w:rsidR="00EE6545">
        <w:t xml:space="preserve">he DHC test </w:t>
      </w:r>
      <w:r>
        <w:t xml:space="preserve">provides </w:t>
      </w:r>
      <w:r w:rsidR="00EE6545">
        <w:t xml:space="preserve">qualitative, reactive or non-reactive results </w:t>
      </w:r>
      <w:r>
        <w:t xml:space="preserve">which </w:t>
      </w:r>
      <w:r w:rsidR="00EE6545">
        <w:t>are used to determine sensitivity and specificity</w:t>
      </w:r>
      <w:r w:rsidR="00EE6545" w:rsidRPr="009D161A">
        <w:t xml:space="preserve">.  According to the product insert, the sensitivity of </w:t>
      </w:r>
      <w:r w:rsidRPr="009D161A">
        <w:t>DHC</w:t>
      </w:r>
      <w:r w:rsidR="00EE6545" w:rsidRPr="009D161A">
        <w:t xml:space="preserve"> is 100.00%</w:t>
      </w:r>
      <w:r w:rsidR="00C52AB0" w:rsidRPr="009D161A">
        <w:t xml:space="preserve"> </w:t>
      </w:r>
      <w:r w:rsidR="00EE6545" w:rsidRPr="009D161A">
        <w:t>across 1</w:t>
      </w:r>
      <w:r w:rsidR="00C52AB0" w:rsidRPr="009D161A">
        <w:t>,</w:t>
      </w:r>
      <w:r w:rsidR="00EE6545" w:rsidRPr="009D161A">
        <w:t>179 specimens positive for various types and subtypes of HIV</w:t>
      </w:r>
      <w:r w:rsidR="00F9191F">
        <w:t xml:space="preserve"> and who were confirmed HIV antibody positive</w:t>
      </w:r>
      <w:r w:rsidR="00EE6545" w:rsidRPr="009D161A">
        <w:t xml:space="preserve">. </w:t>
      </w:r>
      <w:r w:rsidR="00C52AB0" w:rsidRPr="009D161A">
        <w:t xml:space="preserve"> </w:t>
      </w:r>
      <w:r w:rsidR="00EE6545" w:rsidRPr="009D161A">
        <w:t>The specificity of the</w:t>
      </w:r>
      <w:r w:rsidR="00C52AB0" w:rsidRPr="009D161A">
        <w:t xml:space="preserve"> </w:t>
      </w:r>
      <w:r w:rsidR="00EE6545" w:rsidRPr="009D161A">
        <w:t xml:space="preserve">test is 99.61% for the antigen test line and the 99.21% for the antibody test line across </w:t>
      </w:r>
      <w:r w:rsidR="00041F29" w:rsidRPr="009D161A">
        <w:t>1,783</w:t>
      </w:r>
      <w:r w:rsidR="00C52AB0" w:rsidRPr="009D161A">
        <w:t xml:space="preserve"> </w:t>
      </w:r>
      <w:r w:rsidR="00EE6545" w:rsidRPr="009D161A">
        <w:t>HIV-negative specimens.</w:t>
      </w:r>
      <w:r w:rsidR="00EE6545">
        <w:t xml:space="preserve"> </w:t>
      </w:r>
      <w:r w:rsidR="00C52AB0">
        <w:t xml:space="preserve"> </w:t>
      </w:r>
      <w:r w:rsidR="009D161A">
        <w:t xml:space="preserve">It is noted that </w:t>
      </w:r>
      <w:r w:rsidR="009D161A" w:rsidRPr="0061729B">
        <w:t>the</w:t>
      </w:r>
      <w:r w:rsidR="009D161A">
        <w:t>se estimates are derived from the</w:t>
      </w:r>
      <w:r w:rsidR="009D161A" w:rsidRPr="0061729B">
        <w:t xml:space="preserve"> two extreme ends of the </w:t>
      </w:r>
      <w:r w:rsidR="009D161A">
        <w:t xml:space="preserve">disease </w:t>
      </w:r>
      <w:r w:rsidR="009D161A" w:rsidRPr="0061729B">
        <w:t>spectrum (</w:t>
      </w:r>
      <w:proofErr w:type="spellStart"/>
      <w:r w:rsidR="009D161A" w:rsidRPr="0061729B">
        <w:t>ie</w:t>
      </w:r>
      <w:proofErr w:type="spellEnd"/>
      <w:r w:rsidR="009D161A">
        <w:t>,</w:t>
      </w:r>
      <w:r w:rsidR="009D161A" w:rsidRPr="0061729B">
        <w:t xml:space="preserve"> </w:t>
      </w:r>
      <w:r w:rsidR="009D161A">
        <w:t xml:space="preserve">confirmed </w:t>
      </w:r>
      <w:r w:rsidR="009D161A" w:rsidRPr="0061729B">
        <w:t>seronegative and seropositive</w:t>
      </w:r>
      <w:r w:rsidR="009D161A">
        <w:t xml:space="preserve"> specimens</w:t>
      </w:r>
      <w:r w:rsidR="009D161A" w:rsidRPr="0061729B">
        <w:t>), which tends to overestimate diagnostic accuracy (</w:t>
      </w:r>
      <w:proofErr w:type="spellStart"/>
      <w:r w:rsidR="009D161A" w:rsidRPr="0061729B">
        <w:t>Knottnerus</w:t>
      </w:r>
      <w:proofErr w:type="spellEnd"/>
      <w:r w:rsidR="009D161A" w:rsidRPr="0061729B">
        <w:t xml:space="preserve"> 2002).</w:t>
      </w:r>
      <w:r w:rsidR="009D161A">
        <w:t xml:space="preserve">  </w:t>
      </w:r>
      <w:r w:rsidR="004E742E">
        <w:t xml:space="preserve">From the product insert, the derived sensitivity of the DHC test among early </w:t>
      </w:r>
      <w:proofErr w:type="spellStart"/>
      <w:r w:rsidR="004E742E">
        <w:t>seroconversion</w:t>
      </w:r>
      <w:proofErr w:type="spellEnd"/>
      <w:r w:rsidR="004E742E">
        <w:t xml:space="preserve"> samples is 97.6% (41 of 42 cases were identified by the DHC test).</w:t>
      </w:r>
    </w:p>
    <w:p w:rsidR="00616938" w:rsidRDefault="00616938" w:rsidP="00616938">
      <w:r>
        <w:t xml:space="preserve">The following further information was provided by the Applicant: </w:t>
      </w:r>
    </w:p>
    <w:p w:rsidR="00616938" w:rsidRPr="00800F20" w:rsidRDefault="00616938" w:rsidP="00616938">
      <w:pPr>
        <w:rPr>
          <w:rFonts w:ascii="Arial Narrow" w:hAnsi="Arial Narrow" w:cs="Tahoma"/>
          <w:sz w:val="22"/>
          <w:szCs w:val="24"/>
        </w:rPr>
      </w:pPr>
      <w:r w:rsidRPr="00800F20">
        <w:rPr>
          <w:rFonts w:ascii="Arial Narrow" w:hAnsi="Arial Narrow" w:cs="Tahoma"/>
          <w:sz w:val="22"/>
          <w:szCs w:val="24"/>
        </w:rPr>
        <w:t xml:space="preserve">“The performance of the test (sensitivity and specificity) was determined by testing specimens from random blood donors, from patients with HIV infection, patients at risk of HIV infection or in other clinical categories and commercial </w:t>
      </w:r>
      <w:proofErr w:type="spellStart"/>
      <w:r w:rsidRPr="00800F20">
        <w:rPr>
          <w:rFonts w:ascii="Arial Narrow" w:hAnsi="Arial Narrow" w:cs="Tahoma"/>
          <w:sz w:val="22"/>
          <w:szCs w:val="24"/>
        </w:rPr>
        <w:t>seroconversion</w:t>
      </w:r>
      <w:proofErr w:type="spellEnd"/>
      <w:r w:rsidRPr="00800F20">
        <w:rPr>
          <w:rFonts w:ascii="Arial Narrow" w:hAnsi="Arial Narrow" w:cs="Tahoma"/>
          <w:sz w:val="22"/>
          <w:szCs w:val="24"/>
        </w:rPr>
        <w:t xml:space="preserve"> panels.  The performance evaluations were conducted across nine clinical studies in Europe, Africa, Asia and South America.</w:t>
      </w:r>
    </w:p>
    <w:p w:rsidR="00616938" w:rsidRPr="00800F20" w:rsidRDefault="00616938" w:rsidP="00616938">
      <w:pPr>
        <w:rPr>
          <w:rFonts w:ascii="Arial Narrow" w:hAnsi="Arial Narrow" w:cs="Tahoma"/>
          <w:sz w:val="22"/>
          <w:szCs w:val="24"/>
        </w:rPr>
      </w:pPr>
      <w:r w:rsidRPr="00800F20">
        <w:rPr>
          <w:rFonts w:ascii="Arial Narrow" w:hAnsi="Arial Narrow" w:cs="Tahoma"/>
          <w:sz w:val="22"/>
          <w:szCs w:val="24"/>
        </w:rPr>
        <w:t xml:space="preserve">The exact comparator or reference test(s) used varied depending on the clinical site but in each case, state of the art laboratory methods were used to characterise the samples.  In most cases a combination of CE-marked fourth generation commercial enzyme immunoassay (EIA) in combination with appropriate confirmatory tests such as Western Blotting were used as the reference tests.  At several sites, a combination of separate commercial CE-marked HIV Ag and HIV Ab EIA assays were used to characterise samples instead of a single fourth generation EIA assay. </w:t>
      </w:r>
    </w:p>
    <w:p w:rsidR="00616938" w:rsidRPr="00800F20" w:rsidRDefault="00616938" w:rsidP="00616938">
      <w:pPr>
        <w:rPr>
          <w:rFonts w:ascii="Arial Narrow" w:hAnsi="Arial Narrow" w:cs="Tahoma"/>
          <w:sz w:val="22"/>
          <w:szCs w:val="24"/>
        </w:rPr>
      </w:pPr>
      <w:r w:rsidRPr="00800F20">
        <w:rPr>
          <w:rFonts w:ascii="Arial Narrow" w:hAnsi="Arial Narrow" w:cs="Tahoma"/>
          <w:sz w:val="22"/>
          <w:szCs w:val="24"/>
        </w:rPr>
        <w:t>The conditions under which the testing was performed also varied depending on the clinical site.  At some clinical sites the testing with the DHC test was performed by trained clinicians and at other sites, the testing was performed by laboratory technicians.  Reference testing was performed by laboratory technicians in all cases.</w:t>
      </w:r>
      <w:r>
        <w:rPr>
          <w:rFonts w:ascii="Arial Narrow" w:hAnsi="Arial Narrow" w:cs="Tahoma"/>
          <w:sz w:val="22"/>
          <w:szCs w:val="24"/>
        </w:rPr>
        <w:t>”</w:t>
      </w:r>
    </w:p>
    <w:p w:rsidR="007556E6" w:rsidRDefault="007556E6" w:rsidP="007556E6">
      <w:r>
        <w:t xml:space="preserve">Based on information provided by the manufacturer, the analytical cut off for the p24 </w:t>
      </w:r>
      <w:r w:rsidRPr="00C52AB0">
        <w:t xml:space="preserve">antigen is approximately 12.5-25 </w:t>
      </w:r>
      <w:proofErr w:type="spellStart"/>
      <w:r w:rsidRPr="00C52AB0">
        <w:t>pg</w:t>
      </w:r>
      <w:proofErr w:type="spellEnd"/>
      <w:r w:rsidRPr="00C52AB0">
        <w:t>/mL, which is higher than laboratory-based systems.  However</w:t>
      </w:r>
      <w:r w:rsidR="002C7C82" w:rsidRPr="00C52AB0">
        <w:t>,</w:t>
      </w:r>
      <w:r w:rsidRPr="00C52AB0">
        <w:t xml:space="preserve"> it is proposed that the improvement in convenience with the availability of the </w:t>
      </w:r>
      <w:r w:rsidR="002C7C82" w:rsidRPr="00C52AB0">
        <w:t>DHC test</w:t>
      </w:r>
      <w:r w:rsidRPr="00C52AB0">
        <w:t xml:space="preserve"> outweighs the decrease in sensitivity for acute infections.  </w:t>
      </w:r>
    </w:p>
    <w:p w:rsidR="009F02F7" w:rsidRDefault="004F3970" w:rsidP="009F02F7">
      <w:pPr>
        <w:pStyle w:val="Heading2"/>
      </w:pPr>
      <w:bookmarkStart w:id="23" w:name="_Toc418224855"/>
      <w:r w:rsidRPr="004C6B15">
        <w:t>Intended purpose</w:t>
      </w:r>
      <w:bookmarkEnd w:id="23"/>
      <w:r w:rsidR="006B7C8A">
        <w:t xml:space="preserve"> </w:t>
      </w:r>
    </w:p>
    <w:p w:rsidR="00420C88" w:rsidRDefault="002C7C82" w:rsidP="00420C88">
      <w:pPr>
        <w:spacing w:after="120"/>
      </w:pPr>
      <w:r>
        <w:t>The DHC</w:t>
      </w:r>
      <w:r w:rsidR="007556E6">
        <w:t xml:space="preserve"> test for HIV</w:t>
      </w:r>
      <w:r>
        <w:t xml:space="preserve"> infection </w:t>
      </w:r>
      <w:r w:rsidR="007556E6">
        <w:t xml:space="preserve">is </w:t>
      </w:r>
      <w:r w:rsidR="00420C88">
        <w:t>intended</w:t>
      </w:r>
      <w:r w:rsidR="007556E6">
        <w:t xml:space="preserve"> to be used in </w:t>
      </w:r>
      <w:r w:rsidR="005447B7">
        <w:t>individuals</w:t>
      </w:r>
      <w:r w:rsidR="007556E6">
        <w:t xml:space="preserve"> where a HIV test is indicated and </w:t>
      </w:r>
      <w:r w:rsidR="00800F20">
        <w:t xml:space="preserve">in those </w:t>
      </w:r>
      <w:r w:rsidR="007556E6">
        <w:t xml:space="preserve">who are at a high-risk of HIV infection. </w:t>
      </w:r>
      <w:r w:rsidR="00420C88">
        <w:t xml:space="preserve"> The </w:t>
      </w:r>
      <w:r w:rsidR="00B0005A">
        <w:t>MSAC 1391 Final P</w:t>
      </w:r>
      <w:r w:rsidR="00420C88">
        <w:t>rotocol states that there are a number of contexts where HIV testing would be indicated, including:</w:t>
      </w:r>
    </w:p>
    <w:p w:rsidR="00420C88" w:rsidRDefault="00420C88" w:rsidP="00F737A4">
      <w:pPr>
        <w:numPr>
          <w:ilvl w:val="0"/>
          <w:numId w:val="11"/>
        </w:numPr>
        <w:spacing w:after="120"/>
        <w:ind w:left="1434" w:hanging="357"/>
      </w:pPr>
      <w:r>
        <w:lastRenderedPageBreak/>
        <w:t>clinical suspicion of HIV infection;</w:t>
      </w:r>
    </w:p>
    <w:p w:rsidR="00420C88" w:rsidRDefault="00420C88" w:rsidP="00F737A4">
      <w:pPr>
        <w:numPr>
          <w:ilvl w:val="0"/>
          <w:numId w:val="11"/>
        </w:numPr>
        <w:spacing w:after="120"/>
      </w:pPr>
      <w:r>
        <w:t>inclusion of HIV within the differential diagnosis;</w:t>
      </w:r>
    </w:p>
    <w:p w:rsidR="00420C88" w:rsidRDefault="00420C88" w:rsidP="00F737A4">
      <w:pPr>
        <w:numPr>
          <w:ilvl w:val="0"/>
          <w:numId w:val="11"/>
        </w:numPr>
        <w:spacing w:after="120"/>
      </w:pPr>
      <w:r>
        <w:t>diagnosis of a condition with shared transmission route;</w:t>
      </w:r>
    </w:p>
    <w:p w:rsidR="00420C88" w:rsidRDefault="00420C88" w:rsidP="00F737A4">
      <w:pPr>
        <w:numPr>
          <w:ilvl w:val="0"/>
          <w:numId w:val="11"/>
        </w:numPr>
        <w:spacing w:after="120"/>
      </w:pPr>
      <w:r>
        <w:t>reported high-risk exposure;</w:t>
      </w:r>
    </w:p>
    <w:p w:rsidR="00420C88" w:rsidRDefault="00420C88" w:rsidP="00F737A4">
      <w:pPr>
        <w:numPr>
          <w:ilvl w:val="0"/>
          <w:numId w:val="11"/>
        </w:numPr>
        <w:spacing w:after="120"/>
      </w:pPr>
      <w:r>
        <w:t>unprotected sexual intercourse with a partner whose HIV status is unknown;</w:t>
      </w:r>
    </w:p>
    <w:p w:rsidR="00420C88" w:rsidRDefault="00420C88" w:rsidP="00F737A4">
      <w:pPr>
        <w:numPr>
          <w:ilvl w:val="0"/>
          <w:numId w:val="11"/>
        </w:numPr>
        <w:spacing w:after="120"/>
      </w:pPr>
      <w:r>
        <w:t>reported reuse of equipment used for skin penetration; and</w:t>
      </w:r>
    </w:p>
    <w:p w:rsidR="00420C88" w:rsidRDefault="00420C88" w:rsidP="00F737A4">
      <w:pPr>
        <w:numPr>
          <w:ilvl w:val="0"/>
          <w:numId w:val="11"/>
        </w:numPr>
      </w:pPr>
      <w:proofErr w:type="gramStart"/>
      <w:r>
        <w:t>in</w:t>
      </w:r>
      <w:proofErr w:type="gramEnd"/>
      <w:r>
        <w:t xml:space="preserve"> the setting of contact tracing.</w:t>
      </w:r>
    </w:p>
    <w:p w:rsidR="00496A2B" w:rsidRDefault="00496A2B" w:rsidP="00193B79">
      <w:pPr>
        <w:spacing w:after="120"/>
      </w:pPr>
      <w:r>
        <w:t>T</w:t>
      </w:r>
      <w:r w:rsidR="00470BCB" w:rsidRPr="00644B4C">
        <w:t xml:space="preserve">he </w:t>
      </w:r>
      <w:r w:rsidR="00B0005A">
        <w:t>MSAC 1391 Final P</w:t>
      </w:r>
      <w:r w:rsidR="00470BCB" w:rsidRPr="00644B4C">
        <w:t>rotocol define</w:t>
      </w:r>
      <w:r>
        <w:t>s</w:t>
      </w:r>
      <w:r w:rsidR="00470BCB" w:rsidRPr="00644B4C">
        <w:t xml:space="preserve"> those at “high-risk of HIV infection”</w:t>
      </w:r>
      <w:r>
        <w:t xml:space="preserve"> to be those with or more of the following risk factors:</w:t>
      </w:r>
    </w:p>
    <w:p w:rsidR="00193B79" w:rsidRDefault="00496A2B" w:rsidP="00F737A4">
      <w:pPr>
        <w:numPr>
          <w:ilvl w:val="0"/>
          <w:numId w:val="11"/>
        </w:numPr>
        <w:spacing w:after="120"/>
      </w:pPr>
      <w:r>
        <w:t>men who have sex with men (MSM)</w:t>
      </w:r>
      <w:r w:rsidR="00193B79">
        <w:t>;</w:t>
      </w:r>
    </w:p>
    <w:p w:rsidR="00193B79" w:rsidRDefault="00193B79" w:rsidP="00F737A4">
      <w:pPr>
        <w:numPr>
          <w:ilvl w:val="0"/>
          <w:numId w:val="11"/>
        </w:numPr>
        <w:spacing w:after="120"/>
      </w:pPr>
      <w:r>
        <w:t>injecting drug use;</w:t>
      </w:r>
    </w:p>
    <w:p w:rsidR="00193B79" w:rsidRDefault="00193B79" w:rsidP="00F737A4">
      <w:pPr>
        <w:numPr>
          <w:ilvl w:val="0"/>
          <w:numId w:val="11"/>
        </w:numPr>
        <w:spacing w:after="120"/>
      </w:pPr>
      <w:r>
        <w:t xml:space="preserve">heterosexual contact with a person from a high prevalence country; </w:t>
      </w:r>
    </w:p>
    <w:p w:rsidR="00193B79" w:rsidRDefault="00193B79" w:rsidP="00F737A4">
      <w:pPr>
        <w:numPr>
          <w:ilvl w:val="0"/>
          <w:numId w:val="11"/>
        </w:numPr>
        <w:spacing w:after="120"/>
      </w:pPr>
      <w:r>
        <w:t>heterosexual contact with a partner with/at risk of HIV infection; and</w:t>
      </w:r>
    </w:p>
    <w:p w:rsidR="00193B79" w:rsidRDefault="00193B79" w:rsidP="00F737A4">
      <w:pPr>
        <w:numPr>
          <w:ilvl w:val="0"/>
          <w:numId w:val="11"/>
        </w:numPr>
        <w:ind w:left="1434" w:hanging="357"/>
      </w:pPr>
      <w:proofErr w:type="gramStart"/>
      <w:r>
        <w:t>needle-stick</w:t>
      </w:r>
      <w:proofErr w:type="gramEnd"/>
      <w:r>
        <w:t xml:space="preserve"> injury.</w:t>
      </w:r>
    </w:p>
    <w:p w:rsidR="00420C88" w:rsidRDefault="00644B4C" w:rsidP="00193B79">
      <w:pPr>
        <w:spacing w:after="120"/>
      </w:pPr>
      <w:r w:rsidRPr="00644B4C">
        <w:t>While each of</w:t>
      </w:r>
      <w:r>
        <w:t xml:space="preserve"> the groups listed above could be considered to be at high-risk, a population that would be a particular target group for this </w:t>
      </w:r>
      <w:r w:rsidR="00193B79">
        <w:t>diagnostic test</w:t>
      </w:r>
      <w:r>
        <w:t xml:space="preserve"> would be men who have sex with men (MSM), given the prevalence of HIV in this population (see Clinical need below).</w:t>
      </w:r>
    </w:p>
    <w:p w:rsidR="007556E6" w:rsidRPr="007A271E" w:rsidRDefault="00470BCB" w:rsidP="007556E6">
      <w:r w:rsidRPr="00D34CFF">
        <w:t>T</w:t>
      </w:r>
      <w:r w:rsidR="00D34CFF">
        <w:t>he DHC test is</w:t>
      </w:r>
      <w:r w:rsidR="007556E6">
        <w:t xml:space="preserve"> NOT </w:t>
      </w:r>
      <w:r w:rsidR="00D34CFF">
        <w:t>intended</w:t>
      </w:r>
      <w:r w:rsidR="007556E6">
        <w:t xml:space="preserve"> for HIV testing performed on blood donations, for other organ or tissue donations or for routine microbiological serology during pregnancy.  It is also not intended to be used as a HIV screening test. </w:t>
      </w:r>
    </w:p>
    <w:p w:rsidR="0038576A" w:rsidRDefault="00B02575" w:rsidP="0038576A">
      <w:pPr>
        <w:pStyle w:val="Heading2"/>
        <w:rPr>
          <w:bCs/>
        </w:rPr>
      </w:pPr>
      <w:bookmarkStart w:id="24" w:name="_Toc418224856"/>
      <w:r>
        <w:rPr>
          <w:bCs/>
        </w:rPr>
        <w:t xml:space="preserve">Clinical </w:t>
      </w:r>
      <w:r w:rsidR="003E3DCA">
        <w:rPr>
          <w:bCs/>
        </w:rPr>
        <w:t>n</w:t>
      </w:r>
      <w:r>
        <w:rPr>
          <w:bCs/>
        </w:rPr>
        <w:t>eed</w:t>
      </w:r>
      <w:bookmarkEnd w:id="24"/>
      <w:r>
        <w:rPr>
          <w:bCs/>
        </w:rPr>
        <w:t xml:space="preserve"> </w:t>
      </w:r>
    </w:p>
    <w:p w:rsidR="007556E6" w:rsidRPr="00193B79" w:rsidRDefault="007556E6" w:rsidP="007556E6">
      <w:pPr>
        <w:ind w:left="709"/>
      </w:pPr>
      <w:r w:rsidRPr="00193B79">
        <w:t>HIV (Human Immunodeficiency Virus) is a virus that weakens the immune system.</w:t>
      </w:r>
      <w:r w:rsidR="00AD7EE0" w:rsidRPr="00193B79">
        <w:t xml:space="preserve">  </w:t>
      </w:r>
      <w:r w:rsidRPr="00193B79">
        <w:t xml:space="preserve">It infects immune cells and uses them to reproduce itself, destroying the cells in the process. </w:t>
      </w:r>
      <w:r w:rsidR="00AD7EE0" w:rsidRPr="00193B79">
        <w:t xml:space="preserve"> </w:t>
      </w:r>
      <w:r w:rsidRPr="00193B79">
        <w:t xml:space="preserve">AIDS (Acquired Immune Deficiency Syndrome) is a serious weakening of the body’s immune system caused by HIV. </w:t>
      </w:r>
      <w:r w:rsidR="00AD7EE0" w:rsidRPr="00193B79">
        <w:t xml:space="preserve"> </w:t>
      </w:r>
      <w:r w:rsidRPr="00193B79">
        <w:t xml:space="preserve">When a HIV positive person’s immune cells (CD4 </w:t>
      </w:r>
      <w:r w:rsidR="008360C6">
        <w:t xml:space="preserve">positive </w:t>
      </w:r>
      <w:r w:rsidRPr="00193B79">
        <w:t>cells) drop below a certain level, they can be vulnerable to infections that their body would normally fight off.</w:t>
      </w:r>
    </w:p>
    <w:p w:rsidR="00C00C6A" w:rsidRPr="00C00C6A" w:rsidRDefault="007556E6" w:rsidP="007556E6">
      <w:pPr>
        <w:ind w:left="709"/>
      </w:pPr>
      <w:r w:rsidRPr="00BB0837">
        <w:t xml:space="preserve">In Australia, </w:t>
      </w:r>
      <w:r w:rsidR="001E6DA9" w:rsidRPr="00BB0837">
        <w:t>it is estimated that approximately 26,800 (</w:t>
      </w:r>
      <w:r w:rsidR="005A56A4">
        <w:t xml:space="preserve">plausible range of </w:t>
      </w:r>
      <w:r w:rsidR="001E6DA9" w:rsidRPr="00BB0837">
        <w:t xml:space="preserve">24,500 – 30,900) people </w:t>
      </w:r>
      <w:r w:rsidR="00EE7500">
        <w:t>we</w:t>
      </w:r>
      <w:r w:rsidR="001E6DA9" w:rsidRPr="00BB0837">
        <w:t xml:space="preserve">re living with </w:t>
      </w:r>
      <w:r w:rsidRPr="00BB0837">
        <w:t>HIV</w:t>
      </w:r>
      <w:r w:rsidR="00BB0837" w:rsidRPr="00BB0837">
        <w:t xml:space="preserve"> </w:t>
      </w:r>
      <w:r w:rsidR="00EE7500">
        <w:t xml:space="preserve">at the end of 2013 </w:t>
      </w:r>
      <w:r w:rsidR="00BB0837" w:rsidRPr="00BB0837">
        <w:t xml:space="preserve">(Kirby Institute </w:t>
      </w:r>
      <w:r w:rsidR="00C82A71">
        <w:t>2014a</w:t>
      </w:r>
      <w:r w:rsidR="005A56A4">
        <w:t>, 2014b</w:t>
      </w:r>
      <w:r w:rsidR="00BB0837" w:rsidRPr="00C00C6A">
        <w:t xml:space="preserve">). </w:t>
      </w:r>
      <w:r w:rsidRPr="00C00C6A">
        <w:t xml:space="preserve"> </w:t>
      </w:r>
      <w:r w:rsidR="00BB0837" w:rsidRPr="00C00C6A">
        <w:t xml:space="preserve">The prevalence of HIV infection </w:t>
      </w:r>
      <w:r w:rsidR="00C00C6A">
        <w:t xml:space="preserve">varies </w:t>
      </w:r>
      <w:r w:rsidR="00BB0837" w:rsidRPr="00C00C6A">
        <w:t xml:space="preserve">among </w:t>
      </w:r>
      <w:r w:rsidR="00C00C6A" w:rsidRPr="00C00C6A">
        <w:t>various groups in Australia</w:t>
      </w:r>
      <w:r w:rsidR="00C00C6A">
        <w:t>, see</w:t>
      </w:r>
      <w:r w:rsidR="00C00C6A" w:rsidRPr="00C00C6A">
        <w:t xml:space="preserve"> Table 1.</w:t>
      </w:r>
    </w:p>
    <w:p w:rsidR="00C00C6A" w:rsidRPr="004A2282" w:rsidRDefault="004A2282" w:rsidP="008A089E">
      <w:pPr>
        <w:pStyle w:val="Caption"/>
        <w:ind w:left="1701" w:hanging="981"/>
      </w:pPr>
      <w:bookmarkStart w:id="25" w:name="_Toc415103504"/>
      <w:bookmarkStart w:id="26" w:name="_Toc418224992"/>
      <w:bookmarkStart w:id="27" w:name="_Toc418225079"/>
      <w:bookmarkStart w:id="28" w:name="_Toc418225637"/>
      <w:r>
        <w:t>Table 1</w:t>
      </w:r>
      <w:r>
        <w:tab/>
      </w:r>
      <w:r w:rsidR="00C00C6A" w:rsidRPr="004A2282">
        <w:t>HIV prevalence among selected populations in Australia</w:t>
      </w:r>
      <w:bookmarkEnd w:id="25"/>
      <w:bookmarkEnd w:id="26"/>
      <w:bookmarkEnd w:id="27"/>
      <w:bookmarkEnd w:id="28"/>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HIV prevalence among selected populatons in Australia. The populations include &quot;All&quot;, &quot;men who have sex with men&quot;, &quot;injecting drug users&quot;, &quot;female sex workers&quot; and &quot;Aboriginal and Torres Strait Islanders&quot;"/>
      </w:tblPr>
      <w:tblGrid>
        <w:gridCol w:w="3260"/>
        <w:gridCol w:w="5088"/>
      </w:tblGrid>
      <w:tr w:rsidR="00C00C6A" w:rsidRPr="00644B4C" w:rsidTr="002A5CBD">
        <w:trPr>
          <w:tblHeader/>
        </w:trPr>
        <w:tc>
          <w:tcPr>
            <w:tcW w:w="3260" w:type="dxa"/>
            <w:shd w:val="clear" w:color="auto" w:fill="auto"/>
          </w:tcPr>
          <w:p w:rsidR="00C00C6A" w:rsidRPr="007B1695" w:rsidRDefault="00C00C6A" w:rsidP="00C00C6A">
            <w:pPr>
              <w:pStyle w:val="TableText0"/>
              <w:rPr>
                <w:rFonts w:cs="Arial"/>
                <w:b/>
              </w:rPr>
            </w:pPr>
            <w:r w:rsidRPr="007B1695">
              <w:rPr>
                <w:rFonts w:cs="Arial"/>
                <w:b/>
              </w:rPr>
              <w:t>Population group</w:t>
            </w:r>
          </w:p>
        </w:tc>
        <w:tc>
          <w:tcPr>
            <w:tcW w:w="5088" w:type="dxa"/>
            <w:shd w:val="clear" w:color="auto" w:fill="auto"/>
            <w:vAlign w:val="center"/>
          </w:tcPr>
          <w:p w:rsidR="00C00C6A" w:rsidRPr="007B1695" w:rsidRDefault="00C00C6A" w:rsidP="007B1695">
            <w:pPr>
              <w:pStyle w:val="TableText0"/>
              <w:jc w:val="center"/>
              <w:rPr>
                <w:rFonts w:cs="Arial"/>
                <w:b/>
              </w:rPr>
            </w:pPr>
            <w:r w:rsidRPr="007B1695">
              <w:rPr>
                <w:rFonts w:cs="Arial"/>
                <w:b/>
              </w:rPr>
              <w:t>Prevalence</w:t>
            </w:r>
          </w:p>
        </w:tc>
      </w:tr>
      <w:tr w:rsidR="00C00C6A" w:rsidRPr="00644B4C" w:rsidTr="007B1695">
        <w:tc>
          <w:tcPr>
            <w:tcW w:w="3260" w:type="dxa"/>
            <w:shd w:val="clear" w:color="auto" w:fill="auto"/>
          </w:tcPr>
          <w:p w:rsidR="00C00C6A" w:rsidRPr="007B1695" w:rsidRDefault="00C00C6A" w:rsidP="00C00C6A">
            <w:pPr>
              <w:pStyle w:val="TableText0"/>
              <w:rPr>
                <w:rFonts w:cs="Arial"/>
              </w:rPr>
            </w:pPr>
            <w:r w:rsidRPr="007B1695">
              <w:rPr>
                <w:rFonts w:cs="Arial"/>
              </w:rPr>
              <w:t>All</w:t>
            </w:r>
          </w:p>
        </w:tc>
        <w:tc>
          <w:tcPr>
            <w:tcW w:w="5088" w:type="dxa"/>
            <w:shd w:val="clear" w:color="auto" w:fill="auto"/>
            <w:vAlign w:val="center"/>
          </w:tcPr>
          <w:p w:rsidR="00C00C6A" w:rsidRPr="007B1695" w:rsidRDefault="00C00C6A" w:rsidP="007B1695">
            <w:pPr>
              <w:pStyle w:val="TableText0"/>
              <w:ind w:hanging="28"/>
              <w:jc w:val="center"/>
              <w:rPr>
                <w:rFonts w:cs="Arial"/>
              </w:rPr>
            </w:pPr>
            <w:r w:rsidRPr="007B1695">
              <w:rPr>
                <w:rFonts w:cs="Arial"/>
              </w:rPr>
              <w:t>0.</w:t>
            </w:r>
            <w:r w:rsidR="005A56A4" w:rsidRPr="007B1695">
              <w:rPr>
                <w:rFonts w:cs="Arial"/>
              </w:rPr>
              <w:t>15%</w:t>
            </w:r>
          </w:p>
        </w:tc>
      </w:tr>
      <w:tr w:rsidR="00C00C6A" w:rsidRPr="00644B4C" w:rsidTr="007B1695">
        <w:tc>
          <w:tcPr>
            <w:tcW w:w="3260" w:type="dxa"/>
            <w:shd w:val="clear" w:color="auto" w:fill="auto"/>
          </w:tcPr>
          <w:p w:rsidR="00C00C6A" w:rsidRPr="007B1695" w:rsidRDefault="00C00C6A" w:rsidP="007B1695">
            <w:pPr>
              <w:pStyle w:val="TableText0"/>
              <w:tabs>
                <w:tab w:val="left" w:pos="114"/>
              </w:tabs>
              <w:rPr>
                <w:rFonts w:cs="Arial"/>
              </w:rPr>
            </w:pPr>
            <w:r w:rsidRPr="007B1695">
              <w:rPr>
                <w:rFonts w:cs="Arial"/>
              </w:rPr>
              <w:tab/>
              <w:t>Men who have sex with men (MSM)</w:t>
            </w:r>
          </w:p>
        </w:tc>
        <w:tc>
          <w:tcPr>
            <w:tcW w:w="5088" w:type="dxa"/>
            <w:shd w:val="clear" w:color="auto" w:fill="auto"/>
            <w:vAlign w:val="center"/>
          </w:tcPr>
          <w:p w:rsidR="00C00C6A" w:rsidRPr="007B1695" w:rsidRDefault="00C00C6A" w:rsidP="007B1695">
            <w:pPr>
              <w:pStyle w:val="TableText0"/>
              <w:jc w:val="center"/>
              <w:rPr>
                <w:rFonts w:cs="Arial"/>
              </w:rPr>
            </w:pPr>
            <w:r w:rsidRPr="007B1695">
              <w:rPr>
                <w:rFonts w:cs="Arial"/>
              </w:rPr>
              <w:t>8-12% (among gay community-attached men)</w:t>
            </w:r>
          </w:p>
        </w:tc>
      </w:tr>
      <w:tr w:rsidR="00C00C6A" w:rsidRPr="00644B4C" w:rsidTr="007B1695">
        <w:tc>
          <w:tcPr>
            <w:tcW w:w="3260" w:type="dxa"/>
            <w:shd w:val="clear" w:color="auto" w:fill="auto"/>
          </w:tcPr>
          <w:p w:rsidR="00C00C6A" w:rsidRPr="007B1695" w:rsidRDefault="00C00C6A" w:rsidP="007B1695">
            <w:pPr>
              <w:pStyle w:val="TableText0"/>
              <w:tabs>
                <w:tab w:val="left" w:pos="114"/>
              </w:tabs>
              <w:rPr>
                <w:rFonts w:cs="Arial"/>
              </w:rPr>
            </w:pPr>
            <w:r w:rsidRPr="007B1695">
              <w:rPr>
                <w:rFonts w:cs="Arial"/>
              </w:rPr>
              <w:tab/>
              <w:t>Injecting drug users</w:t>
            </w:r>
          </w:p>
        </w:tc>
        <w:tc>
          <w:tcPr>
            <w:tcW w:w="5088" w:type="dxa"/>
            <w:shd w:val="clear" w:color="auto" w:fill="auto"/>
            <w:vAlign w:val="center"/>
          </w:tcPr>
          <w:p w:rsidR="00C00C6A" w:rsidRPr="007B1695" w:rsidRDefault="00C00C6A" w:rsidP="007B1695">
            <w:pPr>
              <w:pStyle w:val="TableText0"/>
              <w:jc w:val="center"/>
              <w:rPr>
                <w:rFonts w:cs="Arial"/>
              </w:rPr>
            </w:pPr>
            <w:r w:rsidRPr="007B1695">
              <w:rPr>
                <w:rFonts w:cs="Arial"/>
              </w:rPr>
              <w:t>1-2% (among people attending needle and syringe programs)</w:t>
            </w:r>
          </w:p>
        </w:tc>
      </w:tr>
      <w:tr w:rsidR="00C00C6A" w:rsidRPr="00644B4C" w:rsidTr="007B1695">
        <w:tc>
          <w:tcPr>
            <w:tcW w:w="3260" w:type="dxa"/>
            <w:shd w:val="clear" w:color="auto" w:fill="auto"/>
          </w:tcPr>
          <w:p w:rsidR="00C00C6A" w:rsidRPr="007B1695" w:rsidRDefault="00C00C6A" w:rsidP="007B1695">
            <w:pPr>
              <w:pStyle w:val="TableText0"/>
              <w:tabs>
                <w:tab w:val="left" w:pos="114"/>
              </w:tabs>
              <w:rPr>
                <w:rFonts w:cs="Arial"/>
              </w:rPr>
            </w:pPr>
            <w:r w:rsidRPr="007B1695">
              <w:rPr>
                <w:rFonts w:cs="Arial"/>
              </w:rPr>
              <w:tab/>
              <w:t>Female sex workers</w:t>
            </w:r>
          </w:p>
        </w:tc>
        <w:tc>
          <w:tcPr>
            <w:tcW w:w="5088" w:type="dxa"/>
            <w:shd w:val="clear" w:color="auto" w:fill="auto"/>
            <w:vAlign w:val="center"/>
          </w:tcPr>
          <w:p w:rsidR="00C00C6A" w:rsidRPr="007B1695" w:rsidRDefault="00C00C6A" w:rsidP="007B1695">
            <w:pPr>
              <w:pStyle w:val="TableText0"/>
              <w:jc w:val="center"/>
              <w:rPr>
                <w:rFonts w:cs="Arial"/>
              </w:rPr>
            </w:pPr>
            <w:r w:rsidRPr="007B1695">
              <w:rPr>
                <w:rFonts w:cs="Arial"/>
              </w:rPr>
              <w:t>&lt;0.1%</w:t>
            </w:r>
          </w:p>
        </w:tc>
      </w:tr>
      <w:tr w:rsidR="00C00C6A" w:rsidRPr="00644B4C" w:rsidTr="007B1695">
        <w:tc>
          <w:tcPr>
            <w:tcW w:w="3260" w:type="dxa"/>
            <w:shd w:val="clear" w:color="auto" w:fill="auto"/>
          </w:tcPr>
          <w:p w:rsidR="00C00C6A" w:rsidRPr="007B1695" w:rsidRDefault="00C00C6A" w:rsidP="007B1695">
            <w:pPr>
              <w:pStyle w:val="TableText0"/>
              <w:tabs>
                <w:tab w:val="left" w:pos="114"/>
              </w:tabs>
              <w:rPr>
                <w:rFonts w:cs="Arial"/>
              </w:rPr>
            </w:pPr>
            <w:r w:rsidRPr="007B1695">
              <w:rPr>
                <w:rFonts w:cs="Arial"/>
              </w:rPr>
              <w:tab/>
              <w:t>Aboriginal and Torres Strait Islanders</w:t>
            </w:r>
          </w:p>
        </w:tc>
        <w:tc>
          <w:tcPr>
            <w:tcW w:w="5088" w:type="dxa"/>
            <w:shd w:val="clear" w:color="auto" w:fill="auto"/>
            <w:vAlign w:val="center"/>
          </w:tcPr>
          <w:p w:rsidR="00C00C6A" w:rsidRPr="007B1695" w:rsidRDefault="00C00C6A" w:rsidP="007B1695">
            <w:pPr>
              <w:pStyle w:val="TableText0"/>
              <w:jc w:val="center"/>
              <w:rPr>
                <w:rFonts w:cs="Arial"/>
                <w:vertAlign w:val="superscript"/>
              </w:rPr>
            </w:pPr>
            <w:r w:rsidRPr="007B1695">
              <w:rPr>
                <w:rFonts w:cs="Arial"/>
              </w:rPr>
              <w:t>0.15%</w:t>
            </w:r>
            <w:r w:rsidR="006020D4" w:rsidRPr="007B1695">
              <w:rPr>
                <w:rFonts w:cs="Arial"/>
                <w:vertAlign w:val="superscript"/>
              </w:rPr>
              <w:t>a</w:t>
            </w:r>
          </w:p>
        </w:tc>
      </w:tr>
    </w:tbl>
    <w:p w:rsidR="00C00C6A" w:rsidRDefault="00C00C6A" w:rsidP="00C00C6A">
      <w:pPr>
        <w:pStyle w:val="TableNotes"/>
      </w:pPr>
      <w:r>
        <w:t xml:space="preserve">Source: Kirby Institute (2014a) p12 and Kirby </w:t>
      </w:r>
      <w:r w:rsidR="005A56A4">
        <w:t xml:space="preserve">Institute </w:t>
      </w:r>
      <w:r>
        <w:t>(2014b) p1</w:t>
      </w:r>
    </w:p>
    <w:p w:rsidR="006020D4" w:rsidRPr="006020D4" w:rsidRDefault="006020D4" w:rsidP="006020D4">
      <w:pPr>
        <w:pStyle w:val="TableNotes"/>
        <w:tabs>
          <w:tab w:val="left" w:pos="993"/>
        </w:tabs>
        <w:ind w:left="993" w:hanging="284"/>
      </w:pPr>
      <w:proofErr w:type="spellStart"/>
      <w:r>
        <w:rPr>
          <w:vertAlign w:val="superscript"/>
        </w:rPr>
        <w:lastRenderedPageBreak/>
        <w:t>a</w:t>
      </w:r>
      <w:proofErr w:type="spellEnd"/>
      <w:r>
        <w:tab/>
      </w:r>
      <w:proofErr w:type="spellStart"/>
      <w:r>
        <w:t>a</w:t>
      </w:r>
      <w:proofErr w:type="spellEnd"/>
      <w:r>
        <w:t xml:space="preserve"> greater proportion of HIV cases in the Aboriginal and Torres Strait Islander population were attributed to injecting drug use (12%) or heterosexual contact (21%) compared with the non-Indigenous cases (3% and 13%, respectively).</w:t>
      </w:r>
    </w:p>
    <w:p w:rsidR="005A56A4" w:rsidRDefault="005A56A4" w:rsidP="007556E6">
      <w:pPr>
        <w:ind w:left="709"/>
      </w:pPr>
      <w:r>
        <w:t xml:space="preserve">A total of 1,236 newly diagnosed cases were notified in 2013, which is similar to </w:t>
      </w:r>
      <w:r w:rsidR="00EB0599">
        <w:t xml:space="preserve">the 1,253 </w:t>
      </w:r>
      <w:proofErr w:type="gramStart"/>
      <w:r>
        <w:t>newly</w:t>
      </w:r>
      <w:proofErr w:type="gramEnd"/>
      <w:r>
        <w:t xml:space="preserve"> diagnosed cases in 2012 (</w:t>
      </w:r>
      <w:r w:rsidR="00EB0599">
        <w:t>Kirby Institute 2014b</w:t>
      </w:r>
      <w:r>
        <w:t xml:space="preserve">).  </w:t>
      </w:r>
      <w:r w:rsidR="00E766DD">
        <w:t>Of the newly infected cases notified in 2013, 70</w:t>
      </w:r>
      <w:r w:rsidR="007D703C">
        <w:t>-75</w:t>
      </w:r>
      <w:r w:rsidR="00E766DD">
        <w:t xml:space="preserve">% </w:t>
      </w:r>
      <w:proofErr w:type="gramStart"/>
      <w:r w:rsidR="00E766DD">
        <w:t>were</w:t>
      </w:r>
      <w:proofErr w:type="gramEnd"/>
      <w:r w:rsidR="00E766DD">
        <w:t xml:space="preserve"> </w:t>
      </w:r>
      <w:r w:rsidR="00E766DD" w:rsidRPr="00C82A71">
        <w:t>through sexual contact between men</w:t>
      </w:r>
      <w:r w:rsidR="00E766DD">
        <w:t xml:space="preserve"> </w:t>
      </w:r>
      <w:r w:rsidR="00E766DD" w:rsidRPr="00C82A71">
        <w:t>(Kirby Institute 2014a</w:t>
      </w:r>
      <w:r w:rsidR="007D703C">
        <w:t>, 2014b</w:t>
      </w:r>
      <w:r w:rsidR="00E766DD" w:rsidRPr="00C82A71">
        <w:t>)</w:t>
      </w:r>
      <w:r w:rsidR="00E766DD">
        <w:t>.</w:t>
      </w:r>
      <w:r w:rsidR="00827B11">
        <w:t xml:space="preserve">  </w:t>
      </w:r>
      <w:r w:rsidR="00827B11" w:rsidRPr="00C82A71">
        <w:t>The majority of other new HIV infections are attributed to injecting drug use, heterosexual contact in a person from a high prevalence country, and heterose</w:t>
      </w:r>
      <w:r w:rsidR="00827B11">
        <w:t xml:space="preserve">xual contact with a partner </w:t>
      </w:r>
      <w:r w:rsidR="00827B11" w:rsidRPr="00C82A71">
        <w:t>at risk of HIV infection.  Another risk-factor is needle</w:t>
      </w:r>
      <w:r w:rsidR="00827B11">
        <w:t>-</w:t>
      </w:r>
      <w:r w:rsidR="00827B11" w:rsidRPr="00C82A71">
        <w:t>stick injury</w:t>
      </w:r>
      <w:r w:rsidR="00827B11">
        <w:t xml:space="preserve"> </w:t>
      </w:r>
      <w:r w:rsidR="00827B11" w:rsidRPr="00C82A71">
        <w:t>(Kirby Institute 2014a)</w:t>
      </w:r>
      <w:r w:rsidR="00827B11">
        <w:t>.</w:t>
      </w:r>
      <w:r w:rsidR="00827B11" w:rsidRPr="00C82A71">
        <w:t xml:space="preserve">  </w:t>
      </w:r>
    </w:p>
    <w:p w:rsidR="00644B4C" w:rsidRDefault="00644B4C" w:rsidP="00D30C91">
      <w:pPr>
        <w:ind w:left="709"/>
      </w:pPr>
      <w:r>
        <w:t xml:space="preserve">It is estimated that approximately 14% </w:t>
      </w:r>
      <w:r w:rsidR="00D30C91">
        <w:t xml:space="preserve">(11-21%) </w:t>
      </w:r>
      <w:r>
        <w:t>of all HIV cases in Australia are undiagnosed (</w:t>
      </w:r>
      <w:r w:rsidRPr="00BB0837">
        <w:t xml:space="preserve">Kirby Institute </w:t>
      </w:r>
      <w:r>
        <w:t>2014b)</w:t>
      </w:r>
      <w:r w:rsidR="00D30C91">
        <w:t>.  Additionally, the proportion of people diagnosed late (defined by a CD4</w:t>
      </w:r>
      <w:r w:rsidR="00800F20">
        <w:t xml:space="preserve"> pos</w:t>
      </w:r>
      <w:r w:rsidR="008360C6">
        <w:t>i</w:t>
      </w:r>
      <w:r w:rsidR="00800F20">
        <w:t>tive</w:t>
      </w:r>
      <w:r w:rsidR="00D30C91">
        <w:t xml:space="preserve"> cell count less than 350 cells/</w:t>
      </w:r>
      <w:proofErr w:type="spellStart"/>
      <w:r w:rsidR="00D30C91">
        <w:t>μl</w:t>
      </w:r>
      <w:proofErr w:type="spellEnd"/>
      <w:r w:rsidR="00D30C91">
        <w:t xml:space="preserve"> at diagnosis) was 29.6% in 2013</w:t>
      </w:r>
      <w:r w:rsidR="006020D4">
        <w:t xml:space="preserve">.  </w:t>
      </w:r>
      <w:r w:rsidR="00193B79">
        <w:t>It would be anticipated that both those with undiagnosed HIV infection and those diagnosed late contribute to a significant proportion of HIV transmission and new diagnoses of HIV infection.</w:t>
      </w:r>
    </w:p>
    <w:p w:rsidR="004E742E" w:rsidRDefault="004E742E">
      <w:pPr>
        <w:spacing w:after="0"/>
        <w:ind w:left="0"/>
        <w:rPr>
          <w:b/>
        </w:rPr>
      </w:pPr>
      <w:r>
        <w:rPr>
          <w:b/>
        </w:rPr>
        <w:br w:type="page"/>
      </w:r>
    </w:p>
    <w:p w:rsidR="001A36C7" w:rsidRPr="001A36C7" w:rsidRDefault="001A36C7" w:rsidP="000208BF">
      <w:pPr>
        <w:pStyle w:val="Heading3"/>
      </w:pPr>
      <w:r>
        <w:lastRenderedPageBreak/>
        <w:t>Testing as a key strategy for control of HIV transmission</w:t>
      </w:r>
    </w:p>
    <w:p w:rsidR="006020D4" w:rsidRDefault="006020D4" w:rsidP="006020D4">
      <w:pPr>
        <w:spacing w:after="120"/>
        <w:ind w:left="709"/>
      </w:pPr>
      <w:r>
        <w:t>The Seventh National HIV Strategy 2014-2017 (2014) has identified testing for HIV as a priority area for action.  The priority actions for testing indicated in the National Strategy include:</w:t>
      </w:r>
    </w:p>
    <w:p w:rsidR="006020D4" w:rsidRDefault="006020D4" w:rsidP="00F737A4">
      <w:pPr>
        <w:numPr>
          <w:ilvl w:val="0"/>
          <w:numId w:val="15"/>
        </w:numPr>
        <w:spacing w:after="120"/>
        <w:ind w:left="1134" w:hanging="425"/>
      </w:pPr>
      <w:r>
        <w:t>increase</w:t>
      </w:r>
      <w:r w:rsidR="00496A2B">
        <w:t>d</w:t>
      </w:r>
      <w:r>
        <w:t xml:space="preserve"> access to and uptake of voluntary and appropriate HIV testing among people from priority populations, particularly gay men and other MSM;</w:t>
      </w:r>
    </w:p>
    <w:p w:rsidR="006020D4" w:rsidRDefault="006020D4" w:rsidP="00F737A4">
      <w:pPr>
        <w:numPr>
          <w:ilvl w:val="0"/>
          <w:numId w:val="15"/>
        </w:numPr>
        <w:spacing w:after="120"/>
        <w:ind w:left="1134" w:hanging="425"/>
      </w:pPr>
      <w:r>
        <w:t>improve knowledge among prior</w:t>
      </w:r>
      <w:r w:rsidR="00A95568">
        <w:t>i</w:t>
      </w:r>
      <w:r>
        <w:t>ty populations about the personal and public health benefits of early diagnosis and the testing, treatment and support options available; and</w:t>
      </w:r>
    </w:p>
    <w:p w:rsidR="006020D4" w:rsidRDefault="006020D4" w:rsidP="00F737A4">
      <w:pPr>
        <w:numPr>
          <w:ilvl w:val="0"/>
          <w:numId w:val="15"/>
        </w:numPr>
        <w:ind w:left="1134" w:hanging="425"/>
      </w:pPr>
      <w:proofErr w:type="gramStart"/>
      <w:r>
        <w:t>support</w:t>
      </w:r>
      <w:proofErr w:type="gramEnd"/>
      <w:r>
        <w:t xml:space="preserve"> high quality, safe, appropriate and accessible testing that facilitates early diagnosis through continued review of regulatory, funding, legislative and policy mechanisms associated with HIV testing.</w:t>
      </w:r>
    </w:p>
    <w:p w:rsidR="001628FE" w:rsidRDefault="0035765A" w:rsidP="007556E6">
      <w:pPr>
        <w:ind w:left="709"/>
      </w:pPr>
      <w:r>
        <w:t>Likewise, t</w:t>
      </w:r>
      <w:r w:rsidR="001628FE">
        <w:t xml:space="preserve">he Draft National HIV Testing Policy (2014) recognises the benefits of early HIV detection and </w:t>
      </w:r>
      <w:proofErr w:type="gramStart"/>
      <w:r w:rsidR="001A36C7">
        <w:t>contend</w:t>
      </w:r>
      <w:proofErr w:type="gramEnd"/>
      <w:r w:rsidR="001628FE">
        <w:t xml:space="preserve"> that a person’s knowledge of their status may reinforce the need to modify risk behaviour, thereby reducing onward HIV transmission</w:t>
      </w:r>
      <w:r w:rsidR="001628FE" w:rsidRPr="00193B79">
        <w:t xml:space="preserve">.  </w:t>
      </w:r>
      <w:r w:rsidR="00827B11" w:rsidRPr="00193B79">
        <w:t>The 2014 Draft policy supports measures that will encourage greater and more frequent testing for HIV infection among those at</w:t>
      </w:r>
      <w:r w:rsidR="00A95568" w:rsidRPr="00193B79">
        <w:t xml:space="preserve"> risk of exposure to the virus.</w:t>
      </w:r>
      <w:r w:rsidR="00A95568">
        <w:t xml:space="preserve"> </w:t>
      </w:r>
    </w:p>
    <w:p w:rsidR="00A95568" w:rsidRDefault="00A95568" w:rsidP="00A95568">
      <w:pPr>
        <w:spacing w:after="120"/>
        <w:ind w:left="709"/>
      </w:pPr>
      <w:r>
        <w:t>Similarly, the Melbourne Declaration 2012 also identifies substantial increased access to</w:t>
      </w:r>
      <w:r w:rsidR="00800F20">
        <w:t>,</w:t>
      </w:r>
      <w:r>
        <w:t xml:space="preserve"> and uptake of</w:t>
      </w:r>
      <w:r w:rsidR="00800F20">
        <w:t>,</w:t>
      </w:r>
      <w:r>
        <w:t xml:space="preserve"> voluntary HIV testing in Australia as “Action Area 1”, via:</w:t>
      </w:r>
    </w:p>
    <w:p w:rsidR="00A95568" w:rsidRDefault="00A95568" w:rsidP="00F737A4">
      <w:pPr>
        <w:numPr>
          <w:ilvl w:val="0"/>
          <w:numId w:val="15"/>
        </w:numPr>
        <w:spacing w:after="120"/>
        <w:ind w:left="1134" w:hanging="425"/>
      </w:pPr>
      <w:r>
        <w:t>making rapid testing widely available in clinical and community settings;</w:t>
      </w:r>
    </w:p>
    <w:p w:rsidR="00A95568" w:rsidRDefault="00A95568" w:rsidP="00F737A4">
      <w:pPr>
        <w:numPr>
          <w:ilvl w:val="0"/>
          <w:numId w:val="15"/>
        </w:numPr>
        <w:spacing w:after="120"/>
        <w:ind w:left="1134" w:hanging="425"/>
      </w:pPr>
      <w:r>
        <w:t>expediting TGA licensing of reliable rapid HIV tests and funding arrangements with States/Territories (including through Medicare);</w:t>
      </w:r>
    </w:p>
    <w:p w:rsidR="00A95568" w:rsidRDefault="00A95568" w:rsidP="00F737A4">
      <w:pPr>
        <w:numPr>
          <w:ilvl w:val="0"/>
          <w:numId w:val="15"/>
        </w:numPr>
        <w:spacing w:after="120"/>
        <w:ind w:left="1134" w:hanging="425"/>
      </w:pPr>
      <w:r>
        <w:t>States and Territories to set up access programs for rapid HIV testing pending Commonwealth licensing and funding; and</w:t>
      </w:r>
    </w:p>
    <w:p w:rsidR="00A95568" w:rsidRDefault="00193B79" w:rsidP="00F737A4">
      <w:pPr>
        <w:numPr>
          <w:ilvl w:val="0"/>
          <w:numId w:val="15"/>
        </w:numPr>
        <w:ind w:left="1134" w:hanging="425"/>
      </w:pPr>
      <w:proofErr w:type="gramStart"/>
      <w:r>
        <w:t>i</w:t>
      </w:r>
      <w:r w:rsidR="00A95568">
        <w:t>nvestigating</w:t>
      </w:r>
      <w:proofErr w:type="gramEnd"/>
      <w:r w:rsidR="00A95568">
        <w:t xml:space="preserve"> options to make rapid test available for home use, with appropriate linkages to sexually transmitted infections (STI) screening.</w:t>
      </w:r>
    </w:p>
    <w:p w:rsidR="006A5FC4" w:rsidRDefault="00193B79" w:rsidP="00E766DD">
      <w:pPr>
        <w:spacing w:after="120"/>
        <w:ind w:left="709"/>
      </w:pPr>
      <w:r>
        <w:t xml:space="preserve">As stated above, given the high prevalence of HIV infection among MSM, this population represents a target group for this diagnostic test.  </w:t>
      </w:r>
      <w:r w:rsidR="00E766DD">
        <w:t xml:space="preserve">The </w:t>
      </w:r>
      <w:r w:rsidR="00E766DD" w:rsidRPr="006A5FC4">
        <w:t>A</w:t>
      </w:r>
      <w:r w:rsidR="00E766DD">
        <w:t xml:space="preserve">ustralian </w:t>
      </w:r>
      <w:r w:rsidR="00E766DD" w:rsidRPr="006A5FC4">
        <w:t>S</w:t>
      </w:r>
      <w:r w:rsidR="00E766DD">
        <w:t>exually</w:t>
      </w:r>
      <w:r w:rsidR="00E766DD" w:rsidRPr="006A5FC4">
        <w:t xml:space="preserve"> T</w:t>
      </w:r>
      <w:r w:rsidR="00E766DD">
        <w:t>ransmitted</w:t>
      </w:r>
      <w:r w:rsidR="00E766DD" w:rsidRPr="006A5FC4">
        <w:t xml:space="preserve"> I</w:t>
      </w:r>
      <w:r w:rsidR="00E766DD">
        <w:t>nfection</w:t>
      </w:r>
      <w:r w:rsidR="00E766DD" w:rsidRPr="006A5FC4">
        <w:t xml:space="preserve"> &amp;</w:t>
      </w:r>
      <w:r w:rsidR="00E766DD">
        <w:t xml:space="preserve"> HIV Testing Guidelines 2014 for men who have sex with men recommend:</w:t>
      </w:r>
    </w:p>
    <w:p w:rsidR="00E766DD" w:rsidRDefault="00E766DD" w:rsidP="00F737A4">
      <w:pPr>
        <w:numPr>
          <w:ilvl w:val="0"/>
          <w:numId w:val="12"/>
        </w:numPr>
        <w:spacing w:after="120"/>
        <w:ind w:left="1134" w:hanging="425"/>
      </w:pPr>
      <w:r>
        <w:t>annual HIV and other sexually transmitted infection testing for all men who have had any type of sex with another man in the previous year; and</w:t>
      </w:r>
    </w:p>
    <w:p w:rsidR="00E766DD" w:rsidRDefault="00E766DD" w:rsidP="00F737A4">
      <w:pPr>
        <w:numPr>
          <w:ilvl w:val="0"/>
          <w:numId w:val="12"/>
        </w:numPr>
        <w:spacing w:after="0"/>
        <w:ind w:left="1134" w:hanging="425"/>
      </w:pPr>
      <w:r>
        <w:t xml:space="preserve">up to four tests per year </w:t>
      </w:r>
      <w:r w:rsidR="00827B11">
        <w:t xml:space="preserve">for HIV and other sexually transmitted infection </w:t>
      </w:r>
      <w:r>
        <w:t>for all men who have sex with men who fall into one or more of the following categories:</w:t>
      </w:r>
    </w:p>
    <w:p w:rsidR="00E766DD" w:rsidRDefault="00E766DD" w:rsidP="00F737A4">
      <w:pPr>
        <w:numPr>
          <w:ilvl w:val="0"/>
          <w:numId w:val="13"/>
        </w:numPr>
        <w:spacing w:after="0"/>
        <w:ind w:hanging="295"/>
      </w:pPr>
      <w:r>
        <w:t>any unprotected anal sex;</w:t>
      </w:r>
    </w:p>
    <w:p w:rsidR="00E766DD" w:rsidRDefault="00E766DD" w:rsidP="00F737A4">
      <w:pPr>
        <w:numPr>
          <w:ilvl w:val="0"/>
          <w:numId w:val="13"/>
        </w:numPr>
        <w:spacing w:after="0"/>
        <w:ind w:hanging="295"/>
      </w:pPr>
      <w:r>
        <w:t>more than 10 sexual partners in six months;</w:t>
      </w:r>
    </w:p>
    <w:p w:rsidR="00E766DD" w:rsidRDefault="00E766DD" w:rsidP="00F737A4">
      <w:pPr>
        <w:numPr>
          <w:ilvl w:val="0"/>
          <w:numId w:val="13"/>
        </w:numPr>
        <w:spacing w:after="0"/>
        <w:ind w:hanging="295"/>
      </w:pPr>
      <w:r>
        <w:t>participate in group sex;</w:t>
      </w:r>
    </w:p>
    <w:p w:rsidR="00E766DD" w:rsidRDefault="00E766DD" w:rsidP="00F737A4">
      <w:pPr>
        <w:numPr>
          <w:ilvl w:val="0"/>
          <w:numId w:val="13"/>
        </w:numPr>
        <w:spacing w:after="0"/>
        <w:ind w:hanging="295"/>
      </w:pPr>
      <w:r>
        <w:t>use recreational drugs during sex;</w:t>
      </w:r>
    </w:p>
    <w:p w:rsidR="00E766DD" w:rsidRDefault="00E766DD" w:rsidP="00F737A4">
      <w:pPr>
        <w:numPr>
          <w:ilvl w:val="0"/>
          <w:numId w:val="13"/>
        </w:numPr>
        <w:spacing w:after="0"/>
        <w:ind w:hanging="295"/>
      </w:pPr>
      <w:r>
        <w:t>are HIV-positive:</w:t>
      </w:r>
    </w:p>
    <w:p w:rsidR="00E766DD" w:rsidRDefault="00E766DD" w:rsidP="00F737A4">
      <w:pPr>
        <w:numPr>
          <w:ilvl w:val="2"/>
          <w:numId w:val="14"/>
        </w:numPr>
        <w:spacing w:after="0"/>
        <w:ind w:left="1701" w:hanging="283"/>
      </w:pPr>
      <w:r>
        <w:t>syphilis serology – at each occasion of CD4/viral load monitoring; and</w:t>
      </w:r>
    </w:p>
    <w:p w:rsidR="00E766DD" w:rsidRDefault="00E766DD" w:rsidP="00F737A4">
      <w:pPr>
        <w:numPr>
          <w:ilvl w:val="2"/>
          <w:numId w:val="14"/>
        </w:numPr>
        <w:ind w:left="1701" w:hanging="283"/>
      </w:pPr>
      <w:proofErr w:type="gramStart"/>
      <w:r>
        <w:t>chlamydia/gonorrhoea</w:t>
      </w:r>
      <w:proofErr w:type="gramEnd"/>
      <w:r>
        <w:t xml:space="preserve"> – consider at each occasion of CD4/viral load monitoring.</w:t>
      </w:r>
    </w:p>
    <w:p w:rsidR="006A5FC4" w:rsidRDefault="00496A2B" w:rsidP="007556E6">
      <w:pPr>
        <w:ind w:left="709"/>
      </w:pPr>
      <w:r w:rsidRPr="00496A2B">
        <w:lastRenderedPageBreak/>
        <w:t>Although</w:t>
      </w:r>
      <w:r w:rsidR="00A95568" w:rsidRPr="00496A2B">
        <w:t xml:space="preserve"> these recommendations are in place, </w:t>
      </w:r>
      <w:r>
        <w:t>evidence in the literature suggests that these guidelines are poorly adhered to</w:t>
      </w:r>
      <w:r w:rsidR="00A95568" w:rsidRPr="00496A2B">
        <w:t xml:space="preserve">.  </w:t>
      </w:r>
      <w:r w:rsidR="001A36C7" w:rsidRPr="00496A2B">
        <w:t xml:space="preserve">Guy (2010) report the results of a retrospective follow-up of HIV-negative MSM at four primary care clinics </w:t>
      </w:r>
      <w:r>
        <w:t xml:space="preserve">which contributed to nearly half of all HIV diagnoses in Victoria among MSM annually.  The study was conducted </w:t>
      </w:r>
      <w:r w:rsidR="001A36C7" w:rsidRPr="00496A2B">
        <w:t xml:space="preserve">over a 9 month period (April – December 2006) to determine whether MSM were being tested as regularly as recommended.  </w:t>
      </w:r>
      <w:r>
        <w:t xml:space="preserve">Re-testing rates for infection were calculated over 18 months.  </w:t>
      </w:r>
      <w:r w:rsidR="001A36C7" w:rsidRPr="00496A2B">
        <w:t>The recommendations at the time of the conduct of the study were that all MSM be tested annually for HIV, or more r</w:t>
      </w:r>
      <w:r w:rsidR="00800F20">
        <w:t>egularly for MSM reporting high-</w:t>
      </w:r>
      <w:r w:rsidR="001A36C7" w:rsidRPr="00496A2B">
        <w:t xml:space="preserve">risk behaviours (multiple partners, attending sex-on-premises venues, use of recreational drugs or seeking partners via the internet), or following the diagnosis of other STIs (chlamydia and/or gonorrhoea). </w:t>
      </w:r>
      <w:r w:rsidR="00B27902" w:rsidRPr="00496A2B">
        <w:t xml:space="preserve"> The study found that less than 40% of MSM were re-tested for HIV, chlamydia or syphilis</w:t>
      </w:r>
      <w:r>
        <w:t xml:space="preserve"> after one year</w:t>
      </w:r>
      <w:r w:rsidR="00B27902" w:rsidRPr="00496A2B">
        <w:t xml:space="preserve"> at the same clinic</w:t>
      </w:r>
      <w:r w:rsidR="00A3363F" w:rsidRPr="00496A2B">
        <w:t xml:space="preserve"> (although testing at other sites may have occurred)</w:t>
      </w:r>
      <w:r w:rsidR="00B27902" w:rsidRPr="00496A2B">
        <w:t>, despite recommendations for annual testing</w:t>
      </w:r>
      <w:r w:rsidR="00A3363F" w:rsidRPr="00496A2B">
        <w:t>.</w:t>
      </w:r>
      <w:r w:rsidR="00B27902">
        <w:t xml:space="preserve"> </w:t>
      </w:r>
      <w:r>
        <w:t xml:space="preserve"> Additionally, although testing for HIV and syphilis every six months was recommended among higher risk men, re-testing rates within six months were less than 20%. </w:t>
      </w:r>
    </w:p>
    <w:p w:rsidR="00FE0F4C" w:rsidRDefault="00E161F5" w:rsidP="000208BF">
      <w:pPr>
        <w:pStyle w:val="Heading3"/>
      </w:pPr>
      <w:r>
        <w:t>Barriers to HIV testing</w:t>
      </w:r>
    </w:p>
    <w:p w:rsidR="002D7CF0" w:rsidRDefault="00E161F5" w:rsidP="007556E6">
      <w:pPr>
        <w:ind w:left="709"/>
      </w:pPr>
      <w:proofErr w:type="spellStart"/>
      <w:r>
        <w:t>Prestage</w:t>
      </w:r>
      <w:proofErr w:type="spellEnd"/>
      <w:r>
        <w:t xml:space="preserve"> (2012) reports </w:t>
      </w:r>
      <w:r w:rsidR="00094FC4">
        <w:t>the results of a study employing an online survey of 519 HIV-negative (by self-report) men who were asked to indicate which barriers to testing applied from a selection of potential barriers presented to them, where multiple barriers could be indicated.  Among the 519 men, the group was divided into those who had never tested, men not tested in the previous 12 months</w:t>
      </w:r>
      <w:r w:rsidR="004C40A4">
        <w:t xml:space="preserve"> and</w:t>
      </w:r>
      <w:r w:rsidR="00094FC4">
        <w:t xml:space="preserve"> men tested in the previous six-</w:t>
      </w:r>
      <w:r w:rsidR="00E45296">
        <w:t xml:space="preserve"> or </w:t>
      </w:r>
      <w:r w:rsidR="00094FC4">
        <w:t xml:space="preserve">12 months.  Additional categorisation into those who had unprotected anal intercourse with casual partners (UAIC) and those who had not, were also analysed.  </w:t>
      </w:r>
      <w:r w:rsidR="004C40A4">
        <w:t xml:space="preserve">The study was conducted during 2010, thus the barriers indicated are likely to be associated with conventional serology HIV testing rather than rapid testing.  </w:t>
      </w:r>
      <w:r w:rsidR="00094FC4">
        <w:t xml:space="preserve">The results of the survey indicating the number of men </w:t>
      </w:r>
      <w:r w:rsidR="00E45296">
        <w:t>identifying</w:t>
      </w:r>
      <w:r w:rsidR="00094FC4">
        <w:t xml:space="preserve"> relevant barriers </w:t>
      </w:r>
      <w:r w:rsidR="004C40A4">
        <w:t xml:space="preserve">to testing </w:t>
      </w:r>
      <w:r w:rsidR="00094FC4">
        <w:t xml:space="preserve">according to </w:t>
      </w:r>
      <w:r w:rsidR="004C40A4">
        <w:t xml:space="preserve">testing history and unprotected anal intercourse with casual partners are summarised in Table 2.  </w:t>
      </w:r>
    </w:p>
    <w:p w:rsidR="00E45296" w:rsidRDefault="00E45296">
      <w:pPr>
        <w:spacing w:after="0"/>
        <w:ind w:left="0"/>
        <w:rPr>
          <w:rFonts w:ascii="Arial Narrow" w:hAnsi="Arial Narrow"/>
          <w:b/>
          <w:bCs/>
          <w:sz w:val="20"/>
        </w:rPr>
      </w:pPr>
      <w:bookmarkStart w:id="29" w:name="_Toc415103505"/>
      <w:r>
        <w:br w:type="page"/>
      </w:r>
    </w:p>
    <w:p w:rsidR="00E161F5" w:rsidRPr="00E161F5" w:rsidRDefault="004C40A4" w:rsidP="008A089E">
      <w:pPr>
        <w:pStyle w:val="Caption"/>
        <w:ind w:left="1701" w:hanging="981"/>
      </w:pPr>
      <w:bookmarkStart w:id="30" w:name="_Toc418224993"/>
      <w:bookmarkStart w:id="31" w:name="_Toc418225080"/>
      <w:bookmarkStart w:id="32" w:name="_Toc418225638"/>
      <w:r>
        <w:lastRenderedPageBreak/>
        <w:t>Table 2</w:t>
      </w:r>
      <w:r>
        <w:tab/>
        <w:t xml:space="preserve">Reported barriers to conventional HIV testing indicated by men according to testing history and those who had engaged and not engaged in </w:t>
      </w:r>
      <w:r w:rsidRPr="004C40A4">
        <w:t>unprotected anal intercourse with casual partners</w:t>
      </w:r>
      <w:r>
        <w:t xml:space="preserve"> (UAIC)</w:t>
      </w:r>
      <w:bookmarkEnd w:id="29"/>
      <w:bookmarkEnd w:id="30"/>
      <w:bookmarkEnd w:id="31"/>
      <w:bookmarkEnd w:id="32"/>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Reported barriers to conventional HIV testing indicated by men according to testing history and those who had engaged and not engaged in unprotected anal intercourse with casual partners (UAIC)"/>
      </w:tblPr>
      <w:tblGrid>
        <w:gridCol w:w="2126"/>
        <w:gridCol w:w="885"/>
        <w:gridCol w:w="886"/>
        <w:gridCol w:w="885"/>
        <w:gridCol w:w="886"/>
        <w:gridCol w:w="885"/>
        <w:gridCol w:w="886"/>
        <w:gridCol w:w="886"/>
      </w:tblGrid>
      <w:tr w:rsidR="007B1695" w:rsidRPr="00E161F5" w:rsidTr="002A5CBD">
        <w:trPr>
          <w:tblHeader/>
        </w:trPr>
        <w:tc>
          <w:tcPr>
            <w:tcW w:w="2126" w:type="dxa"/>
            <w:shd w:val="clear" w:color="auto" w:fill="auto"/>
            <w:vAlign w:val="center"/>
          </w:tcPr>
          <w:p w:rsidR="00E161F5" w:rsidRPr="007B1695" w:rsidRDefault="00A3363F" w:rsidP="00A3363F">
            <w:pPr>
              <w:pStyle w:val="TableText"/>
              <w:rPr>
                <w:b/>
              </w:rPr>
            </w:pPr>
            <w:r w:rsidRPr="007B1695">
              <w:rPr>
                <w:b/>
              </w:rPr>
              <w:t>Reason to avoid or delay testing</w:t>
            </w:r>
          </w:p>
        </w:tc>
        <w:tc>
          <w:tcPr>
            <w:tcW w:w="885" w:type="dxa"/>
            <w:shd w:val="clear" w:color="auto" w:fill="auto"/>
            <w:vAlign w:val="center"/>
          </w:tcPr>
          <w:p w:rsidR="00E161F5" w:rsidRPr="007B1695" w:rsidRDefault="00EB572A" w:rsidP="007B1695">
            <w:pPr>
              <w:pStyle w:val="TableText"/>
              <w:jc w:val="center"/>
              <w:rPr>
                <w:b/>
              </w:rPr>
            </w:pPr>
            <w:r w:rsidRPr="007B1695">
              <w:rPr>
                <w:b/>
              </w:rPr>
              <w:t>Never tested</w:t>
            </w:r>
          </w:p>
        </w:tc>
        <w:tc>
          <w:tcPr>
            <w:tcW w:w="886" w:type="dxa"/>
            <w:shd w:val="clear" w:color="auto" w:fill="auto"/>
            <w:vAlign w:val="center"/>
          </w:tcPr>
          <w:p w:rsidR="00E161F5" w:rsidRPr="007B1695" w:rsidRDefault="00EB572A" w:rsidP="007B1695">
            <w:pPr>
              <w:pStyle w:val="TableText"/>
              <w:jc w:val="center"/>
              <w:rPr>
                <w:b/>
              </w:rPr>
            </w:pPr>
            <w:r w:rsidRPr="007B1695">
              <w:rPr>
                <w:b/>
              </w:rPr>
              <w:t xml:space="preserve">Tested last 12 </w:t>
            </w:r>
            <w:proofErr w:type="spellStart"/>
            <w:r w:rsidRPr="007B1695">
              <w:rPr>
                <w:b/>
              </w:rPr>
              <w:t>mths</w:t>
            </w:r>
            <w:proofErr w:type="spellEnd"/>
          </w:p>
        </w:tc>
        <w:tc>
          <w:tcPr>
            <w:tcW w:w="885" w:type="dxa"/>
            <w:shd w:val="clear" w:color="auto" w:fill="auto"/>
            <w:vAlign w:val="center"/>
          </w:tcPr>
          <w:p w:rsidR="00E161F5" w:rsidRPr="007B1695" w:rsidRDefault="00EB572A" w:rsidP="007B1695">
            <w:pPr>
              <w:pStyle w:val="TableText"/>
              <w:jc w:val="center"/>
              <w:rPr>
                <w:b/>
              </w:rPr>
            </w:pPr>
            <w:r w:rsidRPr="007B1695">
              <w:rPr>
                <w:b/>
              </w:rPr>
              <w:t xml:space="preserve">Tested last 6-12 </w:t>
            </w:r>
            <w:proofErr w:type="spellStart"/>
            <w:r w:rsidRPr="007B1695">
              <w:rPr>
                <w:b/>
              </w:rPr>
              <w:t>mths</w:t>
            </w:r>
            <w:proofErr w:type="spellEnd"/>
          </w:p>
        </w:tc>
        <w:tc>
          <w:tcPr>
            <w:tcW w:w="886" w:type="dxa"/>
            <w:shd w:val="clear" w:color="auto" w:fill="auto"/>
            <w:vAlign w:val="center"/>
          </w:tcPr>
          <w:p w:rsidR="00E161F5" w:rsidRPr="007B1695" w:rsidRDefault="00EB572A" w:rsidP="007B1695">
            <w:pPr>
              <w:pStyle w:val="TableText"/>
              <w:jc w:val="center"/>
              <w:rPr>
                <w:b/>
              </w:rPr>
            </w:pPr>
            <w:r w:rsidRPr="007B1695">
              <w:rPr>
                <w:b/>
              </w:rPr>
              <w:t xml:space="preserve">Tested last 6 </w:t>
            </w:r>
            <w:proofErr w:type="spellStart"/>
            <w:r w:rsidRPr="007B1695">
              <w:rPr>
                <w:b/>
              </w:rPr>
              <w:t>mths</w:t>
            </w:r>
            <w:proofErr w:type="spellEnd"/>
          </w:p>
        </w:tc>
        <w:tc>
          <w:tcPr>
            <w:tcW w:w="885" w:type="dxa"/>
            <w:shd w:val="clear" w:color="auto" w:fill="auto"/>
            <w:vAlign w:val="center"/>
          </w:tcPr>
          <w:p w:rsidR="00E161F5" w:rsidRPr="007B1695" w:rsidRDefault="00EB572A" w:rsidP="007B1695">
            <w:pPr>
              <w:pStyle w:val="TableText"/>
              <w:jc w:val="center"/>
              <w:rPr>
                <w:b/>
              </w:rPr>
            </w:pPr>
            <w:r w:rsidRPr="007B1695">
              <w:rPr>
                <w:b/>
              </w:rPr>
              <w:t xml:space="preserve">No UAIC last 6 </w:t>
            </w:r>
            <w:proofErr w:type="spellStart"/>
            <w:r w:rsidRPr="007B1695">
              <w:rPr>
                <w:b/>
              </w:rPr>
              <w:t>mths</w:t>
            </w:r>
            <w:proofErr w:type="spellEnd"/>
          </w:p>
        </w:tc>
        <w:tc>
          <w:tcPr>
            <w:tcW w:w="886" w:type="dxa"/>
            <w:shd w:val="clear" w:color="auto" w:fill="auto"/>
            <w:vAlign w:val="center"/>
          </w:tcPr>
          <w:p w:rsidR="00E161F5" w:rsidRPr="007B1695" w:rsidRDefault="00EB572A" w:rsidP="007B1695">
            <w:pPr>
              <w:pStyle w:val="TableText"/>
              <w:jc w:val="center"/>
              <w:rPr>
                <w:b/>
              </w:rPr>
            </w:pPr>
            <w:r w:rsidRPr="007B1695">
              <w:rPr>
                <w:b/>
              </w:rPr>
              <w:t xml:space="preserve">UAIC last </w:t>
            </w:r>
            <w:r w:rsidRPr="007B1695">
              <w:rPr>
                <w:b/>
              </w:rPr>
              <w:br/>
              <w:t xml:space="preserve">6 </w:t>
            </w:r>
            <w:proofErr w:type="spellStart"/>
            <w:r w:rsidRPr="007B1695">
              <w:rPr>
                <w:b/>
              </w:rPr>
              <w:t>mths</w:t>
            </w:r>
            <w:proofErr w:type="spellEnd"/>
          </w:p>
        </w:tc>
        <w:tc>
          <w:tcPr>
            <w:tcW w:w="886" w:type="dxa"/>
            <w:shd w:val="clear" w:color="auto" w:fill="auto"/>
            <w:vAlign w:val="center"/>
          </w:tcPr>
          <w:p w:rsidR="00E161F5" w:rsidRPr="007B1695" w:rsidRDefault="00EB572A" w:rsidP="007B1695">
            <w:pPr>
              <w:pStyle w:val="TableText"/>
              <w:jc w:val="center"/>
              <w:rPr>
                <w:b/>
              </w:rPr>
            </w:pPr>
            <w:r w:rsidRPr="007B1695">
              <w:rPr>
                <w:b/>
              </w:rPr>
              <w:t xml:space="preserve">Total </w:t>
            </w:r>
          </w:p>
        </w:tc>
      </w:tr>
      <w:tr w:rsidR="007B1695" w:rsidRPr="00E161F5" w:rsidTr="007B1695">
        <w:tc>
          <w:tcPr>
            <w:tcW w:w="2126" w:type="dxa"/>
            <w:shd w:val="clear" w:color="auto" w:fill="auto"/>
            <w:vAlign w:val="center"/>
          </w:tcPr>
          <w:p w:rsidR="00EB572A" w:rsidRPr="007B1695" w:rsidRDefault="00EB572A" w:rsidP="007B1695">
            <w:pPr>
              <w:pStyle w:val="TableText"/>
              <w:jc w:val="right"/>
              <w:rPr>
                <w:b/>
              </w:rPr>
            </w:pPr>
            <w:r w:rsidRPr="007B1695">
              <w:rPr>
                <w:b/>
              </w:rPr>
              <w:t>N</w:t>
            </w:r>
          </w:p>
        </w:tc>
        <w:tc>
          <w:tcPr>
            <w:tcW w:w="885" w:type="dxa"/>
            <w:shd w:val="clear" w:color="auto" w:fill="auto"/>
            <w:vAlign w:val="center"/>
          </w:tcPr>
          <w:p w:rsidR="00EB572A" w:rsidRPr="007B1695" w:rsidRDefault="00EB572A" w:rsidP="007B1695">
            <w:pPr>
              <w:pStyle w:val="TableText"/>
              <w:jc w:val="center"/>
              <w:rPr>
                <w:b/>
              </w:rPr>
            </w:pPr>
            <w:r w:rsidRPr="007B1695">
              <w:rPr>
                <w:b/>
              </w:rPr>
              <w:t>37; n (%)</w:t>
            </w:r>
          </w:p>
        </w:tc>
        <w:tc>
          <w:tcPr>
            <w:tcW w:w="886" w:type="dxa"/>
            <w:shd w:val="clear" w:color="auto" w:fill="auto"/>
            <w:vAlign w:val="center"/>
          </w:tcPr>
          <w:p w:rsidR="00EB572A" w:rsidRPr="007B1695" w:rsidRDefault="00EB572A" w:rsidP="007B1695">
            <w:pPr>
              <w:pStyle w:val="TableText"/>
              <w:jc w:val="center"/>
              <w:rPr>
                <w:b/>
              </w:rPr>
            </w:pPr>
            <w:r w:rsidRPr="007B1695">
              <w:rPr>
                <w:b/>
              </w:rPr>
              <w:t>127; n (%)</w:t>
            </w:r>
          </w:p>
        </w:tc>
        <w:tc>
          <w:tcPr>
            <w:tcW w:w="885" w:type="dxa"/>
            <w:shd w:val="clear" w:color="auto" w:fill="auto"/>
            <w:vAlign w:val="center"/>
          </w:tcPr>
          <w:p w:rsidR="00EB572A" w:rsidRPr="007B1695" w:rsidRDefault="00EB572A" w:rsidP="007B1695">
            <w:pPr>
              <w:pStyle w:val="TableText"/>
              <w:jc w:val="center"/>
              <w:rPr>
                <w:b/>
              </w:rPr>
            </w:pPr>
            <w:r w:rsidRPr="007B1695">
              <w:rPr>
                <w:b/>
              </w:rPr>
              <w:t>82; n (%)</w:t>
            </w:r>
          </w:p>
        </w:tc>
        <w:tc>
          <w:tcPr>
            <w:tcW w:w="886" w:type="dxa"/>
            <w:shd w:val="clear" w:color="auto" w:fill="auto"/>
            <w:vAlign w:val="center"/>
          </w:tcPr>
          <w:p w:rsidR="00EB572A" w:rsidRPr="007B1695" w:rsidRDefault="00EB572A" w:rsidP="007B1695">
            <w:pPr>
              <w:pStyle w:val="TableText"/>
              <w:jc w:val="center"/>
              <w:rPr>
                <w:b/>
              </w:rPr>
            </w:pPr>
            <w:r w:rsidRPr="007B1695">
              <w:rPr>
                <w:b/>
              </w:rPr>
              <w:t>273; n (%)</w:t>
            </w:r>
          </w:p>
        </w:tc>
        <w:tc>
          <w:tcPr>
            <w:tcW w:w="885" w:type="dxa"/>
            <w:shd w:val="clear" w:color="auto" w:fill="auto"/>
            <w:vAlign w:val="center"/>
          </w:tcPr>
          <w:p w:rsidR="00EB572A" w:rsidRPr="007B1695" w:rsidRDefault="00EB572A" w:rsidP="007B1695">
            <w:pPr>
              <w:pStyle w:val="TableText"/>
              <w:jc w:val="center"/>
              <w:rPr>
                <w:b/>
              </w:rPr>
            </w:pPr>
            <w:r w:rsidRPr="007B1695">
              <w:rPr>
                <w:b/>
              </w:rPr>
              <w:t>385; n (%)</w:t>
            </w:r>
          </w:p>
        </w:tc>
        <w:tc>
          <w:tcPr>
            <w:tcW w:w="886" w:type="dxa"/>
            <w:shd w:val="clear" w:color="auto" w:fill="auto"/>
            <w:vAlign w:val="center"/>
          </w:tcPr>
          <w:p w:rsidR="00EB572A" w:rsidRPr="007B1695" w:rsidRDefault="00EB572A" w:rsidP="007B1695">
            <w:pPr>
              <w:pStyle w:val="TableText"/>
              <w:jc w:val="center"/>
              <w:rPr>
                <w:b/>
              </w:rPr>
            </w:pPr>
            <w:r w:rsidRPr="007B1695">
              <w:rPr>
                <w:b/>
              </w:rPr>
              <w:t>134; n (%)</w:t>
            </w:r>
          </w:p>
        </w:tc>
        <w:tc>
          <w:tcPr>
            <w:tcW w:w="886" w:type="dxa"/>
            <w:shd w:val="clear" w:color="auto" w:fill="auto"/>
            <w:vAlign w:val="center"/>
          </w:tcPr>
          <w:p w:rsidR="00EB572A" w:rsidRPr="007B1695" w:rsidRDefault="00EB572A" w:rsidP="007B1695">
            <w:pPr>
              <w:pStyle w:val="TableText"/>
              <w:jc w:val="center"/>
              <w:rPr>
                <w:b/>
              </w:rPr>
            </w:pPr>
            <w:r w:rsidRPr="007B1695">
              <w:rPr>
                <w:b/>
              </w:rPr>
              <w:t>519; n (%)</w:t>
            </w:r>
          </w:p>
        </w:tc>
      </w:tr>
      <w:tr w:rsidR="007B1695" w:rsidRPr="00E161F5" w:rsidTr="007B1695">
        <w:tc>
          <w:tcPr>
            <w:tcW w:w="2126" w:type="dxa"/>
            <w:shd w:val="clear" w:color="auto" w:fill="auto"/>
          </w:tcPr>
          <w:p w:rsidR="00E161F5" w:rsidRPr="00E161F5" w:rsidRDefault="00E161F5" w:rsidP="00E161F5">
            <w:pPr>
              <w:pStyle w:val="TableText"/>
            </w:pPr>
            <w:r>
              <w:t>I haven’t done anything risky</w:t>
            </w:r>
          </w:p>
        </w:tc>
        <w:tc>
          <w:tcPr>
            <w:tcW w:w="885" w:type="dxa"/>
            <w:shd w:val="clear" w:color="auto" w:fill="auto"/>
            <w:vAlign w:val="center"/>
          </w:tcPr>
          <w:p w:rsidR="00E161F5" w:rsidRPr="00E161F5" w:rsidRDefault="00EB572A" w:rsidP="007B1695">
            <w:pPr>
              <w:pStyle w:val="TableText"/>
              <w:jc w:val="center"/>
            </w:pPr>
            <w:r>
              <w:t>19 (51)</w:t>
            </w:r>
          </w:p>
        </w:tc>
        <w:tc>
          <w:tcPr>
            <w:tcW w:w="886" w:type="dxa"/>
            <w:shd w:val="clear" w:color="auto" w:fill="auto"/>
            <w:vAlign w:val="center"/>
          </w:tcPr>
          <w:p w:rsidR="00E161F5" w:rsidRPr="00E161F5" w:rsidRDefault="00EB572A" w:rsidP="007B1695">
            <w:pPr>
              <w:pStyle w:val="TableText"/>
              <w:jc w:val="center"/>
            </w:pPr>
            <w:r>
              <w:t>57 (45)</w:t>
            </w:r>
          </w:p>
        </w:tc>
        <w:tc>
          <w:tcPr>
            <w:tcW w:w="885" w:type="dxa"/>
            <w:shd w:val="clear" w:color="auto" w:fill="auto"/>
            <w:vAlign w:val="center"/>
          </w:tcPr>
          <w:p w:rsidR="00E161F5" w:rsidRPr="00E161F5" w:rsidRDefault="008D3F14" w:rsidP="007B1695">
            <w:pPr>
              <w:pStyle w:val="TableText"/>
              <w:jc w:val="center"/>
            </w:pPr>
            <w:r>
              <w:t>49 (60)</w:t>
            </w:r>
          </w:p>
        </w:tc>
        <w:tc>
          <w:tcPr>
            <w:tcW w:w="886" w:type="dxa"/>
            <w:shd w:val="clear" w:color="auto" w:fill="auto"/>
            <w:vAlign w:val="center"/>
          </w:tcPr>
          <w:p w:rsidR="00E161F5" w:rsidRPr="00E161F5" w:rsidRDefault="00CB77E2" w:rsidP="007B1695">
            <w:pPr>
              <w:pStyle w:val="TableText"/>
              <w:jc w:val="center"/>
            </w:pPr>
            <w:r>
              <w:t>89 (33)</w:t>
            </w:r>
          </w:p>
        </w:tc>
        <w:tc>
          <w:tcPr>
            <w:tcW w:w="885" w:type="dxa"/>
            <w:shd w:val="clear" w:color="auto" w:fill="auto"/>
            <w:vAlign w:val="center"/>
          </w:tcPr>
          <w:p w:rsidR="00E161F5" w:rsidRPr="00E161F5" w:rsidRDefault="00DC7436" w:rsidP="007B1695">
            <w:pPr>
              <w:pStyle w:val="TableText"/>
              <w:jc w:val="center"/>
            </w:pPr>
            <w:r>
              <w:t>174 (45)</w:t>
            </w:r>
          </w:p>
        </w:tc>
        <w:tc>
          <w:tcPr>
            <w:tcW w:w="886" w:type="dxa"/>
            <w:shd w:val="clear" w:color="auto" w:fill="auto"/>
            <w:vAlign w:val="center"/>
          </w:tcPr>
          <w:p w:rsidR="00E161F5" w:rsidRPr="00E161F5" w:rsidRDefault="000A1C29" w:rsidP="007B1695">
            <w:pPr>
              <w:pStyle w:val="TableText"/>
              <w:jc w:val="center"/>
            </w:pPr>
            <w:r>
              <w:t>40 (30)</w:t>
            </w:r>
          </w:p>
        </w:tc>
        <w:tc>
          <w:tcPr>
            <w:tcW w:w="886" w:type="dxa"/>
            <w:shd w:val="clear" w:color="auto" w:fill="auto"/>
            <w:vAlign w:val="center"/>
          </w:tcPr>
          <w:p w:rsidR="00E161F5" w:rsidRPr="004F6D59" w:rsidRDefault="000A1C29" w:rsidP="007B1695">
            <w:pPr>
              <w:pStyle w:val="TableText"/>
              <w:jc w:val="center"/>
            </w:pPr>
            <w:r w:rsidRPr="004F6D59">
              <w:t>214 (41)</w:t>
            </w:r>
          </w:p>
        </w:tc>
      </w:tr>
      <w:tr w:rsidR="007B1695" w:rsidRPr="00E161F5" w:rsidTr="007B1695">
        <w:tc>
          <w:tcPr>
            <w:tcW w:w="2126" w:type="dxa"/>
            <w:shd w:val="clear" w:color="auto" w:fill="D9D9D9"/>
          </w:tcPr>
          <w:p w:rsidR="00E161F5" w:rsidRPr="00E161F5" w:rsidRDefault="00E161F5" w:rsidP="00E161F5">
            <w:pPr>
              <w:pStyle w:val="TableText"/>
            </w:pPr>
            <w:r>
              <w:t>Having to return another time for results</w:t>
            </w:r>
          </w:p>
        </w:tc>
        <w:tc>
          <w:tcPr>
            <w:tcW w:w="885" w:type="dxa"/>
            <w:shd w:val="clear" w:color="auto" w:fill="D9D9D9"/>
            <w:vAlign w:val="center"/>
          </w:tcPr>
          <w:p w:rsidR="00E161F5" w:rsidRPr="00E161F5" w:rsidRDefault="00EB572A" w:rsidP="007B1695">
            <w:pPr>
              <w:pStyle w:val="TableText"/>
              <w:jc w:val="center"/>
            </w:pPr>
            <w:r>
              <w:t>8 (22)</w:t>
            </w:r>
          </w:p>
        </w:tc>
        <w:tc>
          <w:tcPr>
            <w:tcW w:w="886" w:type="dxa"/>
            <w:shd w:val="clear" w:color="auto" w:fill="D9D9D9"/>
            <w:vAlign w:val="center"/>
          </w:tcPr>
          <w:p w:rsidR="00E161F5" w:rsidRPr="00E161F5" w:rsidRDefault="00EB572A" w:rsidP="007B1695">
            <w:pPr>
              <w:pStyle w:val="TableText"/>
              <w:jc w:val="center"/>
            </w:pPr>
            <w:r>
              <w:t>39 (31)</w:t>
            </w:r>
          </w:p>
        </w:tc>
        <w:tc>
          <w:tcPr>
            <w:tcW w:w="885" w:type="dxa"/>
            <w:shd w:val="clear" w:color="auto" w:fill="D9D9D9"/>
            <w:vAlign w:val="center"/>
          </w:tcPr>
          <w:p w:rsidR="00E161F5" w:rsidRPr="00E161F5" w:rsidRDefault="008D3F14" w:rsidP="007B1695">
            <w:pPr>
              <w:pStyle w:val="TableText"/>
              <w:jc w:val="center"/>
            </w:pPr>
            <w:r>
              <w:t>44 (54)</w:t>
            </w:r>
          </w:p>
        </w:tc>
        <w:tc>
          <w:tcPr>
            <w:tcW w:w="886" w:type="dxa"/>
            <w:shd w:val="clear" w:color="auto" w:fill="D9D9D9"/>
            <w:vAlign w:val="center"/>
          </w:tcPr>
          <w:p w:rsidR="00E161F5" w:rsidRPr="00E161F5" w:rsidRDefault="00CB77E2" w:rsidP="007B1695">
            <w:pPr>
              <w:pStyle w:val="TableText"/>
              <w:jc w:val="center"/>
            </w:pPr>
            <w:r>
              <w:t>118 (43)</w:t>
            </w:r>
          </w:p>
        </w:tc>
        <w:tc>
          <w:tcPr>
            <w:tcW w:w="885" w:type="dxa"/>
            <w:shd w:val="clear" w:color="auto" w:fill="D9D9D9"/>
            <w:vAlign w:val="center"/>
          </w:tcPr>
          <w:p w:rsidR="00E161F5" w:rsidRPr="00E161F5" w:rsidRDefault="00DC7436" w:rsidP="007B1695">
            <w:pPr>
              <w:pStyle w:val="TableText"/>
              <w:jc w:val="center"/>
            </w:pPr>
            <w:r>
              <w:t>142 (37)</w:t>
            </w:r>
          </w:p>
        </w:tc>
        <w:tc>
          <w:tcPr>
            <w:tcW w:w="886" w:type="dxa"/>
            <w:shd w:val="clear" w:color="auto" w:fill="D9D9D9"/>
            <w:vAlign w:val="center"/>
          </w:tcPr>
          <w:p w:rsidR="00E161F5" w:rsidRPr="00E161F5" w:rsidRDefault="000A1C29" w:rsidP="007B1695">
            <w:pPr>
              <w:pStyle w:val="TableText"/>
              <w:jc w:val="center"/>
            </w:pPr>
            <w:r>
              <w:t>67 (50)</w:t>
            </w:r>
          </w:p>
        </w:tc>
        <w:tc>
          <w:tcPr>
            <w:tcW w:w="886" w:type="dxa"/>
            <w:shd w:val="clear" w:color="auto" w:fill="D9D9D9"/>
            <w:vAlign w:val="center"/>
          </w:tcPr>
          <w:p w:rsidR="00E161F5" w:rsidRPr="004F6D59" w:rsidRDefault="000A1C29" w:rsidP="007B1695">
            <w:pPr>
              <w:pStyle w:val="TableText"/>
              <w:jc w:val="center"/>
            </w:pPr>
            <w:r w:rsidRPr="004F6D59">
              <w:t>209 (40)</w:t>
            </w:r>
          </w:p>
        </w:tc>
      </w:tr>
      <w:tr w:rsidR="007B1695" w:rsidRPr="00E161F5" w:rsidTr="007B1695">
        <w:tc>
          <w:tcPr>
            <w:tcW w:w="2126" w:type="dxa"/>
            <w:shd w:val="clear" w:color="auto" w:fill="auto"/>
          </w:tcPr>
          <w:p w:rsidR="00E161F5" w:rsidRPr="00E161F5" w:rsidRDefault="00E161F5" w:rsidP="00E161F5">
            <w:pPr>
              <w:pStyle w:val="TableText"/>
            </w:pPr>
            <w:r>
              <w:t>I haven’t enough time</w:t>
            </w:r>
          </w:p>
        </w:tc>
        <w:tc>
          <w:tcPr>
            <w:tcW w:w="885" w:type="dxa"/>
            <w:shd w:val="clear" w:color="auto" w:fill="auto"/>
            <w:vAlign w:val="center"/>
          </w:tcPr>
          <w:p w:rsidR="00E161F5" w:rsidRPr="00E161F5" w:rsidRDefault="00EB572A" w:rsidP="007B1695">
            <w:pPr>
              <w:pStyle w:val="TableText"/>
              <w:jc w:val="center"/>
            </w:pPr>
            <w:r>
              <w:t>6 (16)</w:t>
            </w:r>
          </w:p>
        </w:tc>
        <w:tc>
          <w:tcPr>
            <w:tcW w:w="886" w:type="dxa"/>
            <w:shd w:val="clear" w:color="auto" w:fill="auto"/>
            <w:vAlign w:val="center"/>
          </w:tcPr>
          <w:p w:rsidR="00E161F5" w:rsidRPr="00E161F5" w:rsidRDefault="00EB572A" w:rsidP="007B1695">
            <w:pPr>
              <w:pStyle w:val="TableText"/>
              <w:jc w:val="center"/>
            </w:pPr>
            <w:r>
              <w:t>26 (21)</w:t>
            </w:r>
          </w:p>
        </w:tc>
        <w:tc>
          <w:tcPr>
            <w:tcW w:w="885" w:type="dxa"/>
            <w:shd w:val="clear" w:color="auto" w:fill="auto"/>
            <w:vAlign w:val="center"/>
          </w:tcPr>
          <w:p w:rsidR="00E161F5" w:rsidRPr="00E161F5" w:rsidRDefault="008D3F14" w:rsidP="007B1695">
            <w:pPr>
              <w:pStyle w:val="TableText"/>
              <w:jc w:val="center"/>
            </w:pPr>
            <w:r>
              <w:t>29 (35)</w:t>
            </w:r>
          </w:p>
        </w:tc>
        <w:tc>
          <w:tcPr>
            <w:tcW w:w="886" w:type="dxa"/>
            <w:shd w:val="clear" w:color="auto" w:fill="auto"/>
            <w:vAlign w:val="center"/>
          </w:tcPr>
          <w:p w:rsidR="00E161F5" w:rsidRPr="00E161F5" w:rsidRDefault="00CB77E2" w:rsidP="007B1695">
            <w:pPr>
              <w:pStyle w:val="TableText"/>
              <w:jc w:val="center"/>
            </w:pPr>
            <w:r>
              <w:t>71 (26)</w:t>
            </w:r>
          </w:p>
        </w:tc>
        <w:tc>
          <w:tcPr>
            <w:tcW w:w="885" w:type="dxa"/>
            <w:shd w:val="clear" w:color="auto" w:fill="auto"/>
            <w:vAlign w:val="center"/>
          </w:tcPr>
          <w:p w:rsidR="00E161F5" w:rsidRPr="00E161F5" w:rsidRDefault="000A1C29" w:rsidP="007B1695">
            <w:pPr>
              <w:pStyle w:val="TableText"/>
              <w:jc w:val="center"/>
            </w:pPr>
            <w:r>
              <w:t>92 (24)</w:t>
            </w:r>
          </w:p>
        </w:tc>
        <w:tc>
          <w:tcPr>
            <w:tcW w:w="886" w:type="dxa"/>
            <w:shd w:val="clear" w:color="auto" w:fill="auto"/>
            <w:vAlign w:val="center"/>
          </w:tcPr>
          <w:p w:rsidR="00E161F5" w:rsidRPr="00E161F5" w:rsidRDefault="000A1C29" w:rsidP="007B1695">
            <w:pPr>
              <w:pStyle w:val="TableText"/>
              <w:jc w:val="center"/>
            </w:pPr>
            <w:r>
              <w:t>40 (30)</w:t>
            </w:r>
          </w:p>
        </w:tc>
        <w:tc>
          <w:tcPr>
            <w:tcW w:w="886" w:type="dxa"/>
            <w:shd w:val="clear" w:color="auto" w:fill="auto"/>
            <w:vAlign w:val="center"/>
          </w:tcPr>
          <w:p w:rsidR="00E161F5" w:rsidRPr="004F6D59" w:rsidRDefault="000A1C29" w:rsidP="007B1695">
            <w:pPr>
              <w:pStyle w:val="TableText"/>
              <w:jc w:val="center"/>
            </w:pPr>
            <w:r w:rsidRPr="004F6D59">
              <w:t>132 (25)</w:t>
            </w:r>
          </w:p>
        </w:tc>
      </w:tr>
      <w:tr w:rsidR="007B1695" w:rsidRPr="00E161F5" w:rsidTr="007B1695">
        <w:tc>
          <w:tcPr>
            <w:tcW w:w="2126" w:type="dxa"/>
            <w:shd w:val="clear" w:color="auto" w:fill="auto"/>
          </w:tcPr>
          <w:p w:rsidR="00E161F5" w:rsidRPr="00E161F5" w:rsidRDefault="00E161F5" w:rsidP="00E161F5">
            <w:pPr>
              <w:pStyle w:val="TableText"/>
            </w:pPr>
            <w:r>
              <w:t>I haven’t changed partners</w:t>
            </w:r>
          </w:p>
        </w:tc>
        <w:tc>
          <w:tcPr>
            <w:tcW w:w="885" w:type="dxa"/>
            <w:shd w:val="clear" w:color="auto" w:fill="auto"/>
            <w:vAlign w:val="center"/>
          </w:tcPr>
          <w:p w:rsidR="00E161F5" w:rsidRPr="00E161F5" w:rsidRDefault="00EB572A" w:rsidP="007B1695">
            <w:pPr>
              <w:pStyle w:val="TableText"/>
              <w:jc w:val="center"/>
            </w:pPr>
            <w:r>
              <w:t>4 (11)</w:t>
            </w:r>
          </w:p>
        </w:tc>
        <w:tc>
          <w:tcPr>
            <w:tcW w:w="886" w:type="dxa"/>
            <w:shd w:val="clear" w:color="auto" w:fill="auto"/>
            <w:vAlign w:val="center"/>
          </w:tcPr>
          <w:p w:rsidR="00E161F5" w:rsidRPr="00E161F5" w:rsidRDefault="00EB572A" w:rsidP="007B1695">
            <w:pPr>
              <w:pStyle w:val="TableText"/>
              <w:jc w:val="center"/>
            </w:pPr>
            <w:r>
              <w:t>32 (25)</w:t>
            </w:r>
          </w:p>
        </w:tc>
        <w:tc>
          <w:tcPr>
            <w:tcW w:w="885" w:type="dxa"/>
            <w:shd w:val="clear" w:color="auto" w:fill="auto"/>
            <w:vAlign w:val="center"/>
          </w:tcPr>
          <w:p w:rsidR="00E161F5" w:rsidRPr="00E161F5" w:rsidRDefault="008D3F14" w:rsidP="007B1695">
            <w:pPr>
              <w:pStyle w:val="TableText"/>
              <w:jc w:val="center"/>
            </w:pPr>
            <w:r>
              <w:t>18 (22)</w:t>
            </w:r>
          </w:p>
        </w:tc>
        <w:tc>
          <w:tcPr>
            <w:tcW w:w="886" w:type="dxa"/>
            <w:shd w:val="clear" w:color="auto" w:fill="auto"/>
            <w:vAlign w:val="center"/>
          </w:tcPr>
          <w:p w:rsidR="00E161F5" w:rsidRPr="00E161F5" w:rsidRDefault="00CB77E2" w:rsidP="007B1695">
            <w:pPr>
              <w:pStyle w:val="TableText"/>
              <w:jc w:val="center"/>
            </w:pPr>
            <w:r>
              <w:t>49 (18)</w:t>
            </w:r>
          </w:p>
        </w:tc>
        <w:tc>
          <w:tcPr>
            <w:tcW w:w="885" w:type="dxa"/>
            <w:shd w:val="clear" w:color="auto" w:fill="auto"/>
            <w:vAlign w:val="center"/>
          </w:tcPr>
          <w:p w:rsidR="00E161F5" w:rsidRPr="00E161F5" w:rsidRDefault="000A1C29" w:rsidP="007B1695">
            <w:pPr>
              <w:pStyle w:val="TableText"/>
              <w:jc w:val="center"/>
            </w:pPr>
            <w:r>
              <w:t>93 (24)</w:t>
            </w:r>
          </w:p>
        </w:tc>
        <w:tc>
          <w:tcPr>
            <w:tcW w:w="886" w:type="dxa"/>
            <w:shd w:val="clear" w:color="auto" w:fill="auto"/>
            <w:vAlign w:val="center"/>
          </w:tcPr>
          <w:p w:rsidR="00E161F5" w:rsidRPr="00E161F5" w:rsidRDefault="000A1C29" w:rsidP="007B1695">
            <w:pPr>
              <w:pStyle w:val="TableText"/>
              <w:jc w:val="center"/>
            </w:pPr>
            <w:r>
              <w:t>10 (8)</w:t>
            </w:r>
          </w:p>
        </w:tc>
        <w:tc>
          <w:tcPr>
            <w:tcW w:w="886" w:type="dxa"/>
            <w:shd w:val="clear" w:color="auto" w:fill="auto"/>
            <w:vAlign w:val="center"/>
          </w:tcPr>
          <w:p w:rsidR="00E161F5" w:rsidRPr="004F6D59" w:rsidRDefault="000A1C29" w:rsidP="007B1695">
            <w:pPr>
              <w:pStyle w:val="TableText"/>
              <w:jc w:val="center"/>
            </w:pPr>
            <w:r w:rsidRPr="004F6D59">
              <w:t>103 (20)</w:t>
            </w:r>
          </w:p>
        </w:tc>
      </w:tr>
      <w:tr w:rsidR="007B1695" w:rsidRPr="00E161F5" w:rsidTr="007B1695">
        <w:tc>
          <w:tcPr>
            <w:tcW w:w="2126" w:type="dxa"/>
            <w:shd w:val="clear" w:color="auto" w:fill="auto"/>
          </w:tcPr>
          <w:p w:rsidR="00E161F5" w:rsidRPr="00E161F5" w:rsidRDefault="00E161F5" w:rsidP="00E161F5">
            <w:pPr>
              <w:pStyle w:val="TableText"/>
            </w:pPr>
            <w:r>
              <w:t>I haven’t had any illness or symptoms which made me worry</w:t>
            </w:r>
          </w:p>
        </w:tc>
        <w:tc>
          <w:tcPr>
            <w:tcW w:w="885" w:type="dxa"/>
            <w:shd w:val="clear" w:color="auto" w:fill="auto"/>
            <w:vAlign w:val="center"/>
          </w:tcPr>
          <w:p w:rsidR="00E161F5" w:rsidRPr="00E161F5" w:rsidRDefault="00EB572A" w:rsidP="007B1695">
            <w:pPr>
              <w:pStyle w:val="TableText"/>
              <w:jc w:val="center"/>
            </w:pPr>
            <w:r>
              <w:t>11 (30)</w:t>
            </w:r>
          </w:p>
        </w:tc>
        <w:tc>
          <w:tcPr>
            <w:tcW w:w="886" w:type="dxa"/>
            <w:shd w:val="clear" w:color="auto" w:fill="auto"/>
            <w:vAlign w:val="center"/>
          </w:tcPr>
          <w:p w:rsidR="00E161F5" w:rsidRPr="00E161F5" w:rsidRDefault="00EB572A" w:rsidP="007B1695">
            <w:pPr>
              <w:pStyle w:val="TableText"/>
              <w:jc w:val="center"/>
            </w:pPr>
            <w:r>
              <w:t>27 (21)</w:t>
            </w:r>
          </w:p>
        </w:tc>
        <w:tc>
          <w:tcPr>
            <w:tcW w:w="885" w:type="dxa"/>
            <w:shd w:val="clear" w:color="auto" w:fill="auto"/>
            <w:vAlign w:val="center"/>
          </w:tcPr>
          <w:p w:rsidR="00E161F5" w:rsidRPr="00E161F5" w:rsidRDefault="008D3F14" w:rsidP="007B1695">
            <w:pPr>
              <w:pStyle w:val="TableText"/>
              <w:jc w:val="center"/>
            </w:pPr>
            <w:r>
              <w:t>24 (29)</w:t>
            </w:r>
          </w:p>
        </w:tc>
        <w:tc>
          <w:tcPr>
            <w:tcW w:w="886" w:type="dxa"/>
            <w:shd w:val="clear" w:color="auto" w:fill="auto"/>
            <w:vAlign w:val="center"/>
          </w:tcPr>
          <w:p w:rsidR="00E161F5" w:rsidRPr="00E161F5" w:rsidRDefault="00CB77E2" w:rsidP="007B1695">
            <w:pPr>
              <w:pStyle w:val="TableText"/>
              <w:jc w:val="center"/>
            </w:pPr>
            <w:r>
              <w:t>39 (14)</w:t>
            </w:r>
          </w:p>
        </w:tc>
        <w:tc>
          <w:tcPr>
            <w:tcW w:w="885" w:type="dxa"/>
            <w:shd w:val="clear" w:color="auto" w:fill="auto"/>
            <w:vAlign w:val="center"/>
          </w:tcPr>
          <w:p w:rsidR="00E161F5" w:rsidRPr="00E161F5" w:rsidRDefault="000A1C29" w:rsidP="007B1695">
            <w:pPr>
              <w:pStyle w:val="TableText"/>
              <w:jc w:val="center"/>
            </w:pPr>
            <w:r>
              <w:t>68 (18)</w:t>
            </w:r>
          </w:p>
        </w:tc>
        <w:tc>
          <w:tcPr>
            <w:tcW w:w="886" w:type="dxa"/>
            <w:shd w:val="clear" w:color="auto" w:fill="auto"/>
            <w:vAlign w:val="center"/>
          </w:tcPr>
          <w:p w:rsidR="00E161F5" w:rsidRPr="00E161F5" w:rsidRDefault="000A1C29" w:rsidP="007B1695">
            <w:pPr>
              <w:pStyle w:val="TableText"/>
              <w:jc w:val="center"/>
            </w:pPr>
            <w:r>
              <w:t>33 (25)</w:t>
            </w:r>
          </w:p>
        </w:tc>
        <w:tc>
          <w:tcPr>
            <w:tcW w:w="886" w:type="dxa"/>
            <w:shd w:val="clear" w:color="auto" w:fill="auto"/>
            <w:vAlign w:val="center"/>
          </w:tcPr>
          <w:p w:rsidR="00E161F5" w:rsidRPr="004F6D59" w:rsidRDefault="000A1C29" w:rsidP="007B1695">
            <w:pPr>
              <w:pStyle w:val="TableText"/>
              <w:jc w:val="center"/>
            </w:pPr>
            <w:r w:rsidRPr="004F6D59">
              <w:t>101 (20)</w:t>
            </w:r>
          </w:p>
        </w:tc>
      </w:tr>
      <w:tr w:rsidR="007B1695" w:rsidRPr="00E161F5" w:rsidTr="007B1695">
        <w:tc>
          <w:tcPr>
            <w:tcW w:w="2126" w:type="dxa"/>
            <w:shd w:val="clear" w:color="auto" w:fill="auto"/>
          </w:tcPr>
          <w:p w:rsidR="00E161F5" w:rsidRPr="00E161F5" w:rsidRDefault="00E161F5" w:rsidP="00E161F5">
            <w:pPr>
              <w:pStyle w:val="TableText"/>
            </w:pPr>
            <w:r>
              <w:t>It’s too much hassle</w:t>
            </w:r>
          </w:p>
        </w:tc>
        <w:tc>
          <w:tcPr>
            <w:tcW w:w="885" w:type="dxa"/>
            <w:shd w:val="clear" w:color="auto" w:fill="auto"/>
            <w:vAlign w:val="center"/>
          </w:tcPr>
          <w:p w:rsidR="00E161F5" w:rsidRPr="00E161F5" w:rsidRDefault="00EB572A" w:rsidP="007B1695">
            <w:pPr>
              <w:pStyle w:val="TableText"/>
              <w:jc w:val="center"/>
            </w:pPr>
            <w:r>
              <w:t>5 (14)</w:t>
            </w:r>
          </w:p>
        </w:tc>
        <w:tc>
          <w:tcPr>
            <w:tcW w:w="886" w:type="dxa"/>
            <w:shd w:val="clear" w:color="auto" w:fill="auto"/>
            <w:vAlign w:val="center"/>
          </w:tcPr>
          <w:p w:rsidR="00E161F5" w:rsidRPr="00E161F5" w:rsidRDefault="00EB572A" w:rsidP="007B1695">
            <w:pPr>
              <w:pStyle w:val="TableText"/>
              <w:jc w:val="center"/>
            </w:pPr>
            <w:r>
              <w:t>24 (19)</w:t>
            </w:r>
          </w:p>
        </w:tc>
        <w:tc>
          <w:tcPr>
            <w:tcW w:w="885" w:type="dxa"/>
            <w:shd w:val="clear" w:color="auto" w:fill="auto"/>
            <w:vAlign w:val="center"/>
          </w:tcPr>
          <w:p w:rsidR="00E161F5" w:rsidRPr="00E161F5" w:rsidRDefault="008D3F14" w:rsidP="007B1695">
            <w:pPr>
              <w:pStyle w:val="TableText"/>
              <w:jc w:val="center"/>
            </w:pPr>
            <w:r>
              <w:t>21 (26)</w:t>
            </w:r>
          </w:p>
        </w:tc>
        <w:tc>
          <w:tcPr>
            <w:tcW w:w="886" w:type="dxa"/>
            <w:shd w:val="clear" w:color="auto" w:fill="auto"/>
            <w:vAlign w:val="center"/>
          </w:tcPr>
          <w:p w:rsidR="00E161F5" w:rsidRPr="00E161F5" w:rsidRDefault="00CB77E2" w:rsidP="007B1695">
            <w:pPr>
              <w:pStyle w:val="TableText"/>
              <w:jc w:val="center"/>
            </w:pPr>
            <w:r>
              <w:t>46 (17)</w:t>
            </w:r>
          </w:p>
        </w:tc>
        <w:tc>
          <w:tcPr>
            <w:tcW w:w="885" w:type="dxa"/>
            <w:shd w:val="clear" w:color="auto" w:fill="auto"/>
            <w:vAlign w:val="center"/>
          </w:tcPr>
          <w:p w:rsidR="00E161F5" w:rsidRPr="00E161F5" w:rsidRDefault="000A1C29" w:rsidP="007B1695">
            <w:pPr>
              <w:pStyle w:val="TableText"/>
              <w:jc w:val="center"/>
            </w:pPr>
            <w:r>
              <w:t>69 (18)</w:t>
            </w:r>
          </w:p>
        </w:tc>
        <w:tc>
          <w:tcPr>
            <w:tcW w:w="886" w:type="dxa"/>
            <w:shd w:val="clear" w:color="auto" w:fill="auto"/>
            <w:vAlign w:val="center"/>
          </w:tcPr>
          <w:p w:rsidR="00E161F5" w:rsidRPr="00E161F5" w:rsidRDefault="000A1C29" w:rsidP="007B1695">
            <w:pPr>
              <w:pStyle w:val="TableText"/>
              <w:jc w:val="center"/>
            </w:pPr>
            <w:r>
              <w:t>27 (20)</w:t>
            </w:r>
          </w:p>
        </w:tc>
        <w:tc>
          <w:tcPr>
            <w:tcW w:w="886" w:type="dxa"/>
            <w:shd w:val="clear" w:color="auto" w:fill="auto"/>
            <w:vAlign w:val="center"/>
          </w:tcPr>
          <w:p w:rsidR="00E161F5" w:rsidRPr="00E161F5" w:rsidRDefault="000A1C29" w:rsidP="007B1695">
            <w:pPr>
              <w:pStyle w:val="TableText"/>
              <w:jc w:val="center"/>
            </w:pPr>
            <w:r>
              <w:t>96 (19)</w:t>
            </w:r>
          </w:p>
        </w:tc>
      </w:tr>
      <w:tr w:rsidR="007B1695" w:rsidRPr="00E161F5" w:rsidTr="007B1695">
        <w:tc>
          <w:tcPr>
            <w:tcW w:w="2126" w:type="dxa"/>
            <w:shd w:val="clear" w:color="auto" w:fill="auto"/>
          </w:tcPr>
          <w:p w:rsidR="00E161F5" w:rsidRPr="00E161F5" w:rsidRDefault="00E161F5" w:rsidP="00E161F5">
            <w:pPr>
              <w:pStyle w:val="TableText"/>
            </w:pPr>
            <w:r>
              <w:t>It’s difficult to get an appointment</w:t>
            </w:r>
          </w:p>
        </w:tc>
        <w:tc>
          <w:tcPr>
            <w:tcW w:w="885" w:type="dxa"/>
            <w:shd w:val="clear" w:color="auto" w:fill="auto"/>
            <w:vAlign w:val="center"/>
          </w:tcPr>
          <w:p w:rsidR="00E161F5" w:rsidRPr="00E161F5" w:rsidRDefault="00EB572A" w:rsidP="007B1695">
            <w:pPr>
              <w:pStyle w:val="TableText"/>
              <w:jc w:val="center"/>
            </w:pPr>
            <w:r>
              <w:t>2 (5)</w:t>
            </w:r>
          </w:p>
        </w:tc>
        <w:tc>
          <w:tcPr>
            <w:tcW w:w="886" w:type="dxa"/>
            <w:shd w:val="clear" w:color="auto" w:fill="auto"/>
            <w:vAlign w:val="center"/>
          </w:tcPr>
          <w:p w:rsidR="00E161F5" w:rsidRPr="00E161F5" w:rsidRDefault="00EB572A" w:rsidP="007B1695">
            <w:pPr>
              <w:pStyle w:val="TableText"/>
              <w:jc w:val="center"/>
            </w:pPr>
            <w:r>
              <w:t>12 (9)</w:t>
            </w:r>
          </w:p>
        </w:tc>
        <w:tc>
          <w:tcPr>
            <w:tcW w:w="885" w:type="dxa"/>
            <w:shd w:val="clear" w:color="auto" w:fill="auto"/>
            <w:vAlign w:val="center"/>
          </w:tcPr>
          <w:p w:rsidR="00E161F5" w:rsidRPr="00E161F5" w:rsidRDefault="008D3F14" w:rsidP="007B1695">
            <w:pPr>
              <w:pStyle w:val="TableText"/>
              <w:jc w:val="center"/>
            </w:pPr>
            <w:r>
              <w:t>14 (17)</w:t>
            </w:r>
          </w:p>
        </w:tc>
        <w:tc>
          <w:tcPr>
            <w:tcW w:w="886" w:type="dxa"/>
            <w:shd w:val="clear" w:color="auto" w:fill="auto"/>
            <w:vAlign w:val="center"/>
          </w:tcPr>
          <w:p w:rsidR="00E161F5" w:rsidRPr="00E161F5" w:rsidRDefault="00CB77E2" w:rsidP="007B1695">
            <w:pPr>
              <w:pStyle w:val="TableText"/>
              <w:jc w:val="center"/>
            </w:pPr>
            <w:r>
              <w:t>51 (19)</w:t>
            </w:r>
          </w:p>
        </w:tc>
        <w:tc>
          <w:tcPr>
            <w:tcW w:w="885" w:type="dxa"/>
            <w:shd w:val="clear" w:color="auto" w:fill="auto"/>
            <w:vAlign w:val="center"/>
          </w:tcPr>
          <w:p w:rsidR="00E161F5" w:rsidRPr="00E161F5" w:rsidRDefault="000A1C29" w:rsidP="007B1695">
            <w:pPr>
              <w:pStyle w:val="TableText"/>
              <w:jc w:val="center"/>
            </w:pPr>
            <w:r>
              <w:t>56 (15)</w:t>
            </w:r>
          </w:p>
        </w:tc>
        <w:tc>
          <w:tcPr>
            <w:tcW w:w="886" w:type="dxa"/>
            <w:shd w:val="clear" w:color="auto" w:fill="auto"/>
            <w:vAlign w:val="center"/>
          </w:tcPr>
          <w:p w:rsidR="00E161F5" w:rsidRPr="00E161F5" w:rsidRDefault="000A1C29" w:rsidP="007B1695">
            <w:pPr>
              <w:pStyle w:val="TableText"/>
              <w:jc w:val="center"/>
            </w:pPr>
            <w:r>
              <w:t>23 (17)</w:t>
            </w:r>
          </w:p>
        </w:tc>
        <w:tc>
          <w:tcPr>
            <w:tcW w:w="886" w:type="dxa"/>
            <w:shd w:val="clear" w:color="auto" w:fill="auto"/>
            <w:vAlign w:val="center"/>
          </w:tcPr>
          <w:p w:rsidR="00E161F5" w:rsidRPr="00E161F5" w:rsidRDefault="000A1C29" w:rsidP="007B1695">
            <w:pPr>
              <w:pStyle w:val="TableText"/>
              <w:jc w:val="center"/>
            </w:pPr>
            <w:r>
              <w:t>79 (15)</w:t>
            </w:r>
          </w:p>
        </w:tc>
      </w:tr>
      <w:tr w:rsidR="007B1695" w:rsidRPr="00E161F5" w:rsidTr="007B1695">
        <w:tc>
          <w:tcPr>
            <w:tcW w:w="2126" w:type="dxa"/>
            <w:shd w:val="clear" w:color="auto" w:fill="auto"/>
          </w:tcPr>
          <w:p w:rsidR="00E161F5" w:rsidRDefault="00E161F5" w:rsidP="00E161F5">
            <w:pPr>
              <w:pStyle w:val="TableText"/>
            </w:pPr>
            <w:r>
              <w:t>I’m afraid I might be told I have HIV</w:t>
            </w:r>
          </w:p>
        </w:tc>
        <w:tc>
          <w:tcPr>
            <w:tcW w:w="885" w:type="dxa"/>
            <w:shd w:val="clear" w:color="auto" w:fill="auto"/>
            <w:vAlign w:val="center"/>
          </w:tcPr>
          <w:p w:rsidR="00E161F5" w:rsidRPr="00E161F5" w:rsidRDefault="00EB572A" w:rsidP="007B1695">
            <w:pPr>
              <w:pStyle w:val="TableText"/>
              <w:jc w:val="center"/>
            </w:pPr>
            <w:r>
              <w:t>2 (5)</w:t>
            </w:r>
          </w:p>
        </w:tc>
        <w:tc>
          <w:tcPr>
            <w:tcW w:w="886" w:type="dxa"/>
            <w:shd w:val="clear" w:color="auto" w:fill="auto"/>
            <w:vAlign w:val="center"/>
          </w:tcPr>
          <w:p w:rsidR="00E161F5" w:rsidRPr="00E161F5" w:rsidRDefault="00EB572A" w:rsidP="007B1695">
            <w:pPr>
              <w:pStyle w:val="TableText"/>
              <w:jc w:val="center"/>
            </w:pPr>
            <w:r>
              <w:t>19 (15)</w:t>
            </w:r>
          </w:p>
        </w:tc>
        <w:tc>
          <w:tcPr>
            <w:tcW w:w="885" w:type="dxa"/>
            <w:shd w:val="clear" w:color="auto" w:fill="auto"/>
            <w:vAlign w:val="center"/>
          </w:tcPr>
          <w:p w:rsidR="00E161F5" w:rsidRPr="00E161F5" w:rsidRDefault="008D3F14" w:rsidP="007B1695">
            <w:pPr>
              <w:pStyle w:val="TableText"/>
              <w:jc w:val="center"/>
            </w:pPr>
            <w:r>
              <w:t>14 (17)</w:t>
            </w:r>
          </w:p>
        </w:tc>
        <w:tc>
          <w:tcPr>
            <w:tcW w:w="886" w:type="dxa"/>
            <w:shd w:val="clear" w:color="auto" w:fill="auto"/>
            <w:vAlign w:val="center"/>
          </w:tcPr>
          <w:p w:rsidR="00E161F5" w:rsidRPr="00E161F5" w:rsidRDefault="00CB77E2" w:rsidP="007B1695">
            <w:pPr>
              <w:pStyle w:val="TableText"/>
              <w:jc w:val="center"/>
            </w:pPr>
            <w:r>
              <w:t>38 (14)</w:t>
            </w:r>
          </w:p>
        </w:tc>
        <w:tc>
          <w:tcPr>
            <w:tcW w:w="885" w:type="dxa"/>
            <w:shd w:val="clear" w:color="auto" w:fill="auto"/>
            <w:vAlign w:val="center"/>
          </w:tcPr>
          <w:p w:rsidR="00E161F5" w:rsidRPr="00E161F5" w:rsidRDefault="000A1C29" w:rsidP="007B1695">
            <w:pPr>
              <w:pStyle w:val="TableText"/>
              <w:jc w:val="center"/>
            </w:pPr>
            <w:r>
              <w:t>19 (13)</w:t>
            </w:r>
          </w:p>
        </w:tc>
        <w:tc>
          <w:tcPr>
            <w:tcW w:w="886" w:type="dxa"/>
            <w:shd w:val="clear" w:color="auto" w:fill="auto"/>
            <w:vAlign w:val="center"/>
          </w:tcPr>
          <w:p w:rsidR="00E161F5" w:rsidRPr="00E161F5" w:rsidRDefault="000A1C29" w:rsidP="007B1695">
            <w:pPr>
              <w:pStyle w:val="TableText"/>
              <w:jc w:val="center"/>
            </w:pPr>
            <w:r>
              <w:t>24 (18)</w:t>
            </w:r>
          </w:p>
        </w:tc>
        <w:tc>
          <w:tcPr>
            <w:tcW w:w="886" w:type="dxa"/>
            <w:shd w:val="clear" w:color="auto" w:fill="auto"/>
            <w:vAlign w:val="center"/>
          </w:tcPr>
          <w:p w:rsidR="00E161F5" w:rsidRPr="00E161F5" w:rsidRDefault="000A1C29" w:rsidP="007B1695">
            <w:pPr>
              <w:pStyle w:val="TableText"/>
              <w:jc w:val="center"/>
            </w:pPr>
            <w:r>
              <w:t>73 (15)</w:t>
            </w:r>
          </w:p>
        </w:tc>
      </w:tr>
      <w:tr w:rsidR="007B1695" w:rsidRPr="00E161F5" w:rsidTr="007B1695">
        <w:tc>
          <w:tcPr>
            <w:tcW w:w="2126" w:type="dxa"/>
            <w:shd w:val="clear" w:color="auto" w:fill="auto"/>
          </w:tcPr>
          <w:p w:rsidR="00E161F5" w:rsidRDefault="007612EE" w:rsidP="00E161F5">
            <w:pPr>
              <w:pStyle w:val="TableText"/>
            </w:pPr>
            <w:r>
              <w:t>My doctor doesn’t bulk-</w:t>
            </w:r>
            <w:r w:rsidR="00E161F5">
              <w:t>bill</w:t>
            </w:r>
          </w:p>
        </w:tc>
        <w:tc>
          <w:tcPr>
            <w:tcW w:w="885" w:type="dxa"/>
            <w:shd w:val="clear" w:color="auto" w:fill="auto"/>
            <w:vAlign w:val="center"/>
          </w:tcPr>
          <w:p w:rsidR="00E161F5" w:rsidRPr="00E161F5" w:rsidRDefault="00EB572A" w:rsidP="007B1695">
            <w:pPr>
              <w:pStyle w:val="TableText"/>
              <w:jc w:val="center"/>
            </w:pPr>
            <w:r>
              <w:t>3 (8)</w:t>
            </w:r>
          </w:p>
        </w:tc>
        <w:tc>
          <w:tcPr>
            <w:tcW w:w="886" w:type="dxa"/>
            <w:shd w:val="clear" w:color="auto" w:fill="auto"/>
            <w:vAlign w:val="center"/>
          </w:tcPr>
          <w:p w:rsidR="00E161F5" w:rsidRPr="00E161F5" w:rsidRDefault="00EB572A" w:rsidP="007B1695">
            <w:pPr>
              <w:pStyle w:val="TableText"/>
              <w:jc w:val="center"/>
            </w:pPr>
            <w:r>
              <w:t>14 (11)</w:t>
            </w:r>
          </w:p>
        </w:tc>
        <w:tc>
          <w:tcPr>
            <w:tcW w:w="885" w:type="dxa"/>
            <w:shd w:val="clear" w:color="auto" w:fill="auto"/>
            <w:vAlign w:val="center"/>
          </w:tcPr>
          <w:p w:rsidR="00E161F5" w:rsidRPr="00E161F5" w:rsidRDefault="008D3F14" w:rsidP="007B1695">
            <w:pPr>
              <w:pStyle w:val="TableText"/>
              <w:jc w:val="center"/>
            </w:pPr>
            <w:r>
              <w:t>11 (13)</w:t>
            </w:r>
          </w:p>
        </w:tc>
        <w:tc>
          <w:tcPr>
            <w:tcW w:w="886" w:type="dxa"/>
            <w:shd w:val="clear" w:color="auto" w:fill="auto"/>
            <w:vAlign w:val="center"/>
          </w:tcPr>
          <w:p w:rsidR="00E161F5" w:rsidRPr="00E161F5" w:rsidRDefault="00CB77E2" w:rsidP="007B1695">
            <w:pPr>
              <w:pStyle w:val="TableText"/>
              <w:jc w:val="center"/>
            </w:pPr>
            <w:r>
              <w:t>43 (16)</w:t>
            </w:r>
          </w:p>
        </w:tc>
        <w:tc>
          <w:tcPr>
            <w:tcW w:w="885" w:type="dxa"/>
            <w:shd w:val="clear" w:color="auto" w:fill="auto"/>
            <w:vAlign w:val="center"/>
          </w:tcPr>
          <w:p w:rsidR="00E161F5" w:rsidRPr="00E161F5" w:rsidRDefault="000A1C29" w:rsidP="007B1695">
            <w:pPr>
              <w:pStyle w:val="TableText"/>
              <w:jc w:val="center"/>
            </w:pPr>
            <w:r>
              <w:t>53 (14)</w:t>
            </w:r>
          </w:p>
        </w:tc>
        <w:tc>
          <w:tcPr>
            <w:tcW w:w="886" w:type="dxa"/>
            <w:shd w:val="clear" w:color="auto" w:fill="auto"/>
            <w:vAlign w:val="center"/>
          </w:tcPr>
          <w:p w:rsidR="00E161F5" w:rsidRPr="00E161F5" w:rsidRDefault="000A1C29" w:rsidP="007B1695">
            <w:pPr>
              <w:pStyle w:val="TableText"/>
              <w:jc w:val="center"/>
            </w:pPr>
            <w:r>
              <w:t>18 (13)</w:t>
            </w:r>
          </w:p>
        </w:tc>
        <w:tc>
          <w:tcPr>
            <w:tcW w:w="886" w:type="dxa"/>
            <w:shd w:val="clear" w:color="auto" w:fill="auto"/>
            <w:vAlign w:val="center"/>
          </w:tcPr>
          <w:p w:rsidR="00E161F5" w:rsidRPr="00E161F5" w:rsidRDefault="000A1C29" w:rsidP="007B1695">
            <w:pPr>
              <w:pStyle w:val="TableText"/>
              <w:jc w:val="center"/>
            </w:pPr>
            <w:r>
              <w:t>71 (14)</w:t>
            </w:r>
          </w:p>
        </w:tc>
      </w:tr>
      <w:tr w:rsidR="007B1695" w:rsidRPr="00E161F5" w:rsidTr="007B1695">
        <w:tc>
          <w:tcPr>
            <w:tcW w:w="2126" w:type="dxa"/>
            <w:shd w:val="clear" w:color="auto" w:fill="auto"/>
          </w:tcPr>
          <w:p w:rsidR="00E161F5" w:rsidRDefault="00E161F5" w:rsidP="00E161F5">
            <w:pPr>
              <w:pStyle w:val="TableText"/>
            </w:pPr>
            <w:r>
              <w:t>I feel embarrassed talking about my sex life to the doctor or nurse</w:t>
            </w:r>
          </w:p>
        </w:tc>
        <w:tc>
          <w:tcPr>
            <w:tcW w:w="885" w:type="dxa"/>
            <w:shd w:val="clear" w:color="auto" w:fill="auto"/>
            <w:vAlign w:val="center"/>
          </w:tcPr>
          <w:p w:rsidR="00E161F5" w:rsidRPr="00E161F5" w:rsidRDefault="00EB572A" w:rsidP="007B1695">
            <w:pPr>
              <w:pStyle w:val="TableText"/>
              <w:jc w:val="center"/>
            </w:pPr>
            <w:r>
              <w:t>9 (24)</w:t>
            </w:r>
          </w:p>
        </w:tc>
        <w:tc>
          <w:tcPr>
            <w:tcW w:w="886" w:type="dxa"/>
            <w:shd w:val="clear" w:color="auto" w:fill="auto"/>
            <w:vAlign w:val="center"/>
          </w:tcPr>
          <w:p w:rsidR="00E161F5" w:rsidRPr="00E161F5" w:rsidRDefault="00EB572A" w:rsidP="007B1695">
            <w:pPr>
              <w:pStyle w:val="TableText"/>
              <w:jc w:val="center"/>
            </w:pPr>
            <w:r>
              <w:t>21 (17)</w:t>
            </w:r>
          </w:p>
        </w:tc>
        <w:tc>
          <w:tcPr>
            <w:tcW w:w="885" w:type="dxa"/>
            <w:shd w:val="clear" w:color="auto" w:fill="auto"/>
            <w:vAlign w:val="center"/>
          </w:tcPr>
          <w:p w:rsidR="00E161F5" w:rsidRPr="00E161F5" w:rsidRDefault="008D3F14" w:rsidP="007B1695">
            <w:pPr>
              <w:pStyle w:val="TableText"/>
              <w:jc w:val="center"/>
            </w:pPr>
            <w:r>
              <w:t>11 (13)</w:t>
            </w:r>
          </w:p>
        </w:tc>
        <w:tc>
          <w:tcPr>
            <w:tcW w:w="886" w:type="dxa"/>
            <w:shd w:val="clear" w:color="auto" w:fill="auto"/>
            <w:vAlign w:val="center"/>
          </w:tcPr>
          <w:p w:rsidR="00E161F5" w:rsidRPr="00E161F5" w:rsidRDefault="00CB77E2" w:rsidP="007B1695">
            <w:pPr>
              <w:pStyle w:val="TableText"/>
              <w:jc w:val="center"/>
            </w:pPr>
            <w:r>
              <w:t>26 (10)</w:t>
            </w:r>
          </w:p>
        </w:tc>
        <w:tc>
          <w:tcPr>
            <w:tcW w:w="885" w:type="dxa"/>
            <w:shd w:val="clear" w:color="auto" w:fill="auto"/>
            <w:vAlign w:val="center"/>
          </w:tcPr>
          <w:p w:rsidR="00E161F5" w:rsidRPr="00E161F5" w:rsidRDefault="000A1C29" w:rsidP="007B1695">
            <w:pPr>
              <w:pStyle w:val="TableText"/>
              <w:jc w:val="center"/>
            </w:pPr>
            <w:r>
              <w:t>50 (13)</w:t>
            </w:r>
          </w:p>
        </w:tc>
        <w:tc>
          <w:tcPr>
            <w:tcW w:w="886" w:type="dxa"/>
            <w:shd w:val="clear" w:color="auto" w:fill="auto"/>
            <w:vAlign w:val="center"/>
          </w:tcPr>
          <w:p w:rsidR="00E161F5" w:rsidRPr="00E161F5" w:rsidRDefault="000A1C29" w:rsidP="007B1695">
            <w:pPr>
              <w:pStyle w:val="TableText"/>
              <w:jc w:val="center"/>
            </w:pPr>
            <w:r>
              <w:t>17 (13)</w:t>
            </w:r>
          </w:p>
        </w:tc>
        <w:tc>
          <w:tcPr>
            <w:tcW w:w="886" w:type="dxa"/>
            <w:shd w:val="clear" w:color="auto" w:fill="auto"/>
            <w:vAlign w:val="center"/>
          </w:tcPr>
          <w:p w:rsidR="00E161F5" w:rsidRPr="00E161F5" w:rsidRDefault="000A1C29" w:rsidP="007B1695">
            <w:pPr>
              <w:pStyle w:val="TableText"/>
              <w:jc w:val="center"/>
            </w:pPr>
            <w:r>
              <w:t>67 (13)</w:t>
            </w:r>
          </w:p>
        </w:tc>
      </w:tr>
      <w:tr w:rsidR="007B1695" w:rsidRPr="00E161F5" w:rsidTr="007B1695">
        <w:tc>
          <w:tcPr>
            <w:tcW w:w="2126" w:type="dxa"/>
            <w:shd w:val="clear" w:color="auto" w:fill="D9D9D9"/>
          </w:tcPr>
          <w:p w:rsidR="00E161F5" w:rsidRDefault="00E161F5" w:rsidP="00E161F5">
            <w:pPr>
              <w:pStyle w:val="TableText"/>
            </w:pPr>
            <w:r>
              <w:t>I don’t like needles</w:t>
            </w:r>
          </w:p>
        </w:tc>
        <w:tc>
          <w:tcPr>
            <w:tcW w:w="885" w:type="dxa"/>
            <w:shd w:val="clear" w:color="auto" w:fill="D9D9D9"/>
            <w:vAlign w:val="center"/>
          </w:tcPr>
          <w:p w:rsidR="00E161F5" w:rsidRPr="00E161F5" w:rsidRDefault="00EB572A" w:rsidP="007B1695">
            <w:pPr>
              <w:pStyle w:val="TableText"/>
              <w:jc w:val="center"/>
            </w:pPr>
            <w:r>
              <w:t>8 (22)</w:t>
            </w:r>
          </w:p>
        </w:tc>
        <w:tc>
          <w:tcPr>
            <w:tcW w:w="886" w:type="dxa"/>
            <w:shd w:val="clear" w:color="auto" w:fill="D9D9D9"/>
            <w:vAlign w:val="center"/>
          </w:tcPr>
          <w:p w:rsidR="00E161F5" w:rsidRPr="00E161F5" w:rsidRDefault="00EB572A" w:rsidP="007B1695">
            <w:pPr>
              <w:pStyle w:val="TableText"/>
              <w:jc w:val="center"/>
            </w:pPr>
            <w:r>
              <w:t>15 (12)</w:t>
            </w:r>
          </w:p>
        </w:tc>
        <w:tc>
          <w:tcPr>
            <w:tcW w:w="885" w:type="dxa"/>
            <w:shd w:val="clear" w:color="auto" w:fill="D9D9D9"/>
            <w:vAlign w:val="center"/>
          </w:tcPr>
          <w:p w:rsidR="00E161F5" w:rsidRPr="00E161F5" w:rsidRDefault="008D3F14" w:rsidP="007B1695">
            <w:pPr>
              <w:pStyle w:val="TableText"/>
              <w:jc w:val="center"/>
            </w:pPr>
            <w:r>
              <w:t>10 (12)</w:t>
            </w:r>
          </w:p>
        </w:tc>
        <w:tc>
          <w:tcPr>
            <w:tcW w:w="886" w:type="dxa"/>
            <w:shd w:val="clear" w:color="auto" w:fill="D9D9D9"/>
            <w:vAlign w:val="center"/>
          </w:tcPr>
          <w:p w:rsidR="00E161F5" w:rsidRPr="00E161F5" w:rsidRDefault="00CB77E2" w:rsidP="007B1695">
            <w:pPr>
              <w:pStyle w:val="TableText"/>
              <w:jc w:val="center"/>
            </w:pPr>
            <w:r>
              <w:t>33 (12)</w:t>
            </w:r>
          </w:p>
        </w:tc>
        <w:tc>
          <w:tcPr>
            <w:tcW w:w="885" w:type="dxa"/>
            <w:shd w:val="clear" w:color="auto" w:fill="D9D9D9"/>
            <w:vAlign w:val="center"/>
          </w:tcPr>
          <w:p w:rsidR="00E161F5" w:rsidRPr="00E161F5" w:rsidRDefault="000A1C29" w:rsidP="007B1695">
            <w:pPr>
              <w:pStyle w:val="TableText"/>
              <w:jc w:val="center"/>
            </w:pPr>
            <w:r>
              <w:t>49 (13)</w:t>
            </w:r>
          </w:p>
        </w:tc>
        <w:tc>
          <w:tcPr>
            <w:tcW w:w="886" w:type="dxa"/>
            <w:shd w:val="clear" w:color="auto" w:fill="D9D9D9"/>
            <w:vAlign w:val="center"/>
          </w:tcPr>
          <w:p w:rsidR="00E161F5" w:rsidRPr="00E161F5" w:rsidRDefault="000A1C29" w:rsidP="007B1695">
            <w:pPr>
              <w:pStyle w:val="TableText"/>
              <w:jc w:val="center"/>
            </w:pPr>
            <w:r>
              <w:t>17 (13)</w:t>
            </w:r>
          </w:p>
        </w:tc>
        <w:tc>
          <w:tcPr>
            <w:tcW w:w="886" w:type="dxa"/>
            <w:shd w:val="clear" w:color="auto" w:fill="D9D9D9"/>
            <w:vAlign w:val="center"/>
          </w:tcPr>
          <w:p w:rsidR="00E161F5" w:rsidRPr="00E161F5" w:rsidRDefault="000A1C29" w:rsidP="007B1695">
            <w:pPr>
              <w:pStyle w:val="TableText"/>
              <w:jc w:val="center"/>
            </w:pPr>
            <w:r>
              <w:t>66 (13)</w:t>
            </w:r>
          </w:p>
        </w:tc>
      </w:tr>
      <w:tr w:rsidR="007B1695" w:rsidRPr="00E161F5" w:rsidTr="007B1695">
        <w:tc>
          <w:tcPr>
            <w:tcW w:w="2126" w:type="dxa"/>
            <w:shd w:val="clear" w:color="auto" w:fill="auto"/>
          </w:tcPr>
          <w:p w:rsidR="00E161F5" w:rsidRDefault="00E161F5" w:rsidP="00E161F5">
            <w:pPr>
              <w:pStyle w:val="TableText"/>
            </w:pPr>
            <w:r>
              <w:t>I am afraid to get tested</w:t>
            </w:r>
          </w:p>
        </w:tc>
        <w:tc>
          <w:tcPr>
            <w:tcW w:w="885" w:type="dxa"/>
            <w:shd w:val="clear" w:color="auto" w:fill="auto"/>
            <w:vAlign w:val="center"/>
          </w:tcPr>
          <w:p w:rsidR="00E161F5" w:rsidRPr="00E161F5" w:rsidRDefault="00EB572A" w:rsidP="007B1695">
            <w:pPr>
              <w:pStyle w:val="TableText"/>
              <w:jc w:val="center"/>
            </w:pPr>
            <w:r>
              <w:t>4 (11)</w:t>
            </w:r>
          </w:p>
        </w:tc>
        <w:tc>
          <w:tcPr>
            <w:tcW w:w="886" w:type="dxa"/>
            <w:shd w:val="clear" w:color="auto" w:fill="auto"/>
            <w:vAlign w:val="center"/>
          </w:tcPr>
          <w:p w:rsidR="00E161F5" w:rsidRPr="00E161F5" w:rsidRDefault="00EB572A" w:rsidP="007B1695">
            <w:pPr>
              <w:pStyle w:val="TableText"/>
              <w:jc w:val="center"/>
            </w:pPr>
            <w:r>
              <w:t>14 (11)</w:t>
            </w:r>
          </w:p>
        </w:tc>
        <w:tc>
          <w:tcPr>
            <w:tcW w:w="885" w:type="dxa"/>
            <w:shd w:val="clear" w:color="auto" w:fill="auto"/>
            <w:vAlign w:val="center"/>
          </w:tcPr>
          <w:p w:rsidR="00E161F5" w:rsidRPr="00E161F5" w:rsidRDefault="008D3F14" w:rsidP="007B1695">
            <w:pPr>
              <w:pStyle w:val="TableText"/>
              <w:jc w:val="center"/>
            </w:pPr>
            <w:r>
              <w:t>12 (14)</w:t>
            </w:r>
          </w:p>
        </w:tc>
        <w:tc>
          <w:tcPr>
            <w:tcW w:w="886" w:type="dxa"/>
            <w:shd w:val="clear" w:color="auto" w:fill="auto"/>
            <w:vAlign w:val="center"/>
          </w:tcPr>
          <w:p w:rsidR="00E161F5" w:rsidRPr="00E161F5" w:rsidRDefault="00CB77E2" w:rsidP="007B1695">
            <w:pPr>
              <w:pStyle w:val="TableText"/>
              <w:jc w:val="center"/>
            </w:pPr>
            <w:r>
              <w:t>30 (11)</w:t>
            </w:r>
          </w:p>
        </w:tc>
        <w:tc>
          <w:tcPr>
            <w:tcW w:w="885" w:type="dxa"/>
            <w:shd w:val="clear" w:color="auto" w:fill="auto"/>
            <w:vAlign w:val="center"/>
          </w:tcPr>
          <w:p w:rsidR="00E161F5" w:rsidRPr="00E161F5" w:rsidRDefault="000A1C29" w:rsidP="007B1695">
            <w:pPr>
              <w:pStyle w:val="TableText"/>
              <w:jc w:val="center"/>
            </w:pPr>
            <w:r>
              <w:t>40 (10)</w:t>
            </w:r>
          </w:p>
        </w:tc>
        <w:tc>
          <w:tcPr>
            <w:tcW w:w="886" w:type="dxa"/>
            <w:shd w:val="clear" w:color="auto" w:fill="auto"/>
            <w:vAlign w:val="center"/>
          </w:tcPr>
          <w:p w:rsidR="00E161F5" w:rsidRPr="00E161F5" w:rsidRDefault="000A1C29" w:rsidP="007B1695">
            <w:pPr>
              <w:pStyle w:val="TableText"/>
              <w:jc w:val="center"/>
            </w:pPr>
            <w:r>
              <w:t>20 (15)</w:t>
            </w:r>
          </w:p>
        </w:tc>
        <w:tc>
          <w:tcPr>
            <w:tcW w:w="886" w:type="dxa"/>
            <w:shd w:val="clear" w:color="auto" w:fill="auto"/>
            <w:vAlign w:val="center"/>
          </w:tcPr>
          <w:p w:rsidR="00E161F5" w:rsidRPr="00E161F5" w:rsidRDefault="000A1C29" w:rsidP="007B1695">
            <w:pPr>
              <w:pStyle w:val="TableText"/>
              <w:jc w:val="center"/>
            </w:pPr>
            <w:r>
              <w:t>60 (12)</w:t>
            </w:r>
          </w:p>
        </w:tc>
      </w:tr>
      <w:tr w:rsidR="007B1695" w:rsidRPr="00E161F5" w:rsidTr="007B1695">
        <w:tc>
          <w:tcPr>
            <w:tcW w:w="2126" w:type="dxa"/>
            <w:shd w:val="clear" w:color="auto" w:fill="auto"/>
          </w:tcPr>
          <w:p w:rsidR="00E161F5" w:rsidRDefault="00E161F5" w:rsidP="00E161F5">
            <w:pPr>
              <w:pStyle w:val="TableText"/>
            </w:pPr>
            <w:r>
              <w:t>I’m afraid of letting other people know if my test shows I have HIV</w:t>
            </w:r>
          </w:p>
        </w:tc>
        <w:tc>
          <w:tcPr>
            <w:tcW w:w="885" w:type="dxa"/>
            <w:shd w:val="clear" w:color="auto" w:fill="auto"/>
            <w:vAlign w:val="center"/>
          </w:tcPr>
          <w:p w:rsidR="00E161F5" w:rsidRPr="00E161F5" w:rsidRDefault="00EB572A" w:rsidP="007B1695">
            <w:pPr>
              <w:pStyle w:val="TableText"/>
              <w:jc w:val="center"/>
            </w:pPr>
            <w:r>
              <w:t>1 (3)</w:t>
            </w:r>
          </w:p>
        </w:tc>
        <w:tc>
          <w:tcPr>
            <w:tcW w:w="886" w:type="dxa"/>
            <w:shd w:val="clear" w:color="auto" w:fill="auto"/>
            <w:vAlign w:val="center"/>
          </w:tcPr>
          <w:p w:rsidR="00E161F5" w:rsidRPr="00E161F5" w:rsidRDefault="00EB572A" w:rsidP="007B1695">
            <w:pPr>
              <w:pStyle w:val="TableText"/>
              <w:jc w:val="center"/>
            </w:pPr>
            <w:r>
              <w:t>14 (11)</w:t>
            </w:r>
          </w:p>
        </w:tc>
        <w:tc>
          <w:tcPr>
            <w:tcW w:w="885" w:type="dxa"/>
            <w:shd w:val="clear" w:color="auto" w:fill="auto"/>
            <w:vAlign w:val="center"/>
          </w:tcPr>
          <w:p w:rsidR="00E161F5" w:rsidRPr="00E161F5" w:rsidRDefault="008D3F14" w:rsidP="007B1695">
            <w:pPr>
              <w:pStyle w:val="TableText"/>
              <w:jc w:val="center"/>
            </w:pPr>
            <w:r>
              <w:t>8 (10)</w:t>
            </w:r>
          </w:p>
        </w:tc>
        <w:tc>
          <w:tcPr>
            <w:tcW w:w="886" w:type="dxa"/>
            <w:shd w:val="clear" w:color="auto" w:fill="auto"/>
            <w:vAlign w:val="center"/>
          </w:tcPr>
          <w:p w:rsidR="00E161F5" w:rsidRPr="00E161F5" w:rsidRDefault="00CB77E2" w:rsidP="007B1695">
            <w:pPr>
              <w:pStyle w:val="TableText"/>
              <w:jc w:val="center"/>
            </w:pPr>
            <w:r>
              <w:t>26 (10)</w:t>
            </w:r>
          </w:p>
        </w:tc>
        <w:tc>
          <w:tcPr>
            <w:tcW w:w="885" w:type="dxa"/>
            <w:shd w:val="clear" w:color="auto" w:fill="auto"/>
            <w:vAlign w:val="center"/>
          </w:tcPr>
          <w:p w:rsidR="00E161F5" w:rsidRPr="00E161F5" w:rsidRDefault="000A1C29" w:rsidP="007B1695">
            <w:pPr>
              <w:pStyle w:val="TableText"/>
              <w:jc w:val="center"/>
            </w:pPr>
            <w:r>
              <w:t>29 (8)</w:t>
            </w:r>
          </w:p>
        </w:tc>
        <w:tc>
          <w:tcPr>
            <w:tcW w:w="886" w:type="dxa"/>
            <w:shd w:val="clear" w:color="auto" w:fill="auto"/>
            <w:vAlign w:val="center"/>
          </w:tcPr>
          <w:p w:rsidR="00E161F5" w:rsidRPr="00E161F5" w:rsidRDefault="000A1C29" w:rsidP="007B1695">
            <w:pPr>
              <w:pStyle w:val="TableText"/>
              <w:jc w:val="center"/>
            </w:pPr>
            <w:r>
              <w:t>20 (15)</w:t>
            </w:r>
          </w:p>
        </w:tc>
        <w:tc>
          <w:tcPr>
            <w:tcW w:w="886" w:type="dxa"/>
            <w:shd w:val="clear" w:color="auto" w:fill="auto"/>
            <w:vAlign w:val="center"/>
          </w:tcPr>
          <w:p w:rsidR="00E161F5" w:rsidRPr="00E161F5" w:rsidRDefault="000A1C29" w:rsidP="007B1695">
            <w:pPr>
              <w:pStyle w:val="TableText"/>
              <w:jc w:val="center"/>
            </w:pPr>
            <w:r>
              <w:t>49 (9)</w:t>
            </w:r>
          </w:p>
        </w:tc>
      </w:tr>
      <w:tr w:rsidR="007B1695" w:rsidRPr="00E161F5" w:rsidTr="007B1695">
        <w:tc>
          <w:tcPr>
            <w:tcW w:w="2126" w:type="dxa"/>
            <w:shd w:val="clear" w:color="auto" w:fill="auto"/>
          </w:tcPr>
          <w:p w:rsidR="00E161F5" w:rsidRDefault="00E161F5" w:rsidP="00E161F5">
            <w:pPr>
              <w:pStyle w:val="TableText"/>
            </w:pPr>
            <w:r>
              <w:t>I don’t have a doctor I can trust</w:t>
            </w:r>
          </w:p>
        </w:tc>
        <w:tc>
          <w:tcPr>
            <w:tcW w:w="885" w:type="dxa"/>
            <w:shd w:val="clear" w:color="auto" w:fill="auto"/>
            <w:vAlign w:val="center"/>
          </w:tcPr>
          <w:p w:rsidR="00E161F5" w:rsidRPr="00E161F5" w:rsidRDefault="00EB572A" w:rsidP="007B1695">
            <w:pPr>
              <w:pStyle w:val="TableText"/>
              <w:jc w:val="center"/>
            </w:pPr>
            <w:r>
              <w:t>4 (11)</w:t>
            </w:r>
          </w:p>
        </w:tc>
        <w:tc>
          <w:tcPr>
            <w:tcW w:w="886" w:type="dxa"/>
            <w:shd w:val="clear" w:color="auto" w:fill="auto"/>
            <w:vAlign w:val="center"/>
          </w:tcPr>
          <w:p w:rsidR="00E161F5" w:rsidRPr="00E161F5" w:rsidRDefault="00EB572A" w:rsidP="007B1695">
            <w:pPr>
              <w:pStyle w:val="TableText"/>
              <w:jc w:val="center"/>
            </w:pPr>
            <w:r>
              <w:t>13 (11)</w:t>
            </w:r>
          </w:p>
        </w:tc>
        <w:tc>
          <w:tcPr>
            <w:tcW w:w="885" w:type="dxa"/>
            <w:shd w:val="clear" w:color="auto" w:fill="auto"/>
            <w:vAlign w:val="center"/>
          </w:tcPr>
          <w:p w:rsidR="00E161F5" w:rsidRPr="00E161F5" w:rsidRDefault="008D3F14" w:rsidP="007B1695">
            <w:pPr>
              <w:pStyle w:val="TableText"/>
              <w:jc w:val="center"/>
            </w:pPr>
            <w:r>
              <w:t>7 (9)</w:t>
            </w:r>
          </w:p>
        </w:tc>
        <w:tc>
          <w:tcPr>
            <w:tcW w:w="886" w:type="dxa"/>
            <w:shd w:val="clear" w:color="auto" w:fill="auto"/>
            <w:vAlign w:val="center"/>
          </w:tcPr>
          <w:p w:rsidR="00E161F5" w:rsidRPr="00E161F5" w:rsidRDefault="00CB77E2" w:rsidP="007B1695">
            <w:pPr>
              <w:pStyle w:val="TableText"/>
              <w:jc w:val="center"/>
            </w:pPr>
            <w:r>
              <w:t>17 (6)</w:t>
            </w:r>
          </w:p>
        </w:tc>
        <w:tc>
          <w:tcPr>
            <w:tcW w:w="885" w:type="dxa"/>
            <w:shd w:val="clear" w:color="auto" w:fill="auto"/>
            <w:vAlign w:val="center"/>
          </w:tcPr>
          <w:p w:rsidR="00E161F5" w:rsidRPr="00E161F5" w:rsidRDefault="000A1C29" w:rsidP="007B1695">
            <w:pPr>
              <w:pStyle w:val="TableText"/>
              <w:jc w:val="center"/>
            </w:pPr>
            <w:r>
              <w:t>28 (7)</w:t>
            </w:r>
          </w:p>
        </w:tc>
        <w:tc>
          <w:tcPr>
            <w:tcW w:w="886" w:type="dxa"/>
            <w:shd w:val="clear" w:color="auto" w:fill="auto"/>
            <w:vAlign w:val="center"/>
          </w:tcPr>
          <w:p w:rsidR="00E161F5" w:rsidRPr="00E161F5" w:rsidRDefault="000A1C29" w:rsidP="007B1695">
            <w:pPr>
              <w:pStyle w:val="TableText"/>
              <w:jc w:val="center"/>
            </w:pPr>
            <w:r>
              <w:t>13 (10)</w:t>
            </w:r>
          </w:p>
        </w:tc>
        <w:tc>
          <w:tcPr>
            <w:tcW w:w="886" w:type="dxa"/>
            <w:shd w:val="clear" w:color="auto" w:fill="auto"/>
            <w:vAlign w:val="center"/>
          </w:tcPr>
          <w:p w:rsidR="00E161F5" w:rsidRPr="00E161F5" w:rsidRDefault="000A1C29" w:rsidP="007B1695">
            <w:pPr>
              <w:pStyle w:val="TableText"/>
              <w:jc w:val="center"/>
            </w:pPr>
            <w:r>
              <w:t>41 (8)</w:t>
            </w:r>
          </w:p>
        </w:tc>
      </w:tr>
      <w:tr w:rsidR="007B1695" w:rsidRPr="00E161F5" w:rsidTr="007B1695">
        <w:tc>
          <w:tcPr>
            <w:tcW w:w="2126" w:type="dxa"/>
            <w:shd w:val="clear" w:color="auto" w:fill="auto"/>
          </w:tcPr>
          <w:p w:rsidR="00EB572A" w:rsidRDefault="00EB572A" w:rsidP="00E161F5">
            <w:pPr>
              <w:pStyle w:val="TableText"/>
            </w:pPr>
            <w:r>
              <w:t>I don’t want to know</w:t>
            </w:r>
          </w:p>
        </w:tc>
        <w:tc>
          <w:tcPr>
            <w:tcW w:w="885" w:type="dxa"/>
            <w:shd w:val="clear" w:color="auto" w:fill="auto"/>
            <w:vAlign w:val="center"/>
          </w:tcPr>
          <w:p w:rsidR="00EB572A" w:rsidRPr="00E161F5" w:rsidRDefault="00EB572A" w:rsidP="007B1695">
            <w:pPr>
              <w:pStyle w:val="TableText"/>
              <w:jc w:val="center"/>
            </w:pPr>
            <w:r>
              <w:t>0 (0)</w:t>
            </w:r>
          </w:p>
        </w:tc>
        <w:tc>
          <w:tcPr>
            <w:tcW w:w="886" w:type="dxa"/>
            <w:shd w:val="clear" w:color="auto" w:fill="auto"/>
            <w:vAlign w:val="center"/>
          </w:tcPr>
          <w:p w:rsidR="00EB572A" w:rsidRPr="00E161F5" w:rsidRDefault="00EB572A" w:rsidP="007B1695">
            <w:pPr>
              <w:pStyle w:val="TableText"/>
              <w:jc w:val="center"/>
            </w:pPr>
            <w:r>
              <w:t>11 (9)</w:t>
            </w:r>
          </w:p>
        </w:tc>
        <w:tc>
          <w:tcPr>
            <w:tcW w:w="885" w:type="dxa"/>
            <w:shd w:val="clear" w:color="auto" w:fill="auto"/>
            <w:vAlign w:val="center"/>
          </w:tcPr>
          <w:p w:rsidR="00EB572A" w:rsidRPr="00E161F5" w:rsidRDefault="008D3F14" w:rsidP="007B1695">
            <w:pPr>
              <w:pStyle w:val="TableText"/>
              <w:jc w:val="center"/>
            </w:pPr>
            <w:r>
              <w:t>7 (9)</w:t>
            </w:r>
          </w:p>
        </w:tc>
        <w:tc>
          <w:tcPr>
            <w:tcW w:w="886" w:type="dxa"/>
            <w:shd w:val="clear" w:color="auto" w:fill="auto"/>
            <w:vAlign w:val="center"/>
          </w:tcPr>
          <w:p w:rsidR="00EB572A" w:rsidRPr="00E161F5" w:rsidRDefault="00CB77E2" w:rsidP="007B1695">
            <w:pPr>
              <w:pStyle w:val="TableText"/>
              <w:jc w:val="center"/>
            </w:pPr>
            <w:r>
              <w:t>13 (5)</w:t>
            </w:r>
          </w:p>
        </w:tc>
        <w:tc>
          <w:tcPr>
            <w:tcW w:w="885" w:type="dxa"/>
            <w:shd w:val="clear" w:color="auto" w:fill="auto"/>
            <w:vAlign w:val="center"/>
          </w:tcPr>
          <w:p w:rsidR="00EB572A" w:rsidRPr="00E161F5" w:rsidRDefault="000A1C29" w:rsidP="007B1695">
            <w:pPr>
              <w:pStyle w:val="TableText"/>
              <w:jc w:val="center"/>
            </w:pPr>
            <w:r>
              <w:t>19 (5)</w:t>
            </w:r>
          </w:p>
        </w:tc>
        <w:tc>
          <w:tcPr>
            <w:tcW w:w="886" w:type="dxa"/>
            <w:shd w:val="clear" w:color="auto" w:fill="auto"/>
            <w:vAlign w:val="center"/>
          </w:tcPr>
          <w:p w:rsidR="00EB572A" w:rsidRPr="00E161F5" w:rsidRDefault="000A1C29" w:rsidP="007B1695">
            <w:pPr>
              <w:pStyle w:val="TableText"/>
              <w:jc w:val="center"/>
            </w:pPr>
            <w:r>
              <w:t>12 (9)</w:t>
            </w:r>
          </w:p>
        </w:tc>
        <w:tc>
          <w:tcPr>
            <w:tcW w:w="886" w:type="dxa"/>
            <w:shd w:val="clear" w:color="auto" w:fill="auto"/>
            <w:vAlign w:val="center"/>
          </w:tcPr>
          <w:p w:rsidR="00EB572A" w:rsidRPr="00E161F5" w:rsidRDefault="000A1C29" w:rsidP="007B1695">
            <w:pPr>
              <w:pStyle w:val="TableText"/>
              <w:jc w:val="center"/>
            </w:pPr>
            <w:r>
              <w:t>31 (6)</w:t>
            </w:r>
          </w:p>
        </w:tc>
      </w:tr>
      <w:tr w:rsidR="007B1695" w:rsidRPr="00E161F5" w:rsidTr="007B1695">
        <w:tc>
          <w:tcPr>
            <w:tcW w:w="2126" w:type="dxa"/>
            <w:shd w:val="clear" w:color="auto" w:fill="auto"/>
          </w:tcPr>
          <w:p w:rsidR="00EB572A" w:rsidRDefault="00EB572A" w:rsidP="00E161F5">
            <w:pPr>
              <w:pStyle w:val="TableText"/>
            </w:pPr>
            <w:r>
              <w:t>I don’t want to have to tell my partners if my test shows I have HIV</w:t>
            </w:r>
          </w:p>
        </w:tc>
        <w:tc>
          <w:tcPr>
            <w:tcW w:w="885" w:type="dxa"/>
            <w:shd w:val="clear" w:color="auto" w:fill="auto"/>
            <w:vAlign w:val="center"/>
          </w:tcPr>
          <w:p w:rsidR="00EB572A" w:rsidRPr="00E161F5" w:rsidRDefault="00EB572A" w:rsidP="007B1695">
            <w:pPr>
              <w:pStyle w:val="TableText"/>
              <w:jc w:val="center"/>
            </w:pPr>
            <w:r>
              <w:t>0 (0)</w:t>
            </w:r>
          </w:p>
        </w:tc>
        <w:tc>
          <w:tcPr>
            <w:tcW w:w="886" w:type="dxa"/>
            <w:shd w:val="clear" w:color="auto" w:fill="auto"/>
            <w:vAlign w:val="center"/>
          </w:tcPr>
          <w:p w:rsidR="00EB572A" w:rsidRPr="00E161F5" w:rsidRDefault="00EB572A" w:rsidP="007B1695">
            <w:pPr>
              <w:pStyle w:val="TableText"/>
              <w:jc w:val="center"/>
            </w:pPr>
            <w:r>
              <w:t>9 (7)</w:t>
            </w:r>
          </w:p>
        </w:tc>
        <w:tc>
          <w:tcPr>
            <w:tcW w:w="885" w:type="dxa"/>
            <w:shd w:val="clear" w:color="auto" w:fill="auto"/>
            <w:vAlign w:val="center"/>
          </w:tcPr>
          <w:p w:rsidR="00EB572A" w:rsidRPr="00E161F5" w:rsidRDefault="008D3F14" w:rsidP="007B1695">
            <w:pPr>
              <w:pStyle w:val="TableText"/>
              <w:jc w:val="center"/>
            </w:pPr>
            <w:r>
              <w:t>6 (7)</w:t>
            </w:r>
          </w:p>
        </w:tc>
        <w:tc>
          <w:tcPr>
            <w:tcW w:w="886" w:type="dxa"/>
            <w:shd w:val="clear" w:color="auto" w:fill="auto"/>
            <w:vAlign w:val="center"/>
          </w:tcPr>
          <w:p w:rsidR="00EB572A" w:rsidRPr="00E161F5" w:rsidRDefault="00CB77E2" w:rsidP="007B1695">
            <w:pPr>
              <w:pStyle w:val="TableText"/>
              <w:jc w:val="center"/>
            </w:pPr>
            <w:r>
              <w:t>15 (6)</w:t>
            </w:r>
          </w:p>
        </w:tc>
        <w:tc>
          <w:tcPr>
            <w:tcW w:w="885" w:type="dxa"/>
            <w:shd w:val="clear" w:color="auto" w:fill="auto"/>
            <w:vAlign w:val="center"/>
          </w:tcPr>
          <w:p w:rsidR="00EB572A" w:rsidRPr="00E161F5" w:rsidRDefault="000A1C29" w:rsidP="007B1695">
            <w:pPr>
              <w:pStyle w:val="TableText"/>
              <w:jc w:val="center"/>
            </w:pPr>
            <w:r>
              <w:t>19 (5)</w:t>
            </w:r>
          </w:p>
        </w:tc>
        <w:tc>
          <w:tcPr>
            <w:tcW w:w="886" w:type="dxa"/>
            <w:shd w:val="clear" w:color="auto" w:fill="auto"/>
            <w:vAlign w:val="center"/>
          </w:tcPr>
          <w:p w:rsidR="00EB572A" w:rsidRPr="00E161F5" w:rsidRDefault="000A1C29" w:rsidP="007B1695">
            <w:pPr>
              <w:pStyle w:val="TableText"/>
              <w:jc w:val="center"/>
            </w:pPr>
            <w:r>
              <w:t>11 (8)</w:t>
            </w:r>
          </w:p>
        </w:tc>
        <w:tc>
          <w:tcPr>
            <w:tcW w:w="886" w:type="dxa"/>
            <w:shd w:val="clear" w:color="auto" w:fill="auto"/>
            <w:vAlign w:val="center"/>
          </w:tcPr>
          <w:p w:rsidR="00EB572A" w:rsidRPr="00E161F5" w:rsidRDefault="000A1C29" w:rsidP="007B1695">
            <w:pPr>
              <w:pStyle w:val="TableText"/>
              <w:jc w:val="center"/>
            </w:pPr>
            <w:r>
              <w:t>30 (6)</w:t>
            </w:r>
          </w:p>
        </w:tc>
      </w:tr>
      <w:tr w:rsidR="007B1695" w:rsidRPr="00E161F5" w:rsidTr="007B1695">
        <w:tc>
          <w:tcPr>
            <w:tcW w:w="2126" w:type="dxa"/>
            <w:shd w:val="clear" w:color="auto" w:fill="auto"/>
          </w:tcPr>
          <w:p w:rsidR="00EB572A" w:rsidRDefault="00EB572A" w:rsidP="00E161F5">
            <w:pPr>
              <w:pStyle w:val="TableText"/>
            </w:pPr>
            <w:r>
              <w:t>My doctor doesn’t suggest it</w:t>
            </w:r>
          </w:p>
        </w:tc>
        <w:tc>
          <w:tcPr>
            <w:tcW w:w="885" w:type="dxa"/>
            <w:shd w:val="clear" w:color="auto" w:fill="auto"/>
            <w:vAlign w:val="center"/>
          </w:tcPr>
          <w:p w:rsidR="00EB572A" w:rsidRPr="00E161F5" w:rsidRDefault="00EB572A" w:rsidP="007B1695">
            <w:pPr>
              <w:pStyle w:val="TableText"/>
              <w:jc w:val="center"/>
            </w:pPr>
            <w:r>
              <w:t>2 (5)</w:t>
            </w:r>
          </w:p>
        </w:tc>
        <w:tc>
          <w:tcPr>
            <w:tcW w:w="886" w:type="dxa"/>
            <w:shd w:val="clear" w:color="auto" w:fill="auto"/>
            <w:vAlign w:val="center"/>
          </w:tcPr>
          <w:p w:rsidR="00EB572A" w:rsidRPr="00E161F5" w:rsidRDefault="00EB572A" w:rsidP="007B1695">
            <w:pPr>
              <w:pStyle w:val="TableText"/>
              <w:jc w:val="center"/>
            </w:pPr>
            <w:r>
              <w:t>11 (9)</w:t>
            </w:r>
          </w:p>
        </w:tc>
        <w:tc>
          <w:tcPr>
            <w:tcW w:w="885" w:type="dxa"/>
            <w:shd w:val="clear" w:color="auto" w:fill="auto"/>
            <w:vAlign w:val="center"/>
          </w:tcPr>
          <w:p w:rsidR="00EB572A" w:rsidRPr="00E161F5" w:rsidRDefault="008D3F14" w:rsidP="007B1695">
            <w:pPr>
              <w:pStyle w:val="TableText"/>
              <w:jc w:val="center"/>
            </w:pPr>
            <w:r>
              <w:t>5 (6)</w:t>
            </w:r>
          </w:p>
        </w:tc>
        <w:tc>
          <w:tcPr>
            <w:tcW w:w="886" w:type="dxa"/>
            <w:shd w:val="clear" w:color="auto" w:fill="auto"/>
            <w:vAlign w:val="center"/>
          </w:tcPr>
          <w:p w:rsidR="00EB572A" w:rsidRPr="00E161F5" w:rsidRDefault="00CB77E2" w:rsidP="007B1695">
            <w:pPr>
              <w:pStyle w:val="TableText"/>
              <w:jc w:val="center"/>
            </w:pPr>
            <w:r>
              <w:t>10 (4)</w:t>
            </w:r>
          </w:p>
        </w:tc>
        <w:tc>
          <w:tcPr>
            <w:tcW w:w="885" w:type="dxa"/>
            <w:shd w:val="clear" w:color="auto" w:fill="auto"/>
            <w:vAlign w:val="center"/>
          </w:tcPr>
          <w:p w:rsidR="00EB572A" w:rsidRPr="00E161F5" w:rsidRDefault="000A1C29" w:rsidP="007B1695">
            <w:pPr>
              <w:pStyle w:val="TableText"/>
              <w:jc w:val="center"/>
            </w:pPr>
            <w:r>
              <w:t>18 (5)</w:t>
            </w:r>
          </w:p>
        </w:tc>
        <w:tc>
          <w:tcPr>
            <w:tcW w:w="886" w:type="dxa"/>
            <w:shd w:val="clear" w:color="auto" w:fill="auto"/>
            <w:vAlign w:val="center"/>
          </w:tcPr>
          <w:p w:rsidR="00EB572A" w:rsidRPr="00E161F5" w:rsidRDefault="000A1C29" w:rsidP="007B1695">
            <w:pPr>
              <w:pStyle w:val="TableText"/>
              <w:jc w:val="center"/>
            </w:pPr>
            <w:r>
              <w:t>10 (8)</w:t>
            </w:r>
          </w:p>
        </w:tc>
        <w:tc>
          <w:tcPr>
            <w:tcW w:w="886" w:type="dxa"/>
            <w:shd w:val="clear" w:color="auto" w:fill="auto"/>
            <w:vAlign w:val="center"/>
          </w:tcPr>
          <w:p w:rsidR="00EB572A" w:rsidRPr="00E161F5" w:rsidRDefault="000A1C29" w:rsidP="007B1695">
            <w:pPr>
              <w:pStyle w:val="TableText"/>
              <w:jc w:val="center"/>
            </w:pPr>
            <w:r>
              <w:t>28 (5)</w:t>
            </w:r>
          </w:p>
        </w:tc>
      </w:tr>
      <w:tr w:rsidR="007B1695" w:rsidRPr="00E161F5" w:rsidTr="007B1695">
        <w:tc>
          <w:tcPr>
            <w:tcW w:w="2126" w:type="dxa"/>
            <w:shd w:val="clear" w:color="auto" w:fill="auto"/>
          </w:tcPr>
          <w:p w:rsidR="00EB572A" w:rsidRDefault="00EB572A" w:rsidP="00E161F5">
            <w:pPr>
              <w:pStyle w:val="TableText"/>
            </w:pPr>
            <w:r>
              <w:t>Feeling that I’m being asked to get tested too often</w:t>
            </w:r>
          </w:p>
        </w:tc>
        <w:tc>
          <w:tcPr>
            <w:tcW w:w="885" w:type="dxa"/>
            <w:shd w:val="clear" w:color="auto" w:fill="auto"/>
            <w:vAlign w:val="center"/>
          </w:tcPr>
          <w:p w:rsidR="00EB572A" w:rsidRPr="00E161F5" w:rsidRDefault="00EB572A" w:rsidP="007B1695">
            <w:pPr>
              <w:pStyle w:val="TableText"/>
              <w:jc w:val="center"/>
            </w:pPr>
            <w:r>
              <w:t>3 (8)</w:t>
            </w:r>
          </w:p>
        </w:tc>
        <w:tc>
          <w:tcPr>
            <w:tcW w:w="886" w:type="dxa"/>
            <w:shd w:val="clear" w:color="auto" w:fill="auto"/>
            <w:vAlign w:val="center"/>
          </w:tcPr>
          <w:p w:rsidR="00EB572A" w:rsidRPr="00E161F5" w:rsidRDefault="00EB572A" w:rsidP="007B1695">
            <w:pPr>
              <w:pStyle w:val="TableText"/>
              <w:jc w:val="center"/>
            </w:pPr>
            <w:r>
              <w:t>2 (2)</w:t>
            </w:r>
          </w:p>
        </w:tc>
        <w:tc>
          <w:tcPr>
            <w:tcW w:w="885" w:type="dxa"/>
            <w:shd w:val="clear" w:color="auto" w:fill="auto"/>
            <w:vAlign w:val="center"/>
          </w:tcPr>
          <w:p w:rsidR="00EB572A" w:rsidRPr="00E161F5" w:rsidRDefault="008D3F14" w:rsidP="007B1695">
            <w:pPr>
              <w:pStyle w:val="TableText"/>
              <w:jc w:val="center"/>
            </w:pPr>
            <w:r>
              <w:t>5 (6)</w:t>
            </w:r>
          </w:p>
        </w:tc>
        <w:tc>
          <w:tcPr>
            <w:tcW w:w="886" w:type="dxa"/>
            <w:shd w:val="clear" w:color="auto" w:fill="auto"/>
            <w:vAlign w:val="center"/>
          </w:tcPr>
          <w:p w:rsidR="00EB572A" w:rsidRPr="00E161F5" w:rsidRDefault="00CB77E2" w:rsidP="007B1695">
            <w:pPr>
              <w:pStyle w:val="TableText"/>
              <w:jc w:val="center"/>
            </w:pPr>
            <w:r>
              <w:t>13 (5)</w:t>
            </w:r>
          </w:p>
        </w:tc>
        <w:tc>
          <w:tcPr>
            <w:tcW w:w="885" w:type="dxa"/>
            <w:shd w:val="clear" w:color="auto" w:fill="auto"/>
            <w:vAlign w:val="center"/>
          </w:tcPr>
          <w:p w:rsidR="00EB572A" w:rsidRPr="00E161F5" w:rsidRDefault="000A1C29" w:rsidP="007B1695">
            <w:pPr>
              <w:pStyle w:val="TableText"/>
              <w:jc w:val="center"/>
            </w:pPr>
            <w:r>
              <w:t>21 (6)</w:t>
            </w:r>
          </w:p>
        </w:tc>
        <w:tc>
          <w:tcPr>
            <w:tcW w:w="886" w:type="dxa"/>
            <w:shd w:val="clear" w:color="auto" w:fill="auto"/>
            <w:vAlign w:val="center"/>
          </w:tcPr>
          <w:p w:rsidR="00EB572A" w:rsidRPr="00E161F5" w:rsidRDefault="000A1C29" w:rsidP="007B1695">
            <w:pPr>
              <w:pStyle w:val="TableText"/>
              <w:jc w:val="center"/>
            </w:pPr>
            <w:r>
              <w:t>2 (2)</w:t>
            </w:r>
          </w:p>
        </w:tc>
        <w:tc>
          <w:tcPr>
            <w:tcW w:w="886" w:type="dxa"/>
            <w:shd w:val="clear" w:color="auto" w:fill="auto"/>
            <w:vAlign w:val="center"/>
          </w:tcPr>
          <w:p w:rsidR="00EB572A" w:rsidRPr="00E161F5" w:rsidRDefault="000A1C29" w:rsidP="007B1695">
            <w:pPr>
              <w:pStyle w:val="TableText"/>
              <w:jc w:val="center"/>
            </w:pPr>
            <w:r>
              <w:t>23 (4)</w:t>
            </w:r>
          </w:p>
        </w:tc>
      </w:tr>
      <w:tr w:rsidR="007B1695" w:rsidRPr="00E161F5" w:rsidTr="007B1695">
        <w:tc>
          <w:tcPr>
            <w:tcW w:w="2126" w:type="dxa"/>
            <w:shd w:val="clear" w:color="auto" w:fill="auto"/>
          </w:tcPr>
          <w:p w:rsidR="00EB572A" w:rsidRDefault="00EB572A" w:rsidP="00E161F5">
            <w:pPr>
              <w:pStyle w:val="TableText"/>
            </w:pPr>
            <w:r>
              <w:t>I don’t know where to get tested</w:t>
            </w:r>
          </w:p>
        </w:tc>
        <w:tc>
          <w:tcPr>
            <w:tcW w:w="885" w:type="dxa"/>
            <w:shd w:val="clear" w:color="auto" w:fill="auto"/>
            <w:vAlign w:val="center"/>
          </w:tcPr>
          <w:p w:rsidR="00EB572A" w:rsidRPr="00E161F5" w:rsidRDefault="00EB572A" w:rsidP="007B1695">
            <w:pPr>
              <w:pStyle w:val="TableText"/>
              <w:jc w:val="center"/>
            </w:pPr>
            <w:r>
              <w:t>4 (11)</w:t>
            </w:r>
          </w:p>
        </w:tc>
        <w:tc>
          <w:tcPr>
            <w:tcW w:w="886" w:type="dxa"/>
            <w:shd w:val="clear" w:color="auto" w:fill="auto"/>
            <w:vAlign w:val="center"/>
          </w:tcPr>
          <w:p w:rsidR="00EB572A" w:rsidRPr="00E161F5" w:rsidRDefault="00EB572A" w:rsidP="007B1695">
            <w:pPr>
              <w:pStyle w:val="TableText"/>
              <w:jc w:val="center"/>
            </w:pPr>
            <w:r>
              <w:t>5 (4)</w:t>
            </w:r>
          </w:p>
        </w:tc>
        <w:tc>
          <w:tcPr>
            <w:tcW w:w="885" w:type="dxa"/>
            <w:shd w:val="clear" w:color="auto" w:fill="auto"/>
            <w:vAlign w:val="center"/>
          </w:tcPr>
          <w:p w:rsidR="00EB572A" w:rsidRPr="00E161F5" w:rsidRDefault="008D3F14" w:rsidP="007B1695">
            <w:pPr>
              <w:pStyle w:val="TableText"/>
              <w:jc w:val="center"/>
            </w:pPr>
            <w:r>
              <w:t>1 (1)</w:t>
            </w:r>
          </w:p>
        </w:tc>
        <w:tc>
          <w:tcPr>
            <w:tcW w:w="886" w:type="dxa"/>
            <w:shd w:val="clear" w:color="auto" w:fill="auto"/>
            <w:vAlign w:val="center"/>
          </w:tcPr>
          <w:p w:rsidR="00EB572A" w:rsidRPr="00E161F5" w:rsidRDefault="00CB77E2" w:rsidP="007B1695">
            <w:pPr>
              <w:pStyle w:val="TableText"/>
              <w:jc w:val="center"/>
            </w:pPr>
            <w:r>
              <w:t>11 (3)</w:t>
            </w:r>
          </w:p>
        </w:tc>
        <w:tc>
          <w:tcPr>
            <w:tcW w:w="885" w:type="dxa"/>
            <w:shd w:val="clear" w:color="auto" w:fill="auto"/>
            <w:vAlign w:val="center"/>
          </w:tcPr>
          <w:p w:rsidR="00EB572A" w:rsidRPr="00E161F5" w:rsidRDefault="000A1C29" w:rsidP="007B1695">
            <w:pPr>
              <w:pStyle w:val="TableText"/>
              <w:jc w:val="center"/>
            </w:pPr>
            <w:r>
              <w:t>11 (3)</w:t>
            </w:r>
          </w:p>
        </w:tc>
        <w:tc>
          <w:tcPr>
            <w:tcW w:w="886" w:type="dxa"/>
            <w:shd w:val="clear" w:color="auto" w:fill="auto"/>
            <w:vAlign w:val="center"/>
          </w:tcPr>
          <w:p w:rsidR="00EB572A" w:rsidRPr="00E161F5" w:rsidRDefault="000A1C29" w:rsidP="007B1695">
            <w:pPr>
              <w:pStyle w:val="TableText"/>
              <w:jc w:val="center"/>
            </w:pPr>
            <w:r>
              <w:t>4 (3)</w:t>
            </w:r>
          </w:p>
        </w:tc>
        <w:tc>
          <w:tcPr>
            <w:tcW w:w="886" w:type="dxa"/>
            <w:shd w:val="clear" w:color="auto" w:fill="auto"/>
            <w:vAlign w:val="center"/>
          </w:tcPr>
          <w:p w:rsidR="00EB572A" w:rsidRPr="00E161F5" w:rsidRDefault="000A1C29" w:rsidP="007B1695">
            <w:pPr>
              <w:pStyle w:val="TableText"/>
              <w:jc w:val="center"/>
            </w:pPr>
            <w:r>
              <w:t>15 (3)</w:t>
            </w:r>
          </w:p>
        </w:tc>
      </w:tr>
      <w:tr w:rsidR="007B1695" w:rsidRPr="00E161F5" w:rsidTr="007B1695">
        <w:tc>
          <w:tcPr>
            <w:tcW w:w="2126" w:type="dxa"/>
            <w:shd w:val="clear" w:color="auto" w:fill="auto"/>
          </w:tcPr>
          <w:p w:rsidR="00EB572A" w:rsidRDefault="00EB572A" w:rsidP="00E161F5">
            <w:pPr>
              <w:pStyle w:val="TableText"/>
            </w:pPr>
            <w:r>
              <w:t>Nothing – I’ve never put off getting tested</w:t>
            </w:r>
          </w:p>
        </w:tc>
        <w:tc>
          <w:tcPr>
            <w:tcW w:w="885" w:type="dxa"/>
            <w:shd w:val="clear" w:color="auto" w:fill="auto"/>
            <w:vAlign w:val="center"/>
          </w:tcPr>
          <w:p w:rsidR="00EB572A" w:rsidRPr="00E161F5" w:rsidRDefault="00EB572A" w:rsidP="007B1695">
            <w:pPr>
              <w:pStyle w:val="TableText"/>
              <w:jc w:val="center"/>
            </w:pPr>
            <w:r>
              <w:t>1 (3)</w:t>
            </w:r>
          </w:p>
        </w:tc>
        <w:tc>
          <w:tcPr>
            <w:tcW w:w="886" w:type="dxa"/>
            <w:shd w:val="clear" w:color="auto" w:fill="auto"/>
            <w:vAlign w:val="center"/>
          </w:tcPr>
          <w:p w:rsidR="00EB572A" w:rsidRPr="00E161F5" w:rsidRDefault="00EB572A" w:rsidP="007B1695">
            <w:pPr>
              <w:pStyle w:val="TableText"/>
              <w:jc w:val="center"/>
            </w:pPr>
            <w:r>
              <w:t>8 (6)</w:t>
            </w:r>
          </w:p>
        </w:tc>
        <w:tc>
          <w:tcPr>
            <w:tcW w:w="885" w:type="dxa"/>
            <w:shd w:val="clear" w:color="auto" w:fill="auto"/>
            <w:vAlign w:val="center"/>
          </w:tcPr>
          <w:p w:rsidR="00EB572A" w:rsidRPr="00E161F5" w:rsidRDefault="008D3F14" w:rsidP="007B1695">
            <w:pPr>
              <w:pStyle w:val="TableText"/>
              <w:jc w:val="center"/>
            </w:pPr>
            <w:r>
              <w:t>11 (13)</w:t>
            </w:r>
          </w:p>
        </w:tc>
        <w:tc>
          <w:tcPr>
            <w:tcW w:w="886" w:type="dxa"/>
            <w:shd w:val="clear" w:color="auto" w:fill="auto"/>
            <w:vAlign w:val="center"/>
          </w:tcPr>
          <w:p w:rsidR="00EB572A" w:rsidRPr="00E161F5" w:rsidRDefault="00CB77E2" w:rsidP="007B1695">
            <w:pPr>
              <w:pStyle w:val="TableText"/>
              <w:jc w:val="center"/>
            </w:pPr>
            <w:r>
              <w:t>71 (18)</w:t>
            </w:r>
          </w:p>
        </w:tc>
        <w:tc>
          <w:tcPr>
            <w:tcW w:w="885" w:type="dxa"/>
            <w:shd w:val="clear" w:color="auto" w:fill="auto"/>
            <w:vAlign w:val="center"/>
          </w:tcPr>
          <w:p w:rsidR="00EB572A" w:rsidRPr="00E161F5" w:rsidRDefault="000A1C29" w:rsidP="007B1695">
            <w:pPr>
              <w:pStyle w:val="TableText"/>
              <w:jc w:val="center"/>
            </w:pPr>
            <w:r>
              <w:t>71 (18)</w:t>
            </w:r>
          </w:p>
        </w:tc>
        <w:tc>
          <w:tcPr>
            <w:tcW w:w="886" w:type="dxa"/>
            <w:shd w:val="clear" w:color="auto" w:fill="auto"/>
            <w:vAlign w:val="center"/>
          </w:tcPr>
          <w:p w:rsidR="00EB572A" w:rsidRPr="00E161F5" w:rsidRDefault="000A1C29" w:rsidP="007B1695">
            <w:pPr>
              <w:pStyle w:val="TableText"/>
              <w:jc w:val="center"/>
            </w:pPr>
            <w:r>
              <w:t>28 (21)</w:t>
            </w:r>
          </w:p>
        </w:tc>
        <w:tc>
          <w:tcPr>
            <w:tcW w:w="886" w:type="dxa"/>
            <w:shd w:val="clear" w:color="auto" w:fill="auto"/>
            <w:vAlign w:val="center"/>
          </w:tcPr>
          <w:p w:rsidR="00EB572A" w:rsidRPr="00E161F5" w:rsidRDefault="000A1C29" w:rsidP="007B1695">
            <w:pPr>
              <w:pStyle w:val="TableText"/>
              <w:jc w:val="center"/>
            </w:pPr>
            <w:r>
              <w:t>99 (19)</w:t>
            </w:r>
          </w:p>
        </w:tc>
      </w:tr>
    </w:tbl>
    <w:p w:rsidR="00E161F5" w:rsidRDefault="000A1C29" w:rsidP="000A1C29">
      <w:pPr>
        <w:pStyle w:val="TableNotes"/>
      </w:pPr>
      <w:r>
        <w:t xml:space="preserve">Source: Table 2, p455 of </w:t>
      </w:r>
      <w:proofErr w:type="spellStart"/>
      <w:r>
        <w:t>Prestage</w:t>
      </w:r>
      <w:proofErr w:type="spellEnd"/>
      <w:r>
        <w:t xml:space="preserve"> (2012)</w:t>
      </w:r>
    </w:p>
    <w:p w:rsidR="000A1C29" w:rsidRDefault="000A1C29" w:rsidP="000A1C29">
      <w:pPr>
        <w:pStyle w:val="TableNotes"/>
      </w:pPr>
      <w:r>
        <w:t>Items are not mutually exclusive</w:t>
      </w:r>
    </w:p>
    <w:p w:rsidR="004C40A4" w:rsidRDefault="004C40A4" w:rsidP="000A1C29">
      <w:pPr>
        <w:pStyle w:val="TableNotes"/>
      </w:pPr>
      <w:r>
        <w:t>Shaded rows indicate the barriers that rapid point-of-care testing may address.</w:t>
      </w:r>
    </w:p>
    <w:p w:rsidR="000A1C29" w:rsidRDefault="000A1C29" w:rsidP="000A1C29">
      <w:pPr>
        <w:pStyle w:val="TableNotes"/>
      </w:pPr>
      <w:r>
        <w:t>Abbreviations: UAIC=unprotected anal intercourse with casual partners</w:t>
      </w:r>
    </w:p>
    <w:p w:rsidR="00E45296" w:rsidRDefault="00E45296" w:rsidP="00E45296">
      <w:pPr>
        <w:spacing w:after="120"/>
        <w:ind w:left="709"/>
      </w:pPr>
      <w:proofErr w:type="spellStart"/>
      <w:r>
        <w:t>Prestage</w:t>
      </w:r>
      <w:proofErr w:type="spellEnd"/>
      <w:r>
        <w:t xml:space="preserve"> (2012) present the results of multivariate analyses of reasons associated with avoiding or delaying testing:</w:t>
      </w:r>
    </w:p>
    <w:p w:rsidR="00E45296" w:rsidRDefault="00E45296" w:rsidP="00F737A4">
      <w:pPr>
        <w:numPr>
          <w:ilvl w:val="0"/>
          <w:numId w:val="16"/>
        </w:numPr>
        <w:spacing w:after="120"/>
        <w:ind w:left="993" w:hanging="284"/>
      </w:pPr>
      <w:r>
        <w:t xml:space="preserve">In a comparison of those who have ever tested versus those who have never tested, a statistically significantly greater proportion of those never tested indicated that “Did not know where to get tested” and “Did not have any symptoms of illness” were cited as reasons for not testing compared with those who had ever tested.  A statistically significantly greater proportion of those who had ever tested cited “Having to return to the doctor for results” compared with those who had never tested.  Statistically </w:t>
      </w:r>
      <w:r>
        <w:lastRenderedPageBreak/>
        <w:t>significant differences in education level (a greater proportion of those ever tested had university level education), time spent with gay friends (greater amount of time spent with gay friends among those ever tested) and age (those ever tested were older) were also observed between those who had ever and never tested.</w:t>
      </w:r>
    </w:p>
    <w:p w:rsidR="00E45296" w:rsidRDefault="00E45296" w:rsidP="00F737A4">
      <w:pPr>
        <w:numPr>
          <w:ilvl w:val="0"/>
          <w:numId w:val="16"/>
        </w:numPr>
        <w:spacing w:after="120"/>
        <w:ind w:left="993" w:hanging="284"/>
      </w:pPr>
      <w:r>
        <w:t>In a comparison of those who had and who had not tested in the previous 6 months, a statistically significantly greater proportion of those who had not tested indicated that “Did not do anything risky” or “Feel embarrassed to talk to doctor” were cited as reasons for not testing compared with those who had tested within the previous six months.  Those who had not tested in the previous six months were statistically significantly older than those who had.</w:t>
      </w:r>
    </w:p>
    <w:p w:rsidR="00E45296" w:rsidRDefault="00E45296" w:rsidP="00F737A4">
      <w:pPr>
        <w:numPr>
          <w:ilvl w:val="0"/>
          <w:numId w:val="16"/>
        </w:numPr>
        <w:ind w:left="993" w:hanging="284"/>
      </w:pPr>
      <w:r>
        <w:t xml:space="preserve">In a comparison of those who had engaged in </w:t>
      </w:r>
      <w:r w:rsidRPr="00BA31E5">
        <w:t>unprotected anal intercourse with casual partners</w:t>
      </w:r>
      <w:r>
        <w:t xml:space="preserve"> who had or had not tested in the previous six months, a statistically significantly greater proportion of those who had not tested cited “Did not have any symptoms of illness” as a reason for not testing compared with those having testing in the previous six months.  Those who had not tested in the previous six months were statistically significantly older than those who had.</w:t>
      </w:r>
    </w:p>
    <w:p w:rsidR="000E6F0E" w:rsidRDefault="000E6F0E" w:rsidP="005006EC">
      <w:pPr>
        <w:ind w:left="709"/>
        <w:rPr>
          <w:b/>
        </w:rPr>
      </w:pPr>
      <w:r>
        <w:t xml:space="preserve">It is noted that of the barriers presented in the online survey (summarised in Table 2), only the “I don’t like needles” would be addressed by the DHC test given the sample can be collected from a finger-prick procedure.  However, as other STI testing should be (syphilis) or should be considered to be (chlamydia/gonorrhoea) conducted alongside HIV </w:t>
      </w:r>
      <w:r w:rsidR="00312E72">
        <w:t>testing;</w:t>
      </w:r>
      <w:r>
        <w:t xml:space="preserve"> there may still be a requirement for needles as testing for syphilis requires venepuncture.  While “Having to return another time for results” may have been relevant to serology testing at the time the survey was conducted, </w:t>
      </w:r>
      <w:r w:rsidR="00383ED9">
        <w:t xml:space="preserve">as </w:t>
      </w:r>
      <w:r>
        <w:t>the Draft National HIV Testing Policy (2014, p15) states that “It is preferable that a positive result is given in person.  However, this Policy supports the provision of test results by phone, SMS text message, email or other mechanism when it is considered appropriate”, this is no longer applicable as there is currently no requirement for a return visit for HIV test results.</w:t>
      </w:r>
      <w:r w:rsidR="00AE0120">
        <w:t xml:space="preserve">  </w:t>
      </w:r>
      <w:r w:rsidR="005006EC">
        <w:t>Expert</w:t>
      </w:r>
      <w:r w:rsidR="00AE0120">
        <w:t xml:space="preserve"> </w:t>
      </w:r>
      <w:r w:rsidR="005006EC">
        <w:t>opinion</w:t>
      </w:r>
      <w:r w:rsidR="00AE0120">
        <w:t xml:space="preserve"> </w:t>
      </w:r>
      <w:r w:rsidR="005006EC">
        <w:t xml:space="preserve">sought </w:t>
      </w:r>
      <w:r w:rsidR="00AE0120">
        <w:t xml:space="preserve">during the </w:t>
      </w:r>
      <w:r w:rsidR="005006EC">
        <w:t>assessment</w:t>
      </w:r>
      <w:r w:rsidR="00AE0120">
        <w:t xml:space="preserve"> confirmed that </w:t>
      </w:r>
      <w:r w:rsidR="005447B7">
        <w:t>individual</w:t>
      </w:r>
      <w:r w:rsidR="00AE0120">
        <w:t>s are currently told that “no new is good news” with respect to test results</w:t>
      </w:r>
      <w:r w:rsidR="002B1186" w:rsidRPr="002B1186">
        <w:t xml:space="preserve"> </w:t>
      </w:r>
      <w:r w:rsidR="002B1186">
        <w:t>at one large sexual health clinic in Melbourne</w:t>
      </w:r>
      <w:r w:rsidR="00AE0120">
        <w:t>.</w:t>
      </w:r>
    </w:p>
    <w:p w:rsidR="00C74E82" w:rsidRPr="00C74E82" w:rsidRDefault="00C74E82" w:rsidP="000208BF">
      <w:pPr>
        <w:pStyle w:val="Heading3"/>
      </w:pPr>
      <w:r>
        <w:t>Preferences for testing modalities</w:t>
      </w:r>
    </w:p>
    <w:p w:rsidR="006705ED" w:rsidRDefault="000E7ED9" w:rsidP="00193B79">
      <w:pPr>
        <w:ind w:left="709"/>
      </w:pPr>
      <w:r>
        <w:t xml:space="preserve">Yang (2014) </w:t>
      </w:r>
      <w:r w:rsidR="006705ED">
        <w:t>report</w:t>
      </w:r>
      <w:r w:rsidR="004733E7">
        <w:t>ed</w:t>
      </w:r>
      <w:r w:rsidR="006705ED">
        <w:t xml:space="preserve"> the results of an online questionnaire of gay and other men who have sex with men (GMSM) residing in Sydney, Melbourne and Perth developed to ascertain self-reported preferences for testing: rapid versus non-rapid and in non-healthcare (community- or home-based) versus in healthcare settings.  Participants included 827 sexually active men, with 89% having been tested for HIV (72% in the previous 12 months).  Baseline characteristics included a mean age of 34.9 years, 60% were Anglo-Australian, 53% had completed university-level education and 73% were employed on a full-time basis.  </w:t>
      </w:r>
    </w:p>
    <w:p w:rsidR="00EF1D9D" w:rsidRDefault="006705ED" w:rsidP="00193B79">
      <w:pPr>
        <w:ind w:left="709"/>
      </w:pPr>
      <w:r>
        <w:t>The majority of participants indicated a preference for rapid testing (73%)</w:t>
      </w:r>
      <w:r w:rsidR="004917EA">
        <w:t>;</w:t>
      </w:r>
      <w:r>
        <w:t xml:space="preserve"> at home (46%), in healthcare (20%) or community (7%) settings over non-rapid </w:t>
      </w:r>
      <w:r w:rsidR="004917EA">
        <w:t xml:space="preserve">testing (27%); in healthcare (23%) or community (3%) settings.  With respect to setting, 56% preferred non-healthcare, community or home-based settings (53% rapid, 3% non-rapid) compared with 44% citing a preference for healthcare settings (20% rapid, 23% non-rapid).  The preference for the speed of the test of the location of testing was not associated with previous history of testing.  A preference for rapid testing was associated with full-time </w:t>
      </w:r>
      <w:r w:rsidR="004917EA">
        <w:lastRenderedPageBreak/>
        <w:t>employment (OR=1.81; 95% CI: 1.16, 2.82) compared with unemployment; employment in a managerial/professional position (OR=2.03; 95% CI: 1.19, 3.46) compared with men with no occupation, unemployed or students; and men who reported unprotected anal intercourse with casual partners (OR=1.89; 95% CI: 1.29, 2.78) compared with those who had not.  These characteristics were also associated with a preference for testing in non-healthcare versus health-care settings.</w:t>
      </w:r>
    </w:p>
    <w:p w:rsidR="00B4120C" w:rsidRPr="00B4120C" w:rsidRDefault="00F16580" w:rsidP="00193B79">
      <w:pPr>
        <w:ind w:left="709"/>
      </w:pPr>
      <w:r>
        <w:t xml:space="preserve">Yang (2014, p592) concluded that “Australian GMSM prefer alternative testing approaches, possibly due to their convenience.  The availability of new testing approaches may provide more options for GMSM at risk for HIV </w:t>
      </w:r>
      <w:proofErr w:type="gramStart"/>
      <w:r>
        <w:t>infection,</w:t>
      </w:r>
      <w:proofErr w:type="gramEnd"/>
      <w:r>
        <w:t xml:space="preserve"> improve access to HIV testing and potentially increase HIV testing rates.”</w:t>
      </w:r>
    </w:p>
    <w:p w:rsidR="00193B79" w:rsidRPr="00B4120C" w:rsidRDefault="00193B79" w:rsidP="00193B79">
      <w:pPr>
        <w:ind w:left="709"/>
      </w:pPr>
      <w:r w:rsidRPr="00B4120C">
        <w:t xml:space="preserve">HIV rapid tests can be less specific (i.e. can have more false positives) and can be less sensitive (i.e. can miss more cases of infection) than conventional machine controlled tests used diagnostically, in contemporary laboratory based testing. </w:t>
      </w:r>
      <w:r w:rsidR="00B4120C">
        <w:t xml:space="preserve"> </w:t>
      </w:r>
      <w:r w:rsidRPr="00B4120C">
        <w:t xml:space="preserve">However, the ease of use of HIV rapid tests and potentially their higher uptake as screening tests, particularly among people who are not accessing conventional testing, has meant that a fit-for-purpose assessment has seen them approved for use in Australia and internationally (National HIV Testing Policy, Draft 2014). </w:t>
      </w:r>
    </w:p>
    <w:p w:rsidR="007556E6" w:rsidRPr="00B4120C" w:rsidRDefault="004A6FA6" w:rsidP="007556E6">
      <w:pPr>
        <w:ind w:left="709"/>
      </w:pPr>
      <w:r w:rsidRPr="00B4120C">
        <w:t>Point-of-care</w:t>
      </w:r>
      <w:r w:rsidR="007556E6" w:rsidRPr="00B4120C">
        <w:t xml:space="preserve"> testing benefits people who might </w:t>
      </w:r>
      <w:r w:rsidR="00312E72">
        <w:t xml:space="preserve">be </w:t>
      </w:r>
      <w:r w:rsidR="007556E6" w:rsidRPr="00B4120C">
        <w:t>otherwise reticent to access</w:t>
      </w:r>
      <w:r w:rsidR="00EA5170">
        <w:t>ing</w:t>
      </w:r>
      <w:r w:rsidR="007556E6" w:rsidRPr="00B4120C">
        <w:t xml:space="preserve"> conventional testing. </w:t>
      </w:r>
      <w:r w:rsidR="00AD7EE0" w:rsidRPr="00B4120C">
        <w:t xml:space="preserve"> </w:t>
      </w:r>
      <w:r w:rsidR="007556E6" w:rsidRPr="00B4120C">
        <w:t xml:space="preserve">Such testing is of particular benefit for high-risk or hard-to-reach populations who may be resistant to conventional testing such men who have sex with men (MSM) who do not routinely access health services. </w:t>
      </w:r>
      <w:r w:rsidR="00B4120C">
        <w:t xml:space="preserve"> </w:t>
      </w:r>
      <w:r w:rsidR="007556E6" w:rsidRPr="00B4120C">
        <w:t>These populations will benefit from a single point of contact and rapid results in the case of negative results and early notification of positive results.</w:t>
      </w:r>
    </w:p>
    <w:p w:rsidR="007556E6" w:rsidRPr="00B4120C" w:rsidRDefault="007556E6" w:rsidP="007556E6">
      <w:pPr>
        <w:ind w:left="709"/>
      </w:pPr>
      <w:r w:rsidRPr="002A1631">
        <w:t xml:space="preserve">Currently, the results from a laboratory HIV test </w:t>
      </w:r>
      <w:r w:rsidR="004B03FA" w:rsidRPr="002A1631">
        <w:t>are</w:t>
      </w:r>
      <w:r w:rsidRPr="002A1631">
        <w:t xml:space="preserve"> not available to the </w:t>
      </w:r>
      <w:r w:rsidR="005447B7">
        <w:t>individual</w:t>
      </w:r>
      <w:r w:rsidRPr="002A1631">
        <w:t xml:space="preserve"> until at least several days after a blood sample is collected, whereas results from </w:t>
      </w:r>
      <w:r w:rsidR="004A6FA6" w:rsidRPr="002A1631">
        <w:t>point-of-care</w:t>
      </w:r>
      <w:r w:rsidRPr="002A1631">
        <w:t xml:space="preserve"> rapid tests are generally available within 20-30 minutes of the blood sample being collected and often available within the same clinic visit. </w:t>
      </w:r>
      <w:r w:rsidR="004B03FA" w:rsidRPr="002A1631">
        <w:t xml:space="preserve"> Although the results of the rapid test are available within 20-30 minutes of sample collection, positive specimens require conf</w:t>
      </w:r>
      <w:r w:rsidR="002A1631" w:rsidRPr="002A1631">
        <w:t>irmatory laboratory</w:t>
      </w:r>
      <w:r w:rsidR="002A1631">
        <w:t xml:space="preserve">-based testing, thus, there is no difference in the time to a </w:t>
      </w:r>
      <w:r w:rsidR="002A1631" w:rsidRPr="002A1631">
        <w:rPr>
          <w:u w:val="single"/>
        </w:rPr>
        <w:t>confirmed</w:t>
      </w:r>
      <w:r w:rsidR="002A1631">
        <w:t xml:space="preserve"> HIV diagnosis when using the DHC test.</w:t>
      </w:r>
    </w:p>
    <w:p w:rsidR="007556E6" w:rsidRPr="00B4120C" w:rsidRDefault="007556E6" w:rsidP="007556E6">
      <w:pPr>
        <w:ind w:left="709"/>
      </w:pPr>
      <w:r w:rsidRPr="00B4120C">
        <w:t xml:space="preserve">Early diagnosis of HIV infection is important as early treatment improves chances of maintaining good health. </w:t>
      </w:r>
      <w:r w:rsidR="004B03FA">
        <w:t xml:space="preserve"> </w:t>
      </w:r>
      <w:r w:rsidRPr="00B4120C">
        <w:t xml:space="preserve">Early treatment and knowledge of HIV status can also reduce the risk of transmitting the virus. </w:t>
      </w:r>
      <w:r w:rsidR="004B03FA">
        <w:t xml:space="preserve"> </w:t>
      </w:r>
      <w:r w:rsidRPr="00B4120C">
        <w:t>While there are effective treatments for HIV, there is currently no cure.</w:t>
      </w:r>
    </w:p>
    <w:p w:rsidR="0038576A" w:rsidRDefault="004F3970" w:rsidP="004F3970">
      <w:pPr>
        <w:pStyle w:val="Heading2"/>
        <w:rPr>
          <w:bCs/>
        </w:rPr>
      </w:pPr>
      <w:bookmarkStart w:id="33" w:name="_Toc418224857"/>
      <w:r w:rsidRPr="004C6B15">
        <w:rPr>
          <w:bCs/>
        </w:rPr>
        <w:t>Existing procedures</w:t>
      </w:r>
      <w:r w:rsidR="005C7913">
        <w:rPr>
          <w:bCs/>
        </w:rPr>
        <w:t xml:space="preserve"> </w:t>
      </w:r>
      <w:r w:rsidR="005A125C" w:rsidRPr="005C7913">
        <w:rPr>
          <w:bCs/>
        </w:rPr>
        <w:t>/</w:t>
      </w:r>
      <w:r w:rsidR="006B7C8A" w:rsidRPr="005C7913">
        <w:rPr>
          <w:bCs/>
        </w:rPr>
        <w:t>test</w:t>
      </w:r>
      <w:r w:rsidR="005A125C" w:rsidRPr="005C7913">
        <w:rPr>
          <w:bCs/>
        </w:rPr>
        <w:t>s</w:t>
      </w:r>
      <w:bookmarkEnd w:id="33"/>
      <w:r w:rsidR="0038576A">
        <w:rPr>
          <w:bCs/>
        </w:rPr>
        <w:t xml:space="preserve"> </w:t>
      </w:r>
    </w:p>
    <w:p w:rsidR="007556E6" w:rsidRPr="00AE0CEE" w:rsidRDefault="007556E6" w:rsidP="007556E6">
      <w:r>
        <w:t>For HI</w:t>
      </w:r>
      <w:r w:rsidR="00C52AB0">
        <w:t>V</w:t>
      </w:r>
      <w:r>
        <w:t xml:space="preserve"> Antibody testing, the Western Blot assay is considered the gold standard for HIV testing. </w:t>
      </w:r>
      <w:r w:rsidR="009D5E02">
        <w:t xml:space="preserve"> </w:t>
      </w:r>
      <w:r>
        <w:t xml:space="preserve">The Western Blot detects HIV antibodies in the </w:t>
      </w:r>
      <w:r w:rsidR="005447B7">
        <w:t>individual</w:t>
      </w:r>
      <w:r>
        <w:t xml:space="preserve">’s serum that react with a number of different viral proteins. </w:t>
      </w:r>
      <w:r w:rsidR="009D5E02">
        <w:t xml:space="preserve"> </w:t>
      </w:r>
      <w:r>
        <w:t xml:space="preserve">These viral proteins are separated into bands of distinct molecular weight using protein gel electrophoresis. </w:t>
      </w:r>
      <w:r w:rsidR="009D5E02">
        <w:t xml:space="preserve"> </w:t>
      </w:r>
      <w:r>
        <w:t xml:space="preserve">After transfer (blotting) to a solid material, proteins that are reactive with specific HIV antibodies in test sera can be identified. </w:t>
      </w:r>
      <w:r w:rsidR="009D5E02">
        <w:t xml:space="preserve"> </w:t>
      </w:r>
      <w:r>
        <w:t xml:space="preserve">A Western Blot result is judged to be negative if there is no reaction of the </w:t>
      </w:r>
      <w:r w:rsidR="004B03FA">
        <w:t>individual</w:t>
      </w:r>
      <w:r>
        <w:t xml:space="preserve">’s serum with any protein bands at the molecular weights corresponding to these HIV gene products. </w:t>
      </w:r>
      <w:r w:rsidR="009D5E02">
        <w:t xml:space="preserve"> </w:t>
      </w:r>
      <w:r>
        <w:t xml:space="preserve">A positive Western Blot result is defined by the detection of antibodies to all of the three main groups of HIV proteins – envelope (gp160, gp120 or gp41), gag (p24) and polymerase (p66 </w:t>
      </w:r>
      <w:r w:rsidRPr="00AE0CEE">
        <w:t>or p51) (ASHM 2009)</w:t>
      </w:r>
      <w:r w:rsidR="009D5E02" w:rsidRPr="00AE0CEE">
        <w:t>.</w:t>
      </w:r>
    </w:p>
    <w:p w:rsidR="007556E6" w:rsidRDefault="007556E6" w:rsidP="007556E6">
      <w:r w:rsidRPr="00AE0CEE">
        <w:lastRenderedPageBreak/>
        <w:t xml:space="preserve">An alternative test, the HIV enzyme-linked </w:t>
      </w:r>
      <w:proofErr w:type="spellStart"/>
      <w:r w:rsidRPr="00AE0CEE">
        <w:t>immunosorbent</w:t>
      </w:r>
      <w:proofErr w:type="spellEnd"/>
      <w:r w:rsidRPr="00AE0CEE">
        <w:t xml:space="preserve"> assay (ELISA, or sometimes referred to as </w:t>
      </w:r>
      <w:r w:rsidR="00BF559E" w:rsidRPr="00AE0CEE">
        <w:t xml:space="preserve">enzyme immunoassay, </w:t>
      </w:r>
      <w:r w:rsidRPr="00AE0CEE">
        <w:t xml:space="preserve">EIA) is also commonly used. </w:t>
      </w:r>
      <w:r w:rsidR="009D5E02" w:rsidRPr="00AE0CEE">
        <w:t xml:space="preserve"> </w:t>
      </w:r>
      <w:r w:rsidRPr="00AE0CEE">
        <w:t>Recombinant or native HIV antigens, fixed in a solid phase, are exposed to and bound by HIV antibodies in test serum.</w:t>
      </w:r>
      <w:r w:rsidR="009D5E02" w:rsidRPr="00AE0CEE">
        <w:t xml:space="preserve"> </w:t>
      </w:r>
      <w:r w:rsidRPr="00AE0CEE">
        <w:t xml:space="preserve"> The presence of these antibodies is then detected by a second anti-human antibody, with a</w:t>
      </w:r>
      <w:r w:rsidR="009D5E02" w:rsidRPr="00AE0CEE">
        <w:t xml:space="preserve"> </w:t>
      </w:r>
      <w:r w:rsidRPr="00AE0CEE">
        <w:t>sensitivity of more than 99.5% (ASHM 2009)</w:t>
      </w:r>
      <w:r w:rsidR="009D5E02" w:rsidRPr="00AE0CEE">
        <w:t>.</w:t>
      </w:r>
    </w:p>
    <w:p w:rsidR="004F3970" w:rsidRPr="00776777" w:rsidRDefault="004F3970" w:rsidP="004F3970">
      <w:pPr>
        <w:pStyle w:val="Heading2"/>
      </w:pPr>
      <w:bookmarkStart w:id="34" w:name="_Toc418224858"/>
      <w:r w:rsidRPr="004C6B15">
        <w:rPr>
          <w:bCs/>
        </w:rPr>
        <w:t>Marketing status</w:t>
      </w:r>
      <w:r w:rsidR="006B7C8A">
        <w:rPr>
          <w:bCs/>
        </w:rPr>
        <w:t xml:space="preserve"> of device</w:t>
      </w:r>
      <w:bookmarkEnd w:id="34"/>
      <w:r w:rsidR="006B7C8A">
        <w:rPr>
          <w:bCs/>
        </w:rPr>
        <w:t xml:space="preserve"> </w:t>
      </w:r>
    </w:p>
    <w:p w:rsidR="007556E6" w:rsidRDefault="007556E6" w:rsidP="007556E6">
      <w:r>
        <w:t xml:space="preserve">The Determine HIV Combo is the only rapid </w:t>
      </w:r>
      <w:r w:rsidR="004A6FA6">
        <w:t>point-of-care</w:t>
      </w:r>
      <w:r>
        <w:t xml:space="preserve"> test for HIV infection currently approved by the TGA for use in Australia.  There are specific conditions for the approval and listing on the ARTG, including requirements that the </w:t>
      </w:r>
      <w:r w:rsidR="008B56E1">
        <w:t>DHC</w:t>
      </w:r>
      <w:r>
        <w:t xml:space="preserve"> may only be used by medical testing laboratories accredited by the National Association of Testing Authorities (NATA), or in sites which employ health professionals to conduct the test, have an established relationship (in relation to the referral and testing of specimens) with a NATA accredited medical testing laboratory.  Further requirements include provision of training for the correct use of the device and interpretation of results by the sponsor of the device, as well as 12 monthly reports of compliance to the conditions and post marketing surveillance reports must be submitted to the TGA</w:t>
      </w:r>
      <w:r w:rsidR="002C71D0">
        <w:t xml:space="preserve"> (see Appendix B)</w:t>
      </w:r>
      <w:r>
        <w:t xml:space="preserve">. </w:t>
      </w:r>
    </w:p>
    <w:p w:rsidR="004F3970" w:rsidRDefault="004F3970" w:rsidP="004F3970">
      <w:pPr>
        <w:pStyle w:val="Heading2"/>
        <w:rPr>
          <w:bCs/>
        </w:rPr>
      </w:pPr>
      <w:bookmarkStart w:id="35" w:name="_Toc418224859"/>
      <w:r w:rsidRPr="004C6B15">
        <w:rPr>
          <w:bCs/>
        </w:rPr>
        <w:t>Current reimbursement arrangements</w:t>
      </w:r>
      <w:bookmarkEnd w:id="35"/>
    </w:p>
    <w:p w:rsidR="000546E0" w:rsidRDefault="000546E0" w:rsidP="007556E6">
      <w:pPr>
        <w:rPr>
          <w:bCs/>
        </w:rPr>
      </w:pPr>
      <w:r w:rsidRPr="00AF4C8D">
        <w:rPr>
          <w:bCs/>
        </w:rPr>
        <w:t xml:space="preserve">Rapid point-of-care testing is currently offered in a number of clinics Australia wide.  Table </w:t>
      </w:r>
      <w:r w:rsidR="00BF559E" w:rsidRPr="00AF4C8D">
        <w:rPr>
          <w:bCs/>
        </w:rPr>
        <w:t>3</w:t>
      </w:r>
      <w:r w:rsidRPr="00AF4C8D">
        <w:rPr>
          <w:bCs/>
        </w:rPr>
        <w:t xml:space="preserve"> summarises</w:t>
      </w:r>
      <w:r>
        <w:rPr>
          <w:bCs/>
        </w:rPr>
        <w:t xml:space="preserve"> the number of clinics offering the test in each state.</w:t>
      </w:r>
      <w:r w:rsidR="007D0447">
        <w:rPr>
          <w:bCs/>
        </w:rPr>
        <w:t xml:space="preserve">  Some of the clinics listed are using the TGA-approved DHC test and others are using other types of rapid tests as part of research trials for other HIV rapid test devices. </w:t>
      </w:r>
    </w:p>
    <w:p w:rsidR="000546E0" w:rsidRDefault="000546E0" w:rsidP="008A089E">
      <w:pPr>
        <w:pStyle w:val="Caption"/>
      </w:pPr>
      <w:bookmarkStart w:id="36" w:name="_Toc415103506"/>
      <w:bookmarkStart w:id="37" w:name="_Toc418224994"/>
      <w:bookmarkStart w:id="38" w:name="_Toc418225081"/>
      <w:bookmarkStart w:id="39" w:name="_Toc418225639"/>
      <w:r>
        <w:t xml:space="preserve">Table </w:t>
      </w:r>
      <w:r w:rsidR="00BF559E">
        <w:t>3</w:t>
      </w:r>
      <w:r>
        <w:tab/>
        <w:t xml:space="preserve">Number of clinics </w:t>
      </w:r>
      <w:r w:rsidR="002C71D0">
        <w:t xml:space="preserve">in Australia </w:t>
      </w:r>
      <w:r>
        <w:t>offering rapid point-of-care testing for HIV</w:t>
      </w:r>
      <w:bookmarkEnd w:id="36"/>
      <w:r w:rsidR="002C71D0">
        <w:t xml:space="preserve"> (March 2015)</w:t>
      </w:r>
      <w:bookmarkEnd w:id="37"/>
      <w:bookmarkEnd w:id="38"/>
      <w:bookmarkEnd w:id="39"/>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Number of clinics in Australia offering rapid point-of-care testing for HIV (March 2015) by State"/>
      </w:tblPr>
      <w:tblGrid>
        <w:gridCol w:w="3813"/>
        <w:gridCol w:w="4535"/>
      </w:tblGrid>
      <w:tr w:rsidR="000546E0" w:rsidRPr="000546E0" w:rsidTr="002A5CBD">
        <w:trPr>
          <w:tblHeader/>
        </w:trPr>
        <w:tc>
          <w:tcPr>
            <w:tcW w:w="3813" w:type="dxa"/>
            <w:shd w:val="clear" w:color="auto" w:fill="auto"/>
          </w:tcPr>
          <w:p w:rsidR="000546E0" w:rsidRPr="007B1695" w:rsidRDefault="000546E0" w:rsidP="000546E0">
            <w:pPr>
              <w:pStyle w:val="TableText0"/>
              <w:rPr>
                <w:b/>
              </w:rPr>
            </w:pPr>
            <w:r w:rsidRPr="007B1695">
              <w:rPr>
                <w:b/>
              </w:rPr>
              <w:t>State</w:t>
            </w:r>
          </w:p>
        </w:tc>
        <w:tc>
          <w:tcPr>
            <w:tcW w:w="4535" w:type="dxa"/>
            <w:shd w:val="clear" w:color="auto" w:fill="auto"/>
          </w:tcPr>
          <w:p w:rsidR="000546E0" w:rsidRPr="007B1695" w:rsidRDefault="000546E0" w:rsidP="007B1695">
            <w:pPr>
              <w:pStyle w:val="TableText0"/>
              <w:jc w:val="center"/>
              <w:rPr>
                <w:b/>
              </w:rPr>
            </w:pPr>
            <w:r w:rsidRPr="007B1695">
              <w:rPr>
                <w:b/>
              </w:rPr>
              <w:t xml:space="preserve">Number of clinics offering rapid point-of-care </w:t>
            </w:r>
            <w:r w:rsidR="007D0447" w:rsidRPr="007B1695">
              <w:rPr>
                <w:b/>
              </w:rPr>
              <w:t xml:space="preserve">HIV </w:t>
            </w:r>
            <w:r w:rsidRPr="007B1695">
              <w:rPr>
                <w:b/>
              </w:rPr>
              <w:t>testing</w:t>
            </w:r>
          </w:p>
        </w:tc>
      </w:tr>
      <w:tr w:rsidR="000546E0" w:rsidRPr="000546E0" w:rsidTr="007B1695">
        <w:tc>
          <w:tcPr>
            <w:tcW w:w="3813" w:type="dxa"/>
            <w:shd w:val="clear" w:color="auto" w:fill="auto"/>
          </w:tcPr>
          <w:p w:rsidR="000546E0" w:rsidRPr="007B1695" w:rsidRDefault="000546E0" w:rsidP="000546E0">
            <w:pPr>
              <w:pStyle w:val="TableText0"/>
            </w:pPr>
            <w:r w:rsidRPr="007B1695">
              <w:t>Australian Capital Territory</w:t>
            </w:r>
          </w:p>
        </w:tc>
        <w:tc>
          <w:tcPr>
            <w:tcW w:w="4535" w:type="dxa"/>
            <w:shd w:val="clear" w:color="auto" w:fill="auto"/>
            <w:vAlign w:val="center"/>
          </w:tcPr>
          <w:p w:rsidR="000546E0" w:rsidRPr="007B1695" w:rsidRDefault="000546E0" w:rsidP="007B1695">
            <w:pPr>
              <w:pStyle w:val="TableText0"/>
              <w:jc w:val="center"/>
            </w:pPr>
            <w:r w:rsidRPr="007B1695">
              <w:t>2</w:t>
            </w:r>
          </w:p>
        </w:tc>
      </w:tr>
      <w:tr w:rsidR="000546E0" w:rsidRPr="000546E0" w:rsidTr="007B1695">
        <w:tc>
          <w:tcPr>
            <w:tcW w:w="3813" w:type="dxa"/>
            <w:shd w:val="clear" w:color="auto" w:fill="auto"/>
          </w:tcPr>
          <w:p w:rsidR="000546E0" w:rsidRPr="007B1695" w:rsidRDefault="000546E0" w:rsidP="000546E0">
            <w:pPr>
              <w:pStyle w:val="TableText0"/>
            </w:pPr>
            <w:r w:rsidRPr="007B1695">
              <w:t>New South Wales</w:t>
            </w:r>
          </w:p>
        </w:tc>
        <w:tc>
          <w:tcPr>
            <w:tcW w:w="4535" w:type="dxa"/>
            <w:shd w:val="clear" w:color="auto" w:fill="auto"/>
            <w:vAlign w:val="center"/>
          </w:tcPr>
          <w:p w:rsidR="000546E0" w:rsidRPr="007B1695" w:rsidRDefault="000546E0" w:rsidP="007B1695">
            <w:pPr>
              <w:pStyle w:val="TableText0"/>
              <w:jc w:val="center"/>
            </w:pPr>
            <w:r w:rsidRPr="007B1695">
              <w:t>24</w:t>
            </w:r>
          </w:p>
        </w:tc>
      </w:tr>
      <w:tr w:rsidR="000546E0" w:rsidRPr="000546E0" w:rsidTr="007B1695">
        <w:tc>
          <w:tcPr>
            <w:tcW w:w="3813" w:type="dxa"/>
            <w:shd w:val="clear" w:color="auto" w:fill="auto"/>
          </w:tcPr>
          <w:p w:rsidR="000546E0" w:rsidRPr="007B1695" w:rsidRDefault="000546E0" w:rsidP="000546E0">
            <w:pPr>
              <w:pStyle w:val="TableText0"/>
            </w:pPr>
            <w:r w:rsidRPr="007B1695">
              <w:t>Northern Territory</w:t>
            </w:r>
          </w:p>
        </w:tc>
        <w:tc>
          <w:tcPr>
            <w:tcW w:w="4535" w:type="dxa"/>
            <w:shd w:val="clear" w:color="auto" w:fill="auto"/>
            <w:vAlign w:val="center"/>
          </w:tcPr>
          <w:p w:rsidR="000546E0" w:rsidRPr="007B1695" w:rsidRDefault="000546E0" w:rsidP="007B1695">
            <w:pPr>
              <w:pStyle w:val="TableText0"/>
              <w:jc w:val="center"/>
            </w:pPr>
            <w:r w:rsidRPr="007B1695">
              <w:t>0</w:t>
            </w:r>
          </w:p>
        </w:tc>
      </w:tr>
      <w:tr w:rsidR="000546E0" w:rsidRPr="000546E0" w:rsidTr="007B1695">
        <w:tc>
          <w:tcPr>
            <w:tcW w:w="3813" w:type="dxa"/>
            <w:shd w:val="clear" w:color="auto" w:fill="auto"/>
          </w:tcPr>
          <w:p w:rsidR="000546E0" w:rsidRPr="007B1695" w:rsidRDefault="000546E0" w:rsidP="000546E0">
            <w:pPr>
              <w:pStyle w:val="TableText0"/>
            </w:pPr>
            <w:r w:rsidRPr="007B1695">
              <w:t>Queensland</w:t>
            </w:r>
            <w:bookmarkStart w:id="40" w:name="_GoBack"/>
            <w:bookmarkEnd w:id="40"/>
          </w:p>
        </w:tc>
        <w:tc>
          <w:tcPr>
            <w:tcW w:w="4535" w:type="dxa"/>
            <w:shd w:val="clear" w:color="auto" w:fill="auto"/>
            <w:vAlign w:val="center"/>
          </w:tcPr>
          <w:p w:rsidR="000546E0" w:rsidRPr="007B1695" w:rsidRDefault="000546E0" w:rsidP="007B1695">
            <w:pPr>
              <w:pStyle w:val="TableText0"/>
              <w:jc w:val="center"/>
            </w:pPr>
            <w:r w:rsidRPr="007B1695">
              <w:t>31</w:t>
            </w:r>
          </w:p>
        </w:tc>
      </w:tr>
      <w:tr w:rsidR="000546E0" w:rsidRPr="000546E0" w:rsidTr="007B1695">
        <w:tc>
          <w:tcPr>
            <w:tcW w:w="3813" w:type="dxa"/>
            <w:shd w:val="clear" w:color="auto" w:fill="auto"/>
          </w:tcPr>
          <w:p w:rsidR="000546E0" w:rsidRPr="007B1695" w:rsidRDefault="000546E0" w:rsidP="000546E0">
            <w:pPr>
              <w:pStyle w:val="TableText0"/>
            </w:pPr>
            <w:r w:rsidRPr="007B1695">
              <w:t>South Australia</w:t>
            </w:r>
          </w:p>
        </w:tc>
        <w:tc>
          <w:tcPr>
            <w:tcW w:w="4535" w:type="dxa"/>
            <w:shd w:val="clear" w:color="auto" w:fill="auto"/>
            <w:vAlign w:val="center"/>
          </w:tcPr>
          <w:p w:rsidR="000546E0" w:rsidRPr="007B1695" w:rsidRDefault="000546E0" w:rsidP="007B1695">
            <w:pPr>
              <w:pStyle w:val="TableText0"/>
              <w:jc w:val="center"/>
            </w:pPr>
            <w:r w:rsidRPr="007B1695">
              <w:t>0</w:t>
            </w:r>
          </w:p>
        </w:tc>
      </w:tr>
      <w:tr w:rsidR="000546E0" w:rsidRPr="000546E0" w:rsidTr="007B1695">
        <w:tc>
          <w:tcPr>
            <w:tcW w:w="3813" w:type="dxa"/>
            <w:shd w:val="clear" w:color="auto" w:fill="auto"/>
          </w:tcPr>
          <w:p w:rsidR="000546E0" w:rsidRPr="007B1695" w:rsidRDefault="000546E0" w:rsidP="000546E0">
            <w:pPr>
              <w:pStyle w:val="TableText0"/>
            </w:pPr>
            <w:r w:rsidRPr="007B1695">
              <w:t>Tasmania</w:t>
            </w:r>
          </w:p>
        </w:tc>
        <w:tc>
          <w:tcPr>
            <w:tcW w:w="4535" w:type="dxa"/>
            <w:shd w:val="clear" w:color="auto" w:fill="auto"/>
            <w:vAlign w:val="center"/>
          </w:tcPr>
          <w:p w:rsidR="000546E0" w:rsidRPr="007B1695" w:rsidRDefault="000546E0" w:rsidP="007B1695">
            <w:pPr>
              <w:pStyle w:val="TableText0"/>
              <w:jc w:val="center"/>
            </w:pPr>
            <w:r w:rsidRPr="007B1695">
              <w:t>1</w:t>
            </w:r>
          </w:p>
        </w:tc>
      </w:tr>
      <w:tr w:rsidR="000546E0" w:rsidRPr="000546E0" w:rsidTr="007B1695">
        <w:tc>
          <w:tcPr>
            <w:tcW w:w="3813" w:type="dxa"/>
            <w:shd w:val="clear" w:color="auto" w:fill="auto"/>
          </w:tcPr>
          <w:p w:rsidR="000546E0" w:rsidRPr="007B1695" w:rsidRDefault="000546E0" w:rsidP="000546E0">
            <w:pPr>
              <w:pStyle w:val="TableText0"/>
            </w:pPr>
            <w:r w:rsidRPr="007B1695">
              <w:t>Victoria</w:t>
            </w:r>
          </w:p>
        </w:tc>
        <w:tc>
          <w:tcPr>
            <w:tcW w:w="4535" w:type="dxa"/>
            <w:shd w:val="clear" w:color="auto" w:fill="auto"/>
            <w:vAlign w:val="center"/>
          </w:tcPr>
          <w:p w:rsidR="000546E0" w:rsidRPr="007B1695" w:rsidRDefault="000546E0" w:rsidP="007B1695">
            <w:pPr>
              <w:pStyle w:val="TableText0"/>
              <w:jc w:val="center"/>
            </w:pPr>
            <w:r w:rsidRPr="007B1695">
              <w:t>4</w:t>
            </w:r>
          </w:p>
        </w:tc>
      </w:tr>
      <w:tr w:rsidR="000546E0" w:rsidRPr="000546E0" w:rsidTr="007B1695">
        <w:tc>
          <w:tcPr>
            <w:tcW w:w="3813" w:type="dxa"/>
            <w:shd w:val="clear" w:color="auto" w:fill="auto"/>
          </w:tcPr>
          <w:p w:rsidR="000546E0" w:rsidRPr="007B1695" w:rsidRDefault="000546E0" w:rsidP="000546E0">
            <w:pPr>
              <w:pStyle w:val="TableText0"/>
            </w:pPr>
            <w:r w:rsidRPr="007B1695">
              <w:t>Western Australia</w:t>
            </w:r>
          </w:p>
        </w:tc>
        <w:tc>
          <w:tcPr>
            <w:tcW w:w="4535" w:type="dxa"/>
            <w:shd w:val="clear" w:color="auto" w:fill="auto"/>
            <w:vAlign w:val="center"/>
          </w:tcPr>
          <w:p w:rsidR="000546E0" w:rsidRPr="007B1695" w:rsidRDefault="000546E0" w:rsidP="007B1695">
            <w:pPr>
              <w:pStyle w:val="TableText0"/>
              <w:jc w:val="center"/>
            </w:pPr>
            <w:r w:rsidRPr="007B1695">
              <w:t>1</w:t>
            </w:r>
          </w:p>
        </w:tc>
      </w:tr>
    </w:tbl>
    <w:p w:rsidR="000546E0" w:rsidRDefault="000546E0" w:rsidP="000546E0">
      <w:pPr>
        <w:pStyle w:val="TableNotes"/>
      </w:pPr>
      <w:r>
        <w:t>Source: http://testingportal.ashm.org.au/hiv-rapid-testing/77-hiv -rapid-testing [accessed 12 March 2015]</w:t>
      </w:r>
    </w:p>
    <w:p w:rsidR="007556E6" w:rsidRDefault="00BF559E" w:rsidP="007556E6">
      <w:pPr>
        <w:rPr>
          <w:bCs/>
        </w:rPr>
      </w:pPr>
      <w:r w:rsidRPr="00BF559E">
        <w:rPr>
          <w:bCs/>
        </w:rPr>
        <w:t>F</w:t>
      </w:r>
      <w:r w:rsidR="000546E0" w:rsidRPr="00BF559E">
        <w:rPr>
          <w:bCs/>
        </w:rPr>
        <w:t>unding arrangements for rapid point-of-care HIV testing exist</w:t>
      </w:r>
      <w:r w:rsidRPr="00BF559E">
        <w:rPr>
          <w:bCs/>
        </w:rPr>
        <w:t xml:space="preserve"> in some States and Territories</w:t>
      </w:r>
      <w:r w:rsidR="000546E0" w:rsidRPr="00BF559E">
        <w:rPr>
          <w:bCs/>
        </w:rPr>
        <w:t>.</w:t>
      </w:r>
      <w:r w:rsidRPr="00BF559E">
        <w:rPr>
          <w:bCs/>
        </w:rPr>
        <w:t xml:space="preserve"> </w:t>
      </w:r>
      <w:r w:rsidR="000546E0" w:rsidRPr="00BF559E">
        <w:rPr>
          <w:bCs/>
        </w:rPr>
        <w:t xml:space="preserve"> For example, the Queensland government provides rapid point-of-care HIV tests for free under the Community HIV Education and Prevention (CHEP) program.  The Victorian PRONTO! Clinics also offer the test for free, where this clinic is in partnership with the Victorian AIDS Council and the Burnet institute, who presumably fund the tests.  In clinics where no external funding arrangement exists, those being tested currently pay for the test privately</w:t>
      </w:r>
      <w:r w:rsidRPr="00AF4C8D">
        <w:rPr>
          <w:bCs/>
        </w:rPr>
        <w:t xml:space="preserve">.  One clinic reports the cost associated with the test, </w:t>
      </w:r>
      <w:r w:rsidR="000546E0" w:rsidRPr="00AF4C8D">
        <w:rPr>
          <w:bCs/>
        </w:rPr>
        <w:t xml:space="preserve">$25 </w:t>
      </w:r>
      <w:r w:rsidRPr="00AF4C8D">
        <w:rPr>
          <w:bCs/>
        </w:rPr>
        <w:t>(</w:t>
      </w:r>
      <w:r w:rsidR="000546E0" w:rsidRPr="00AF4C8D">
        <w:rPr>
          <w:bCs/>
        </w:rPr>
        <w:t>for cost recovery).</w:t>
      </w:r>
      <w:r w:rsidR="00532A82">
        <w:rPr>
          <w:bCs/>
        </w:rPr>
        <w:t xml:space="preserve">  It is presumed that the funding arrangements in place for rapid point-of-care testing would apply to all individuals who undergo the test and </w:t>
      </w:r>
      <w:r w:rsidR="0024235F">
        <w:rPr>
          <w:bCs/>
        </w:rPr>
        <w:t xml:space="preserve">that it would not be </w:t>
      </w:r>
      <w:r w:rsidR="002F261C">
        <w:rPr>
          <w:bCs/>
        </w:rPr>
        <w:t>applicable</w:t>
      </w:r>
      <w:r w:rsidR="004733E7">
        <w:rPr>
          <w:bCs/>
        </w:rPr>
        <w:t xml:space="preserve"> to only high-</w:t>
      </w:r>
      <w:r w:rsidR="0024235F">
        <w:rPr>
          <w:bCs/>
        </w:rPr>
        <w:t>risk individuals.</w:t>
      </w:r>
    </w:p>
    <w:p w:rsidR="00E47447" w:rsidRDefault="00E47447" w:rsidP="00102204">
      <w:pPr>
        <w:rPr>
          <w:bCs/>
        </w:rPr>
      </w:pPr>
      <w:r>
        <w:rPr>
          <w:bCs/>
        </w:rPr>
        <w:lastRenderedPageBreak/>
        <w:t>The proposed MBS item descriptor for the rapid point-of-care test is provided in Table 4.</w:t>
      </w:r>
      <w:r w:rsidR="00102204">
        <w:rPr>
          <w:bCs/>
        </w:rPr>
        <w:t xml:space="preserve">  </w:t>
      </w:r>
      <w:r w:rsidR="00102204" w:rsidRPr="00102204">
        <w:rPr>
          <w:bCs/>
        </w:rPr>
        <w:t xml:space="preserve">It is proposed that any TGA registered rapid </w:t>
      </w:r>
      <w:r w:rsidR="00102204">
        <w:rPr>
          <w:bCs/>
        </w:rPr>
        <w:t>four</w:t>
      </w:r>
      <w:r w:rsidR="00102204" w:rsidRPr="00102204">
        <w:rPr>
          <w:bCs/>
        </w:rPr>
        <w:t>th generation combined Antigen/Antibody HIV</w:t>
      </w:r>
      <w:r w:rsidR="00102204">
        <w:rPr>
          <w:bCs/>
        </w:rPr>
        <w:t xml:space="preserve"> </w:t>
      </w:r>
      <w:r w:rsidR="00102204" w:rsidRPr="00102204">
        <w:rPr>
          <w:bCs/>
        </w:rPr>
        <w:t>test could be used to deliver the service.</w:t>
      </w:r>
      <w:r w:rsidR="00102204">
        <w:rPr>
          <w:bCs/>
        </w:rPr>
        <w:t xml:space="preserve">  The DHC test is the only current test available.</w:t>
      </w:r>
    </w:p>
    <w:p w:rsidR="00E47447" w:rsidRDefault="00E47447" w:rsidP="008A089E">
      <w:pPr>
        <w:pStyle w:val="Caption"/>
      </w:pPr>
      <w:bookmarkStart w:id="41" w:name="_Toc415103507"/>
      <w:bookmarkStart w:id="42" w:name="_Toc418224995"/>
      <w:bookmarkStart w:id="43" w:name="_Toc418225082"/>
      <w:bookmarkStart w:id="44" w:name="_Toc418225640"/>
      <w:r>
        <w:t>Table 4</w:t>
      </w:r>
      <w:r w:rsidR="00023934">
        <w:tab/>
      </w:r>
      <w:r>
        <w:t>Proposed MBS item descriptor for rapid point-of-care testing for HIV</w:t>
      </w:r>
      <w:bookmarkEnd w:id="41"/>
      <w:bookmarkEnd w:id="42"/>
      <w:bookmarkEnd w:id="43"/>
      <w:bookmarkEnd w:id="44"/>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Proposed MBS item descriptor for rapid point-of-care testing for HIV"/>
      </w:tblPr>
      <w:tblGrid>
        <w:gridCol w:w="8348"/>
      </w:tblGrid>
      <w:tr w:rsidR="000E5514" w:rsidTr="007B1695">
        <w:tc>
          <w:tcPr>
            <w:tcW w:w="8348" w:type="dxa"/>
            <w:shd w:val="clear" w:color="auto" w:fill="auto"/>
          </w:tcPr>
          <w:p w:rsidR="000E5514" w:rsidRDefault="000E5514" w:rsidP="00E47447">
            <w:pPr>
              <w:pStyle w:val="TableText"/>
            </w:pPr>
            <w:r w:rsidRPr="000E5514">
              <w:t xml:space="preserve">Category 6 – Pathology </w:t>
            </w:r>
            <w:r>
              <w:tab/>
            </w:r>
            <w:r>
              <w:tab/>
            </w:r>
            <w:r w:rsidRPr="000E5514">
              <w:t>Group P9 – Simple Basic Pathology Tests</w:t>
            </w:r>
          </w:p>
        </w:tc>
      </w:tr>
      <w:tr w:rsidR="000E5514" w:rsidTr="007B1695">
        <w:tc>
          <w:tcPr>
            <w:tcW w:w="8348" w:type="dxa"/>
            <w:shd w:val="clear" w:color="auto" w:fill="auto"/>
          </w:tcPr>
          <w:p w:rsidR="000E5514" w:rsidRDefault="000E5514" w:rsidP="000E5514">
            <w:pPr>
              <w:pStyle w:val="TableText"/>
            </w:pPr>
            <w:r>
              <w:t>MBS [item number]</w:t>
            </w:r>
          </w:p>
          <w:p w:rsidR="000E5514" w:rsidRDefault="000E5514" w:rsidP="000E5514">
            <w:pPr>
              <w:pStyle w:val="TableText"/>
            </w:pPr>
            <w:r>
              <w:t>Point of care HIV antigen/antibody test by one or more immunochemical methods in a blood sample from a high-risk patient.</w:t>
            </w:r>
          </w:p>
          <w:p w:rsidR="000E5514" w:rsidRPr="00204EEA" w:rsidRDefault="000E5514" w:rsidP="000E5514">
            <w:pPr>
              <w:pStyle w:val="TableText"/>
            </w:pPr>
            <w:r w:rsidRPr="00204EEA">
              <w:rPr>
                <w:b/>
              </w:rPr>
              <w:t>Fee:</w:t>
            </w:r>
            <w:r>
              <w:t>$30</w:t>
            </w:r>
            <w:r w:rsidR="00204EEA">
              <w:t xml:space="preserve">.00 </w:t>
            </w:r>
            <w:r w:rsidR="00204EEA">
              <w:rPr>
                <w:b/>
              </w:rPr>
              <w:t xml:space="preserve">Benefit: </w:t>
            </w:r>
            <w:r w:rsidR="00204EEA">
              <w:t>75% = $22.50 85% = $25.50</w:t>
            </w:r>
          </w:p>
        </w:tc>
      </w:tr>
    </w:tbl>
    <w:p w:rsidR="00E47447" w:rsidRDefault="000E5514" w:rsidP="000E5514">
      <w:pPr>
        <w:pStyle w:val="TableNotes"/>
      </w:pPr>
      <w:r>
        <w:t xml:space="preserve">Source: p5 of the MSAC 1391 </w:t>
      </w:r>
      <w:r w:rsidR="00B0005A">
        <w:t>Final</w:t>
      </w:r>
      <w:r>
        <w:t xml:space="preserve"> Protocol</w:t>
      </w:r>
      <w:r w:rsidR="00C55706">
        <w:t xml:space="preserve"> – specifies a fee of $30.00, the 75% and 85% benefits were calculated during the assessment</w:t>
      </w:r>
    </w:p>
    <w:p w:rsidR="00102204" w:rsidRDefault="00102204" w:rsidP="00102204">
      <w:pPr>
        <w:rPr>
          <w:bCs/>
        </w:rPr>
      </w:pPr>
      <w:r>
        <w:rPr>
          <w:bCs/>
        </w:rPr>
        <w:t>The MSAC 1391 Final Protocol states that “</w:t>
      </w:r>
      <w:r w:rsidRPr="00102204">
        <w:rPr>
          <w:bCs/>
        </w:rPr>
        <w:t>An explanatory note would need to be included or accompany the proposed MBS descriptor</w:t>
      </w:r>
      <w:r>
        <w:rPr>
          <w:bCs/>
        </w:rPr>
        <w:t xml:space="preserve"> </w:t>
      </w:r>
      <w:r w:rsidRPr="00102204">
        <w:rPr>
          <w:bCs/>
        </w:rPr>
        <w:t>explaining that the test must be performed at the point</w:t>
      </w:r>
      <w:r>
        <w:rPr>
          <w:bCs/>
        </w:rPr>
        <w:t>-</w:t>
      </w:r>
      <w:r w:rsidRPr="00102204">
        <w:rPr>
          <w:bCs/>
        </w:rPr>
        <w:t>of</w:t>
      </w:r>
      <w:r>
        <w:rPr>
          <w:bCs/>
        </w:rPr>
        <w:t>-</w:t>
      </w:r>
      <w:r w:rsidRPr="00102204">
        <w:rPr>
          <w:bCs/>
        </w:rPr>
        <w:t>care and that the MBS item cannot</w:t>
      </w:r>
      <w:r>
        <w:rPr>
          <w:bCs/>
        </w:rPr>
        <w:t xml:space="preserve"> </w:t>
      </w:r>
      <w:r w:rsidRPr="00102204">
        <w:rPr>
          <w:bCs/>
        </w:rPr>
        <w:t>be claimed on laboratory testing</w:t>
      </w:r>
      <w:r>
        <w:rPr>
          <w:bCs/>
        </w:rPr>
        <w:t>”</w:t>
      </w:r>
      <w:r w:rsidRPr="00102204">
        <w:rPr>
          <w:bCs/>
        </w:rPr>
        <w:t>.</w:t>
      </w:r>
    </w:p>
    <w:p w:rsidR="00696A03" w:rsidRDefault="00696A03" w:rsidP="00BF559E">
      <w:pPr>
        <w:rPr>
          <w:bCs/>
        </w:rPr>
      </w:pPr>
      <w:r w:rsidRPr="00C52AB0">
        <w:rPr>
          <w:bCs/>
        </w:rPr>
        <w:t xml:space="preserve">It is anticipated that the majority of use will be in GP clinics and sexual health clinics </w:t>
      </w:r>
      <w:r w:rsidR="00C52AB0" w:rsidRPr="00C52AB0">
        <w:rPr>
          <w:bCs/>
        </w:rPr>
        <w:t xml:space="preserve">primarily </w:t>
      </w:r>
      <w:r w:rsidRPr="00C52AB0">
        <w:rPr>
          <w:bCs/>
        </w:rPr>
        <w:t>for MSM</w:t>
      </w:r>
      <w:r w:rsidR="00AC00C9">
        <w:rPr>
          <w:bCs/>
        </w:rPr>
        <w:t>.</w:t>
      </w:r>
      <w:r w:rsidR="00102204">
        <w:rPr>
          <w:bCs/>
        </w:rPr>
        <w:t xml:space="preserve">  </w:t>
      </w:r>
      <w:r w:rsidR="00A010C4">
        <w:rPr>
          <w:bCs/>
        </w:rPr>
        <w:t>Some consideration is required as to whether guidelines or explanatory notes for the identi</w:t>
      </w:r>
      <w:r w:rsidR="004733E7">
        <w:rPr>
          <w:bCs/>
        </w:rPr>
        <w:t>fication of individuals at high-</w:t>
      </w:r>
      <w:r w:rsidR="00A010C4">
        <w:rPr>
          <w:bCs/>
        </w:rPr>
        <w:t>risk should be provided for GPs.</w:t>
      </w:r>
    </w:p>
    <w:p w:rsidR="00102204" w:rsidRDefault="00A010C4" w:rsidP="00BF559E">
      <w:pPr>
        <w:rPr>
          <w:bCs/>
        </w:rPr>
      </w:pPr>
      <w:r>
        <w:rPr>
          <w:bCs/>
        </w:rPr>
        <w:t>Additionally, i</w:t>
      </w:r>
      <w:r w:rsidR="00102204">
        <w:rPr>
          <w:bCs/>
        </w:rPr>
        <w:t xml:space="preserve">t is noted that the proposed item descriptor does not explicitly </w:t>
      </w:r>
      <w:r w:rsidR="00AF4C8D">
        <w:rPr>
          <w:bCs/>
        </w:rPr>
        <w:t xml:space="preserve">state that the test should be used in GP or sexual health clinics, which is intended; nor does it explicitly </w:t>
      </w:r>
      <w:r w:rsidR="00102204">
        <w:rPr>
          <w:bCs/>
        </w:rPr>
        <w:t xml:space="preserve">exclude use of the DHC test for screening of blood or organ donation specimens, </w:t>
      </w:r>
      <w:r w:rsidR="006A4C35">
        <w:rPr>
          <w:bCs/>
        </w:rPr>
        <w:t>or</w:t>
      </w:r>
      <w:r w:rsidR="00102204">
        <w:rPr>
          <w:bCs/>
        </w:rPr>
        <w:t xml:space="preserve"> use in routine pre-natal testing.  Modification of the item descriptor or explanatory notes may need to be considered in order to restrict use to the populations for whom the test is intended.</w:t>
      </w:r>
    </w:p>
    <w:p w:rsidR="004733E7" w:rsidRDefault="004733E7" w:rsidP="004733E7">
      <w:pPr>
        <w:spacing w:after="60"/>
        <w:rPr>
          <w:bCs/>
        </w:rPr>
      </w:pPr>
      <w:r>
        <w:rPr>
          <w:bCs/>
        </w:rPr>
        <w:t>Moreover, clarification is required as to how the test will be billed in instances where:</w:t>
      </w:r>
    </w:p>
    <w:p w:rsidR="004733E7" w:rsidRPr="004733E7" w:rsidRDefault="004733E7" w:rsidP="004733E7">
      <w:pPr>
        <w:pStyle w:val="ListParagraph"/>
        <w:numPr>
          <w:ilvl w:val="0"/>
          <w:numId w:val="35"/>
        </w:numPr>
        <w:spacing w:after="0" w:line="240" w:lineRule="auto"/>
        <w:ind w:left="993" w:hanging="284"/>
        <w:rPr>
          <w:rFonts w:ascii="Garamond" w:hAnsi="Garamond"/>
          <w:bCs/>
          <w:sz w:val="24"/>
          <w:szCs w:val="24"/>
        </w:rPr>
      </w:pPr>
      <w:r w:rsidRPr="004733E7">
        <w:rPr>
          <w:rFonts w:ascii="Garamond" w:hAnsi="Garamond"/>
          <w:bCs/>
          <w:sz w:val="24"/>
          <w:szCs w:val="24"/>
        </w:rPr>
        <w:t>an invalid result is obtained (no red bar appears in the control bar) and the test requires repeating; or</w:t>
      </w:r>
    </w:p>
    <w:p w:rsidR="004733E7" w:rsidRDefault="004733E7" w:rsidP="00906B32">
      <w:pPr>
        <w:pStyle w:val="ListParagraph"/>
        <w:numPr>
          <w:ilvl w:val="0"/>
          <w:numId w:val="35"/>
        </w:numPr>
        <w:spacing w:after="60" w:line="240" w:lineRule="auto"/>
        <w:ind w:left="993" w:hanging="284"/>
        <w:rPr>
          <w:rFonts w:ascii="Garamond" w:hAnsi="Garamond"/>
          <w:bCs/>
          <w:sz w:val="24"/>
          <w:szCs w:val="24"/>
        </w:rPr>
      </w:pPr>
      <w:proofErr w:type="gramStart"/>
      <w:r w:rsidRPr="004733E7">
        <w:rPr>
          <w:rFonts w:ascii="Garamond" w:hAnsi="Garamond"/>
          <w:bCs/>
          <w:sz w:val="24"/>
          <w:szCs w:val="24"/>
        </w:rPr>
        <w:t>where</w:t>
      </w:r>
      <w:proofErr w:type="gramEnd"/>
      <w:r w:rsidRPr="004733E7">
        <w:rPr>
          <w:rFonts w:ascii="Garamond" w:hAnsi="Garamond"/>
          <w:bCs/>
          <w:sz w:val="24"/>
          <w:szCs w:val="24"/>
        </w:rPr>
        <w:t xml:space="preserve"> </w:t>
      </w:r>
      <w:r w:rsidR="00906B32">
        <w:rPr>
          <w:rFonts w:ascii="Garamond" w:hAnsi="Garamond"/>
          <w:bCs/>
          <w:sz w:val="24"/>
          <w:szCs w:val="24"/>
        </w:rPr>
        <w:t>a</w:t>
      </w:r>
      <w:r w:rsidRPr="004733E7">
        <w:rPr>
          <w:rFonts w:ascii="Garamond" w:hAnsi="Garamond"/>
          <w:bCs/>
          <w:sz w:val="24"/>
          <w:szCs w:val="24"/>
        </w:rPr>
        <w:t xml:space="preserve"> clinician </w:t>
      </w:r>
      <w:r w:rsidR="00906B32">
        <w:rPr>
          <w:rFonts w:ascii="Garamond" w:hAnsi="Garamond"/>
          <w:bCs/>
          <w:sz w:val="24"/>
          <w:szCs w:val="24"/>
        </w:rPr>
        <w:t>decides to repeat the test in the event of an initial reactive result prior to referral for serology testing.</w:t>
      </w:r>
    </w:p>
    <w:p w:rsidR="00906B32" w:rsidRPr="00906B32" w:rsidRDefault="00906B32" w:rsidP="00906B32">
      <w:pPr>
        <w:ind w:left="709"/>
        <w:rPr>
          <w:bCs/>
          <w:szCs w:val="24"/>
        </w:rPr>
      </w:pPr>
      <w:r>
        <w:rPr>
          <w:bCs/>
          <w:szCs w:val="24"/>
        </w:rPr>
        <w:t>That is, will the test be billed once or twice, and whether an explanatory note should be included to specify the number of times the item may be billed per consultation.</w:t>
      </w:r>
    </w:p>
    <w:p w:rsidR="00102204" w:rsidRPr="00102204" w:rsidRDefault="00102204" w:rsidP="00102204">
      <w:pPr>
        <w:rPr>
          <w:bCs/>
        </w:rPr>
      </w:pPr>
      <w:r w:rsidRPr="00102204">
        <w:rPr>
          <w:bCs/>
        </w:rPr>
        <w:t>Based on Australian experience to date, uptake by General Practitioners has been limited to</w:t>
      </w:r>
      <w:r>
        <w:rPr>
          <w:bCs/>
        </w:rPr>
        <w:t xml:space="preserve"> </w:t>
      </w:r>
      <w:r w:rsidRPr="00102204">
        <w:rPr>
          <w:bCs/>
        </w:rPr>
        <w:t xml:space="preserve">those whose patient mix includes a relatively high number of high-risk </w:t>
      </w:r>
      <w:r w:rsidR="005447B7">
        <w:rPr>
          <w:bCs/>
        </w:rPr>
        <w:t>individual</w:t>
      </w:r>
      <w:r w:rsidRPr="00102204">
        <w:rPr>
          <w:bCs/>
        </w:rPr>
        <w:t>s such as</w:t>
      </w:r>
      <w:r>
        <w:rPr>
          <w:bCs/>
        </w:rPr>
        <w:t xml:space="preserve"> </w:t>
      </w:r>
      <w:r w:rsidRPr="00102204">
        <w:rPr>
          <w:bCs/>
        </w:rPr>
        <w:t>MSM.</w:t>
      </w:r>
    </w:p>
    <w:p w:rsidR="00102204" w:rsidRPr="00102204" w:rsidRDefault="00102204" w:rsidP="00102204">
      <w:pPr>
        <w:rPr>
          <w:bCs/>
        </w:rPr>
      </w:pPr>
      <w:r w:rsidRPr="00102204">
        <w:rPr>
          <w:bCs/>
        </w:rPr>
        <w:t>It is expected that if point</w:t>
      </w:r>
      <w:r w:rsidR="00A40E47">
        <w:rPr>
          <w:bCs/>
        </w:rPr>
        <w:t>-</w:t>
      </w:r>
      <w:r w:rsidRPr="00102204">
        <w:rPr>
          <w:bCs/>
        </w:rPr>
        <w:t>of</w:t>
      </w:r>
      <w:r w:rsidR="00A40E47">
        <w:rPr>
          <w:bCs/>
        </w:rPr>
        <w:t>-</w:t>
      </w:r>
      <w:r w:rsidRPr="00102204">
        <w:rPr>
          <w:bCs/>
        </w:rPr>
        <w:t>care HIV testing is listed on the MBS then the number of GP</w:t>
      </w:r>
      <w:r>
        <w:rPr>
          <w:bCs/>
        </w:rPr>
        <w:t xml:space="preserve"> </w:t>
      </w:r>
      <w:r w:rsidRPr="00102204">
        <w:rPr>
          <w:bCs/>
        </w:rPr>
        <w:t>clinics offering the service will increase with the increases mainly additional clinics that have</w:t>
      </w:r>
      <w:r>
        <w:rPr>
          <w:bCs/>
        </w:rPr>
        <w:t xml:space="preserve"> </w:t>
      </w:r>
      <w:r w:rsidRPr="00102204">
        <w:rPr>
          <w:bCs/>
        </w:rPr>
        <w:t xml:space="preserve">a high number of high-risk </w:t>
      </w:r>
      <w:r w:rsidR="005447B7">
        <w:rPr>
          <w:bCs/>
        </w:rPr>
        <w:t>individual</w:t>
      </w:r>
      <w:r w:rsidR="005447B7" w:rsidRPr="00102204">
        <w:rPr>
          <w:bCs/>
        </w:rPr>
        <w:t>s</w:t>
      </w:r>
      <w:r w:rsidRPr="00102204">
        <w:rPr>
          <w:bCs/>
        </w:rPr>
        <w:t xml:space="preserve">. </w:t>
      </w:r>
      <w:r>
        <w:rPr>
          <w:bCs/>
        </w:rPr>
        <w:t xml:space="preserve"> </w:t>
      </w:r>
      <w:r w:rsidRPr="00102204">
        <w:rPr>
          <w:bCs/>
        </w:rPr>
        <w:t>Although MBS funding would make it more economically</w:t>
      </w:r>
      <w:r>
        <w:rPr>
          <w:bCs/>
        </w:rPr>
        <w:t xml:space="preserve"> </w:t>
      </w:r>
      <w:r w:rsidRPr="00102204">
        <w:rPr>
          <w:bCs/>
        </w:rPr>
        <w:t>viable there would still be significant hurdles for clinics to provide the service including the</w:t>
      </w:r>
      <w:r>
        <w:rPr>
          <w:bCs/>
        </w:rPr>
        <w:t xml:space="preserve"> </w:t>
      </w:r>
      <w:r w:rsidRPr="00102204">
        <w:rPr>
          <w:bCs/>
        </w:rPr>
        <w:t xml:space="preserve">paperwork required to comply with TGA conditions, </w:t>
      </w:r>
      <w:r w:rsidR="00906B32">
        <w:rPr>
          <w:bCs/>
        </w:rPr>
        <w:t>q</w:t>
      </w:r>
      <w:r w:rsidR="004733E7">
        <w:rPr>
          <w:bCs/>
        </w:rPr>
        <w:t xml:space="preserve">uality </w:t>
      </w:r>
      <w:r w:rsidR="00906B32">
        <w:rPr>
          <w:bCs/>
        </w:rPr>
        <w:t>a</w:t>
      </w:r>
      <w:r w:rsidR="004733E7">
        <w:rPr>
          <w:bCs/>
        </w:rPr>
        <w:t xml:space="preserve">ssurance </w:t>
      </w:r>
      <w:r w:rsidR="00906B32">
        <w:rPr>
          <w:bCs/>
        </w:rPr>
        <w:t>p</w:t>
      </w:r>
      <w:r w:rsidR="004733E7">
        <w:rPr>
          <w:bCs/>
        </w:rPr>
        <w:t>rogram (</w:t>
      </w:r>
      <w:r w:rsidRPr="00102204">
        <w:rPr>
          <w:bCs/>
        </w:rPr>
        <w:t>QAP</w:t>
      </w:r>
      <w:r w:rsidR="004733E7">
        <w:rPr>
          <w:bCs/>
        </w:rPr>
        <w:t>)</w:t>
      </w:r>
      <w:r w:rsidRPr="00102204">
        <w:rPr>
          <w:bCs/>
        </w:rPr>
        <w:t xml:space="preserve"> enrolment, and the time required</w:t>
      </w:r>
      <w:r>
        <w:rPr>
          <w:bCs/>
        </w:rPr>
        <w:t xml:space="preserve"> </w:t>
      </w:r>
      <w:r w:rsidRPr="00102204">
        <w:rPr>
          <w:bCs/>
        </w:rPr>
        <w:t xml:space="preserve">for training to perform the test. </w:t>
      </w:r>
      <w:r>
        <w:rPr>
          <w:bCs/>
        </w:rPr>
        <w:t xml:space="preserve"> </w:t>
      </w:r>
      <w:r w:rsidRPr="00102204">
        <w:rPr>
          <w:bCs/>
        </w:rPr>
        <w:t xml:space="preserve">Unless there is significant demand from high-risk </w:t>
      </w:r>
      <w:r w:rsidR="005447B7">
        <w:rPr>
          <w:bCs/>
        </w:rPr>
        <w:t>individual</w:t>
      </w:r>
      <w:r w:rsidR="005447B7" w:rsidRPr="00102204">
        <w:rPr>
          <w:bCs/>
        </w:rPr>
        <w:t>s</w:t>
      </w:r>
      <w:r w:rsidRPr="00102204">
        <w:rPr>
          <w:bCs/>
        </w:rPr>
        <w:t xml:space="preserve"> it</w:t>
      </w:r>
      <w:r>
        <w:rPr>
          <w:bCs/>
        </w:rPr>
        <w:t xml:space="preserve"> </w:t>
      </w:r>
      <w:r w:rsidRPr="00102204">
        <w:rPr>
          <w:bCs/>
        </w:rPr>
        <w:t>would not be worthwhile for a GP clinic to offer the service.</w:t>
      </w:r>
    </w:p>
    <w:p w:rsidR="00102204" w:rsidRDefault="00102204" w:rsidP="00102204">
      <w:pPr>
        <w:rPr>
          <w:bCs/>
        </w:rPr>
      </w:pPr>
      <w:r>
        <w:rPr>
          <w:bCs/>
        </w:rPr>
        <w:lastRenderedPageBreak/>
        <w:t xml:space="preserve">The MSAC 1391 </w:t>
      </w:r>
      <w:r w:rsidR="008B56E1">
        <w:rPr>
          <w:bCs/>
        </w:rPr>
        <w:t xml:space="preserve">Final </w:t>
      </w:r>
      <w:r>
        <w:rPr>
          <w:bCs/>
        </w:rPr>
        <w:t>Protocol (2015) states that “</w:t>
      </w:r>
      <w:r w:rsidR="00A40E47">
        <w:rPr>
          <w:bCs/>
        </w:rPr>
        <w:t>Point-</w:t>
      </w:r>
      <w:r w:rsidRPr="00102204">
        <w:rPr>
          <w:bCs/>
        </w:rPr>
        <w:t>of</w:t>
      </w:r>
      <w:r w:rsidR="00A40E47">
        <w:rPr>
          <w:bCs/>
        </w:rPr>
        <w:t>-</w:t>
      </w:r>
      <w:r w:rsidRPr="00102204">
        <w:rPr>
          <w:bCs/>
        </w:rPr>
        <w:t>care HIV testing provides the greatest health impact in high-risk populations and</w:t>
      </w:r>
      <w:r>
        <w:rPr>
          <w:bCs/>
        </w:rPr>
        <w:t xml:space="preserve"> </w:t>
      </w:r>
      <w:r w:rsidRPr="00102204">
        <w:rPr>
          <w:bCs/>
        </w:rPr>
        <w:t>should be targeted to such groups.</w:t>
      </w:r>
      <w:r>
        <w:rPr>
          <w:bCs/>
        </w:rPr>
        <w:t xml:space="preserve"> </w:t>
      </w:r>
      <w:r w:rsidRPr="00102204">
        <w:rPr>
          <w:bCs/>
        </w:rPr>
        <w:t xml:space="preserve"> It is proposed that the regulatory hurdles to providing the</w:t>
      </w:r>
      <w:r>
        <w:rPr>
          <w:bCs/>
        </w:rPr>
        <w:t xml:space="preserve"> </w:t>
      </w:r>
      <w:r w:rsidRPr="00102204">
        <w:rPr>
          <w:bCs/>
        </w:rPr>
        <w:t>service, even if it is MBS listed, are so significant that in practice it would only be provided by</w:t>
      </w:r>
      <w:r>
        <w:rPr>
          <w:bCs/>
        </w:rPr>
        <w:t xml:space="preserve"> </w:t>
      </w:r>
      <w:r w:rsidRPr="00102204">
        <w:rPr>
          <w:bCs/>
        </w:rPr>
        <w:t>clinics serving high-risk populations.</w:t>
      </w:r>
      <w:r>
        <w:rPr>
          <w:bCs/>
        </w:rPr>
        <w:t xml:space="preserve">  </w:t>
      </w:r>
      <w:r w:rsidRPr="00102204">
        <w:rPr>
          <w:bCs/>
        </w:rPr>
        <w:t>It is noted that s</w:t>
      </w:r>
      <w:r w:rsidR="00A40E47">
        <w:rPr>
          <w:bCs/>
        </w:rPr>
        <w:t>ites currently performing point-</w:t>
      </w:r>
      <w:r w:rsidRPr="00102204">
        <w:rPr>
          <w:bCs/>
        </w:rPr>
        <w:t>of</w:t>
      </w:r>
      <w:r w:rsidR="00A40E47">
        <w:rPr>
          <w:bCs/>
        </w:rPr>
        <w:t>-</w:t>
      </w:r>
      <w:r w:rsidRPr="00102204">
        <w:rPr>
          <w:bCs/>
        </w:rPr>
        <w:t>care HIV testing have a relationship with a</w:t>
      </w:r>
      <w:r w:rsidR="004A2282">
        <w:rPr>
          <w:bCs/>
        </w:rPr>
        <w:t xml:space="preserve"> </w:t>
      </w:r>
      <w:r w:rsidRPr="00102204">
        <w:rPr>
          <w:bCs/>
        </w:rPr>
        <w:t>NATA accredited laboratory but are not themselves NATA accredited</w:t>
      </w:r>
      <w:r w:rsidR="00906B32">
        <w:rPr>
          <w:bCs/>
        </w:rPr>
        <w:t xml:space="preserve">.  </w:t>
      </w:r>
      <w:r w:rsidRPr="00102204">
        <w:rPr>
          <w:bCs/>
        </w:rPr>
        <w:t>Therefore</w:t>
      </w:r>
      <w:r w:rsidR="00A010C4">
        <w:rPr>
          <w:bCs/>
        </w:rPr>
        <w:t>,</w:t>
      </w:r>
      <w:r w:rsidRPr="00102204">
        <w:rPr>
          <w:bCs/>
        </w:rPr>
        <w:t xml:space="preserve"> they would</w:t>
      </w:r>
      <w:r w:rsidR="004A2282">
        <w:rPr>
          <w:bCs/>
        </w:rPr>
        <w:t xml:space="preserve"> </w:t>
      </w:r>
      <w:r w:rsidRPr="00102204">
        <w:rPr>
          <w:bCs/>
        </w:rPr>
        <w:t>not normally be able to claim pathology services except for a limited number of simple basic</w:t>
      </w:r>
      <w:r w:rsidR="004A2282">
        <w:rPr>
          <w:bCs/>
        </w:rPr>
        <w:t xml:space="preserve"> </w:t>
      </w:r>
      <w:r w:rsidRPr="00102204">
        <w:rPr>
          <w:bCs/>
        </w:rPr>
        <w:t>pathology tests (P9) such as immunochemical pregnancy tests</w:t>
      </w:r>
      <w:r w:rsidR="004A2282">
        <w:rPr>
          <w:bCs/>
        </w:rPr>
        <w:t>”</w:t>
      </w:r>
      <w:r w:rsidRPr="00102204">
        <w:rPr>
          <w:bCs/>
        </w:rPr>
        <w:t>.</w:t>
      </w:r>
      <w:r w:rsidR="00906B32">
        <w:rPr>
          <w:bCs/>
        </w:rPr>
        <w:t xml:space="preserve">  It is not known whether the participating clinics will require independent NATA accreditation at some point.  </w:t>
      </w:r>
    </w:p>
    <w:p w:rsidR="00BF559E" w:rsidRDefault="00C63FED" w:rsidP="00BF559E">
      <w:pPr>
        <w:rPr>
          <w:bCs/>
        </w:rPr>
      </w:pPr>
      <w:r w:rsidRPr="00C63FED">
        <w:rPr>
          <w:bCs/>
        </w:rPr>
        <w:t xml:space="preserve">A number of </w:t>
      </w:r>
      <w:r>
        <w:rPr>
          <w:bCs/>
        </w:rPr>
        <w:t>MBS items are applicable to serology HIV testing</w:t>
      </w:r>
      <w:r w:rsidR="005863C8">
        <w:rPr>
          <w:bCs/>
        </w:rPr>
        <w:t xml:space="preserve">, summarised in Table </w:t>
      </w:r>
      <w:r w:rsidR="00E47447">
        <w:rPr>
          <w:bCs/>
        </w:rPr>
        <w:t>5</w:t>
      </w:r>
      <w:r w:rsidR="005863C8">
        <w:rPr>
          <w:bCs/>
        </w:rPr>
        <w:t xml:space="preserve">.  </w:t>
      </w:r>
      <w:r w:rsidR="00102204">
        <w:rPr>
          <w:bCs/>
        </w:rPr>
        <w:t>Although there are a number of relevant MBS items, some relate to pre-natal routine testing of pregnant women, for whom this rapid point-of-care test is not intended.</w:t>
      </w:r>
      <w:r w:rsidR="00E862B6">
        <w:rPr>
          <w:bCs/>
        </w:rPr>
        <w:t xml:space="preserve">  Expert opinion sought during the assessment indicated that all</w:t>
      </w:r>
      <w:r w:rsidR="007612EE">
        <w:rPr>
          <w:bCs/>
        </w:rPr>
        <w:t xml:space="preserve"> HIV tests are bulk-</w:t>
      </w:r>
      <w:r w:rsidR="00E862B6">
        <w:rPr>
          <w:bCs/>
        </w:rPr>
        <w:t>billed.</w:t>
      </w:r>
    </w:p>
    <w:p w:rsidR="00FA43B8" w:rsidRDefault="00FA43B8" w:rsidP="00FA43B8">
      <w:proofErr w:type="gramStart"/>
      <w:r>
        <w:rPr>
          <w:bCs/>
        </w:rPr>
        <w:t xml:space="preserve">The MSAC 1391 </w:t>
      </w:r>
      <w:r w:rsidR="008B56E1">
        <w:rPr>
          <w:bCs/>
        </w:rPr>
        <w:t xml:space="preserve">Final </w:t>
      </w:r>
      <w:r>
        <w:rPr>
          <w:bCs/>
        </w:rPr>
        <w:t xml:space="preserve">Protocol (2015) states that </w:t>
      </w:r>
      <w:r>
        <w:t>the direct cost of DHC in Australia is approximately $18.00 per test.</w:t>
      </w:r>
      <w:proofErr w:type="gramEnd"/>
      <w:r>
        <w:t xml:space="preserve">  The other equipment or resources required to perform the test are consumables to perform the finger-stick blood sample collection (alcohol wipe, lancet, waste bin).  The site performing the testing is also required to enrol in a quality assurance program (QAP) which costs approximately $400 – $500 annually.  Finally, practitioners performing the testing must be trained in the use of the test which takes 1 to 1½ hours.</w:t>
      </w:r>
    </w:p>
    <w:p w:rsidR="00FA43B8" w:rsidRDefault="00FA43B8" w:rsidP="00FA43B8">
      <w:pPr>
        <w:rPr>
          <w:bCs/>
        </w:rPr>
      </w:pPr>
      <w:r>
        <w:t xml:space="preserve">It is acknowledged in the </w:t>
      </w:r>
      <w:r w:rsidR="00B0005A">
        <w:t xml:space="preserve">MSAC 1391 Final </w:t>
      </w:r>
      <w:r>
        <w:t xml:space="preserve">Protocol that the DHC test and other rapid HIV tests are available in other countries, particularly developing countries, at lower prices.  However, high TGA registration fees (up to $84,200 + on-site audit fees every 5 years); the relatively low test volumes; and relatively higher import, staff, warehousing and distribution costs mean that comparable pricing is not feasible in Australia.  The stringent conditions imposed on the TGA registration of the DHC test such as compiling training records, site declarations, site training, preparation of regulatory reports, etc. mean that supply of more </w:t>
      </w:r>
      <w:proofErr w:type="gramStart"/>
      <w:r>
        <w:t>product</w:t>
      </w:r>
      <w:proofErr w:type="gramEnd"/>
      <w:r>
        <w:t xml:space="preserve"> requires specialist regulatory resources and incurs additional regulatory expenses and larger testing volume does not necessarily generate economies of scale.  Additional sites using the test will generate additional compliance, reporting, training and other support activities which must be covered by the direct cost of the test.</w:t>
      </w:r>
    </w:p>
    <w:p w:rsidR="00A010C4" w:rsidRDefault="00A010C4">
      <w:pPr>
        <w:spacing w:after="0"/>
        <w:ind w:left="0"/>
        <w:rPr>
          <w:rFonts w:ascii="Arial Narrow" w:hAnsi="Arial Narrow"/>
          <w:b/>
          <w:bCs/>
          <w:sz w:val="20"/>
        </w:rPr>
      </w:pPr>
      <w:bookmarkStart w:id="45" w:name="_Toc415103508"/>
      <w:r>
        <w:br w:type="page"/>
      </w:r>
    </w:p>
    <w:p w:rsidR="00E47447" w:rsidRDefault="00E47447" w:rsidP="00204EEA">
      <w:pPr>
        <w:pStyle w:val="Caption"/>
        <w:spacing w:after="0"/>
      </w:pPr>
      <w:bookmarkStart w:id="46" w:name="_Toc418224996"/>
      <w:bookmarkStart w:id="47" w:name="_Toc418225083"/>
      <w:bookmarkStart w:id="48" w:name="_Toc418225641"/>
      <w:r>
        <w:lastRenderedPageBreak/>
        <w:t>Table 5</w:t>
      </w:r>
      <w:r>
        <w:tab/>
        <w:t>MBS item numbers and descriptors associated with serology testing for HIV</w:t>
      </w:r>
      <w:bookmarkEnd w:id="45"/>
      <w:bookmarkEnd w:id="46"/>
      <w:bookmarkEnd w:id="47"/>
      <w:bookmarkEnd w:id="4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MBS item numbers and descriptors associated with serology testing for HIV. The descriptions of 12 MBS items which include the testing for HIV are provided, including MBS fees."/>
      </w:tblPr>
      <w:tblGrid>
        <w:gridCol w:w="607"/>
        <w:gridCol w:w="6781"/>
        <w:gridCol w:w="977"/>
      </w:tblGrid>
      <w:tr w:rsidR="00204EEA" w:rsidRPr="005863C8" w:rsidTr="002A5CBD">
        <w:trPr>
          <w:tblHeader/>
        </w:trPr>
        <w:tc>
          <w:tcPr>
            <w:tcW w:w="607" w:type="dxa"/>
            <w:shd w:val="clear" w:color="auto" w:fill="auto"/>
            <w:vAlign w:val="center"/>
          </w:tcPr>
          <w:p w:rsidR="00204EEA" w:rsidRPr="007B1695" w:rsidRDefault="00204EEA" w:rsidP="00831853">
            <w:pPr>
              <w:pStyle w:val="TableText0"/>
              <w:rPr>
                <w:b/>
                <w:vertAlign w:val="superscript"/>
              </w:rPr>
            </w:pPr>
            <w:proofErr w:type="spellStart"/>
            <w:r>
              <w:rPr>
                <w:b/>
              </w:rPr>
              <w:t>MBS</w:t>
            </w:r>
            <w:r w:rsidRPr="007B1695">
              <w:rPr>
                <w:b/>
                <w:vertAlign w:val="superscript"/>
              </w:rPr>
              <w:t>a</w:t>
            </w:r>
            <w:proofErr w:type="spellEnd"/>
          </w:p>
        </w:tc>
        <w:tc>
          <w:tcPr>
            <w:tcW w:w="6781" w:type="dxa"/>
            <w:shd w:val="clear" w:color="auto" w:fill="auto"/>
            <w:vAlign w:val="center"/>
          </w:tcPr>
          <w:p w:rsidR="00204EEA" w:rsidRPr="007B1695" w:rsidRDefault="00204EEA" w:rsidP="00831853">
            <w:pPr>
              <w:pStyle w:val="TableText0"/>
              <w:rPr>
                <w:b/>
              </w:rPr>
            </w:pPr>
            <w:r w:rsidRPr="007B1695">
              <w:rPr>
                <w:b/>
              </w:rPr>
              <w:t>Descriptor</w:t>
            </w:r>
          </w:p>
        </w:tc>
        <w:tc>
          <w:tcPr>
            <w:tcW w:w="977" w:type="dxa"/>
            <w:shd w:val="clear" w:color="auto" w:fill="auto"/>
            <w:vAlign w:val="center"/>
          </w:tcPr>
          <w:p w:rsidR="00204EEA" w:rsidRPr="007B1695" w:rsidRDefault="00204EEA" w:rsidP="00831853">
            <w:pPr>
              <w:pStyle w:val="TableText0"/>
              <w:rPr>
                <w:b/>
              </w:rPr>
            </w:pPr>
            <w:r w:rsidRPr="007B1695">
              <w:rPr>
                <w:b/>
              </w:rPr>
              <w:t xml:space="preserve">Fee </w:t>
            </w:r>
          </w:p>
        </w:tc>
      </w:tr>
      <w:tr w:rsidR="00204EEA" w:rsidRPr="005863C8" w:rsidTr="00831853">
        <w:tc>
          <w:tcPr>
            <w:tcW w:w="607" w:type="dxa"/>
            <w:shd w:val="clear" w:color="auto" w:fill="auto"/>
            <w:vAlign w:val="center"/>
          </w:tcPr>
          <w:p w:rsidR="00204EEA" w:rsidRPr="007B1695" w:rsidRDefault="00204EEA" w:rsidP="00831853">
            <w:pPr>
              <w:pStyle w:val="TableText0"/>
            </w:pPr>
            <w:r w:rsidRPr="007B1695">
              <w:t>69384</w:t>
            </w:r>
          </w:p>
        </w:tc>
        <w:tc>
          <w:tcPr>
            <w:tcW w:w="6781" w:type="dxa"/>
            <w:shd w:val="clear" w:color="auto" w:fill="auto"/>
          </w:tcPr>
          <w:p w:rsidR="00204EEA" w:rsidRPr="007B1695" w:rsidRDefault="00204EEA" w:rsidP="00831853">
            <w:pPr>
              <w:pStyle w:val="TableText0"/>
            </w:pPr>
            <w:r w:rsidRPr="007B1695">
              <w:t xml:space="preserve">Quantitation of 1 antibody to microbial antigens not elsewhere described in the Schedule - 1 test </w:t>
            </w:r>
          </w:p>
          <w:p w:rsidR="00204EEA" w:rsidRPr="007B1695" w:rsidRDefault="00204EEA" w:rsidP="00831853">
            <w:pPr>
              <w:pStyle w:val="TableText0"/>
            </w:pPr>
            <w:r w:rsidRPr="00204EEA">
              <w:rPr>
                <w:sz w:val="16"/>
              </w:rPr>
              <w:t>(This fee applies where a laboratory performs the only antibody test specified on the request form or performs 1 test and refers the rest to the laboratory of a separate APA)</w:t>
            </w:r>
          </w:p>
        </w:tc>
        <w:tc>
          <w:tcPr>
            <w:tcW w:w="977" w:type="dxa"/>
            <w:shd w:val="clear" w:color="auto" w:fill="auto"/>
            <w:vAlign w:val="center"/>
          </w:tcPr>
          <w:p w:rsidR="00204EEA" w:rsidRPr="007B1695" w:rsidRDefault="00204EEA" w:rsidP="00831853">
            <w:pPr>
              <w:pStyle w:val="TableText0"/>
            </w:pPr>
            <w:r w:rsidRPr="007B1695">
              <w:t>$15.65</w:t>
            </w:r>
          </w:p>
          <w:p w:rsidR="00204EEA" w:rsidRPr="007B1695" w:rsidRDefault="00204EEA" w:rsidP="00831853">
            <w:pPr>
              <w:pStyle w:val="TableText0"/>
            </w:pPr>
            <w:r w:rsidRPr="007B1695">
              <w:t>75%=$11.75</w:t>
            </w:r>
          </w:p>
          <w:p w:rsidR="00204EEA" w:rsidRPr="007B1695" w:rsidRDefault="00204EEA" w:rsidP="00831853">
            <w:pPr>
              <w:pStyle w:val="TableText0"/>
            </w:pPr>
            <w:r w:rsidRPr="007B1695">
              <w:t>85%=</w:t>
            </w:r>
            <w:r w:rsidR="0084604B">
              <w:t>$</w:t>
            </w:r>
            <w:r w:rsidRPr="007B1695">
              <w:t>13.35</w:t>
            </w:r>
          </w:p>
        </w:tc>
      </w:tr>
      <w:tr w:rsidR="00204EEA" w:rsidRPr="005863C8" w:rsidTr="00204EEA">
        <w:trPr>
          <w:trHeight w:val="460"/>
        </w:trPr>
        <w:tc>
          <w:tcPr>
            <w:tcW w:w="607" w:type="dxa"/>
            <w:shd w:val="clear" w:color="auto" w:fill="auto"/>
            <w:vAlign w:val="center"/>
          </w:tcPr>
          <w:p w:rsidR="00204EEA" w:rsidRPr="007B1695" w:rsidRDefault="00204EEA" w:rsidP="00831853">
            <w:pPr>
              <w:pStyle w:val="TableText0"/>
            </w:pPr>
            <w:r w:rsidRPr="007B1695">
              <w:t>69387</w:t>
            </w:r>
          </w:p>
        </w:tc>
        <w:tc>
          <w:tcPr>
            <w:tcW w:w="6781" w:type="dxa"/>
            <w:shd w:val="clear" w:color="auto" w:fill="auto"/>
          </w:tcPr>
          <w:p w:rsidR="00204EEA" w:rsidRPr="007B1695" w:rsidRDefault="00204EEA" w:rsidP="00831853">
            <w:pPr>
              <w:pStyle w:val="TableText0"/>
            </w:pPr>
            <w:r w:rsidRPr="007B1695">
              <w:t>2 tests described in item 69384</w:t>
            </w:r>
          </w:p>
          <w:p w:rsidR="00204EEA" w:rsidRPr="007B1695" w:rsidRDefault="00204EEA" w:rsidP="00831853">
            <w:pPr>
              <w:pStyle w:val="TableText0"/>
            </w:pPr>
            <w:r w:rsidRPr="00204EEA">
              <w:rPr>
                <w:sz w:val="16"/>
              </w:rPr>
              <w:t>(This fee applies where 1 laboratory, or more than 1 laboratory belonging to the same APA, performs the only 2 estimations specified on the request form or performs 2 of the antibody estimations specified on the request form and refers the remainder to the laboratory of a separate APA)</w:t>
            </w:r>
          </w:p>
        </w:tc>
        <w:tc>
          <w:tcPr>
            <w:tcW w:w="977" w:type="dxa"/>
            <w:shd w:val="clear" w:color="auto" w:fill="auto"/>
            <w:vAlign w:val="center"/>
          </w:tcPr>
          <w:p w:rsidR="00204EEA" w:rsidRPr="007B1695" w:rsidRDefault="00204EEA" w:rsidP="00831853">
            <w:pPr>
              <w:pStyle w:val="TableText0"/>
            </w:pPr>
            <w:r w:rsidRPr="007B1695">
              <w:t>$29.00</w:t>
            </w:r>
          </w:p>
          <w:p w:rsidR="00204EEA" w:rsidRPr="007B1695" w:rsidRDefault="00204EEA" w:rsidP="00831853">
            <w:pPr>
              <w:pStyle w:val="TableText0"/>
            </w:pPr>
            <w:r w:rsidRPr="007B1695">
              <w:t>75%=$21.75</w:t>
            </w:r>
          </w:p>
          <w:p w:rsidR="00204EEA" w:rsidRPr="007B1695" w:rsidRDefault="00204EEA" w:rsidP="00831853">
            <w:pPr>
              <w:pStyle w:val="TableText0"/>
            </w:pPr>
            <w:r w:rsidRPr="007B1695">
              <w:t>85%=$24.65</w:t>
            </w:r>
          </w:p>
        </w:tc>
      </w:tr>
      <w:tr w:rsidR="00204EEA" w:rsidRPr="005863C8" w:rsidTr="00831853">
        <w:tc>
          <w:tcPr>
            <w:tcW w:w="607" w:type="dxa"/>
            <w:shd w:val="clear" w:color="auto" w:fill="auto"/>
            <w:vAlign w:val="center"/>
          </w:tcPr>
          <w:p w:rsidR="00204EEA" w:rsidRPr="007B1695" w:rsidRDefault="00204EEA" w:rsidP="00831853">
            <w:pPr>
              <w:pStyle w:val="TableText0"/>
            </w:pPr>
            <w:r w:rsidRPr="007B1695">
              <w:t>63690</w:t>
            </w:r>
          </w:p>
        </w:tc>
        <w:tc>
          <w:tcPr>
            <w:tcW w:w="6781" w:type="dxa"/>
            <w:shd w:val="clear" w:color="auto" w:fill="auto"/>
          </w:tcPr>
          <w:p w:rsidR="00204EEA" w:rsidRPr="007B1695" w:rsidRDefault="00204EEA" w:rsidP="00831853">
            <w:pPr>
              <w:pStyle w:val="TableText0"/>
            </w:pPr>
            <w:r w:rsidRPr="007B1695">
              <w:t>3 tests described in item 69384</w:t>
            </w:r>
          </w:p>
          <w:p w:rsidR="00204EEA" w:rsidRPr="007B1695" w:rsidRDefault="00204EEA" w:rsidP="00831853">
            <w:pPr>
              <w:pStyle w:val="TableText0"/>
            </w:pPr>
            <w:r w:rsidRPr="00204EEA">
              <w:rPr>
                <w:sz w:val="16"/>
              </w:rPr>
              <w:t>(This fee applies where 1 laboratory, or more than 1 laboratory belonging to the same APA, performs the only 3 estimations specified on the request form or performs 3 of the antibody estimations specified on the request form and refers the remainder to the laboratory of a separate APA)</w:t>
            </w:r>
          </w:p>
        </w:tc>
        <w:tc>
          <w:tcPr>
            <w:tcW w:w="977" w:type="dxa"/>
            <w:shd w:val="clear" w:color="auto" w:fill="auto"/>
            <w:vAlign w:val="center"/>
          </w:tcPr>
          <w:p w:rsidR="00204EEA" w:rsidRPr="007B1695" w:rsidRDefault="00204EEA" w:rsidP="00831853">
            <w:pPr>
              <w:pStyle w:val="TableText0"/>
            </w:pPr>
            <w:r w:rsidRPr="007B1695">
              <w:t>$42.35</w:t>
            </w:r>
          </w:p>
          <w:p w:rsidR="00204EEA" w:rsidRPr="007B1695" w:rsidRDefault="00204EEA" w:rsidP="00831853">
            <w:pPr>
              <w:pStyle w:val="TableText0"/>
            </w:pPr>
            <w:r w:rsidRPr="007B1695">
              <w:t>75%=$31.80</w:t>
            </w:r>
          </w:p>
          <w:p w:rsidR="00204EEA" w:rsidRPr="007B1695" w:rsidRDefault="00204EEA" w:rsidP="00831853">
            <w:pPr>
              <w:pStyle w:val="TableText0"/>
            </w:pPr>
            <w:r w:rsidRPr="007B1695">
              <w:t>85%=$36.00</w:t>
            </w:r>
          </w:p>
        </w:tc>
      </w:tr>
      <w:tr w:rsidR="00204EEA" w:rsidRPr="005863C8" w:rsidTr="00831853">
        <w:tc>
          <w:tcPr>
            <w:tcW w:w="607" w:type="dxa"/>
            <w:shd w:val="clear" w:color="auto" w:fill="auto"/>
            <w:vAlign w:val="center"/>
          </w:tcPr>
          <w:p w:rsidR="00204EEA" w:rsidRPr="007B1695" w:rsidRDefault="00204EEA" w:rsidP="00831853">
            <w:pPr>
              <w:pStyle w:val="TableText0"/>
            </w:pPr>
            <w:r w:rsidRPr="007B1695">
              <w:t>63693</w:t>
            </w:r>
          </w:p>
        </w:tc>
        <w:tc>
          <w:tcPr>
            <w:tcW w:w="6781" w:type="dxa"/>
            <w:shd w:val="clear" w:color="auto" w:fill="auto"/>
          </w:tcPr>
          <w:p w:rsidR="00204EEA" w:rsidRPr="007B1695" w:rsidRDefault="00204EEA" w:rsidP="00831853">
            <w:pPr>
              <w:pStyle w:val="TableText0"/>
            </w:pPr>
            <w:r w:rsidRPr="007B1695">
              <w:t>4 tests described in item 69384</w:t>
            </w:r>
          </w:p>
          <w:p w:rsidR="00204EEA" w:rsidRPr="007B1695" w:rsidRDefault="00204EEA" w:rsidP="00831853">
            <w:pPr>
              <w:pStyle w:val="TableText0"/>
            </w:pPr>
            <w:r w:rsidRPr="00204EEA">
              <w:rPr>
                <w:sz w:val="16"/>
              </w:rPr>
              <w:t>(This fee applies where 1 laboratory, or more than 1 laboratory belonging to the same APA, performs the only 4 estimations specified on the request form or performs 4 of the antibody estimations specified on the request form and refers the remainder to the laboratory of a separate APA)</w:t>
            </w:r>
          </w:p>
        </w:tc>
        <w:tc>
          <w:tcPr>
            <w:tcW w:w="977" w:type="dxa"/>
            <w:shd w:val="clear" w:color="auto" w:fill="auto"/>
            <w:vAlign w:val="center"/>
          </w:tcPr>
          <w:p w:rsidR="00204EEA" w:rsidRPr="007B1695" w:rsidRDefault="00204EEA" w:rsidP="00831853">
            <w:pPr>
              <w:pStyle w:val="TableText0"/>
            </w:pPr>
            <w:r w:rsidRPr="007B1695">
              <w:t>$55.70</w:t>
            </w:r>
          </w:p>
          <w:p w:rsidR="00204EEA" w:rsidRPr="007B1695" w:rsidRDefault="00204EEA" w:rsidP="00831853">
            <w:pPr>
              <w:pStyle w:val="TableText0"/>
            </w:pPr>
            <w:r w:rsidRPr="007B1695">
              <w:t>75%=$41.80</w:t>
            </w:r>
          </w:p>
          <w:p w:rsidR="00204EEA" w:rsidRPr="007B1695" w:rsidRDefault="00204EEA" w:rsidP="00831853">
            <w:pPr>
              <w:pStyle w:val="TableText0"/>
            </w:pPr>
            <w:r w:rsidRPr="007B1695">
              <w:t>85%=$47.35</w:t>
            </w:r>
          </w:p>
        </w:tc>
      </w:tr>
      <w:tr w:rsidR="00204EEA" w:rsidRPr="005863C8" w:rsidTr="00831853">
        <w:tc>
          <w:tcPr>
            <w:tcW w:w="607" w:type="dxa"/>
            <w:shd w:val="clear" w:color="auto" w:fill="auto"/>
            <w:vAlign w:val="center"/>
          </w:tcPr>
          <w:p w:rsidR="00204EEA" w:rsidRPr="007B1695" w:rsidRDefault="00204EEA" w:rsidP="00831853">
            <w:pPr>
              <w:pStyle w:val="TableText0"/>
            </w:pPr>
            <w:r w:rsidRPr="007B1695">
              <w:t>63696</w:t>
            </w:r>
          </w:p>
        </w:tc>
        <w:tc>
          <w:tcPr>
            <w:tcW w:w="6781" w:type="dxa"/>
            <w:shd w:val="clear" w:color="auto" w:fill="auto"/>
          </w:tcPr>
          <w:p w:rsidR="00204EEA" w:rsidRPr="007B1695" w:rsidRDefault="00204EEA" w:rsidP="00831853">
            <w:pPr>
              <w:pStyle w:val="TableText0"/>
            </w:pPr>
            <w:r w:rsidRPr="007B1695">
              <w:t>5 or more tests described in item 69384</w:t>
            </w:r>
          </w:p>
          <w:p w:rsidR="00204EEA" w:rsidRPr="007B1695" w:rsidRDefault="00204EEA" w:rsidP="00831853">
            <w:pPr>
              <w:pStyle w:val="TableText0"/>
            </w:pPr>
            <w:r w:rsidRPr="00204EEA">
              <w:rPr>
                <w:sz w:val="16"/>
              </w:rPr>
              <w:t>(This fee applies where 1 laboratory, or more than 1 laboratory belonging to the same APA, performs the only 5 estimations specified on the request form or performs 5 of the antibody tests specified on the request form and refers the remainder to the laboratory of a separate APA)</w:t>
            </w:r>
          </w:p>
        </w:tc>
        <w:tc>
          <w:tcPr>
            <w:tcW w:w="977" w:type="dxa"/>
            <w:shd w:val="clear" w:color="auto" w:fill="auto"/>
            <w:vAlign w:val="center"/>
          </w:tcPr>
          <w:p w:rsidR="00204EEA" w:rsidRPr="007B1695" w:rsidRDefault="00204EEA" w:rsidP="00831853">
            <w:pPr>
              <w:pStyle w:val="TableText0"/>
            </w:pPr>
            <w:r w:rsidRPr="007B1695">
              <w:t>$69.10</w:t>
            </w:r>
          </w:p>
          <w:p w:rsidR="00204EEA" w:rsidRPr="007B1695" w:rsidRDefault="00204EEA" w:rsidP="00831853">
            <w:pPr>
              <w:pStyle w:val="TableText0"/>
            </w:pPr>
            <w:r w:rsidRPr="007B1695">
              <w:t>75%=$51.85</w:t>
            </w:r>
          </w:p>
          <w:p w:rsidR="00204EEA" w:rsidRPr="007B1695" w:rsidRDefault="00204EEA" w:rsidP="00831853">
            <w:pPr>
              <w:pStyle w:val="TableText0"/>
            </w:pPr>
            <w:r w:rsidRPr="007B1695">
              <w:t>85%=$58.75</w:t>
            </w:r>
          </w:p>
        </w:tc>
      </w:tr>
      <w:tr w:rsidR="00204EEA" w:rsidRPr="005863C8" w:rsidTr="00831853">
        <w:tc>
          <w:tcPr>
            <w:tcW w:w="607" w:type="dxa"/>
            <w:shd w:val="clear" w:color="auto" w:fill="auto"/>
            <w:vAlign w:val="center"/>
          </w:tcPr>
          <w:p w:rsidR="00204EEA" w:rsidRPr="007B1695" w:rsidRDefault="00204EEA" w:rsidP="00831853">
            <w:pPr>
              <w:pStyle w:val="TableText0"/>
            </w:pPr>
            <w:r w:rsidRPr="007B1695">
              <w:t>69400</w:t>
            </w:r>
          </w:p>
        </w:tc>
        <w:tc>
          <w:tcPr>
            <w:tcW w:w="6781" w:type="dxa"/>
            <w:shd w:val="clear" w:color="auto" w:fill="auto"/>
            <w:vAlign w:val="center"/>
          </w:tcPr>
          <w:p w:rsidR="00204EEA" w:rsidRPr="007B1695" w:rsidRDefault="00204EEA" w:rsidP="00831853">
            <w:pPr>
              <w:pStyle w:val="TableText0"/>
            </w:pPr>
            <w:r w:rsidRPr="007B1695">
              <w:t>A test described in item 69384, if rendered by a receiving APP, where no tests in the item have been rendered by the referring APP - 1 test</w:t>
            </w:r>
          </w:p>
        </w:tc>
        <w:tc>
          <w:tcPr>
            <w:tcW w:w="977" w:type="dxa"/>
            <w:shd w:val="clear" w:color="auto" w:fill="auto"/>
            <w:vAlign w:val="center"/>
          </w:tcPr>
          <w:p w:rsidR="00204EEA" w:rsidRPr="007B1695" w:rsidRDefault="00204EEA" w:rsidP="00831853">
            <w:pPr>
              <w:pStyle w:val="TableText0"/>
            </w:pPr>
            <w:r w:rsidRPr="007B1695">
              <w:t>$15.65</w:t>
            </w:r>
          </w:p>
          <w:p w:rsidR="00204EEA" w:rsidRPr="007B1695" w:rsidRDefault="00204EEA" w:rsidP="00831853">
            <w:pPr>
              <w:pStyle w:val="TableText0"/>
            </w:pPr>
            <w:r w:rsidRPr="007B1695">
              <w:t>75%=11.75</w:t>
            </w:r>
          </w:p>
          <w:p w:rsidR="00204EEA" w:rsidRPr="007B1695" w:rsidRDefault="00204EEA" w:rsidP="00831853">
            <w:pPr>
              <w:pStyle w:val="TableText0"/>
            </w:pPr>
            <w:r w:rsidRPr="007B1695">
              <w:t>85%=$13.35</w:t>
            </w:r>
          </w:p>
        </w:tc>
      </w:tr>
      <w:tr w:rsidR="00204EEA" w:rsidRPr="005863C8" w:rsidTr="00831853">
        <w:tc>
          <w:tcPr>
            <w:tcW w:w="607" w:type="dxa"/>
            <w:shd w:val="clear" w:color="auto" w:fill="auto"/>
            <w:vAlign w:val="center"/>
          </w:tcPr>
          <w:p w:rsidR="00204EEA" w:rsidRPr="007B1695" w:rsidRDefault="00204EEA" w:rsidP="00831853">
            <w:pPr>
              <w:pStyle w:val="TableText0"/>
            </w:pPr>
            <w:r w:rsidRPr="007B1695">
              <w:t>69401</w:t>
            </w:r>
          </w:p>
        </w:tc>
        <w:tc>
          <w:tcPr>
            <w:tcW w:w="6781" w:type="dxa"/>
            <w:shd w:val="clear" w:color="auto" w:fill="auto"/>
            <w:vAlign w:val="center"/>
          </w:tcPr>
          <w:p w:rsidR="00204EEA" w:rsidRPr="007B1695" w:rsidRDefault="00204EEA" w:rsidP="00831853">
            <w:pPr>
              <w:pStyle w:val="TableText0"/>
            </w:pPr>
            <w:r w:rsidRPr="007B1695">
              <w:t>A test described in item 69384, other than that described in 69400, if rendered by a receiving APP - each test to a maximum of 4 tests</w:t>
            </w:r>
          </w:p>
        </w:tc>
        <w:tc>
          <w:tcPr>
            <w:tcW w:w="977" w:type="dxa"/>
            <w:shd w:val="clear" w:color="auto" w:fill="auto"/>
            <w:vAlign w:val="center"/>
          </w:tcPr>
          <w:p w:rsidR="00204EEA" w:rsidRPr="007B1695" w:rsidRDefault="00204EEA" w:rsidP="00831853">
            <w:pPr>
              <w:pStyle w:val="TableText0"/>
            </w:pPr>
            <w:r w:rsidRPr="007B1695">
              <w:t>$13.35</w:t>
            </w:r>
          </w:p>
          <w:p w:rsidR="00204EEA" w:rsidRPr="007B1695" w:rsidRDefault="00204EEA" w:rsidP="00831853">
            <w:pPr>
              <w:pStyle w:val="TableText0"/>
            </w:pPr>
            <w:r w:rsidRPr="007B1695">
              <w:t>75%=$10.05</w:t>
            </w:r>
          </w:p>
          <w:p w:rsidR="00204EEA" w:rsidRPr="007B1695" w:rsidRDefault="00204EEA" w:rsidP="00831853">
            <w:pPr>
              <w:pStyle w:val="TableText0"/>
            </w:pPr>
            <w:r w:rsidRPr="007B1695">
              <w:t>85%=11.35</w:t>
            </w:r>
          </w:p>
        </w:tc>
      </w:tr>
      <w:tr w:rsidR="00204EEA" w:rsidRPr="005863C8" w:rsidTr="00831853">
        <w:tc>
          <w:tcPr>
            <w:tcW w:w="607" w:type="dxa"/>
            <w:shd w:val="clear" w:color="auto" w:fill="auto"/>
            <w:vAlign w:val="center"/>
          </w:tcPr>
          <w:p w:rsidR="00204EEA" w:rsidRPr="007B1695" w:rsidRDefault="00204EEA" w:rsidP="00831853">
            <w:pPr>
              <w:pStyle w:val="TableText0"/>
            </w:pPr>
            <w:r w:rsidRPr="007B1695">
              <w:t>69405</w:t>
            </w:r>
          </w:p>
        </w:tc>
        <w:tc>
          <w:tcPr>
            <w:tcW w:w="6781" w:type="dxa"/>
            <w:shd w:val="clear" w:color="auto" w:fill="auto"/>
            <w:vAlign w:val="center"/>
          </w:tcPr>
          <w:p w:rsidR="00204EEA" w:rsidRPr="007B1695" w:rsidRDefault="00204EEA" w:rsidP="00831853">
            <w:pPr>
              <w:pStyle w:val="TableText0"/>
              <w:spacing w:before="0" w:after="0"/>
            </w:pPr>
            <w:r w:rsidRPr="007B1695">
              <w:t xml:space="preserve">Microbiological serology during a pregnancy (except in the investigation of a clinically apparent </w:t>
            </w:r>
            <w:proofErr w:type="spellStart"/>
            <w:r w:rsidRPr="007B1695">
              <w:t>intercurrent</w:t>
            </w:r>
            <w:proofErr w:type="spellEnd"/>
            <w:r w:rsidRPr="007B1695">
              <w:t xml:space="preserve"> microbial illness or close contact with a patient suffering from parvovirus infection or varicella during that pregnancy) including:</w:t>
            </w:r>
          </w:p>
          <w:p w:rsidR="00204EEA" w:rsidRPr="007B1695" w:rsidRDefault="00204EEA" w:rsidP="00F737A4">
            <w:pPr>
              <w:pStyle w:val="TableText0"/>
              <w:numPr>
                <w:ilvl w:val="0"/>
                <w:numId w:val="17"/>
              </w:numPr>
              <w:spacing w:before="0" w:after="0"/>
              <w:ind w:left="255" w:hanging="255"/>
            </w:pPr>
            <w:r w:rsidRPr="007B1695">
              <w:t>the determination of 1 of the following - rubella immune status, specific syphilis serology, carriage of Hepatitis B, Hepatitis C antibody, HIV antibody and</w:t>
            </w:r>
          </w:p>
          <w:p w:rsidR="00204EEA" w:rsidRPr="007B1695" w:rsidRDefault="00204EEA" w:rsidP="00F737A4">
            <w:pPr>
              <w:pStyle w:val="TableText0"/>
              <w:numPr>
                <w:ilvl w:val="0"/>
                <w:numId w:val="17"/>
              </w:numPr>
              <w:spacing w:before="0"/>
              <w:ind w:left="255" w:hanging="255"/>
            </w:pPr>
            <w:r w:rsidRPr="007B1695">
              <w:t>(if performed) a service described in 1 or more of items 69384, 69475, 69478 and 69481</w:t>
            </w:r>
          </w:p>
        </w:tc>
        <w:tc>
          <w:tcPr>
            <w:tcW w:w="977" w:type="dxa"/>
            <w:shd w:val="clear" w:color="auto" w:fill="auto"/>
            <w:vAlign w:val="center"/>
          </w:tcPr>
          <w:p w:rsidR="00204EEA" w:rsidRPr="007B1695" w:rsidRDefault="00204EEA" w:rsidP="00831853">
            <w:pPr>
              <w:pStyle w:val="TableText0"/>
            </w:pPr>
            <w:r w:rsidRPr="007B1695">
              <w:t>$15.65</w:t>
            </w:r>
          </w:p>
          <w:p w:rsidR="00204EEA" w:rsidRPr="007B1695" w:rsidRDefault="00204EEA" w:rsidP="00831853">
            <w:pPr>
              <w:pStyle w:val="TableText0"/>
            </w:pPr>
            <w:r w:rsidRPr="007B1695">
              <w:t>75%=11.75</w:t>
            </w:r>
          </w:p>
          <w:p w:rsidR="00204EEA" w:rsidRPr="007B1695" w:rsidRDefault="00204EEA" w:rsidP="00831853">
            <w:pPr>
              <w:pStyle w:val="TableText0"/>
            </w:pPr>
            <w:r w:rsidRPr="007B1695">
              <w:t>85%=$13.35</w:t>
            </w:r>
          </w:p>
        </w:tc>
      </w:tr>
      <w:tr w:rsidR="00204EEA" w:rsidRPr="005863C8" w:rsidTr="00831853">
        <w:tc>
          <w:tcPr>
            <w:tcW w:w="607" w:type="dxa"/>
            <w:shd w:val="clear" w:color="auto" w:fill="auto"/>
            <w:vAlign w:val="center"/>
          </w:tcPr>
          <w:p w:rsidR="00204EEA" w:rsidRPr="007B1695" w:rsidRDefault="00204EEA" w:rsidP="00831853">
            <w:pPr>
              <w:pStyle w:val="TableText0"/>
            </w:pPr>
            <w:r w:rsidRPr="007B1695">
              <w:t>69408</w:t>
            </w:r>
          </w:p>
        </w:tc>
        <w:tc>
          <w:tcPr>
            <w:tcW w:w="6781" w:type="dxa"/>
            <w:shd w:val="clear" w:color="auto" w:fill="auto"/>
            <w:vAlign w:val="center"/>
          </w:tcPr>
          <w:p w:rsidR="00204EEA" w:rsidRPr="007B1695" w:rsidRDefault="00204EEA" w:rsidP="00831853">
            <w:pPr>
              <w:pStyle w:val="TableText0"/>
              <w:spacing w:before="0" w:after="0"/>
            </w:pPr>
            <w:r w:rsidRPr="007B1695">
              <w:t xml:space="preserve">Microbiological serology during a pregnancy (except in the investigation of a clinically apparent </w:t>
            </w:r>
            <w:proofErr w:type="spellStart"/>
            <w:r w:rsidRPr="007B1695">
              <w:t>intercurrent</w:t>
            </w:r>
            <w:proofErr w:type="spellEnd"/>
            <w:r w:rsidRPr="007B1695">
              <w:t xml:space="preserve"> microbial illness or close contact with a patient suffering from parvovirus infection or varicella during that pregnancy) including:</w:t>
            </w:r>
          </w:p>
          <w:p w:rsidR="00204EEA" w:rsidRPr="007B1695" w:rsidRDefault="00204EEA" w:rsidP="00F737A4">
            <w:pPr>
              <w:pStyle w:val="TableText0"/>
              <w:numPr>
                <w:ilvl w:val="0"/>
                <w:numId w:val="18"/>
              </w:numPr>
              <w:spacing w:before="0" w:after="0"/>
              <w:ind w:left="255" w:hanging="255"/>
            </w:pPr>
            <w:r w:rsidRPr="007B1695">
              <w:t>the determination of 2 of the following - rubella immune status, specific syphilis serology, carriage of Hepatitis B, Hepatitis C antibody, HIV antibody and</w:t>
            </w:r>
          </w:p>
          <w:p w:rsidR="00204EEA" w:rsidRPr="007B1695" w:rsidRDefault="00204EEA" w:rsidP="00F737A4">
            <w:pPr>
              <w:pStyle w:val="TableText0"/>
              <w:numPr>
                <w:ilvl w:val="0"/>
                <w:numId w:val="18"/>
              </w:numPr>
              <w:spacing w:before="0"/>
              <w:ind w:left="255" w:hanging="255"/>
            </w:pPr>
            <w:r w:rsidRPr="007B1695">
              <w:t>(if performed) a service described in 1 or more of items 69384, 69475, 69478 and 69481</w:t>
            </w:r>
          </w:p>
        </w:tc>
        <w:tc>
          <w:tcPr>
            <w:tcW w:w="977" w:type="dxa"/>
            <w:shd w:val="clear" w:color="auto" w:fill="auto"/>
            <w:vAlign w:val="center"/>
          </w:tcPr>
          <w:p w:rsidR="00204EEA" w:rsidRPr="007B1695" w:rsidRDefault="00204EEA" w:rsidP="00831853">
            <w:pPr>
              <w:pStyle w:val="TableText0"/>
            </w:pPr>
            <w:r w:rsidRPr="007B1695">
              <w:t>$29.00</w:t>
            </w:r>
          </w:p>
          <w:p w:rsidR="00204EEA" w:rsidRPr="007B1695" w:rsidRDefault="00204EEA" w:rsidP="00831853">
            <w:pPr>
              <w:pStyle w:val="TableText0"/>
            </w:pPr>
            <w:r w:rsidRPr="007B1695">
              <w:t>75%=$21.75</w:t>
            </w:r>
          </w:p>
          <w:p w:rsidR="00204EEA" w:rsidRPr="007B1695" w:rsidRDefault="00204EEA" w:rsidP="00831853">
            <w:pPr>
              <w:pStyle w:val="TableText0"/>
            </w:pPr>
            <w:r w:rsidRPr="007B1695">
              <w:t>85%=$24.65</w:t>
            </w:r>
          </w:p>
        </w:tc>
      </w:tr>
      <w:tr w:rsidR="00204EEA" w:rsidRPr="005863C8" w:rsidTr="00831853">
        <w:tc>
          <w:tcPr>
            <w:tcW w:w="607" w:type="dxa"/>
            <w:shd w:val="clear" w:color="auto" w:fill="auto"/>
            <w:vAlign w:val="center"/>
          </w:tcPr>
          <w:p w:rsidR="00204EEA" w:rsidRPr="007B1695" w:rsidRDefault="00204EEA" w:rsidP="00831853">
            <w:pPr>
              <w:pStyle w:val="TableText0"/>
            </w:pPr>
            <w:r w:rsidRPr="007B1695">
              <w:t>69411</w:t>
            </w:r>
          </w:p>
        </w:tc>
        <w:tc>
          <w:tcPr>
            <w:tcW w:w="6781" w:type="dxa"/>
            <w:shd w:val="clear" w:color="auto" w:fill="auto"/>
            <w:vAlign w:val="center"/>
          </w:tcPr>
          <w:p w:rsidR="00204EEA" w:rsidRPr="007B1695" w:rsidRDefault="00204EEA" w:rsidP="00831853">
            <w:pPr>
              <w:pStyle w:val="TableText0"/>
              <w:spacing w:before="0" w:after="0"/>
            </w:pPr>
            <w:r w:rsidRPr="007B1695">
              <w:t xml:space="preserve">Microbiological serology during a pregnancy (except in the investigation of a clinically apparent </w:t>
            </w:r>
            <w:proofErr w:type="spellStart"/>
            <w:r w:rsidRPr="007B1695">
              <w:t>intercurrent</w:t>
            </w:r>
            <w:proofErr w:type="spellEnd"/>
            <w:r w:rsidRPr="007B1695">
              <w:t xml:space="preserve"> microbial illness or close contact with a patient suffering from parvovirus infection or varicella during that pregnancy) including: </w:t>
            </w:r>
          </w:p>
          <w:p w:rsidR="00204EEA" w:rsidRPr="007B1695" w:rsidRDefault="00204EEA" w:rsidP="00F737A4">
            <w:pPr>
              <w:pStyle w:val="TableText0"/>
              <w:numPr>
                <w:ilvl w:val="0"/>
                <w:numId w:val="19"/>
              </w:numPr>
              <w:spacing w:before="0" w:after="0"/>
              <w:ind w:left="255" w:hanging="255"/>
            </w:pPr>
            <w:r w:rsidRPr="007B1695">
              <w:t xml:space="preserve">the determination of 3 of the following - rubella immune status, specific syphilis serology, carriage of Hepatitis B, Hepatitis C antibody, HIV antibody and </w:t>
            </w:r>
          </w:p>
          <w:p w:rsidR="00204EEA" w:rsidRPr="007B1695" w:rsidRDefault="00204EEA" w:rsidP="00F737A4">
            <w:pPr>
              <w:pStyle w:val="TableText0"/>
              <w:numPr>
                <w:ilvl w:val="0"/>
                <w:numId w:val="19"/>
              </w:numPr>
              <w:spacing w:before="0"/>
              <w:ind w:left="255" w:hanging="255"/>
            </w:pPr>
            <w:r w:rsidRPr="007B1695">
              <w:t>(if performed) a service described in 1 or more of items 69384, 69475, 69478 and 69481</w:t>
            </w:r>
          </w:p>
        </w:tc>
        <w:tc>
          <w:tcPr>
            <w:tcW w:w="977" w:type="dxa"/>
            <w:shd w:val="clear" w:color="auto" w:fill="auto"/>
            <w:vAlign w:val="center"/>
          </w:tcPr>
          <w:p w:rsidR="00204EEA" w:rsidRPr="007B1695" w:rsidRDefault="00204EEA" w:rsidP="00831853">
            <w:pPr>
              <w:pStyle w:val="TableText0"/>
            </w:pPr>
            <w:r w:rsidRPr="007B1695">
              <w:t>$42.35</w:t>
            </w:r>
          </w:p>
          <w:p w:rsidR="00204EEA" w:rsidRPr="007B1695" w:rsidRDefault="00204EEA" w:rsidP="00831853">
            <w:pPr>
              <w:pStyle w:val="TableText0"/>
            </w:pPr>
            <w:r w:rsidRPr="007B1695">
              <w:t>75%=$31.80</w:t>
            </w:r>
          </w:p>
          <w:p w:rsidR="00204EEA" w:rsidRPr="007B1695" w:rsidRDefault="00204EEA" w:rsidP="00831853">
            <w:pPr>
              <w:pStyle w:val="TableText0"/>
            </w:pPr>
            <w:r w:rsidRPr="007B1695">
              <w:t>85%=$36.00</w:t>
            </w:r>
          </w:p>
        </w:tc>
      </w:tr>
      <w:tr w:rsidR="00204EEA" w:rsidRPr="005863C8" w:rsidTr="00831853">
        <w:tc>
          <w:tcPr>
            <w:tcW w:w="607" w:type="dxa"/>
            <w:shd w:val="clear" w:color="auto" w:fill="auto"/>
            <w:vAlign w:val="center"/>
          </w:tcPr>
          <w:p w:rsidR="00204EEA" w:rsidRPr="007B1695" w:rsidRDefault="00204EEA" w:rsidP="00831853">
            <w:pPr>
              <w:pStyle w:val="TableText0"/>
            </w:pPr>
            <w:r w:rsidRPr="007B1695">
              <w:t>69413</w:t>
            </w:r>
          </w:p>
        </w:tc>
        <w:tc>
          <w:tcPr>
            <w:tcW w:w="6781" w:type="dxa"/>
            <w:shd w:val="clear" w:color="auto" w:fill="auto"/>
            <w:vAlign w:val="center"/>
          </w:tcPr>
          <w:p w:rsidR="00204EEA" w:rsidRPr="007B1695" w:rsidRDefault="00204EEA" w:rsidP="00831853">
            <w:pPr>
              <w:pStyle w:val="TableText0"/>
              <w:spacing w:before="0" w:after="0"/>
            </w:pPr>
            <w:r w:rsidRPr="007B1695">
              <w:t xml:space="preserve">Microbiological serology during a pregnancy (except in the investigation of a clinically apparent </w:t>
            </w:r>
            <w:proofErr w:type="spellStart"/>
            <w:r w:rsidRPr="007B1695">
              <w:t>intercurrent</w:t>
            </w:r>
            <w:proofErr w:type="spellEnd"/>
            <w:r w:rsidRPr="007B1695">
              <w:t xml:space="preserve"> microbial illness or close contact with a patient suffering from parvovirus infection or varicella during that pregnancy) including:</w:t>
            </w:r>
          </w:p>
          <w:p w:rsidR="00204EEA" w:rsidRPr="007B1695" w:rsidRDefault="00204EEA" w:rsidP="00F737A4">
            <w:pPr>
              <w:pStyle w:val="TableText0"/>
              <w:numPr>
                <w:ilvl w:val="0"/>
                <w:numId w:val="20"/>
              </w:numPr>
              <w:spacing w:before="0" w:after="0"/>
              <w:ind w:left="255" w:hanging="255"/>
            </w:pPr>
            <w:r w:rsidRPr="007B1695">
              <w:t>the determination of 4 of the following - rubella immune status, specific syphilis serology, carriage of Hepatitis B, Hepatitis C antibody, HIV antibody and</w:t>
            </w:r>
          </w:p>
          <w:p w:rsidR="00204EEA" w:rsidRPr="007B1695" w:rsidRDefault="00204EEA" w:rsidP="00F737A4">
            <w:pPr>
              <w:pStyle w:val="TableText0"/>
              <w:numPr>
                <w:ilvl w:val="0"/>
                <w:numId w:val="20"/>
              </w:numPr>
              <w:spacing w:before="0"/>
              <w:ind w:left="255" w:hanging="255"/>
            </w:pPr>
            <w:r w:rsidRPr="007B1695">
              <w:t>(if performed) a service described in 1 or more of items 69384, 69475, 69478 and 69481</w:t>
            </w:r>
          </w:p>
        </w:tc>
        <w:tc>
          <w:tcPr>
            <w:tcW w:w="977" w:type="dxa"/>
            <w:shd w:val="clear" w:color="auto" w:fill="auto"/>
            <w:vAlign w:val="center"/>
          </w:tcPr>
          <w:p w:rsidR="00204EEA" w:rsidRPr="007B1695" w:rsidRDefault="00204EEA" w:rsidP="00831853">
            <w:pPr>
              <w:pStyle w:val="TableText0"/>
            </w:pPr>
            <w:r w:rsidRPr="007B1695">
              <w:t>$55.70</w:t>
            </w:r>
          </w:p>
          <w:p w:rsidR="00204EEA" w:rsidRPr="007B1695" w:rsidRDefault="00204EEA" w:rsidP="00831853">
            <w:pPr>
              <w:pStyle w:val="TableText0"/>
            </w:pPr>
            <w:r w:rsidRPr="007B1695">
              <w:t>75%=$41.80</w:t>
            </w:r>
          </w:p>
          <w:p w:rsidR="00204EEA" w:rsidRPr="007B1695" w:rsidRDefault="00204EEA" w:rsidP="00831853">
            <w:pPr>
              <w:pStyle w:val="TableText0"/>
            </w:pPr>
            <w:r w:rsidRPr="007B1695">
              <w:t>85%=$47.35</w:t>
            </w:r>
          </w:p>
        </w:tc>
      </w:tr>
      <w:tr w:rsidR="00204EEA" w:rsidRPr="005863C8" w:rsidTr="00831853">
        <w:tc>
          <w:tcPr>
            <w:tcW w:w="607" w:type="dxa"/>
            <w:shd w:val="clear" w:color="auto" w:fill="auto"/>
            <w:vAlign w:val="center"/>
          </w:tcPr>
          <w:p w:rsidR="00204EEA" w:rsidRPr="007B1695" w:rsidRDefault="00204EEA" w:rsidP="00831853">
            <w:pPr>
              <w:pStyle w:val="TableText0"/>
            </w:pPr>
            <w:r w:rsidRPr="007B1695">
              <w:t>69415</w:t>
            </w:r>
          </w:p>
        </w:tc>
        <w:tc>
          <w:tcPr>
            <w:tcW w:w="6781" w:type="dxa"/>
            <w:shd w:val="clear" w:color="auto" w:fill="auto"/>
            <w:vAlign w:val="center"/>
          </w:tcPr>
          <w:p w:rsidR="00204EEA" w:rsidRPr="007B1695" w:rsidRDefault="00204EEA" w:rsidP="00831853">
            <w:pPr>
              <w:pStyle w:val="TableText0"/>
              <w:spacing w:before="0" w:after="0"/>
            </w:pPr>
            <w:r w:rsidRPr="007B1695">
              <w:t xml:space="preserve">Microbiological serology during a pregnancy (except in the investigation of a clinically apparent </w:t>
            </w:r>
            <w:proofErr w:type="spellStart"/>
            <w:r w:rsidRPr="007B1695">
              <w:t>intercurrent</w:t>
            </w:r>
            <w:proofErr w:type="spellEnd"/>
            <w:r w:rsidRPr="007B1695">
              <w:t xml:space="preserve"> microbial illness or close contact with a patient suffering from parvovirus infection or varicella during that pregnancy) including: </w:t>
            </w:r>
          </w:p>
          <w:p w:rsidR="00204EEA" w:rsidRPr="007B1695" w:rsidRDefault="00204EEA" w:rsidP="00F737A4">
            <w:pPr>
              <w:pStyle w:val="TableText0"/>
              <w:numPr>
                <w:ilvl w:val="0"/>
                <w:numId w:val="21"/>
              </w:numPr>
              <w:spacing w:before="0" w:after="0"/>
              <w:ind w:left="255" w:hanging="255"/>
            </w:pPr>
            <w:r w:rsidRPr="007B1695">
              <w:t xml:space="preserve">the determination of all 5 of the following - rubella immune status, specific syphilis serology, carriage of Hepatitis B, Hepatitis C antibody, HIV antibody and </w:t>
            </w:r>
          </w:p>
          <w:p w:rsidR="00204EEA" w:rsidRPr="007B1695" w:rsidRDefault="00204EEA" w:rsidP="00F737A4">
            <w:pPr>
              <w:pStyle w:val="TableText0"/>
              <w:numPr>
                <w:ilvl w:val="0"/>
                <w:numId w:val="21"/>
              </w:numPr>
              <w:spacing w:before="0"/>
              <w:ind w:left="255" w:hanging="255"/>
            </w:pPr>
            <w:r w:rsidRPr="007B1695">
              <w:t>(if performed) a service described in 1 or more of items 69384, 69475, 69478 and 69481</w:t>
            </w:r>
          </w:p>
        </w:tc>
        <w:tc>
          <w:tcPr>
            <w:tcW w:w="977" w:type="dxa"/>
            <w:shd w:val="clear" w:color="auto" w:fill="auto"/>
            <w:vAlign w:val="center"/>
          </w:tcPr>
          <w:p w:rsidR="00204EEA" w:rsidRPr="007B1695" w:rsidRDefault="00204EEA" w:rsidP="00831853">
            <w:pPr>
              <w:pStyle w:val="TableText0"/>
            </w:pPr>
            <w:r w:rsidRPr="007B1695">
              <w:t>$69.10</w:t>
            </w:r>
          </w:p>
          <w:p w:rsidR="00204EEA" w:rsidRPr="007B1695" w:rsidRDefault="00204EEA" w:rsidP="00831853">
            <w:pPr>
              <w:pStyle w:val="TableText0"/>
            </w:pPr>
            <w:r w:rsidRPr="007B1695">
              <w:t>75%=$51.85</w:t>
            </w:r>
          </w:p>
          <w:p w:rsidR="00204EEA" w:rsidRPr="007B1695" w:rsidRDefault="00204EEA" w:rsidP="00831853">
            <w:pPr>
              <w:pStyle w:val="TableText0"/>
            </w:pPr>
            <w:r w:rsidRPr="007B1695">
              <w:t>85%=$58.75</w:t>
            </w:r>
          </w:p>
        </w:tc>
      </w:tr>
    </w:tbl>
    <w:p w:rsidR="00E47447" w:rsidRPr="00204EEA" w:rsidRDefault="00E47447" w:rsidP="00204EEA">
      <w:pPr>
        <w:spacing w:after="0"/>
        <w:rPr>
          <w:rFonts w:ascii="Arial Narrow" w:hAnsi="Arial Narrow"/>
          <w:sz w:val="16"/>
          <w:szCs w:val="16"/>
        </w:rPr>
      </w:pPr>
      <w:r w:rsidRPr="00204EEA">
        <w:rPr>
          <w:rFonts w:ascii="Arial Narrow" w:hAnsi="Arial Narrow"/>
          <w:sz w:val="16"/>
          <w:szCs w:val="16"/>
        </w:rPr>
        <w:t xml:space="preserve">Source: MBS online </w:t>
      </w:r>
    </w:p>
    <w:p w:rsidR="00C63FED" w:rsidRPr="00204EEA" w:rsidRDefault="00E47447" w:rsidP="00204EEA">
      <w:pPr>
        <w:rPr>
          <w:rFonts w:ascii="Arial Narrow" w:hAnsi="Arial Narrow"/>
          <w:sz w:val="16"/>
          <w:szCs w:val="16"/>
        </w:rPr>
      </w:pPr>
      <w:proofErr w:type="spellStart"/>
      <w:proofErr w:type="gramStart"/>
      <w:r w:rsidRPr="00204EEA">
        <w:rPr>
          <w:rFonts w:ascii="Arial Narrow" w:hAnsi="Arial Narrow"/>
          <w:sz w:val="16"/>
          <w:szCs w:val="16"/>
          <w:vertAlign w:val="superscript"/>
        </w:rPr>
        <w:t>a</w:t>
      </w:r>
      <w:proofErr w:type="spellEnd"/>
      <w:proofErr w:type="gramEnd"/>
      <w:r w:rsidRPr="00204EEA">
        <w:rPr>
          <w:rFonts w:ascii="Arial Narrow" w:hAnsi="Arial Narrow"/>
          <w:sz w:val="16"/>
          <w:szCs w:val="16"/>
        </w:rPr>
        <w:tab/>
        <w:t>items 69384 to 69401 are subject to rule 6.  Item 69400 is also subject to rule 18 and 69401 is subject to rules 18 and 18A</w:t>
      </w:r>
    </w:p>
    <w:p w:rsidR="00A010C4" w:rsidRDefault="00A010C4">
      <w:pPr>
        <w:spacing w:after="0"/>
        <w:ind w:left="0"/>
        <w:rPr>
          <w:bCs/>
        </w:rPr>
      </w:pPr>
      <w:r>
        <w:rPr>
          <w:bCs/>
        </w:rPr>
        <w:br w:type="page"/>
      </w:r>
    </w:p>
    <w:p w:rsidR="00BF559E" w:rsidRDefault="000E5514" w:rsidP="007556E6">
      <w:pPr>
        <w:rPr>
          <w:bCs/>
        </w:rPr>
      </w:pPr>
      <w:r>
        <w:rPr>
          <w:bCs/>
        </w:rPr>
        <w:lastRenderedPageBreak/>
        <w:t xml:space="preserve">In 2013, a total of 817,625 </w:t>
      </w:r>
      <w:r w:rsidRPr="000E5514">
        <w:rPr>
          <w:bCs/>
        </w:rPr>
        <w:t xml:space="preserve">specimens </w:t>
      </w:r>
      <w:r>
        <w:rPr>
          <w:bCs/>
        </w:rPr>
        <w:t xml:space="preserve">were </w:t>
      </w:r>
      <w:r w:rsidRPr="000E5514">
        <w:rPr>
          <w:bCs/>
        </w:rPr>
        <w:t>tested for HIV antibody in public health laboratories</w:t>
      </w:r>
      <w:r>
        <w:rPr>
          <w:bCs/>
        </w:rPr>
        <w:t xml:space="preserve"> (Kirby Institute, 2</w:t>
      </w:r>
      <w:r w:rsidR="004A2282">
        <w:rPr>
          <w:bCs/>
        </w:rPr>
        <w:t>014a), many of which are likely to be for routine screening of blood and organ donations and routine pre-natal testing of pregnant women.  In addition to these MBS item number</w:t>
      </w:r>
      <w:r w:rsidR="00A010C4">
        <w:rPr>
          <w:bCs/>
        </w:rPr>
        <w:t>s</w:t>
      </w:r>
      <w:r w:rsidR="004A2282">
        <w:rPr>
          <w:bCs/>
        </w:rPr>
        <w:t>, various additional pathology MBS items that may apply are summarised in Table 6.</w:t>
      </w:r>
      <w:r w:rsidR="00A010C4">
        <w:rPr>
          <w:bCs/>
        </w:rPr>
        <w:t xml:space="preserve">  Of these additional items, only items 74990 and 74991 would be applicable to rapid point-of-care testing, and only when the test is bulk-billed.</w:t>
      </w:r>
    </w:p>
    <w:p w:rsidR="004A2282" w:rsidRDefault="004A2282" w:rsidP="008A089E">
      <w:pPr>
        <w:pStyle w:val="Caption"/>
      </w:pPr>
      <w:bookmarkStart w:id="49" w:name="_Toc415103509"/>
      <w:bookmarkStart w:id="50" w:name="_Toc418224997"/>
      <w:bookmarkStart w:id="51" w:name="_Toc418225642"/>
      <w:r>
        <w:t>Table 6</w:t>
      </w:r>
      <w:r>
        <w:tab/>
        <w:t>Additional pathology MBS item numbers and descriptors associated with testing for HIV</w:t>
      </w:r>
      <w:bookmarkEnd w:id="49"/>
      <w:bookmarkEnd w:id="50"/>
      <w:bookmarkEnd w:id="51"/>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Additional pathology MBS item numbers and descriptors associated with testing for HIV. 6 general MBS items associated with pathology testing are described; 2 items are applicable for point-of-care testing; 4 items are applicable to laboratory testing."/>
      </w:tblPr>
      <w:tblGrid>
        <w:gridCol w:w="868"/>
        <w:gridCol w:w="6520"/>
        <w:gridCol w:w="977"/>
      </w:tblGrid>
      <w:tr w:rsidR="004A2282" w:rsidRPr="007B1695" w:rsidTr="002A5CBD">
        <w:trPr>
          <w:tblHeader/>
        </w:trPr>
        <w:tc>
          <w:tcPr>
            <w:tcW w:w="868" w:type="dxa"/>
            <w:shd w:val="clear" w:color="auto" w:fill="auto"/>
            <w:vAlign w:val="center"/>
          </w:tcPr>
          <w:p w:rsidR="004A2282" w:rsidRPr="007B1695" w:rsidRDefault="004A2282" w:rsidP="006F6E93">
            <w:pPr>
              <w:pStyle w:val="TableText0"/>
              <w:rPr>
                <w:b/>
                <w:vertAlign w:val="superscript"/>
              </w:rPr>
            </w:pPr>
            <w:r w:rsidRPr="007B1695">
              <w:rPr>
                <w:b/>
              </w:rPr>
              <w:t xml:space="preserve">MBS </w:t>
            </w:r>
            <w:proofErr w:type="spellStart"/>
            <w:r w:rsidRPr="007B1695">
              <w:rPr>
                <w:b/>
              </w:rPr>
              <w:t>Item</w:t>
            </w:r>
            <w:r w:rsidRPr="007B1695">
              <w:rPr>
                <w:b/>
                <w:vertAlign w:val="superscript"/>
              </w:rPr>
              <w:t>a</w:t>
            </w:r>
            <w:proofErr w:type="spellEnd"/>
          </w:p>
        </w:tc>
        <w:tc>
          <w:tcPr>
            <w:tcW w:w="6520" w:type="dxa"/>
            <w:shd w:val="clear" w:color="auto" w:fill="auto"/>
          </w:tcPr>
          <w:p w:rsidR="004A2282" w:rsidRPr="007B1695" w:rsidRDefault="004A2282" w:rsidP="006F6E93">
            <w:pPr>
              <w:pStyle w:val="TableText0"/>
              <w:rPr>
                <w:b/>
              </w:rPr>
            </w:pPr>
            <w:r w:rsidRPr="007B1695">
              <w:rPr>
                <w:b/>
              </w:rPr>
              <w:t>Descriptor</w:t>
            </w:r>
          </w:p>
        </w:tc>
        <w:tc>
          <w:tcPr>
            <w:tcW w:w="977" w:type="dxa"/>
            <w:shd w:val="clear" w:color="auto" w:fill="auto"/>
          </w:tcPr>
          <w:p w:rsidR="004A2282" w:rsidRPr="007B1695" w:rsidRDefault="004A2282" w:rsidP="006F6E93">
            <w:pPr>
              <w:pStyle w:val="TableText0"/>
              <w:rPr>
                <w:b/>
              </w:rPr>
            </w:pPr>
            <w:r w:rsidRPr="007B1695">
              <w:rPr>
                <w:b/>
              </w:rPr>
              <w:t xml:space="preserve">Fee </w:t>
            </w:r>
          </w:p>
        </w:tc>
      </w:tr>
      <w:tr w:rsidR="004A2282" w:rsidRPr="007B1695" w:rsidTr="002A0B37">
        <w:tc>
          <w:tcPr>
            <w:tcW w:w="868" w:type="dxa"/>
            <w:shd w:val="clear" w:color="auto" w:fill="auto"/>
            <w:vAlign w:val="center"/>
          </w:tcPr>
          <w:p w:rsidR="004A2282" w:rsidRPr="007B1695" w:rsidRDefault="004A2282" w:rsidP="006F6E93">
            <w:pPr>
              <w:pStyle w:val="TableText0"/>
            </w:pPr>
            <w:r>
              <w:t>73928</w:t>
            </w:r>
          </w:p>
        </w:tc>
        <w:tc>
          <w:tcPr>
            <w:tcW w:w="6520" w:type="dxa"/>
            <w:shd w:val="clear" w:color="auto" w:fill="auto"/>
            <w:vAlign w:val="center"/>
          </w:tcPr>
          <w:p w:rsidR="004A2282" w:rsidRPr="007B1695" w:rsidRDefault="002A0B37" w:rsidP="002A0B37">
            <w:pPr>
              <w:pStyle w:val="TableText0"/>
            </w:pPr>
            <w:r>
              <w:rPr>
                <w:shd w:val="clear" w:color="auto" w:fill="FBFBFB"/>
              </w:rPr>
              <w:t>Initiation of a patient episode by collection of a specimen for 1 or more services (other than those services described in items 73922, 73924 or 73926) if the specimen is collected in an approved collection centre. Unless item 73920 or 73929 applies</w:t>
            </w:r>
          </w:p>
        </w:tc>
        <w:tc>
          <w:tcPr>
            <w:tcW w:w="977" w:type="dxa"/>
            <w:shd w:val="clear" w:color="auto" w:fill="auto"/>
            <w:vAlign w:val="center"/>
          </w:tcPr>
          <w:p w:rsidR="004A2282" w:rsidRPr="007B1695" w:rsidRDefault="004A2282" w:rsidP="006F6E93">
            <w:pPr>
              <w:pStyle w:val="TableText0"/>
            </w:pPr>
            <w:r w:rsidRPr="007B1695">
              <w:t>$</w:t>
            </w:r>
            <w:r w:rsidR="002A0B37">
              <w:t>5.95</w:t>
            </w:r>
          </w:p>
          <w:p w:rsidR="004A2282" w:rsidRPr="007B1695" w:rsidRDefault="004A2282" w:rsidP="006F6E93">
            <w:pPr>
              <w:pStyle w:val="TableText0"/>
            </w:pPr>
            <w:r w:rsidRPr="007B1695">
              <w:t>75%=$</w:t>
            </w:r>
            <w:r w:rsidR="002A0B37">
              <w:t>4.50</w:t>
            </w:r>
          </w:p>
          <w:p w:rsidR="004A2282" w:rsidRPr="007B1695" w:rsidRDefault="004A2282" w:rsidP="004A2282">
            <w:pPr>
              <w:pStyle w:val="TableText0"/>
            </w:pPr>
            <w:r w:rsidRPr="007B1695">
              <w:t>85%=</w:t>
            </w:r>
            <w:r>
              <w:t>$</w:t>
            </w:r>
            <w:r w:rsidR="002A0B37">
              <w:t>5.10</w:t>
            </w:r>
          </w:p>
        </w:tc>
      </w:tr>
      <w:tr w:rsidR="004A2282" w:rsidRPr="007B1695" w:rsidTr="006F6E93">
        <w:tc>
          <w:tcPr>
            <w:tcW w:w="868" w:type="dxa"/>
            <w:shd w:val="clear" w:color="auto" w:fill="auto"/>
            <w:vAlign w:val="center"/>
          </w:tcPr>
          <w:p w:rsidR="004A2282" w:rsidRPr="007B1695" w:rsidRDefault="004A2282" w:rsidP="006F6E93">
            <w:pPr>
              <w:pStyle w:val="TableText0"/>
            </w:pPr>
            <w:r>
              <w:t>73929</w:t>
            </w:r>
          </w:p>
        </w:tc>
        <w:tc>
          <w:tcPr>
            <w:tcW w:w="6520" w:type="dxa"/>
            <w:shd w:val="clear" w:color="auto" w:fill="auto"/>
          </w:tcPr>
          <w:p w:rsidR="004A2282" w:rsidRPr="002A0B37" w:rsidRDefault="002A0B37" w:rsidP="002A0B37">
            <w:pPr>
              <w:pStyle w:val="TableText0"/>
            </w:pPr>
            <w:r w:rsidRPr="002A0B37">
              <w:t>Initiation of a patient episode by collection of a specimen for 1 or more services</w:t>
            </w:r>
            <w:r>
              <w:t xml:space="preserve"> </w:t>
            </w:r>
            <w:r w:rsidRPr="002A0B37">
              <w:t>(other than those services described in items 73922, 73924 or 73926) if the specimen is collected by an approved pathology practitioner for a prescribed laboratory or by an employee of an approved pathology authority, who conducts a prescribed laboratory, if the specimen is collected in an approved pathology collection centre</w:t>
            </w:r>
          </w:p>
        </w:tc>
        <w:tc>
          <w:tcPr>
            <w:tcW w:w="977" w:type="dxa"/>
            <w:shd w:val="clear" w:color="auto" w:fill="auto"/>
            <w:vAlign w:val="center"/>
          </w:tcPr>
          <w:p w:rsidR="004A2282" w:rsidRPr="007B1695" w:rsidRDefault="004A2282" w:rsidP="006F6E93">
            <w:pPr>
              <w:pStyle w:val="TableText0"/>
            </w:pPr>
            <w:r w:rsidRPr="007B1695">
              <w:t>$</w:t>
            </w:r>
            <w:r w:rsidR="002A0B37">
              <w:t>2.40</w:t>
            </w:r>
          </w:p>
          <w:p w:rsidR="004A2282" w:rsidRPr="007B1695" w:rsidRDefault="004A2282" w:rsidP="006F6E93">
            <w:pPr>
              <w:pStyle w:val="TableText0"/>
            </w:pPr>
            <w:r w:rsidRPr="007B1695">
              <w:t>75%=$</w:t>
            </w:r>
            <w:r w:rsidR="002A0B37">
              <w:t>1.80</w:t>
            </w:r>
          </w:p>
          <w:p w:rsidR="004A2282" w:rsidRPr="007B1695" w:rsidRDefault="004A2282" w:rsidP="006F6E93">
            <w:pPr>
              <w:pStyle w:val="TableText0"/>
            </w:pPr>
            <w:r w:rsidRPr="007B1695">
              <w:t>85%=</w:t>
            </w:r>
            <w:r>
              <w:t>$</w:t>
            </w:r>
            <w:r w:rsidR="002A0B37">
              <w:t>2.05</w:t>
            </w:r>
          </w:p>
        </w:tc>
      </w:tr>
      <w:tr w:rsidR="004A2282" w:rsidRPr="007B1695" w:rsidTr="006F6E93">
        <w:tc>
          <w:tcPr>
            <w:tcW w:w="868" w:type="dxa"/>
            <w:shd w:val="clear" w:color="auto" w:fill="auto"/>
            <w:vAlign w:val="center"/>
          </w:tcPr>
          <w:p w:rsidR="004A2282" w:rsidRPr="007B1695" w:rsidRDefault="004A2282" w:rsidP="006F6E93">
            <w:pPr>
              <w:pStyle w:val="TableText0"/>
            </w:pPr>
            <w:r>
              <w:t>74990</w:t>
            </w:r>
          </w:p>
        </w:tc>
        <w:tc>
          <w:tcPr>
            <w:tcW w:w="6520" w:type="dxa"/>
            <w:shd w:val="clear" w:color="auto" w:fill="auto"/>
          </w:tcPr>
          <w:p w:rsidR="002A0B37" w:rsidRDefault="002A0B37" w:rsidP="002A0B37">
            <w:pPr>
              <w:pStyle w:val="TableText0"/>
              <w:spacing w:after="0"/>
            </w:pPr>
            <w:r>
              <w:t>A pathology service to which an item in this table (other than this item or item 74991) applies if:</w:t>
            </w:r>
          </w:p>
          <w:p w:rsidR="002A0B37" w:rsidRDefault="002A0B37" w:rsidP="00F737A4">
            <w:pPr>
              <w:pStyle w:val="TableText0"/>
              <w:numPr>
                <w:ilvl w:val="0"/>
                <w:numId w:val="28"/>
              </w:numPr>
              <w:spacing w:before="0" w:after="0"/>
              <w:ind w:left="255" w:hanging="255"/>
            </w:pPr>
            <w:r>
              <w:t xml:space="preserve">the service is an </w:t>
            </w:r>
            <w:proofErr w:type="spellStart"/>
            <w:r>
              <w:t>unreferred</w:t>
            </w:r>
            <w:proofErr w:type="spellEnd"/>
            <w:r>
              <w:t xml:space="preserve"> service; and</w:t>
            </w:r>
          </w:p>
          <w:p w:rsidR="002A0B37" w:rsidRDefault="002A0B37" w:rsidP="00F737A4">
            <w:pPr>
              <w:pStyle w:val="TableText0"/>
              <w:numPr>
                <w:ilvl w:val="0"/>
                <w:numId w:val="28"/>
              </w:numPr>
              <w:spacing w:before="0" w:after="0"/>
              <w:ind w:left="255" w:hanging="255"/>
            </w:pPr>
            <w:r>
              <w:t>the service is provided to a person who is under the age of 16 or is a Commonwealth concession card holder; and</w:t>
            </w:r>
          </w:p>
          <w:p w:rsidR="002A0B37" w:rsidRDefault="002A0B37" w:rsidP="00F737A4">
            <w:pPr>
              <w:pStyle w:val="TableText0"/>
              <w:numPr>
                <w:ilvl w:val="0"/>
                <w:numId w:val="28"/>
              </w:numPr>
              <w:spacing w:before="0" w:after="0"/>
              <w:ind w:left="255" w:hanging="255"/>
            </w:pPr>
            <w:r>
              <w:t>the person is not an admitted patient of a hospital; and</w:t>
            </w:r>
          </w:p>
          <w:p w:rsidR="002A0B37" w:rsidRDefault="002A0B37" w:rsidP="00F737A4">
            <w:pPr>
              <w:pStyle w:val="TableText0"/>
              <w:numPr>
                <w:ilvl w:val="0"/>
                <w:numId w:val="28"/>
              </w:numPr>
              <w:spacing w:before="0" w:after="0"/>
              <w:ind w:left="255" w:hanging="255"/>
            </w:pPr>
            <w:r>
              <w:t>the service is bulk-billed in respect of the fees for:</w:t>
            </w:r>
          </w:p>
          <w:p w:rsidR="002A0B37" w:rsidRDefault="002A0B37" w:rsidP="00F737A4">
            <w:pPr>
              <w:pStyle w:val="TableText0"/>
              <w:numPr>
                <w:ilvl w:val="0"/>
                <w:numId w:val="29"/>
              </w:numPr>
              <w:spacing w:before="0" w:after="0"/>
              <w:ind w:left="539" w:hanging="284"/>
            </w:pPr>
            <w:r>
              <w:t>this item; and</w:t>
            </w:r>
          </w:p>
          <w:p w:rsidR="004A2282" w:rsidRPr="007B1695" w:rsidRDefault="002A0B37" w:rsidP="00F737A4">
            <w:pPr>
              <w:pStyle w:val="TableText0"/>
              <w:numPr>
                <w:ilvl w:val="0"/>
                <w:numId w:val="29"/>
              </w:numPr>
              <w:spacing w:before="0"/>
              <w:ind w:left="539" w:hanging="284"/>
            </w:pPr>
            <w:r>
              <w:t>the other item in this table applying to the service</w:t>
            </w:r>
          </w:p>
        </w:tc>
        <w:tc>
          <w:tcPr>
            <w:tcW w:w="977" w:type="dxa"/>
            <w:shd w:val="clear" w:color="auto" w:fill="auto"/>
            <w:vAlign w:val="center"/>
          </w:tcPr>
          <w:p w:rsidR="004A2282" w:rsidRPr="007B1695" w:rsidRDefault="004A2282" w:rsidP="006F6E93">
            <w:pPr>
              <w:pStyle w:val="TableText0"/>
            </w:pPr>
            <w:r w:rsidRPr="007B1695">
              <w:t>$</w:t>
            </w:r>
            <w:r w:rsidR="002A0B37">
              <w:t>7.05</w:t>
            </w:r>
          </w:p>
          <w:p w:rsidR="004A2282" w:rsidRPr="007B1695" w:rsidRDefault="002A0B37" w:rsidP="006F6E93">
            <w:pPr>
              <w:pStyle w:val="TableText0"/>
            </w:pPr>
            <w:r>
              <w:t>8</w:t>
            </w:r>
            <w:r w:rsidR="004A2282" w:rsidRPr="007B1695">
              <w:t>5%=$</w:t>
            </w:r>
            <w:r>
              <w:t>6.00</w:t>
            </w:r>
          </w:p>
        </w:tc>
      </w:tr>
      <w:tr w:rsidR="004A2282" w:rsidRPr="007B1695" w:rsidTr="006F6E93">
        <w:tc>
          <w:tcPr>
            <w:tcW w:w="868" w:type="dxa"/>
            <w:shd w:val="clear" w:color="auto" w:fill="auto"/>
            <w:vAlign w:val="center"/>
          </w:tcPr>
          <w:p w:rsidR="004A2282" w:rsidRPr="007B1695" w:rsidRDefault="004A2282" w:rsidP="006F6E93">
            <w:pPr>
              <w:pStyle w:val="TableText0"/>
            </w:pPr>
            <w:r>
              <w:t>74991</w:t>
            </w:r>
          </w:p>
        </w:tc>
        <w:tc>
          <w:tcPr>
            <w:tcW w:w="6520" w:type="dxa"/>
            <w:shd w:val="clear" w:color="auto" w:fill="auto"/>
          </w:tcPr>
          <w:p w:rsidR="002A0B37" w:rsidRDefault="002A0B37" w:rsidP="002A0B37">
            <w:pPr>
              <w:pStyle w:val="TableText0"/>
              <w:spacing w:after="0"/>
            </w:pPr>
            <w:r>
              <w:t>A pathology service to which an item in this table (other than this item or item 74991) applies if:</w:t>
            </w:r>
          </w:p>
          <w:p w:rsidR="002A0B37" w:rsidRDefault="002A0B37" w:rsidP="00F737A4">
            <w:pPr>
              <w:pStyle w:val="TableText0"/>
              <w:numPr>
                <w:ilvl w:val="0"/>
                <w:numId w:val="30"/>
              </w:numPr>
              <w:spacing w:before="0" w:after="0"/>
              <w:ind w:left="255" w:hanging="255"/>
            </w:pPr>
            <w:r>
              <w:t xml:space="preserve">the service is an </w:t>
            </w:r>
            <w:proofErr w:type="spellStart"/>
            <w:r>
              <w:t>unreferred</w:t>
            </w:r>
            <w:proofErr w:type="spellEnd"/>
            <w:r>
              <w:t xml:space="preserve"> service; and</w:t>
            </w:r>
          </w:p>
          <w:p w:rsidR="002A0B37" w:rsidRDefault="002A0B37" w:rsidP="00F737A4">
            <w:pPr>
              <w:pStyle w:val="TableText0"/>
              <w:numPr>
                <w:ilvl w:val="0"/>
                <w:numId w:val="30"/>
              </w:numPr>
              <w:spacing w:before="0" w:after="0"/>
              <w:ind w:left="255" w:hanging="255"/>
            </w:pPr>
            <w:r>
              <w:t>the service is provided to a person who is under the age of 16 or is a Commonwealth concession card holder; and</w:t>
            </w:r>
          </w:p>
          <w:p w:rsidR="002A0B37" w:rsidRDefault="002A0B37" w:rsidP="00F737A4">
            <w:pPr>
              <w:pStyle w:val="TableText0"/>
              <w:numPr>
                <w:ilvl w:val="0"/>
                <w:numId w:val="30"/>
              </w:numPr>
              <w:spacing w:before="0" w:after="0"/>
              <w:ind w:left="255" w:hanging="255"/>
            </w:pPr>
            <w:r>
              <w:t>the person is not an admitted patient of a hospital; and</w:t>
            </w:r>
          </w:p>
          <w:p w:rsidR="002A0B37" w:rsidRDefault="002A0B37" w:rsidP="00F737A4">
            <w:pPr>
              <w:pStyle w:val="TableText0"/>
              <w:numPr>
                <w:ilvl w:val="0"/>
                <w:numId w:val="30"/>
              </w:numPr>
              <w:spacing w:before="0" w:after="0"/>
              <w:ind w:left="255" w:hanging="255"/>
            </w:pPr>
            <w:r>
              <w:t>the service is bulk-billed in respect of the fees for:</w:t>
            </w:r>
          </w:p>
          <w:p w:rsidR="002A0B37" w:rsidRDefault="002A0B37" w:rsidP="00F737A4">
            <w:pPr>
              <w:pStyle w:val="TableText0"/>
              <w:numPr>
                <w:ilvl w:val="0"/>
                <w:numId w:val="31"/>
              </w:numPr>
              <w:spacing w:before="0" w:after="0"/>
              <w:ind w:left="539" w:hanging="284"/>
            </w:pPr>
            <w:r>
              <w:t>this item; and</w:t>
            </w:r>
          </w:p>
          <w:p w:rsidR="004A2282" w:rsidRDefault="002A0B37" w:rsidP="00F737A4">
            <w:pPr>
              <w:pStyle w:val="TableText0"/>
              <w:numPr>
                <w:ilvl w:val="0"/>
                <w:numId w:val="31"/>
              </w:numPr>
              <w:spacing w:before="0" w:after="0"/>
              <w:ind w:left="539" w:hanging="284"/>
            </w:pPr>
            <w:r>
              <w:t>the other item in this table applying to the service; and</w:t>
            </w:r>
          </w:p>
          <w:p w:rsidR="002A0B37" w:rsidRDefault="002A0B37" w:rsidP="00F737A4">
            <w:pPr>
              <w:pStyle w:val="TableText0"/>
              <w:numPr>
                <w:ilvl w:val="0"/>
                <w:numId w:val="30"/>
              </w:numPr>
              <w:spacing w:before="0" w:after="0"/>
              <w:ind w:left="255" w:hanging="255"/>
            </w:pPr>
            <w:r w:rsidRPr="002A0B37">
              <w:t>the service is provided at, or from, a practice location in</w:t>
            </w:r>
          </w:p>
          <w:p w:rsidR="002A0B37" w:rsidRDefault="002A0B37" w:rsidP="00F737A4">
            <w:pPr>
              <w:pStyle w:val="TableText0"/>
              <w:numPr>
                <w:ilvl w:val="0"/>
                <w:numId w:val="32"/>
              </w:numPr>
              <w:spacing w:before="0" w:after="0"/>
              <w:ind w:left="539" w:hanging="284"/>
            </w:pPr>
            <w:r w:rsidRPr="002A0B37">
              <w:t>a regional</w:t>
            </w:r>
            <w:r>
              <w:t>, rural or remote area; or</w:t>
            </w:r>
          </w:p>
          <w:p w:rsidR="002A0B37" w:rsidRDefault="002A0B37" w:rsidP="00F737A4">
            <w:pPr>
              <w:pStyle w:val="TableText0"/>
              <w:numPr>
                <w:ilvl w:val="0"/>
                <w:numId w:val="32"/>
              </w:numPr>
              <w:spacing w:before="0" w:after="0"/>
              <w:ind w:left="539" w:hanging="284"/>
            </w:pPr>
            <w:r>
              <w:t>Tasmania; or</w:t>
            </w:r>
          </w:p>
          <w:p w:rsidR="002A0B37" w:rsidRPr="002A0B37" w:rsidRDefault="002A0B37" w:rsidP="00F737A4">
            <w:pPr>
              <w:pStyle w:val="TableText0"/>
              <w:numPr>
                <w:ilvl w:val="0"/>
                <w:numId w:val="32"/>
              </w:numPr>
              <w:spacing w:before="0" w:after="0"/>
              <w:ind w:left="539" w:hanging="284"/>
            </w:pPr>
            <w:r>
              <w:t>a</w:t>
            </w:r>
            <w:r w:rsidRPr="002A0B37">
              <w:t xml:space="preserve"> geographical area included in any of the following SSD spatial units</w:t>
            </w:r>
            <w:r>
              <w:t xml:space="preserve"> (specified areas)</w:t>
            </w:r>
          </w:p>
        </w:tc>
        <w:tc>
          <w:tcPr>
            <w:tcW w:w="977" w:type="dxa"/>
            <w:shd w:val="clear" w:color="auto" w:fill="auto"/>
            <w:vAlign w:val="center"/>
          </w:tcPr>
          <w:p w:rsidR="004A2282" w:rsidRPr="007B1695" w:rsidRDefault="004A2282" w:rsidP="006F6E93">
            <w:pPr>
              <w:pStyle w:val="TableText0"/>
            </w:pPr>
            <w:r w:rsidRPr="007B1695">
              <w:t>$</w:t>
            </w:r>
            <w:r w:rsidR="002A0B37">
              <w:t>10.65</w:t>
            </w:r>
          </w:p>
          <w:p w:rsidR="004A2282" w:rsidRPr="007B1695" w:rsidRDefault="004A2282" w:rsidP="006F6E93">
            <w:pPr>
              <w:pStyle w:val="TableText0"/>
            </w:pPr>
            <w:r w:rsidRPr="007B1695">
              <w:t>85%=</w:t>
            </w:r>
            <w:r>
              <w:t>$</w:t>
            </w:r>
            <w:r w:rsidR="002A0B37">
              <w:t>9.10</w:t>
            </w:r>
          </w:p>
        </w:tc>
      </w:tr>
      <w:tr w:rsidR="004A2282" w:rsidRPr="007B1695" w:rsidTr="002A0B37">
        <w:tc>
          <w:tcPr>
            <w:tcW w:w="868" w:type="dxa"/>
            <w:shd w:val="clear" w:color="auto" w:fill="auto"/>
            <w:vAlign w:val="center"/>
          </w:tcPr>
          <w:p w:rsidR="004A2282" w:rsidRPr="007B1695" w:rsidRDefault="004A2282" w:rsidP="006F6E93">
            <w:pPr>
              <w:pStyle w:val="TableText0"/>
            </w:pPr>
            <w:r>
              <w:t>74995</w:t>
            </w:r>
          </w:p>
        </w:tc>
        <w:tc>
          <w:tcPr>
            <w:tcW w:w="6520" w:type="dxa"/>
            <w:shd w:val="clear" w:color="auto" w:fill="auto"/>
            <w:vAlign w:val="center"/>
          </w:tcPr>
          <w:p w:rsidR="004A2282" w:rsidRPr="007B1695" w:rsidRDefault="002A0B37" w:rsidP="002A0B37">
            <w:pPr>
              <w:pStyle w:val="TableText0"/>
            </w:pPr>
            <w:r w:rsidRPr="002A0B37">
              <w:t>A p</w:t>
            </w:r>
            <w:r w:rsidR="007612EE">
              <w:t>ayment when the episode is bulk-</w:t>
            </w:r>
            <w:r w:rsidRPr="002A0B37">
              <w:t>billed and includes item 73928, 73930 or 73936.</w:t>
            </w:r>
          </w:p>
        </w:tc>
        <w:tc>
          <w:tcPr>
            <w:tcW w:w="977" w:type="dxa"/>
            <w:shd w:val="clear" w:color="auto" w:fill="auto"/>
            <w:vAlign w:val="center"/>
          </w:tcPr>
          <w:p w:rsidR="004A2282" w:rsidRPr="007B1695" w:rsidRDefault="004A2282" w:rsidP="006F6E93">
            <w:pPr>
              <w:pStyle w:val="TableText0"/>
            </w:pPr>
            <w:r w:rsidRPr="007B1695">
              <w:t>$</w:t>
            </w:r>
            <w:r w:rsidR="002A0B37">
              <w:t>4.00</w:t>
            </w:r>
          </w:p>
          <w:p w:rsidR="004A2282" w:rsidRPr="007B1695" w:rsidRDefault="004A2282" w:rsidP="006F6E93">
            <w:pPr>
              <w:pStyle w:val="TableText0"/>
            </w:pPr>
            <w:r w:rsidRPr="007B1695">
              <w:t>75%=$</w:t>
            </w:r>
            <w:r w:rsidR="002A0B37">
              <w:t>3.00</w:t>
            </w:r>
          </w:p>
          <w:p w:rsidR="004A2282" w:rsidRPr="007B1695" w:rsidRDefault="004A2282" w:rsidP="006F6E93">
            <w:pPr>
              <w:pStyle w:val="TableText0"/>
            </w:pPr>
            <w:r w:rsidRPr="007B1695">
              <w:t>85%=</w:t>
            </w:r>
            <w:r>
              <w:t>$</w:t>
            </w:r>
            <w:r w:rsidR="002A0B37">
              <w:t>3.40</w:t>
            </w:r>
          </w:p>
        </w:tc>
      </w:tr>
      <w:tr w:rsidR="004A2282" w:rsidRPr="007B1695" w:rsidTr="006F6E93">
        <w:tc>
          <w:tcPr>
            <w:tcW w:w="868" w:type="dxa"/>
            <w:shd w:val="clear" w:color="auto" w:fill="auto"/>
            <w:vAlign w:val="center"/>
          </w:tcPr>
          <w:p w:rsidR="004A2282" w:rsidRPr="007B1695" w:rsidRDefault="004A2282" w:rsidP="006F6E93">
            <w:pPr>
              <w:pStyle w:val="TableText0"/>
            </w:pPr>
            <w:r>
              <w:t>74999</w:t>
            </w:r>
          </w:p>
        </w:tc>
        <w:tc>
          <w:tcPr>
            <w:tcW w:w="6520" w:type="dxa"/>
            <w:shd w:val="clear" w:color="auto" w:fill="auto"/>
            <w:vAlign w:val="center"/>
          </w:tcPr>
          <w:p w:rsidR="004A2282" w:rsidRPr="007B1695" w:rsidRDefault="002A0B37" w:rsidP="006F6E93">
            <w:pPr>
              <w:pStyle w:val="TableText0"/>
            </w:pPr>
            <w:r w:rsidRPr="002A0B37">
              <w:t>A p</w:t>
            </w:r>
            <w:r w:rsidR="007612EE">
              <w:t>ayment when the episode is bulk-</w:t>
            </w:r>
            <w:r w:rsidRPr="002A0B37">
              <w:t>billed and includes item 73923, 73925, 73927, 73929, 73931, 73933, 73935, 73937 or 73939.</w:t>
            </w:r>
          </w:p>
        </w:tc>
        <w:tc>
          <w:tcPr>
            <w:tcW w:w="977" w:type="dxa"/>
            <w:shd w:val="clear" w:color="auto" w:fill="auto"/>
            <w:vAlign w:val="center"/>
          </w:tcPr>
          <w:p w:rsidR="004A2282" w:rsidRPr="007B1695" w:rsidRDefault="004A2282" w:rsidP="006F6E93">
            <w:pPr>
              <w:pStyle w:val="TableText0"/>
            </w:pPr>
            <w:r w:rsidRPr="007B1695">
              <w:t>$</w:t>
            </w:r>
            <w:r w:rsidR="002A0B37">
              <w:t>1.60</w:t>
            </w:r>
          </w:p>
          <w:p w:rsidR="004A2282" w:rsidRPr="007B1695" w:rsidRDefault="004A2282" w:rsidP="006F6E93">
            <w:pPr>
              <w:pStyle w:val="TableText0"/>
            </w:pPr>
            <w:r w:rsidRPr="007B1695">
              <w:t>75%=$</w:t>
            </w:r>
            <w:r w:rsidR="002A0B37">
              <w:t>1.20</w:t>
            </w:r>
          </w:p>
          <w:p w:rsidR="004A2282" w:rsidRPr="007B1695" w:rsidRDefault="004A2282" w:rsidP="006F6E93">
            <w:pPr>
              <w:pStyle w:val="TableText0"/>
            </w:pPr>
            <w:r w:rsidRPr="007B1695">
              <w:t>85%=</w:t>
            </w:r>
            <w:r>
              <w:t>$</w:t>
            </w:r>
            <w:r w:rsidR="00784DA5">
              <w:t>1.40</w:t>
            </w:r>
          </w:p>
        </w:tc>
      </w:tr>
    </w:tbl>
    <w:p w:rsidR="00B4120C" w:rsidRPr="00E47447" w:rsidRDefault="00B4120C" w:rsidP="00B4120C">
      <w:pPr>
        <w:pStyle w:val="TableNotes"/>
        <w:tabs>
          <w:tab w:val="left" w:pos="993"/>
        </w:tabs>
      </w:pPr>
      <w:r>
        <w:t xml:space="preserve">Source: MBS online </w:t>
      </w:r>
    </w:p>
    <w:p w:rsidR="008F59A8" w:rsidRPr="00776777" w:rsidRDefault="008F59A8" w:rsidP="00776777">
      <w:pPr>
        <w:pStyle w:val="Heading1"/>
      </w:pPr>
      <w:bookmarkStart w:id="52" w:name="_Toc418224860"/>
      <w:r w:rsidRPr="006F6E93">
        <w:lastRenderedPageBreak/>
        <w:t>Approach to assessment</w:t>
      </w:r>
      <w:bookmarkEnd w:id="52"/>
      <w:r w:rsidRPr="00776777">
        <w:t xml:space="preserve"> </w:t>
      </w:r>
    </w:p>
    <w:p w:rsidR="002E3709" w:rsidRPr="004C6B15" w:rsidRDefault="002E3709">
      <w:pPr>
        <w:pStyle w:val="Heading2"/>
      </w:pPr>
      <w:bookmarkStart w:id="53" w:name="_Toc418224861"/>
      <w:r w:rsidRPr="004C6B15">
        <w:t>Objective</w:t>
      </w:r>
      <w:bookmarkEnd w:id="53"/>
    </w:p>
    <w:p w:rsidR="00697D1A" w:rsidRPr="00A87A8D" w:rsidRDefault="00B4120C" w:rsidP="00B4120C">
      <w:r>
        <w:t xml:space="preserve">According to the MSAC 1391 </w:t>
      </w:r>
      <w:r w:rsidR="00B0005A">
        <w:t xml:space="preserve">Final </w:t>
      </w:r>
      <w:r>
        <w:t xml:space="preserve">Protocol (2015), the objective of this assessment was to determine in </w:t>
      </w:r>
      <w:r w:rsidR="005447B7">
        <w:rPr>
          <w:bCs/>
        </w:rPr>
        <w:t>individual</w:t>
      </w:r>
      <w:r w:rsidR="005447B7" w:rsidRPr="00102204">
        <w:rPr>
          <w:bCs/>
        </w:rPr>
        <w:t>s</w:t>
      </w:r>
      <w:r>
        <w:t xml:space="preserve"> where an HIV te</w:t>
      </w:r>
      <w:r w:rsidR="00A40E47">
        <w:t>st is indicated, is rapid point-of-</w:t>
      </w:r>
      <w:r>
        <w:t>care combined Antigen/Antibody HIV testing at least as cost-effective as laboratory-based HIV testing for the early diagnosis of HIV infection?</w:t>
      </w:r>
    </w:p>
    <w:p w:rsidR="00697D1A" w:rsidRDefault="00697D1A" w:rsidP="00697D1A">
      <w:pPr>
        <w:pStyle w:val="Heading2"/>
        <w:rPr>
          <w:bCs/>
        </w:rPr>
      </w:pPr>
      <w:bookmarkStart w:id="54" w:name="_Toc418224862"/>
      <w:r>
        <w:rPr>
          <w:bCs/>
        </w:rPr>
        <w:t>Clinical decision pathway</w:t>
      </w:r>
      <w:bookmarkEnd w:id="54"/>
    </w:p>
    <w:p w:rsidR="00963B9C" w:rsidRDefault="00963B9C" w:rsidP="00963B9C">
      <w:r>
        <w:t xml:space="preserve">The current and proposed clinical pathways provided in the MSAC 1391 </w:t>
      </w:r>
      <w:r w:rsidR="00B0005A">
        <w:t xml:space="preserve">Final </w:t>
      </w:r>
      <w:r>
        <w:t>Protocol (2015) are summarised in Figure 2.</w:t>
      </w:r>
    </w:p>
    <w:p w:rsidR="00697D1A" w:rsidRPr="009648A4" w:rsidRDefault="00703D4E" w:rsidP="009648A4">
      <w:pPr>
        <w:rPr>
          <w:rStyle w:val="CaptionChar"/>
          <w:sz w:val="20"/>
        </w:rPr>
      </w:pPr>
      <w:bookmarkStart w:id="55" w:name="_Toc415103429"/>
      <w:bookmarkStart w:id="56" w:name="_Toc415107304"/>
      <w:r>
        <w:rPr>
          <w:noProof/>
        </w:rPr>
        <w:drawing>
          <wp:inline distT="0" distB="0" distL="0" distR="0" wp14:anchorId="4F78ACCD" wp14:editId="638A06E4">
            <wp:extent cx="5319422" cy="3222641"/>
            <wp:effectExtent l="0" t="0" r="0" b="0"/>
            <wp:docPr id="95" name="Picture 95" descr="Current and proposed clinical decision tree. Under the proposed algorithm, the patient has a choice between a point-of-care HIV test and a pathology test. If the point-of-care test is conducted and the result is negative, venepuncture is avoided. If the point-of-care test result is positive, the patient receives additional counseling and a venepuncture sample is collected for a confirmatory pathology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onash.edu\home\User057\pghijben\Desktop\Current clinical pathway.tiff"/>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5319422" cy="3222641"/>
                    </a:xfrm>
                    <a:prstGeom prst="rect">
                      <a:avLst/>
                    </a:prstGeom>
                    <a:noFill/>
                    <a:ln>
                      <a:noFill/>
                    </a:ln>
                    <a:extLst>
                      <a:ext uri="{53640926-AAD7-44D8-BBD7-CCE9431645EC}">
                        <a14:shadowObscured xmlns:a14="http://schemas.microsoft.com/office/drawing/2010/main"/>
                      </a:ext>
                    </a:extLst>
                  </pic:spPr>
                </pic:pic>
              </a:graphicData>
            </a:graphic>
          </wp:inline>
        </w:drawing>
      </w:r>
      <w:bookmarkStart w:id="57" w:name="_Toc418225643"/>
      <w:r w:rsidR="00697D1A" w:rsidRPr="009648A4">
        <w:rPr>
          <w:rStyle w:val="CaptionChar"/>
          <w:sz w:val="20"/>
        </w:rPr>
        <w:t xml:space="preserve">Figure </w:t>
      </w:r>
      <w:r w:rsidR="00B4120C" w:rsidRPr="009648A4">
        <w:rPr>
          <w:rStyle w:val="CaptionChar"/>
          <w:sz w:val="20"/>
        </w:rPr>
        <w:t>2</w:t>
      </w:r>
      <w:r w:rsidR="00697D1A" w:rsidRPr="009648A4">
        <w:rPr>
          <w:rStyle w:val="CaptionChar"/>
          <w:sz w:val="20"/>
        </w:rPr>
        <w:tab/>
      </w:r>
      <w:r w:rsidR="007A7D87" w:rsidRPr="009648A4">
        <w:rPr>
          <w:rStyle w:val="CaptionChar"/>
          <w:sz w:val="20"/>
        </w:rPr>
        <w:t>Current and proposed c</w:t>
      </w:r>
      <w:r w:rsidR="00697D1A" w:rsidRPr="009648A4">
        <w:rPr>
          <w:rStyle w:val="CaptionChar"/>
          <w:sz w:val="20"/>
        </w:rPr>
        <w:t>linical decision tree</w:t>
      </w:r>
      <w:bookmarkEnd w:id="55"/>
      <w:bookmarkEnd w:id="56"/>
      <w:bookmarkEnd w:id="57"/>
      <w:r w:rsidR="00697D1A" w:rsidRPr="009648A4">
        <w:rPr>
          <w:rStyle w:val="CaptionChar"/>
          <w:sz w:val="20"/>
        </w:rPr>
        <w:t xml:space="preserve"> </w:t>
      </w:r>
    </w:p>
    <w:p w:rsidR="00E862B6" w:rsidRDefault="00E862B6" w:rsidP="009648A4">
      <w:r>
        <w:t xml:space="preserve">The proposed algorithm provided in the </w:t>
      </w:r>
      <w:r w:rsidR="00906B32">
        <w:t>MSAC 1391 Final P</w:t>
      </w:r>
      <w:r>
        <w:t xml:space="preserve">rotocol implies that rapid point-of-care testing will substitute for laboratory testing for HIV.  Expert opinion sought during the assessment indicated </w:t>
      </w:r>
      <w:r w:rsidR="00834E75">
        <w:t xml:space="preserve">that </w:t>
      </w:r>
      <w:r>
        <w:t>in a Melbourne clinic using the DHC test, venous samples were still being collected on the same day as the rapid test for laboratory testing</w:t>
      </w:r>
      <w:r w:rsidR="00834E75">
        <w:t xml:space="preserve"> (regardless of whether the </w:t>
      </w:r>
      <w:r w:rsidR="00906B32">
        <w:t xml:space="preserve">DHC </w:t>
      </w:r>
      <w:r w:rsidR="00834E75">
        <w:t xml:space="preserve">test was reactive or not); indicating that the DHC test </w:t>
      </w:r>
      <w:r w:rsidR="00906B32">
        <w:t>may be</w:t>
      </w:r>
      <w:r w:rsidR="00834E75">
        <w:t xml:space="preserve"> an additional, rather than an alternative test to serology</w:t>
      </w:r>
      <w:r>
        <w:t xml:space="preserve">.  </w:t>
      </w:r>
      <w:r w:rsidR="00834E75">
        <w:t xml:space="preserve">The advice also indicated that this was an opt-out system for those who are adamant they do not want a venous sample taken (less than 10 in 100 would decline); and that individuals suspected of early HIV </w:t>
      </w:r>
      <w:proofErr w:type="spellStart"/>
      <w:r w:rsidR="00834E75">
        <w:t>seroconversion</w:t>
      </w:r>
      <w:proofErr w:type="spellEnd"/>
      <w:r w:rsidR="00834E75">
        <w:t xml:space="preserve"> were particularly encouraged to undergo </w:t>
      </w:r>
      <w:r w:rsidR="00D62DE8">
        <w:t xml:space="preserve">additional </w:t>
      </w:r>
      <w:r w:rsidR="00834E75">
        <w:t>laboratory testing</w:t>
      </w:r>
      <w:r w:rsidR="00A6277D">
        <w:t>; other advice suggested that those suspected of early infection</w:t>
      </w:r>
      <w:r w:rsidR="002F261C">
        <w:t xml:space="preserve"> should not be tested with a rapid test at all</w:t>
      </w:r>
      <w:r w:rsidR="00834E75">
        <w:t xml:space="preserve">.  Given testing for syphilis is recommended </w:t>
      </w:r>
      <w:r w:rsidR="002F261C">
        <w:t>at the time of HIV testing and syphilis serology requires venepuncture, it is not unreasonable (and could perhaps be considered inappropriate not) to test for HIV at the same time.</w:t>
      </w:r>
    </w:p>
    <w:p w:rsidR="002F261C" w:rsidRPr="00E862B6" w:rsidRDefault="002F261C" w:rsidP="00E862B6">
      <w:r>
        <w:lastRenderedPageBreak/>
        <w:t xml:space="preserve">As noted above, </w:t>
      </w:r>
      <w:r w:rsidRPr="00B4120C">
        <w:t>HIV rapid tests can be less specific (i.e. can have more false positives) and can be less sensitive (i.e. can miss more cases of infection) than conventional machine controlled tests used diagnostically, in contemporary laboratory based testing.</w:t>
      </w:r>
      <w:r>
        <w:t xml:space="preserve">  </w:t>
      </w:r>
      <w:r w:rsidRPr="00EC7F0E">
        <w:t>The risk of false-negative results in practice may however be mitigated through information provided in the product’s instructions for use and through training of health professionals performing the test.  The product’s instructions for use detail the limitations of the test, including the limitation of the test at early stages of infection.  These limitations are explained to health professionals performing the test when they are trained in the use of the product.</w:t>
      </w:r>
      <w:r>
        <w:t xml:space="preserve">  </w:t>
      </w:r>
    </w:p>
    <w:p w:rsidR="00697D1A" w:rsidRPr="004C6B15" w:rsidRDefault="00697D1A" w:rsidP="00697D1A">
      <w:pPr>
        <w:pStyle w:val="Heading2"/>
        <w:rPr>
          <w:bCs/>
        </w:rPr>
      </w:pPr>
      <w:bookmarkStart w:id="58" w:name="_Toc418224863"/>
      <w:r w:rsidRPr="004C6B15">
        <w:rPr>
          <w:bCs/>
        </w:rPr>
        <w:t>Comparator</w:t>
      </w:r>
      <w:bookmarkEnd w:id="58"/>
    </w:p>
    <w:p w:rsidR="00697D1A" w:rsidRDefault="002F56AA" w:rsidP="002F56AA">
      <w:pPr>
        <w:rPr>
          <w:bCs/>
        </w:rPr>
      </w:pPr>
      <w:r>
        <w:rPr>
          <w:bCs/>
        </w:rPr>
        <w:t>The relevant comparator to assess the safety, effectiveness and cost-effectiveness of the rapid point-of-care HIV Antigen/Antibody test is s</w:t>
      </w:r>
      <w:r w:rsidR="00767A16">
        <w:rPr>
          <w:bCs/>
        </w:rPr>
        <w:t>erology testing for HIV.</w:t>
      </w:r>
      <w:r w:rsidR="00454792">
        <w:rPr>
          <w:bCs/>
        </w:rPr>
        <w:t xml:space="preserve">  </w:t>
      </w:r>
      <w:r w:rsidRPr="002F56AA">
        <w:rPr>
          <w:bCs/>
        </w:rPr>
        <w:t>The</w:t>
      </w:r>
      <w:r>
        <w:rPr>
          <w:bCs/>
        </w:rPr>
        <w:t xml:space="preserve"> </w:t>
      </w:r>
      <w:r w:rsidRPr="002F56AA">
        <w:rPr>
          <w:bCs/>
        </w:rPr>
        <w:t>exact testing performed by the laboratory will depend on the diagnostic algorithm in use but</w:t>
      </w:r>
      <w:r>
        <w:rPr>
          <w:bCs/>
        </w:rPr>
        <w:t xml:space="preserve"> </w:t>
      </w:r>
      <w:r w:rsidRPr="002F56AA">
        <w:rPr>
          <w:bCs/>
        </w:rPr>
        <w:t>would typically consist of full testing protocol i.e. initial and confirmatory testing.</w:t>
      </w:r>
      <w:r w:rsidR="00454792">
        <w:rPr>
          <w:bCs/>
        </w:rPr>
        <w:t xml:space="preserve"> </w:t>
      </w:r>
      <w:r>
        <w:rPr>
          <w:bCs/>
        </w:rPr>
        <w:t xml:space="preserve"> </w:t>
      </w:r>
      <w:r w:rsidR="006A4C35">
        <w:rPr>
          <w:bCs/>
        </w:rPr>
        <w:t xml:space="preserve">Expert opinion sought during the assessment indicated that standard </w:t>
      </w:r>
      <w:r w:rsidR="006A4C35" w:rsidRPr="006A4C35">
        <w:rPr>
          <w:bCs/>
        </w:rPr>
        <w:t xml:space="preserve">practice would be the use of a </w:t>
      </w:r>
      <w:r w:rsidR="006A4C35">
        <w:rPr>
          <w:bCs/>
        </w:rPr>
        <w:t>fourth</w:t>
      </w:r>
      <w:r w:rsidR="006A4C35" w:rsidRPr="006A4C35">
        <w:rPr>
          <w:bCs/>
        </w:rPr>
        <w:t xml:space="preserve"> </w:t>
      </w:r>
      <w:r w:rsidR="00906B32">
        <w:rPr>
          <w:bCs/>
        </w:rPr>
        <w:t>g</w:t>
      </w:r>
      <w:r w:rsidR="006A4C35" w:rsidRPr="006A4C35">
        <w:rPr>
          <w:bCs/>
        </w:rPr>
        <w:t>eneration Ag/Ab screening assay</w:t>
      </w:r>
      <w:r w:rsidR="006A4C35">
        <w:rPr>
          <w:bCs/>
        </w:rPr>
        <w:t xml:space="preserve"> such as Abbott Architect®.  The advice also indicated that i</w:t>
      </w:r>
      <w:r w:rsidR="006A4C35" w:rsidRPr="006A4C35">
        <w:rPr>
          <w:bCs/>
        </w:rPr>
        <w:t xml:space="preserve">n some instances, a reactive HIV sample might undergo (in total) testing in </w:t>
      </w:r>
      <w:r w:rsidR="006A4C35">
        <w:rPr>
          <w:bCs/>
        </w:rPr>
        <w:t xml:space="preserve">four </w:t>
      </w:r>
      <w:r w:rsidR="006A4C35" w:rsidRPr="006A4C35">
        <w:rPr>
          <w:bCs/>
        </w:rPr>
        <w:t xml:space="preserve">different </w:t>
      </w:r>
      <w:r w:rsidR="006A4C35">
        <w:rPr>
          <w:bCs/>
        </w:rPr>
        <w:t>fourth</w:t>
      </w:r>
      <w:r w:rsidR="006A4C35" w:rsidRPr="006A4C35">
        <w:rPr>
          <w:bCs/>
        </w:rPr>
        <w:t xml:space="preserve"> </w:t>
      </w:r>
      <w:r w:rsidR="008009A7">
        <w:rPr>
          <w:bCs/>
        </w:rPr>
        <w:t>g</w:t>
      </w:r>
      <w:r w:rsidR="006A4C35" w:rsidRPr="006A4C35">
        <w:rPr>
          <w:bCs/>
        </w:rPr>
        <w:t>en</w:t>
      </w:r>
      <w:r w:rsidR="006A4C35">
        <w:rPr>
          <w:bCs/>
        </w:rPr>
        <w:t>eration</w:t>
      </w:r>
      <w:r w:rsidR="006A4C35" w:rsidRPr="006A4C35">
        <w:rPr>
          <w:bCs/>
        </w:rPr>
        <w:t xml:space="preserve"> HIV Ag/Ab EIAs</w:t>
      </w:r>
      <w:r w:rsidR="004A6251">
        <w:rPr>
          <w:bCs/>
        </w:rPr>
        <w:t xml:space="preserve"> (where only a single MBS item billing applies)</w:t>
      </w:r>
      <w:r w:rsidR="006A4C35">
        <w:rPr>
          <w:bCs/>
        </w:rPr>
        <w:t>,</w:t>
      </w:r>
      <w:r w:rsidR="006A4C35" w:rsidRPr="006A4C35">
        <w:rPr>
          <w:bCs/>
        </w:rPr>
        <w:t xml:space="preserve"> as well as a HIV Western Blot </w:t>
      </w:r>
      <w:r w:rsidR="004A6251">
        <w:rPr>
          <w:bCs/>
        </w:rPr>
        <w:t xml:space="preserve">(no MBS item number </w:t>
      </w:r>
      <w:r w:rsidR="00E971C3">
        <w:rPr>
          <w:bCs/>
        </w:rPr>
        <w:t>applies</w:t>
      </w:r>
      <w:r w:rsidR="004A6251">
        <w:rPr>
          <w:bCs/>
        </w:rPr>
        <w:t xml:space="preserve">) </w:t>
      </w:r>
      <w:r w:rsidR="006A4C35" w:rsidRPr="006A4C35">
        <w:rPr>
          <w:bCs/>
        </w:rPr>
        <w:t xml:space="preserve">and any other supplementary tests as indicated. </w:t>
      </w:r>
      <w:r w:rsidR="006A4C35">
        <w:rPr>
          <w:bCs/>
        </w:rPr>
        <w:t xml:space="preserve"> Additionally, expert opinion suggested that the </w:t>
      </w:r>
      <w:r w:rsidR="006A4C35" w:rsidRPr="006A4C35">
        <w:rPr>
          <w:bCs/>
        </w:rPr>
        <w:t>use of rapid HIV tests in the community, performed outside of NATA accredited laboratories, would NOT impact on the CURRENT testing algorithm at laboratories</w:t>
      </w:r>
      <w:r w:rsidR="00C20829">
        <w:rPr>
          <w:bCs/>
        </w:rPr>
        <w:t xml:space="preserve"> when used to confirm reactive DHC tests</w:t>
      </w:r>
      <w:r w:rsidR="006A4C35">
        <w:rPr>
          <w:bCs/>
        </w:rPr>
        <w:t>.</w:t>
      </w:r>
    </w:p>
    <w:p w:rsidR="00697D1A" w:rsidRPr="004C6B15" w:rsidRDefault="00697D1A" w:rsidP="00697D1A">
      <w:pPr>
        <w:pStyle w:val="Heading2"/>
        <w:rPr>
          <w:bCs/>
        </w:rPr>
      </w:pPr>
      <w:bookmarkStart w:id="59" w:name="_Toc418224864"/>
      <w:r>
        <w:rPr>
          <w:bCs/>
        </w:rPr>
        <w:t>The reference standard</w:t>
      </w:r>
      <w:bookmarkEnd w:id="59"/>
      <w:r>
        <w:rPr>
          <w:bCs/>
        </w:rPr>
        <w:t xml:space="preserve"> </w:t>
      </w:r>
    </w:p>
    <w:p w:rsidR="000B0364" w:rsidRPr="00A87A8D" w:rsidRDefault="00767A16" w:rsidP="00A87A8D">
      <w:r>
        <w:t xml:space="preserve">The gold standard for diagnosis of HIV infection is the Western </w:t>
      </w:r>
      <w:r w:rsidR="00E862B6">
        <w:t>B</w:t>
      </w:r>
      <w:r>
        <w:t>lot.</w:t>
      </w:r>
    </w:p>
    <w:p w:rsidR="002E3709" w:rsidRDefault="002E3709" w:rsidP="008A6D0E">
      <w:pPr>
        <w:pStyle w:val="Heading2"/>
        <w:rPr>
          <w:bCs/>
        </w:rPr>
      </w:pPr>
      <w:bookmarkStart w:id="60" w:name="_Toc418224865"/>
      <w:r w:rsidRPr="004C6B15">
        <w:rPr>
          <w:bCs/>
        </w:rPr>
        <w:t>Research questions</w:t>
      </w:r>
      <w:bookmarkEnd w:id="60"/>
    </w:p>
    <w:p w:rsidR="00BB4892" w:rsidRDefault="00BB4892" w:rsidP="00BB4892">
      <w:bookmarkStart w:id="61" w:name="_Toc381282883"/>
      <w:r>
        <w:t>The key research question is:</w:t>
      </w:r>
    </w:p>
    <w:p w:rsidR="00BB4892" w:rsidRDefault="00BB4892" w:rsidP="00BB4892">
      <w:r>
        <w:t xml:space="preserve">In </w:t>
      </w:r>
      <w:r w:rsidR="005447B7">
        <w:rPr>
          <w:bCs/>
        </w:rPr>
        <w:t>individual</w:t>
      </w:r>
      <w:r w:rsidR="005447B7" w:rsidRPr="00102204">
        <w:rPr>
          <w:bCs/>
        </w:rPr>
        <w:t>s</w:t>
      </w:r>
      <w:r>
        <w:t xml:space="preserve"> where an HIV te</w:t>
      </w:r>
      <w:r w:rsidR="00A40E47">
        <w:t>st is indicated, is rapid point-of-</w:t>
      </w:r>
      <w:r>
        <w:t>care combined Antigen/Antibody HIV testing at least as cost-effective as laboratory-based HIV testing for the early diagnosis of HIV infection?</w:t>
      </w:r>
    </w:p>
    <w:p w:rsidR="00BD22F6" w:rsidRDefault="00BD22F6" w:rsidP="00BB4892">
      <w:pPr>
        <w:pStyle w:val="Heading2"/>
      </w:pPr>
      <w:bookmarkStart w:id="62" w:name="_Toc418224866"/>
      <w:r>
        <w:t>Diagnostic assessment framework</w:t>
      </w:r>
      <w:bookmarkEnd w:id="61"/>
      <w:bookmarkEnd w:id="62"/>
    </w:p>
    <w:p w:rsidR="00BB4892" w:rsidRDefault="00BB4892" w:rsidP="00BB4892">
      <w:r>
        <w:t xml:space="preserve">This assessment of </w:t>
      </w:r>
      <w:r w:rsidR="00023934">
        <w:t>rapid point-of-care HIV Antigen/Antibody</w:t>
      </w:r>
      <w:r>
        <w:t xml:space="preserve"> testing is based on the framework outlined in the </w:t>
      </w:r>
      <w:r w:rsidRPr="00C62A95">
        <w:rPr>
          <w:i/>
        </w:rPr>
        <w:t xml:space="preserve">MSAC </w:t>
      </w:r>
      <w:r>
        <w:rPr>
          <w:i/>
        </w:rPr>
        <w:t>g</w:t>
      </w:r>
      <w:r w:rsidRPr="00C62A95">
        <w:rPr>
          <w:i/>
        </w:rPr>
        <w:t xml:space="preserve">uidelines for the </w:t>
      </w:r>
      <w:r>
        <w:rPr>
          <w:i/>
        </w:rPr>
        <w:t>a</w:t>
      </w:r>
      <w:r w:rsidRPr="00C62A95">
        <w:rPr>
          <w:i/>
        </w:rPr>
        <w:t xml:space="preserve">ssessment of </w:t>
      </w:r>
      <w:r>
        <w:rPr>
          <w:i/>
        </w:rPr>
        <w:t>d</w:t>
      </w:r>
      <w:r w:rsidRPr="00C62A95">
        <w:rPr>
          <w:i/>
        </w:rPr>
        <w:t xml:space="preserve">iagnostic </w:t>
      </w:r>
      <w:r>
        <w:rPr>
          <w:i/>
        </w:rPr>
        <w:t>t</w:t>
      </w:r>
      <w:r w:rsidRPr="00C62A95">
        <w:rPr>
          <w:i/>
        </w:rPr>
        <w:t>echnologies</w:t>
      </w:r>
      <w:r>
        <w:t xml:space="preserve"> </w:t>
      </w:r>
      <w:r w:rsidRPr="00BF6F71">
        <w:fldChar w:fldCharType="begin"/>
      </w:r>
      <w:r>
        <w:instrText xml:space="preserve"> ADDIN EN.CITE &lt;EndNote&gt;&lt;Cite&gt;&lt;Author&gt;MSAC&lt;/Author&gt;&lt;Year&gt;2005&lt;/Year&gt;&lt;RecNum&gt;42&lt;/RecNum&gt;&lt;DisplayText&gt;(MSAC 2005)&lt;/DisplayText&gt;&lt;record&gt;&lt;rec-number&gt;42&lt;/rec-number&gt;&lt;ref-type name="Electronic Source"&gt;12&lt;/ref-type&gt;&lt;contributors&gt;&lt;authors&gt;&lt;author&gt;MSAC&lt;/author&gt;&lt;/authors&gt;&lt;/contributors&gt;&lt;titles&gt;&lt;title&gt;Guidelines for the assessment of diagnostic technologies&lt;/title&gt;&lt;/titles&gt;&lt;pages&gt;1-93&lt;/pages&gt;&lt;dates&gt;&lt;year&gt;2005&lt;/year&gt;&lt;pub-dates&gt;&lt;date&gt;August 2005&lt;/date&gt;&lt;/pub-dates&gt;&lt;/dates&gt;&lt;pub-location&gt;Canberra, ACT&lt;/pub-location&gt;&lt;publisher&gt;Medical Services Advisory Committee, Commonwealth of Australia&lt;/publisher&gt;&lt;work-type&gt;Internet&lt;/work-type&gt;&lt;urls&gt;&lt;related-urls&gt;&lt;url&gt;www.msac.gov.au&lt;/url&gt;&lt;/related-urls&gt;&lt;/urls&gt;&lt;/record&gt;&lt;/Cite&gt;&lt;/EndNote&gt;</w:instrText>
      </w:r>
      <w:r w:rsidRPr="00BF6F71">
        <w:fldChar w:fldCharType="separate"/>
      </w:r>
      <w:r>
        <w:rPr>
          <w:noProof/>
        </w:rPr>
        <w:t>(</w:t>
      </w:r>
      <w:hyperlink w:anchor="_ENREF_110" w:tooltip="MSAC, 2005 #42" w:history="1">
        <w:r>
          <w:rPr>
            <w:noProof/>
          </w:rPr>
          <w:t>MSAC 2005</w:t>
        </w:r>
      </w:hyperlink>
      <w:r>
        <w:rPr>
          <w:noProof/>
        </w:rPr>
        <w:t>)</w:t>
      </w:r>
      <w:r w:rsidRPr="00BF6F71">
        <w:fldChar w:fldCharType="end"/>
      </w:r>
      <w:r>
        <w:t>.</w:t>
      </w:r>
    </w:p>
    <w:p w:rsidR="00BD22F6" w:rsidRDefault="00BB4892" w:rsidP="00BB4892">
      <w:r>
        <w:t xml:space="preserve">The effectiveness of a diagnostic or predictive test depends on whether it improves patient health outcomes. </w:t>
      </w:r>
      <w:r w:rsidR="00023934">
        <w:t xml:space="preserve"> </w:t>
      </w:r>
      <w:r>
        <w:t>The clinical benefit can be assessed by studies that directly investigate the impact of the test on health outcomes or, alternatively, in some situations by linking evidence from different studies within the diagnostic or predictive pathway.</w:t>
      </w:r>
    </w:p>
    <w:p w:rsidR="00023934" w:rsidRDefault="00023934" w:rsidP="00023934">
      <w:pPr>
        <w:pStyle w:val="Heading3"/>
      </w:pPr>
      <w:r>
        <w:lastRenderedPageBreak/>
        <w:t>Direct evidence</w:t>
      </w:r>
    </w:p>
    <w:p w:rsidR="00023934" w:rsidRDefault="00023934" w:rsidP="00023934">
      <w:r>
        <w:t xml:space="preserve">Comparative </w:t>
      </w:r>
      <w:r>
        <w:rPr>
          <w:b/>
        </w:rPr>
        <w:t>direct evidence</w:t>
      </w:r>
      <w:r>
        <w:t xml:space="preserve"> would present data on </w:t>
      </w:r>
      <w:r w:rsidR="005447B7">
        <w:rPr>
          <w:bCs/>
        </w:rPr>
        <w:t>individual</w:t>
      </w:r>
      <w:r w:rsidR="005447B7" w:rsidRPr="00102204">
        <w:rPr>
          <w:bCs/>
        </w:rPr>
        <w:t>s</w:t>
      </w:r>
      <w:r>
        <w:t xml:space="preserve"> at high</w:t>
      </w:r>
      <w:r w:rsidR="003B155C">
        <w:t>-</w:t>
      </w:r>
      <w:r>
        <w:t>risk of HIV infection.  These individuals would be tested for HIV using either the rapid point-of-care Antigen/Antibody test or serology tests.  In both study arms, those who were deemed positive for HIV infection would receive relevant treatment.  Should one test be better at identifying individuals with HIV infection and ensure appropriate treatment compared with the other test, this would be reflected in differences in health outcomes between the study groups.</w:t>
      </w:r>
    </w:p>
    <w:p w:rsidR="00023934" w:rsidRDefault="00023934" w:rsidP="00023934">
      <w:r>
        <w:t>The review of the literature indicated that no such data existed, thus a linked evidence approach was employed.</w:t>
      </w:r>
    </w:p>
    <w:p w:rsidR="00023934" w:rsidRDefault="00023934" w:rsidP="00023934">
      <w:pPr>
        <w:pStyle w:val="Heading3"/>
      </w:pPr>
      <w:r>
        <w:t>Linked evidence</w:t>
      </w:r>
    </w:p>
    <w:p w:rsidR="00023934" w:rsidRDefault="002F3BE2" w:rsidP="00023934">
      <w:r>
        <w:t xml:space="preserve">The linked evidence approach is undertaken in three steps, with subsequent steps relying on the findings of the previous steps, as per the framework given in Merlin (2013) and presented </w:t>
      </w:r>
      <w:r w:rsidRPr="006472C2">
        <w:t xml:space="preserve">in </w:t>
      </w:r>
      <w:r w:rsidR="00E862B6">
        <w:t xml:space="preserve">Figure </w:t>
      </w:r>
      <w:r>
        <w:t>3.  Depending on the results of the diagnostic accuracy review (evidence linkage 1), evidence linkage 2 is undertaken to assess change in patient management; and depending on the results of that, evidence linkage 3, which looks at treatment effectiveness, may need to be addressed.</w:t>
      </w:r>
    </w:p>
    <w:p w:rsidR="002F3BE2" w:rsidRDefault="003E49C1" w:rsidP="00AE0CEE">
      <w:pPr>
        <w:spacing w:after="40"/>
        <w:rPr>
          <w:noProof/>
        </w:rPr>
      </w:pPr>
      <w:r>
        <w:rPr>
          <w:noProof/>
        </w:rPr>
        <w:drawing>
          <wp:inline distT="0" distB="0" distL="0" distR="0" wp14:anchorId="4137518A" wp14:editId="023FE684">
            <wp:extent cx="5312244" cy="3789886"/>
            <wp:effectExtent l="0" t="0" r="3175" b="1270"/>
            <wp:docPr id="1" name="Picture 1" descr="Linked evidence approach. Decision framework to implement the linked evidence approach when evaluating medical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ision framework to implement the linked evidence approach when evaluating medical tests" title="linked evidence approach"/>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11775" cy="3789680"/>
                    </a:xfrm>
                    <a:prstGeom prst="rect">
                      <a:avLst/>
                    </a:prstGeom>
                  </pic:spPr>
                </pic:pic>
              </a:graphicData>
            </a:graphic>
          </wp:inline>
        </w:drawing>
      </w:r>
    </w:p>
    <w:p w:rsidR="002F3BE2" w:rsidRPr="004C6B15" w:rsidRDefault="002F3BE2" w:rsidP="002F3BE2">
      <w:pPr>
        <w:pStyle w:val="Caption"/>
        <w:ind w:left="1701" w:hanging="981"/>
      </w:pPr>
      <w:bookmarkStart w:id="63" w:name="_Toc415103430"/>
      <w:bookmarkStart w:id="64" w:name="_Toc415107305"/>
      <w:bookmarkStart w:id="65" w:name="_Toc418224998"/>
      <w:bookmarkStart w:id="66" w:name="_Toc418225644"/>
      <w:r w:rsidRPr="004C6B15">
        <w:t xml:space="preserve">Figure </w:t>
      </w:r>
      <w:r>
        <w:t>3</w:t>
      </w:r>
      <w:r w:rsidRPr="004C6B15">
        <w:tab/>
      </w:r>
      <w:r>
        <w:t xml:space="preserve">Decision </w:t>
      </w:r>
      <w:proofErr w:type="gramStart"/>
      <w:r>
        <w:t>framework</w:t>
      </w:r>
      <w:proofErr w:type="gramEnd"/>
      <w:r>
        <w:t xml:space="preserve"> to implement the linked evidence approach when evaluating medical tests</w:t>
      </w:r>
      <w:bookmarkEnd w:id="63"/>
      <w:bookmarkEnd w:id="64"/>
      <w:bookmarkEnd w:id="65"/>
      <w:bookmarkEnd w:id="66"/>
    </w:p>
    <w:p w:rsidR="002F3BE2" w:rsidRDefault="002F3BE2" w:rsidP="002F3BE2">
      <w:pPr>
        <w:pStyle w:val="TableNotes"/>
      </w:pPr>
      <w:r w:rsidRPr="002F3BE2">
        <w:t>Source: Merlin (2013)</w:t>
      </w:r>
    </w:p>
    <w:p w:rsidR="00E971C3" w:rsidRDefault="00E971C3">
      <w:pPr>
        <w:spacing w:after="0"/>
        <w:ind w:left="0"/>
      </w:pPr>
      <w:r>
        <w:br w:type="page"/>
      </w:r>
    </w:p>
    <w:p w:rsidR="004F2ADE" w:rsidRDefault="004F2ADE" w:rsidP="004F2ADE">
      <w:pPr>
        <w:spacing w:before="240"/>
      </w:pPr>
      <w:r w:rsidRPr="00C97241">
        <w:lastRenderedPageBreak/>
        <w:t>The questions address</w:t>
      </w:r>
      <w:r>
        <w:t>ed through</w:t>
      </w:r>
      <w:r w:rsidRPr="00C97241">
        <w:t xml:space="preserve"> </w:t>
      </w:r>
      <w:r>
        <w:t>the</w:t>
      </w:r>
      <w:r w:rsidRPr="00C97241">
        <w:t xml:space="preserve"> </w:t>
      </w:r>
      <w:r>
        <w:t xml:space="preserve">evidence </w:t>
      </w:r>
      <w:r w:rsidRPr="00C97241">
        <w:t>linkage are:</w:t>
      </w:r>
    </w:p>
    <w:p w:rsidR="004F2ADE" w:rsidRDefault="004F2ADE" w:rsidP="004F2ADE">
      <w:pPr>
        <w:spacing w:after="120"/>
        <w:ind w:left="284" w:firstLine="425"/>
      </w:pPr>
      <w:r>
        <w:t>Diagnostic accuracy:</w:t>
      </w:r>
    </w:p>
    <w:p w:rsidR="004F2ADE" w:rsidRDefault="004F2ADE" w:rsidP="00F737A4">
      <w:pPr>
        <w:numPr>
          <w:ilvl w:val="0"/>
          <w:numId w:val="23"/>
        </w:numPr>
        <w:spacing w:after="120"/>
        <w:ind w:left="1134" w:hanging="425"/>
      </w:pPr>
      <w:r w:rsidRPr="001311D5">
        <w:t xml:space="preserve">Does </w:t>
      </w:r>
      <w:r>
        <w:t>rapid point-of-care Antigen/Antibody</w:t>
      </w:r>
      <w:r w:rsidRPr="001311D5">
        <w:t xml:space="preserve"> testing in </w:t>
      </w:r>
      <w:r>
        <w:t>GP or sexual health clinic</w:t>
      </w:r>
      <w:r w:rsidR="00E971C3">
        <w:t>s</w:t>
      </w:r>
      <w:r w:rsidRPr="001311D5">
        <w:t xml:space="preserve"> have similar accuracy to the current testing strategy for diagnosis of </w:t>
      </w:r>
      <w:r>
        <w:t>HIV</w:t>
      </w:r>
      <w:r w:rsidRPr="001311D5">
        <w:t>?</w:t>
      </w:r>
    </w:p>
    <w:p w:rsidR="004F2ADE" w:rsidRDefault="004F2ADE" w:rsidP="00F737A4">
      <w:pPr>
        <w:numPr>
          <w:ilvl w:val="0"/>
          <w:numId w:val="23"/>
        </w:numPr>
        <w:ind w:left="1134" w:hanging="425"/>
      </w:pPr>
      <w:r>
        <w:t xml:space="preserve">What </w:t>
      </w:r>
      <w:proofErr w:type="gramStart"/>
      <w:r>
        <w:t>proportion of individuals have</w:t>
      </w:r>
      <w:proofErr w:type="gramEnd"/>
      <w:r w:rsidR="0024737A">
        <w:t xml:space="preserve"> a</w:t>
      </w:r>
      <w:r>
        <w:t xml:space="preserve"> discordant HIV </w:t>
      </w:r>
      <w:r w:rsidR="0024737A">
        <w:t xml:space="preserve">diagnosis </w:t>
      </w:r>
      <w:r>
        <w:t>when tested with both the proposed and current testing strategies?</w:t>
      </w:r>
    </w:p>
    <w:p w:rsidR="004F2ADE" w:rsidRDefault="004F2ADE" w:rsidP="004F2ADE">
      <w:pPr>
        <w:spacing w:after="120"/>
        <w:ind w:left="709"/>
      </w:pPr>
      <w:r>
        <w:t>Impact on clinical management:</w:t>
      </w:r>
    </w:p>
    <w:p w:rsidR="004F2ADE" w:rsidRDefault="004F2ADE" w:rsidP="00F737A4">
      <w:pPr>
        <w:numPr>
          <w:ilvl w:val="0"/>
          <w:numId w:val="24"/>
        </w:numPr>
        <w:spacing w:after="120"/>
        <w:ind w:left="1134" w:hanging="425"/>
      </w:pPr>
      <w:r>
        <w:t xml:space="preserve">Does the availability of a rapid point-of-care </w:t>
      </w:r>
      <w:r w:rsidR="0066342E">
        <w:t>Antigen/Antibody</w:t>
      </w:r>
      <w:r w:rsidR="0066342E" w:rsidRPr="001311D5">
        <w:t xml:space="preserve"> </w:t>
      </w:r>
      <w:r>
        <w:t xml:space="preserve">test lead to improved testing rates or </w:t>
      </w:r>
      <w:r w:rsidR="0066342E">
        <w:t xml:space="preserve">increased </w:t>
      </w:r>
      <w:r>
        <w:t xml:space="preserve">testing frequency? </w:t>
      </w:r>
    </w:p>
    <w:p w:rsidR="004F2ADE" w:rsidRDefault="004F2ADE" w:rsidP="00C21A22">
      <w:pPr>
        <w:numPr>
          <w:ilvl w:val="0"/>
          <w:numId w:val="24"/>
        </w:numPr>
        <w:ind w:left="1134" w:hanging="425"/>
      </w:pPr>
      <w:r>
        <w:t xml:space="preserve">Does the availability of a rapid point-of-care </w:t>
      </w:r>
      <w:r w:rsidR="0066342E">
        <w:t>Antigen/Antibody</w:t>
      </w:r>
      <w:r w:rsidR="0066342E" w:rsidRPr="001311D5">
        <w:t xml:space="preserve"> </w:t>
      </w:r>
      <w:r>
        <w:t>test lead to earlier diagnosis of HIV infection?</w:t>
      </w:r>
      <w:r w:rsidR="002A5CBD">
        <w:t xml:space="preserve">  Earlier diagnosis was not defined in the </w:t>
      </w:r>
      <w:r w:rsidR="00E971C3">
        <w:t xml:space="preserve">MSAC 1391 Final </w:t>
      </w:r>
      <w:r w:rsidR="002A5CBD">
        <w:t xml:space="preserve">Protocol.  For the purposes of this </w:t>
      </w:r>
      <w:r w:rsidR="00E971C3">
        <w:t>assessment</w:t>
      </w:r>
      <w:r w:rsidR="002A5CBD">
        <w:t xml:space="preserve">, it refers to diagnosis </w:t>
      </w:r>
      <w:r w:rsidR="00C21A22">
        <w:t xml:space="preserve">of HIV prior to the development of AIDS complications </w:t>
      </w:r>
      <w:r w:rsidR="002A5CBD">
        <w:t xml:space="preserve">rather than the commonly used definition based on CD4 positive cell count.  </w:t>
      </w:r>
      <w:r w:rsidR="00C21A22">
        <w:t xml:space="preserve">Early </w:t>
      </w:r>
      <w:r w:rsidR="002A5CBD">
        <w:t>diagnosis in this instance would be achieved by (</w:t>
      </w:r>
      <w:proofErr w:type="spellStart"/>
      <w:r w:rsidR="002A5CBD">
        <w:t>i</w:t>
      </w:r>
      <w:proofErr w:type="spellEnd"/>
      <w:r w:rsidR="002A5CBD">
        <w:t>) increased frequency of testing those who are currently being tested and (ii) testing among those who have never tested.</w:t>
      </w:r>
    </w:p>
    <w:p w:rsidR="004F2ADE" w:rsidRDefault="004F2ADE" w:rsidP="0066342E">
      <w:pPr>
        <w:spacing w:after="120"/>
        <w:ind w:left="284" w:firstLine="425"/>
        <w:rPr>
          <w:u w:val="single"/>
        </w:rPr>
      </w:pPr>
      <w:r w:rsidRPr="00C605F8">
        <w:t>Cost-effectiveness</w:t>
      </w:r>
      <w:r w:rsidRPr="00C62A95">
        <w:t>:</w:t>
      </w:r>
    </w:p>
    <w:p w:rsidR="004F2ADE" w:rsidRDefault="004F2ADE" w:rsidP="00F737A4">
      <w:pPr>
        <w:numPr>
          <w:ilvl w:val="0"/>
          <w:numId w:val="25"/>
        </w:numPr>
        <w:spacing w:after="120"/>
        <w:ind w:left="1134" w:hanging="425"/>
      </w:pPr>
      <w:r>
        <w:t xml:space="preserve">What is the cost of </w:t>
      </w:r>
      <w:r w:rsidR="0066342E">
        <w:t>rapid point-of-care Antigen/Antibody testing per case of HIV</w:t>
      </w:r>
      <w:r>
        <w:t xml:space="preserve"> detected? </w:t>
      </w:r>
    </w:p>
    <w:p w:rsidR="008F59A8" w:rsidRPr="004C6B15" w:rsidRDefault="008F59A8">
      <w:pPr>
        <w:pStyle w:val="Heading2"/>
      </w:pPr>
      <w:bookmarkStart w:id="67" w:name="_Toc418224867"/>
      <w:r w:rsidRPr="004C6B15">
        <w:t>Review of literature</w:t>
      </w:r>
      <w:bookmarkEnd w:id="67"/>
      <w:r w:rsidRPr="004C6B15">
        <w:t xml:space="preserve"> </w:t>
      </w:r>
    </w:p>
    <w:p w:rsidR="005F3012" w:rsidRDefault="005F3012" w:rsidP="005F3012">
      <w:pPr>
        <w:pStyle w:val="Heading3"/>
      </w:pPr>
      <w:r w:rsidRPr="00F519A7">
        <w:t>Literature</w:t>
      </w:r>
      <w:r w:rsidRPr="004C6B15">
        <w:t xml:space="preserve"> sources and search strategies</w:t>
      </w:r>
    </w:p>
    <w:p w:rsidR="001C3A68" w:rsidRDefault="001C3A68" w:rsidP="001C3A68">
      <w:r w:rsidRPr="00A12E71">
        <w:t xml:space="preserve">The medical literature was searched to identify relevant studies and reviews for the period </w:t>
      </w:r>
      <w:r w:rsidR="00B4120C">
        <w:t>up to February 2015</w:t>
      </w:r>
      <w:r w:rsidRPr="00A12E71">
        <w:t xml:space="preserve">. </w:t>
      </w:r>
      <w:r w:rsidR="00D544A7">
        <w:t xml:space="preserve"> </w:t>
      </w:r>
      <w:r w:rsidRPr="00A12E71">
        <w:t xml:space="preserve">Searches were conducted via </w:t>
      </w:r>
      <w:r w:rsidR="00B4120C">
        <w:t xml:space="preserve">OVID Medline, </w:t>
      </w:r>
      <w:proofErr w:type="spellStart"/>
      <w:r w:rsidR="00B4120C">
        <w:t>Embase</w:t>
      </w:r>
      <w:proofErr w:type="spellEnd"/>
      <w:r w:rsidR="00B4120C">
        <w:t xml:space="preserve"> and </w:t>
      </w:r>
      <w:r w:rsidR="00D544A7">
        <w:t>Evidence Based Medicine (</w:t>
      </w:r>
      <w:r w:rsidR="00B4120C">
        <w:t>EBM</w:t>
      </w:r>
      <w:r w:rsidR="00D544A7">
        <w:t>) Reviews</w:t>
      </w:r>
      <w:r w:rsidR="002F56AA">
        <w:t xml:space="preserve"> on 24 February 2015</w:t>
      </w:r>
      <w:r w:rsidRPr="00A12E71">
        <w:t>.</w:t>
      </w:r>
      <w:r w:rsidR="00BF350F">
        <w:t xml:space="preserve">  </w:t>
      </w:r>
    </w:p>
    <w:p w:rsidR="009F5F6F" w:rsidRDefault="009F5F6F" w:rsidP="002F56AA">
      <w:pPr>
        <w:pStyle w:val="Caption"/>
      </w:pPr>
      <w:bookmarkStart w:id="68" w:name="_Toc415103512"/>
      <w:bookmarkStart w:id="69" w:name="_Toc418224999"/>
      <w:bookmarkStart w:id="70" w:name="_Toc418225645"/>
      <w:r>
        <w:t xml:space="preserve">Table </w:t>
      </w:r>
      <w:r w:rsidR="00B4120C">
        <w:t>7</w:t>
      </w:r>
      <w:r>
        <w:tab/>
      </w:r>
      <w:r w:rsidRPr="009407D0">
        <w:t>Electronic databases searched</w:t>
      </w:r>
      <w:bookmarkEnd w:id="68"/>
      <w:bookmarkEnd w:id="69"/>
      <w:bookmarkEnd w:id="70"/>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Electronic databases searched"/>
      </w:tblPr>
      <w:tblGrid>
        <w:gridCol w:w="3597"/>
        <w:gridCol w:w="4578"/>
      </w:tblGrid>
      <w:tr w:rsidR="009F5F6F" w:rsidRPr="002456BA" w:rsidTr="002A5CBD">
        <w:trPr>
          <w:tblHeader/>
        </w:trPr>
        <w:tc>
          <w:tcPr>
            <w:tcW w:w="3597" w:type="dxa"/>
          </w:tcPr>
          <w:p w:rsidR="009F5F6F" w:rsidRPr="008D17F0" w:rsidRDefault="009F5F6F" w:rsidP="00D43340">
            <w:pPr>
              <w:pStyle w:val="TableHeading"/>
            </w:pPr>
            <w:r w:rsidRPr="008D17F0">
              <w:t>Database</w:t>
            </w:r>
          </w:p>
        </w:tc>
        <w:tc>
          <w:tcPr>
            <w:tcW w:w="4578" w:type="dxa"/>
          </w:tcPr>
          <w:p w:rsidR="009F5F6F" w:rsidRPr="008D17F0" w:rsidRDefault="009F5F6F" w:rsidP="00D43340">
            <w:pPr>
              <w:pStyle w:val="TableHeading"/>
            </w:pPr>
            <w:r w:rsidRPr="008D17F0">
              <w:t>Period covered</w:t>
            </w:r>
          </w:p>
        </w:tc>
      </w:tr>
      <w:tr w:rsidR="009F5F6F" w:rsidRPr="002456BA">
        <w:tc>
          <w:tcPr>
            <w:tcW w:w="3597" w:type="dxa"/>
          </w:tcPr>
          <w:p w:rsidR="009F5F6F" w:rsidRPr="002F56AA" w:rsidRDefault="00B4120C" w:rsidP="00D43340">
            <w:pPr>
              <w:pStyle w:val="TableText"/>
              <w:rPr>
                <w:vertAlign w:val="superscript"/>
              </w:rPr>
            </w:pPr>
            <w:r>
              <w:t xml:space="preserve">OVID </w:t>
            </w:r>
            <w:proofErr w:type="spellStart"/>
            <w:r>
              <w:t>Medline</w:t>
            </w:r>
            <w:r w:rsidR="002F56AA">
              <w:rPr>
                <w:vertAlign w:val="superscript"/>
              </w:rPr>
              <w:t>a</w:t>
            </w:r>
            <w:proofErr w:type="spellEnd"/>
          </w:p>
        </w:tc>
        <w:tc>
          <w:tcPr>
            <w:tcW w:w="4578" w:type="dxa"/>
          </w:tcPr>
          <w:p w:rsidR="009F5F6F" w:rsidRPr="002456BA" w:rsidRDefault="00D544A7" w:rsidP="00D43340">
            <w:pPr>
              <w:pStyle w:val="TableText"/>
            </w:pPr>
            <w:r w:rsidRPr="00D544A7">
              <w:t>1946 to Present</w:t>
            </w:r>
          </w:p>
        </w:tc>
      </w:tr>
      <w:tr w:rsidR="009F5F6F" w:rsidRPr="002456BA">
        <w:tc>
          <w:tcPr>
            <w:tcW w:w="3597" w:type="dxa"/>
          </w:tcPr>
          <w:p w:rsidR="009F5F6F" w:rsidRPr="002456BA" w:rsidRDefault="00B4120C" w:rsidP="00D43340">
            <w:pPr>
              <w:pStyle w:val="TableText"/>
            </w:pPr>
            <w:r>
              <w:t xml:space="preserve">OVID </w:t>
            </w:r>
            <w:proofErr w:type="spellStart"/>
            <w:r>
              <w:t>Embase</w:t>
            </w:r>
            <w:proofErr w:type="spellEnd"/>
          </w:p>
        </w:tc>
        <w:tc>
          <w:tcPr>
            <w:tcW w:w="4578" w:type="dxa"/>
          </w:tcPr>
          <w:p w:rsidR="009F5F6F" w:rsidRPr="002456BA" w:rsidRDefault="00D544A7" w:rsidP="00D43340">
            <w:pPr>
              <w:pStyle w:val="TableText"/>
            </w:pPr>
            <w:r w:rsidRPr="00D544A7">
              <w:t>1974 to 2015 February 23</w:t>
            </w:r>
          </w:p>
        </w:tc>
      </w:tr>
      <w:tr w:rsidR="00B4120C" w:rsidRPr="002456BA">
        <w:tc>
          <w:tcPr>
            <w:tcW w:w="3597" w:type="dxa"/>
          </w:tcPr>
          <w:p w:rsidR="00B4120C" w:rsidRPr="002F56AA" w:rsidRDefault="00B4120C" w:rsidP="00D43340">
            <w:pPr>
              <w:pStyle w:val="TableText"/>
              <w:rPr>
                <w:vertAlign w:val="superscript"/>
              </w:rPr>
            </w:pPr>
            <w:r>
              <w:t xml:space="preserve">OVID </w:t>
            </w:r>
            <w:r w:rsidR="00D544A7">
              <w:t xml:space="preserve">EBM </w:t>
            </w:r>
            <w:proofErr w:type="spellStart"/>
            <w:r w:rsidR="00D544A7">
              <w:t>Reviews</w:t>
            </w:r>
            <w:r w:rsidR="002F56AA">
              <w:rPr>
                <w:vertAlign w:val="superscript"/>
              </w:rPr>
              <w:t>b</w:t>
            </w:r>
            <w:proofErr w:type="spellEnd"/>
          </w:p>
        </w:tc>
        <w:tc>
          <w:tcPr>
            <w:tcW w:w="4578" w:type="dxa"/>
          </w:tcPr>
          <w:p w:rsidR="00B4120C" w:rsidRPr="002456BA" w:rsidRDefault="00D544A7" w:rsidP="00D43340">
            <w:pPr>
              <w:pStyle w:val="TableText"/>
            </w:pPr>
            <w:r w:rsidRPr="00D544A7">
              <w:t>1991 to February 2015</w:t>
            </w:r>
          </w:p>
        </w:tc>
      </w:tr>
    </w:tbl>
    <w:p w:rsidR="009F5F6F" w:rsidRDefault="002F56AA" w:rsidP="006F6E93">
      <w:pPr>
        <w:pStyle w:val="TableNotes"/>
        <w:ind w:left="993" w:hanging="273"/>
      </w:pPr>
      <w:r>
        <w:rPr>
          <w:vertAlign w:val="superscript"/>
        </w:rPr>
        <w:t>a</w:t>
      </w:r>
      <w:r>
        <w:tab/>
      </w:r>
      <w:r w:rsidRPr="002F56AA">
        <w:t>Ovid MEDLINE(R) In-Process &amp; Other Non-Indexed Citations, Ovid MEDLINE(R) Daily, Ovid MEDLINE(R) and Ovid OLDMEDLINE(R) 1946 to Present</w:t>
      </w:r>
    </w:p>
    <w:p w:rsidR="002F56AA" w:rsidRPr="002F56AA" w:rsidRDefault="002F56AA" w:rsidP="006F6E93">
      <w:pPr>
        <w:pStyle w:val="TableNotes"/>
        <w:ind w:left="993" w:hanging="273"/>
      </w:pPr>
      <w:r>
        <w:rPr>
          <w:vertAlign w:val="superscript"/>
        </w:rPr>
        <w:t>b</w:t>
      </w:r>
      <w:r>
        <w:tab/>
      </w:r>
      <w:r w:rsidRPr="002F56AA">
        <w:t>Cochrane Database of Systematic Reviews 2005 to January 2015, EBM Reviews - ACP Journal Club 1991 to February 2015</w:t>
      </w:r>
      <w:proofErr w:type="gramStart"/>
      <w:r w:rsidRPr="002F56AA">
        <w:t>,  EBM</w:t>
      </w:r>
      <w:proofErr w:type="gramEnd"/>
      <w:r w:rsidRPr="002F56AA">
        <w:t xml:space="preserve"> Reviews - Database of Abstracts of Reviews of Effects 1st Quarter 2015,  EBM Reviews - Cochrane Central Register of Controlled Trials January 2015,  EBM Reviews - Cochrane Methodology Register 3rd Quarter 2012,  EBM Reviews - Health Technology Assessment 1st Quarter 2015,  EBM Reviews - NHS Economic Evaluation Database 1st Quarter 2015</w:t>
      </w:r>
    </w:p>
    <w:p w:rsidR="00BF350F" w:rsidRPr="006512F7" w:rsidRDefault="001C3A68" w:rsidP="001C3A68">
      <w:r w:rsidRPr="00A12E71">
        <w:t xml:space="preserve">The search terms used included </w:t>
      </w:r>
      <w:r w:rsidR="002F56AA">
        <w:t xml:space="preserve">terms relevant to human immunodeficiency virus (HIV) and rapid point-of-care testing (see Appendix </w:t>
      </w:r>
      <w:r w:rsidR="006F6E93">
        <w:t>C</w:t>
      </w:r>
      <w:r w:rsidR="002F56AA">
        <w:t xml:space="preserve"> for full search terms used and results of the number of citations identified)</w:t>
      </w:r>
      <w:r w:rsidRPr="00A12E71">
        <w:t>.</w:t>
      </w:r>
      <w:r w:rsidR="006F6E93">
        <w:t xml:space="preserve">  </w:t>
      </w:r>
      <w:r w:rsidR="00BF350F">
        <w:t>Hand searching of the reference lists of relevant articles w</w:t>
      </w:r>
      <w:r w:rsidR="00E862B6">
        <w:t>as</w:t>
      </w:r>
      <w:r w:rsidR="00BF350F">
        <w:t xml:space="preserve"> also </w:t>
      </w:r>
      <w:r w:rsidR="00E862B6">
        <w:t>conducted</w:t>
      </w:r>
      <w:r w:rsidR="00BF350F">
        <w:t xml:space="preserve"> </w:t>
      </w:r>
      <w:r w:rsidR="00E862B6">
        <w:t xml:space="preserve">to identify </w:t>
      </w:r>
      <w:r w:rsidR="00BF350F">
        <w:t xml:space="preserve">any additional relevant studies/trials that may not have been identified in the electronic searches.  A number of HTA websites were also searched for any relevant published </w:t>
      </w:r>
      <w:r w:rsidR="00BF350F" w:rsidRPr="006512F7">
        <w:t>HTAs (see Appendix C for the full list of HTA websites searched).</w:t>
      </w:r>
    </w:p>
    <w:p w:rsidR="001C3A68" w:rsidRPr="00A12E71" w:rsidRDefault="00BF350F" w:rsidP="001C3A68">
      <w:r w:rsidRPr="006512F7">
        <w:lastRenderedPageBreak/>
        <w:t>The search terms used specifically excluded</w:t>
      </w:r>
      <w:r>
        <w:t xml:space="preserve"> any terms</w:t>
      </w:r>
      <w:r w:rsidR="00BC09CB">
        <w:t xml:space="preserve"> relating to outcomes reported, such that</w:t>
      </w:r>
      <w:r w:rsidR="006F6E93">
        <w:t xml:space="preserve"> studies and trials relevant to the assessment of </w:t>
      </w:r>
      <w:r w:rsidR="00BC09CB">
        <w:t>the diagnostic characteristics and effectiveness of the test, respectively, were sought from the single list of citations.</w:t>
      </w:r>
    </w:p>
    <w:p w:rsidR="00F25DCB" w:rsidRDefault="00330EB8" w:rsidP="00B36DA7">
      <w:pPr>
        <w:pStyle w:val="Heading3"/>
      </w:pPr>
      <w:r w:rsidRPr="00F519A7">
        <w:t>Selection</w:t>
      </w:r>
      <w:r w:rsidR="00F25DCB" w:rsidRPr="004C6B15">
        <w:t xml:space="preserve"> criteria</w:t>
      </w:r>
    </w:p>
    <w:p w:rsidR="00BF350F" w:rsidRPr="00BF350F" w:rsidRDefault="00BF350F" w:rsidP="00A66E72">
      <w:r>
        <w:t xml:space="preserve">The selection criteria used as the basis for the selection of articles are summarised in Box 1.  </w:t>
      </w:r>
      <w:r w:rsidR="00F25CF7" w:rsidRPr="00F25CF7">
        <w:t xml:space="preserve">If </w:t>
      </w:r>
      <w:r w:rsidR="004D07EA">
        <w:t xml:space="preserve">diagnostic accuracy </w:t>
      </w:r>
      <w:r w:rsidR="00F25CF7" w:rsidRPr="00F25CF7">
        <w:t>studies conducted in Australia were identified, only studies reporting results for an Australian population would be included given Australia’s unique prevalence of HIV, which is known to impact on diagnostic accuracy measures such as the positive and negative predictive values.</w:t>
      </w:r>
      <w:r>
        <w:t xml:space="preserve"> </w:t>
      </w:r>
    </w:p>
    <w:p w:rsidR="002F44D3" w:rsidRDefault="002F44D3" w:rsidP="002F44D3">
      <w:pPr>
        <w:pStyle w:val="TableName"/>
      </w:pPr>
      <w:bookmarkStart w:id="71" w:name="_Toc415103467"/>
      <w:r>
        <w:t xml:space="preserve">Box </w:t>
      </w:r>
      <w:r w:rsidR="00D26B32">
        <w:fldChar w:fldCharType="begin"/>
      </w:r>
      <w:r w:rsidR="00D26B32">
        <w:instrText xml:space="preserve"> SEQ Box \* ARABIC </w:instrText>
      </w:r>
      <w:r w:rsidR="00D26B32">
        <w:fldChar w:fldCharType="separate"/>
      </w:r>
      <w:r w:rsidR="002242BF">
        <w:rPr>
          <w:noProof/>
        </w:rPr>
        <w:t>1</w:t>
      </w:r>
      <w:r w:rsidR="00D26B32">
        <w:rPr>
          <w:noProof/>
        </w:rPr>
        <w:fldChar w:fldCharType="end"/>
      </w:r>
      <w:r w:rsidRPr="002F44D3">
        <w:t xml:space="preserve"> </w:t>
      </w:r>
      <w:r>
        <w:tab/>
      </w:r>
      <w:r w:rsidRPr="005303A4">
        <w:t xml:space="preserve">Selection criteria for included studies </w:t>
      </w:r>
      <w:bookmarkEnd w:id="71"/>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Selection criteria for included studies. Selection criteria for included studies for the assessment of the diagnositic accuracy and effectiveness of the DHC test"/>
      </w:tblPr>
      <w:tblGrid>
        <w:gridCol w:w="1928"/>
        <w:gridCol w:w="3260"/>
        <w:gridCol w:w="3260"/>
      </w:tblGrid>
      <w:tr w:rsidR="00597213" w:rsidRPr="002456BA" w:rsidTr="00597213">
        <w:tc>
          <w:tcPr>
            <w:tcW w:w="1928" w:type="dxa"/>
            <w:vAlign w:val="center"/>
          </w:tcPr>
          <w:p w:rsidR="00597213" w:rsidRPr="002B3C11" w:rsidRDefault="00597213" w:rsidP="00597213">
            <w:pPr>
              <w:pStyle w:val="TableHeading"/>
            </w:pPr>
            <w:r>
              <w:t>Characteristic</w:t>
            </w:r>
          </w:p>
        </w:tc>
        <w:tc>
          <w:tcPr>
            <w:tcW w:w="3260" w:type="dxa"/>
            <w:vAlign w:val="center"/>
          </w:tcPr>
          <w:p w:rsidR="00597213" w:rsidRPr="002B3C11" w:rsidRDefault="00597213" w:rsidP="00597213">
            <w:pPr>
              <w:pStyle w:val="TableHeading"/>
              <w:jc w:val="center"/>
            </w:pPr>
            <w:r>
              <w:t>Diagnostic accuracy</w:t>
            </w:r>
          </w:p>
        </w:tc>
        <w:tc>
          <w:tcPr>
            <w:tcW w:w="3260" w:type="dxa"/>
            <w:vAlign w:val="center"/>
          </w:tcPr>
          <w:p w:rsidR="00597213" w:rsidRPr="002B3C11" w:rsidRDefault="00597213" w:rsidP="00597213">
            <w:pPr>
              <w:pStyle w:val="TableHeading"/>
              <w:jc w:val="center"/>
            </w:pPr>
            <w:r>
              <w:t>Effectiveness</w:t>
            </w:r>
          </w:p>
        </w:tc>
      </w:tr>
      <w:tr w:rsidR="007A4DD5" w:rsidRPr="002456BA" w:rsidTr="00597213">
        <w:tc>
          <w:tcPr>
            <w:tcW w:w="1928" w:type="dxa"/>
            <w:vAlign w:val="center"/>
          </w:tcPr>
          <w:p w:rsidR="007A4DD5" w:rsidRPr="002B3C11" w:rsidRDefault="007A4DD5" w:rsidP="00597213">
            <w:pPr>
              <w:pStyle w:val="TableHeading"/>
            </w:pPr>
            <w:r w:rsidRPr="002B3C11">
              <w:t>Study design</w:t>
            </w:r>
          </w:p>
        </w:tc>
        <w:tc>
          <w:tcPr>
            <w:tcW w:w="3260" w:type="dxa"/>
            <w:vAlign w:val="center"/>
          </w:tcPr>
          <w:p w:rsidR="007A4DD5" w:rsidRPr="008220B1" w:rsidRDefault="00597213" w:rsidP="005447B7">
            <w:pPr>
              <w:pStyle w:val="TableText"/>
              <w:jc w:val="center"/>
            </w:pPr>
            <w:r>
              <w:t xml:space="preserve">Cross-sectional study where all </w:t>
            </w:r>
            <w:r w:rsidR="005447B7">
              <w:t>participants</w:t>
            </w:r>
            <w:r>
              <w:t xml:space="preserve"> underwent testing with the intervention and comparator test</w:t>
            </w:r>
          </w:p>
        </w:tc>
        <w:tc>
          <w:tcPr>
            <w:tcW w:w="3260" w:type="dxa"/>
            <w:vAlign w:val="center"/>
          </w:tcPr>
          <w:p w:rsidR="007A4DD5" w:rsidRPr="008220B1" w:rsidRDefault="00597213" w:rsidP="00597213">
            <w:pPr>
              <w:pStyle w:val="TableText"/>
              <w:jc w:val="center"/>
            </w:pPr>
            <w:r>
              <w:t>Randomised controlled trial</w:t>
            </w:r>
          </w:p>
        </w:tc>
      </w:tr>
      <w:tr w:rsidR="002A5CBD" w:rsidRPr="002456BA" w:rsidTr="002A5CBD">
        <w:tc>
          <w:tcPr>
            <w:tcW w:w="1928" w:type="dxa"/>
            <w:vAlign w:val="center"/>
          </w:tcPr>
          <w:p w:rsidR="002A5CBD" w:rsidRPr="002B3C11" w:rsidRDefault="002A5CBD" w:rsidP="00597213">
            <w:pPr>
              <w:pStyle w:val="TableHeading"/>
            </w:pPr>
            <w:r w:rsidRPr="002B3C11">
              <w:t>Population</w:t>
            </w:r>
          </w:p>
        </w:tc>
        <w:tc>
          <w:tcPr>
            <w:tcW w:w="3260" w:type="dxa"/>
            <w:vAlign w:val="center"/>
          </w:tcPr>
          <w:p w:rsidR="002A5CBD" w:rsidRPr="008220B1" w:rsidRDefault="002A5CBD" w:rsidP="00543DDC">
            <w:pPr>
              <w:pStyle w:val="TableText"/>
              <w:jc w:val="center"/>
            </w:pPr>
            <w:r>
              <w:t>H</w:t>
            </w:r>
            <w:r w:rsidRPr="009667B2">
              <w:t xml:space="preserve">igh-risk </w:t>
            </w:r>
            <w:r w:rsidR="00543DDC">
              <w:t>individuals</w:t>
            </w:r>
            <w:r w:rsidRPr="009667B2">
              <w:t xml:space="preserve"> where an HIV test is indicated</w:t>
            </w:r>
          </w:p>
        </w:tc>
        <w:tc>
          <w:tcPr>
            <w:tcW w:w="3260" w:type="dxa"/>
            <w:vAlign w:val="center"/>
          </w:tcPr>
          <w:p w:rsidR="002A5CBD" w:rsidRPr="008220B1" w:rsidRDefault="002A5CBD" w:rsidP="002A5CBD">
            <w:pPr>
              <w:pStyle w:val="TableText"/>
              <w:jc w:val="center"/>
            </w:pPr>
            <w:r>
              <w:t>H</w:t>
            </w:r>
            <w:r w:rsidRPr="009667B2">
              <w:t xml:space="preserve">igh-risk </w:t>
            </w:r>
            <w:r w:rsidR="00543DDC" w:rsidRPr="00543DDC">
              <w:t>individuals</w:t>
            </w:r>
            <w:r w:rsidRPr="009667B2">
              <w:t xml:space="preserve"> where an HIV test is indicated</w:t>
            </w:r>
          </w:p>
        </w:tc>
      </w:tr>
      <w:tr w:rsidR="002A5CBD" w:rsidRPr="002456BA" w:rsidTr="002A5CBD">
        <w:tc>
          <w:tcPr>
            <w:tcW w:w="1928" w:type="dxa"/>
            <w:vAlign w:val="center"/>
          </w:tcPr>
          <w:p w:rsidR="002A5CBD" w:rsidRPr="002B3C11" w:rsidRDefault="002A5CBD" w:rsidP="00597213">
            <w:pPr>
              <w:pStyle w:val="TableHeading"/>
            </w:pPr>
            <w:r w:rsidRPr="002B3C11">
              <w:t>Index test</w:t>
            </w:r>
            <w:r>
              <w:t>/Intervention</w:t>
            </w:r>
          </w:p>
        </w:tc>
        <w:tc>
          <w:tcPr>
            <w:tcW w:w="3260" w:type="dxa"/>
            <w:vAlign w:val="center"/>
          </w:tcPr>
          <w:p w:rsidR="002A5CBD" w:rsidRPr="008220B1" w:rsidRDefault="002A5CBD" w:rsidP="002A5CBD">
            <w:pPr>
              <w:pStyle w:val="TableText"/>
              <w:jc w:val="center"/>
            </w:pPr>
            <w:r>
              <w:t>Rapid, point-of-care Ag/Ab testing for HIV</w:t>
            </w:r>
          </w:p>
        </w:tc>
        <w:tc>
          <w:tcPr>
            <w:tcW w:w="3260" w:type="dxa"/>
            <w:vAlign w:val="center"/>
          </w:tcPr>
          <w:p w:rsidR="002A5CBD" w:rsidRPr="008220B1" w:rsidRDefault="002A5CBD" w:rsidP="002A5CBD">
            <w:pPr>
              <w:pStyle w:val="TableText"/>
              <w:jc w:val="center"/>
            </w:pPr>
            <w:r>
              <w:t>Rapid, point-of-care Ag/Ab testing for HIV</w:t>
            </w:r>
          </w:p>
        </w:tc>
      </w:tr>
      <w:tr w:rsidR="002A5CBD" w:rsidRPr="002456BA" w:rsidTr="002A5CBD">
        <w:trPr>
          <w:trHeight w:val="145"/>
        </w:trPr>
        <w:tc>
          <w:tcPr>
            <w:tcW w:w="1928" w:type="dxa"/>
            <w:vAlign w:val="center"/>
          </w:tcPr>
          <w:p w:rsidR="002A5CBD" w:rsidRPr="002B3C11" w:rsidRDefault="002A5CBD" w:rsidP="00597213">
            <w:pPr>
              <w:pStyle w:val="TableHeading"/>
            </w:pPr>
            <w:r w:rsidRPr="002B3C11">
              <w:t>Reference standard</w:t>
            </w:r>
            <w:r>
              <w:t xml:space="preserve"> </w:t>
            </w:r>
          </w:p>
        </w:tc>
        <w:tc>
          <w:tcPr>
            <w:tcW w:w="3260" w:type="dxa"/>
            <w:vAlign w:val="center"/>
          </w:tcPr>
          <w:p w:rsidR="002A5CBD" w:rsidRPr="008220B1" w:rsidRDefault="00E971C3" w:rsidP="002A5CBD">
            <w:pPr>
              <w:pStyle w:val="TableText"/>
              <w:jc w:val="center"/>
            </w:pPr>
            <w:r>
              <w:t>Western B</w:t>
            </w:r>
            <w:r w:rsidR="002A5CBD">
              <w:t>lot</w:t>
            </w:r>
          </w:p>
        </w:tc>
        <w:tc>
          <w:tcPr>
            <w:tcW w:w="3260" w:type="dxa"/>
            <w:vAlign w:val="center"/>
          </w:tcPr>
          <w:p w:rsidR="002A5CBD" w:rsidRPr="008220B1" w:rsidRDefault="00E971C3" w:rsidP="002A5CBD">
            <w:pPr>
              <w:pStyle w:val="TableText"/>
              <w:jc w:val="center"/>
            </w:pPr>
            <w:r>
              <w:t>Western B</w:t>
            </w:r>
            <w:r w:rsidR="002A5CBD">
              <w:t>lot</w:t>
            </w:r>
          </w:p>
        </w:tc>
      </w:tr>
      <w:tr w:rsidR="002A5CBD" w:rsidRPr="002456BA" w:rsidTr="002A5CBD">
        <w:trPr>
          <w:trHeight w:val="80"/>
        </w:trPr>
        <w:tc>
          <w:tcPr>
            <w:tcW w:w="1928" w:type="dxa"/>
            <w:vAlign w:val="center"/>
          </w:tcPr>
          <w:p w:rsidR="002A5CBD" w:rsidRPr="002B3C11" w:rsidRDefault="002A5CBD" w:rsidP="00597213">
            <w:pPr>
              <w:pStyle w:val="TableHeading"/>
            </w:pPr>
            <w:r w:rsidRPr="002B3C11">
              <w:t>Comparator</w:t>
            </w:r>
          </w:p>
        </w:tc>
        <w:tc>
          <w:tcPr>
            <w:tcW w:w="3260" w:type="dxa"/>
            <w:vAlign w:val="center"/>
          </w:tcPr>
          <w:p w:rsidR="002A5CBD" w:rsidRPr="008220B1" w:rsidRDefault="002A5CBD" w:rsidP="00597213">
            <w:pPr>
              <w:pStyle w:val="TableText"/>
              <w:jc w:val="center"/>
            </w:pPr>
            <w:r>
              <w:t>Serology testing for HIV</w:t>
            </w:r>
          </w:p>
        </w:tc>
        <w:tc>
          <w:tcPr>
            <w:tcW w:w="3260" w:type="dxa"/>
            <w:vAlign w:val="center"/>
          </w:tcPr>
          <w:p w:rsidR="002A5CBD" w:rsidRPr="008220B1" w:rsidRDefault="002A5CBD" w:rsidP="002A5CBD">
            <w:pPr>
              <w:pStyle w:val="TableText"/>
              <w:jc w:val="center"/>
            </w:pPr>
            <w:r>
              <w:t>Serology testing for HIV</w:t>
            </w:r>
          </w:p>
        </w:tc>
      </w:tr>
      <w:tr w:rsidR="002A5CBD" w:rsidRPr="002456BA" w:rsidTr="00597213">
        <w:tc>
          <w:tcPr>
            <w:tcW w:w="1928" w:type="dxa"/>
            <w:vAlign w:val="center"/>
          </w:tcPr>
          <w:p w:rsidR="002A5CBD" w:rsidRPr="002B3C11" w:rsidRDefault="002A5CBD" w:rsidP="00597213">
            <w:pPr>
              <w:pStyle w:val="TableHeading"/>
            </w:pPr>
            <w:r w:rsidRPr="002B3C11">
              <w:t>Outcomes</w:t>
            </w:r>
          </w:p>
        </w:tc>
        <w:tc>
          <w:tcPr>
            <w:tcW w:w="3260" w:type="dxa"/>
            <w:vAlign w:val="center"/>
          </w:tcPr>
          <w:p w:rsidR="002A5CBD" w:rsidRPr="008220B1" w:rsidRDefault="002A5CBD" w:rsidP="00597213">
            <w:pPr>
              <w:pStyle w:val="TableText"/>
              <w:jc w:val="center"/>
            </w:pPr>
            <w:r>
              <w:t>Diagnostic accuracy: sensitivity, specificity, positive and negative predictive values</w:t>
            </w:r>
          </w:p>
        </w:tc>
        <w:tc>
          <w:tcPr>
            <w:tcW w:w="3260" w:type="dxa"/>
            <w:vAlign w:val="center"/>
          </w:tcPr>
          <w:p w:rsidR="002A5CBD" w:rsidRPr="008220B1" w:rsidRDefault="002A5CBD" w:rsidP="009667B2">
            <w:pPr>
              <w:pStyle w:val="TableText"/>
              <w:jc w:val="center"/>
            </w:pPr>
            <w:r>
              <w:t>Number of HIV tests</w:t>
            </w:r>
            <w:r>
              <w:br/>
            </w:r>
            <w:r w:rsidRPr="002B5179">
              <w:t>Early diagnosis of HIV infection</w:t>
            </w:r>
          </w:p>
        </w:tc>
      </w:tr>
      <w:tr w:rsidR="00DD1F49" w:rsidRPr="002456BA" w:rsidTr="00A83143">
        <w:tc>
          <w:tcPr>
            <w:tcW w:w="1928" w:type="dxa"/>
            <w:vAlign w:val="center"/>
          </w:tcPr>
          <w:p w:rsidR="00DD1F49" w:rsidRPr="002B3C11" w:rsidRDefault="00DD1F49" w:rsidP="00597213">
            <w:pPr>
              <w:pStyle w:val="TableHeading"/>
            </w:pPr>
            <w:r>
              <w:t xml:space="preserve">Language </w:t>
            </w:r>
          </w:p>
        </w:tc>
        <w:tc>
          <w:tcPr>
            <w:tcW w:w="3260" w:type="dxa"/>
          </w:tcPr>
          <w:p w:rsidR="00DD1F49" w:rsidRPr="008220B1" w:rsidRDefault="00DD1F49" w:rsidP="00DD1F49">
            <w:pPr>
              <w:pStyle w:val="TableText"/>
              <w:jc w:val="center"/>
            </w:pPr>
            <w:r>
              <w:t>Non-English language articles were excluded</w:t>
            </w:r>
          </w:p>
        </w:tc>
        <w:tc>
          <w:tcPr>
            <w:tcW w:w="3260" w:type="dxa"/>
          </w:tcPr>
          <w:p w:rsidR="00DD1F49" w:rsidRPr="008220B1" w:rsidRDefault="00DD1F49" w:rsidP="00DD1F49">
            <w:pPr>
              <w:pStyle w:val="TableText"/>
              <w:jc w:val="center"/>
            </w:pPr>
            <w:r>
              <w:t>Non-English language articles were excluded</w:t>
            </w:r>
          </w:p>
        </w:tc>
      </w:tr>
    </w:tbl>
    <w:p w:rsidR="007A4DD5" w:rsidRPr="00563502" w:rsidRDefault="007A4DD5" w:rsidP="007A4DD5"/>
    <w:p w:rsidR="00E971C3" w:rsidRDefault="00E971C3">
      <w:pPr>
        <w:spacing w:after="0"/>
        <w:ind w:left="0"/>
        <w:rPr>
          <w:rFonts w:ascii="Tahoma" w:hAnsi="Tahoma"/>
          <w:b/>
          <w:sz w:val="22"/>
        </w:rPr>
      </w:pPr>
      <w:r>
        <w:br w:type="page"/>
      </w:r>
    </w:p>
    <w:p w:rsidR="00495B32" w:rsidRDefault="00495B32" w:rsidP="000A3AAF">
      <w:pPr>
        <w:pStyle w:val="Heading3"/>
      </w:pPr>
      <w:r w:rsidRPr="004C6B15">
        <w:lastRenderedPageBreak/>
        <w:t>Search results</w:t>
      </w:r>
    </w:p>
    <w:p w:rsidR="007A4DD5" w:rsidRPr="002456BA" w:rsidRDefault="0066342E">
      <w:r w:rsidRPr="0066342E">
        <w:t xml:space="preserve">The PRISMA flowchart detailing the search results for this assessment is shown in Figure </w:t>
      </w:r>
      <w:r>
        <w:t>4</w:t>
      </w:r>
      <w:r w:rsidRPr="0066342E">
        <w:t>.</w:t>
      </w:r>
      <w:r w:rsidR="0024737A" w:rsidDel="0024737A">
        <w:t xml:space="preserve"> </w:t>
      </w:r>
    </w:p>
    <w:p w:rsidR="0024737A" w:rsidRDefault="00441F0F" w:rsidP="00441F0F">
      <w:pPr>
        <w:spacing w:after="0"/>
      </w:pPr>
      <w:bookmarkStart w:id="72" w:name="_Toc415103432"/>
      <w:bookmarkStart w:id="73" w:name="_Toc415107307"/>
      <w:bookmarkStart w:id="74" w:name="_Toc86678670"/>
      <w:bookmarkStart w:id="75" w:name="_Toc188861228"/>
      <w:r>
        <w:rPr>
          <w:noProof/>
        </w:rPr>
        <w:drawing>
          <wp:inline distT="0" distB="0" distL="0" distR="0" wp14:anchorId="3A15B523" wp14:editId="6DD2CFA9">
            <wp:extent cx="4905375" cy="5476875"/>
            <wp:effectExtent l="0" t="0" r="9525" b="9525"/>
            <wp:docPr id="21" name="Picture 21" descr="PRISMA Flowchart detailing research results for this asse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391 - HIV PoCT\Final report\sent 1 May 2015\Untitled.t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5375" cy="5476875"/>
                    </a:xfrm>
                    <a:prstGeom prst="rect">
                      <a:avLst/>
                    </a:prstGeom>
                    <a:noFill/>
                    <a:ln>
                      <a:noFill/>
                    </a:ln>
                  </pic:spPr>
                </pic:pic>
              </a:graphicData>
            </a:graphic>
          </wp:inline>
        </w:drawing>
      </w:r>
    </w:p>
    <w:p w:rsidR="009620E5" w:rsidRDefault="009620E5" w:rsidP="009620E5">
      <w:pPr>
        <w:pStyle w:val="Caption"/>
      </w:pPr>
      <w:bookmarkStart w:id="76" w:name="_Toc418225000"/>
      <w:bookmarkStart w:id="77" w:name="_Toc418225646"/>
      <w:r w:rsidRPr="00563502">
        <w:t xml:space="preserve">Figure </w:t>
      </w:r>
      <w:r w:rsidR="0066342E">
        <w:t>4</w:t>
      </w:r>
      <w:r>
        <w:tab/>
      </w:r>
      <w:r w:rsidR="00923BFB">
        <w:t xml:space="preserve">PRISMA </w:t>
      </w:r>
      <w:proofErr w:type="gramStart"/>
      <w:r w:rsidR="00923BFB">
        <w:t>flowchart</w:t>
      </w:r>
      <w:proofErr w:type="gramEnd"/>
      <w:r w:rsidR="00923BFB">
        <w:t xml:space="preserve"> - s</w:t>
      </w:r>
      <w:r w:rsidRPr="00563502">
        <w:t>ummary of the process used to identify and select studies for the review</w:t>
      </w:r>
      <w:bookmarkEnd w:id="72"/>
      <w:bookmarkEnd w:id="73"/>
      <w:bookmarkEnd w:id="76"/>
      <w:bookmarkEnd w:id="77"/>
      <w:r w:rsidRPr="00563502">
        <w:t xml:space="preserve"> </w:t>
      </w:r>
      <w:bookmarkEnd w:id="74"/>
      <w:bookmarkEnd w:id="75"/>
    </w:p>
    <w:p w:rsidR="007A4DD5" w:rsidRDefault="007A4DD5" w:rsidP="00B01B95">
      <w:pPr>
        <w:pStyle w:val="TableNotes"/>
        <w:spacing w:after="100" w:afterAutospacing="1"/>
        <w:rPr>
          <w:lang w:val="nb-NO"/>
        </w:rPr>
      </w:pPr>
      <w:r w:rsidRPr="00287657">
        <w:rPr>
          <w:lang w:val="nb-NO"/>
        </w:rPr>
        <w:t xml:space="preserve">Adapted from </w:t>
      </w:r>
      <w:r w:rsidR="0066342E">
        <w:rPr>
          <w:lang w:val="nb-NO"/>
        </w:rPr>
        <w:t>Liberati</w:t>
      </w:r>
      <w:r w:rsidRPr="00287657">
        <w:rPr>
          <w:lang w:val="nb-NO"/>
        </w:rPr>
        <w:t xml:space="preserve"> (</w:t>
      </w:r>
      <w:r w:rsidR="0066342E">
        <w:rPr>
          <w:lang w:val="nb-NO"/>
        </w:rPr>
        <w:t>200</w:t>
      </w:r>
      <w:r w:rsidRPr="00287657">
        <w:rPr>
          <w:lang w:val="nb-NO"/>
        </w:rPr>
        <w:t>9)</w:t>
      </w:r>
    </w:p>
    <w:p w:rsidR="00B80E2D" w:rsidRPr="00287657" w:rsidRDefault="00B80E2D" w:rsidP="00B80E2D">
      <w:pPr>
        <w:spacing w:before="120"/>
        <w:rPr>
          <w:lang w:val="nb-NO"/>
        </w:rPr>
      </w:pPr>
      <w:r w:rsidRPr="00A52CB0">
        <w:t xml:space="preserve">The study profiles of all included studies are </w:t>
      </w:r>
      <w:r>
        <w:t>presented</w:t>
      </w:r>
      <w:r w:rsidRPr="00A52CB0">
        <w:t xml:space="preserve"> in </w:t>
      </w:r>
      <w:r>
        <w:t>Appendix D</w:t>
      </w:r>
      <w:r w:rsidRPr="00A52CB0">
        <w:t xml:space="preserve">. </w:t>
      </w:r>
      <w:r>
        <w:t xml:space="preserve"> </w:t>
      </w:r>
      <w:r w:rsidRPr="00CD073B">
        <w:t xml:space="preserve">Full text articles that did not meet the inclusion criteria are provided in </w:t>
      </w:r>
      <w:r w:rsidRPr="00992119">
        <w:t xml:space="preserve">Appendix </w:t>
      </w:r>
      <w:r>
        <w:t>E,</w:t>
      </w:r>
      <w:r w:rsidRPr="00CD073B">
        <w:t xml:space="preserve"> </w:t>
      </w:r>
      <w:r>
        <w:t>where t</w:t>
      </w:r>
      <w:r w:rsidRPr="00CD073B">
        <w:t>he studies are listed according to the reason for exclusion.</w:t>
      </w:r>
    </w:p>
    <w:p w:rsidR="005046EE" w:rsidRDefault="005046EE" w:rsidP="00441845">
      <w:pPr>
        <w:pStyle w:val="Heading3"/>
      </w:pPr>
      <w:r w:rsidRPr="00441845">
        <w:t>Data extraction and analysis</w:t>
      </w:r>
    </w:p>
    <w:p w:rsidR="00B80E2D" w:rsidRPr="00B80E2D" w:rsidRDefault="00B80E2D" w:rsidP="00B80E2D">
      <w:r>
        <w:t>Two reviewers independentl</w:t>
      </w:r>
      <w:r w:rsidR="00923BFB">
        <w:t>y extracted data from the included studies.  Meta-analyses of diagnostic accuracy data was conducted using Meta-Disc.</w:t>
      </w:r>
    </w:p>
    <w:p w:rsidR="00441F0F" w:rsidRDefault="00441F0F">
      <w:pPr>
        <w:spacing w:after="0"/>
        <w:ind w:left="0"/>
        <w:rPr>
          <w:rFonts w:ascii="Tahoma" w:hAnsi="Tahoma"/>
          <w:b/>
          <w:sz w:val="28"/>
        </w:rPr>
      </w:pPr>
      <w:bookmarkStart w:id="78" w:name="_Toc418224868"/>
      <w:r>
        <w:br w:type="page"/>
      </w:r>
    </w:p>
    <w:p w:rsidR="00ED77ED" w:rsidRPr="007F6EF6" w:rsidRDefault="00ED77ED" w:rsidP="007F6EF6">
      <w:pPr>
        <w:pStyle w:val="Heading2"/>
      </w:pPr>
      <w:r w:rsidRPr="007F6EF6">
        <w:lastRenderedPageBreak/>
        <w:t>Appraisal of the evidence</w:t>
      </w:r>
      <w:bookmarkEnd w:id="78"/>
    </w:p>
    <w:p w:rsidR="00ED77ED" w:rsidRPr="002456BA" w:rsidRDefault="00ED77ED" w:rsidP="00ED77ED">
      <w:pPr>
        <w:rPr>
          <w:lang w:val="en-US"/>
        </w:rPr>
      </w:pPr>
      <w:r w:rsidRPr="002456BA">
        <w:rPr>
          <w:lang w:val="en-US"/>
        </w:rPr>
        <w:t>Appraisal of the evidence was conducted at 3 stages:</w:t>
      </w:r>
    </w:p>
    <w:p w:rsidR="00ED77ED" w:rsidRPr="002456BA" w:rsidRDefault="00ED77ED" w:rsidP="00ED77ED">
      <w:pPr>
        <w:ind w:left="1498" w:hanging="789"/>
        <w:rPr>
          <w:lang w:val="en-US"/>
        </w:rPr>
      </w:pPr>
      <w:proofErr w:type="gramStart"/>
      <w:r w:rsidRPr="002456BA">
        <w:rPr>
          <w:lang w:val="en-US"/>
        </w:rPr>
        <w:t>Stage 1: Appraisal of the applicability and quality of individual studies included in the review.</w:t>
      </w:r>
      <w:proofErr w:type="gramEnd"/>
    </w:p>
    <w:p w:rsidR="00ED77ED" w:rsidRPr="002456BA" w:rsidRDefault="00ED77ED" w:rsidP="00ED77ED">
      <w:pPr>
        <w:ind w:left="1498" w:hanging="789"/>
        <w:rPr>
          <w:lang w:val="en-US"/>
        </w:rPr>
      </w:pPr>
      <w:r w:rsidRPr="002456BA">
        <w:rPr>
          <w:lang w:val="en-US"/>
        </w:rPr>
        <w:t xml:space="preserve">Stage 2: Appraisal of the precision, size and clinical importance of the primary outcomes used to determine the safety and effectiveness of the </w:t>
      </w:r>
      <w:r w:rsidR="00697D1A">
        <w:rPr>
          <w:lang w:val="en-US"/>
        </w:rPr>
        <w:t>intervention</w:t>
      </w:r>
      <w:r w:rsidRPr="002456BA">
        <w:rPr>
          <w:lang w:val="en-US"/>
        </w:rPr>
        <w:t xml:space="preserve">.  </w:t>
      </w:r>
    </w:p>
    <w:p w:rsidR="00ED77ED" w:rsidRPr="002456BA" w:rsidRDefault="00ED77ED" w:rsidP="00ED77ED">
      <w:pPr>
        <w:ind w:left="1498" w:hanging="789"/>
      </w:pPr>
      <w:proofErr w:type="gramStart"/>
      <w:r w:rsidRPr="002456BA">
        <w:t>Stage 3: Integration of this evidence for conclusions about the net clinical benefit of the in</w:t>
      </w:r>
      <w:r w:rsidR="00697D1A">
        <w:t>tervention</w:t>
      </w:r>
      <w:r w:rsidRPr="002456BA">
        <w:t xml:space="preserve"> in the context of Australian clinical practice.</w:t>
      </w:r>
      <w:proofErr w:type="gramEnd"/>
      <w:r w:rsidRPr="002456BA">
        <w:t xml:space="preserve"> </w:t>
      </w:r>
    </w:p>
    <w:p w:rsidR="00F25DCB" w:rsidRPr="004C6B15" w:rsidRDefault="00F25DCB" w:rsidP="000A3AAF">
      <w:pPr>
        <w:pStyle w:val="Heading3"/>
      </w:pPr>
      <w:r w:rsidRPr="004C6B15">
        <w:t>Validity assessment of individual studies</w:t>
      </w:r>
    </w:p>
    <w:p w:rsidR="00BA4863" w:rsidRPr="00A12E71" w:rsidRDefault="00BA4863" w:rsidP="00BA4863">
      <w:r w:rsidRPr="00A12E71">
        <w:t xml:space="preserve">The evidence presented in the selected studies was assessed and classified using the dimensions of evidence defined by the National Health and Medical Research Council (NHMRC, 2000).  </w:t>
      </w:r>
    </w:p>
    <w:p w:rsidR="00BA4863" w:rsidRPr="00A12E71" w:rsidRDefault="00BA4863" w:rsidP="00BA4863">
      <w:r w:rsidRPr="00A12E71">
        <w:t>These dimensions (</w:t>
      </w:r>
      <w:r w:rsidR="00923BFB">
        <w:t>Table 8</w:t>
      </w:r>
      <w:r w:rsidRPr="00A12E71">
        <w:t xml:space="preserve">) consider important aspects of the evidence supporting a particular intervention and include three main domains: strength of the evidence, size of the effect and relevance of the evidence. </w:t>
      </w:r>
      <w:r w:rsidR="00DC4B53">
        <w:t xml:space="preserve"> </w:t>
      </w:r>
      <w:r w:rsidRPr="00A12E71">
        <w:t xml:space="preserve">The first domain is derived directly from the literature identified as informing a particular intervention. </w:t>
      </w:r>
      <w:r w:rsidR="00DC4B53">
        <w:t xml:space="preserve"> </w:t>
      </w:r>
      <w:r w:rsidRPr="00A12E71">
        <w:t>The last two require expert clinical inp</w:t>
      </w:r>
      <w:r w:rsidR="00993A45">
        <w:t>ut as part of its determination.</w:t>
      </w:r>
    </w:p>
    <w:p w:rsidR="00BA4863" w:rsidRDefault="00BA4863" w:rsidP="00434EC7">
      <w:pPr>
        <w:pStyle w:val="Caption"/>
      </w:pPr>
      <w:bookmarkStart w:id="79" w:name="_Ref206478845"/>
      <w:bookmarkStart w:id="80" w:name="_Toc415013750"/>
      <w:bookmarkStart w:id="81" w:name="_Toc418225001"/>
      <w:bookmarkStart w:id="82" w:name="_Toc418225647"/>
      <w:r w:rsidRPr="00923BFB">
        <w:t xml:space="preserve">Table </w:t>
      </w:r>
      <w:bookmarkEnd w:id="79"/>
      <w:r w:rsidR="00923BFB" w:rsidRPr="00923BFB">
        <w:t>8</w:t>
      </w:r>
      <w:r w:rsidRPr="00923BFB">
        <w:tab/>
        <w:t>Evidence dimensions</w:t>
      </w:r>
      <w:bookmarkEnd w:id="80"/>
      <w:bookmarkEnd w:id="81"/>
      <w:bookmarkEnd w:id="82"/>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Evidence dimensions defined by the NHMRC for selected studies"/>
      </w:tblPr>
      <w:tblGrid>
        <w:gridCol w:w="2058"/>
        <w:gridCol w:w="6120"/>
      </w:tblGrid>
      <w:tr w:rsidR="00BA4863" w:rsidRPr="00C472D2" w:rsidTr="00D100DF">
        <w:trPr>
          <w:tblHeader/>
        </w:trPr>
        <w:tc>
          <w:tcPr>
            <w:tcW w:w="2058" w:type="dxa"/>
          </w:tcPr>
          <w:p w:rsidR="00BA4863" w:rsidRPr="00A12E71" w:rsidRDefault="00BA4863" w:rsidP="00952C44">
            <w:pPr>
              <w:pStyle w:val="TableHeading"/>
            </w:pPr>
            <w:r w:rsidRPr="00A12E71">
              <w:t>Type of evidence</w:t>
            </w:r>
          </w:p>
        </w:tc>
        <w:tc>
          <w:tcPr>
            <w:tcW w:w="6120" w:type="dxa"/>
          </w:tcPr>
          <w:p w:rsidR="00BA4863" w:rsidRPr="00A12E71" w:rsidRDefault="00BA4863" w:rsidP="00952C44">
            <w:pPr>
              <w:pStyle w:val="TableHeading"/>
            </w:pPr>
            <w:r w:rsidRPr="00A12E71">
              <w:t>Definition</w:t>
            </w:r>
          </w:p>
        </w:tc>
      </w:tr>
      <w:tr w:rsidR="00BA4863" w:rsidRPr="00C472D2">
        <w:tc>
          <w:tcPr>
            <w:tcW w:w="2058" w:type="dxa"/>
          </w:tcPr>
          <w:p w:rsidR="00BA4863" w:rsidRPr="00A12E71" w:rsidRDefault="00BA4863" w:rsidP="00952C44">
            <w:pPr>
              <w:pStyle w:val="TableText"/>
            </w:pPr>
            <w:r w:rsidRPr="00A12E71">
              <w:t>Strength of the evidence</w:t>
            </w:r>
          </w:p>
          <w:p w:rsidR="00BA4863" w:rsidRPr="00A12E71" w:rsidRDefault="00BA4863" w:rsidP="00952C44">
            <w:pPr>
              <w:pStyle w:val="TableText"/>
            </w:pPr>
            <w:r w:rsidRPr="00A12E71">
              <w:tab/>
              <w:t>Level</w:t>
            </w:r>
            <w:r w:rsidRPr="00A12E71">
              <w:br/>
            </w:r>
          </w:p>
          <w:p w:rsidR="00BA4863" w:rsidRPr="00A12E71" w:rsidRDefault="00BA4863" w:rsidP="00952C44">
            <w:pPr>
              <w:pStyle w:val="TableText"/>
            </w:pPr>
            <w:r w:rsidRPr="00A12E71">
              <w:tab/>
              <w:t>Quality</w:t>
            </w:r>
          </w:p>
          <w:p w:rsidR="00BA4863" w:rsidRPr="00A12E71" w:rsidRDefault="00BA4863" w:rsidP="00952C44">
            <w:pPr>
              <w:pStyle w:val="TableText"/>
            </w:pPr>
            <w:r w:rsidRPr="00A12E71">
              <w:tab/>
              <w:t>Statistical precision</w:t>
            </w:r>
          </w:p>
        </w:tc>
        <w:tc>
          <w:tcPr>
            <w:tcW w:w="6120" w:type="dxa"/>
          </w:tcPr>
          <w:p w:rsidR="00BA4863" w:rsidRPr="00A12E71" w:rsidRDefault="00BA4863" w:rsidP="00952C44">
            <w:pPr>
              <w:pStyle w:val="TableText"/>
            </w:pPr>
          </w:p>
          <w:p w:rsidR="00BA4863" w:rsidRPr="00A12E71" w:rsidRDefault="00BA4863" w:rsidP="00952C44">
            <w:pPr>
              <w:pStyle w:val="TableText"/>
            </w:pPr>
            <w:r w:rsidRPr="00A12E71">
              <w:t>The study design used, as an indicator of the degree to which bias has been eliminated by design.*</w:t>
            </w:r>
          </w:p>
          <w:p w:rsidR="00BA4863" w:rsidRPr="00A12E71" w:rsidRDefault="00BA4863" w:rsidP="00952C44">
            <w:pPr>
              <w:pStyle w:val="TableText"/>
            </w:pPr>
            <w:r w:rsidRPr="00A12E71">
              <w:t>The methods used by investigators to minimise bias within a study design.</w:t>
            </w:r>
          </w:p>
          <w:p w:rsidR="00BA4863" w:rsidRPr="00A12E71" w:rsidRDefault="00BA4863" w:rsidP="00952C44">
            <w:pPr>
              <w:pStyle w:val="TableText"/>
            </w:pPr>
            <w:r w:rsidRPr="00A12E71">
              <w:t xml:space="preserve">The </w:t>
            </w:r>
            <w:r w:rsidRPr="00A12E71">
              <w:rPr>
                <w:i/>
              </w:rPr>
              <w:t>p</w:t>
            </w:r>
            <w:r w:rsidRPr="00A12E71">
              <w:t>-value or, alternatively, the precision of the estimate of the effect. It reflects the degree of certainty about the existence of a true effect.</w:t>
            </w:r>
          </w:p>
        </w:tc>
      </w:tr>
      <w:tr w:rsidR="00BA4863" w:rsidRPr="00C472D2">
        <w:tc>
          <w:tcPr>
            <w:tcW w:w="2058" w:type="dxa"/>
          </w:tcPr>
          <w:p w:rsidR="00BA4863" w:rsidRPr="00A12E71" w:rsidRDefault="00BA4863" w:rsidP="00952C44">
            <w:pPr>
              <w:pStyle w:val="TableText"/>
            </w:pPr>
            <w:r w:rsidRPr="00A12E71">
              <w:t>Size of effect</w:t>
            </w:r>
          </w:p>
        </w:tc>
        <w:tc>
          <w:tcPr>
            <w:tcW w:w="6120" w:type="dxa"/>
          </w:tcPr>
          <w:p w:rsidR="00BA4863" w:rsidRPr="00A12E71" w:rsidRDefault="00BA4863" w:rsidP="00952C44">
            <w:pPr>
              <w:pStyle w:val="TableText"/>
            </w:pPr>
            <w:r w:rsidRPr="00A12E71">
              <w:t>The distance of the study estimate from the “null” value and the inclusion of only clinically important effects in the confidence interval.</w:t>
            </w:r>
          </w:p>
        </w:tc>
      </w:tr>
      <w:tr w:rsidR="00BA4863" w:rsidRPr="00C472D2">
        <w:tc>
          <w:tcPr>
            <w:tcW w:w="2058" w:type="dxa"/>
          </w:tcPr>
          <w:p w:rsidR="00BA4863" w:rsidRPr="00A12E71" w:rsidRDefault="00BA4863" w:rsidP="00952C44">
            <w:pPr>
              <w:pStyle w:val="TableText"/>
            </w:pPr>
            <w:r w:rsidRPr="00A12E71">
              <w:t>Relevance of evidence</w:t>
            </w:r>
          </w:p>
        </w:tc>
        <w:tc>
          <w:tcPr>
            <w:tcW w:w="6120" w:type="dxa"/>
          </w:tcPr>
          <w:p w:rsidR="00BA4863" w:rsidRPr="00A12E71" w:rsidRDefault="00BA4863" w:rsidP="00952C44">
            <w:pPr>
              <w:pStyle w:val="TableText"/>
            </w:pPr>
            <w:r w:rsidRPr="00A12E71">
              <w:t>The usefulness of the evidence in clinical practice, particularly the appropriateness of the outcome measures used.</w:t>
            </w:r>
          </w:p>
        </w:tc>
      </w:tr>
    </w:tbl>
    <w:p w:rsidR="002242BF" w:rsidRDefault="00641F14">
      <w:pPr>
        <w:spacing w:after="0"/>
        <w:ind w:left="0"/>
        <w:rPr>
          <w:rFonts w:ascii="Arial Narrow" w:hAnsi="Arial Narrow"/>
          <w:b/>
          <w:bCs/>
          <w:sz w:val="20"/>
        </w:rPr>
      </w:pPr>
      <w:r>
        <w:t xml:space="preserve">* See </w:t>
      </w:r>
      <w:r>
        <w:fldChar w:fldCharType="begin"/>
      </w:r>
      <w:r>
        <w:instrText xml:space="preserve"> REF _Ref206478826 \h </w:instrText>
      </w:r>
      <w:r>
        <w:fldChar w:fldCharType="separate"/>
      </w:r>
      <w:r w:rsidR="002242BF">
        <w:br w:type="page"/>
      </w:r>
    </w:p>
    <w:p w:rsidR="00BA4863" w:rsidRPr="00BA4863" w:rsidRDefault="002242BF" w:rsidP="00641F14">
      <w:pPr>
        <w:pStyle w:val="TableNotes"/>
      </w:pPr>
      <w:r w:rsidRPr="00923BFB">
        <w:lastRenderedPageBreak/>
        <w:t xml:space="preserve">Table </w:t>
      </w:r>
      <w:r w:rsidR="00641F14">
        <w:fldChar w:fldCharType="end"/>
      </w:r>
    </w:p>
    <w:p w:rsidR="00B479B0" w:rsidRDefault="00B479B0" w:rsidP="00B479B0">
      <w:pPr>
        <w:pStyle w:val="Heading3"/>
      </w:pPr>
      <w:bookmarkStart w:id="83" w:name="_Toc124833662"/>
      <w:r w:rsidRPr="004C6B15">
        <w:t>Strength of the evidence</w:t>
      </w:r>
    </w:p>
    <w:bookmarkEnd w:id="83"/>
    <w:p w:rsidR="00B479B0" w:rsidRDefault="003756EE" w:rsidP="00E52A5B">
      <w:r w:rsidRPr="004C6B15">
        <w:t xml:space="preserve">The three sub-domains (level, quality and statistical precision) are collectively a measure of the strength of the evidence. </w:t>
      </w:r>
    </w:p>
    <w:p w:rsidR="00B479B0" w:rsidRPr="004C6B15" w:rsidRDefault="00B479B0" w:rsidP="00D4145E">
      <w:pPr>
        <w:pStyle w:val="Heading4"/>
      </w:pPr>
      <w:r w:rsidRPr="004C6B15">
        <w:t>Level</w:t>
      </w:r>
    </w:p>
    <w:p w:rsidR="00E52A5B" w:rsidRPr="004C6B15" w:rsidRDefault="003756EE" w:rsidP="00E52A5B">
      <w:r w:rsidRPr="004C6B15">
        <w:t xml:space="preserve">The “level of evidence” reflects the effectiveness of a study design to answer a particular research question. </w:t>
      </w:r>
      <w:r w:rsidR="00DC4B53">
        <w:t xml:space="preserve"> </w:t>
      </w:r>
      <w:r w:rsidRPr="004C6B15">
        <w:t>Effectiveness is based on the probability that the design of the study has reduced or eliminated the impact of bias on the results.</w:t>
      </w:r>
      <w:r w:rsidR="00E52A5B" w:rsidRPr="004C6B15">
        <w:t xml:space="preserve"> </w:t>
      </w:r>
    </w:p>
    <w:p w:rsidR="00E52A5B" w:rsidRDefault="00E52A5B" w:rsidP="00952C44">
      <w:r w:rsidRPr="004C6B15">
        <w:t xml:space="preserve">The NHMRC evidence hierarchy provides a ranking of various study designs (‘levels of evidence’) by the type of research question being </w:t>
      </w:r>
      <w:r w:rsidR="00542570" w:rsidRPr="004C6B15">
        <w:t>addressed</w:t>
      </w:r>
      <w:r w:rsidR="00E204BF">
        <w:t xml:space="preserve"> </w:t>
      </w:r>
      <w:r w:rsidR="00E204BF" w:rsidRPr="00923BFB">
        <w:t xml:space="preserve">(see </w:t>
      </w:r>
      <w:r w:rsidR="00923BFB" w:rsidRPr="00923BFB">
        <w:t>Table 9</w:t>
      </w:r>
      <w:r w:rsidR="00E204BF" w:rsidRPr="00923BFB">
        <w:t>)</w:t>
      </w:r>
      <w:r w:rsidRPr="00923BFB">
        <w:t>.</w:t>
      </w:r>
    </w:p>
    <w:p w:rsidR="00E971C3" w:rsidRDefault="00E971C3">
      <w:pPr>
        <w:spacing w:after="0"/>
        <w:ind w:left="0"/>
        <w:rPr>
          <w:rFonts w:ascii="Arial Narrow" w:hAnsi="Arial Narrow"/>
          <w:b/>
          <w:bCs/>
          <w:sz w:val="20"/>
        </w:rPr>
      </w:pPr>
      <w:bookmarkStart w:id="84" w:name="_Ref206478826"/>
      <w:bookmarkStart w:id="85" w:name="_Toc415013751"/>
      <w:r>
        <w:br w:type="page"/>
      </w:r>
    </w:p>
    <w:p w:rsidR="00B80E2D" w:rsidRDefault="00B80E2D" w:rsidP="00FD46C7">
      <w:pPr>
        <w:pStyle w:val="Caption"/>
        <w:ind w:left="1701" w:hanging="981"/>
      </w:pPr>
      <w:bookmarkStart w:id="86" w:name="_Toc418225002"/>
      <w:bookmarkStart w:id="87" w:name="_Toc418225648"/>
      <w:r w:rsidRPr="00923BFB">
        <w:lastRenderedPageBreak/>
        <w:t xml:space="preserve">Table </w:t>
      </w:r>
      <w:bookmarkEnd w:id="84"/>
      <w:r w:rsidR="00923BFB" w:rsidRPr="00923BFB">
        <w:t>9</w:t>
      </w:r>
      <w:r w:rsidRPr="00923BFB">
        <w:tab/>
        <w:t>Designations</w:t>
      </w:r>
      <w:r>
        <w:t xml:space="preserve"> of levels of evidence according to type of research question (including table notes) </w:t>
      </w:r>
      <w:r w:rsidRPr="004C6B15">
        <w:fldChar w:fldCharType="begin"/>
      </w:r>
      <w:r w:rsidRPr="004C6B15">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Pr="004C6B15">
        <w:fldChar w:fldCharType="separate"/>
      </w:r>
      <w:r w:rsidRPr="004C6B15">
        <w:t>(NHMRC 2008)</w:t>
      </w:r>
      <w:bookmarkEnd w:id="86"/>
      <w:bookmarkEnd w:id="87"/>
      <w:r w:rsidRPr="004C6B15">
        <w:fldChar w:fldCharType="end"/>
      </w:r>
      <w:bookmarkEnd w:id="85"/>
    </w:p>
    <w:tbl>
      <w:tblPr>
        <w:tblW w:w="8363" w:type="dxa"/>
        <w:tblInd w:w="840" w:type="dxa"/>
        <w:tblLayout w:type="fixed"/>
        <w:tblLook w:val="01E0" w:firstRow="1" w:lastRow="1" w:firstColumn="1" w:lastColumn="1" w:noHBand="0" w:noVBand="0"/>
        <w:tblDescription w:val="Designations of level of evidence according to type of research question by the NHMRC"/>
      </w:tblPr>
      <w:tblGrid>
        <w:gridCol w:w="612"/>
        <w:gridCol w:w="3875"/>
        <w:gridCol w:w="3876"/>
      </w:tblGrid>
      <w:tr w:rsidR="00B80E2D" w:rsidRPr="00925DCA" w:rsidTr="00D100DF">
        <w:trPr>
          <w:tblHeader/>
        </w:trPr>
        <w:tc>
          <w:tcPr>
            <w:tcW w:w="612" w:type="dxa"/>
            <w:tcBorders>
              <w:top w:val="single" w:sz="4" w:space="0" w:color="auto"/>
              <w:left w:val="single" w:sz="4" w:space="0" w:color="auto"/>
              <w:bottom w:val="single" w:sz="4" w:space="0" w:color="auto"/>
              <w:right w:val="single" w:sz="4" w:space="0" w:color="auto"/>
            </w:tcBorders>
          </w:tcPr>
          <w:p w:rsidR="00B80E2D" w:rsidRPr="00A639AA" w:rsidRDefault="00B80E2D" w:rsidP="006F2EE4">
            <w:pPr>
              <w:pStyle w:val="TableHeading"/>
            </w:pPr>
            <w:r w:rsidRPr="00A639AA">
              <w:t>Level</w:t>
            </w:r>
          </w:p>
        </w:tc>
        <w:tc>
          <w:tcPr>
            <w:tcW w:w="3875" w:type="dxa"/>
            <w:tcBorders>
              <w:top w:val="single" w:sz="4" w:space="0" w:color="auto"/>
              <w:left w:val="single" w:sz="4" w:space="0" w:color="auto"/>
              <w:bottom w:val="single" w:sz="4" w:space="0" w:color="auto"/>
              <w:right w:val="single" w:sz="4" w:space="0" w:color="auto"/>
            </w:tcBorders>
          </w:tcPr>
          <w:p w:rsidR="00B80E2D" w:rsidRPr="00A639AA" w:rsidRDefault="00B80E2D" w:rsidP="006F2EE4">
            <w:pPr>
              <w:pStyle w:val="TableHeading"/>
            </w:pPr>
            <w:r w:rsidRPr="00A639AA">
              <w:t>Inte</w:t>
            </w:r>
            <w:r w:rsidRPr="000029F2">
              <w:t>rv</w:t>
            </w:r>
            <w:r w:rsidRPr="00A639AA">
              <w:t>e</w:t>
            </w:r>
            <w:r w:rsidRPr="000029F2">
              <w:t>n</w:t>
            </w:r>
            <w:r w:rsidRPr="00A639AA">
              <w:t>tion</w:t>
            </w:r>
            <w:r w:rsidRPr="000029F2">
              <w:t xml:space="preserve"> </w:t>
            </w:r>
            <w:r w:rsidRPr="00894FB1">
              <w:rPr>
                <w:vertAlign w:val="superscript"/>
              </w:rPr>
              <w:t>1</w:t>
            </w:r>
          </w:p>
        </w:tc>
        <w:tc>
          <w:tcPr>
            <w:tcW w:w="3876" w:type="dxa"/>
            <w:tcBorders>
              <w:top w:val="single" w:sz="4" w:space="0" w:color="auto"/>
              <w:left w:val="single" w:sz="4" w:space="0" w:color="auto"/>
              <w:bottom w:val="single" w:sz="4" w:space="0" w:color="auto"/>
              <w:right w:val="single" w:sz="4" w:space="0" w:color="auto"/>
            </w:tcBorders>
          </w:tcPr>
          <w:p w:rsidR="00B80E2D" w:rsidRPr="00A639AA" w:rsidRDefault="00B80E2D" w:rsidP="006F2EE4">
            <w:pPr>
              <w:pStyle w:val="TableHeading"/>
            </w:pPr>
            <w:r w:rsidRPr="00A639AA">
              <w:t>Diag</w:t>
            </w:r>
            <w:r w:rsidRPr="000029F2">
              <w:t>no</w:t>
            </w:r>
            <w:r w:rsidRPr="00A639AA">
              <w:t xml:space="preserve">stic accuracy </w:t>
            </w:r>
            <w:r w:rsidRPr="00894FB1">
              <w:rPr>
                <w:vertAlign w:val="superscript"/>
              </w:rPr>
              <w:t>2</w:t>
            </w:r>
          </w:p>
        </w:tc>
      </w:tr>
      <w:tr w:rsidR="00B80E2D" w:rsidRPr="00925DCA" w:rsidTr="00923BFB">
        <w:tc>
          <w:tcPr>
            <w:tcW w:w="612" w:type="dxa"/>
            <w:tcBorders>
              <w:top w:val="single" w:sz="4" w:space="0" w:color="auto"/>
              <w:left w:val="single" w:sz="4" w:space="0" w:color="auto"/>
              <w:bottom w:val="single" w:sz="4" w:space="0" w:color="auto"/>
              <w:right w:val="single" w:sz="4" w:space="0" w:color="auto"/>
            </w:tcBorders>
          </w:tcPr>
          <w:p w:rsidR="00B80E2D" w:rsidRPr="000029F2" w:rsidRDefault="00B80E2D" w:rsidP="006F2EE4">
            <w:pPr>
              <w:pStyle w:val="TableHeading"/>
            </w:pPr>
            <w:r w:rsidRPr="000029F2">
              <w:t xml:space="preserve">I </w:t>
            </w:r>
            <w:r w:rsidRPr="000029F2">
              <w:rPr>
                <w:vertAlign w:val="superscript"/>
              </w:rPr>
              <w:t>4</w:t>
            </w:r>
          </w:p>
        </w:tc>
        <w:tc>
          <w:tcPr>
            <w:tcW w:w="3875"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7018F">
              <w:t>A systematic review of level II</w:t>
            </w:r>
            <w:r>
              <w:t xml:space="preserve"> </w:t>
            </w:r>
            <w:r w:rsidRPr="00A7018F">
              <w:t>studies</w:t>
            </w:r>
          </w:p>
        </w:tc>
        <w:tc>
          <w:tcPr>
            <w:tcW w:w="3876"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963E8">
              <w:t>A systematic review of level</w:t>
            </w:r>
            <w:r>
              <w:t xml:space="preserve"> </w:t>
            </w:r>
            <w:r w:rsidRPr="00A963E8">
              <w:t>II studies</w:t>
            </w:r>
          </w:p>
        </w:tc>
      </w:tr>
      <w:tr w:rsidR="00B80E2D" w:rsidRPr="00925DCA" w:rsidTr="00923BFB">
        <w:tc>
          <w:tcPr>
            <w:tcW w:w="612" w:type="dxa"/>
            <w:tcBorders>
              <w:top w:val="single" w:sz="4" w:space="0" w:color="auto"/>
              <w:left w:val="single" w:sz="4" w:space="0" w:color="auto"/>
              <w:bottom w:val="single" w:sz="4" w:space="0" w:color="auto"/>
              <w:right w:val="single" w:sz="4" w:space="0" w:color="auto"/>
            </w:tcBorders>
          </w:tcPr>
          <w:p w:rsidR="00B80E2D" w:rsidRPr="000029F2" w:rsidRDefault="00B80E2D" w:rsidP="006F2EE4">
            <w:pPr>
              <w:pStyle w:val="TableHeading"/>
            </w:pPr>
            <w:r w:rsidRPr="000029F2">
              <w:t>II</w:t>
            </w:r>
          </w:p>
        </w:tc>
        <w:tc>
          <w:tcPr>
            <w:tcW w:w="3875"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963E8">
              <w:t>A randomised controlled trial</w:t>
            </w:r>
          </w:p>
        </w:tc>
        <w:tc>
          <w:tcPr>
            <w:tcW w:w="3876"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963E8">
              <w:t>A study of test accuracy with: an independent, blinded comparison with a valid reference standard,</w:t>
            </w:r>
            <w:r w:rsidRPr="00B01B95">
              <w:rPr>
                <w:vertAlign w:val="superscript"/>
              </w:rPr>
              <w:t>5</w:t>
            </w:r>
            <w:r w:rsidRPr="00A963E8">
              <w:t xml:space="preserve"> among consecutive persons with a defined clinical presentation</w:t>
            </w:r>
            <w:r w:rsidRPr="00B01B95">
              <w:rPr>
                <w:vertAlign w:val="superscript"/>
              </w:rPr>
              <w:t>6</w:t>
            </w:r>
          </w:p>
        </w:tc>
      </w:tr>
      <w:tr w:rsidR="00B80E2D" w:rsidRPr="00925DCA" w:rsidTr="00923BFB">
        <w:tc>
          <w:tcPr>
            <w:tcW w:w="612" w:type="dxa"/>
            <w:tcBorders>
              <w:top w:val="single" w:sz="4" w:space="0" w:color="auto"/>
              <w:left w:val="single" w:sz="4" w:space="0" w:color="auto"/>
              <w:bottom w:val="single" w:sz="4" w:space="0" w:color="auto"/>
              <w:right w:val="single" w:sz="4" w:space="0" w:color="auto"/>
            </w:tcBorders>
          </w:tcPr>
          <w:p w:rsidR="00B80E2D" w:rsidRPr="000029F2" w:rsidRDefault="00B80E2D" w:rsidP="006F2EE4">
            <w:pPr>
              <w:pStyle w:val="TableHeading"/>
            </w:pPr>
            <w:r w:rsidRPr="000029F2">
              <w:t>III-1</w:t>
            </w:r>
          </w:p>
        </w:tc>
        <w:tc>
          <w:tcPr>
            <w:tcW w:w="3875"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963E8">
              <w:t>A pseudo randomised controlled trial</w:t>
            </w:r>
          </w:p>
          <w:p w:rsidR="00B80E2D" w:rsidRPr="00A963E8" w:rsidRDefault="00B80E2D" w:rsidP="006F2EE4">
            <w:pPr>
              <w:pStyle w:val="TableText"/>
            </w:pPr>
            <w:r w:rsidRPr="00A963E8">
              <w:t>(i.e. alternate allocation or some other method)</w:t>
            </w:r>
          </w:p>
        </w:tc>
        <w:tc>
          <w:tcPr>
            <w:tcW w:w="3876"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963E8">
              <w:t>A study of test accuracy with: an independent, blinded comparison with a valid reference standard,</w:t>
            </w:r>
            <w:r w:rsidRPr="00B01B95">
              <w:rPr>
                <w:vertAlign w:val="superscript"/>
              </w:rPr>
              <w:t>5</w:t>
            </w:r>
            <w:r w:rsidRPr="00A963E8">
              <w:t xml:space="preserve"> among non-consecutive persons with a defined clinical presentation</w:t>
            </w:r>
            <w:r w:rsidRPr="00B01B95">
              <w:rPr>
                <w:vertAlign w:val="superscript"/>
              </w:rPr>
              <w:t>6</w:t>
            </w:r>
          </w:p>
        </w:tc>
      </w:tr>
      <w:tr w:rsidR="00B80E2D" w:rsidRPr="00925DCA" w:rsidTr="00923BFB">
        <w:tc>
          <w:tcPr>
            <w:tcW w:w="612" w:type="dxa"/>
            <w:tcBorders>
              <w:top w:val="single" w:sz="4" w:space="0" w:color="auto"/>
              <w:left w:val="single" w:sz="4" w:space="0" w:color="auto"/>
              <w:bottom w:val="single" w:sz="4" w:space="0" w:color="auto"/>
              <w:right w:val="single" w:sz="4" w:space="0" w:color="auto"/>
            </w:tcBorders>
          </w:tcPr>
          <w:p w:rsidR="00B80E2D" w:rsidRPr="000029F2" w:rsidRDefault="00B80E2D" w:rsidP="006F2EE4">
            <w:pPr>
              <w:pStyle w:val="TableHeading"/>
            </w:pPr>
            <w:r w:rsidRPr="000029F2">
              <w:t>III-2</w:t>
            </w:r>
          </w:p>
        </w:tc>
        <w:tc>
          <w:tcPr>
            <w:tcW w:w="3875"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963E8">
              <w:t>A comparative study with concurrent controls:</w:t>
            </w:r>
          </w:p>
          <w:p w:rsidR="00B80E2D" w:rsidRPr="00A963E8" w:rsidRDefault="00B80E2D" w:rsidP="006F2EE4">
            <w:pPr>
              <w:pStyle w:val="TableText"/>
            </w:pPr>
            <w:r w:rsidRPr="00A963E8">
              <w:t>▪</w:t>
            </w:r>
            <w:r>
              <w:t xml:space="preserve"> </w:t>
            </w:r>
            <w:r w:rsidRPr="00A963E8">
              <w:t>Non-randomised, experimental trial</w:t>
            </w:r>
            <w:r w:rsidRPr="00B01B95">
              <w:rPr>
                <w:vertAlign w:val="superscript"/>
              </w:rPr>
              <w:t>9</w:t>
            </w:r>
          </w:p>
          <w:p w:rsidR="00B80E2D" w:rsidRPr="00A963E8" w:rsidRDefault="00B80E2D" w:rsidP="006F2EE4">
            <w:pPr>
              <w:pStyle w:val="TableText"/>
            </w:pPr>
            <w:r w:rsidRPr="00A963E8">
              <w:t>▪</w:t>
            </w:r>
            <w:r>
              <w:t xml:space="preserve"> </w:t>
            </w:r>
            <w:r w:rsidRPr="00A963E8">
              <w:t>Cohort study</w:t>
            </w:r>
          </w:p>
          <w:p w:rsidR="00B80E2D" w:rsidRPr="00A963E8" w:rsidRDefault="00B80E2D" w:rsidP="006F2EE4">
            <w:pPr>
              <w:pStyle w:val="TableText"/>
            </w:pPr>
            <w:r w:rsidRPr="00A963E8">
              <w:t>▪</w:t>
            </w:r>
            <w:r>
              <w:t xml:space="preserve"> </w:t>
            </w:r>
            <w:r w:rsidRPr="00A963E8">
              <w:t>Case-control study</w:t>
            </w:r>
          </w:p>
          <w:p w:rsidR="00B80E2D" w:rsidRPr="00A963E8" w:rsidRDefault="00B80E2D" w:rsidP="006F2EE4">
            <w:pPr>
              <w:pStyle w:val="TableText"/>
            </w:pPr>
            <w:r w:rsidRPr="00A963E8">
              <w:t>▪</w:t>
            </w:r>
            <w:r>
              <w:t xml:space="preserve"> </w:t>
            </w:r>
            <w:r w:rsidRPr="00A963E8">
              <w:t>Interrupted time series with a control group</w:t>
            </w:r>
          </w:p>
        </w:tc>
        <w:tc>
          <w:tcPr>
            <w:tcW w:w="3876"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963E8">
              <w:t>A comparison with reference standard that does not meet the criteria required for</w:t>
            </w:r>
          </w:p>
          <w:p w:rsidR="00B80E2D" w:rsidRPr="00A963E8" w:rsidRDefault="00B80E2D" w:rsidP="006F2EE4">
            <w:pPr>
              <w:pStyle w:val="TableText"/>
            </w:pPr>
            <w:r w:rsidRPr="00A963E8">
              <w:t>Level II and III-1 evidence</w:t>
            </w:r>
          </w:p>
        </w:tc>
      </w:tr>
      <w:tr w:rsidR="00B80E2D" w:rsidRPr="00925DCA" w:rsidTr="00923BFB">
        <w:tc>
          <w:tcPr>
            <w:tcW w:w="612" w:type="dxa"/>
            <w:tcBorders>
              <w:top w:val="single" w:sz="4" w:space="0" w:color="auto"/>
              <w:left w:val="single" w:sz="4" w:space="0" w:color="auto"/>
              <w:bottom w:val="single" w:sz="4" w:space="0" w:color="auto"/>
              <w:right w:val="single" w:sz="4" w:space="0" w:color="auto"/>
            </w:tcBorders>
          </w:tcPr>
          <w:p w:rsidR="00B80E2D" w:rsidRPr="000029F2" w:rsidRDefault="00B80E2D" w:rsidP="006F2EE4">
            <w:pPr>
              <w:pStyle w:val="TableHeading"/>
            </w:pPr>
            <w:r w:rsidRPr="000029F2">
              <w:t>III-3</w:t>
            </w:r>
          </w:p>
        </w:tc>
        <w:tc>
          <w:tcPr>
            <w:tcW w:w="3875"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963E8">
              <w:t>A comparative study without concurrent controls:</w:t>
            </w:r>
          </w:p>
          <w:p w:rsidR="00B80E2D" w:rsidRPr="00A963E8" w:rsidRDefault="00B80E2D" w:rsidP="006F2EE4">
            <w:pPr>
              <w:pStyle w:val="TableText"/>
            </w:pPr>
            <w:r w:rsidRPr="00A963E8">
              <w:t>▪ Historical control study</w:t>
            </w:r>
          </w:p>
          <w:p w:rsidR="00B80E2D" w:rsidRPr="00A963E8" w:rsidRDefault="00B80E2D" w:rsidP="006F2EE4">
            <w:pPr>
              <w:pStyle w:val="TableText"/>
            </w:pPr>
            <w:r w:rsidRPr="00A963E8">
              <w:t>▪ Two or more single arm study</w:t>
            </w:r>
            <w:r w:rsidRPr="00B01B95">
              <w:rPr>
                <w:vertAlign w:val="superscript"/>
              </w:rPr>
              <w:t>10</w:t>
            </w:r>
          </w:p>
          <w:p w:rsidR="00B80E2D" w:rsidRPr="00A963E8" w:rsidRDefault="00B80E2D" w:rsidP="006F2EE4">
            <w:pPr>
              <w:pStyle w:val="TableText"/>
            </w:pPr>
            <w:r w:rsidRPr="00A963E8">
              <w:t>▪ Interrupted time series without a parallel control group</w:t>
            </w:r>
          </w:p>
        </w:tc>
        <w:tc>
          <w:tcPr>
            <w:tcW w:w="3876"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963E8">
              <w:t>Diagnostic case-control study</w:t>
            </w:r>
            <w:r w:rsidRPr="00B01B95">
              <w:rPr>
                <w:vertAlign w:val="superscript"/>
              </w:rPr>
              <w:t>6</w:t>
            </w:r>
          </w:p>
        </w:tc>
      </w:tr>
      <w:tr w:rsidR="00B80E2D" w:rsidRPr="00925DCA" w:rsidTr="00923BFB">
        <w:tc>
          <w:tcPr>
            <w:tcW w:w="612" w:type="dxa"/>
            <w:tcBorders>
              <w:top w:val="single" w:sz="4" w:space="0" w:color="auto"/>
              <w:left w:val="single" w:sz="4" w:space="0" w:color="auto"/>
              <w:bottom w:val="single" w:sz="4" w:space="0" w:color="auto"/>
              <w:right w:val="single" w:sz="4" w:space="0" w:color="auto"/>
            </w:tcBorders>
          </w:tcPr>
          <w:p w:rsidR="00B80E2D" w:rsidRPr="000029F2" w:rsidRDefault="00B80E2D" w:rsidP="006F2EE4">
            <w:pPr>
              <w:pStyle w:val="TableHeading"/>
            </w:pPr>
            <w:r w:rsidRPr="000029F2">
              <w:t>IV</w:t>
            </w:r>
          </w:p>
        </w:tc>
        <w:tc>
          <w:tcPr>
            <w:tcW w:w="3875"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963E8">
              <w:t>Case series with either post-test or pre-test/post-test outcomes</w:t>
            </w:r>
          </w:p>
        </w:tc>
        <w:tc>
          <w:tcPr>
            <w:tcW w:w="3876" w:type="dxa"/>
            <w:tcBorders>
              <w:top w:val="single" w:sz="4" w:space="0" w:color="auto"/>
              <w:left w:val="single" w:sz="4" w:space="0" w:color="auto"/>
              <w:bottom w:val="single" w:sz="4" w:space="0" w:color="auto"/>
              <w:right w:val="single" w:sz="4" w:space="0" w:color="auto"/>
            </w:tcBorders>
          </w:tcPr>
          <w:p w:rsidR="00B80E2D" w:rsidRPr="00A963E8" w:rsidRDefault="00B80E2D" w:rsidP="006F2EE4">
            <w:pPr>
              <w:pStyle w:val="TableText"/>
            </w:pPr>
            <w:r w:rsidRPr="00A963E8">
              <w:t>Study of diagnostic yield (no reference standard)</w:t>
            </w:r>
            <w:r w:rsidRPr="00B01B95">
              <w:rPr>
                <w:vertAlign w:val="superscript"/>
              </w:rPr>
              <w:t>11</w:t>
            </w:r>
          </w:p>
        </w:tc>
      </w:tr>
    </w:tbl>
    <w:p w:rsidR="00923BFB" w:rsidRPr="00925DCA" w:rsidRDefault="00923BFB" w:rsidP="00923BFB">
      <w:pPr>
        <w:pStyle w:val="TableNotes"/>
      </w:pPr>
      <w:r>
        <w:t>Table notes</w:t>
      </w:r>
    </w:p>
    <w:p w:rsidR="00923BFB" w:rsidRPr="008069B7" w:rsidRDefault="00923BFB" w:rsidP="00923BFB">
      <w:pPr>
        <w:pStyle w:val="TableNotes"/>
      </w:pPr>
      <w:proofErr w:type="gramStart"/>
      <w:r w:rsidRPr="004534F3">
        <w:rPr>
          <w:szCs w:val="13"/>
          <w:vertAlign w:val="superscript"/>
        </w:rPr>
        <w:t>1</w:t>
      </w:r>
      <w:r w:rsidRPr="008069B7">
        <w:rPr>
          <w:szCs w:val="13"/>
        </w:rPr>
        <w:t xml:space="preserve">  </w:t>
      </w:r>
      <w:r w:rsidRPr="008069B7">
        <w:t>Definitions</w:t>
      </w:r>
      <w:proofErr w:type="gramEnd"/>
      <w:r w:rsidRPr="008069B7">
        <w:t xml:space="preserve"> of these study designs are provided on pages 7-8 How to use the evidence: assessment and application of scientific evidence (NHMRC 2000b).</w:t>
      </w:r>
    </w:p>
    <w:p w:rsidR="00923BFB" w:rsidRPr="00952C44" w:rsidRDefault="00923BFB" w:rsidP="00923BFB">
      <w:pPr>
        <w:pStyle w:val="TableNotes"/>
      </w:pPr>
      <w:proofErr w:type="gramStart"/>
      <w:r w:rsidRPr="004534F3">
        <w:rPr>
          <w:szCs w:val="13"/>
          <w:vertAlign w:val="superscript"/>
        </w:rPr>
        <w:t>2</w:t>
      </w:r>
      <w:r w:rsidRPr="00952C44">
        <w:t xml:space="preserve"> </w:t>
      </w:r>
      <w:r>
        <w:t xml:space="preserve"> </w:t>
      </w:r>
      <w:r w:rsidRPr="00952C44">
        <w:t>The</w:t>
      </w:r>
      <w:proofErr w:type="gramEnd"/>
      <w:r w:rsidRPr="00952C44">
        <w:t xml:space="preserve"> dimensions of evidence apply only to studies of diagnostic accuracy.  To assess the effectiveness of a diagnostic test there also needs to be a consideration of the impact of the test on patient management and health outcomes (Medical Services Advisory Committee 2005, </w:t>
      </w:r>
      <w:proofErr w:type="spellStart"/>
      <w:r w:rsidRPr="00952C44">
        <w:t>Sackett</w:t>
      </w:r>
      <w:proofErr w:type="spellEnd"/>
      <w:r w:rsidRPr="00952C44">
        <w:t xml:space="preserve"> and Haynes 2002).</w:t>
      </w:r>
    </w:p>
    <w:p w:rsidR="00923BFB" w:rsidRPr="008069B7" w:rsidRDefault="00923BFB" w:rsidP="00923BFB">
      <w:pPr>
        <w:pStyle w:val="TableNotes"/>
      </w:pPr>
      <w:proofErr w:type="gramStart"/>
      <w:r w:rsidRPr="004534F3">
        <w:rPr>
          <w:szCs w:val="13"/>
          <w:vertAlign w:val="superscript"/>
        </w:rPr>
        <w:t>3</w:t>
      </w:r>
      <w:r w:rsidRPr="008069B7">
        <w:rPr>
          <w:szCs w:val="13"/>
        </w:rPr>
        <w:t xml:space="preserve"> </w:t>
      </w:r>
      <w:r>
        <w:rPr>
          <w:szCs w:val="13"/>
        </w:rPr>
        <w:t xml:space="preserve"> </w:t>
      </w:r>
      <w:r w:rsidRPr="008069B7">
        <w:t>If</w:t>
      </w:r>
      <w:proofErr w:type="gramEnd"/>
      <w:r w:rsidRPr="008069B7">
        <w:t xml:space="preserve"> it is possible and/or ethical to determine a causal relationship using experimental evidence, then the ‘Intervention’ hierarchy of evidence should be utilised. If it is only possible and/or ethical to determine a causal relationship using observational evidence (</w:t>
      </w:r>
      <w:proofErr w:type="spellStart"/>
      <w:r w:rsidRPr="008069B7">
        <w:t>ie</w:t>
      </w:r>
      <w:proofErr w:type="spellEnd"/>
      <w:r w:rsidRPr="008069B7">
        <w:t>. cannot allocate groups to a potential harmful exposure, such as nuclear radiation), then the ‘Aetiology’ hierarchy of evidence should be utilised.</w:t>
      </w:r>
    </w:p>
    <w:p w:rsidR="00923BFB" w:rsidRPr="008069B7" w:rsidRDefault="00923BFB" w:rsidP="00923BFB">
      <w:pPr>
        <w:pStyle w:val="TableNotes"/>
      </w:pPr>
      <w:proofErr w:type="gramStart"/>
      <w:r w:rsidRPr="004534F3">
        <w:rPr>
          <w:szCs w:val="13"/>
          <w:vertAlign w:val="superscript"/>
        </w:rPr>
        <w:t>4</w:t>
      </w:r>
      <w:r w:rsidRPr="008069B7">
        <w:rPr>
          <w:szCs w:val="13"/>
        </w:rPr>
        <w:t xml:space="preserve"> </w:t>
      </w:r>
      <w:r>
        <w:rPr>
          <w:szCs w:val="13"/>
        </w:rPr>
        <w:t xml:space="preserve"> </w:t>
      </w:r>
      <w:r w:rsidRPr="008069B7">
        <w:t>A</w:t>
      </w:r>
      <w:proofErr w:type="gramEnd"/>
      <w:r w:rsidRPr="008069B7">
        <w:t xml:space="preserve"> systematic review will only be assigned a level of evidence as high as the studies it contains, excepting where those studies are of level II evidence. Systematic reviews of level II evidence provide more data than the individual studies and any meta-analyses will increase the precision of the overall results, reducing the likelihood that the results are affected by chance. Systematic reviews of lower level evidence present results of likely poor internal validity and thus are rated on the likelihood that the results have been affected by bias, rather than whether the systematic review itself is of good quality. Systematic review quality should be assessed separately. A systematic review should consist of at least two studies. In systematic reviews that include different study designs, the overall level of evidence should relate to each individual outcome/result, as different studies (and study designs) might contribute to each different outcome.</w:t>
      </w:r>
    </w:p>
    <w:p w:rsidR="00923BFB" w:rsidRPr="008069B7" w:rsidRDefault="00923BFB" w:rsidP="00923BFB">
      <w:pPr>
        <w:pStyle w:val="TableNotes"/>
      </w:pPr>
      <w:proofErr w:type="gramStart"/>
      <w:r w:rsidRPr="004534F3">
        <w:rPr>
          <w:szCs w:val="13"/>
          <w:vertAlign w:val="superscript"/>
        </w:rPr>
        <w:t>5</w:t>
      </w:r>
      <w:r w:rsidRPr="008069B7">
        <w:rPr>
          <w:szCs w:val="13"/>
        </w:rPr>
        <w:t xml:space="preserve"> </w:t>
      </w:r>
      <w:r>
        <w:rPr>
          <w:szCs w:val="13"/>
        </w:rPr>
        <w:t xml:space="preserve"> </w:t>
      </w:r>
      <w:r w:rsidRPr="008069B7">
        <w:t>The</w:t>
      </w:r>
      <w:proofErr w:type="gramEnd"/>
      <w:r w:rsidRPr="008069B7">
        <w:t xml:space="preserve"> validity of the reference standard should be determined in the context of the disease under review. Criteria for determining the validity of the reference standard should be pre-specified. This can include the choice of the reference standard(s) and its timing in relation to the index test. The validity of the reference standard can be determined through quality appraisal of the study (Whiting 2003).</w:t>
      </w:r>
    </w:p>
    <w:p w:rsidR="00923BFB" w:rsidRPr="008069B7" w:rsidRDefault="00923BFB" w:rsidP="00923BFB">
      <w:pPr>
        <w:pStyle w:val="TableNotes"/>
      </w:pPr>
      <w:proofErr w:type="gramStart"/>
      <w:r w:rsidRPr="004534F3">
        <w:rPr>
          <w:szCs w:val="13"/>
          <w:vertAlign w:val="superscript"/>
        </w:rPr>
        <w:t>6</w:t>
      </w:r>
      <w:r w:rsidRPr="008069B7">
        <w:rPr>
          <w:szCs w:val="13"/>
        </w:rPr>
        <w:t xml:space="preserve"> </w:t>
      </w:r>
      <w:r>
        <w:rPr>
          <w:szCs w:val="13"/>
        </w:rPr>
        <w:t xml:space="preserve"> </w:t>
      </w:r>
      <w:r w:rsidRPr="008069B7">
        <w:t>Well</w:t>
      </w:r>
      <w:proofErr w:type="gramEnd"/>
      <w:r w:rsidRPr="008069B7">
        <w:t>-designed population based case-control studies (</w:t>
      </w:r>
      <w:proofErr w:type="spellStart"/>
      <w:r w:rsidRPr="008069B7">
        <w:t>eg</w:t>
      </w:r>
      <w:proofErr w:type="spellEnd"/>
      <w:r w:rsidRPr="008069B7">
        <w:t>. population based screening studies where test accuracy is assessed on all cases, with a random sample of controls) do capture a population with a representative spectrum of disease and thus fulfil the requirements for a valid assembly of patients. However, in some cases the population assembled is not representative of the use of the test in practice. In diagnostic case-control studies a selected sample of patients already known to have the disease are compared with a separate group of normal/healthy people known to be free of the disease. In this situation patients with borderline or mild expressions of the disease, and conditions mimicking the disease are excluded, which can lead to exaggeration of both sensitivity and specificity. This is called spectrum bias or spectrum effect because the spectrum of study participants will not be representative of patients seen in practice (</w:t>
      </w:r>
      <w:proofErr w:type="spellStart"/>
      <w:r w:rsidRPr="008069B7">
        <w:t>Mulherin</w:t>
      </w:r>
      <w:proofErr w:type="spellEnd"/>
      <w:r w:rsidRPr="008069B7">
        <w:t xml:space="preserve"> and Miller 2002).</w:t>
      </w:r>
    </w:p>
    <w:p w:rsidR="00923BFB" w:rsidRPr="008069B7" w:rsidRDefault="00923BFB" w:rsidP="00923BFB">
      <w:pPr>
        <w:pStyle w:val="TableNotes"/>
      </w:pPr>
      <w:r w:rsidRPr="004534F3">
        <w:rPr>
          <w:szCs w:val="13"/>
          <w:vertAlign w:val="superscript"/>
        </w:rPr>
        <w:t>7</w:t>
      </w:r>
      <w:r>
        <w:rPr>
          <w:szCs w:val="13"/>
        </w:rPr>
        <w:t xml:space="preserve"> </w:t>
      </w:r>
      <w:r w:rsidRPr="008069B7">
        <w:t>At study inception the cohort is either non-diseased or all at the same stage of the disease. A randomised controlled trial with persons either non-diseased or at the same stage of the disease in both arms of the trial would also meet the criterion for this level of evidence.</w:t>
      </w:r>
    </w:p>
    <w:p w:rsidR="00923BFB" w:rsidRPr="008069B7" w:rsidRDefault="00923BFB" w:rsidP="00923BFB">
      <w:pPr>
        <w:pStyle w:val="TableNotes"/>
      </w:pPr>
      <w:r w:rsidRPr="004534F3">
        <w:rPr>
          <w:szCs w:val="13"/>
          <w:vertAlign w:val="superscript"/>
        </w:rPr>
        <w:t>8</w:t>
      </w:r>
      <w:r>
        <w:rPr>
          <w:szCs w:val="13"/>
        </w:rPr>
        <w:t xml:space="preserve"> </w:t>
      </w:r>
      <w:r w:rsidRPr="008069B7">
        <w:t>All or none of the people with the risk factor(s) experience the outcome; and the data arises from an unselected or representative case series which provides an unbiased representation of the prognostic effect. For example, no smallpox develops in the absence of the specific virus; and clear proof of the causal link has come from the disappearance of small pox after large-scale vaccination.</w:t>
      </w:r>
    </w:p>
    <w:p w:rsidR="00923BFB" w:rsidRPr="008069B7" w:rsidRDefault="00923BFB" w:rsidP="00923BFB">
      <w:pPr>
        <w:pStyle w:val="TableNotes"/>
      </w:pPr>
      <w:proofErr w:type="gramStart"/>
      <w:r w:rsidRPr="004534F3">
        <w:rPr>
          <w:szCs w:val="13"/>
          <w:vertAlign w:val="superscript"/>
        </w:rPr>
        <w:t>9</w:t>
      </w:r>
      <w:r w:rsidRPr="008069B7">
        <w:rPr>
          <w:szCs w:val="13"/>
        </w:rPr>
        <w:t xml:space="preserve"> </w:t>
      </w:r>
      <w:r>
        <w:rPr>
          <w:szCs w:val="13"/>
        </w:rPr>
        <w:t xml:space="preserve"> </w:t>
      </w:r>
      <w:r w:rsidRPr="008069B7">
        <w:t>This</w:t>
      </w:r>
      <w:proofErr w:type="gramEnd"/>
      <w:r w:rsidRPr="008069B7">
        <w:t xml:space="preserve"> also includes controlled before-and-after (pre-test/post-test) studies, as well as adjusted indirect comparisons (</w:t>
      </w:r>
      <w:proofErr w:type="spellStart"/>
      <w:r w:rsidRPr="008069B7">
        <w:t>ie</w:t>
      </w:r>
      <w:proofErr w:type="spellEnd"/>
      <w:r w:rsidRPr="008069B7">
        <w:t>. utilise A vs B and B vs C, to determine A vs C with statistical adjustment for B).</w:t>
      </w:r>
    </w:p>
    <w:p w:rsidR="00923BFB" w:rsidRPr="008069B7" w:rsidRDefault="00923BFB" w:rsidP="00923BFB">
      <w:pPr>
        <w:pStyle w:val="TableNotes"/>
      </w:pPr>
      <w:proofErr w:type="gramStart"/>
      <w:r w:rsidRPr="004534F3">
        <w:rPr>
          <w:szCs w:val="13"/>
          <w:vertAlign w:val="superscript"/>
        </w:rPr>
        <w:t>10</w:t>
      </w:r>
      <w:r>
        <w:rPr>
          <w:szCs w:val="13"/>
        </w:rPr>
        <w:t xml:space="preserve"> </w:t>
      </w:r>
      <w:r w:rsidRPr="008069B7">
        <w:t xml:space="preserve">Comparing single arm studies </w:t>
      </w:r>
      <w:proofErr w:type="spellStart"/>
      <w:r w:rsidRPr="008069B7">
        <w:t>ie</w:t>
      </w:r>
      <w:proofErr w:type="spellEnd"/>
      <w:r w:rsidRPr="008069B7">
        <w:t>.</w:t>
      </w:r>
      <w:proofErr w:type="gramEnd"/>
      <w:r w:rsidRPr="008069B7">
        <w:t xml:space="preserve"> </w:t>
      </w:r>
      <w:proofErr w:type="gramStart"/>
      <w:r w:rsidRPr="008069B7">
        <w:t>case</w:t>
      </w:r>
      <w:proofErr w:type="gramEnd"/>
      <w:r w:rsidRPr="008069B7">
        <w:t xml:space="preserve"> series from two studies. This would also include unadjusted indirect comparisons (</w:t>
      </w:r>
      <w:proofErr w:type="spellStart"/>
      <w:r w:rsidRPr="008069B7">
        <w:t>ie</w:t>
      </w:r>
      <w:proofErr w:type="spellEnd"/>
      <w:r w:rsidRPr="008069B7">
        <w:t xml:space="preserve">. utilise </w:t>
      </w:r>
      <w:proofErr w:type="gramStart"/>
      <w:r w:rsidRPr="008069B7">
        <w:t>A</w:t>
      </w:r>
      <w:proofErr w:type="gramEnd"/>
      <w:r w:rsidRPr="008069B7">
        <w:t xml:space="preserve"> vs B and B vs C, to determine A vs C but where there is no statistical adjustment for B).</w:t>
      </w:r>
    </w:p>
    <w:p w:rsidR="00923BFB" w:rsidRPr="00210C5E" w:rsidRDefault="00923BFB" w:rsidP="00923BFB">
      <w:pPr>
        <w:pStyle w:val="TableNotes"/>
      </w:pPr>
      <w:proofErr w:type="gramStart"/>
      <w:r w:rsidRPr="004534F3">
        <w:rPr>
          <w:szCs w:val="13"/>
          <w:vertAlign w:val="superscript"/>
        </w:rPr>
        <w:t>11</w:t>
      </w:r>
      <w:r>
        <w:rPr>
          <w:szCs w:val="13"/>
        </w:rPr>
        <w:t xml:space="preserve"> </w:t>
      </w:r>
      <w:r w:rsidRPr="008069B7">
        <w:rPr>
          <w:szCs w:val="13"/>
        </w:rPr>
        <w:t xml:space="preserve"> </w:t>
      </w:r>
      <w:r w:rsidRPr="008069B7">
        <w:t>Studies</w:t>
      </w:r>
      <w:proofErr w:type="gramEnd"/>
      <w:r w:rsidRPr="008069B7">
        <w:t xml:space="preserve"> of diagnostic yield provide the yield of diagnosed patients, as determined by an index test, without confirmation of the accuracy of this diagnosis by a reference standard. These may be the only alternative when there is no reliable reference standard.</w:t>
      </w:r>
    </w:p>
    <w:p w:rsidR="00923BFB" w:rsidRPr="00D67F1E" w:rsidRDefault="00923BFB" w:rsidP="00923BFB">
      <w:pPr>
        <w:pStyle w:val="TableNotes"/>
      </w:pPr>
      <w:r w:rsidRPr="00D67F1E">
        <w:t xml:space="preserve">Note A: Assessment of comparative harms/safety should occur according to the hierarchy presented for each of the research questions, with the proviso that this assessment occurs within the context of the topic being assessed. Some </w:t>
      </w:r>
      <w:proofErr w:type="gramStart"/>
      <w:r w:rsidRPr="00D67F1E">
        <w:t>harms</w:t>
      </w:r>
      <w:proofErr w:type="gramEnd"/>
      <w:r w:rsidRPr="00D67F1E">
        <w:t xml:space="preserve"> are rare and cannot feasibly be captured within randomised controlled trials; physical harms and psychological harms may need to be addressed by different study designs; harms from diagnostic testing include the likelihood of false positive and false negative results; harms from screening include the likelihood of false alarm and false reassurance results.</w:t>
      </w:r>
    </w:p>
    <w:p w:rsidR="00923BFB" w:rsidRDefault="00923BFB" w:rsidP="00923BFB">
      <w:pPr>
        <w:pStyle w:val="TableNotes"/>
      </w:pPr>
      <w:r w:rsidRPr="008069B7">
        <w:t xml:space="preserve">Note B: When a level of evidence is attributed in the text of a document, it should also be framed according to its corresponding research question </w:t>
      </w:r>
      <w:proofErr w:type="spellStart"/>
      <w:r w:rsidRPr="008069B7">
        <w:t>eg</w:t>
      </w:r>
      <w:proofErr w:type="spellEnd"/>
      <w:r w:rsidRPr="008069B7">
        <w:t xml:space="preserve">. </w:t>
      </w:r>
      <w:proofErr w:type="gramStart"/>
      <w:r w:rsidRPr="008069B7">
        <w:t>level</w:t>
      </w:r>
      <w:proofErr w:type="gramEnd"/>
      <w:r w:rsidRPr="008069B7">
        <w:t xml:space="preserve"> II intervention evidence; level IV diagnostic evidence; level III-2 prognostic evidence.</w:t>
      </w:r>
    </w:p>
    <w:p w:rsidR="00923BFB" w:rsidRDefault="00923BFB" w:rsidP="00923BFB">
      <w:pPr>
        <w:pStyle w:val="TableNotes"/>
      </w:pPr>
      <w:r w:rsidRPr="008069B7">
        <w:lastRenderedPageBreak/>
        <w:t xml:space="preserve">Source: Hierarchies adapted and modified from: NHMRC 1999; Bandolier 1999; </w:t>
      </w:r>
      <w:proofErr w:type="spellStart"/>
      <w:r w:rsidRPr="008069B7">
        <w:t>Lijmer</w:t>
      </w:r>
      <w:proofErr w:type="spellEnd"/>
      <w:r w:rsidRPr="008069B7">
        <w:t xml:space="preserve"> 1999; Phillips 2001.</w:t>
      </w:r>
    </w:p>
    <w:p w:rsidR="00D220F5" w:rsidRPr="00D220F5" w:rsidRDefault="00E4673B" w:rsidP="00D220F5">
      <w:r>
        <w:t>Individual studies assessing diagnostic e</w:t>
      </w:r>
      <w:r w:rsidR="00D220F5">
        <w:t>ffectiveness were graded according to pre-specified quality and applicability criteria (MSAC 2005)</w:t>
      </w:r>
      <w:r w:rsidR="00394D13">
        <w:t>,</w:t>
      </w:r>
      <w:r w:rsidR="00D220F5">
        <w:t xml:space="preserve"> as shown in </w:t>
      </w:r>
      <w:r w:rsidR="00923BFB">
        <w:t>Table 10</w:t>
      </w:r>
      <w:r w:rsidR="00D220F5">
        <w:t>.</w:t>
      </w:r>
    </w:p>
    <w:p w:rsidR="00A963E8" w:rsidRPr="00563502" w:rsidRDefault="00A963E8" w:rsidP="00923BFB">
      <w:pPr>
        <w:pStyle w:val="Caption"/>
      </w:pPr>
      <w:bookmarkStart w:id="88" w:name="_Ref206477516"/>
      <w:bookmarkStart w:id="89" w:name="_Toc415013752"/>
      <w:bookmarkStart w:id="90" w:name="_Toc415103514"/>
      <w:bookmarkStart w:id="91" w:name="_Toc418225003"/>
      <w:bookmarkStart w:id="92" w:name="_Toc418225649"/>
      <w:r w:rsidRPr="001800FD">
        <w:t xml:space="preserve">Table </w:t>
      </w:r>
      <w:bookmarkEnd w:id="88"/>
      <w:r w:rsidR="00923BFB" w:rsidRPr="001800FD">
        <w:t>10</w:t>
      </w:r>
      <w:r w:rsidRPr="001800FD">
        <w:tab/>
        <w:t>Grading</w:t>
      </w:r>
      <w:r w:rsidRPr="00563502">
        <w:t xml:space="preserve"> </w:t>
      </w:r>
      <w:proofErr w:type="gramStart"/>
      <w:r w:rsidRPr="00563502">
        <w:t>system</w:t>
      </w:r>
      <w:proofErr w:type="gramEnd"/>
      <w:r w:rsidRPr="00563502">
        <w:t xml:space="preserve"> used to rank included studies</w:t>
      </w:r>
      <w:bookmarkEnd w:id="89"/>
      <w:bookmarkEnd w:id="90"/>
      <w:bookmarkEnd w:id="91"/>
      <w:bookmarkEnd w:id="92"/>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Grading system used to rank included studies. The criteria includes how appropriate the comparison, how applicable the population and the overall quality of the study."/>
      </w:tblPr>
      <w:tblGrid>
        <w:gridCol w:w="1832"/>
        <w:gridCol w:w="3636"/>
        <w:gridCol w:w="2946"/>
      </w:tblGrid>
      <w:tr w:rsidR="00A94CD7" w:rsidRPr="002456BA" w:rsidTr="00D100DF">
        <w:trPr>
          <w:tblHeader/>
        </w:trPr>
        <w:tc>
          <w:tcPr>
            <w:tcW w:w="1832" w:type="dxa"/>
            <w:tcBorders>
              <w:top w:val="single" w:sz="4" w:space="0" w:color="auto"/>
              <w:left w:val="single" w:sz="4" w:space="0" w:color="auto"/>
              <w:bottom w:val="single" w:sz="4" w:space="0" w:color="auto"/>
              <w:right w:val="single" w:sz="4" w:space="0" w:color="auto"/>
            </w:tcBorders>
          </w:tcPr>
          <w:p w:rsidR="00A94CD7" w:rsidRPr="002456BA" w:rsidRDefault="00A94CD7" w:rsidP="00923BFB">
            <w:pPr>
              <w:pStyle w:val="TableHeading"/>
              <w:rPr>
                <w:lang w:val="en-US"/>
              </w:rPr>
            </w:pPr>
            <w:r w:rsidRPr="002456BA">
              <w:rPr>
                <w:lang w:val="en-US"/>
              </w:rPr>
              <w:t>Validity criteria</w:t>
            </w:r>
          </w:p>
        </w:tc>
        <w:tc>
          <w:tcPr>
            <w:tcW w:w="3636" w:type="dxa"/>
            <w:tcBorders>
              <w:top w:val="single" w:sz="4" w:space="0" w:color="auto"/>
              <w:left w:val="single" w:sz="4" w:space="0" w:color="auto"/>
              <w:bottom w:val="single" w:sz="4" w:space="0" w:color="auto"/>
              <w:right w:val="single" w:sz="4" w:space="0" w:color="auto"/>
            </w:tcBorders>
          </w:tcPr>
          <w:p w:rsidR="00A94CD7" w:rsidRPr="002456BA" w:rsidRDefault="00A94CD7" w:rsidP="00923BFB">
            <w:pPr>
              <w:pStyle w:val="TableHeading"/>
              <w:rPr>
                <w:lang w:val="en-US"/>
              </w:rPr>
            </w:pPr>
            <w:r w:rsidRPr="002456BA">
              <w:rPr>
                <w:lang w:val="en-US"/>
              </w:rPr>
              <w:t>Description</w:t>
            </w:r>
          </w:p>
        </w:tc>
        <w:tc>
          <w:tcPr>
            <w:tcW w:w="2946" w:type="dxa"/>
            <w:tcBorders>
              <w:top w:val="single" w:sz="4" w:space="0" w:color="auto"/>
              <w:left w:val="single" w:sz="4" w:space="0" w:color="auto"/>
              <w:bottom w:val="single" w:sz="4" w:space="0" w:color="auto"/>
              <w:right w:val="single" w:sz="4" w:space="0" w:color="auto"/>
            </w:tcBorders>
          </w:tcPr>
          <w:p w:rsidR="00A94CD7" w:rsidRPr="002456BA" w:rsidRDefault="00A94CD7" w:rsidP="00923BFB">
            <w:pPr>
              <w:pStyle w:val="TableHeading"/>
              <w:rPr>
                <w:lang w:val="en-US"/>
              </w:rPr>
            </w:pPr>
            <w:r w:rsidRPr="002456BA">
              <w:rPr>
                <w:lang w:val="en-US"/>
              </w:rPr>
              <w:t>Grading System</w:t>
            </w:r>
          </w:p>
        </w:tc>
      </w:tr>
      <w:tr w:rsidR="00A94CD7" w:rsidRPr="002456BA">
        <w:tc>
          <w:tcPr>
            <w:tcW w:w="1832" w:type="dxa"/>
            <w:tcBorders>
              <w:top w:val="single" w:sz="4" w:space="0" w:color="auto"/>
              <w:left w:val="single" w:sz="4" w:space="0" w:color="auto"/>
              <w:bottom w:val="single" w:sz="4" w:space="0" w:color="auto"/>
              <w:right w:val="single" w:sz="4" w:space="0" w:color="auto"/>
            </w:tcBorders>
          </w:tcPr>
          <w:p w:rsidR="00A94CD7" w:rsidRPr="00A963E8" w:rsidRDefault="00A94CD7" w:rsidP="00923BFB">
            <w:pPr>
              <w:pStyle w:val="TableHeading"/>
              <w:rPr>
                <w:lang w:val="en-US"/>
              </w:rPr>
            </w:pPr>
            <w:r w:rsidRPr="00A963E8">
              <w:rPr>
                <w:lang w:val="en-US"/>
              </w:rPr>
              <w:t>Appropriate comparison</w:t>
            </w:r>
          </w:p>
        </w:tc>
        <w:tc>
          <w:tcPr>
            <w:tcW w:w="3636" w:type="dxa"/>
            <w:tcBorders>
              <w:top w:val="single" w:sz="4" w:space="0" w:color="auto"/>
              <w:left w:val="single" w:sz="4" w:space="0" w:color="auto"/>
              <w:bottom w:val="single" w:sz="4" w:space="0" w:color="auto"/>
              <w:right w:val="single" w:sz="4" w:space="0" w:color="auto"/>
            </w:tcBorders>
          </w:tcPr>
          <w:p w:rsidR="00A94CD7" w:rsidRPr="00A963E8" w:rsidRDefault="00A94CD7" w:rsidP="00923BFB">
            <w:pPr>
              <w:pStyle w:val="TableText"/>
            </w:pPr>
            <w:r w:rsidRPr="00A963E8">
              <w:t>Did the study evaluate a direct comparison of the index test strategy versus the comparator test strategy?</w:t>
            </w:r>
          </w:p>
        </w:tc>
        <w:tc>
          <w:tcPr>
            <w:tcW w:w="2946" w:type="dxa"/>
            <w:tcBorders>
              <w:top w:val="single" w:sz="4" w:space="0" w:color="auto"/>
              <w:left w:val="single" w:sz="4" w:space="0" w:color="auto"/>
              <w:bottom w:val="single" w:sz="4" w:space="0" w:color="auto"/>
              <w:right w:val="single" w:sz="4" w:space="0" w:color="auto"/>
            </w:tcBorders>
          </w:tcPr>
          <w:p w:rsidR="00A94CD7" w:rsidRPr="00A963E8" w:rsidRDefault="00A94CD7" w:rsidP="00923BFB">
            <w:pPr>
              <w:pStyle w:val="TableText"/>
            </w:pPr>
            <w:r w:rsidRPr="00A963E8">
              <w:t xml:space="preserve">C1 direct comparison </w:t>
            </w:r>
          </w:p>
          <w:p w:rsidR="00A94CD7" w:rsidRPr="00A963E8" w:rsidRDefault="00A94CD7" w:rsidP="00923BFB">
            <w:pPr>
              <w:pStyle w:val="TableText"/>
            </w:pPr>
            <w:r w:rsidRPr="00A963E8">
              <w:t>CX other comparison</w:t>
            </w:r>
          </w:p>
        </w:tc>
      </w:tr>
      <w:tr w:rsidR="00A94CD7" w:rsidRPr="002456BA">
        <w:tc>
          <w:tcPr>
            <w:tcW w:w="1832" w:type="dxa"/>
            <w:tcBorders>
              <w:top w:val="single" w:sz="4" w:space="0" w:color="auto"/>
              <w:left w:val="single" w:sz="4" w:space="0" w:color="auto"/>
              <w:bottom w:val="single" w:sz="4" w:space="0" w:color="auto"/>
              <w:right w:val="single" w:sz="4" w:space="0" w:color="auto"/>
            </w:tcBorders>
          </w:tcPr>
          <w:p w:rsidR="00A94CD7" w:rsidRPr="00A963E8" w:rsidRDefault="00A94CD7" w:rsidP="00923BFB">
            <w:pPr>
              <w:pStyle w:val="TableHeading"/>
              <w:rPr>
                <w:lang w:val="en-US"/>
              </w:rPr>
            </w:pPr>
            <w:r w:rsidRPr="00A963E8">
              <w:rPr>
                <w:lang w:val="en-US"/>
              </w:rPr>
              <w:t>Applicable population</w:t>
            </w:r>
          </w:p>
        </w:tc>
        <w:tc>
          <w:tcPr>
            <w:tcW w:w="3636" w:type="dxa"/>
            <w:tcBorders>
              <w:top w:val="single" w:sz="4" w:space="0" w:color="auto"/>
              <w:left w:val="single" w:sz="4" w:space="0" w:color="auto"/>
              <w:bottom w:val="single" w:sz="4" w:space="0" w:color="auto"/>
              <w:right w:val="single" w:sz="4" w:space="0" w:color="auto"/>
            </w:tcBorders>
          </w:tcPr>
          <w:p w:rsidR="00A94CD7" w:rsidRPr="00A963E8" w:rsidRDefault="00A94CD7" w:rsidP="00923BFB">
            <w:pPr>
              <w:pStyle w:val="TableText"/>
            </w:pPr>
            <w:r w:rsidRPr="00A963E8">
              <w:t>Did the study evaluate the index test in a population that is representative of the subject characteristics (age and sex) and clinical setting (disease prevalence, disease severity, referral filter and sequence of tests) for the clinical indication of interest?</w:t>
            </w:r>
          </w:p>
        </w:tc>
        <w:tc>
          <w:tcPr>
            <w:tcW w:w="2946" w:type="dxa"/>
            <w:tcBorders>
              <w:top w:val="single" w:sz="4" w:space="0" w:color="auto"/>
              <w:left w:val="single" w:sz="4" w:space="0" w:color="auto"/>
              <w:bottom w:val="single" w:sz="4" w:space="0" w:color="auto"/>
              <w:right w:val="single" w:sz="4" w:space="0" w:color="auto"/>
            </w:tcBorders>
          </w:tcPr>
          <w:p w:rsidR="00A94CD7" w:rsidRPr="00A963E8" w:rsidRDefault="00A94CD7" w:rsidP="00923BFB">
            <w:pPr>
              <w:pStyle w:val="TableText"/>
            </w:pPr>
            <w:r w:rsidRPr="00A963E8">
              <w:t>P1 applicable</w:t>
            </w:r>
          </w:p>
          <w:p w:rsidR="00A94CD7" w:rsidRPr="00A963E8" w:rsidRDefault="00A94CD7" w:rsidP="00923BFB">
            <w:pPr>
              <w:pStyle w:val="TableText"/>
            </w:pPr>
            <w:r w:rsidRPr="00A963E8">
              <w:t xml:space="preserve">P2 limited </w:t>
            </w:r>
          </w:p>
          <w:p w:rsidR="00A94CD7" w:rsidRPr="00A963E8" w:rsidRDefault="00A94CD7" w:rsidP="00923BFB">
            <w:pPr>
              <w:pStyle w:val="TableText"/>
            </w:pPr>
            <w:r w:rsidRPr="00A963E8">
              <w:t>P3 different population</w:t>
            </w:r>
          </w:p>
        </w:tc>
      </w:tr>
      <w:tr w:rsidR="00A94CD7" w:rsidRPr="002456BA">
        <w:tc>
          <w:tcPr>
            <w:tcW w:w="1832" w:type="dxa"/>
            <w:tcBorders>
              <w:top w:val="single" w:sz="4" w:space="0" w:color="auto"/>
              <w:left w:val="single" w:sz="4" w:space="0" w:color="auto"/>
              <w:bottom w:val="single" w:sz="4" w:space="0" w:color="auto"/>
              <w:right w:val="single" w:sz="4" w:space="0" w:color="auto"/>
            </w:tcBorders>
          </w:tcPr>
          <w:p w:rsidR="00A94CD7" w:rsidRPr="00A963E8" w:rsidRDefault="00A94CD7" w:rsidP="00923BFB">
            <w:pPr>
              <w:pStyle w:val="TableHeading"/>
              <w:rPr>
                <w:lang w:val="en-US"/>
              </w:rPr>
            </w:pPr>
            <w:r w:rsidRPr="00A963E8">
              <w:rPr>
                <w:lang w:val="en-US"/>
              </w:rPr>
              <w:t>Quality of study</w:t>
            </w:r>
          </w:p>
        </w:tc>
        <w:tc>
          <w:tcPr>
            <w:tcW w:w="3636" w:type="dxa"/>
            <w:tcBorders>
              <w:top w:val="single" w:sz="4" w:space="0" w:color="auto"/>
              <w:left w:val="single" w:sz="4" w:space="0" w:color="auto"/>
              <w:bottom w:val="single" w:sz="4" w:space="0" w:color="auto"/>
              <w:right w:val="single" w:sz="4" w:space="0" w:color="auto"/>
            </w:tcBorders>
          </w:tcPr>
          <w:p w:rsidR="00A94CD7" w:rsidRPr="00A963E8" w:rsidRDefault="00A94CD7" w:rsidP="00923BFB">
            <w:pPr>
              <w:pStyle w:val="TableText"/>
            </w:pPr>
            <w:r w:rsidRPr="00A963E8">
              <w:t>Was the study designed and to avoid bias?</w:t>
            </w:r>
          </w:p>
          <w:p w:rsidR="00A94CD7" w:rsidRPr="00A963E8" w:rsidRDefault="00A94CD7" w:rsidP="00923BFB">
            <w:pPr>
              <w:pStyle w:val="TableText"/>
            </w:pPr>
            <w:r w:rsidRPr="00A963E8">
              <w:t xml:space="preserve">High quality = no potential for bias based on pre-defined key quality criteria </w:t>
            </w:r>
          </w:p>
          <w:p w:rsidR="00A94CD7" w:rsidRPr="00A963E8" w:rsidRDefault="00A94CD7" w:rsidP="00923BFB">
            <w:pPr>
              <w:pStyle w:val="TableText"/>
            </w:pPr>
            <w:r w:rsidRPr="00A963E8">
              <w:t>Medium quality = some potential for bias in areas other than those pre-specified as key criteria</w:t>
            </w:r>
          </w:p>
          <w:p w:rsidR="00A94CD7" w:rsidRPr="00A963E8" w:rsidRDefault="00A94CD7" w:rsidP="00923BFB">
            <w:pPr>
              <w:pStyle w:val="TableText"/>
            </w:pPr>
            <w:r w:rsidRPr="00A963E8">
              <w:t>Poor quality = poor reference standard and/or potential for bias based on key pre-specified criteria</w:t>
            </w:r>
          </w:p>
        </w:tc>
        <w:tc>
          <w:tcPr>
            <w:tcW w:w="2946" w:type="dxa"/>
            <w:tcBorders>
              <w:top w:val="single" w:sz="4" w:space="0" w:color="auto"/>
              <w:left w:val="single" w:sz="4" w:space="0" w:color="auto"/>
              <w:bottom w:val="single" w:sz="4" w:space="0" w:color="auto"/>
              <w:right w:val="single" w:sz="4" w:space="0" w:color="auto"/>
            </w:tcBorders>
          </w:tcPr>
          <w:p w:rsidR="00A94CD7" w:rsidRPr="00A963E8" w:rsidRDefault="00A94CD7" w:rsidP="00923BFB">
            <w:pPr>
              <w:pStyle w:val="TableText"/>
            </w:pPr>
            <w:r w:rsidRPr="00A963E8">
              <w:t xml:space="preserve">Q1 high quality </w:t>
            </w:r>
          </w:p>
          <w:p w:rsidR="00A94CD7" w:rsidRPr="00A963E8" w:rsidRDefault="00A94CD7" w:rsidP="00923BFB">
            <w:pPr>
              <w:pStyle w:val="TableText"/>
            </w:pPr>
            <w:r w:rsidRPr="00A963E8">
              <w:t xml:space="preserve">Q2 medium </w:t>
            </w:r>
          </w:p>
          <w:p w:rsidR="00CC192C" w:rsidRDefault="00A94CD7" w:rsidP="00CC192C">
            <w:pPr>
              <w:pStyle w:val="TableText"/>
            </w:pPr>
            <w:r w:rsidRPr="00A963E8">
              <w:t>Q3 poor reference standard</w:t>
            </w:r>
          </w:p>
          <w:p w:rsidR="00CC192C" w:rsidRDefault="00A94CD7" w:rsidP="00923BFB">
            <w:pPr>
              <w:pStyle w:val="TableText"/>
            </w:pPr>
            <w:r w:rsidRPr="00A963E8">
              <w:t xml:space="preserve">poor quality </w:t>
            </w:r>
          </w:p>
          <w:p w:rsidR="00A94CD7" w:rsidRPr="00A963E8" w:rsidRDefault="00D100DF" w:rsidP="00923BFB">
            <w:pPr>
              <w:pStyle w:val="TableText"/>
            </w:pPr>
            <w:r>
              <w:t xml:space="preserve"> </w:t>
            </w:r>
            <w:r w:rsidR="00A94CD7" w:rsidRPr="00A963E8">
              <w:t>or insufficient information</w:t>
            </w:r>
          </w:p>
        </w:tc>
      </w:tr>
    </w:tbl>
    <w:p w:rsidR="002003A2" w:rsidRPr="00C472D2" w:rsidRDefault="002003A2" w:rsidP="00563502">
      <w:pPr>
        <w:rPr>
          <w:sz w:val="18"/>
          <w:szCs w:val="18"/>
        </w:rPr>
      </w:pPr>
    </w:p>
    <w:p w:rsidR="00E56B21" w:rsidRPr="004C6B15" w:rsidRDefault="00E56B21" w:rsidP="00026CEB">
      <w:pPr>
        <w:pStyle w:val="Heading5"/>
      </w:pPr>
      <w:r w:rsidRPr="004C6B15">
        <w:t>Quality</w:t>
      </w:r>
    </w:p>
    <w:p w:rsidR="00DE1243" w:rsidRPr="004C6B15" w:rsidRDefault="00E56B21" w:rsidP="00E56B21">
      <w:r w:rsidRPr="004C6B15">
        <w:t xml:space="preserve">The appraisal of intervention studies pertaining to treatment safety and effectiveness was undertaken using a checklist developed by the NHMRC </w:t>
      </w:r>
      <w:r w:rsidRPr="004C6B15">
        <w:fldChar w:fldCharType="begin"/>
      </w:r>
      <w:r w:rsidRPr="004C6B15">
        <w:instrText xml:space="preserve"> ADDIN EN.CITE &lt;EndNote&gt;&lt;Cite&gt;&lt;Author&gt;NHMRC&lt;/Author&gt;&lt;Year&gt;2000&lt;/Year&gt;&lt;RecNum&gt;26&lt;/RecNum&gt;&lt;record&gt;&lt;rec-number&gt;26&lt;/rec-number&gt;&lt;ref-type name="Report"&gt;27&lt;/ref-type&gt;&lt;contributors&gt;&lt;authors&gt;&lt;author&gt;NHMRC&lt;/author&gt;&lt;/authors&gt;&lt;/contributors&gt;&lt;titles&gt;&lt;title&gt;How to review the evidence: systematic identification and review of the scientific literature&lt;/title&gt;&lt;/titles&gt;&lt;pages&gt;112&lt;/pages&gt;&lt;dates&gt;&lt;year&gt;2000&lt;/year&gt;&lt;pub-dates&gt;&lt;date&gt;Endorsed November 1999&lt;/date&gt;&lt;/pub-dates&gt;&lt;/dates&gt;&lt;pub-location&gt;Canberra&lt;/pub-location&gt;&lt;publisher&gt;National Health and Medical Research Council&lt;/publisher&gt;&lt;isbn&gt;ISBN 1864960329&lt;/isbn&gt;&lt;call-num&gt;SHELF 7&lt;/call-num&gt;&lt;label&gt;guidelines ; clinical decisions ; LR ; evidence ; consumers ; economics&lt;/label&gt;&lt;work-type&gt;Handbook series on preparing clinical practice guidlines&lt;/work-type&gt;&lt;urls&gt;&lt;/urls&gt;&lt;/record&gt;&lt;/Cite&gt;&lt;/EndNote&gt;</w:instrText>
      </w:r>
      <w:r w:rsidRPr="004C6B15">
        <w:fldChar w:fldCharType="separate"/>
      </w:r>
      <w:r w:rsidRPr="004C6B15">
        <w:t>(NHMRC 2000a)</w:t>
      </w:r>
      <w:r w:rsidRPr="004C6B15">
        <w:fldChar w:fldCharType="end"/>
      </w:r>
      <w:r w:rsidRPr="004C6B15">
        <w:t xml:space="preserve">. </w:t>
      </w:r>
      <w:r w:rsidR="00923BFB">
        <w:t xml:space="preserve"> </w:t>
      </w:r>
      <w:r w:rsidRPr="004C6B15">
        <w:t xml:space="preserve">This checklist was used for trials and cohort studies. </w:t>
      </w:r>
      <w:r w:rsidR="00923BFB">
        <w:t xml:space="preserve"> </w:t>
      </w:r>
      <w:r w:rsidRPr="004C6B15">
        <w:t xml:space="preserve">Uncontrolled before-and-after case series are a poorer level of evidence with which to assess effectiveness. </w:t>
      </w:r>
      <w:r w:rsidR="00923BFB">
        <w:t xml:space="preserve"> </w:t>
      </w:r>
      <w:r w:rsidRPr="004C6B15">
        <w:t xml:space="preserve">The quality of this type of study design was assessed according to a checklist developed by the UK National Health Service (NHS) Centre for Reviews and Dissemination </w:t>
      </w:r>
      <w:r w:rsidR="00923BFB">
        <w:t>(Khan 2001)</w:t>
      </w:r>
      <w:r w:rsidRPr="004C6B15">
        <w:t>.</w:t>
      </w:r>
      <w:r w:rsidR="00E049A1">
        <w:t xml:space="preserve"> </w:t>
      </w:r>
      <w:r w:rsidR="00923BFB">
        <w:t xml:space="preserve"> </w:t>
      </w:r>
      <w:r w:rsidR="00DE1243">
        <w:t>Studies of diagnostic accuracy were assessed using the QUADAS qual</w:t>
      </w:r>
      <w:r w:rsidR="00923BFB">
        <w:t>ity assessment tool (Whiting 2011</w:t>
      </w:r>
      <w:r w:rsidR="00DE1243">
        <w:t>).</w:t>
      </w:r>
    </w:p>
    <w:p w:rsidR="00E56B21" w:rsidRPr="004C6B15" w:rsidRDefault="00E56B21" w:rsidP="00026CEB">
      <w:pPr>
        <w:pStyle w:val="Heading5"/>
      </w:pPr>
      <w:r w:rsidRPr="004C6B15">
        <w:t>Statistical precision</w:t>
      </w:r>
    </w:p>
    <w:p w:rsidR="002003A2" w:rsidRPr="00C472D2" w:rsidRDefault="00E56B21" w:rsidP="00E56B21">
      <w:r w:rsidRPr="004C6B15">
        <w:t>Statistical precision was determined using statistical principles.</w:t>
      </w:r>
      <w:r w:rsidR="00372104">
        <w:t xml:space="preserve"> </w:t>
      </w:r>
      <w:r w:rsidRPr="004C6B15">
        <w:t xml:space="preserve"> Small confidence intervals and p-values give an indication as to the probability that the reported effect is real and not attributable to chance </w:t>
      </w:r>
      <w:r w:rsidRPr="004C6B15">
        <w:fldChar w:fldCharType="begin"/>
      </w:r>
      <w:r w:rsidRPr="004C6B15">
        <w:instrText xml:space="preserve"> ADDIN EN.CITE &lt;EndNote&gt;&lt;Cite&gt;&lt;Author&gt;NHMRC&lt;/Author&gt;&lt;Year&gt;2000&lt;/Year&gt;&lt;RecNum&gt;25&lt;/RecNum&gt;&lt;record&gt;&lt;rec-number&gt;25&lt;/rec-number&gt;&lt;ref-type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Pr="004C6B15">
        <w:fldChar w:fldCharType="separate"/>
      </w:r>
      <w:r w:rsidRPr="004C6B15">
        <w:t>(NHMRC 2000b)</w:t>
      </w:r>
      <w:r w:rsidRPr="004C6B15">
        <w:fldChar w:fldCharType="end"/>
      </w:r>
      <w:r w:rsidRPr="004C6B15">
        <w:t xml:space="preserve">. </w:t>
      </w:r>
      <w:r w:rsidR="00372104">
        <w:t xml:space="preserve"> </w:t>
      </w:r>
      <w:r w:rsidRPr="004C6B15">
        <w:t>Studies need to be appropriately to ensure that a real difference between groups will be detected in the statistical analysis.</w:t>
      </w:r>
    </w:p>
    <w:p w:rsidR="008E22DE" w:rsidRPr="001550E8" w:rsidRDefault="008E22DE" w:rsidP="008275E9">
      <w:pPr>
        <w:pStyle w:val="Heading3"/>
      </w:pPr>
      <w:bookmarkStart w:id="93" w:name="_Toc124833665"/>
      <w:bookmarkStart w:id="94" w:name="_Toc134415510"/>
      <w:r w:rsidRPr="001550E8">
        <w:t>Size of effect</w:t>
      </w:r>
      <w:bookmarkEnd w:id="93"/>
      <w:bookmarkEnd w:id="94"/>
    </w:p>
    <w:p w:rsidR="0025516F" w:rsidRDefault="0025516F" w:rsidP="00776092">
      <w:r w:rsidRPr="00F51269">
        <w:t xml:space="preserve">To assess the diagnostic accuracy of </w:t>
      </w:r>
      <w:r>
        <w:t>the rapid point-of-care Antigen/Antibody</w:t>
      </w:r>
      <w:r w:rsidRPr="00F51269">
        <w:t xml:space="preserve"> </w:t>
      </w:r>
      <w:r>
        <w:t>test in t</w:t>
      </w:r>
      <w:r w:rsidRPr="00F51269">
        <w:t>he included studies, data were extracted</w:t>
      </w:r>
      <w:r>
        <w:t xml:space="preserve">, </w:t>
      </w:r>
      <w:r w:rsidRPr="00F51269">
        <w:t>where possible</w:t>
      </w:r>
      <w:r>
        <w:t>,</w:t>
      </w:r>
      <w:r w:rsidRPr="00F51269">
        <w:t xml:space="preserve"> into a classic 2x2 table in which the results of the index diagnostic test were cross-classified against the res</w:t>
      </w:r>
      <w:r>
        <w:t>ults of the reference standard</w:t>
      </w:r>
      <w:r w:rsidRPr="00F51269">
        <w:t>, and Bayes’ Theorem was applied: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An overarching describing for this table has been provided before and after this table."/>
      </w:tblPr>
      <w:tblGrid>
        <w:gridCol w:w="2083"/>
        <w:gridCol w:w="2099"/>
        <w:gridCol w:w="2099"/>
        <w:gridCol w:w="2084"/>
      </w:tblGrid>
      <w:tr w:rsidR="00812161" w:rsidRPr="00812161" w:rsidTr="00812161">
        <w:tc>
          <w:tcPr>
            <w:tcW w:w="2083" w:type="dxa"/>
            <w:tcBorders>
              <w:top w:val="nil"/>
              <w:left w:val="nil"/>
              <w:bottom w:val="nil"/>
              <w:right w:val="nil"/>
            </w:tcBorders>
            <w:shd w:val="clear" w:color="auto" w:fill="auto"/>
            <w:vAlign w:val="center"/>
          </w:tcPr>
          <w:p w:rsidR="0025516F" w:rsidRPr="0025516F" w:rsidRDefault="0025516F" w:rsidP="00812161">
            <w:pPr>
              <w:pStyle w:val="TableText0"/>
              <w:jc w:val="right"/>
            </w:pPr>
          </w:p>
        </w:tc>
        <w:tc>
          <w:tcPr>
            <w:tcW w:w="2099" w:type="dxa"/>
            <w:tcBorders>
              <w:top w:val="nil"/>
              <w:left w:val="nil"/>
              <w:right w:val="nil"/>
            </w:tcBorders>
            <w:shd w:val="clear" w:color="auto" w:fill="auto"/>
            <w:vAlign w:val="center"/>
          </w:tcPr>
          <w:p w:rsidR="0025516F" w:rsidRPr="0025516F" w:rsidRDefault="0025516F" w:rsidP="00812161">
            <w:pPr>
              <w:pStyle w:val="TableText0"/>
              <w:jc w:val="center"/>
            </w:pPr>
            <w:r>
              <w:t>Reference test positive</w:t>
            </w:r>
          </w:p>
        </w:tc>
        <w:tc>
          <w:tcPr>
            <w:tcW w:w="2099" w:type="dxa"/>
            <w:tcBorders>
              <w:top w:val="nil"/>
              <w:left w:val="nil"/>
              <w:right w:val="nil"/>
            </w:tcBorders>
            <w:shd w:val="clear" w:color="auto" w:fill="auto"/>
            <w:vAlign w:val="center"/>
          </w:tcPr>
          <w:p w:rsidR="0025516F" w:rsidRPr="0025516F" w:rsidRDefault="0025516F" w:rsidP="00812161">
            <w:pPr>
              <w:pStyle w:val="TableText0"/>
              <w:jc w:val="center"/>
            </w:pPr>
            <w:r>
              <w:t>Reference test negative</w:t>
            </w:r>
          </w:p>
        </w:tc>
        <w:tc>
          <w:tcPr>
            <w:tcW w:w="2084" w:type="dxa"/>
            <w:tcBorders>
              <w:top w:val="nil"/>
              <w:left w:val="nil"/>
              <w:bottom w:val="nil"/>
              <w:right w:val="nil"/>
            </w:tcBorders>
            <w:shd w:val="clear" w:color="auto" w:fill="auto"/>
          </w:tcPr>
          <w:p w:rsidR="0025516F" w:rsidRPr="0025516F" w:rsidRDefault="0025516F" w:rsidP="00812161">
            <w:pPr>
              <w:pStyle w:val="TableText0"/>
            </w:pPr>
          </w:p>
        </w:tc>
      </w:tr>
      <w:tr w:rsidR="00812161" w:rsidRPr="00812161" w:rsidTr="00812161">
        <w:tc>
          <w:tcPr>
            <w:tcW w:w="2083" w:type="dxa"/>
            <w:tcBorders>
              <w:top w:val="nil"/>
              <w:left w:val="nil"/>
              <w:bottom w:val="nil"/>
            </w:tcBorders>
            <w:shd w:val="clear" w:color="auto" w:fill="auto"/>
            <w:vAlign w:val="center"/>
          </w:tcPr>
          <w:p w:rsidR="0025516F" w:rsidRPr="0025516F" w:rsidRDefault="0025516F" w:rsidP="00812161">
            <w:pPr>
              <w:pStyle w:val="TableText0"/>
              <w:jc w:val="right"/>
            </w:pPr>
            <w:r>
              <w:t>Index test positive</w:t>
            </w:r>
          </w:p>
        </w:tc>
        <w:tc>
          <w:tcPr>
            <w:tcW w:w="2099" w:type="dxa"/>
            <w:shd w:val="clear" w:color="auto" w:fill="auto"/>
            <w:vAlign w:val="center"/>
          </w:tcPr>
          <w:p w:rsidR="0025516F" w:rsidRPr="0025516F" w:rsidRDefault="0025516F" w:rsidP="00812161">
            <w:pPr>
              <w:pStyle w:val="TableText0"/>
              <w:jc w:val="center"/>
            </w:pPr>
            <w:r>
              <w:t>True positive</w:t>
            </w:r>
          </w:p>
        </w:tc>
        <w:tc>
          <w:tcPr>
            <w:tcW w:w="2099" w:type="dxa"/>
            <w:shd w:val="clear" w:color="auto" w:fill="auto"/>
            <w:vAlign w:val="center"/>
          </w:tcPr>
          <w:p w:rsidR="0025516F" w:rsidRPr="0025516F" w:rsidRDefault="0025516F" w:rsidP="00812161">
            <w:pPr>
              <w:pStyle w:val="TableText0"/>
              <w:jc w:val="center"/>
            </w:pPr>
            <w:r>
              <w:t>False positive</w:t>
            </w:r>
          </w:p>
        </w:tc>
        <w:tc>
          <w:tcPr>
            <w:tcW w:w="2084" w:type="dxa"/>
            <w:tcBorders>
              <w:top w:val="nil"/>
              <w:bottom w:val="nil"/>
              <w:right w:val="nil"/>
            </w:tcBorders>
            <w:shd w:val="clear" w:color="auto" w:fill="auto"/>
          </w:tcPr>
          <w:p w:rsidR="0025516F" w:rsidRPr="0025516F" w:rsidRDefault="0025516F" w:rsidP="00812161">
            <w:pPr>
              <w:pStyle w:val="TableText0"/>
            </w:pPr>
            <w:r>
              <w:t>Total test positive</w:t>
            </w:r>
          </w:p>
        </w:tc>
      </w:tr>
      <w:tr w:rsidR="00812161" w:rsidRPr="00812161" w:rsidTr="00812161">
        <w:tc>
          <w:tcPr>
            <w:tcW w:w="2083" w:type="dxa"/>
            <w:tcBorders>
              <w:top w:val="nil"/>
              <w:left w:val="nil"/>
              <w:bottom w:val="nil"/>
            </w:tcBorders>
            <w:shd w:val="clear" w:color="auto" w:fill="auto"/>
            <w:vAlign w:val="center"/>
          </w:tcPr>
          <w:p w:rsidR="0025516F" w:rsidRPr="0025516F" w:rsidRDefault="0025516F" w:rsidP="00812161">
            <w:pPr>
              <w:pStyle w:val="TableText0"/>
              <w:jc w:val="right"/>
            </w:pPr>
            <w:r>
              <w:t>Index test negative</w:t>
            </w:r>
          </w:p>
        </w:tc>
        <w:tc>
          <w:tcPr>
            <w:tcW w:w="2099" w:type="dxa"/>
            <w:shd w:val="clear" w:color="auto" w:fill="auto"/>
            <w:vAlign w:val="center"/>
          </w:tcPr>
          <w:p w:rsidR="0025516F" w:rsidRPr="0025516F" w:rsidRDefault="0025516F" w:rsidP="00812161">
            <w:pPr>
              <w:pStyle w:val="TableText0"/>
              <w:jc w:val="center"/>
            </w:pPr>
            <w:r>
              <w:t>False negative</w:t>
            </w:r>
          </w:p>
        </w:tc>
        <w:tc>
          <w:tcPr>
            <w:tcW w:w="2099" w:type="dxa"/>
            <w:shd w:val="clear" w:color="auto" w:fill="auto"/>
            <w:vAlign w:val="center"/>
          </w:tcPr>
          <w:p w:rsidR="0025516F" w:rsidRPr="0025516F" w:rsidRDefault="0025516F" w:rsidP="00812161">
            <w:pPr>
              <w:pStyle w:val="TableText0"/>
              <w:jc w:val="center"/>
            </w:pPr>
            <w:r>
              <w:t>True negative</w:t>
            </w:r>
          </w:p>
        </w:tc>
        <w:tc>
          <w:tcPr>
            <w:tcW w:w="2084" w:type="dxa"/>
            <w:tcBorders>
              <w:top w:val="nil"/>
              <w:bottom w:val="nil"/>
              <w:right w:val="nil"/>
            </w:tcBorders>
            <w:shd w:val="clear" w:color="auto" w:fill="auto"/>
          </w:tcPr>
          <w:p w:rsidR="0025516F" w:rsidRPr="0025516F" w:rsidRDefault="0025516F" w:rsidP="00812161">
            <w:pPr>
              <w:pStyle w:val="TableText0"/>
            </w:pPr>
            <w:r>
              <w:t>Total test negative</w:t>
            </w:r>
          </w:p>
        </w:tc>
      </w:tr>
      <w:tr w:rsidR="00812161" w:rsidRPr="00812161" w:rsidTr="00812161">
        <w:tc>
          <w:tcPr>
            <w:tcW w:w="2083" w:type="dxa"/>
            <w:tcBorders>
              <w:top w:val="nil"/>
              <w:left w:val="nil"/>
              <w:bottom w:val="nil"/>
              <w:right w:val="nil"/>
            </w:tcBorders>
            <w:shd w:val="clear" w:color="auto" w:fill="auto"/>
            <w:vAlign w:val="center"/>
          </w:tcPr>
          <w:p w:rsidR="0025516F" w:rsidRPr="0025516F" w:rsidRDefault="0025516F" w:rsidP="00812161">
            <w:pPr>
              <w:pStyle w:val="TableText0"/>
              <w:jc w:val="right"/>
            </w:pPr>
          </w:p>
        </w:tc>
        <w:tc>
          <w:tcPr>
            <w:tcW w:w="2099" w:type="dxa"/>
            <w:tcBorders>
              <w:left w:val="nil"/>
              <w:bottom w:val="nil"/>
              <w:right w:val="nil"/>
            </w:tcBorders>
            <w:shd w:val="clear" w:color="auto" w:fill="auto"/>
            <w:vAlign w:val="center"/>
          </w:tcPr>
          <w:p w:rsidR="0025516F" w:rsidRPr="0025516F" w:rsidRDefault="0025516F" w:rsidP="00812161">
            <w:pPr>
              <w:pStyle w:val="TableText0"/>
              <w:jc w:val="center"/>
            </w:pPr>
            <w:r>
              <w:t>Total with HIV</w:t>
            </w:r>
          </w:p>
        </w:tc>
        <w:tc>
          <w:tcPr>
            <w:tcW w:w="2099" w:type="dxa"/>
            <w:tcBorders>
              <w:left w:val="nil"/>
              <w:bottom w:val="nil"/>
              <w:right w:val="nil"/>
            </w:tcBorders>
            <w:shd w:val="clear" w:color="auto" w:fill="auto"/>
            <w:vAlign w:val="center"/>
          </w:tcPr>
          <w:p w:rsidR="0025516F" w:rsidRPr="0025516F" w:rsidRDefault="0025516F" w:rsidP="00812161">
            <w:pPr>
              <w:pStyle w:val="TableText0"/>
              <w:jc w:val="center"/>
            </w:pPr>
            <w:r>
              <w:t>Total without HIV</w:t>
            </w:r>
          </w:p>
        </w:tc>
        <w:tc>
          <w:tcPr>
            <w:tcW w:w="2084" w:type="dxa"/>
            <w:tcBorders>
              <w:top w:val="nil"/>
              <w:left w:val="nil"/>
              <w:bottom w:val="nil"/>
              <w:right w:val="nil"/>
            </w:tcBorders>
            <w:shd w:val="clear" w:color="auto" w:fill="auto"/>
          </w:tcPr>
          <w:p w:rsidR="0025516F" w:rsidRPr="0025516F" w:rsidRDefault="0025516F" w:rsidP="00812161">
            <w:pPr>
              <w:pStyle w:val="TableText0"/>
            </w:pPr>
          </w:p>
        </w:tc>
      </w:tr>
    </w:tbl>
    <w:p w:rsidR="0025516F" w:rsidRPr="00F51269" w:rsidRDefault="0025516F" w:rsidP="0025516F">
      <w:pPr>
        <w:spacing w:before="240"/>
      </w:pPr>
      <w:r w:rsidRPr="00F51269">
        <w:t>The sensitivity, specificity, negative and positive predictive values (NPV, PPV) and likelihood ratios (LR) of the tests (as defined below) were calculated with corresponding 95% confidence intervals (</w:t>
      </w:r>
      <w:r>
        <w:t>95%</w:t>
      </w:r>
      <w:r w:rsidRPr="00F51269">
        <w:t xml:space="preserve">CIs). </w:t>
      </w:r>
      <w:r>
        <w:t xml:space="preserve"> </w:t>
      </w:r>
      <w:r w:rsidRPr="00F51269">
        <w:t xml:space="preserve">Small confidence intervals give an indication as to the probability that the reported effect is real </w:t>
      </w:r>
      <w:r>
        <w:t xml:space="preserve">and not attributable to chance </w:t>
      </w:r>
      <w:r>
        <w:fldChar w:fldCharType="begin"/>
      </w:r>
      <w:r>
        <w:instrText xml:space="preserve"> ADDIN EN.CITE &lt;EndNote&gt;&lt;Cite&gt;&lt;Author&gt;NHMRC&lt;/Author&gt;&lt;Year&gt;2000&lt;/Year&gt;&lt;RecNum&gt;137&lt;/RecNum&gt;&lt;DisplayText&gt;(NHMRC 2000)&lt;/DisplayText&gt;&lt;record&gt;&lt;rec-number&gt;137&lt;/rec-number&gt;&lt;foreign-keys&gt;&lt;key app="EN" db-id="epzw2t9sn2tr2iesdtoptax9pfwrfswfsdze"&gt;137&lt;/key&gt;&lt;/foreign-keys&gt;&lt;ref-type name="Report"&gt;27&lt;/ref-type&gt;&lt;contributors&gt;&lt;authors&gt;&lt;author&gt;NHMRC&lt;/author&gt;&lt;/authors&gt;&lt;/contributors&gt;&lt;titles&gt;&lt;title&gt;How to use the evidence: assessment and application of scientific evidence&lt;/title&gt;&lt;/titles&gt;&lt;pages&gt;84&lt;/pages&gt;&lt;dates&gt;&lt;year&gt;2000&lt;/year&gt;&lt;pub-dates&gt;&lt;date&gt;February 2000&lt;/date&gt;&lt;/pub-dates&gt;&lt;/dates&gt;&lt;pub-location&gt;Canberra&lt;/pub-location&gt;&lt;publisher&gt;National Health and Medical Research Council&lt;/publisher&gt;&lt;call-num&gt;shelf above Tracy&amp;apos;s desk&lt;/call-num&gt;&lt;label&gt;evidence ; treatment path ; clinical decisions ; guidelines&lt;/label&gt;&lt;work-type&gt;Handbook series on preparing clinical practice guidelines&lt;/work-type&gt;&lt;urls&gt;&lt;/urls&gt;&lt;/record&gt;&lt;/Cite&gt;&lt;/EndNote&gt;</w:instrText>
      </w:r>
      <w:r>
        <w:fldChar w:fldCharType="separate"/>
      </w:r>
      <w:r>
        <w:rPr>
          <w:noProof/>
        </w:rPr>
        <w:t>(</w:t>
      </w:r>
      <w:hyperlink w:anchor="_ENREF_116" w:tooltip="NHMRC, 2000 #137" w:history="1">
        <w:r>
          <w:rPr>
            <w:noProof/>
          </w:rPr>
          <w:t>NHMRC 2000</w:t>
        </w:r>
      </w:hyperlink>
      <w:r>
        <w:rPr>
          <w:noProof/>
        </w:rPr>
        <w:t>)</w:t>
      </w:r>
      <w:r>
        <w:fldChar w:fldCharType="end"/>
      </w:r>
      <w:r w:rsidRPr="00F51269">
        <w:t xml:space="preserve">. </w:t>
      </w:r>
      <w:r>
        <w:t xml:space="preserve"> </w:t>
      </w:r>
    </w:p>
    <w:p w:rsidR="0025516F" w:rsidRPr="00F51269" w:rsidRDefault="0025516F" w:rsidP="0025516F">
      <w:r w:rsidRPr="00F51269">
        <w:t xml:space="preserve">Sensitivity (true positive rate) = true positives / total with </w:t>
      </w:r>
      <w:r>
        <w:t>HIV</w:t>
      </w:r>
    </w:p>
    <w:p w:rsidR="0025516F" w:rsidRPr="00F51269" w:rsidRDefault="0025516F" w:rsidP="0025516F">
      <w:r w:rsidRPr="00F51269">
        <w:t xml:space="preserve">Specificity (true negative rate) = true negatives / total without </w:t>
      </w:r>
      <w:r>
        <w:t>HIV</w:t>
      </w:r>
    </w:p>
    <w:p w:rsidR="0025516F" w:rsidRPr="00F51269" w:rsidRDefault="0025516F" w:rsidP="0025516F">
      <w:r w:rsidRPr="00F51269">
        <w:t>PPV (proportion of positive results that are true positives) = true positives / true + false positives</w:t>
      </w:r>
    </w:p>
    <w:p w:rsidR="0025516F" w:rsidRPr="00F51269" w:rsidRDefault="0025516F" w:rsidP="0025516F">
      <w:r w:rsidRPr="00F51269">
        <w:t>NPV (proportion of negative</w:t>
      </w:r>
      <w:r>
        <w:t xml:space="preserve"> results</w:t>
      </w:r>
      <w:r w:rsidRPr="00F51269">
        <w:t xml:space="preserve"> that are true negatives) = true negatives / true + false negatives</w:t>
      </w:r>
    </w:p>
    <w:p w:rsidR="0025516F" w:rsidRPr="0066489E" w:rsidRDefault="0025516F" w:rsidP="0025516F">
      <w:r w:rsidRPr="0066489E">
        <w:t>Positive LR (LR+) = sensitivity/1–specificity</w:t>
      </w:r>
    </w:p>
    <w:p w:rsidR="0025516F" w:rsidRPr="00F51269" w:rsidRDefault="0025516F" w:rsidP="0025516F">
      <w:r w:rsidRPr="0066489E">
        <w:t>Negative LR (LR–) = 1–sensitivity/specificity</w:t>
      </w:r>
    </w:p>
    <w:p w:rsidR="008E22DE" w:rsidRPr="001550E8" w:rsidRDefault="008E22DE" w:rsidP="008275E9">
      <w:pPr>
        <w:pStyle w:val="Heading3"/>
      </w:pPr>
      <w:bookmarkStart w:id="95" w:name="_Toc124833666"/>
      <w:bookmarkStart w:id="96" w:name="_Toc134415511"/>
      <w:r w:rsidRPr="001550E8">
        <w:t>Relevance of evidence</w:t>
      </w:r>
      <w:bookmarkEnd w:id="95"/>
      <w:bookmarkEnd w:id="96"/>
    </w:p>
    <w:p w:rsidR="008E22DE" w:rsidRPr="00776092" w:rsidRDefault="00FB531B" w:rsidP="00776092">
      <w:r w:rsidRPr="00A636FA">
        <w:t>T</w:t>
      </w:r>
      <w:r w:rsidR="008E22DE" w:rsidRPr="00A636FA">
        <w:t>he outcome</w:t>
      </w:r>
      <w:r w:rsidRPr="00A636FA">
        <w:t>s</w:t>
      </w:r>
      <w:r w:rsidR="008E22DE" w:rsidRPr="00A636FA">
        <w:t xml:space="preserve"> being measured</w:t>
      </w:r>
      <w:r w:rsidRPr="00A636FA">
        <w:t xml:space="preserve"> in this report</w:t>
      </w:r>
      <w:r w:rsidR="008E22DE" w:rsidRPr="00A636FA">
        <w:t xml:space="preserve"> should be appropriate and clinically relevant. </w:t>
      </w:r>
      <w:r w:rsidR="0025516F" w:rsidRPr="00A636FA">
        <w:t xml:space="preserve"> </w:t>
      </w:r>
      <w:r w:rsidR="008E22DE" w:rsidRPr="00A636FA">
        <w:t>Inadequately validated (predictive) surrogate measures of a clinically relevant outcome should be avoided</w:t>
      </w:r>
      <w:r w:rsidR="007A1C6E" w:rsidRPr="00A636FA">
        <w:t xml:space="preserve"> </w:t>
      </w:r>
      <w:r w:rsidR="00484F13" w:rsidRPr="00A636FA">
        <w:fldChar w:fldCharType="begin"/>
      </w:r>
      <w:r w:rsidR="00484F13" w:rsidRPr="00A636FA">
        <w:instrText xml:space="preserve"> ADDIN EN.CITE &lt;EndNote&gt;&lt;Cite&gt;&lt;Author&gt;NHMRC&lt;/Author&gt;&lt;Year&gt;2000&lt;/Year&gt;&lt;RecNum&gt;25&lt;/RecNum&gt;&lt;record&gt;&lt;rec-number&gt;25&lt;/rec-number&gt;&lt;ref-type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00484F13" w:rsidRPr="00A636FA">
        <w:fldChar w:fldCharType="separate"/>
      </w:r>
      <w:r w:rsidR="00484F13" w:rsidRPr="00A636FA">
        <w:t>(NHMRC 2000b)</w:t>
      </w:r>
      <w:r w:rsidR="00484F13" w:rsidRPr="00A636FA">
        <w:fldChar w:fldCharType="end"/>
      </w:r>
      <w:r w:rsidR="008E22DE" w:rsidRPr="00A636FA">
        <w:t>.</w:t>
      </w:r>
      <w:r w:rsidR="008E22DE" w:rsidRPr="00776092">
        <w:t xml:space="preserve"> </w:t>
      </w:r>
    </w:p>
    <w:p w:rsidR="008E22DE" w:rsidRPr="004C6B15" w:rsidRDefault="008E22DE" w:rsidP="00F519A7">
      <w:pPr>
        <w:pStyle w:val="Heading2"/>
        <w:rPr>
          <w:lang w:val="en-US"/>
        </w:rPr>
      </w:pPr>
      <w:bookmarkStart w:id="97" w:name="_Toc122538326"/>
      <w:bookmarkStart w:id="98" w:name="_Toc143663862"/>
      <w:bookmarkStart w:id="99" w:name="_Ref144697268"/>
      <w:bookmarkStart w:id="100" w:name="_Ref144697275"/>
      <w:bookmarkStart w:id="101" w:name="_Toc418224869"/>
      <w:r w:rsidRPr="004C6B15">
        <w:rPr>
          <w:lang w:val="en-US"/>
        </w:rPr>
        <w:t>Assessment of the body of evidence</w:t>
      </w:r>
      <w:bookmarkEnd w:id="97"/>
      <w:bookmarkEnd w:id="98"/>
      <w:bookmarkEnd w:id="99"/>
      <w:bookmarkEnd w:id="100"/>
      <w:bookmarkEnd w:id="101"/>
    </w:p>
    <w:p w:rsidR="008E22DE" w:rsidRPr="004C6B15" w:rsidRDefault="008E22DE" w:rsidP="002A75E0">
      <w:pPr>
        <w:spacing w:after="120"/>
      </w:pPr>
      <w:r w:rsidRPr="004C6B15">
        <w:t xml:space="preserve">Appraisal of the body of evidence was conducted along the lines suggested by the NHMRC in their guidance on clinical practice guideline </w:t>
      </w:r>
      <w:r w:rsidR="007A1C6E" w:rsidRPr="004C6B15">
        <w:t>development</w:t>
      </w:r>
      <w:r w:rsidR="00996503" w:rsidRPr="004C6B15">
        <w:t xml:space="preserve"> </w:t>
      </w:r>
      <w:r w:rsidR="00BA0A30" w:rsidRPr="004C6B15">
        <w:fldChar w:fldCharType="begin"/>
      </w:r>
      <w:r w:rsidR="00BA0A30" w:rsidRPr="004C6B15">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BA0A30" w:rsidRPr="004C6B15">
        <w:fldChar w:fldCharType="separate"/>
      </w:r>
      <w:r w:rsidR="00BA0A30" w:rsidRPr="004C6B15">
        <w:t>(NHMRC 2008)</w:t>
      </w:r>
      <w:r w:rsidR="00BA0A30" w:rsidRPr="004C6B15">
        <w:fldChar w:fldCharType="end"/>
      </w:r>
      <w:r w:rsidRPr="004C6B15">
        <w:t xml:space="preserve">. Five components are considered essential by the NHMRC when judging the body of evidence: </w:t>
      </w:r>
    </w:p>
    <w:p w:rsidR="008E22DE" w:rsidRPr="004C6B15" w:rsidRDefault="008E22DE" w:rsidP="002A75E0">
      <w:pPr>
        <w:pStyle w:val="Bullet"/>
        <w:tabs>
          <w:tab w:val="clear" w:pos="1440"/>
          <w:tab w:val="num" w:pos="1134"/>
        </w:tabs>
        <w:spacing w:after="120"/>
        <w:ind w:left="1134" w:hanging="414"/>
      </w:pPr>
      <w:r w:rsidRPr="004C6B15">
        <w:t>The evidence</w:t>
      </w:r>
      <w:r w:rsidR="00932174" w:rsidRPr="004C6B15">
        <w:t xml:space="preserve"> base</w:t>
      </w:r>
      <w:r w:rsidRPr="004C6B15">
        <w:t xml:space="preserve"> – which includes the number of studies sorted by their methodological quality and relevance to patients</w:t>
      </w:r>
      <w:r w:rsidR="007D0235" w:rsidRPr="004C6B15">
        <w:t>;</w:t>
      </w:r>
    </w:p>
    <w:p w:rsidR="008E22DE" w:rsidRPr="004C6B15" w:rsidRDefault="008E22DE" w:rsidP="002A75E0">
      <w:pPr>
        <w:pStyle w:val="Bullet"/>
        <w:tabs>
          <w:tab w:val="clear" w:pos="1440"/>
          <w:tab w:val="num" w:pos="1134"/>
        </w:tabs>
        <w:spacing w:after="120"/>
        <w:ind w:left="1134" w:hanging="414"/>
      </w:pPr>
      <w:r w:rsidRPr="004C6B15">
        <w:t xml:space="preserve">The consistency of the study results – whether the better quality studies had results of a similar magnitude and in the same direction </w:t>
      </w:r>
      <w:proofErr w:type="spellStart"/>
      <w:r w:rsidRPr="004C6B15">
        <w:t>ie</w:t>
      </w:r>
      <w:proofErr w:type="spellEnd"/>
      <w:r w:rsidRPr="004C6B15">
        <w:t xml:space="preserve"> homogenous or </w:t>
      </w:r>
      <w:r w:rsidR="00312E72" w:rsidRPr="004C6B15">
        <w:t>heterogeneous</w:t>
      </w:r>
      <w:r w:rsidRPr="004C6B15">
        <w:t xml:space="preserve"> findings</w:t>
      </w:r>
      <w:r w:rsidR="007D0235" w:rsidRPr="004C6B15">
        <w:t>;</w:t>
      </w:r>
    </w:p>
    <w:p w:rsidR="008E22DE" w:rsidRPr="004C6B15" w:rsidRDefault="008E22DE" w:rsidP="002A75E0">
      <w:pPr>
        <w:pStyle w:val="Bullet"/>
        <w:tabs>
          <w:tab w:val="clear" w:pos="1440"/>
          <w:tab w:val="num" w:pos="1134"/>
        </w:tabs>
        <w:spacing w:after="120"/>
        <w:ind w:left="1134" w:hanging="414"/>
      </w:pPr>
      <w:r w:rsidRPr="004C6B15">
        <w:t xml:space="preserve">The potential clinical impact - </w:t>
      </w:r>
      <w:r w:rsidRPr="00F519A7">
        <w:t>appraisal of the precision, size and clinical importance or relevance of the primary outcomes used to determine the safety and effectiveness of the test</w:t>
      </w:r>
      <w:r w:rsidR="007D0235" w:rsidRPr="00F519A7">
        <w:t>;</w:t>
      </w:r>
    </w:p>
    <w:p w:rsidR="008E22DE" w:rsidRPr="004C6B15" w:rsidRDefault="008E22DE" w:rsidP="002A75E0">
      <w:pPr>
        <w:pStyle w:val="Bullet"/>
        <w:tabs>
          <w:tab w:val="clear" w:pos="1440"/>
          <w:tab w:val="num" w:pos="1134"/>
        </w:tabs>
        <w:spacing w:after="120"/>
        <w:ind w:left="1134" w:hanging="414"/>
      </w:pPr>
      <w:r w:rsidRPr="004C6B15">
        <w:t xml:space="preserve">The </w:t>
      </w:r>
      <w:proofErr w:type="spellStart"/>
      <w:r w:rsidRPr="004C6B15">
        <w:t>generalisability</w:t>
      </w:r>
      <w:proofErr w:type="spellEnd"/>
      <w:r w:rsidRPr="004C6B15">
        <w:t xml:space="preserve"> of the evidence to the target population; and</w:t>
      </w:r>
    </w:p>
    <w:p w:rsidR="008E22DE" w:rsidRPr="004C6B15" w:rsidRDefault="008E22DE" w:rsidP="008D5DB5">
      <w:pPr>
        <w:pStyle w:val="Bullet"/>
        <w:tabs>
          <w:tab w:val="clear" w:pos="1440"/>
          <w:tab w:val="num" w:pos="1134"/>
        </w:tabs>
        <w:ind w:left="1134" w:hanging="414"/>
      </w:pPr>
      <w:r w:rsidRPr="004C6B15">
        <w:t>The applicability of the evidence - integration of this evidence for conclusions about the net clinical benefit of the intervention in the context of Australian clinical practice.</w:t>
      </w:r>
    </w:p>
    <w:p w:rsidR="002C04E2" w:rsidRPr="004C6B15" w:rsidRDefault="008E22DE" w:rsidP="00776092">
      <w:r w:rsidRPr="004C6B15">
        <w:lastRenderedPageBreak/>
        <w:t xml:space="preserve">A matrix for assessing the body of evidence for each research question, according to the components above, was used for this assessment (see </w:t>
      </w:r>
      <w:r w:rsidR="0025516F">
        <w:t>Table 11</w:t>
      </w:r>
      <w:r w:rsidRPr="004C6B15">
        <w:t>)</w:t>
      </w:r>
      <w:r w:rsidR="00996503" w:rsidRPr="004C6B15">
        <w:t xml:space="preserve"> </w:t>
      </w:r>
      <w:r w:rsidR="00BA0A30" w:rsidRPr="004C6B15">
        <w:fldChar w:fldCharType="begin"/>
      </w:r>
      <w:r w:rsidR="00BA0A30" w:rsidRPr="004C6B15">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BA0A30" w:rsidRPr="004C6B15">
        <w:fldChar w:fldCharType="separate"/>
      </w:r>
      <w:r w:rsidR="00BA0A30" w:rsidRPr="004C6B15">
        <w:t>(NHMRC 2008)</w:t>
      </w:r>
      <w:r w:rsidR="00BA0A30" w:rsidRPr="004C6B15">
        <w:fldChar w:fldCharType="end"/>
      </w:r>
      <w:r w:rsidRPr="004C6B15">
        <w:t>.</w:t>
      </w:r>
    </w:p>
    <w:p w:rsidR="008E22DE" w:rsidRPr="00AF068B" w:rsidRDefault="008E22DE" w:rsidP="00D100DF">
      <w:pPr>
        <w:pStyle w:val="Caption"/>
        <w:ind w:hanging="11"/>
      </w:pPr>
      <w:bookmarkStart w:id="102" w:name="_Ref141600866"/>
      <w:bookmarkStart w:id="103" w:name="_Toc122538733"/>
      <w:bookmarkStart w:id="104" w:name="_Toc415013753"/>
      <w:bookmarkStart w:id="105" w:name="_Toc415103515"/>
      <w:bookmarkStart w:id="106" w:name="_Toc418225004"/>
      <w:bookmarkStart w:id="107" w:name="_Toc418225650"/>
      <w:r w:rsidRPr="00AF068B">
        <w:t xml:space="preserve">Table </w:t>
      </w:r>
      <w:bookmarkEnd w:id="102"/>
      <w:r w:rsidR="0025516F">
        <w:t>11</w:t>
      </w:r>
      <w:r w:rsidRPr="00AF068B">
        <w:tab/>
        <w:t xml:space="preserve">Body of </w:t>
      </w:r>
      <w:r w:rsidRPr="0025516F">
        <w:t>evidence</w:t>
      </w:r>
      <w:r w:rsidRPr="00AF068B">
        <w:t xml:space="preserve"> assessment matrix</w:t>
      </w:r>
      <w:bookmarkEnd w:id="103"/>
      <w:bookmarkEnd w:id="104"/>
      <w:bookmarkEnd w:id="105"/>
      <w:bookmarkEnd w:id="106"/>
      <w:bookmarkEnd w:id="107"/>
    </w:p>
    <w:p w:rsidR="00C9014F" w:rsidRPr="004C6B15" w:rsidRDefault="00A510D1" w:rsidP="00A510D1">
      <w:pPr>
        <w:spacing w:after="0"/>
        <w:ind w:left="0"/>
        <w:sectPr w:rsidR="00C9014F" w:rsidRPr="004C6B15" w:rsidSect="00330EB8">
          <w:footerReference w:type="default" r:id="rId25"/>
          <w:pgSz w:w="11909" w:h="16834" w:code="9"/>
          <w:pgMar w:top="1440" w:right="1440" w:bottom="1440" w:left="1440" w:header="709" w:footer="709" w:gutter="0"/>
          <w:cols w:space="720"/>
        </w:sectPr>
      </w:pPr>
      <w:bookmarkStart w:id="108" w:name="_Ref124760357"/>
      <w:r>
        <w:rPr>
          <w:noProof/>
        </w:rPr>
        <w:drawing>
          <wp:inline distT="0" distB="0" distL="0" distR="0" wp14:anchorId="0792CCCD" wp14:editId="25C78B06">
            <wp:extent cx="5553075" cy="4457700"/>
            <wp:effectExtent l="0" t="0" r="9525" b="0"/>
            <wp:docPr id="3" name="Picture 3" descr="Table 11 Body of evidence assessment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3075" cy="4457700"/>
                    </a:xfrm>
                    <a:prstGeom prst="rect">
                      <a:avLst/>
                    </a:prstGeom>
                    <a:noFill/>
                    <a:ln>
                      <a:noFill/>
                    </a:ln>
                  </pic:spPr>
                </pic:pic>
              </a:graphicData>
            </a:graphic>
          </wp:inline>
        </w:drawing>
      </w:r>
    </w:p>
    <w:p w:rsidR="008F59A8" w:rsidRPr="00776777" w:rsidRDefault="008F59A8" w:rsidP="00776777">
      <w:pPr>
        <w:pStyle w:val="Heading1"/>
      </w:pPr>
      <w:bookmarkStart w:id="109" w:name="_Toc418224870"/>
      <w:bookmarkEnd w:id="108"/>
      <w:r w:rsidRPr="00776777">
        <w:lastRenderedPageBreak/>
        <w:t>Results of assessment</w:t>
      </w:r>
      <w:bookmarkEnd w:id="109"/>
      <w:r w:rsidRPr="00776777">
        <w:t xml:space="preserve"> </w:t>
      </w:r>
    </w:p>
    <w:p w:rsidR="008F59A8" w:rsidRPr="004C6B15" w:rsidRDefault="008F59A8" w:rsidP="007118C1">
      <w:pPr>
        <w:pStyle w:val="Heading2"/>
        <w:rPr>
          <w:bCs/>
        </w:rPr>
      </w:pPr>
      <w:bookmarkStart w:id="110" w:name="_Toc418224871"/>
      <w:r w:rsidRPr="004C6B15">
        <w:rPr>
          <w:bCs/>
        </w:rPr>
        <w:t>Is it safe?</w:t>
      </w:r>
      <w:bookmarkEnd w:id="110"/>
      <w:r w:rsidRPr="004C6B15">
        <w:rPr>
          <w:bCs/>
        </w:rPr>
        <w:t xml:space="preserve"> </w:t>
      </w:r>
    </w:p>
    <w:tbl>
      <w:tblPr>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Caption w:val="Summary of safety"/>
        <w:tblDescription w:val="Summary of safety of the DHC test compared with serology testing"/>
      </w:tblPr>
      <w:tblGrid>
        <w:gridCol w:w="8522"/>
      </w:tblGrid>
      <w:tr w:rsidR="00786B89" w:rsidRPr="00A807C3" w:rsidTr="00A807C3">
        <w:trPr>
          <w:trHeight w:val="1825"/>
        </w:trPr>
        <w:tc>
          <w:tcPr>
            <w:tcW w:w="8522" w:type="dxa"/>
            <w:shd w:val="clear" w:color="auto" w:fill="auto"/>
          </w:tcPr>
          <w:p w:rsidR="007C5F86" w:rsidRPr="00A807C3" w:rsidRDefault="00786B89" w:rsidP="00A807C3">
            <w:pPr>
              <w:pStyle w:val="Summaryboxheading"/>
              <w:keepNext/>
              <w:rPr>
                <w:b w:val="0"/>
                <w:szCs w:val="24"/>
              </w:rPr>
            </w:pPr>
            <w:r w:rsidRPr="00A807C3">
              <w:rPr>
                <w:b w:val="0"/>
                <w:szCs w:val="24"/>
              </w:rPr>
              <w:t>Summary</w:t>
            </w:r>
            <w:r w:rsidR="00FB5809" w:rsidRPr="00A807C3">
              <w:rPr>
                <w:b w:val="0"/>
                <w:szCs w:val="24"/>
              </w:rPr>
              <w:t xml:space="preserve"> of Safety</w:t>
            </w:r>
            <w:r w:rsidRPr="00A807C3">
              <w:rPr>
                <w:b w:val="0"/>
                <w:szCs w:val="24"/>
              </w:rPr>
              <w:t xml:space="preserve"> – </w:t>
            </w:r>
          </w:p>
          <w:p w:rsidR="00272F36" w:rsidRDefault="00272F36" w:rsidP="00272F36">
            <w:pPr>
              <w:pStyle w:val="Summaryboxtext"/>
            </w:pPr>
            <w:r>
              <w:t>No studies assessing the comparative safety of rapid point-of-care testing and serology testing for HIV were identified.</w:t>
            </w:r>
          </w:p>
          <w:p w:rsidR="00272F36" w:rsidRDefault="00272F36" w:rsidP="00272F36">
            <w:pPr>
              <w:pStyle w:val="Summaryboxtext"/>
            </w:pPr>
            <w:r>
              <w:t>With respect to the procedures undertaken to collect specimens for testing, a finger-prick o</w:t>
            </w:r>
            <w:r w:rsidR="00E971C3">
              <w:t>r</w:t>
            </w:r>
            <w:r>
              <w:t xml:space="preserve"> venepuncture for rapid point-of-care and serology, respectively, no real safety issues are associated with either</w:t>
            </w:r>
            <w:r w:rsidR="003F5E96">
              <w:t>,</w:t>
            </w:r>
            <w:r w:rsidR="00E971C3">
              <w:t xml:space="preserve"> provided the person drawing the samples is trained and sterile equipment is used</w:t>
            </w:r>
            <w:r>
              <w:t>.  In addition, as the DHC test requires the same or fewer blood withdrawals than the comparators, it is reasonable to conclude that the test is safe.</w:t>
            </w:r>
          </w:p>
          <w:p w:rsidR="00272F36" w:rsidRDefault="00272F36" w:rsidP="00E44BD6">
            <w:pPr>
              <w:pStyle w:val="Summaryboxtext"/>
              <w:keepNext/>
              <w:spacing w:before="40" w:after="40" w:afterAutospacing="0"/>
            </w:pPr>
            <w:r>
              <w:t>The impact of false positive or false negative results from the rapid point-of-care test however, should be considered.  Where false positive results occur from the DHC test, this is likely to be associated with concern and anxiety until such time that the individual’s true HIV status is conveyed</w:t>
            </w:r>
            <w:r w:rsidRPr="00E44BD6">
              <w:t>.  With respect to false negative results, there is potential for those individuals to have worse health outcomes in the longer term due to having an undiagnosed HIV infection.  There is also the potential for these individuals to unknowingly transmit HIV to other individuals until such time they undergo further testing and are diagnosed.</w:t>
            </w:r>
            <w:r w:rsidR="00E44BD6" w:rsidRPr="00E44BD6">
              <w:t xml:space="preserve">  As</w:t>
            </w:r>
            <w:r w:rsidR="00E44BD6">
              <w:t xml:space="preserve"> </w:t>
            </w:r>
            <w:r w:rsidR="00441F0F">
              <w:t>discussed above</w:t>
            </w:r>
            <w:r w:rsidR="00E44BD6">
              <w:t xml:space="preserve">, the current practice in at least one Melbourne clinic is to collect a venous sample on the same day as rapid testing for serology testing for HIV.  If this applies nationally, the risk of false negative results should be no greater than is currently the case.  </w:t>
            </w:r>
            <w:r w:rsidR="00E44BD6" w:rsidRPr="00E44BD6">
              <w:t xml:space="preserve">The risk of false-negative results in practice may </w:t>
            </w:r>
            <w:r w:rsidR="00E44BD6">
              <w:t xml:space="preserve">additionally </w:t>
            </w:r>
            <w:r w:rsidR="00E44BD6" w:rsidRPr="00E44BD6">
              <w:t xml:space="preserve">be mitigated through information provided in the product’s instructions for use and through training of health professionals performing the test.  The product’s instructions for use detail the limitations of the test, including the limitation of the test at early stages of infection.  These limitations are explained to health professionals performing the test when they are trained in the use of the product.  </w:t>
            </w:r>
          </w:p>
          <w:p w:rsidR="00E44BD6" w:rsidRPr="00A807C3" w:rsidRDefault="00E44BD6" w:rsidP="00E44BD6">
            <w:pPr>
              <w:pStyle w:val="Summaryboxtext"/>
              <w:keepNext/>
              <w:spacing w:before="40" w:after="0" w:afterAutospacing="0"/>
              <w:rPr>
                <w:b/>
                <w:sz w:val="18"/>
              </w:rPr>
            </w:pPr>
          </w:p>
        </w:tc>
      </w:tr>
    </w:tbl>
    <w:p w:rsidR="00D311A0" w:rsidRDefault="00D311A0" w:rsidP="00563502"/>
    <w:p w:rsidR="001D235D" w:rsidRDefault="008225E4" w:rsidP="00563502">
      <w:r>
        <w:t>No studies assessing the comparative safety of rapid point-of-care testing and serology testing for HIV were identified.</w:t>
      </w:r>
    </w:p>
    <w:p w:rsidR="008225E4" w:rsidRDefault="008225E4" w:rsidP="00563502">
      <w:r>
        <w:t>With respect to the procedures undertaken to collect specimens for testing, a finger-prick of venepuncture for rapid point-of-care and serology, respectively, no real safety issues are associated with either</w:t>
      </w:r>
      <w:r w:rsidR="003F5E96">
        <w:t>,</w:t>
      </w:r>
      <w:r w:rsidR="004A00AA" w:rsidRPr="004A00AA">
        <w:t xml:space="preserve"> </w:t>
      </w:r>
      <w:r w:rsidR="004A00AA" w:rsidRPr="00DC4B53">
        <w:t>provided the person drawing the samples is trained and sterile equipment is used</w:t>
      </w:r>
      <w:r>
        <w:t>.</w:t>
      </w:r>
      <w:r w:rsidR="00230F1B">
        <w:t xml:space="preserve">  In addition, as the DHC test requires the same or fewer blood withdrawals than the comparators, it is reasonable to conclude that the test is safe</w:t>
      </w:r>
      <w:r w:rsidR="00DC4B53" w:rsidRPr="00DC4B53">
        <w:t>.</w:t>
      </w:r>
    </w:p>
    <w:p w:rsidR="008225E4" w:rsidRDefault="008225E4" w:rsidP="00563502">
      <w:r>
        <w:t>The impact of false positive or false negative results fr</w:t>
      </w:r>
      <w:r w:rsidR="006F2EE4">
        <w:t>om the rapid point-of-care test however, should be considered.</w:t>
      </w:r>
    </w:p>
    <w:p w:rsidR="006F2EE4" w:rsidRDefault="006F2EE4" w:rsidP="00563502">
      <w:r>
        <w:t xml:space="preserve">With respect to false positive results, where the rapid point-of-care test indicates the presence of HIV infection, but confirmatory serology testing does not; it would be </w:t>
      </w:r>
      <w:r>
        <w:lastRenderedPageBreak/>
        <w:t>anticipated that the anxiety felt over the week prior to delivery of the serology</w:t>
      </w:r>
      <w:r w:rsidR="007B6BBD">
        <w:t xml:space="preserve"> test results</w:t>
      </w:r>
      <w:r>
        <w:t xml:space="preserve"> would</w:t>
      </w:r>
      <w:r w:rsidR="007B6BBD">
        <w:t xml:space="preserve"> be greater than for those who are undergoing routine testing with serology testing</w:t>
      </w:r>
      <w:r w:rsidR="00CC1B95">
        <w:t xml:space="preserve"> (with no rapid point-of-care test result)</w:t>
      </w:r>
      <w:r w:rsidR="007B6BBD">
        <w:t>.  The positive rapid point-of-care result would also be accompanied with counselling for the results according to the proposed clinical decision pathway (see Figure 2).</w:t>
      </w:r>
    </w:p>
    <w:p w:rsidR="001D235D" w:rsidRDefault="007B6BBD" w:rsidP="00563502">
      <w:r>
        <w:t xml:space="preserve">With respect to false negative results, where the rapid point-of-care test indicates no HIV infection, but confirmatory serology testing </w:t>
      </w:r>
      <w:r w:rsidR="00CC1B95">
        <w:t>would</w:t>
      </w:r>
      <w:r>
        <w:t xml:space="preserve">; there is potential for those individuals to </w:t>
      </w:r>
      <w:r w:rsidR="00CC1B95">
        <w:t xml:space="preserve">have worse health outcomes in the longer term due to having an undiagnosed HIV infection.  There is also the potential for these individuals to </w:t>
      </w:r>
      <w:r>
        <w:t xml:space="preserve">unknowingly </w:t>
      </w:r>
      <w:r w:rsidR="00CC1B95">
        <w:t xml:space="preserve">transmit HIV to other individuals until such time they undergo further testing and are diagnosed.  </w:t>
      </w:r>
      <w:r w:rsidR="00E44BD6" w:rsidRPr="00E44BD6">
        <w:t>As noted above, the current practice in at least one Melbourne clinic is to collect a venous sample on the same day as rapid testing for serology testing for HIV.  If this applies nationally, the risk of false negative results should be no greater than is currently the case.  The risk of false-negative results in practice may additionally be mitigated through information provided in the product’s instructions for use and through training of health professionals performing the test.  The product’s instructions for use detail the limitations of the test, including the limitation of the test at early stages of infection.  These limitations are explained to health professionals performing the test when they are trained in the use of the product.</w:t>
      </w:r>
      <w:r w:rsidR="00CC192C">
        <w:t xml:space="preserve"> </w:t>
      </w:r>
    </w:p>
    <w:p w:rsidR="001D235D" w:rsidRPr="004C6B15" w:rsidRDefault="001D235D" w:rsidP="00563502">
      <w:pPr>
        <w:sectPr w:rsidR="001D235D" w:rsidRPr="004C6B15" w:rsidSect="00516396">
          <w:headerReference w:type="even" r:id="rId27"/>
          <w:headerReference w:type="default" r:id="rId28"/>
          <w:footerReference w:type="default" r:id="rId29"/>
          <w:headerReference w:type="first" r:id="rId30"/>
          <w:pgSz w:w="11906" w:h="16838"/>
          <w:pgMar w:top="1440" w:right="1440" w:bottom="1440" w:left="1440" w:header="720" w:footer="720" w:gutter="0"/>
          <w:paperSrc w:first="2" w:other="2"/>
          <w:cols w:space="720"/>
        </w:sectPr>
      </w:pPr>
    </w:p>
    <w:p w:rsidR="008F59A8" w:rsidRPr="004C6B15" w:rsidRDefault="008F59A8">
      <w:pPr>
        <w:pStyle w:val="Heading2"/>
      </w:pPr>
      <w:bookmarkStart w:id="111" w:name="_Toc418224872"/>
      <w:r w:rsidRPr="004C6B15">
        <w:lastRenderedPageBreak/>
        <w:t>Is it effective?</w:t>
      </w:r>
      <w:bookmarkEnd w:id="111"/>
      <w:r w:rsidRPr="004C6B15">
        <w:t xml:space="preserve"> </w:t>
      </w:r>
    </w:p>
    <w:tbl>
      <w:tblPr>
        <w:tblStyle w:val="TableGrid"/>
        <w:tblW w:w="0" w:type="auto"/>
        <w:tblInd w:w="817" w:type="dxa"/>
        <w:tblLook w:val="04A0" w:firstRow="1" w:lastRow="0" w:firstColumn="1" w:lastColumn="0" w:noHBand="0" w:noVBand="1"/>
        <w:tblDescription w:val="Summary of the Effectiveness of the test with respect to diagnostic accuracy and changes in patient management of the DHC test compared with serology"/>
      </w:tblPr>
      <w:tblGrid>
        <w:gridCol w:w="8425"/>
      </w:tblGrid>
      <w:tr w:rsidR="00272F36" w:rsidRPr="00272F36" w:rsidTr="006531CA">
        <w:trPr>
          <w:trHeight w:val="1506"/>
          <w:tblHeader/>
        </w:trPr>
        <w:tc>
          <w:tcPr>
            <w:tcW w:w="8425" w:type="dxa"/>
          </w:tcPr>
          <w:p w:rsidR="00272F36" w:rsidRPr="00272F36" w:rsidRDefault="00272F36" w:rsidP="002A0B37">
            <w:pPr>
              <w:pStyle w:val="Summaryboxheading"/>
              <w:keepNext/>
              <w:rPr>
                <w:b w:val="0"/>
                <w:szCs w:val="24"/>
              </w:rPr>
            </w:pPr>
            <w:r w:rsidRPr="00272F36">
              <w:rPr>
                <w:b w:val="0"/>
                <w:szCs w:val="24"/>
              </w:rPr>
              <w:t xml:space="preserve">Summary of effectiveness– </w:t>
            </w:r>
          </w:p>
          <w:p w:rsidR="00272F36" w:rsidRDefault="00272F36" w:rsidP="002A0B37">
            <w:pPr>
              <w:pStyle w:val="Summaryboxheading"/>
              <w:keepNext/>
              <w:rPr>
                <w:b w:val="0"/>
                <w:szCs w:val="24"/>
                <w:u w:val="single"/>
              </w:rPr>
            </w:pPr>
            <w:r>
              <w:rPr>
                <w:b w:val="0"/>
                <w:szCs w:val="24"/>
                <w:u w:val="single"/>
              </w:rPr>
              <w:t>Diagnostic accuracy</w:t>
            </w:r>
          </w:p>
          <w:p w:rsidR="00272F36" w:rsidRDefault="00272F36" w:rsidP="00272F36">
            <w:pPr>
              <w:pStyle w:val="Summaryboxtext"/>
            </w:pPr>
            <w:r>
              <w:t>An assessment of the diagnostic ac</w:t>
            </w:r>
            <w:r w:rsidR="004A00AA">
              <w:t>curacy of the DHC test in an at-</w:t>
            </w:r>
            <w:r>
              <w:t>risk population was derived from two Australian studies offering the DHC test to MSM attending GP and sexual health clinics in Melbourne and Sydney.  The attendees each also had laboratory-based testing for HIV, where a negative laboratory-based enzyme immunoassay was used to determine a true negative status and in those with positive laboratory-based immunoassay</w:t>
            </w:r>
            <w:r w:rsidR="004A00AA">
              <w:t>,</w:t>
            </w:r>
            <w:r>
              <w:t xml:space="preserve"> </w:t>
            </w:r>
            <w:r w:rsidR="00E44BD6">
              <w:t>further confirm</w:t>
            </w:r>
            <w:r w:rsidR="004A00AA">
              <w:t>atory analysis</w:t>
            </w:r>
            <w:r w:rsidR="00E44BD6">
              <w:t xml:space="preserve"> by Western B</w:t>
            </w:r>
            <w:r>
              <w:t xml:space="preserve">lot </w:t>
            </w:r>
            <w:r w:rsidR="004A00AA">
              <w:t>was also performed</w:t>
            </w:r>
            <w:r>
              <w:t xml:space="preserve"> to determine true HIV status.</w:t>
            </w:r>
          </w:p>
          <w:p w:rsidR="00272F36" w:rsidRPr="00272F36" w:rsidRDefault="00272F36" w:rsidP="00272F36">
            <w:pPr>
              <w:pStyle w:val="Summaryboxtext"/>
              <w:rPr>
                <w:b/>
                <w:szCs w:val="24"/>
                <w:u w:val="single"/>
              </w:rPr>
            </w:pPr>
            <w:r>
              <w:t>A meta-analysis of the two included studies indicated that the sensitivity of the DHC test was 87.8% (95% CI: 75.2%, 95.4%) and the specificity was 99.4% (95% CI: 99.1%, 99.7%).</w:t>
            </w:r>
          </w:p>
          <w:p w:rsidR="00272F36" w:rsidRPr="00272F36" w:rsidRDefault="00272F36" w:rsidP="002A0B37">
            <w:pPr>
              <w:pStyle w:val="Summaryboxheading"/>
              <w:keepNext/>
              <w:rPr>
                <w:b w:val="0"/>
                <w:szCs w:val="24"/>
                <w:u w:val="single"/>
              </w:rPr>
            </w:pPr>
            <w:r w:rsidRPr="00272F36">
              <w:rPr>
                <w:b w:val="0"/>
                <w:szCs w:val="24"/>
                <w:u w:val="single"/>
              </w:rPr>
              <w:t>Changes to patient management</w:t>
            </w:r>
          </w:p>
          <w:p w:rsidR="00272F36" w:rsidRDefault="00272F36" w:rsidP="00272F36">
            <w:pPr>
              <w:pStyle w:val="Summaryboxtext"/>
            </w:pPr>
            <w:r>
              <w:t xml:space="preserve">A single randomised controlled trial was identified in which MSM who had a previous negative HIV test result within the last two years were randomised to the DHC test or conventional laboratory-based testing for HIV.  The trial duration was a period of 18 months and the primary outcome of the trial was “HIV tests over 18 months”.  </w:t>
            </w:r>
          </w:p>
          <w:p w:rsidR="00272F36" w:rsidRDefault="00272F36" w:rsidP="00272F36">
            <w:pPr>
              <w:pStyle w:val="Summaryboxtext"/>
            </w:pPr>
            <w:r>
              <w:t>The results of the trial indicate that there was no statistically significant difference between groups for the primary outcome of “HIV tests over 18 months” or the secondary outcomes of syphilis, chlamydia and gonorrhoea testing over 18 months.  Hence, the possibility of having HIV tests by rapid point-of-care testing did not result in higher testing frequency over the study period of 18 months.</w:t>
            </w:r>
          </w:p>
          <w:p w:rsidR="00272F36" w:rsidRDefault="00272F36" w:rsidP="00E44BD6">
            <w:pPr>
              <w:pStyle w:val="Summaryboxtext"/>
              <w:spacing w:after="40" w:afterAutospacing="0"/>
            </w:pPr>
            <w:r>
              <w:t xml:space="preserve">The authors also undertook </w:t>
            </w:r>
            <w:r>
              <w:rPr>
                <w:i/>
                <w:iCs/>
              </w:rPr>
              <w:t xml:space="preserve">post-hoc </w:t>
            </w:r>
            <w:r>
              <w:t>analyses considering only the first HIV test after enrolment and considering only subsequent HIV tests (excluding first tests).  A statistically significantly greater number of first HIV tests/year after the enrolment test was observed in those randomised to the HIV testing by the rapid point-of-care test compared with conventional testing, however no differences were observed in the number of HIV tests/year when only considering subsequent tests.  Based on these results, the authors conclude that “Post hoc analysis showed an initial increase in their rate of testing that was not sustained”.</w:t>
            </w:r>
          </w:p>
          <w:p w:rsidR="00E44BD6" w:rsidRPr="00272F36" w:rsidRDefault="00E44BD6" w:rsidP="00272F36">
            <w:pPr>
              <w:pStyle w:val="Summaryboxtext"/>
            </w:pPr>
          </w:p>
        </w:tc>
      </w:tr>
    </w:tbl>
    <w:p w:rsidR="00272F36" w:rsidRDefault="00272F36" w:rsidP="00272F36"/>
    <w:p w:rsidR="000613E7" w:rsidRDefault="003A7E35" w:rsidP="00AB0F6C">
      <w:pPr>
        <w:pStyle w:val="Heading3"/>
      </w:pPr>
      <w:r>
        <w:t>Direct evidence</w:t>
      </w:r>
    </w:p>
    <w:p w:rsidR="00A87A8D" w:rsidRPr="00F519A7" w:rsidRDefault="00A87A8D" w:rsidP="00A87A8D">
      <w:r w:rsidRPr="00A87A8D">
        <w:t xml:space="preserve">No direct evidence comparing </w:t>
      </w:r>
      <w:r>
        <w:t>point-of-care HIV antibody/antigen</w:t>
      </w:r>
      <w:r w:rsidRPr="00A87A8D">
        <w:t xml:space="preserve"> testing with </w:t>
      </w:r>
      <w:r w:rsidR="00664280">
        <w:t>ELISA/</w:t>
      </w:r>
      <w:r w:rsidR="00C536C4">
        <w:t>EIA and W</w:t>
      </w:r>
      <w:r>
        <w:t xml:space="preserve">estern </w:t>
      </w:r>
      <w:r w:rsidR="00C536C4">
        <w:t>B</w:t>
      </w:r>
      <w:r>
        <w:t>lot</w:t>
      </w:r>
      <w:r w:rsidRPr="00A87A8D">
        <w:t xml:space="preserve"> testing was identified.</w:t>
      </w:r>
    </w:p>
    <w:p w:rsidR="00986010" w:rsidRDefault="007766C8" w:rsidP="00AB0F6C">
      <w:pPr>
        <w:pStyle w:val="Heading3"/>
      </w:pPr>
      <w:r>
        <w:br w:type="page"/>
      </w:r>
      <w:r w:rsidR="00A87A8D" w:rsidRPr="00A87A8D">
        <w:lastRenderedPageBreak/>
        <w:t>Evidence linkage 1</w:t>
      </w:r>
      <w:r w:rsidR="008D5DB5">
        <w:t xml:space="preserve">: </w:t>
      </w:r>
      <w:r w:rsidR="00986010" w:rsidRPr="000A3AAF">
        <w:t xml:space="preserve">Is </w:t>
      </w:r>
      <w:r w:rsidR="008D5DB5">
        <w:t>the test</w:t>
      </w:r>
      <w:r w:rsidR="00986010" w:rsidRPr="000A3AAF">
        <w:t xml:space="preserve"> accurate?</w:t>
      </w:r>
    </w:p>
    <w:p w:rsidR="00A87A8D" w:rsidRDefault="00A87A8D" w:rsidP="00A87A8D">
      <w:pPr>
        <w:rPr>
          <w:b/>
          <w:bCs/>
        </w:rPr>
      </w:pPr>
      <w:r>
        <w:rPr>
          <w:b/>
          <w:bCs/>
        </w:rPr>
        <w:t xml:space="preserve">Studies comparing the diagnostic accuracy of point-of-care HIV antibody/antigen testing compared with </w:t>
      </w:r>
      <w:r w:rsidR="00C617F3">
        <w:rPr>
          <w:b/>
          <w:bCs/>
        </w:rPr>
        <w:t xml:space="preserve">enzyme-linked </w:t>
      </w:r>
      <w:proofErr w:type="spellStart"/>
      <w:r w:rsidR="00C617F3">
        <w:rPr>
          <w:b/>
          <w:bCs/>
        </w:rPr>
        <w:t>immunosorbent</w:t>
      </w:r>
      <w:proofErr w:type="spellEnd"/>
      <w:r w:rsidR="00C617F3">
        <w:rPr>
          <w:b/>
          <w:bCs/>
        </w:rPr>
        <w:t xml:space="preserve"> assay (ELISA) or enzyme immunoassay (</w:t>
      </w:r>
      <w:r>
        <w:rPr>
          <w:b/>
          <w:bCs/>
        </w:rPr>
        <w:t>EIA</w:t>
      </w:r>
      <w:r w:rsidR="00C617F3">
        <w:rPr>
          <w:b/>
          <w:bCs/>
        </w:rPr>
        <w:t>)</w:t>
      </w:r>
      <w:r w:rsidR="00C536C4">
        <w:rPr>
          <w:b/>
          <w:bCs/>
        </w:rPr>
        <w:t xml:space="preserve"> and W</w:t>
      </w:r>
      <w:r>
        <w:rPr>
          <w:b/>
          <w:bCs/>
        </w:rPr>
        <w:t xml:space="preserve">estern </w:t>
      </w:r>
      <w:r w:rsidR="00C536C4">
        <w:rPr>
          <w:b/>
          <w:bCs/>
        </w:rPr>
        <w:t>B</w:t>
      </w:r>
      <w:r>
        <w:rPr>
          <w:b/>
          <w:bCs/>
        </w:rPr>
        <w:t>lot</w:t>
      </w:r>
      <w:r w:rsidR="00C617F3">
        <w:rPr>
          <w:b/>
          <w:bCs/>
        </w:rPr>
        <w:t xml:space="preserve"> (WB) amongst a high</w:t>
      </w:r>
      <w:r w:rsidR="004A00AA">
        <w:rPr>
          <w:b/>
          <w:bCs/>
        </w:rPr>
        <w:t>-</w:t>
      </w:r>
      <w:r w:rsidR="00C617F3">
        <w:rPr>
          <w:b/>
          <w:bCs/>
        </w:rPr>
        <w:t>risk population in Australia</w:t>
      </w:r>
    </w:p>
    <w:p w:rsidR="00C617F3" w:rsidRDefault="00C617F3" w:rsidP="00441F0F">
      <w:r>
        <w:t>T</w:t>
      </w:r>
      <w:r w:rsidR="00707714">
        <w:t xml:space="preserve">he </w:t>
      </w:r>
      <w:r w:rsidR="004A00AA">
        <w:t>MSAC 1391 Final P</w:t>
      </w:r>
      <w:r w:rsidR="00707714">
        <w:t xml:space="preserve">rotocol states that “According to the product insert, the sensitivity of the Determine HIV Combo </w:t>
      </w:r>
      <w:r w:rsidR="00AD15C7">
        <w:t xml:space="preserve">(DHC) </w:t>
      </w:r>
      <w:r w:rsidR="00707714">
        <w:t>is 100.00% across 1</w:t>
      </w:r>
      <w:r w:rsidR="00E44BD6">
        <w:t>,</w:t>
      </w:r>
      <w:r w:rsidR="00707714">
        <w:t xml:space="preserve">179 </w:t>
      </w:r>
      <w:proofErr w:type="gramStart"/>
      <w:r w:rsidR="00707714">
        <w:t>specimens</w:t>
      </w:r>
      <w:proofErr w:type="gramEnd"/>
      <w:r w:rsidR="00707714">
        <w:t xml:space="preserve"> positive for various types and subtypes of HIV</w:t>
      </w:r>
      <w:r w:rsidR="00F9191F">
        <w:t xml:space="preserve"> and who were confirmed HIV antibody positive</w:t>
      </w:r>
      <w:r w:rsidR="00707714">
        <w:t xml:space="preserve">. </w:t>
      </w:r>
      <w:r w:rsidR="00E44BD6">
        <w:t xml:space="preserve"> </w:t>
      </w:r>
      <w:r w:rsidR="00707714">
        <w:t xml:space="preserve">The specificity of the test is 99.61% for the antigen test line and the 99.21% for the antibody test line across </w:t>
      </w:r>
      <w:r w:rsidR="00041F29">
        <w:t>1</w:t>
      </w:r>
      <w:r w:rsidR="00E44BD6">
        <w:t>,</w:t>
      </w:r>
      <w:r w:rsidR="00041F29">
        <w:t>783</w:t>
      </w:r>
      <w:r w:rsidR="0030581B">
        <w:t xml:space="preserve"> </w:t>
      </w:r>
      <w:r w:rsidR="00707714">
        <w:t>HIV-negative specimens”</w:t>
      </w:r>
      <w:r>
        <w:t xml:space="preserve">.  </w:t>
      </w:r>
      <w:r w:rsidR="00441F0F">
        <w:t>Given these estimates are derived from the</w:t>
      </w:r>
      <w:r w:rsidR="00441F0F" w:rsidRPr="0061729B">
        <w:t xml:space="preserve"> two extreme ends of the </w:t>
      </w:r>
      <w:r w:rsidR="00441F0F">
        <w:t xml:space="preserve">disease </w:t>
      </w:r>
      <w:r w:rsidR="00441F0F" w:rsidRPr="0061729B">
        <w:t>spectrum (</w:t>
      </w:r>
      <w:proofErr w:type="spellStart"/>
      <w:r w:rsidR="00441F0F" w:rsidRPr="0061729B">
        <w:t>ie</w:t>
      </w:r>
      <w:proofErr w:type="spellEnd"/>
      <w:r w:rsidR="00441F0F">
        <w:t>,</w:t>
      </w:r>
      <w:r w:rsidR="00441F0F" w:rsidRPr="0061729B">
        <w:t xml:space="preserve"> </w:t>
      </w:r>
      <w:r w:rsidR="00441F0F">
        <w:t xml:space="preserve">confirmed </w:t>
      </w:r>
      <w:r w:rsidR="00441F0F" w:rsidRPr="0061729B">
        <w:t>seronegative and seropositive</w:t>
      </w:r>
      <w:r w:rsidR="00441F0F">
        <w:t xml:space="preserve"> specimens</w:t>
      </w:r>
      <w:r w:rsidR="00441F0F" w:rsidRPr="0061729B">
        <w:t>), which tends to overestimate diagnostic accuracy (</w:t>
      </w:r>
      <w:proofErr w:type="spellStart"/>
      <w:r w:rsidR="00441F0F" w:rsidRPr="0061729B">
        <w:t>Knottnerus</w:t>
      </w:r>
      <w:proofErr w:type="spellEnd"/>
      <w:r w:rsidR="00441F0F" w:rsidRPr="0061729B">
        <w:t xml:space="preserve"> 2002</w:t>
      </w:r>
      <w:r w:rsidR="00441F0F">
        <w:t xml:space="preserve">), </w:t>
      </w:r>
      <w:r>
        <w:t>an assessment of the diagnostic characteristics of the test amongst a high</w:t>
      </w:r>
      <w:r w:rsidR="004A00AA">
        <w:t>-</w:t>
      </w:r>
      <w:r>
        <w:t>risk Australian population</w:t>
      </w:r>
      <w:r w:rsidR="005B7914">
        <w:t>,</w:t>
      </w:r>
      <w:r w:rsidR="00D37F5A">
        <w:t xml:space="preserve"> </w:t>
      </w:r>
      <w:r w:rsidR="005B7914">
        <w:t>where the test was being used in GP and sexual health clinics,</w:t>
      </w:r>
      <w:r>
        <w:t xml:space="preserve"> </w:t>
      </w:r>
      <w:r w:rsidR="00D37F5A">
        <w:t xml:space="preserve">and was compared with current diagnostic tests used in Australia </w:t>
      </w:r>
      <w:r>
        <w:t xml:space="preserve">was deemed relevant to this review.  </w:t>
      </w:r>
    </w:p>
    <w:p w:rsidR="00A87A8D" w:rsidRDefault="00E142C1" w:rsidP="00707714">
      <w:r>
        <w:t>Four</w:t>
      </w:r>
      <w:r w:rsidR="00B3717C">
        <w:t xml:space="preserve"> </w:t>
      </w:r>
      <w:r w:rsidR="00577A4D">
        <w:t>publications</w:t>
      </w:r>
      <w:r w:rsidR="00B3717C">
        <w:t xml:space="preserve"> </w:t>
      </w:r>
      <w:r w:rsidR="00C617F3">
        <w:t>(</w:t>
      </w:r>
      <w:r>
        <w:t xml:space="preserve">Conway 2013a, </w:t>
      </w:r>
      <w:r w:rsidR="00C617F3">
        <w:t xml:space="preserve">Conway 2013b, Conway 2014, </w:t>
      </w:r>
      <w:proofErr w:type="spellStart"/>
      <w:r w:rsidR="00C617F3">
        <w:t>Eu</w:t>
      </w:r>
      <w:proofErr w:type="spellEnd"/>
      <w:r w:rsidR="00C617F3">
        <w:t xml:space="preserve"> 2014) reporting two Australian studies </w:t>
      </w:r>
      <w:r w:rsidR="00B3717C">
        <w:t>were identified</w:t>
      </w:r>
      <w:r w:rsidR="00C617F3">
        <w:t xml:space="preserve">.  Conway </w:t>
      </w:r>
      <w:r>
        <w:t xml:space="preserve">2013a, </w:t>
      </w:r>
      <w:r w:rsidR="00C617F3">
        <w:t>2013b appear to be earlier conference abstract</w:t>
      </w:r>
      <w:r>
        <w:t>s</w:t>
      </w:r>
      <w:r w:rsidR="00C617F3">
        <w:t xml:space="preserve"> of Conway (2014).  Each study</w:t>
      </w:r>
      <w:r w:rsidR="00577A4D">
        <w:t xml:space="preserve"> assessed the diagnostic accuracy of the Determine HIV antibody/antigen test to serology testing for HIV infection</w:t>
      </w:r>
      <w:r w:rsidR="00C617F3">
        <w:t xml:space="preserve"> amongst men who have sex with men</w:t>
      </w:r>
      <w:r w:rsidR="00AD15C7">
        <w:t xml:space="preserve"> (MSM)</w:t>
      </w:r>
      <w:r w:rsidR="00C617F3">
        <w:t xml:space="preserve"> in Sydney (Conway </w:t>
      </w:r>
      <w:r>
        <w:t xml:space="preserve">2013a, </w:t>
      </w:r>
      <w:r w:rsidR="00C617F3">
        <w:t>2013b, 2014) and Melbourne (</w:t>
      </w:r>
      <w:proofErr w:type="spellStart"/>
      <w:r w:rsidR="00C617F3">
        <w:t>Eu</w:t>
      </w:r>
      <w:proofErr w:type="spellEnd"/>
      <w:r w:rsidR="00C617F3">
        <w:t xml:space="preserve"> 2014)</w:t>
      </w:r>
      <w:r w:rsidR="00577A4D">
        <w:t>.</w:t>
      </w:r>
      <w:r w:rsidR="00C617F3">
        <w:t xml:space="preserve"> </w:t>
      </w:r>
      <w:r w:rsidR="00577A4D">
        <w:t xml:space="preserve"> </w:t>
      </w:r>
    </w:p>
    <w:p w:rsidR="00AD15C7" w:rsidRPr="00AD15C7" w:rsidRDefault="00AD15C7" w:rsidP="00707714">
      <w:pPr>
        <w:rPr>
          <w:b/>
        </w:rPr>
      </w:pPr>
      <w:r>
        <w:rPr>
          <w:b/>
        </w:rPr>
        <w:t>Conway (</w:t>
      </w:r>
      <w:r w:rsidR="00E142C1">
        <w:rPr>
          <w:b/>
        </w:rPr>
        <w:t xml:space="preserve">2013a, 2013b, </w:t>
      </w:r>
      <w:r>
        <w:rPr>
          <w:b/>
        </w:rPr>
        <w:t>2014)</w:t>
      </w:r>
    </w:p>
    <w:p w:rsidR="00C617F3" w:rsidRDefault="00C617F3" w:rsidP="00707714">
      <w:r>
        <w:t>Conway (2014) reports the results of a study whi</w:t>
      </w:r>
      <w:r w:rsidR="00AD15C7">
        <w:t>ch was conducted over four free-access publically-</w:t>
      </w:r>
      <w:r>
        <w:t xml:space="preserve">funded sexual health clinics with high caseloads of </w:t>
      </w:r>
      <w:r w:rsidR="00AD15C7">
        <w:t xml:space="preserve">MSM.  Two of the clinics were in central Sydney, and the remaining two in suburban Sydney.  </w:t>
      </w:r>
      <w:r w:rsidR="003D6419">
        <w:t>MSM</w:t>
      </w:r>
      <w:r w:rsidR="00F15D9F">
        <w:t xml:space="preserve">, </w:t>
      </w:r>
      <w:r w:rsidR="003D6419">
        <w:t xml:space="preserve">aged ≥18 years and </w:t>
      </w:r>
      <w:r w:rsidR="003D6419" w:rsidRPr="00F15D9F">
        <w:rPr>
          <w:u w:val="single"/>
        </w:rPr>
        <w:t>presenting for HIV testing</w:t>
      </w:r>
      <w:r w:rsidR="003D6419">
        <w:t xml:space="preserve"> who attended the clinics were offered the DHC test by do</w:t>
      </w:r>
      <w:r w:rsidR="00AD15C7">
        <w:t xml:space="preserve">ctors and nurses </w:t>
      </w:r>
      <w:r w:rsidR="003D6419">
        <w:t>who</w:t>
      </w:r>
      <w:r w:rsidR="00AD15C7">
        <w:t xml:space="preserve"> performed and read the tests; counsellors were available at each site to support those with a positive </w:t>
      </w:r>
      <w:r w:rsidR="003D6419">
        <w:t xml:space="preserve">test </w:t>
      </w:r>
      <w:r w:rsidR="00AD15C7">
        <w:t xml:space="preserve">result.  Clinic staff (in all, 68 staff from the Kirby Institute, NSW State Reference Laboratory for HIV and National Serology Reference Laboratory) were trained in policy and theoretical and practical aspects of rapid HIV testing, which included quality assurance, conducting tests </w:t>
      </w:r>
      <w:r w:rsidR="00CB10E0">
        <w:t>using</w:t>
      </w:r>
      <w:r w:rsidR="00AD15C7">
        <w:t xml:space="preserve"> the DHC and interpreting </w:t>
      </w:r>
      <w:r w:rsidR="003D6419">
        <w:t xml:space="preserve">the </w:t>
      </w:r>
      <w:r w:rsidR="00AD15C7">
        <w:t xml:space="preserve">results.  </w:t>
      </w:r>
    </w:p>
    <w:p w:rsidR="008C0C12" w:rsidRDefault="008C0C12" w:rsidP="008C0C12">
      <w:pPr>
        <w:spacing w:after="0"/>
      </w:pPr>
      <w:r>
        <w:t>Venepuncture</w:t>
      </w:r>
      <w:r w:rsidR="003D6419">
        <w:t xml:space="preserve"> specimens for conventional</w:t>
      </w:r>
      <w:r>
        <w:t>,</w:t>
      </w:r>
      <w:r w:rsidR="003D6419">
        <w:t xml:space="preserve"> and finger-stick blood specimens for DHC testing were collected.  The DHC test results were scored by clinic staff as</w:t>
      </w:r>
      <w:r>
        <w:t>:</w:t>
      </w:r>
    </w:p>
    <w:p w:rsidR="008C0C12" w:rsidRDefault="003D6419" w:rsidP="00F737A4">
      <w:pPr>
        <w:numPr>
          <w:ilvl w:val="0"/>
          <w:numId w:val="4"/>
        </w:numPr>
        <w:spacing w:after="0"/>
        <w:ind w:left="993" w:hanging="284"/>
      </w:pPr>
      <w:r>
        <w:t>non-reactive (specimen</w:t>
      </w:r>
      <w:r w:rsidR="008C0C12">
        <w:t xml:space="preserve"> did not react with test lines);</w:t>
      </w:r>
      <w:r>
        <w:t xml:space="preserve"> </w:t>
      </w:r>
    </w:p>
    <w:p w:rsidR="008C0C12" w:rsidRDefault="003D6419" w:rsidP="00F737A4">
      <w:pPr>
        <w:numPr>
          <w:ilvl w:val="0"/>
          <w:numId w:val="4"/>
        </w:numPr>
        <w:spacing w:after="0"/>
        <w:ind w:left="993" w:hanging="284"/>
      </w:pPr>
      <w:r>
        <w:t>reactive (specimen reacted with one (antigen or antibody) or both (antigen and antibody) test lines)</w:t>
      </w:r>
      <w:r w:rsidR="008C0C12">
        <w:t>;</w:t>
      </w:r>
      <w:r>
        <w:t xml:space="preserve"> or </w:t>
      </w:r>
    </w:p>
    <w:p w:rsidR="003D6419" w:rsidRDefault="003D6419" w:rsidP="00F737A4">
      <w:pPr>
        <w:numPr>
          <w:ilvl w:val="0"/>
          <w:numId w:val="4"/>
        </w:numPr>
        <w:spacing w:after="0"/>
        <w:ind w:left="993" w:hanging="284"/>
      </w:pPr>
      <w:proofErr w:type="gramStart"/>
      <w:r>
        <w:t>invalid</w:t>
      </w:r>
      <w:proofErr w:type="gramEnd"/>
      <w:r>
        <w:t xml:space="preserve"> (the control line was absent).</w:t>
      </w:r>
    </w:p>
    <w:p w:rsidR="008C0C12" w:rsidRDefault="008C0C12" w:rsidP="008C0C12">
      <w:pPr>
        <w:ind w:left="709"/>
      </w:pPr>
      <w:r>
        <w:t xml:space="preserve">Participants received their DHC test result during the clinic visit, with those having a positive test result offered support and counselling.  Those with negative results were asked to come back to the clinic once results of conventional testing were available and receive appropriate care.  </w:t>
      </w:r>
    </w:p>
    <w:p w:rsidR="008C0C12" w:rsidRDefault="008C0C12" w:rsidP="008C0C12">
      <w:pPr>
        <w:spacing w:after="0"/>
        <w:ind w:left="709"/>
      </w:pPr>
      <w:r>
        <w:t>DHC results were categorised as true or false compared with laboratory assays which are stated by the authors to be standard of care:</w:t>
      </w:r>
    </w:p>
    <w:p w:rsidR="008C0C12" w:rsidRDefault="008C0C12" w:rsidP="00F737A4">
      <w:pPr>
        <w:numPr>
          <w:ilvl w:val="0"/>
          <w:numId w:val="4"/>
        </w:numPr>
        <w:spacing w:after="0"/>
        <w:ind w:left="993" w:hanging="284"/>
      </w:pPr>
      <w:r>
        <w:lastRenderedPageBreak/>
        <w:t>fourth generation HIV screening immunoassay;</w:t>
      </w:r>
    </w:p>
    <w:p w:rsidR="008C0C12" w:rsidRDefault="008C0C12" w:rsidP="00F737A4">
      <w:pPr>
        <w:numPr>
          <w:ilvl w:val="0"/>
          <w:numId w:val="4"/>
        </w:numPr>
        <w:spacing w:after="0"/>
        <w:ind w:left="993" w:hanging="284"/>
      </w:pPr>
      <w:r>
        <w:t>supplementary HIV antibody;</w:t>
      </w:r>
    </w:p>
    <w:p w:rsidR="008C0C12" w:rsidRDefault="008C0C12" w:rsidP="00F737A4">
      <w:pPr>
        <w:numPr>
          <w:ilvl w:val="0"/>
          <w:numId w:val="4"/>
        </w:numPr>
        <w:spacing w:after="0"/>
        <w:ind w:left="993" w:hanging="284"/>
      </w:pPr>
      <w:r>
        <w:t>HIV p24 antigen immunoassay; and</w:t>
      </w:r>
    </w:p>
    <w:p w:rsidR="008C0C12" w:rsidRDefault="004F6D59" w:rsidP="00F737A4">
      <w:pPr>
        <w:numPr>
          <w:ilvl w:val="0"/>
          <w:numId w:val="4"/>
        </w:numPr>
        <w:spacing w:after="0"/>
        <w:ind w:left="993" w:hanging="284"/>
      </w:pPr>
      <w:r>
        <w:t>HIV Western B</w:t>
      </w:r>
      <w:r w:rsidR="008C0C12">
        <w:t>lot.</w:t>
      </w:r>
    </w:p>
    <w:p w:rsidR="008C0C12" w:rsidRDefault="008C0C12" w:rsidP="008C0C12">
      <w:pPr>
        <w:ind w:left="709"/>
      </w:pPr>
      <w:r>
        <w:t>In those diagnosed with HIV infection, HIV RNA, CD4</w:t>
      </w:r>
      <w:r w:rsidR="008360C6">
        <w:t xml:space="preserve"> positive</w:t>
      </w:r>
      <w:r>
        <w:t xml:space="preserve"> T-cell count and genotype tests were also performed.</w:t>
      </w:r>
    </w:p>
    <w:p w:rsidR="008C0C12" w:rsidRDefault="00430D9A" w:rsidP="008C0C12">
      <w:pPr>
        <w:ind w:left="709"/>
      </w:pPr>
      <w:r>
        <w:t xml:space="preserve">True negatives were defined as those who had a negative fourth generation laboratory screening immunoassay. </w:t>
      </w:r>
    </w:p>
    <w:p w:rsidR="00865352" w:rsidRDefault="00865352" w:rsidP="008C0C12">
      <w:pPr>
        <w:ind w:left="709"/>
      </w:pPr>
      <w:r>
        <w:t xml:space="preserve">All specimens with a positive result on the fourth generation laboratory screening immunoassay also underwent supplementary HIV antibody, HIV p24 antigen and Western </w:t>
      </w:r>
      <w:r w:rsidR="004A00AA">
        <w:t>B</w:t>
      </w:r>
      <w:r>
        <w:t>lot testing, with true positives being defined based on the national case definition</w:t>
      </w:r>
      <w:r>
        <w:rPr>
          <w:rStyle w:val="FootnoteReference"/>
        </w:rPr>
        <w:footnoteReference w:id="1"/>
      </w:r>
      <w:r>
        <w:t>.</w:t>
      </w:r>
    </w:p>
    <w:p w:rsidR="00F15D9F" w:rsidRDefault="00F15D9F" w:rsidP="00F15D9F">
      <w:pPr>
        <w:spacing w:after="0"/>
        <w:ind w:left="709"/>
      </w:pPr>
      <w:r>
        <w:t>The authors state that HIV cases were categorised as acute, recent or early HIV infection, defined as:</w:t>
      </w:r>
    </w:p>
    <w:p w:rsidR="00F15D9F" w:rsidRDefault="00F15D9F" w:rsidP="00F737A4">
      <w:pPr>
        <w:numPr>
          <w:ilvl w:val="0"/>
          <w:numId w:val="4"/>
        </w:numPr>
        <w:spacing w:after="0"/>
        <w:ind w:left="993" w:hanging="284"/>
      </w:pPr>
      <w:r>
        <w:t>Acute: HIV RNA or p24 antigen positive, but antibody negative;</w:t>
      </w:r>
    </w:p>
    <w:p w:rsidR="00F15D9F" w:rsidRDefault="00F15D9F" w:rsidP="00F737A4">
      <w:pPr>
        <w:numPr>
          <w:ilvl w:val="0"/>
          <w:numId w:val="4"/>
        </w:numPr>
        <w:spacing w:after="0"/>
        <w:ind w:left="993" w:hanging="284"/>
      </w:pPr>
      <w:r>
        <w:t>Recent: HIV antibody positive, but infected in the last six months (previous testing history based on testing conducted at the clinic, or by self-report); and</w:t>
      </w:r>
    </w:p>
    <w:p w:rsidR="00F15D9F" w:rsidRDefault="00F15D9F" w:rsidP="00F737A4">
      <w:pPr>
        <w:numPr>
          <w:ilvl w:val="0"/>
          <w:numId w:val="4"/>
        </w:numPr>
        <w:ind w:left="993" w:hanging="284"/>
      </w:pPr>
      <w:r>
        <w:t>Early: cases of acute and recent infection combined.</w:t>
      </w:r>
    </w:p>
    <w:p w:rsidR="00F15D9F" w:rsidRDefault="00F15D9F" w:rsidP="00BC17DB">
      <w:pPr>
        <w:ind w:left="709"/>
      </w:pPr>
      <w:r>
        <w:t xml:space="preserve">Over the 20-month study period, 2,468 men had 3,195 HIV tests (DHC with parallel conventional serology testing) across the four clinic sites.  </w:t>
      </w:r>
      <w:r w:rsidR="00BC17DB">
        <w:t>Of the 3,195 DHC tests performed, five (0.2%) were invalid and excluded from the analysis.</w:t>
      </w:r>
    </w:p>
    <w:p w:rsidR="00BC17DB" w:rsidRPr="00BC17DB" w:rsidRDefault="00BC17DB" w:rsidP="00BC17DB">
      <w:pPr>
        <w:ind w:left="709"/>
        <w:rPr>
          <w:b/>
        </w:rPr>
      </w:pPr>
      <w:proofErr w:type="spellStart"/>
      <w:r>
        <w:rPr>
          <w:b/>
        </w:rPr>
        <w:t>Eu</w:t>
      </w:r>
      <w:proofErr w:type="spellEnd"/>
      <w:r>
        <w:rPr>
          <w:b/>
        </w:rPr>
        <w:t xml:space="preserve"> (2014)</w:t>
      </w:r>
    </w:p>
    <w:p w:rsidR="00B70B67" w:rsidRDefault="001D0873" w:rsidP="00BC17DB">
      <w:pPr>
        <w:ind w:left="709"/>
      </w:pPr>
      <w:proofErr w:type="spellStart"/>
      <w:r>
        <w:t>Eu</w:t>
      </w:r>
      <w:proofErr w:type="spellEnd"/>
      <w:r>
        <w:t xml:space="preserve"> (2014) reports one inner city suburb of Melbourne clinic’s experience with the DHC test.  The clinic undertakes approxim</w:t>
      </w:r>
      <w:r w:rsidR="00B70B67">
        <w:t xml:space="preserve">ately 2,500 HIV tests per </w:t>
      </w:r>
      <w:r>
        <w:t>year</w:t>
      </w:r>
      <w:r w:rsidR="00080BAF">
        <w:t xml:space="preserve">.  The DHC test was made available to all attendees to the clinic who were of consenting age and </w:t>
      </w:r>
      <w:r w:rsidR="00080BAF" w:rsidRPr="00080BAF">
        <w:rPr>
          <w:u w:val="single"/>
        </w:rPr>
        <w:t>who requested the test</w:t>
      </w:r>
      <w:r w:rsidR="00080BAF">
        <w:t xml:space="preserve">.  </w:t>
      </w:r>
      <w:r w:rsidR="00302A43">
        <w:t>Of 1,527 MSM attendees to the clinic requesting a HIV test, 219 (14.3%; 95% CI: 12.5%, 16.1%) chose to have the rapid point-of-care test.</w:t>
      </w:r>
    </w:p>
    <w:p w:rsidR="00BC17DB" w:rsidRDefault="00080BAF" w:rsidP="00B70B67">
      <w:pPr>
        <w:ind w:left="709"/>
      </w:pPr>
      <w:r>
        <w:t xml:space="preserve">All participants having a DHC test also had a serum test (fourth generation enzyme immunoassay HIV antibody test) </w:t>
      </w:r>
      <w:proofErr w:type="gramStart"/>
      <w:r w:rsidR="00CB10E0">
        <w:t>performed</w:t>
      </w:r>
      <w:r>
        <w:t>.</w:t>
      </w:r>
      <w:proofErr w:type="gramEnd"/>
      <w:r>
        <w:t xml:space="preserve">  The results presented by the authors refer to the 302 DHC</w:t>
      </w:r>
      <w:r w:rsidR="00B70B67">
        <w:t xml:space="preserve"> tests</w:t>
      </w:r>
      <w:r>
        <w:t xml:space="preserve"> with parallel serology </w:t>
      </w:r>
      <w:r w:rsidR="00B70B67">
        <w:t xml:space="preserve">testing conducted; these included tests among 219 </w:t>
      </w:r>
      <w:r>
        <w:t xml:space="preserve">MSM over a five and a half month period (15 March – 31 August 2013). </w:t>
      </w:r>
      <w:r w:rsidR="00B70B67">
        <w:t xml:space="preserve"> The authors state that all fully positive HIV results and </w:t>
      </w:r>
      <w:proofErr w:type="spellStart"/>
      <w:r w:rsidR="00B70B67">
        <w:t>seroconverters</w:t>
      </w:r>
      <w:proofErr w:type="spellEnd"/>
      <w:r w:rsidR="00B70B67">
        <w:t xml:space="preserve"> where the </w:t>
      </w:r>
      <w:r w:rsidR="00FD46C7">
        <w:t>W</w:t>
      </w:r>
      <w:r w:rsidR="00B70B67">
        <w:t xml:space="preserve">estern </w:t>
      </w:r>
      <w:r w:rsidR="00FD46C7">
        <w:t>B</w:t>
      </w:r>
      <w:r w:rsidR="00B70B67">
        <w:t>lot result was not fully positive were considered positive results for calculations of diagnostic accuracy.</w:t>
      </w:r>
    </w:p>
    <w:p w:rsidR="00B70B67" w:rsidRPr="007F2DF1" w:rsidRDefault="00B70B67" w:rsidP="00BC17DB">
      <w:pPr>
        <w:ind w:left="709"/>
      </w:pPr>
      <w:r>
        <w:lastRenderedPageBreak/>
        <w:t xml:space="preserve">The results reported for the diagnostic characteristics of the DHC test compared with serology testing for HIV </w:t>
      </w:r>
      <w:r w:rsidR="00082DE0">
        <w:t xml:space="preserve">in Conway (2014) and </w:t>
      </w:r>
      <w:proofErr w:type="spellStart"/>
      <w:r w:rsidR="00082DE0">
        <w:t>Eu</w:t>
      </w:r>
      <w:proofErr w:type="spellEnd"/>
      <w:r w:rsidR="00082DE0">
        <w:t xml:space="preserve"> (2014) </w:t>
      </w:r>
      <w:r>
        <w:t xml:space="preserve">are </w:t>
      </w:r>
      <w:r w:rsidRPr="007F2DF1">
        <w:t xml:space="preserve">reported in Table </w:t>
      </w:r>
      <w:r w:rsidR="007F2DF1" w:rsidRPr="007F2DF1">
        <w:t>12</w:t>
      </w:r>
      <w:r w:rsidRPr="007F2DF1">
        <w:t>.</w:t>
      </w:r>
      <w:r w:rsidR="00597B82" w:rsidRPr="007F2DF1">
        <w:t xml:space="preserve">  Also presented are the results of a meta-analysis of the two studies.</w:t>
      </w:r>
    </w:p>
    <w:p w:rsidR="006A7B79" w:rsidRPr="00D5236B" w:rsidRDefault="006A7B79" w:rsidP="0009118B">
      <w:pPr>
        <w:pStyle w:val="Caption"/>
      </w:pPr>
      <w:bookmarkStart w:id="112" w:name="_Toc415103516"/>
      <w:bookmarkStart w:id="113" w:name="_Toc418225005"/>
      <w:bookmarkStart w:id="114" w:name="_Toc418225651"/>
      <w:r w:rsidRPr="007F2DF1">
        <w:t xml:space="preserve">Table </w:t>
      </w:r>
      <w:r w:rsidR="007F2DF1" w:rsidRPr="007F2DF1">
        <w:t>12</w:t>
      </w:r>
      <w:r w:rsidRPr="007F2DF1">
        <w:tab/>
        <w:t>Diagnostic characteristics of the DHC test compared with serology testing</w:t>
      </w:r>
      <w:r w:rsidRPr="00D5236B">
        <w:t xml:space="preserve"> for HIV</w:t>
      </w:r>
      <w:bookmarkEnd w:id="112"/>
      <w:bookmarkEnd w:id="113"/>
      <w:bookmarkEnd w:id="114"/>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Diagnostic characteristics of the DHC test compared with serology for testing HIV. Results of the meta-analysis of Conway 2014 and Eu 2014 for sensitivity and specificity of DHC versus serology."/>
      </w:tblPr>
      <w:tblGrid>
        <w:gridCol w:w="1469"/>
        <w:gridCol w:w="1547"/>
        <w:gridCol w:w="1548"/>
        <w:gridCol w:w="1904"/>
        <w:gridCol w:w="1905"/>
      </w:tblGrid>
      <w:tr w:rsidR="00D5236B" w:rsidRPr="00D5236B" w:rsidTr="00F76DA1">
        <w:trPr>
          <w:tblHeader/>
        </w:trPr>
        <w:tc>
          <w:tcPr>
            <w:tcW w:w="1469" w:type="dxa"/>
            <w:shd w:val="clear" w:color="auto" w:fill="auto"/>
          </w:tcPr>
          <w:p w:rsidR="00D5236B" w:rsidRPr="00D5236B" w:rsidRDefault="00D5236B" w:rsidP="00B70B67">
            <w:pPr>
              <w:pStyle w:val="TableText0"/>
              <w:rPr>
                <w:b/>
              </w:rPr>
            </w:pPr>
          </w:p>
        </w:tc>
        <w:tc>
          <w:tcPr>
            <w:tcW w:w="1547" w:type="dxa"/>
            <w:shd w:val="clear" w:color="auto" w:fill="auto"/>
            <w:vAlign w:val="center"/>
          </w:tcPr>
          <w:p w:rsidR="00D5236B" w:rsidRPr="00D5236B" w:rsidRDefault="00D5236B" w:rsidP="003F7E25">
            <w:pPr>
              <w:pStyle w:val="TableText0"/>
              <w:jc w:val="center"/>
              <w:rPr>
                <w:b/>
              </w:rPr>
            </w:pPr>
            <w:r w:rsidRPr="00D5236B">
              <w:rPr>
                <w:b/>
              </w:rPr>
              <w:t xml:space="preserve">Sensitivity </w:t>
            </w:r>
          </w:p>
          <w:p w:rsidR="00D5236B" w:rsidRPr="00D5236B" w:rsidRDefault="00D5236B" w:rsidP="003F7E25">
            <w:pPr>
              <w:pStyle w:val="TableText0"/>
              <w:jc w:val="center"/>
              <w:rPr>
                <w:b/>
              </w:rPr>
            </w:pPr>
            <w:r w:rsidRPr="00D5236B">
              <w:rPr>
                <w:b/>
              </w:rPr>
              <w:t>(95% CI)</w:t>
            </w:r>
          </w:p>
        </w:tc>
        <w:tc>
          <w:tcPr>
            <w:tcW w:w="1548" w:type="dxa"/>
            <w:shd w:val="clear" w:color="auto" w:fill="auto"/>
            <w:vAlign w:val="center"/>
          </w:tcPr>
          <w:p w:rsidR="00D5236B" w:rsidRPr="00D5236B" w:rsidRDefault="00D5236B" w:rsidP="003F7E25">
            <w:pPr>
              <w:pStyle w:val="TableText0"/>
              <w:jc w:val="center"/>
              <w:rPr>
                <w:b/>
              </w:rPr>
            </w:pPr>
            <w:r w:rsidRPr="00D5236B">
              <w:rPr>
                <w:b/>
              </w:rPr>
              <w:t xml:space="preserve">Specificity </w:t>
            </w:r>
          </w:p>
          <w:p w:rsidR="00D5236B" w:rsidRPr="00D5236B" w:rsidRDefault="00D5236B" w:rsidP="003F7E25">
            <w:pPr>
              <w:pStyle w:val="TableText0"/>
              <w:jc w:val="center"/>
              <w:rPr>
                <w:b/>
              </w:rPr>
            </w:pPr>
            <w:r w:rsidRPr="00D5236B">
              <w:rPr>
                <w:b/>
              </w:rPr>
              <w:t>(95% CI)</w:t>
            </w:r>
          </w:p>
        </w:tc>
        <w:tc>
          <w:tcPr>
            <w:tcW w:w="1904" w:type="dxa"/>
            <w:shd w:val="clear" w:color="auto" w:fill="auto"/>
            <w:vAlign w:val="center"/>
          </w:tcPr>
          <w:p w:rsidR="00D5236B" w:rsidRPr="00D5236B" w:rsidRDefault="00D5236B" w:rsidP="003F7E25">
            <w:pPr>
              <w:pStyle w:val="TableText0"/>
              <w:jc w:val="center"/>
              <w:rPr>
                <w:b/>
              </w:rPr>
            </w:pPr>
            <w:r w:rsidRPr="00D5236B">
              <w:rPr>
                <w:b/>
              </w:rPr>
              <w:t>Positive predictive value</w:t>
            </w:r>
          </w:p>
          <w:p w:rsidR="00D5236B" w:rsidRPr="00D5236B" w:rsidRDefault="00D5236B" w:rsidP="003F7E25">
            <w:pPr>
              <w:pStyle w:val="TableText0"/>
              <w:jc w:val="center"/>
              <w:rPr>
                <w:b/>
              </w:rPr>
            </w:pPr>
            <w:r w:rsidRPr="00D5236B">
              <w:rPr>
                <w:b/>
              </w:rPr>
              <w:t>(95% CI)</w:t>
            </w:r>
          </w:p>
        </w:tc>
        <w:tc>
          <w:tcPr>
            <w:tcW w:w="1905" w:type="dxa"/>
            <w:shd w:val="clear" w:color="auto" w:fill="auto"/>
            <w:vAlign w:val="center"/>
          </w:tcPr>
          <w:p w:rsidR="00D5236B" w:rsidRPr="00D5236B" w:rsidRDefault="00D5236B" w:rsidP="003F7E25">
            <w:pPr>
              <w:pStyle w:val="TableText0"/>
              <w:jc w:val="center"/>
              <w:rPr>
                <w:b/>
              </w:rPr>
            </w:pPr>
            <w:r w:rsidRPr="00D5236B">
              <w:rPr>
                <w:b/>
              </w:rPr>
              <w:t xml:space="preserve">Negative predictive value  </w:t>
            </w:r>
          </w:p>
          <w:p w:rsidR="00D5236B" w:rsidRPr="00D5236B" w:rsidRDefault="00D5236B" w:rsidP="003F7E25">
            <w:pPr>
              <w:pStyle w:val="TableText0"/>
              <w:jc w:val="center"/>
              <w:rPr>
                <w:b/>
              </w:rPr>
            </w:pPr>
            <w:r w:rsidRPr="00D5236B">
              <w:rPr>
                <w:b/>
              </w:rPr>
              <w:t>(95% CI)</w:t>
            </w:r>
          </w:p>
        </w:tc>
      </w:tr>
      <w:tr w:rsidR="009E5DCE" w:rsidRPr="00D5236B" w:rsidTr="00D5236B">
        <w:tc>
          <w:tcPr>
            <w:tcW w:w="1469" w:type="dxa"/>
            <w:shd w:val="clear" w:color="auto" w:fill="auto"/>
            <w:vAlign w:val="center"/>
          </w:tcPr>
          <w:p w:rsidR="00B70B67" w:rsidRPr="00D5236B" w:rsidRDefault="00B70B67" w:rsidP="00C17866">
            <w:pPr>
              <w:pStyle w:val="TableText0"/>
            </w:pPr>
            <w:r w:rsidRPr="00D5236B">
              <w:t>Conway (2014)</w:t>
            </w:r>
          </w:p>
        </w:tc>
        <w:tc>
          <w:tcPr>
            <w:tcW w:w="1547" w:type="dxa"/>
            <w:shd w:val="clear" w:color="auto" w:fill="auto"/>
            <w:vAlign w:val="center"/>
          </w:tcPr>
          <w:p w:rsidR="00B70B67" w:rsidRPr="00D5236B" w:rsidRDefault="00C17866" w:rsidP="00A828A9">
            <w:pPr>
              <w:pStyle w:val="TableText0"/>
              <w:jc w:val="center"/>
            </w:pPr>
            <w:r w:rsidRPr="00D5236B">
              <w:t>87.2%</w:t>
            </w:r>
          </w:p>
          <w:p w:rsidR="00C17866" w:rsidRPr="00D5236B" w:rsidRDefault="00C17866" w:rsidP="00A828A9">
            <w:pPr>
              <w:pStyle w:val="TableText0"/>
              <w:jc w:val="center"/>
            </w:pPr>
            <w:r w:rsidRPr="00D5236B">
              <w:t>(71.8%, 95.2%)</w:t>
            </w:r>
          </w:p>
        </w:tc>
        <w:tc>
          <w:tcPr>
            <w:tcW w:w="1548" w:type="dxa"/>
            <w:shd w:val="clear" w:color="auto" w:fill="auto"/>
            <w:vAlign w:val="center"/>
          </w:tcPr>
          <w:p w:rsidR="00B70B67" w:rsidRPr="00D5236B" w:rsidRDefault="00C17866" w:rsidP="00A828A9">
            <w:pPr>
              <w:pStyle w:val="TableText0"/>
              <w:jc w:val="center"/>
            </w:pPr>
            <w:r w:rsidRPr="00D5236B">
              <w:t>99.4%</w:t>
            </w:r>
          </w:p>
          <w:p w:rsidR="00C17866" w:rsidRPr="00D5236B" w:rsidRDefault="00C17866" w:rsidP="00A828A9">
            <w:pPr>
              <w:pStyle w:val="TableText0"/>
              <w:jc w:val="center"/>
            </w:pPr>
            <w:r w:rsidRPr="00D5236B">
              <w:t>(99.1%, 99.7%)</w:t>
            </w:r>
          </w:p>
        </w:tc>
        <w:tc>
          <w:tcPr>
            <w:tcW w:w="1904" w:type="dxa"/>
            <w:shd w:val="clear" w:color="auto" w:fill="auto"/>
            <w:vAlign w:val="center"/>
          </w:tcPr>
          <w:p w:rsidR="00B70B67" w:rsidRPr="00D5236B" w:rsidRDefault="00C17866" w:rsidP="00A828A9">
            <w:pPr>
              <w:pStyle w:val="TableText0"/>
              <w:jc w:val="center"/>
            </w:pPr>
            <w:r w:rsidRPr="00D5236B">
              <w:t>65.4%</w:t>
            </w:r>
          </w:p>
          <w:p w:rsidR="00C17866" w:rsidRPr="00D5236B" w:rsidRDefault="00C17866" w:rsidP="00A828A9">
            <w:pPr>
              <w:pStyle w:val="TableText0"/>
              <w:jc w:val="center"/>
            </w:pPr>
            <w:r w:rsidRPr="00D5236B">
              <w:t>(50.8%, 77.7%)</w:t>
            </w:r>
          </w:p>
        </w:tc>
        <w:tc>
          <w:tcPr>
            <w:tcW w:w="1905" w:type="dxa"/>
            <w:shd w:val="clear" w:color="auto" w:fill="auto"/>
            <w:vAlign w:val="center"/>
          </w:tcPr>
          <w:p w:rsidR="00B70B67" w:rsidRPr="00D5236B" w:rsidRDefault="00CC0BA9" w:rsidP="00A828A9">
            <w:pPr>
              <w:pStyle w:val="TableText0"/>
              <w:jc w:val="center"/>
            </w:pPr>
            <w:r w:rsidRPr="00D5236B">
              <w:t>99.8%</w:t>
            </w:r>
          </w:p>
          <w:p w:rsidR="00CC0BA9" w:rsidRPr="00D5236B" w:rsidRDefault="00CC0BA9" w:rsidP="00A828A9">
            <w:pPr>
              <w:pStyle w:val="TableText0"/>
              <w:jc w:val="center"/>
            </w:pPr>
            <w:r w:rsidRPr="00D5236B">
              <w:t>(99.6%, 99.9%)</w:t>
            </w:r>
          </w:p>
        </w:tc>
      </w:tr>
      <w:tr w:rsidR="009E5DCE" w:rsidRPr="00D5236B" w:rsidTr="00D5236B">
        <w:tc>
          <w:tcPr>
            <w:tcW w:w="1469" w:type="dxa"/>
            <w:shd w:val="clear" w:color="auto" w:fill="auto"/>
            <w:vAlign w:val="center"/>
          </w:tcPr>
          <w:p w:rsidR="00B70B67" w:rsidRPr="00D5236B" w:rsidRDefault="00C17866" w:rsidP="00C17866">
            <w:pPr>
              <w:pStyle w:val="TableText0"/>
            </w:pPr>
            <w:proofErr w:type="spellStart"/>
            <w:r w:rsidRPr="00D5236B">
              <w:t>Eu</w:t>
            </w:r>
            <w:proofErr w:type="spellEnd"/>
            <w:r w:rsidRPr="00D5236B">
              <w:t xml:space="preserve"> (2014)</w:t>
            </w:r>
          </w:p>
        </w:tc>
        <w:tc>
          <w:tcPr>
            <w:tcW w:w="1547" w:type="dxa"/>
            <w:shd w:val="clear" w:color="auto" w:fill="auto"/>
            <w:vAlign w:val="center"/>
          </w:tcPr>
          <w:p w:rsidR="00C17866" w:rsidRPr="00D5236B" w:rsidRDefault="00C17866" w:rsidP="00A828A9">
            <w:pPr>
              <w:pStyle w:val="TableText0"/>
              <w:jc w:val="center"/>
            </w:pPr>
            <w:r w:rsidRPr="00D5236B">
              <w:t xml:space="preserve">90% </w:t>
            </w:r>
          </w:p>
          <w:p w:rsidR="00B70B67" w:rsidRPr="00D5236B" w:rsidRDefault="00C17866" w:rsidP="00A828A9">
            <w:pPr>
              <w:pStyle w:val="TableText0"/>
              <w:jc w:val="center"/>
            </w:pPr>
            <w:r w:rsidRPr="00D5236B">
              <w:t>(83.2%, 96.8%)</w:t>
            </w:r>
          </w:p>
        </w:tc>
        <w:tc>
          <w:tcPr>
            <w:tcW w:w="1548" w:type="dxa"/>
            <w:shd w:val="clear" w:color="auto" w:fill="auto"/>
            <w:vAlign w:val="center"/>
          </w:tcPr>
          <w:p w:rsidR="00B70B67" w:rsidRPr="00D5236B" w:rsidRDefault="00C17866" w:rsidP="00A828A9">
            <w:pPr>
              <w:pStyle w:val="TableText0"/>
              <w:jc w:val="center"/>
            </w:pPr>
            <w:r w:rsidRPr="00D5236B">
              <w:t>99.7%</w:t>
            </w:r>
          </w:p>
          <w:p w:rsidR="00C17866" w:rsidRPr="00D5236B" w:rsidRDefault="00C17866" w:rsidP="00A828A9">
            <w:pPr>
              <w:pStyle w:val="TableText0"/>
              <w:jc w:val="center"/>
            </w:pPr>
            <w:r w:rsidRPr="00D5236B">
              <w:t>(99.1%, 100%)</w:t>
            </w:r>
          </w:p>
        </w:tc>
        <w:tc>
          <w:tcPr>
            <w:tcW w:w="1904" w:type="dxa"/>
            <w:shd w:val="clear" w:color="auto" w:fill="auto"/>
            <w:vAlign w:val="center"/>
          </w:tcPr>
          <w:p w:rsidR="00B70B67" w:rsidRPr="00D5236B" w:rsidRDefault="00C17866" w:rsidP="00A828A9">
            <w:pPr>
              <w:pStyle w:val="TableText0"/>
              <w:jc w:val="center"/>
            </w:pPr>
            <w:r w:rsidRPr="00D5236B">
              <w:t>90%</w:t>
            </w:r>
          </w:p>
          <w:p w:rsidR="00C17866" w:rsidRPr="00D5236B" w:rsidRDefault="00C17866" w:rsidP="00A828A9">
            <w:pPr>
              <w:pStyle w:val="TableText0"/>
              <w:jc w:val="center"/>
            </w:pPr>
            <w:r w:rsidRPr="00D5236B">
              <w:t>(83.2%, 96.8%)</w:t>
            </w:r>
          </w:p>
        </w:tc>
        <w:tc>
          <w:tcPr>
            <w:tcW w:w="1905" w:type="dxa"/>
            <w:shd w:val="clear" w:color="auto" w:fill="auto"/>
            <w:vAlign w:val="center"/>
          </w:tcPr>
          <w:p w:rsidR="00C17866" w:rsidRPr="00D5236B" w:rsidRDefault="00C17866" w:rsidP="00A828A9">
            <w:pPr>
              <w:pStyle w:val="TableText0"/>
              <w:jc w:val="center"/>
            </w:pPr>
            <w:r w:rsidRPr="00D5236B">
              <w:t>99.7%</w:t>
            </w:r>
          </w:p>
          <w:p w:rsidR="00B70B67" w:rsidRPr="00D5236B" w:rsidRDefault="00C17866" w:rsidP="00A828A9">
            <w:pPr>
              <w:pStyle w:val="TableText0"/>
              <w:jc w:val="center"/>
            </w:pPr>
            <w:r w:rsidRPr="00D5236B">
              <w:t>(99.1%, 100%)</w:t>
            </w:r>
          </w:p>
        </w:tc>
      </w:tr>
      <w:tr w:rsidR="009E5DCE" w:rsidRPr="00D5236B" w:rsidTr="00D5236B">
        <w:tc>
          <w:tcPr>
            <w:tcW w:w="1469" w:type="dxa"/>
            <w:shd w:val="clear" w:color="auto" w:fill="auto"/>
            <w:vAlign w:val="center"/>
          </w:tcPr>
          <w:p w:rsidR="00B70B67" w:rsidRPr="00D5236B" w:rsidRDefault="00C17866" w:rsidP="00C17866">
            <w:pPr>
              <w:pStyle w:val="TableText0"/>
              <w:rPr>
                <w:vertAlign w:val="superscript"/>
              </w:rPr>
            </w:pPr>
            <w:r w:rsidRPr="00D5236B">
              <w:t>Meta-</w:t>
            </w:r>
            <w:proofErr w:type="spellStart"/>
            <w:r w:rsidRPr="00D5236B">
              <w:t>analysis</w:t>
            </w:r>
            <w:r w:rsidRPr="00D5236B">
              <w:rPr>
                <w:vertAlign w:val="superscript"/>
              </w:rPr>
              <w:t>a</w:t>
            </w:r>
            <w:proofErr w:type="spellEnd"/>
          </w:p>
        </w:tc>
        <w:tc>
          <w:tcPr>
            <w:tcW w:w="1547" w:type="dxa"/>
            <w:shd w:val="clear" w:color="auto" w:fill="auto"/>
            <w:vAlign w:val="center"/>
          </w:tcPr>
          <w:p w:rsidR="00B70B67" w:rsidRPr="00D5236B" w:rsidRDefault="00C17866" w:rsidP="00A828A9">
            <w:pPr>
              <w:pStyle w:val="TableText0"/>
              <w:jc w:val="center"/>
            </w:pPr>
            <w:r w:rsidRPr="00D5236B">
              <w:t>87.8%</w:t>
            </w:r>
          </w:p>
          <w:p w:rsidR="00C17866" w:rsidRPr="00D5236B" w:rsidRDefault="00C17866" w:rsidP="00A828A9">
            <w:pPr>
              <w:pStyle w:val="TableText0"/>
              <w:jc w:val="center"/>
            </w:pPr>
            <w:r w:rsidRPr="00D5236B">
              <w:t>(75.2%, 95.4%)</w:t>
            </w:r>
          </w:p>
        </w:tc>
        <w:tc>
          <w:tcPr>
            <w:tcW w:w="1548" w:type="dxa"/>
            <w:shd w:val="clear" w:color="auto" w:fill="auto"/>
            <w:vAlign w:val="center"/>
          </w:tcPr>
          <w:p w:rsidR="00B70B67" w:rsidRPr="00D5236B" w:rsidRDefault="00C17866" w:rsidP="00A828A9">
            <w:pPr>
              <w:pStyle w:val="TableText0"/>
              <w:jc w:val="center"/>
            </w:pPr>
            <w:r w:rsidRPr="00D5236B">
              <w:t>99.4%</w:t>
            </w:r>
          </w:p>
          <w:p w:rsidR="00C17866" w:rsidRPr="00D5236B" w:rsidRDefault="00C17866" w:rsidP="00A828A9">
            <w:pPr>
              <w:pStyle w:val="TableText0"/>
              <w:jc w:val="center"/>
            </w:pPr>
            <w:r w:rsidRPr="00D5236B">
              <w:t>(99.1%, 99.7%)</w:t>
            </w:r>
          </w:p>
        </w:tc>
        <w:tc>
          <w:tcPr>
            <w:tcW w:w="1904" w:type="dxa"/>
            <w:shd w:val="clear" w:color="auto" w:fill="auto"/>
            <w:vAlign w:val="center"/>
          </w:tcPr>
          <w:p w:rsidR="00B70B67" w:rsidRPr="00D5236B" w:rsidRDefault="00C17866" w:rsidP="00A828A9">
            <w:pPr>
              <w:pStyle w:val="TableText0"/>
              <w:jc w:val="center"/>
            </w:pPr>
            <w:r w:rsidRPr="00D5236B">
              <w:t>NC</w:t>
            </w:r>
          </w:p>
        </w:tc>
        <w:tc>
          <w:tcPr>
            <w:tcW w:w="1905" w:type="dxa"/>
            <w:shd w:val="clear" w:color="auto" w:fill="auto"/>
            <w:vAlign w:val="center"/>
          </w:tcPr>
          <w:p w:rsidR="00B70B67" w:rsidRPr="00D5236B" w:rsidRDefault="00C17866" w:rsidP="00A828A9">
            <w:pPr>
              <w:pStyle w:val="TableText0"/>
              <w:jc w:val="center"/>
            </w:pPr>
            <w:r w:rsidRPr="00D5236B">
              <w:t>NC</w:t>
            </w:r>
          </w:p>
        </w:tc>
      </w:tr>
    </w:tbl>
    <w:p w:rsidR="00C17866" w:rsidRPr="00C17866" w:rsidRDefault="00C17866" w:rsidP="00C17866">
      <w:pPr>
        <w:pStyle w:val="TableNotes"/>
        <w:tabs>
          <w:tab w:val="left" w:pos="993"/>
        </w:tabs>
      </w:pPr>
      <w:r>
        <w:t>Abbreviations: NC=</w:t>
      </w:r>
      <w:proofErr w:type="spellStart"/>
      <w:r>
        <w:t>not</w:t>
      </w:r>
      <w:proofErr w:type="spellEnd"/>
      <w:r>
        <w:t xml:space="preserve"> calculable </w:t>
      </w:r>
    </w:p>
    <w:p w:rsidR="00B70B67" w:rsidRDefault="00C17866" w:rsidP="00082DE0">
      <w:pPr>
        <w:pStyle w:val="TableNotes"/>
        <w:tabs>
          <w:tab w:val="left" w:pos="993"/>
        </w:tabs>
        <w:ind w:left="993" w:hanging="273"/>
      </w:pPr>
      <w:proofErr w:type="gramStart"/>
      <w:r>
        <w:rPr>
          <w:vertAlign w:val="superscript"/>
        </w:rPr>
        <w:t>a</w:t>
      </w:r>
      <w:proofErr w:type="gramEnd"/>
      <w:r>
        <w:tab/>
        <w:t xml:space="preserve">conducted using </w:t>
      </w:r>
      <w:proofErr w:type="spellStart"/>
      <w:r>
        <w:t>MetaDisc</w:t>
      </w:r>
      <w:proofErr w:type="spellEnd"/>
      <w:r w:rsidR="00082DE0">
        <w:t xml:space="preserve">.  It is noted that the reported 95% confidence intervals could not be replicated when using </w:t>
      </w:r>
      <w:proofErr w:type="spellStart"/>
      <w:proofErr w:type="gramStart"/>
      <w:r w:rsidR="00082DE0">
        <w:t>MetaDisc</w:t>
      </w:r>
      <w:proofErr w:type="spellEnd"/>
      <w:r w:rsidR="00082DE0">
        <w:t>,</w:t>
      </w:r>
      <w:proofErr w:type="gramEnd"/>
      <w:r w:rsidR="00082DE0">
        <w:t xml:space="preserve"> however the estimated overall confidence intervals are </w:t>
      </w:r>
      <w:r w:rsidR="00F15149">
        <w:t>deemed reliable</w:t>
      </w:r>
    </w:p>
    <w:p w:rsidR="00F15149" w:rsidRDefault="00F15149" w:rsidP="00082DE0">
      <w:pPr>
        <w:pStyle w:val="TableNotes"/>
        <w:tabs>
          <w:tab w:val="left" w:pos="993"/>
        </w:tabs>
        <w:ind w:left="993" w:hanging="273"/>
      </w:pPr>
      <w:r>
        <w:t xml:space="preserve">Source: Table 3, p 5 of Conway (2014) and Figure 1, p90 of </w:t>
      </w:r>
      <w:proofErr w:type="spellStart"/>
      <w:r>
        <w:t>Eu</w:t>
      </w:r>
      <w:proofErr w:type="spellEnd"/>
      <w:r>
        <w:t xml:space="preserve"> (2014)</w:t>
      </w:r>
    </w:p>
    <w:p w:rsidR="0053046E" w:rsidRDefault="00F56D1C" w:rsidP="00C17866">
      <w:r>
        <w:t xml:space="preserve">Conway (2014) reports that 34 of 39 true positives (five false negatives) were detected by DHC.  There were 3,151 true negatives among the participants; the DHC test indicated that 3,133 were negative (18 false positives).  Of the 18 false positives, 14 had follow-up testing and were determined to be negative; the remaining four declined or did not attend for further testing.  No significant differences in the median CD4 </w:t>
      </w:r>
      <w:r w:rsidR="008360C6">
        <w:t xml:space="preserve">positive </w:t>
      </w:r>
      <w:r>
        <w:t xml:space="preserve">T-cell count were observed amongst those who were </w:t>
      </w:r>
      <w:r w:rsidR="0053046E">
        <w:t>true</w:t>
      </w:r>
      <w:r>
        <w:t xml:space="preserve"> positive or false negative, however median HIV RNA was statistically significantly higher in those who were false negative (</w:t>
      </w:r>
      <w:r w:rsidR="0053046E">
        <w:t>238,025 copies/m</w:t>
      </w:r>
      <w:r w:rsidR="0047059D">
        <w:t>L</w:t>
      </w:r>
      <w:r w:rsidR="0053046E">
        <w:t>) compared with true positives (</w:t>
      </w:r>
      <w:r>
        <w:t>37,591 c</w:t>
      </w:r>
      <w:r w:rsidR="0053046E">
        <w:t>o</w:t>
      </w:r>
      <w:r w:rsidR="0047059D">
        <w:t>pies/mL</w:t>
      </w:r>
      <w:r w:rsidR="0053046E">
        <w:t>)</w:t>
      </w:r>
      <w:r>
        <w:t>; p=0.022.</w:t>
      </w:r>
      <w:r w:rsidR="0053046E">
        <w:t xml:space="preserve">  Additionally, a statistically significantly greater proportion of false negatives (80%) compared with true positives (24%) were categorised as having early HIV infection (p=0.025).  </w:t>
      </w:r>
    </w:p>
    <w:p w:rsidR="0053046E" w:rsidRDefault="0053046E" w:rsidP="00C17866">
      <w:proofErr w:type="spellStart"/>
      <w:proofErr w:type="gramStart"/>
      <w:r>
        <w:t>Eu</w:t>
      </w:r>
      <w:proofErr w:type="spellEnd"/>
      <w:r>
        <w:t xml:space="preserve"> (2014) reports that </w:t>
      </w:r>
      <w:r w:rsidR="006822C8">
        <w:t>10</w:t>
      </w:r>
      <w:r w:rsidR="00E73CC7">
        <w:t xml:space="preserve"> participants were diagnosed with HIV during the study period</w:t>
      </w:r>
      <w:r w:rsidR="006822C8">
        <w:t>; three of whom were seroconverting and confirmed at a later time</w:t>
      </w:r>
      <w:r w:rsidR="00E73CC7">
        <w:t>.</w:t>
      </w:r>
      <w:proofErr w:type="gramEnd"/>
      <w:r w:rsidR="00E73CC7">
        <w:t xml:space="preserve">  Ten specimens </w:t>
      </w:r>
      <w:r w:rsidR="006822C8">
        <w:t xml:space="preserve">were reactive to the DHC test, of which nine were true positives (one false positive).  A further participant deemed non-reactive to the DHC test was subsequently determined to be seroconverting (false negative). </w:t>
      </w:r>
      <w:r w:rsidR="00664280">
        <w:t xml:space="preserve"> </w:t>
      </w:r>
      <w:r w:rsidR="00AF2368">
        <w:t>There were no positive HIV antigen results in the sample.</w:t>
      </w:r>
    </w:p>
    <w:p w:rsidR="00C17866" w:rsidRDefault="0053046E" w:rsidP="00C17866">
      <w:r>
        <w:t xml:space="preserve">Conway (2014) </w:t>
      </w:r>
      <w:r w:rsidR="00F15149">
        <w:t>reports</w:t>
      </w:r>
      <w:r>
        <w:t xml:space="preserve"> that none of the three specimens categorised as having acute infection were identified by the DHC.  </w:t>
      </w:r>
      <w:proofErr w:type="spellStart"/>
      <w:r w:rsidR="00F15149">
        <w:t>Eu</w:t>
      </w:r>
      <w:proofErr w:type="spellEnd"/>
      <w:r w:rsidR="00F15149">
        <w:t xml:space="preserve"> (2014) report</w:t>
      </w:r>
      <w:r w:rsidR="00BA5C64">
        <w:t>ed</w:t>
      </w:r>
      <w:r w:rsidR="00F15149">
        <w:t xml:space="preserve"> that the DHC test detect</w:t>
      </w:r>
      <w:r w:rsidR="00FB7EDF">
        <w:t>ed</w:t>
      </w:r>
      <w:r w:rsidR="00F15149">
        <w:t xml:space="preserve"> two of the three </w:t>
      </w:r>
      <w:proofErr w:type="spellStart"/>
      <w:r w:rsidR="00F15149">
        <w:t>seroconverters</w:t>
      </w:r>
      <w:proofErr w:type="spellEnd"/>
      <w:r w:rsidR="00F15149">
        <w:t>.</w:t>
      </w:r>
    </w:p>
    <w:p w:rsidR="000F012B" w:rsidRPr="000F012B" w:rsidRDefault="000F012B" w:rsidP="00C17866">
      <w:pPr>
        <w:rPr>
          <w:b/>
        </w:rPr>
      </w:pPr>
      <w:r>
        <w:rPr>
          <w:b/>
        </w:rPr>
        <w:t>Additional outcomes reported in Conway (</w:t>
      </w:r>
      <w:r w:rsidR="00BA5C64">
        <w:rPr>
          <w:b/>
        </w:rPr>
        <w:t xml:space="preserve">2013a, 2013b, </w:t>
      </w:r>
      <w:r>
        <w:rPr>
          <w:b/>
        </w:rPr>
        <w:t xml:space="preserve">2014) and </w:t>
      </w:r>
      <w:proofErr w:type="spellStart"/>
      <w:r>
        <w:rPr>
          <w:b/>
        </w:rPr>
        <w:t>Eu</w:t>
      </w:r>
      <w:proofErr w:type="spellEnd"/>
      <w:r>
        <w:rPr>
          <w:b/>
        </w:rPr>
        <w:t xml:space="preserve"> (2014)</w:t>
      </w:r>
    </w:p>
    <w:p w:rsidR="000F012B" w:rsidRPr="000F012B" w:rsidRDefault="000F012B" w:rsidP="00C17866">
      <w:pPr>
        <w:rPr>
          <w:u w:val="single"/>
        </w:rPr>
      </w:pPr>
      <w:r>
        <w:rPr>
          <w:u w:val="single"/>
        </w:rPr>
        <w:t xml:space="preserve">Diagnostic characteristics for the components (antigen and antibody) of the DHC test </w:t>
      </w:r>
    </w:p>
    <w:p w:rsidR="00F15149" w:rsidRDefault="00F15149" w:rsidP="00C17866">
      <w:r>
        <w:t xml:space="preserve">Conway (2014) presents further diagnostic accuracy results based on the antigen and antibody components of the test, summarised </w:t>
      </w:r>
      <w:r w:rsidRPr="00EF29C3">
        <w:t xml:space="preserve">in Table </w:t>
      </w:r>
      <w:r w:rsidR="00EF29C3" w:rsidRPr="00EF29C3">
        <w:t>13</w:t>
      </w:r>
      <w:r w:rsidRPr="00EF29C3">
        <w:t>.</w:t>
      </w:r>
    </w:p>
    <w:p w:rsidR="0047059D" w:rsidRDefault="0047059D">
      <w:pPr>
        <w:spacing w:after="0"/>
        <w:ind w:left="0"/>
        <w:rPr>
          <w:rFonts w:ascii="Arial Narrow" w:hAnsi="Arial Narrow"/>
          <w:b/>
          <w:bCs/>
          <w:sz w:val="20"/>
        </w:rPr>
      </w:pPr>
      <w:bookmarkStart w:id="115" w:name="_Toc415103517"/>
      <w:bookmarkStart w:id="116" w:name="_Toc418225006"/>
      <w:bookmarkStart w:id="117" w:name="_Toc418225652"/>
      <w:r>
        <w:br w:type="page"/>
      </w:r>
    </w:p>
    <w:p w:rsidR="00F15149" w:rsidRPr="00D5236B" w:rsidRDefault="00F15149" w:rsidP="00664280">
      <w:pPr>
        <w:pStyle w:val="Caption"/>
        <w:ind w:left="1701" w:hanging="981"/>
      </w:pPr>
      <w:r w:rsidRPr="00EF29C3">
        <w:lastRenderedPageBreak/>
        <w:t xml:space="preserve">Table </w:t>
      </w:r>
      <w:r w:rsidR="00EF29C3" w:rsidRPr="00EF29C3">
        <w:t>13</w:t>
      </w:r>
      <w:r w:rsidRPr="00EF29C3">
        <w:tab/>
        <w:t>Diagnostic</w:t>
      </w:r>
      <w:r w:rsidRPr="00D5236B">
        <w:t xml:space="preserve"> characteristics of the components of the DHC test compared with serology testing for HIV reported in Conway (2014)</w:t>
      </w:r>
      <w:bookmarkEnd w:id="115"/>
      <w:bookmarkEnd w:id="116"/>
      <w:bookmarkEnd w:id="117"/>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Diagnostic characteristics of the components of the DHC test compared with serology testing for HIV reported in Conway (2014). The sensitivity, specificity, and positive and negative predicitive values of the antigen and antibody components of the DHC test compared with serology"/>
      </w:tblPr>
      <w:tblGrid>
        <w:gridCol w:w="1469"/>
        <w:gridCol w:w="1488"/>
        <w:gridCol w:w="1488"/>
        <w:gridCol w:w="1964"/>
        <w:gridCol w:w="1964"/>
      </w:tblGrid>
      <w:tr w:rsidR="00D5236B" w:rsidRPr="00D5236B" w:rsidTr="00AC4CCC">
        <w:trPr>
          <w:tblHeader/>
        </w:trPr>
        <w:tc>
          <w:tcPr>
            <w:tcW w:w="1469" w:type="dxa"/>
            <w:shd w:val="clear" w:color="auto" w:fill="auto"/>
          </w:tcPr>
          <w:p w:rsidR="00D5236B" w:rsidRPr="00D5236B" w:rsidRDefault="00D5236B" w:rsidP="00FD5099">
            <w:pPr>
              <w:pStyle w:val="TableText0"/>
              <w:rPr>
                <w:b/>
              </w:rPr>
            </w:pPr>
          </w:p>
        </w:tc>
        <w:tc>
          <w:tcPr>
            <w:tcW w:w="1488" w:type="dxa"/>
            <w:shd w:val="clear" w:color="auto" w:fill="auto"/>
            <w:vAlign w:val="center"/>
          </w:tcPr>
          <w:p w:rsidR="00D5236B" w:rsidRPr="00D5236B" w:rsidRDefault="00D5236B" w:rsidP="003F7E25">
            <w:pPr>
              <w:pStyle w:val="TableText0"/>
              <w:jc w:val="center"/>
              <w:rPr>
                <w:b/>
              </w:rPr>
            </w:pPr>
            <w:r w:rsidRPr="00D5236B">
              <w:rPr>
                <w:b/>
              </w:rPr>
              <w:t xml:space="preserve">Sensitivity </w:t>
            </w:r>
          </w:p>
          <w:p w:rsidR="00D5236B" w:rsidRPr="00D5236B" w:rsidRDefault="00D5236B" w:rsidP="003F7E25">
            <w:pPr>
              <w:pStyle w:val="TableText0"/>
              <w:jc w:val="center"/>
              <w:rPr>
                <w:b/>
              </w:rPr>
            </w:pPr>
            <w:r w:rsidRPr="00D5236B">
              <w:rPr>
                <w:b/>
              </w:rPr>
              <w:t>(95% CI)</w:t>
            </w:r>
          </w:p>
        </w:tc>
        <w:tc>
          <w:tcPr>
            <w:tcW w:w="1488" w:type="dxa"/>
            <w:shd w:val="clear" w:color="auto" w:fill="auto"/>
            <w:vAlign w:val="center"/>
          </w:tcPr>
          <w:p w:rsidR="00D5236B" w:rsidRPr="00D5236B" w:rsidRDefault="00D5236B" w:rsidP="003F7E25">
            <w:pPr>
              <w:pStyle w:val="TableText0"/>
              <w:jc w:val="center"/>
              <w:rPr>
                <w:b/>
              </w:rPr>
            </w:pPr>
            <w:r w:rsidRPr="00D5236B">
              <w:rPr>
                <w:b/>
              </w:rPr>
              <w:t xml:space="preserve">Specificity </w:t>
            </w:r>
          </w:p>
          <w:p w:rsidR="00D5236B" w:rsidRPr="00D5236B" w:rsidRDefault="00D5236B" w:rsidP="003F7E25">
            <w:pPr>
              <w:pStyle w:val="TableText0"/>
              <w:jc w:val="center"/>
              <w:rPr>
                <w:b/>
              </w:rPr>
            </w:pPr>
            <w:r w:rsidRPr="00D5236B">
              <w:rPr>
                <w:b/>
              </w:rPr>
              <w:t>(95% CI)</w:t>
            </w:r>
          </w:p>
        </w:tc>
        <w:tc>
          <w:tcPr>
            <w:tcW w:w="1964" w:type="dxa"/>
            <w:shd w:val="clear" w:color="auto" w:fill="auto"/>
            <w:vAlign w:val="center"/>
          </w:tcPr>
          <w:p w:rsidR="00D5236B" w:rsidRPr="00D5236B" w:rsidRDefault="00D5236B" w:rsidP="003F7E25">
            <w:pPr>
              <w:pStyle w:val="TableText0"/>
              <w:jc w:val="center"/>
              <w:rPr>
                <w:b/>
              </w:rPr>
            </w:pPr>
            <w:r w:rsidRPr="00D5236B">
              <w:rPr>
                <w:b/>
              </w:rPr>
              <w:t>Positive predictive value</w:t>
            </w:r>
          </w:p>
          <w:p w:rsidR="00D5236B" w:rsidRPr="00D5236B" w:rsidRDefault="00D5236B" w:rsidP="003F7E25">
            <w:pPr>
              <w:pStyle w:val="TableText0"/>
              <w:jc w:val="center"/>
              <w:rPr>
                <w:b/>
              </w:rPr>
            </w:pPr>
            <w:r w:rsidRPr="00D5236B">
              <w:rPr>
                <w:b/>
              </w:rPr>
              <w:t>(95% CI)</w:t>
            </w:r>
          </w:p>
        </w:tc>
        <w:tc>
          <w:tcPr>
            <w:tcW w:w="1964" w:type="dxa"/>
            <w:shd w:val="clear" w:color="auto" w:fill="auto"/>
            <w:vAlign w:val="center"/>
          </w:tcPr>
          <w:p w:rsidR="00D5236B" w:rsidRPr="00D5236B" w:rsidRDefault="00D5236B" w:rsidP="003F7E25">
            <w:pPr>
              <w:pStyle w:val="TableText0"/>
              <w:jc w:val="center"/>
              <w:rPr>
                <w:b/>
              </w:rPr>
            </w:pPr>
            <w:r w:rsidRPr="00D5236B">
              <w:rPr>
                <w:b/>
              </w:rPr>
              <w:t xml:space="preserve">Negative predictive value  </w:t>
            </w:r>
          </w:p>
          <w:p w:rsidR="00D5236B" w:rsidRPr="00D5236B" w:rsidRDefault="00D5236B" w:rsidP="003F7E25">
            <w:pPr>
              <w:pStyle w:val="TableText0"/>
              <w:jc w:val="center"/>
              <w:rPr>
                <w:b/>
              </w:rPr>
            </w:pPr>
            <w:r w:rsidRPr="00D5236B">
              <w:rPr>
                <w:b/>
              </w:rPr>
              <w:t>(95% CI)</w:t>
            </w:r>
          </w:p>
        </w:tc>
      </w:tr>
      <w:tr w:rsidR="00D5236B" w:rsidRPr="00D5236B" w:rsidTr="00D5236B">
        <w:tc>
          <w:tcPr>
            <w:tcW w:w="1469" w:type="dxa"/>
            <w:shd w:val="clear" w:color="auto" w:fill="auto"/>
            <w:vAlign w:val="center"/>
          </w:tcPr>
          <w:p w:rsidR="00D5236B" w:rsidRPr="00D5236B" w:rsidRDefault="00D5236B" w:rsidP="00FD5099">
            <w:pPr>
              <w:pStyle w:val="TableText0"/>
            </w:pPr>
            <w:r w:rsidRPr="00D5236B">
              <w:t>Antigen</w:t>
            </w:r>
          </w:p>
        </w:tc>
        <w:tc>
          <w:tcPr>
            <w:tcW w:w="1488" w:type="dxa"/>
            <w:shd w:val="clear" w:color="auto" w:fill="auto"/>
            <w:vAlign w:val="center"/>
          </w:tcPr>
          <w:p w:rsidR="00D5236B" w:rsidRPr="00D5236B" w:rsidRDefault="00D5236B" w:rsidP="00A828A9">
            <w:pPr>
              <w:pStyle w:val="TableText0"/>
              <w:jc w:val="center"/>
            </w:pPr>
            <w:r w:rsidRPr="00D5236B">
              <w:t>0.00%</w:t>
            </w:r>
          </w:p>
          <w:p w:rsidR="00D5236B" w:rsidRPr="00D5236B" w:rsidRDefault="00D5236B" w:rsidP="00A828A9">
            <w:pPr>
              <w:pStyle w:val="TableText0"/>
              <w:jc w:val="center"/>
            </w:pPr>
            <w:r w:rsidRPr="00D5236B">
              <w:t>(0.00%, 37.1%)</w:t>
            </w:r>
          </w:p>
        </w:tc>
        <w:tc>
          <w:tcPr>
            <w:tcW w:w="1488" w:type="dxa"/>
            <w:shd w:val="clear" w:color="auto" w:fill="auto"/>
            <w:vAlign w:val="center"/>
          </w:tcPr>
          <w:p w:rsidR="00D5236B" w:rsidRPr="00D5236B" w:rsidRDefault="00D5236B" w:rsidP="00A828A9">
            <w:pPr>
              <w:pStyle w:val="TableText0"/>
              <w:jc w:val="center"/>
            </w:pPr>
            <w:r w:rsidRPr="00D5236B">
              <w:t>99.8%</w:t>
            </w:r>
          </w:p>
          <w:p w:rsidR="00D5236B" w:rsidRPr="00D5236B" w:rsidRDefault="00D5236B" w:rsidP="00A828A9">
            <w:pPr>
              <w:pStyle w:val="TableText0"/>
              <w:jc w:val="center"/>
            </w:pPr>
            <w:r w:rsidRPr="00D5236B">
              <w:t>(99.6%, 99.9%)</w:t>
            </w:r>
          </w:p>
        </w:tc>
        <w:tc>
          <w:tcPr>
            <w:tcW w:w="1964" w:type="dxa"/>
            <w:shd w:val="clear" w:color="auto" w:fill="auto"/>
            <w:vAlign w:val="center"/>
          </w:tcPr>
          <w:p w:rsidR="00D5236B" w:rsidRPr="00D5236B" w:rsidRDefault="00D5236B" w:rsidP="00A828A9">
            <w:pPr>
              <w:pStyle w:val="TableText0"/>
              <w:jc w:val="center"/>
            </w:pPr>
            <w:r w:rsidRPr="00D5236B">
              <w:t>0.00%</w:t>
            </w:r>
          </w:p>
          <w:p w:rsidR="00D5236B" w:rsidRPr="00D5236B" w:rsidRDefault="00D5236B" w:rsidP="00A828A9">
            <w:pPr>
              <w:pStyle w:val="TableText0"/>
              <w:jc w:val="center"/>
            </w:pPr>
            <w:r w:rsidRPr="00D5236B">
              <w:t>(0.00%, 48.3%)</w:t>
            </w:r>
          </w:p>
        </w:tc>
        <w:tc>
          <w:tcPr>
            <w:tcW w:w="1964" w:type="dxa"/>
            <w:shd w:val="clear" w:color="auto" w:fill="auto"/>
            <w:vAlign w:val="center"/>
          </w:tcPr>
          <w:p w:rsidR="00D5236B" w:rsidRPr="00D5236B" w:rsidRDefault="00D5236B" w:rsidP="00A828A9">
            <w:pPr>
              <w:pStyle w:val="TableText0"/>
              <w:jc w:val="center"/>
            </w:pPr>
            <w:r w:rsidRPr="00D5236B">
              <w:t>99.7%</w:t>
            </w:r>
          </w:p>
          <w:p w:rsidR="00D5236B" w:rsidRPr="00D5236B" w:rsidRDefault="00D5236B" w:rsidP="00A828A9">
            <w:pPr>
              <w:pStyle w:val="TableText0"/>
              <w:jc w:val="center"/>
            </w:pPr>
            <w:r w:rsidRPr="00D5236B">
              <w:t xml:space="preserve">(99.4%, 100%) </w:t>
            </w:r>
          </w:p>
        </w:tc>
      </w:tr>
      <w:tr w:rsidR="00D5236B" w:rsidRPr="00D5236B" w:rsidTr="00D5236B">
        <w:tc>
          <w:tcPr>
            <w:tcW w:w="1469" w:type="dxa"/>
            <w:shd w:val="clear" w:color="auto" w:fill="auto"/>
            <w:vAlign w:val="center"/>
          </w:tcPr>
          <w:p w:rsidR="00D5236B" w:rsidRPr="00D5236B" w:rsidRDefault="00D5236B" w:rsidP="00FD5099">
            <w:pPr>
              <w:pStyle w:val="TableText0"/>
            </w:pPr>
            <w:r w:rsidRPr="00D5236B">
              <w:t>Antibody</w:t>
            </w:r>
          </w:p>
        </w:tc>
        <w:tc>
          <w:tcPr>
            <w:tcW w:w="1488" w:type="dxa"/>
            <w:shd w:val="clear" w:color="auto" w:fill="auto"/>
            <w:vAlign w:val="center"/>
          </w:tcPr>
          <w:p w:rsidR="00D5236B" w:rsidRPr="00D5236B" w:rsidRDefault="00D5236B" w:rsidP="00A828A9">
            <w:pPr>
              <w:pStyle w:val="TableText0"/>
              <w:jc w:val="center"/>
            </w:pPr>
            <w:r w:rsidRPr="00D5236B">
              <w:t>94.4%</w:t>
            </w:r>
          </w:p>
          <w:p w:rsidR="00D5236B" w:rsidRPr="00D5236B" w:rsidRDefault="00D5236B" w:rsidP="00A828A9">
            <w:pPr>
              <w:pStyle w:val="TableText0"/>
              <w:jc w:val="center"/>
            </w:pPr>
            <w:r w:rsidRPr="00D5236B">
              <w:t>(80.0%, 99.0%)</w:t>
            </w:r>
          </w:p>
        </w:tc>
        <w:tc>
          <w:tcPr>
            <w:tcW w:w="1488" w:type="dxa"/>
            <w:shd w:val="clear" w:color="auto" w:fill="auto"/>
            <w:vAlign w:val="center"/>
          </w:tcPr>
          <w:p w:rsidR="00D5236B" w:rsidRPr="00D5236B" w:rsidRDefault="00D5236B" w:rsidP="00A828A9">
            <w:pPr>
              <w:pStyle w:val="TableText0"/>
              <w:jc w:val="center"/>
            </w:pPr>
            <w:r w:rsidRPr="00D5236B">
              <w:t>99.6%</w:t>
            </w:r>
          </w:p>
          <w:p w:rsidR="00D5236B" w:rsidRPr="00D5236B" w:rsidRDefault="00D5236B" w:rsidP="00A828A9">
            <w:pPr>
              <w:pStyle w:val="TableText0"/>
              <w:jc w:val="center"/>
            </w:pPr>
            <w:r w:rsidRPr="00D5236B">
              <w:t>(99.2%, 99.8%)</w:t>
            </w:r>
          </w:p>
        </w:tc>
        <w:tc>
          <w:tcPr>
            <w:tcW w:w="1964" w:type="dxa"/>
            <w:shd w:val="clear" w:color="auto" w:fill="auto"/>
            <w:vAlign w:val="center"/>
          </w:tcPr>
          <w:p w:rsidR="00D5236B" w:rsidRPr="00D5236B" w:rsidRDefault="00D5236B" w:rsidP="00A828A9">
            <w:pPr>
              <w:pStyle w:val="TableText0"/>
              <w:jc w:val="center"/>
            </w:pPr>
            <w:r w:rsidRPr="00D5236B">
              <w:t>70.8%</w:t>
            </w:r>
          </w:p>
          <w:p w:rsidR="00D5236B" w:rsidRPr="00D5236B" w:rsidRDefault="00D5236B" w:rsidP="00A828A9">
            <w:pPr>
              <w:pStyle w:val="TableText0"/>
              <w:jc w:val="center"/>
            </w:pPr>
            <w:r w:rsidRPr="00D5236B">
              <w:t>(55.7%, 82.6%)</w:t>
            </w:r>
          </w:p>
        </w:tc>
        <w:tc>
          <w:tcPr>
            <w:tcW w:w="1964" w:type="dxa"/>
            <w:shd w:val="clear" w:color="auto" w:fill="auto"/>
            <w:vAlign w:val="center"/>
          </w:tcPr>
          <w:p w:rsidR="00D5236B" w:rsidRPr="00D5236B" w:rsidRDefault="00D5236B" w:rsidP="00A828A9">
            <w:pPr>
              <w:pStyle w:val="TableText0"/>
              <w:jc w:val="center"/>
            </w:pPr>
            <w:r w:rsidRPr="00D5236B">
              <w:t>99.9%</w:t>
            </w:r>
          </w:p>
          <w:p w:rsidR="00D5236B" w:rsidRPr="00D5236B" w:rsidRDefault="00D5236B" w:rsidP="00A828A9">
            <w:pPr>
              <w:pStyle w:val="TableText0"/>
              <w:jc w:val="center"/>
            </w:pPr>
            <w:r w:rsidRPr="00D5236B">
              <w:t>(99.7%, 100%)</w:t>
            </w:r>
          </w:p>
        </w:tc>
      </w:tr>
    </w:tbl>
    <w:p w:rsidR="00F15149" w:rsidRDefault="00F15149" w:rsidP="00F15149">
      <w:pPr>
        <w:pStyle w:val="TableNotes"/>
        <w:tabs>
          <w:tab w:val="left" w:pos="993"/>
        </w:tabs>
        <w:ind w:left="993" w:hanging="273"/>
      </w:pPr>
      <w:r>
        <w:t>Source: Table 3, p 5 of Conway (2014)</w:t>
      </w:r>
    </w:p>
    <w:p w:rsidR="00A97EA4" w:rsidRDefault="000F012B" w:rsidP="00C17866">
      <w:r>
        <w:t xml:space="preserve">Conway (2014) reports that of the 36 HIV antibody cases, 34 were detected by the antibody component of the DHC test (two false negatives).  Thirty-one cases were both HIV antibody and antigen positive by reference testing, of which 30 were identified as reactive by the antibody component of the DHC test. </w:t>
      </w:r>
      <w:r w:rsidR="00A97EA4">
        <w:t xml:space="preserve"> </w:t>
      </w:r>
    </w:p>
    <w:p w:rsidR="00AF2368" w:rsidRDefault="00A97EA4" w:rsidP="00C17866">
      <w:r>
        <w:t>The antigen component of the DHC failed to identify any of the nine cases who were HIV p24 antigen positive by reference testing; where these nine cases had p24 antigen titres ranging from</w:t>
      </w:r>
      <w:r w:rsidR="0047059D">
        <w:t xml:space="preserve"> 66 </w:t>
      </w:r>
      <w:proofErr w:type="gramStart"/>
      <w:r w:rsidR="0047059D">
        <w:t xml:space="preserve">to 701 (median of 115) </w:t>
      </w:r>
      <w:proofErr w:type="spellStart"/>
      <w:r w:rsidR="0047059D">
        <w:t>pg</w:t>
      </w:r>
      <w:proofErr w:type="spellEnd"/>
      <w:r w:rsidR="0047059D">
        <w:t>/</w:t>
      </w:r>
      <w:proofErr w:type="spellStart"/>
      <w:r w:rsidR="0047059D">
        <w:t>mL</w:t>
      </w:r>
      <w:proofErr w:type="gramEnd"/>
      <w:r>
        <w:t>.</w:t>
      </w:r>
      <w:proofErr w:type="spellEnd"/>
      <w:r>
        <w:t xml:space="preserve">  </w:t>
      </w:r>
      <w:r w:rsidR="00FB7EDF">
        <w:t xml:space="preserve">Of the 18 overall false positive results from the DHC test, four were positive to the antigen component of the test, 12 to the antibody component and two to both; such that the antigen component contributed to six of the 18 (33%) false positive results.  Additionally, the antigen component of the DHC test failed to detect antigen in six of 12 specimens categorised as being early infection, </w:t>
      </w:r>
      <w:r w:rsidR="004C5462">
        <w:t xml:space="preserve">where these six cases had p24 antigen titres ranging from 66 </w:t>
      </w:r>
      <w:proofErr w:type="gramStart"/>
      <w:r w:rsidR="004C5462">
        <w:t xml:space="preserve">to 701 (median of 129) </w:t>
      </w:r>
      <w:proofErr w:type="spellStart"/>
      <w:r w:rsidR="004C5462">
        <w:t>pg</w:t>
      </w:r>
      <w:proofErr w:type="spellEnd"/>
      <w:r w:rsidR="004C5462">
        <w:t>/</w:t>
      </w:r>
      <w:proofErr w:type="spellStart"/>
      <w:r w:rsidR="004C5462">
        <w:t>m</w:t>
      </w:r>
      <w:r w:rsidR="0047059D">
        <w:t>L</w:t>
      </w:r>
      <w:proofErr w:type="gramEnd"/>
      <w:r w:rsidR="004C5462">
        <w:t>.</w:t>
      </w:r>
      <w:proofErr w:type="spellEnd"/>
      <w:r w:rsidR="0047059D">
        <w:t xml:space="preserve">  Notably, all of these specimens had viral titres above the reported analytical cut off for the p24 antigen of approximately 12.5-25pg/mL (see “The test”).</w:t>
      </w:r>
    </w:p>
    <w:p w:rsidR="00AF2368" w:rsidRDefault="00AF2368" w:rsidP="00C17866">
      <w:pPr>
        <w:rPr>
          <w:u w:val="single"/>
        </w:rPr>
      </w:pPr>
      <w:r>
        <w:rPr>
          <w:u w:val="single"/>
        </w:rPr>
        <w:t>Patient satisfaction</w:t>
      </w:r>
    </w:p>
    <w:p w:rsidR="00F15149" w:rsidRDefault="00AF2368" w:rsidP="00C17866">
      <w:proofErr w:type="spellStart"/>
      <w:r>
        <w:t>Eu</w:t>
      </w:r>
      <w:proofErr w:type="spellEnd"/>
      <w:r>
        <w:t xml:space="preserve"> (2014) reports data collected during the study period relating to patient satisfaction.  A total of 146 </w:t>
      </w:r>
      <w:r w:rsidR="004A00AA">
        <w:t xml:space="preserve">completed </w:t>
      </w:r>
      <w:r>
        <w:t xml:space="preserve">questionnaires were </w:t>
      </w:r>
      <w:r w:rsidR="004A00AA">
        <w:t>provided</w:t>
      </w:r>
      <w:r>
        <w:t xml:space="preserve"> by 270 participants.  Responses to the questionnaires indicated that </w:t>
      </w:r>
      <w:r w:rsidRPr="00EF29C3">
        <w:rPr>
          <w:u w:val="single"/>
        </w:rPr>
        <w:t xml:space="preserve">one in five (20%; 95% CI: 14-26%) would not have a HIV test if a rapid </w:t>
      </w:r>
      <w:r w:rsidR="004A6FA6" w:rsidRPr="00EF29C3">
        <w:rPr>
          <w:u w:val="single"/>
        </w:rPr>
        <w:t>point-of-care</w:t>
      </w:r>
      <w:r w:rsidRPr="00EF29C3">
        <w:rPr>
          <w:u w:val="single"/>
        </w:rPr>
        <w:t xml:space="preserve"> test were not available</w:t>
      </w:r>
      <w:r>
        <w:t xml:space="preserve"> and most (57%; 95% CI: 49-65%) said they would test more often because rapid </w:t>
      </w:r>
      <w:r w:rsidR="004A6FA6">
        <w:t>point-of-care</w:t>
      </w:r>
      <w:r>
        <w:t xml:space="preserve"> tests were available.  Responses also indicated that satisfaction with the test was high (98.6%; 95% CI: 96.7-100%) based on whether the responder would have subsequent tests with DHC.</w:t>
      </w:r>
    </w:p>
    <w:p w:rsidR="00AF2368" w:rsidRDefault="00783833" w:rsidP="004C5901">
      <w:proofErr w:type="spellStart"/>
      <w:r>
        <w:t>Eu</w:t>
      </w:r>
      <w:proofErr w:type="spellEnd"/>
      <w:r>
        <w:t xml:space="preserve"> (2014) states that the survey data suggests that the availability of the DHC test at their clinic was successful in increasing the uptake of HIV testing, </w:t>
      </w:r>
      <w:r w:rsidRPr="00BA5C64">
        <w:rPr>
          <w:u w:val="single"/>
        </w:rPr>
        <w:t>with 77 new files for MSM</w:t>
      </w:r>
      <w:r>
        <w:t>.  The authors state that the rate of HIV cases detected during the study period was 4.1% (95% CI: 1.9</w:t>
      </w:r>
      <w:r w:rsidR="004C5901">
        <w:t xml:space="preserve">%, </w:t>
      </w:r>
      <w:r>
        <w:t>7.7%), compared with 1.3% (95% CI: 1.1-1.5%) in the 32 months prior to the study period in MSM, where testing in the period prior to the study was based on serology.  The authors conclude that the comparatively high detection of HIV positive cases during the study period ind</w:t>
      </w:r>
      <w:r w:rsidR="00EC7527">
        <w:t>icated that individuals at high-</w:t>
      </w:r>
      <w:r>
        <w:t xml:space="preserve">risk of undiagnosed HIV preferred a rapid </w:t>
      </w:r>
      <w:r w:rsidR="004A6FA6">
        <w:t>point-of-care</w:t>
      </w:r>
      <w:r>
        <w:t xml:space="preserve"> test.  </w:t>
      </w:r>
    </w:p>
    <w:p w:rsidR="00770B98" w:rsidRDefault="00BA5C64" w:rsidP="004C5901">
      <w:pPr>
        <w:rPr>
          <w:u w:val="single"/>
        </w:rPr>
      </w:pPr>
      <w:r w:rsidRPr="00770B98">
        <w:rPr>
          <w:u w:val="single"/>
        </w:rPr>
        <w:t>Experience of those</w:t>
      </w:r>
      <w:r w:rsidR="00770B98" w:rsidRPr="00770B98">
        <w:rPr>
          <w:u w:val="single"/>
        </w:rPr>
        <w:t xml:space="preserve"> conducting</w:t>
      </w:r>
      <w:r w:rsidR="00770B98">
        <w:rPr>
          <w:u w:val="single"/>
        </w:rPr>
        <w:t xml:space="preserve"> the tests</w:t>
      </w:r>
      <w:r w:rsidR="00A639A7">
        <w:rPr>
          <w:u w:val="single"/>
        </w:rPr>
        <w:t xml:space="preserve"> over time</w:t>
      </w:r>
    </w:p>
    <w:p w:rsidR="00BA5C64" w:rsidRDefault="00770B98" w:rsidP="004C5901">
      <w:r w:rsidRPr="00770B98">
        <w:t xml:space="preserve">Conway (2013a) reports the results </w:t>
      </w:r>
      <w:r>
        <w:t xml:space="preserve">of an assessment of the acceptability rapid testing for HIV among clinical staff over time.  Of the 68 staff trained to undertake testing with the DHC test, 67 completed the first (after training) and 53 completed the second (after at least 6 months) questionnaire.  The questionnaires implemented a five-point </w:t>
      </w:r>
      <w:proofErr w:type="spellStart"/>
      <w:r>
        <w:t>Lickert</w:t>
      </w:r>
      <w:proofErr w:type="spellEnd"/>
      <w:r>
        <w:t xml:space="preserve"> </w:t>
      </w:r>
      <w:r>
        <w:lastRenderedPageBreak/>
        <w:t xml:space="preserve">scale, with ‘1’ indicating strong agreement and ‘5’ indicating disagreement to a range of acceptability questions.  Results of the surveys are presented in Tables </w:t>
      </w:r>
      <w:r w:rsidR="00EF29C3">
        <w:t>14</w:t>
      </w:r>
      <w:r>
        <w:t xml:space="preserve"> and </w:t>
      </w:r>
      <w:r w:rsidR="00EF29C3">
        <w:t>15</w:t>
      </w:r>
      <w:r>
        <w:t>.</w:t>
      </w:r>
    </w:p>
    <w:p w:rsidR="00770B98" w:rsidRDefault="00664280" w:rsidP="00664280">
      <w:pPr>
        <w:pStyle w:val="Caption"/>
      </w:pPr>
      <w:bookmarkStart w:id="118" w:name="_Toc415103518"/>
      <w:bookmarkStart w:id="119" w:name="_Toc418225007"/>
      <w:bookmarkStart w:id="120" w:name="_Toc418225653"/>
      <w:r>
        <w:t xml:space="preserve">Table </w:t>
      </w:r>
      <w:r w:rsidR="00EF29C3">
        <w:t>14</w:t>
      </w:r>
      <w:r>
        <w:tab/>
      </w:r>
      <w:r w:rsidR="00770B98">
        <w:t>Responses to the first and second questionnaires reported in Conway (2013a)</w:t>
      </w:r>
      <w:bookmarkEnd w:id="118"/>
      <w:bookmarkEnd w:id="119"/>
      <w:bookmarkEnd w:id="120"/>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Responses to the first and second questionnaires reported in Conway (2013a). Responses to the first (after training) and second (at elast 6 months after) by doctors and nurses undertaking DHC testing regarding their confidence in undertaking point-of-care HIV testing"/>
      </w:tblPr>
      <w:tblGrid>
        <w:gridCol w:w="3402"/>
        <w:gridCol w:w="1913"/>
        <w:gridCol w:w="1914"/>
        <w:gridCol w:w="1116"/>
      </w:tblGrid>
      <w:tr w:rsidR="00770B98" w:rsidRPr="00770B98" w:rsidTr="00AC4CCC">
        <w:trPr>
          <w:tblHeader/>
        </w:trPr>
        <w:tc>
          <w:tcPr>
            <w:tcW w:w="3402" w:type="dxa"/>
            <w:shd w:val="clear" w:color="auto" w:fill="auto"/>
            <w:vAlign w:val="center"/>
          </w:tcPr>
          <w:p w:rsidR="00770B98" w:rsidRPr="007B1695" w:rsidRDefault="00661F02" w:rsidP="00661F02">
            <w:pPr>
              <w:pStyle w:val="TableText0"/>
              <w:rPr>
                <w:b/>
              </w:rPr>
            </w:pPr>
            <w:r w:rsidRPr="007B1695">
              <w:rPr>
                <w:b/>
              </w:rPr>
              <w:t>Statement</w:t>
            </w:r>
          </w:p>
        </w:tc>
        <w:tc>
          <w:tcPr>
            <w:tcW w:w="1913" w:type="dxa"/>
            <w:shd w:val="clear" w:color="auto" w:fill="auto"/>
            <w:vAlign w:val="center"/>
          </w:tcPr>
          <w:p w:rsidR="00770B98" w:rsidRPr="007B1695" w:rsidRDefault="00770B98" w:rsidP="007B1695">
            <w:pPr>
              <w:pStyle w:val="TableText0"/>
              <w:jc w:val="center"/>
              <w:rPr>
                <w:b/>
              </w:rPr>
            </w:pPr>
            <w:r w:rsidRPr="007B1695">
              <w:rPr>
                <w:b/>
              </w:rPr>
              <w:t>First questionnaire</w:t>
            </w:r>
            <w:r w:rsidR="00661F02" w:rsidRPr="007B1695">
              <w:rPr>
                <w:b/>
              </w:rPr>
              <w:t>,</w:t>
            </w:r>
            <w:r w:rsidRPr="007B1695">
              <w:rPr>
                <w:b/>
              </w:rPr>
              <w:t xml:space="preserve"> </w:t>
            </w:r>
            <w:r w:rsidR="00661F02" w:rsidRPr="007B1695">
              <w:rPr>
                <w:b/>
              </w:rPr>
              <w:br/>
            </w:r>
            <w:r w:rsidRPr="007B1695">
              <w:rPr>
                <w:b/>
              </w:rPr>
              <w:t>mean score</w:t>
            </w:r>
          </w:p>
        </w:tc>
        <w:tc>
          <w:tcPr>
            <w:tcW w:w="1914" w:type="dxa"/>
            <w:shd w:val="clear" w:color="auto" w:fill="auto"/>
            <w:vAlign w:val="center"/>
          </w:tcPr>
          <w:p w:rsidR="00770B98" w:rsidRPr="007B1695" w:rsidRDefault="00770B98" w:rsidP="007B1695">
            <w:pPr>
              <w:pStyle w:val="TableText0"/>
              <w:jc w:val="center"/>
              <w:rPr>
                <w:b/>
              </w:rPr>
            </w:pPr>
            <w:r w:rsidRPr="007B1695">
              <w:rPr>
                <w:b/>
              </w:rPr>
              <w:t>Second questionnaire</w:t>
            </w:r>
            <w:r w:rsidR="00661F02" w:rsidRPr="007B1695">
              <w:rPr>
                <w:b/>
              </w:rPr>
              <w:t>,</w:t>
            </w:r>
            <w:r w:rsidRPr="007B1695">
              <w:rPr>
                <w:b/>
              </w:rPr>
              <w:t xml:space="preserve"> mean score</w:t>
            </w:r>
          </w:p>
        </w:tc>
        <w:tc>
          <w:tcPr>
            <w:tcW w:w="1116" w:type="dxa"/>
            <w:shd w:val="clear" w:color="auto" w:fill="auto"/>
            <w:vAlign w:val="center"/>
          </w:tcPr>
          <w:p w:rsidR="00770B98" w:rsidRPr="007B1695" w:rsidRDefault="00770B98" w:rsidP="007B1695">
            <w:pPr>
              <w:pStyle w:val="TableText0"/>
              <w:jc w:val="center"/>
              <w:rPr>
                <w:b/>
                <w:vertAlign w:val="superscript"/>
              </w:rPr>
            </w:pPr>
            <w:r w:rsidRPr="007B1695">
              <w:rPr>
                <w:b/>
              </w:rPr>
              <w:t>p-</w:t>
            </w:r>
            <w:proofErr w:type="spellStart"/>
            <w:r w:rsidRPr="007B1695">
              <w:rPr>
                <w:b/>
              </w:rPr>
              <w:t>value</w:t>
            </w:r>
            <w:r w:rsidRPr="007B1695">
              <w:rPr>
                <w:b/>
                <w:vertAlign w:val="superscript"/>
              </w:rPr>
              <w:t>a</w:t>
            </w:r>
            <w:proofErr w:type="spellEnd"/>
          </w:p>
        </w:tc>
      </w:tr>
      <w:tr w:rsidR="007B1695" w:rsidRPr="00770B98" w:rsidTr="007B1695">
        <w:tc>
          <w:tcPr>
            <w:tcW w:w="3402" w:type="dxa"/>
            <w:shd w:val="clear" w:color="auto" w:fill="auto"/>
          </w:tcPr>
          <w:p w:rsidR="00770B98" w:rsidRPr="007B1695" w:rsidRDefault="00770B98" w:rsidP="00770B98">
            <w:pPr>
              <w:pStyle w:val="TableText0"/>
            </w:pPr>
            <w:r w:rsidRPr="007B1695">
              <w:t>Improved confidence in conducting the test</w:t>
            </w:r>
          </w:p>
        </w:tc>
        <w:tc>
          <w:tcPr>
            <w:tcW w:w="1913" w:type="dxa"/>
            <w:shd w:val="clear" w:color="auto" w:fill="auto"/>
            <w:vAlign w:val="center"/>
          </w:tcPr>
          <w:p w:rsidR="00770B98" w:rsidRPr="007B1695" w:rsidRDefault="00770B98" w:rsidP="007B1695">
            <w:pPr>
              <w:pStyle w:val="TableText0"/>
              <w:jc w:val="center"/>
            </w:pPr>
            <w:r w:rsidRPr="007B1695">
              <w:t>1.87</w:t>
            </w:r>
          </w:p>
        </w:tc>
        <w:tc>
          <w:tcPr>
            <w:tcW w:w="1914" w:type="dxa"/>
            <w:shd w:val="clear" w:color="auto" w:fill="auto"/>
            <w:vAlign w:val="center"/>
          </w:tcPr>
          <w:p w:rsidR="00770B98" w:rsidRPr="007B1695" w:rsidRDefault="00770B98" w:rsidP="007B1695">
            <w:pPr>
              <w:pStyle w:val="TableText0"/>
              <w:jc w:val="center"/>
            </w:pPr>
            <w:r w:rsidRPr="007B1695">
              <w:t>1.44</w:t>
            </w:r>
          </w:p>
        </w:tc>
        <w:tc>
          <w:tcPr>
            <w:tcW w:w="1116" w:type="dxa"/>
            <w:shd w:val="clear" w:color="auto" w:fill="auto"/>
            <w:vAlign w:val="center"/>
          </w:tcPr>
          <w:p w:rsidR="00770B98" w:rsidRPr="007B1695" w:rsidRDefault="00770B98" w:rsidP="007B1695">
            <w:pPr>
              <w:pStyle w:val="TableText0"/>
              <w:jc w:val="center"/>
              <w:rPr>
                <w:b/>
              </w:rPr>
            </w:pPr>
            <w:r w:rsidRPr="007B1695">
              <w:rPr>
                <w:b/>
              </w:rPr>
              <w:t>&lt;0.01</w:t>
            </w:r>
          </w:p>
        </w:tc>
      </w:tr>
      <w:tr w:rsidR="007B1695" w:rsidRPr="00770B98" w:rsidTr="007B1695">
        <w:tc>
          <w:tcPr>
            <w:tcW w:w="3402" w:type="dxa"/>
            <w:shd w:val="clear" w:color="auto" w:fill="auto"/>
          </w:tcPr>
          <w:p w:rsidR="00770B98" w:rsidRPr="007B1695" w:rsidRDefault="00770B98" w:rsidP="00770B98">
            <w:pPr>
              <w:pStyle w:val="TableText0"/>
            </w:pPr>
            <w:r w:rsidRPr="007B1695">
              <w:t>Confidence in the delivery of negative results</w:t>
            </w:r>
          </w:p>
        </w:tc>
        <w:tc>
          <w:tcPr>
            <w:tcW w:w="1913" w:type="dxa"/>
            <w:shd w:val="clear" w:color="auto" w:fill="auto"/>
            <w:vAlign w:val="center"/>
          </w:tcPr>
          <w:p w:rsidR="00770B98" w:rsidRPr="007B1695" w:rsidRDefault="00770B98" w:rsidP="007B1695">
            <w:pPr>
              <w:pStyle w:val="TableText0"/>
              <w:jc w:val="center"/>
            </w:pPr>
            <w:r w:rsidRPr="007B1695">
              <w:t>1.52</w:t>
            </w:r>
          </w:p>
        </w:tc>
        <w:tc>
          <w:tcPr>
            <w:tcW w:w="1914" w:type="dxa"/>
            <w:shd w:val="clear" w:color="auto" w:fill="auto"/>
            <w:vAlign w:val="center"/>
          </w:tcPr>
          <w:p w:rsidR="00770B98" w:rsidRPr="007B1695" w:rsidRDefault="00770B98" w:rsidP="007B1695">
            <w:pPr>
              <w:pStyle w:val="TableText0"/>
              <w:jc w:val="center"/>
            </w:pPr>
            <w:r w:rsidRPr="007B1695">
              <w:t>1.25</w:t>
            </w:r>
          </w:p>
        </w:tc>
        <w:tc>
          <w:tcPr>
            <w:tcW w:w="1116" w:type="dxa"/>
            <w:shd w:val="clear" w:color="auto" w:fill="auto"/>
            <w:vAlign w:val="center"/>
          </w:tcPr>
          <w:p w:rsidR="00770B98" w:rsidRPr="007B1695" w:rsidRDefault="00770B98" w:rsidP="007B1695">
            <w:pPr>
              <w:pStyle w:val="TableText0"/>
              <w:jc w:val="center"/>
              <w:rPr>
                <w:b/>
              </w:rPr>
            </w:pPr>
            <w:r w:rsidRPr="007B1695">
              <w:rPr>
                <w:b/>
              </w:rPr>
              <w:t>&lt;0.01</w:t>
            </w:r>
          </w:p>
        </w:tc>
      </w:tr>
      <w:tr w:rsidR="007B1695" w:rsidRPr="00770B98" w:rsidTr="007B1695">
        <w:tc>
          <w:tcPr>
            <w:tcW w:w="3402" w:type="dxa"/>
            <w:shd w:val="clear" w:color="auto" w:fill="auto"/>
          </w:tcPr>
          <w:p w:rsidR="00770B98" w:rsidRPr="007B1695" w:rsidRDefault="00661F02" w:rsidP="00770B98">
            <w:pPr>
              <w:pStyle w:val="TableText0"/>
            </w:pPr>
            <w:r w:rsidRPr="007B1695">
              <w:t>Disagreement that rapid testing was disruptive</w:t>
            </w:r>
          </w:p>
        </w:tc>
        <w:tc>
          <w:tcPr>
            <w:tcW w:w="1913" w:type="dxa"/>
            <w:shd w:val="clear" w:color="auto" w:fill="auto"/>
            <w:vAlign w:val="center"/>
          </w:tcPr>
          <w:p w:rsidR="00770B98" w:rsidRPr="007B1695" w:rsidRDefault="00661F02" w:rsidP="007B1695">
            <w:pPr>
              <w:pStyle w:val="TableText0"/>
              <w:jc w:val="center"/>
            </w:pPr>
            <w:r w:rsidRPr="007B1695">
              <w:t>3.27</w:t>
            </w:r>
          </w:p>
        </w:tc>
        <w:tc>
          <w:tcPr>
            <w:tcW w:w="1914" w:type="dxa"/>
            <w:shd w:val="clear" w:color="auto" w:fill="auto"/>
            <w:vAlign w:val="center"/>
          </w:tcPr>
          <w:p w:rsidR="00770B98" w:rsidRPr="007B1695" w:rsidRDefault="00661F02" w:rsidP="007B1695">
            <w:pPr>
              <w:pStyle w:val="TableText0"/>
              <w:jc w:val="center"/>
            </w:pPr>
            <w:r w:rsidRPr="007B1695">
              <w:t>3.83</w:t>
            </w:r>
          </w:p>
        </w:tc>
        <w:tc>
          <w:tcPr>
            <w:tcW w:w="1116" w:type="dxa"/>
            <w:shd w:val="clear" w:color="auto" w:fill="auto"/>
            <w:vAlign w:val="center"/>
          </w:tcPr>
          <w:p w:rsidR="00770B98" w:rsidRPr="007B1695" w:rsidRDefault="00661F02" w:rsidP="007B1695">
            <w:pPr>
              <w:pStyle w:val="TableText0"/>
              <w:jc w:val="center"/>
              <w:rPr>
                <w:b/>
              </w:rPr>
            </w:pPr>
            <w:r w:rsidRPr="007B1695">
              <w:rPr>
                <w:b/>
              </w:rPr>
              <w:t>&lt;0.01</w:t>
            </w:r>
          </w:p>
        </w:tc>
      </w:tr>
      <w:tr w:rsidR="007B1695" w:rsidRPr="00770B98" w:rsidTr="007B1695">
        <w:tc>
          <w:tcPr>
            <w:tcW w:w="3402" w:type="dxa"/>
            <w:shd w:val="clear" w:color="auto" w:fill="auto"/>
          </w:tcPr>
          <w:p w:rsidR="00770B98" w:rsidRPr="007B1695" w:rsidRDefault="00661F02" w:rsidP="00661F02">
            <w:pPr>
              <w:pStyle w:val="TableText0"/>
            </w:pPr>
            <w:r w:rsidRPr="007B1695">
              <w:t xml:space="preserve">Comfort with role in rapid testing </w:t>
            </w:r>
          </w:p>
        </w:tc>
        <w:tc>
          <w:tcPr>
            <w:tcW w:w="1913" w:type="dxa"/>
            <w:shd w:val="clear" w:color="auto" w:fill="auto"/>
            <w:vAlign w:val="center"/>
          </w:tcPr>
          <w:p w:rsidR="00770B98" w:rsidRPr="007B1695" w:rsidRDefault="00661F02" w:rsidP="007B1695">
            <w:pPr>
              <w:pStyle w:val="TableText0"/>
              <w:jc w:val="center"/>
            </w:pPr>
            <w:r w:rsidRPr="007B1695">
              <w:t>1.71</w:t>
            </w:r>
          </w:p>
        </w:tc>
        <w:tc>
          <w:tcPr>
            <w:tcW w:w="1914" w:type="dxa"/>
            <w:shd w:val="clear" w:color="auto" w:fill="auto"/>
            <w:vAlign w:val="center"/>
          </w:tcPr>
          <w:p w:rsidR="00770B98" w:rsidRPr="007B1695" w:rsidRDefault="00661F02" w:rsidP="007B1695">
            <w:pPr>
              <w:pStyle w:val="TableText0"/>
              <w:jc w:val="center"/>
            </w:pPr>
            <w:r w:rsidRPr="007B1695">
              <w:t>1.41</w:t>
            </w:r>
          </w:p>
        </w:tc>
        <w:tc>
          <w:tcPr>
            <w:tcW w:w="1116" w:type="dxa"/>
            <w:shd w:val="clear" w:color="auto" w:fill="auto"/>
            <w:vAlign w:val="center"/>
          </w:tcPr>
          <w:p w:rsidR="00770B98" w:rsidRPr="007B1695" w:rsidRDefault="00661F02" w:rsidP="007B1695">
            <w:pPr>
              <w:pStyle w:val="TableText0"/>
              <w:jc w:val="center"/>
              <w:rPr>
                <w:b/>
              </w:rPr>
            </w:pPr>
            <w:r w:rsidRPr="007B1695">
              <w:rPr>
                <w:b/>
              </w:rPr>
              <w:t>0.04</w:t>
            </w:r>
          </w:p>
        </w:tc>
      </w:tr>
    </w:tbl>
    <w:p w:rsidR="00770B98" w:rsidRDefault="00661F02" w:rsidP="00661F02">
      <w:pPr>
        <w:pStyle w:val="TableNotes"/>
      </w:pPr>
      <w:r>
        <w:t>Source: pA346 of Conway (2013a)</w:t>
      </w:r>
    </w:p>
    <w:p w:rsidR="00661F02" w:rsidRDefault="00661F02" w:rsidP="00661F02">
      <w:pPr>
        <w:pStyle w:val="TableNotes"/>
      </w:pPr>
      <w:r>
        <w:t>Lower mean scores indicate greater agreement with the statement</w:t>
      </w:r>
    </w:p>
    <w:p w:rsidR="00661F02" w:rsidRPr="00661F02" w:rsidRDefault="00661F02" w:rsidP="00661F02">
      <w:pPr>
        <w:pStyle w:val="TableNotes"/>
        <w:tabs>
          <w:tab w:val="left" w:pos="993"/>
        </w:tabs>
      </w:pPr>
      <w:proofErr w:type="gramStart"/>
      <w:r>
        <w:rPr>
          <w:vertAlign w:val="superscript"/>
        </w:rPr>
        <w:t>a</w:t>
      </w:r>
      <w:proofErr w:type="gramEnd"/>
      <w:r>
        <w:tab/>
        <w:t>T-test, with stratification by staff profession and testing experience</w:t>
      </w:r>
    </w:p>
    <w:p w:rsidR="00661F02" w:rsidRDefault="00664280" w:rsidP="00664280">
      <w:pPr>
        <w:pStyle w:val="Caption"/>
      </w:pPr>
      <w:bookmarkStart w:id="121" w:name="_Toc415103519"/>
      <w:bookmarkStart w:id="122" w:name="_Toc418225008"/>
      <w:bookmarkStart w:id="123" w:name="_Toc418225654"/>
      <w:r>
        <w:t xml:space="preserve">Table </w:t>
      </w:r>
      <w:r w:rsidR="00EF29C3">
        <w:t>15</w:t>
      </w:r>
      <w:r>
        <w:tab/>
      </w:r>
      <w:r w:rsidR="00661F02">
        <w:t>Responses by doctors and nurses for the second questionnaire reported in Conway (2013a)</w:t>
      </w:r>
      <w:bookmarkEnd w:id="121"/>
      <w:bookmarkEnd w:id="122"/>
      <w:bookmarkEnd w:id="123"/>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Responses by doctors and nurses for the second questionnaire reported in Conway (2013a). Responses by dotors and nurses and at lest 6 months of using the DHC test regarding their opinion on whether there was a preference for the DHC test and whether the testing procedure interfered with consultations"/>
      </w:tblPr>
      <w:tblGrid>
        <w:gridCol w:w="3402"/>
        <w:gridCol w:w="1913"/>
        <w:gridCol w:w="1914"/>
        <w:gridCol w:w="1116"/>
      </w:tblGrid>
      <w:tr w:rsidR="00661F02" w:rsidRPr="00770B98" w:rsidTr="00AC4CCC">
        <w:trPr>
          <w:tblHeader/>
        </w:trPr>
        <w:tc>
          <w:tcPr>
            <w:tcW w:w="3402" w:type="dxa"/>
            <w:shd w:val="clear" w:color="auto" w:fill="auto"/>
            <w:vAlign w:val="center"/>
          </w:tcPr>
          <w:p w:rsidR="00661F02" w:rsidRPr="007B1695" w:rsidRDefault="00661F02" w:rsidP="00661F02">
            <w:pPr>
              <w:pStyle w:val="TableText0"/>
            </w:pPr>
            <w:r w:rsidRPr="007B1695">
              <w:rPr>
                <w:b/>
              </w:rPr>
              <w:t>Statement</w:t>
            </w:r>
          </w:p>
        </w:tc>
        <w:tc>
          <w:tcPr>
            <w:tcW w:w="1913" w:type="dxa"/>
            <w:shd w:val="clear" w:color="auto" w:fill="auto"/>
            <w:vAlign w:val="center"/>
          </w:tcPr>
          <w:p w:rsidR="00661F02" w:rsidRPr="007B1695" w:rsidRDefault="00661F02" w:rsidP="007B1695">
            <w:pPr>
              <w:pStyle w:val="TableText0"/>
              <w:jc w:val="center"/>
              <w:rPr>
                <w:b/>
              </w:rPr>
            </w:pPr>
            <w:r w:rsidRPr="007B1695">
              <w:rPr>
                <w:b/>
              </w:rPr>
              <w:t xml:space="preserve">Doctors, </w:t>
            </w:r>
            <w:r w:rsidRPr="007B1695">
              <w:rPr>
                <w:b/>
              </w:rPr>
              <w:br/>
              <w:t>mean score</w:t>
            </w:r>
          </w:p>
        </w:tc>
        <w:tc>
          <w:tcPr>
            <w:tcW w:w="1914" w:type="dxa"/>
            <w:shd w:val="clear" w:color="auto" w:fill="auto"/>
            <w:vAlign w:val="center"/>
          </w:tcPr>
          <w:p w:rsidR="00661F02" w:rsidRPr="007B1695" w:rsidRDefault="00661F02" w:rsidP="007B1695">
            <w:pPr>
              <w:pStyle w:val="TableText0"/>
              <w:jc w:val="center"/>
              <w:rPr>
                <w:b/>
              </w:rPr>
            </w:pPr>
            <w:r w:rsidRPr="007B1695">
              <w:rPr>
                <w:b/>
              </w:rPr>
              <w:t>Nurses,</w:t>
            </w:r>
            <w:r w:rsidRPr="007B1695">
              <w:rPr>
                <w:b/>
              </w:rPr>
              <w:br/>
              <w:t xml:space="preserve"> mean score</w:t>
            </w:r>
          </w:p>
        </w:tc>
        <w:tc>
          <w:tcPr>
            <w:tcW w:w="1116" w:type="dxa"/>
            <w:shd w:val="clear" w:color="auto" w:fill="auto"/>
            <w:vAlign w:val="center"/>
          </w:tcPr>
          <w:p w:rsidR="00661F02" w:rsidRPr="007B1695" w:rsidRDefault="00661F02" w:rsidP="007B1695">
            <w:pPr>
              <w:pStyle w:val="TableText0"/>
              <w:jc w:val="center"/>
              <w:rPr>
                <w:b/>
                <w:vertAlign w:val="superscript"/>
              </w:rPr>
            </w:pPr>
            <w:r w:rsidRPr="007B1695">
              <w:rPr>
                <w:b/>
              </w:rPr>
              <w:t>p-</w:t>
            </w:r>
            <w:proofErr w:type="spellStart"/>
            <w:r w:rsidRPr="007B1695">
              <w:rPr>
                <w:b/>
              </w:rPr>
              <w:t>value</w:t>
            </w:r>
            <w:r w:rsidRPr="007B1695">
              <w:rPr>
                <w:b/>
                <w:vertAlign w:val="superscript"/>
              </w:rPr>
              <w:t>a</w:t>
            </w:r>
            <w:proofErr w:type="spellEnd"/>
          </w:p>
        </w:tc>
      </w:tr>
      <w:tr w:rsidR="007B1695" w:rsidRPr="00770B98" w:rsidTr="007B1695">
        <w:tc>
          <w:tcPr>
            <w:tcW w:w="3402" w:type="dxa"/>
            <w:shd w:val="clear" w:color="auto" w:fill="auto"/>
          </w:tcPr>
          <w:p w:rsidR="00661F02" w:rsidRPr="007B1695" w:rsidRDefault="00661F02" w:rsidP="003F7E25">
            <w:pPr>
              <w:pStyle w:val="TableText0"/>
            </w:pPr>
            <w:r w:rsidRPr="007B1695">
              <w:t>Preference for rapid tests</w:t>
            </w:r>
          </w:p>
        </w:tc>
        <w:tc>
          <w:tcPr>
            <w:tcW w:w="1913" w:type="dxa"/>
            <w:shd w:val="clear" w:color="auto" w:fill="auto"/>
            <w:vAlign w:val="center"/>
          </w:tcPr>
          <w:p w:rsidR="00661F02" w:rsidRPr="007B1695" w:rsidRDefault="00661F02" w:rsidP="007B1695">
            <w:pPr>
              <w:pStyle w:val="TableText0"/>
              <w:jc w:val="center"/>
            </w:pPr>
            <w:r w:rsidRPr="007B1695">
              <w:t>1.75</w:t>
            </w:r>
          </w:p>
        </w:tc>
        <w:tc>
          <w:tcPr>
            <w:tcW w:w="1914" w:type="dxa"/>
            <w:shd w:val="clear" w:color="auto" w:fill="auto"/>
            <w:vAlign w:val="center"/>
          </w:tcPr>
          <w:p w:rsidR="00661F02" w:rsidRPr="007B1695" w:rsidRDefault="00661F02" w:rsidP="007B1695">
            <w:pPr>
              <w:pStyle w:val="TableText0"/>
              <w:jc w:val="center"/>
            </w:pPr>
            <w:r w:rsidRPr="007B1695">
              <w:t>2.50</w:t>
            </w:r>
          </w:p>
        </w:tc>
        <w:tc>
          <w:tcPr>
            <w:tcW w:w="1116" w:type="dxa"/>
            <w:shd w:val="clear" w:color="auto" w:fill="auto"/>
            <w:vAlign w:val="center"/>
          </w:tcPr>
          <w:p w:rsidR="00661F02" w:rsidRPr="007B1695" w:rsidRDefault="00661F02" w:rsidP="007B1695">
            <w:pPr>
              <w:pStyle w:val="TableText0"/>
              <w:jc w:val="center"/>
              <w:rPr>
                <w:b/>
              </w:rPr>
            </w:pPr>
            <w:r w:rsidRPr="007B1695">
              <w:rPr>
                <w:b/>
              </w:rPr>
              <w:t>0.02</w:t>
            </w:r>
          </w:p>
        </w:tc>
      </w:tr>
      <w:tr w:rsidR="007B1695" w:rsidRPr="00770B98" w:rsidTr="007B1695">
        <w:tc>
          <w:tcPr>
            <w:tcW w:w="3402" w:type="dxa"/>
            <w:shd w:val="clear" w:color="auto" w:fill="auto"/>
          </w:tcPr>
          <w:p w:rsidR="00661F02" w:rsidRPr="007B1695" w:rsidRDefault="00661F02" w:rsidP="003F7E25">
            <w:pPr>
              <w:pStyle w:val="TableText0"/>
            </w:pPr>
            <w:r w:rsidRPr="007B1695">
              <w:t>Rapid testing interferes with consultations</w:t>
            </w:r>
          </w:p>
        </w:tc>
        <w:tc>
          <w:tcPr>
            <w:tcW w:w="1913" w:type="dxa"/>
            <w:shd w:val="clear" w:color="auto" w:fill="auto"/>
            <w:vAlign w:val="center"/>
          </w:tcPr>
          <w:p w:rsidR="00661F02" w:rsidRPr="007B1695" w:rsidRDefault="00661F02" w:rsidP="007B1695">
            <w:pPr>
              <w:pStyle w:val="TableText0"/>
              <w:jc w:val="center"/>
            </w:pPr>
            <w:r w:rsidRPr="007B1695">
              <w:t>2.63</w:t>
            </w:r>
          </w:p>
        </w:tc>
        <w:tc>
          <w:tcPr>
            <w:tcW w:w="1914" w:type="dxa"/>
            <w:shd w:val="clear" w:color="auto" w:fill="auto"/>
            <w:vAlign w:val="center"/>
          </w:tcPr>
          <w:p w:rsidR="00661F02" w:rsidRPr="007B1695" w:rsidRDefault="00661F02" w:rsidP="007B1695">
            <w:pPr>
              <w:pStyle w:val="TableText0"/>
              <w:jc w:val="center"/>
            </w:pPr>
            <w:r w:rsidRPr="007B1695">
              <w:t>3.93</w:t>
            </w:r>
          </w:p>
        </w:tc>
        <w:tc>
          <w:tcPr>
            <w:tcW w:w="1116" w:type="dxa"/>
            <w:shd w:val="clear" w:color="auto" w:fill="auto"/>
            <w:vAlign w:val="center"/>
          </w:tcPr>
          <w:p w:rsidR="00661F02" w:rsidRPr="007B1695" w:rsidRDefault="00661F02" w:rsidP="007B1695">
            <w:pPr>
              <w:pStyle w:val="TableText0"/>
              <w:jc w:val="center"/>
              <w:rPr>
                <w:b/>
              </w:rPr>
            </w:pPr>
            <w:r w:rsidRPr="007B1695">
              <w:rPr>
                <w:b/>
              </w:rPr>
              <w:t>0.01</w:t>
            </w:r>
          </w:p>
        </w:tc>
      </w:tr>
    </w:tbl>
    <w:p w:rsidR="00661F02" w:rsidRDefault="00661F02" w:rsidP="00661F02">
      <w:pPr>
        <w:pStyle w:val="TableNotes"/>
      </w:pPr>
      <w:r>
        <w:t>Source: pA346 of Conway (2013a)</w:t>
      </w:r>
    </w:p>
    <w:p w:rsidR="00661F02" w:rsidRDefault="00661F02" w:rsidP="00661F02">
      <w:pPr>
        <w:pStyle w:val="TableNotes"/>
      </w:pPr>
      <w:r>
        <w:t>Lower mean scores indicate greater agreement with the statement</w:t>
      </w:r>
    </w:p>
    <w:p w:rsidR="00661F02" w:rsidRDefault="00661F02" w:rsidP="00661F02">
      <w:pPr>
        <w:pStyle w:val="TableNotes"/>
        <w:tabs>
          <w:tab w:val="left" w:pos="993"/>
        </w:tabs>
      </w:pPr>
      <w:proofErr w:type="gramStart"/>
      <w:r>
        <w:rPr>
          <w:vertAlign w:val="superscript"/>
        </w:rPr>
        <w:t>a</w:t>
      </w:r>
      <w:proofErr w:type="gramEnd"/>
      <w:r>
        <w:tab/>
        <w:t>T-test, with stratification by staff profession and testing experience</w:t>
      </w:r>
    </w:p>
    <w:p w:rsidR="00661F02" w:rsidRDefault="00661F02" w:rsidP="00661F02">
      <w:r>
        <w:t xml:space="preserve">Stronger agreement with the belief that those being tested were satisfied with rapid testing was demonstrated among staff who had conducted ≥10 tests (mean score of 1.58) compared with staff having conducted &lt;10 tests (mean </w:t>
      </w:r>
      <w:r w:rsidR="00A639A7">
        <w:t>score of 2.07; p&lt;0.01).</w:t>
      </w:r>
    </w:p>
    <w:p w:rsidR="00A639A7" w:rsidRDefault="00A639A7" w:rsidP="00661F02">
      <w:r>
        <w:t xml:space="preserve">The data indicates that over time and with increasing experience, clinic </w:t>
      </w:r>
      <w:proofErr w:type="gramStart"/>
      <w:r>
        <w:t>staff become</w:t>
      </w:r>
      <w:proofErr w:type="gramEnd"/>
      <w:r>
        <w:t xml:space="preserve"> more comfortable in conducting rapid testing.</w:t>
      </w:r>
    </w:p>
    <w:p w:rsidR="004A6251" w:rsidRDefault="00930321" w:rsidP="00093CD9">
      <w:r>
        <w:t>The data presented in these two studies is directly applicable to those for whom listing is sought</w:t>
      </w:r>
      <w:r w:rsidRPr="004A6251">
        <w:t xml:space="preserve">.  While the results of these diagnostic accuracy studies yield different diagnostic characteristics of the DHC test compared with serology testing provided in the product insert, </w:t>
      </w:r>
      <w:r w:rsidR="0047059D">
        <w:t xml:space="preserve">the differences </w:t>
      </w:r>
      <w:r w:rsidR="0047059D" w:rsidRPr="0061729B">
        <w:t xml:space="preserve">are likely to result from the estimates provided in </w:t>
      </w:r>
      <w:r w:rsidR="0047059D">
        <w:t>the product insert</w:t>
      </w:r>
      <w:r w:rsidR="0047059D" w:rsidRPr="0061729B">
        <w:t xml:space="preserve"> having been assessed from the two extreme ends of the </w:t>
      </w:r>
      <w:r w:rsidR="0047059D">
        <w:t xml:space="preserve">disease </w:t>
      </w:r>
      <w:r w:rsidR="0047059D" w:rsidRPr="0061729B">
        <w:t>spectrum (</w:t>
      </w:r>
      <w:proofErr w:type="spellStart"/>
      <w:r w:rsidR="0047059D" w:rsidRPr="0061729B">
        <w:t>ie</w:t>
      </w:r>
      <w:proofErr w:type="spellEnd"/>
      <w:r w:rsidR="0047059D">
        <w:t>,</w:t>
      </w:r>
      <w:r w:rsidR="0047059D" w:rsidRPr="0061729B">
        <w:t xml:space="preserve"> </w:t>
      </w:r>
      <w:r w:rsidR="0047059D">
        <w:t xml:space="preserve">confirmed </w:t>
      </w:r>
      <w:r w:rsidR="0047059D" w:rsidRPr="0061729B">
        <w:t>seronegative and seropositive</w:t>
      </w:r>
      <w:r w:rsidR="0047059D">
        <w:t xml:space="preserve"> specimens</w:t>
      </w:r>
      <w:r w:rsidR="0047059D" w:rsidRPr="0061729B">
        <w:t>), which tends to overestimate diagnostic accuracy (</w:t>
      </w:r>
      <w:proofErr w:type="spellStart"/>
      <w:r w:rsidR="0047059D" w:rsidRPr="0061729B">
        <w:t>Knottnerus</w:t>
      </w:r>
      <w:proofErr w:type="spellEnd"/>
      <w:r w:rsidR="0047059D" w:rsidRPr="0061729B">
        <w:t xml:space="preserve"> 2002)</w:t>
      </w:r>
      <w:r w:rsidR="0047059D">
        <w:t>.</w:t>
      </w:r>
    </w:p>
    <w:p w:rsidR="00930321" w:rsidRPr="00770B98" w:rsidRDefault="00947C32" w:rsidP="00947C32">
      <w:r w:rsidRPr="004A6251">
        <w:t xml:space="preserve">The risk of false-negative results </w:t>
      </w:r>
      <w:r w:rsidR="004A6251">
        <w:t>may be</w:t>
      </w:r>
      <w:r w:rsidRPr="004A6251">
        <w:t xml:space="preserve"> mitigated </w:t>
      </w:r>
      <w:r w:rsidR="004A6251">
        <w:t xml:space="preserve">in Australian practice however via continued serology testing regardless of the DHC test result (as is the case in one Melbourne clinic) and </w:t>
      </w:r>
      <w:r w:rsidRPr="004A6251">
        <w:t>through information provided in the product’s instructions for use and through training of health professionals performing</w:t>
      </w:r>
      <w:r>
        <w:t xml:space="preserve"> the test.  The product’s instructions for use detail the limitations of the test, including the limitation of the test at early stages of infection.  These limitations are explained to health professionals performing the test when they are trained in the use of the product.  </w:t>
      </w:r>
    </w:p>
    <w:p w:rsidR="00986010" w:rsidRDefault="00AB0F6C" w:rsidP="000A3AAF">
      <w:pPr>
        <w:pStyle w:val="Heading3"/>
      </w:pPr>
      <w:bookmarkStart w:id="124" w:name="_Toc188861199"/>
      <w:r>
        <w:t xml:space="preserve">Evidence linkage 2: </w:t>
      </w:r>
      <w:r w:rsidR="00986010" w:rsidRPr="000A3AAF">
        <w:t>Does it change patient management?</w:t>
      </w:r>
      <w:bookmarkEnd w:id="124"/>
    </w:p>
    <w:p w:rsidR="00B8019A" w:rsidRDefault="00D97F45" w:rsidP="00D97F45">
      <w:r>
        <w:t>A single randomised controlled trial reported by Read (2013) was identified</w:t>
      </w:r>
      <w:r w:rsidR="00B8019A">
        <w:t xml:space="preserve"> which assess</w:t>
      </w:r>
      <w:r w:rsidR="00664280">
        <w:t>e</w:t>
      </w:r>
      <w:r w:rsidR="00EC7527">
        <w:t>d</w:t>
      </w:r>
      <w:r w:rsidR="00B8019A">
        <w:t xml:space="preserve"> the impact of the availability of a rapid point-of-care test compared with conventional testing for HIV</w:t>
      </w:r>
      <w:r w:rsidR="006B4EAE">
        <w:t xml:space="preserve">.  </w:t>
      </w:r>
      <w:r w:rsidR="00CB10E0">
        <w:t>M</w:t>
      </w:r>
      <w:r w:rsidR="00B8019A">
        <w:t xml:space="preserve">en aged ≥18 years who reported having had a male sexual partner in the last year and a </w:t>
      </w:r>
      <w:r w:rsidR="00B8019A" w:rsidRPr="00F771DB">
        <w:rPr>
          <w:u w:val="single"/>
        </w:rPr>
        <w:t>negative HIV test within the last two years</w:t>
      </w:r>
      <w:r w:rsidR="00B8019A">
        <w:t xml:space="preserve"> were </w:t>
      </w:r>
      <w:r w:rsidR="00B8019A">
        <w:lastRenderedPageBreak/>
        <w:t>rando</w:t>
      </w:r>
      <w:r w:rsidR="004956F5">
        <w:t>mised to receive rapid point-of-</w:t>
      </w:r>
      <w:r w:rsidR="00B8019A">
        <w:t xml:space="preserve">care testing with DHC or conventional, laboratory based HIV testing.  </w:t>
      </w:r>
    </w:p>
    <w:p w:rsidR="00372765" w:rsidRDefault="00B8019A" w:rsidP="00D97F45">
      <w:r>
        <w:t>The trial was 18 months in duration and men were free to undergo HIV testing at any time – by allocated intervention at the study clinic or by conventional testing at any other clinics during the study period.  Men randomised to both arms of the trial were sent text messages at three, nine and 15 months recommending regular HIV</w:t>
      </w:r>
      <w:r w:rsidR="00A45240">
        <w:t xml:space="preserve"> testing</w:t>
      </w:r>
      <w:r>
        <w:t xml:space="preserve">.  They were also sent text messages referring them to a website to inform them of the </w:t>
      </w:r>
      <w:r w:rsidR="00B5150F">
        <w:t xml:space="preserve">tests that were available to them and a dedicated phone number for inquiries.  </w:t>
      </w:r>
    </w:p>
    <w:p w:rsidR="00B5150F" w:rsidRDefault="00B5150F" w:rsidP="00D97F45">
      <w:r>
        <w:t>Men randomised to the two arms of the trial had comparable baseline characteristics with respect to age, time since last HIV test, proportion with university education, number of male sexual and anal sexual partners in previous year and proportion reporting unprotected anal sex with casual partners in the last year.</w:t>
      </w:r>
    </w:p>
    <w:p w:rsidR="00B5150F" w:rsidRPr="00A22AFB" w:rsidRDefault="00B5150F" w:rsidP="00D97F45">
      <w:r w:rsidRPr="00A22AFB">
        <w:t xml:space="preserve">The results from the trial reported by Read (2013) are presented in Table </w:t>
      </w:r>
      <w:r w:rsidR="00A22AFB" w:rsidRPr="00A22AFB">
        <w:t>16</w:t>
      </w:r>
      <w:r w:rsidRPr="00A22AFB">
        <w:t>.</w:t>
      </w:r>
    </w:p>
    <w:p w:rsidR="00B5150F" w:rsidRPr="00D5236B" w:rsidRDefault="00B5150F" w:rsidP="00664280">
      <w:pPr>
        <w:pStyle w:val="Caption"/>
      </w:pPr>
      <w:bookmarkStart w:id="125" w:name="_Toc415103520"/>
      <w:bookmarkStart w:id="126" w:name="_Toc418225009"/>
      <w:bookmarkStart w:id="127" w:name="_Toc418225655"/>
      <w:r w:rsidRPr="00A22AFB">
        <w:t xml:space="preserve">Table </w:t>
      </w:r>
      <w:r w:rsidR="00A22AFB" w:rsidRPr="00A22AFB">
        <w:t>16</w:t>
      </w:r>
      <w:r w:rsidRPr="00A22AFB">
        <w:tab/>
      </w:r>
      <w:r w:rsidR="00571F89" w:rsidRPr="00A22AFB">
        <w:t>Outcomes reported by Read (2013)</w:t>
      </w:r>
      <w:bookmarkEnd w:id="125"/>
      <w:bookmarkEnd w:id="126"/>
      <w:bookmarkEnd w:id="127"/>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Outcomes reported by Read (2013). The results for the outcomes reported in the randomised controlled trial comparing the DHC test and serology testing reported by Read (2013)"/>
      </w:tblPr>
      <w:tblGrid>
        <w:gridCol w:w="2410"/>
        <w:gridCol w:w="1970"/>
        <w:gridCol w:w="1971"/>
        <w:gridCol w:w="1971"/>
      </w:tblGrid>
      <w:tr w:rsidR="00C52671" w:rsidRPr="00D5236B" w:rsidTr="00AC4CCC">
        <w:trPr>
          <w:trHeight w:val="533"/>
          <w:tblHeader/>
        </w:trPr>
        <w:tc>
          <w:tcPr>
            <w:tcW w:w="2410" w:type="dxa"/>
            <w:tcBorders>
              <w:bottom w:val="nil"/>
            </w:tcBorders>
            <w:shd w:val="clear" w:color="auto" w:fill="auto"/>
            <w:vAlign w:val="bottom"/>
          </w:tcPr>
          <w:p w:rsidR="00C52671" w:rsidRPr="00D5236B" w:rsidRDefault="00C52671" w:rsidP="00383E98">
            <w:pPr>
              <w:pStyle w:val="TableText0"/>
              <w:rPr>
                <w:b/>
              </w:rPr>
            </w:pPr>
            <w:r>
              <w:rPr>
                <w:b/>
              </w:rPr>
              <w:t xml:space="preserve">Outcome </w:t>
            </w:r>
          </w:p>
        </w:tc>
        <w:tc>
          <w:tcPr>
            <w:tcW w:w="1970" w:type="dxa"/>
            <w:shd w:val="clear" w:color="auto" w:fill="auto"/>
            <w:vAlign w:val="center"/>
          </w:tcPr>
          <w:p w:rsidR="00C52671" w:rsidRDefault="00C52671" w:rsidP="00A828A9">
            <w:pPr>
              <w:pStyle w:val="TableText0"/>
              <w:jc w:val="center"/>
              <w:rPr>
                <w:b/>
              </w:rPr>
            </w:pPr>
            <w:r w:rsidRPr="00D5236B">
              <w:rPr>
                <w:b/>
              </w:rPr>
              <w:t>DHC test</w:t>
            </w:r>
            <w:r>
              <w:rPr>
                <w:b/>
              </w:rPr>
              <w:t>s/year</w:t>
            </w:r>
          </w:p>
          <w:p w:rsidR="00C52671" w:rsidRPr="00D5236B" w:rsidRDefault="00C52671" w:rsidP="00383E98">
            <w:pPr>
              <w:pStyle w:val="TableText0"/>
              <w:jc w:val="center"/>
              <w:rPr>
                <w:b/>
              </w:rPr>
            </w:pPr>
            <w:r>
              <w:rPr>
                <w:b/>
              </w:rPr>
              <w:t>(95% CI)</w:t>
            </w:r>
            <w:r>
              <w:rPr>
                <w:b/>
                <w:vertAlign w:val="superscript"/>
              </w:rPr>
              <w:t>a</w:t>
            </w:r>
          </w:p>
        </w:tc>
        <w:tc>
          <w:tcPr>
            <w:tcW w:w="1971" w:type="dxa"/>
            <w:shd w:val="clear" w:color="auto" w:fill="auto"/>
            <w:vAlign w:val="center"/>
          </w:tcPr>
          <w:p w:rsidR="00C52671" w:rsidRDefault="00C52671" w:rsidP="00383E98">
            <w:pPr>
              <w:pStyle w:val="TableText0"/>
              <w:jc w:val="center"/>
              <w:rPr>
                <w:b/>
              </w:rPr>
            </w:pPr>
            <w:r w:rsidRPr="00D5236B">
              <w:rPr>
                <w:b/>
              </w:rPr>
              <w:t>Conventional test</w:t>
            </w:r>
            <w:r>
              <w:rPr>
                <w:b/>
              </w:rPr>
              <w:t xml:space="preserve">s/year </w:t>
            </w:r>
          </w:p>
          <w:p w:rsidR="00C52671" w:rsidRPr="00D5236B" w:rsidRDefault="00C52671" w:rsidP="00383E98">
            <w:pPr>
              <w:pStyle w:val="TableText0"/>
              <w:jc w:val="center"/>
              <w:rPr>
                <w:b/>
              </w:rPr>
            </w:pPr>
            <w:r>
              <w:rPr>
                <w:b/>
              </w:rPr>
              <w:t>(95% CI)</w:t>
            </w:r>
            <w:r>
              <w:rPr>
                <w:b/>
                <w:vertAlign w:val="superscript"/>
              </w:rPr>
              <w:t>a</w:t>
            </w:r>
          </w:p>
        </w:tc>
        <w:tc>
          <w:tcPr>
            <w:tcW w:w="1971" w:type="dxa"/>
            <w:tcBorders>
              <w:bottom w:val="nil"/>
            </w:tcBorders>
            <w:shd w:val="clear" w:color="auto" w:fill="auto"/>
            <w:vAlign w:val="center"/>
          </w:tcPr>
          <w:p w:rsidR="00C52671" w:rsidRPr="00D5236B" w:rsidRDefault="00C52671" w:rsidP="00383E98">
            <w:pPr>
              <w:pStyle w:val="TableText0"/>
              <w:spacing w:after="0"/>
              <w:jc w:val="center"/>
              <w:rPr>
                <w:b/>
              </w:rPr>
            </w:pPr>
            <w:r>
              <w:rPr>
                <w:b/>
              </w:rPr>
              <w:t>Incidence rate ratio</w:t>
            </w:r>
          </w:p>
          <w:p w:rsidR="00C52671" w:rsidRPr="00D5236B" w:rsidRDefault="00C52671" w:rsidP="00383E98">
            <w:pPr>
              <w:pStyle w:val="TableText0"/>
              <w:spacing w:before="0" w:after="0"/>
              <w:jc w:val="center"/>
              <w:rPr>
                <w:b/>
              </w:rPr>
            </w:pPr>
            <w:r w:rsidRPr="00D5236B">
              <w:rPr>
                <w:b/>
              </w:rPr>
              <w:t>(95% CI) [p-value]</w:t>
            </w:r>
          </w:p>
        </w:tc>
      </w:tr>
      <w:tr w:rsidR="00383E98" w:rsidRPr="00D5236B" w:rsidTr="00C52671">
        <w:trPr>
          <w:trHeight w:val="70"/>
        </w:trPr>
        <w:tc>
          <w:tcPr>
            <w:tcW w:w="2410" w:type="dxa"/>
            <w:tcBorders>
              <w:top w:val="nil"/>
            </w:tcBorders>
            <w:shd w:val="clear" w:color="auto" w:fill="auto"/>
            <w:vAlign w:val="center"/>
          </w:tcPr>
          <w:p w:rsidR="00383E98" w:rsidRPr="00D5236B" w:rsidRDefault="00C52671" w:rsidP="00E14362">
            <w:pPr>
              <w:pStyle w:val="TableText0"/>
            </w:pPr>
            <w:r w:rsidRPr="00C52671">
              <w:rPr>
                <w:color w:val="FFFFFF" w:themeColor="background1"/>
              </w:rPr>
              <w:t>-</w:t>
            </w:r>
          </w:p>
        </w:tc>
        <w:tc>
          <w:tcPr>
            <w:tcW w:w="1970" w:type="dxa"/>
            <w:shd w:val="clear" w:color="auto" w:fill="auto"/>
            <w:vAlign w:val="center"/>
          </w:tcPr>
          <w:p w:rsidR="00383E98" w:rsidRPr="00D5236B" w:rsidRDefault="00383E98" w:rsidP="00A828A9">
            <w:pPr>
              <w:pStyle w:val="TableText0"/>
              <w:jc w:val="center"/>
            </w:pPr>
            <w:r>
              <w:t>N=200</w:t>
            </w:r>
          </w:p>
        </w:tc>
        <w:tc>
          <w:tcPr>
            <w:tcW w:w="1971" w:type="dxa"/>
            <w:shd w:val="clear" w:color="auto" w:fill="auto"/>
            <w:vAlign w:val="center"/>
          </w:tcPr>
          <w:p w:rsidR="00383E98" w:rsidRPr="00D5236B" w:rsidRDefault="00383E98" w:rsidP="00A828A9">
            <w:pPr>
              <w:pStyle w:val="TableText0"/>
              <w:jc w:val="center"/>
            </w:pPr>
            <w:r>
              <w:t>N=200</w:t>
            </w:r>
          </w:p>
        </w:tc>
        <w:tc>
          <w:tcPr>
            <w:tcW w:w="1971" w:type="dxa"/>
            <w:tcBorders>
              <w:top w:val="nil"/>
            </w:tcBorders>
            <w:shd w:val="clear" w:color="auto" w:fill="auto"/>
            <w:vAlign w:val="center"/>
          </w:tcPr>
          <w:p w:rsidR="00383E98" w:rsidRPr="00383E98" w:rsidRDefault="00C52671" w:rsidP="00A828A9">
            <w:pPr>
              <w:pStyle w:val="TableText0"/>
              <w:jc w:val="center"/>
              <w:rPr>
                <w:sz w:val="8"/>
                <w:szCs w:val="8"/>
              </w:rPr>
            </w:pPr>
            <w:r w:rsidRPr="00C52671">
              <w:rPr>
                <w:color w:val="FFFFFF" w:themeColor="background1"/>
                <w:sz w:val="8"/>
                <w:szCs w:val="8"/>
              </w:rPr>
              <w:t>-</w:t>
            </w:r>
          </w:p>
        </w:tc>
      </w:tr>
      <w:tr w:rsidR="00383E98" w:rsidRPr="00D5236B" w:rsidTr="00383E98">
        <w:tc>
          <w:tcPr>
            <w:tcW w:w="2410" w:type="dxa"/>
            <w:shd w:val="clear" w:color="auto" w:fill="auto"/>
            <w:vAlign w:val="center"/>
          </w:tcPr>
          <w:p w:rsidR="00383E98" w:rsidRPr="00D5236B" w:rsidRDefault="00383E98" w:rsidP="00E14362">
            <w:pPr>
              <w:pStyle w:val="TableText0"/>
            </w:pPr>
            <w:r w:rsidRPr="00D5236B">
              <w:t>HIV tests over 18 months</w:t>
            </w:r>
          </w:p>
        </w:tc>
        <w:tc>
          <w:tcPr>
            <w:tcW w:w="1970" w:type="dxa"/>
            <w:shd w:val="clear" w:color="auto" w:fill="auto"/>
            <w:vAlign w:val="center"/>
          </w:tcPr>
          <w:p w:rsidR="00383E98" w:rsidRPr="00D5236B" w:rsidRDefault="00383E98" w:rsidP="00A828A9">
            <w:pPr>
              <w:pStyle w:val="TableText0"/>
              <w:jc w:val="center"/>
            </w:pPr>
            <w:r w:rsidRPr="00D5236B">
              <w:t>1.63 (1.49, 1.79)</w:t>
            </w:r>
          </w:p>
        </w:tc>
        <w:tc>
          <w:tcPr>
            <w:tcW w:w="1971" w:type="dxa"/>
            <w:shd w:val="clear" w:color="auto" w:fill="auto"/>
            <w:vAlign w:val="center"/>
          </w:tcPr>
          <w:p w:rsidR="00383E98" w:rsidRPr="00D5236B" w:rsidRDefault="00383E98" w:rsidP="00A828A9">
            <w:pPr>
              <w:pStyle w:val="TableText0"/>
              <w:jc w:val="center"/>
            </w:pPr>
            <w:r w:rsidRPr="00D5236B">
              <w:t>1.42 (1.29, 1.57)</w:t>
            </w:r>
          </w:p>
        </w:tc>
        <w:tc>
          <w:tcPr>
            <w:tcW w:w="1971" w:type="dxa"/>
            <w:shd w:val="clear" w:color="auto" w:fill="auto"/>
            <w:vAlign w:val="center"/>
          </w:tcPr>
          <w:p w:rsidR="00383E98" w:rsidRPr="00D5236B" w:rsidRDefault="00383E98" w:rsidP="00A828A9">
            <w:pPr>
              <w:pStyle w:val="TableText0"/>
              <w:jc w:val="center"/>
            </w:pPr>
            <w:r w:rsidRPr="00D5236B">
              <w:t>1.15 (0.96, 1.38) [0.12]</w:t>
            </w:r>
          </w:p>
        </w:tc>
      </w:tr>
      <w:tr w:rsidR="00383E98" w:rsidRPr="00D5236B" w:rsidTr="00383E98">
        <w:tc>
          <w:tcPr>
            <w:tcW w:w="2410" w:type="dxa"/>
            <w:shd w:val="clear" w:color="auto" w:fill="auto"/>
            <w:vAlign w:val="center"/>
          </w:tcPr>
          <w:p w:rsidR="00383E98" w:rsidRPr="00D5236B" w:rsidRDefault="00383E98" w:rsidP="00A828A9">
            <w:pPr>
              <w:pStyle w:val="TableText0"/>
              <w:tabs>
                <w:tab w:val="left" w:pos="315"/>
                <w:tab w:val="left" w:pos="480"/>
              </w:tabs>
              <w:ind w:left="233" w:right="24" w:hanging="233"/>
              <w:rPr>
                <w:i/>
              </w:rPr>
            </w:pPr>
            <w:r w:rsidRPr="00D5236B">
              <w:tab/>
              <w:t>First HIV test after enrolment test (</w:t>
            </w:r>
            <w:r w:rsidRPr="00D5236B">
              <w:rPr>
                <w:i/>
              </w:rPr>
              <w:t>post-hoc)</w:t>
            </w:r>
          </w:p>
        </w:tc>
        <w:tc>
          <w:tcPr>
            <w:tcW w:w="1970" w:type="dxa"/>
            <w:shd w:val="clear" w:color="auto" w:fill="auto"/>
            <w:vAlign w:val="center"/>
          </w:tcPr>
          <w:p w:rsidR="00383E98" w:rsidRPr="00D5236B" w:rsidRDefault="00383E98" w:rsidP="00A828A9">
            <w:pPr>
              <w:pStyle w:val="TableText0"/>
              <w:jc w:val="center"/>
            </w:pPr>
            <w:r w:rsidRPr="00D5236B">
              <w:t>1.32 (1.13, 1.54)</w:t>
            </w:r>
          </w:p>
        </w:tc>
        <w:tc>
          <w:tcPr>
            <w:tcW w:w="1971" w:type="dxa"/>
            <w:shd w:val="clear" w:color="auto" w:fill="auto"/>
            <w:vAlign w:val="center"/>
          </w:tcPr>
          <w:p w:rsidR="00383E98" w:rsidRPr="00D5236B" w:rsidRDefault="00383E98" w:rsidP="00A828A9">
            <w:pPr>
              <w:pStyle w:val="TableText0"/>
              <w:jc w:val="center"/>
            </w:pPr>
            <w:r w:rsidRPr="00D5236B">
              <w:t>1.01 (0.66, 1.19)</w:t>
            </w:r>
          </w:p>
        </w:tc>
        <w:tc>
          <w:tcPr>
            <w:tcW w:w="1971" w:type="dxa"/>
            <w:shd w:val="clear" w:color="auto" w:fill="auto"/>
            <w:vAlign w:val="center"/>
          </w:tcPr>
          <w:p w:rsidR="00383E98" w:rsidRPr="00D5236B" w:rsidRDefault="00383E98" w:rsidP="00A828A9">
            <w:pPr>
              <w:pStyle w:val="TableText0"/>
              <w:jc w:val="center"/>
              <w:rPr>
                <w:b/>
              </w:rPr>
            </w:pPr>
            <w:r w:rsidRPr="00D5236B">
              <w:rPr>
                <w:b/>
              </w:rPr>
              <w:t>1.32 (1.05, 1.65) [0.02]</w:t>
            </w:r>
          </w:p>
        </w:tc>
      </w:tr>
      <w:tr w:rsidR="00383E98" w:rsidRPr="00D5236B" w:rsidTr="00383E98">
        <w:tc>
          <w:tcPr>
            <w:tcW w:w="2410" w:type="dxa"/>
            <w:shd w:val="clear" w:color="auto" w:fill="auto"/>
            <w:vAlign w:val="center"/>
          </w:tcPr>
          <w:p w:rsidR="00383E98" w:rsidRPr="00D5236B" w:rsidRDefault="00383E98" w:rsidP="00A828A9">
            <w:pPr>
              <w:pStyle w:val="TableText0"/>
              <w:tabs>
                <w:tab w:val="left" w:pos="315"/>
                <w:tab w:val="left" w:pos="480"/>
              </w:tabs>
              <w:ind w:left="233" w:right="24" w:hanging="233"/>
            </w:pPr>
            <w:r w:rsidRPr="00D5236B">
              <w:tab/>
              <w:t xml:space="preserve">Subsequent HIV tests (excluding first tests; </w:t>
            </w:r>
            <w:r w:rsidRPr="00D5236B">
              <w:rPr>
                <w:i/>
              </w:rPr>
              <w:t>post-hoc</w:t>
            </w:r>
            <w:r w:rsidRPr="00D5236B">
              <w:t>)</w:t>
            </w:r>
          </w:p>
        </w:tc>
        <w:tc>
          <w:tcPr>
            <w:tcW w:w="1970" w:type="dxa"/>
            <w:shd w:val="clear" w:color="auto" w:fill="auto"/>
            <w:vAlign w:val="center"/>
          </w:tcPr>
          <w:p w:rsidR="00383E98" w:rsidRPr="00D5236B" w:rsidRDefault="00383E98" w:rsidP="00A828A9">
            <w:pPr>
              <w:pStyle w:val="TableText0"/>
              <w:jc w:val="center"/>
            </w:pPr>
            <w:r w:rsidRPr="00D5236B">
              <w:t>1.86 (1.66, 2.07)</w:t>
            </w:r>
          </w:p>
        </w:tc>
        <w:tc>
          <w:tcPr>
            <w:tcW w:w="1971" w:type="dxa"/>
            <w:shd w:val="clear" w:color="auto" w:fill="auto"/>
            <w:vAlign w:val="center"/>
          </w:tcPr>
          <w:p w:rsidR="00383E98" w:rsidRPr="00D5236B" w:rsidRDefault="00383E98" w:rsidP="00A828A9">
            <w:pPr>
              <w:pStyle w:val="TableText0"/>
              <w:jc w:val="center"/>
            </w:pPr>
            <w:r w:rsidRPr="00D5236B">
              <w:t>1.83 (1.62, 2.07)</w:t>
            </w:r>
          </w:p>
        </w:tc>
        <w:tc>
          <w:tcPr>
            <w:tcW w:w="1971" w:type="dxa"/>
            <w:shd w:val="clear" w:color="auto" w:fill="auto"/>
            <w:vAlign w:val="center"/>
          </w:tcPr>
          <w:p w:rsidR="00383E98" w:rsidRPr="00D5236B" w:rsidRDefault="00383E98" w:rsidP="00A828A9">
            <w:pPr>
              <w:pStyle w:val="TableText0"/>
              <w:jc w:val="center"/>
            </w:pPr>
            <w:r w:rsidRPr="00D5236B">
              <w:t>1.01 (0.86, 1.20) [0.90]</w:t>
            </w:r>
          </w:p>
        </w:tc>
      </w:tr>
      <w:tr w:rsidR="00383E98" w:rsidRPr="00D5236B" w:rsidTr="00383E98">
        <w:tc>
          <w:tcPr>
            <w:tcW w:w="2410" w:type="dxa"/>
            <w:shd w:val="clear" w:color="auto" w:fill="auto"/>
            <w:vAlign w:val="center"/>
          </w:tcPr>
          <w:p w:rsidR="00383E98" w:rsidRPr="00D5236B" w:rsidRDefault="00383E98" w:rsidP="00E14362">
            <w:pPr>
              <w:pStyle w:val="TableText0"/>
            </w:pPr>
            <w:r w:rsidRPr="00D5236B">
              <w:t>Syphilis tests over 18 months</w:t>
            </w:r>
          </w:p>
        </w:tc>
        <w:tc>
          <w:tcPr>
            <w:tcW w:w="1970" w:type="dxa"/>
            <w:shd w:val="clear" w:color="auto" w:fill="auto"/>
            <w:vAlign w:val="center"/>
          </w:tcPr>
          <w:p w:rsidR="00383E98" w:rsidRPr="00D5236B" w:rsidRDefault="00383E98" w:rsidP="00A828A9">
            <w:pPr>
              <w:pStyle w:val="TableText0"/>
              <w:jc w:val="center"/>
            </w:pPr>
            <w:r w:rsidRPr="00D5236B">
              <w:t>1.42 (NR)</w:t>
            </w:r>
          </w:p>
        </w:tc>
        <w:tc>
          <w:tcPr>
            <w:tcW w:w="1971" w:type="dxa"/>
            <w:shd w:val="clear" w:color="auto" w:fill="auto"/>
            <w:vAlign w:val="center"/>
          </w:tcPr>
          <w:p w:rsidR="00383E98" w:rsidRPr="00D5236B" w:rsidRDefault="00383E98" w:rsidP="00A828A9">
            <w:pPr>
              <w:pStyle w:val="TableText0"/>
              <w:jc w:val="center"/>
            </w:pPr>
            <w:r w:rsidRPr="00D5236B">
              <w:t>1.32 (NR)</w:t>
            </w:r>
          </w:p>
        </w:tc>
        <w:tc>
          <w:tcPr>
            <w:tcW w:w="1971" w:type="dxa"/>
            <w:shd w:val="clear" w:color="auto" w:fill="auto"/>
            <w:vAlign w:val="center"/>
          </w:tcPr>
          <w:p w:rsidR="00383E98" w:rsidRPr="00D5236B" w:rsidRDefault="00383E98" w:rsidP="00A828A9">
            <w:pPr>
              <w:pStyle w:val="TableText0"/>
              <w:jc w:val="center"/>
            </w:pPr>
            <w:r w:rsidRPr="00D5236B">
              <w:t>1.13 (0.95, 1.35) [0.18]</w:t>
            </w:r>
          </w:p>
        </w:tc>
      </w:tr>
      <w:tr w:rsidR="00383E98" w:rsidRPr="00D5236B" w:rsidTr="00383E98">
        <w:tc>
          <w:tcPr>
            <w:tcW w:w="2410" w:type="dxa"/>
            <w:shd w:val="clear" w:color="auto" w:fill="auto"/>
            <w:vAlign w:val="center"/>
          </w:tcPr>
          <w:p w:rsidR="00383E98" w:rsidRPr="00D5236B" w:rsidRDefault="00383E98" w:rsidP="00E14362">
            <w:pPr>
              <w:pStyle w:val="TableText0"/>
            </w:pPr>
            <w:r w:rsidRPr="00D5236B">
              <w:t>Chlamydia tests over 18 months</w:t>
            </w:r>
          </w:p>
        </w:tc>
        <w:tc>
          <w:tcPr>
            <w:tcW w:w="1970" w:type="dxa"/>
            <w:shd w:val="clear" w:color="auto" w:fill="auto"/>
            <w:vAlign w:val="center"/>
          </w:tcPr>
          <w:p w:rsidR="00383E98" w:rsidRPr="00D5236B" w:rsidRDefault="00383E98" w:rsidP="00A828A9">
            <w:pPr>
              <w:pStyle w:val="TableText0"/>
              <w:jc w:val="center"/>
            </w:pPr>
            <w:r w:rsidRPr="00D5236B">
              <w:t>1.56 (NR)</w:t>
            </w:r>
          </w:p>
        </w:tc>
        <w:tc>
          <w:tcPr>
            <w:tcW w:w="1971" w:type="dxa"/>
            <w:shd w:val="clear" w:color="auto" w:fill="auto"/>
            <w:vAlign w:val="center"/>
          </w:tcPr>
          <w:p w:rsidR="00383E98" w:rsidRPr="00D5236B" w:rsidRDefault="00383E98" w:rsidP="00A828A9">
            <w:pPr>
              <w:pStyle w:val="TableText0"/>
              <w:jc w:val="center"/>
            </w:pPr>
            <w:r w:rsidRPr="00D5236B">
              <w:t>1.42 (NR)</w:t>
            </w:r>
          </w:p>
        </w:tc>
        <w:tc>
          <w:tcPr>
            <w:tcW w:w="1971" w:type="dxa"/>
            <w:shd w:val="clear" w:color="auto" w:fill="auto"/>
            <w:vAlign w:val="center"/>
          </w:tcPr>
          <w:p w:rsidR="00383E98" w:rsidRPr="00D5236B" w:rsidRDefault="00383E98" w:rsidP="00A828A9">
            <w:pPr>
              <w:pStyle w:val="TableText0"/>
              <w:jc w:val="center"/>
            </w:pPr>
            <w:r w:rsidRPr="00D5236B">
              <w:t>1.11 (0.90, 1.36) [0.33]</w:t>
            </w:r>
          </w:p>
        </w:tc>
      </w:tr>
      <w:tr w:rsidR="00383E98" w:rsidRPr="00D5236B" w:rsidTr="00383E98">
        <w:tc>
          <w:tcPr>
            <w:tcW w:w="2410" w:type="dxa"/>
            <w:shd w:val="clear" w:color="auto" w:fill="auto"/>
            <w:vAlign w:val="center"/>
          </w:tcPr>
          <w:p w:rsidR="00383E98" w:rsidRPr="00D5236B" w:rsidRDefault="00383E98" w:rsidP="00E14362">
            <w:pPr>
              <w:pStyle w:val="TableText0"/>
            </w:pPr>
            <w:r w:rsidRPr="00D5236B">
              <w:t>Gonorrhoea tests over 18 months</w:t>
            </w:r>
          </w:p>
        </w:tc>
        <w:tc>
          <w:tcPr>
            <w:tcW w:w="1970" w:type="dxa"/>
            <w:shd w:val="clear" w:color="auto" w:fill="auto"/>
            <w:vAlign w:val="center"/>
          </w:tcPr>
          <w:p w:rsidR="00383E98" w:rsidRPr="00D5236B" w:rsidRDefault="00383E98" w:rsidP="00A828A9">
            <w:pPr>
              <w:pStyle w:val="TableText0"/>
              <w:jc w:val="center"/>
            </w:pPr>
            <w:r w:rsidRPr="00D5236B">
              <w:t>1.56 (NR)</w:t>
            </w:r>
          </w:p>
        </w:tc>
        <w:tc>
          <w:tcPr>
            <w:tcW w:w="1971" w:type="dxa"/>
            <w:shd w:val="clear" w:color="auto" w:fill="auto"/>
            <w:vAlign w:val="center"/>
          </w:tcPr>
          <w:p w:rsidR="00383E98" w:rsidRPr="00D5236B" w:rsidRDefault="00383E98" w:rsidP="00A828A9">
            <w:pPr>
              <w:pStyle w:val="TableText0"/>
              <w:jc w:val="center"/>
            </w:pPr>
            <w:r w:rsidRPr="00D5236B">
              <w:t>1.42 (NR)</w:t>
            </w:r>
          </w:p>
        </w:tc>
        <w:tc>
          <w:tcPr>
            <w:tcW w:w="1971" w:type="dxa"/>
            <w:shd w:val="clear" w:color="auto" w:fill="auto"/>
            <w:vAlign w:val="center"/>
          </w:tcPr>
          <w:p w:rsidR="00383E98" w:rsidRPr="00D5236B" w:rsidRDefault="00383E98" w:rsidP="00A828A9">
            <w:pPr>
              <w:pStyle w:val="TableText0"/>
              <w:jc w:val="center"/>
            </w:pPr>
            <w:r w:rsidRPr="00D5236B">
              <w:t>1.11 (0.90, 1.36) [0.33]</w:t>
            </w:r>
          </w:p>
        </w:tc>
      </w:tr>
    </w:tbl>
    <w:p w:rsidR="005B1D2E" w:rsidRPr="005B1D2E" w:rsidRDefault="005B1D2E" w:rsidP="005B1D2E">
      <w:pPr>
        <w:pStyle w:val="TableNotes"/>
        <w:tabs>
          <w:tab w:val="left" w:pos="993"/>
        </w:tabs>
      </w:pPr>
      <w:proofErr w:type="gramStart"/>
      <w:r>
        <w:rPr>
          <w:vertAlign w:val="superscript"/>
        </w:rPr>
        <w:t>a</w:t>
      </w:r>
      <w:proofErr w:type="gramEnd"/>
      <w:r>
        <w:tab/>
        <w:t>calculated from number of tests/person year</w:t>
      </w:r>
    </w:p>
    <w:p w:rsidR="00B5150F" w:rsidRPr="00B5150F" w:rsidRDefault="00D21153" w:rsidP="00D21153">
      <w:pPr>
        <w:pStyle w:val="TableNotes"/>
      </w:pPr>
      <w:r>
        <w:t>Source: Table 2, p7 and p3 of Read (2013)</w:t>
      </w:r>
    </w:p>
    <w:p w:rsidR="00D97F45" w:rsidRDefault="004A6FA6" w:rsidP="004A6FA6">
      <w:r>
        <w:t>The results of the trial indicate that there was no statistically significant difference between groups for the primary outcome of “HIV tests over 18 months” or the secondary outcomes of syphilis, chlamydia and gonorrhoea testing over 18 months.  Hence, the possibility of having HIV tests by rapid point-of-care testing did not result in higher testing frequency over the study period of 18 months.</w:t>
      </w:r>
    </w:p>
    <w:p w:rsidR="004A6FA6" w:rsidRDefault="004A6FA6" w:rsidP="004A6FA6">
      <w:r>
        <w:t xml:space="preserve">The authors also undertook </w:t>
      </w:r>
      <w:r>
        <w:rPr>
          <w:i/>
          <w:iCs/>
        </w:rPr>
        <w:t xml:space="preserve">post-hoc </w:t>
      </w:r>
      <w:r>
        <w:t>analyses considering only the first HIV test after enrolment and considering only subsequent HIV tests (excluding first tests).  A statistically significantly greater number of first HIV tests/year after the enrolment test was observed in those randomised to the HIV testing by the rapid point-of-care test compared with conventional testing, however no differences were observed in the number of HIV tests/year when only considering subsequent tests.  Based on these results, the authors conclude that “Post hoc analysis showed an initial increase in their rate of testing that was not sustained”.</w:t>
      </w:r>
    </w:p>
    <w:p w:rsidR="004A6FA6" w:rsidRDefault="004A6FA6" w:rsidP="004A6FA6">
      <w:r>
        <w:rPr>
          <w:b/>
        </w:rPr>
        <w:t>Additional outcomes reported in Read (2013)</w:t>
      </w:r>
    </w:p>
    <w:p w:rsidR="004A6FA6" w:rsidRDefault="00564E21" w:rsidP="009B1C7B">
      <w:pPr>
        <w:spacing w:after="0"/>
      </w:pPr>
      <w:r>
        <w:t xml:space="preserve">Participants </w:t>
      </w:r>
      <w:r w:rsidR="009B1C7B">
        <w:t xml:space="preserve">who completed all online study questionnaires </w:t>
      </w:r>
      <w:r>
        <w:t>were offered a $20 vo</w:t>
      </w:r>
      <w:r w:rsidR="009B1C7B">
        <w:t xml:space="preserve">ucher.  Participants in the trial </w:t>
      </w:r>
      <w:r>
        <w:t xml:space="preserve">were invited to partake in </w:t>
      </w:r>
      <w:r w:rsidR="009B1C7B">
        <w:t xml:space="preserve">these questionnaires </w:t>
      </w:r>
      <w:r>
        <w:t>at months six, 12 and 18.  The questionnaire asked questions relating to:</w:t>
      </w:r>
    </w:p>
    <w:p w:rsidR="00564E21" w:rsidRDefault="00564E21" w:rsidP="00F737A4">
      <w:pPr>
        <w:numPr>
          <w:ilvl w:val="0"/>
          <w:numId w:val="6"/>
        </w:numPr>
        <w:spacing w:after="0"/>
        <w:ind w:left="1134" w:hanging="425"/>
      </w:pPr>
      <w:r>
        <w:lastRenderedPageBreak/>
        <w:t>HIV testing at clinics other than the study clinic.  If information was not provided in the questionnaire, individual men were contacted via SMS to provide the details of testing which was subsequently verified by contacting the external clinics;</w:t>
      </w:r>
    </w:p>
    <w:p w:rsidR="00564E21" w:rsidRDefault="00564E21" w:rsidP="00F737A4">
      <w:pPr>
        <w:numPr>
          <w:ilvl w:val="0"/>
          <w:numId w:val="6"/>
        </w:numPr>
        <w:spacing w:after="0"/>
        <w:ind w:left="1134" w:hanging="425"/>
      </w:pPr>
      <w:r>
        <w:t>Attitudes to HIV and sexual behaviour; and</w:t>
      </w:r>
    </w:p>
    <w:p w:rsidR="00564E21" w:rsidRDefault="00564E21" w:rsidP="00F737A4">
      <w:pPr>
        <w:numPr>
          <w:ilvl w:val="0"/>
          <w:numId w:val="6"/>
        </w:numPr>
        <w:ind w:left="1134" w:hanging="425"/>
      </w:pPr>
      <w:r>
        <w:t>How they felt about their HIV test experience.</w:t>
      </w:r>
    </w:p>
    <w:p w:rsidR="00D03C18" w:rsidRDefault="004C5901" w:rsidP="005E6E45">
      <w:pPr>
        <w:spacing w:after="0"/>
      </w:pPr>
      <w:r>
        <w:t>At baseline, most men (88%; 95% CI: 82%, 92%)</w:t>
      </w:r>
      <w:r w:rsidR="00302A43">
        <w:t xml:space="preserve"> </w:t>
      </w:r>
      <w:r>
        <w:t xml:space="preserve">in the intervention arm </w:t>
      </w:r>
      <w:r w:rsidR="00302A43">
        <w:t xml:space="preserve">stated a preference for the rapid test after </w:t>
      </w:r>
      <w:r w:rsidR="005E6E45">
        <w:t>blood collection by</w:t>
      </w:r>
      <w:r w:rsidR="00302A43">
        <w:t xml:space="preserve"> finger prick.  Of the 390 men who remained HIV negative over the study period, </w:t>
      </w:r>
      <w:r w:rsidR="005E6E45">
        <w:t>270 completed a final study questionnaire (142/195 [73%] randomised to rapid testing and 128/195 [66%] in the conventional testing arm).</w:t>
      </w:r>
    </w:p>
    <w:p w:rsidR="00D03C18" w:rsidRDefault="00D03C18" w:rsidP="005E6E45">
      <w:pPr>
        <w:spacing w:after="0"/>
      </w:pPr>
    </w:p>
    <w:p w:rsidR="005E6E45" w:rsidRDefault="005E6E45" w:rsidP="005E6E45">
      <w:pPr>
        <w:spacing w:after="0"/>
      </w:pPr>
      <w:r>
        <w:t xml:space="preserve">Men who were randomised to the conventional testing arm were more likely to: </w:t>
      </w:r>
    </w:p>
    <w:p w:rsidR="005E6E45" w:rsidRDefault="005E6E45" w:rsidP="00F737A4">
      <w:pPr>
        <w:numPr>
          <w:ilvl w:val="0"/>
          <w:numId w:val="6"/>
        </w:numPr>
        <w:spacing w:after="0"/>
        <w:ind w:left="1134" w:hanging="425"/>
      </w:pPr>
      <w:r>
        <w:t>feel that the wait for results was too long (59% versus 9%, p&lt;0.001)</w:t>
      </w:r>
    </w:p>
    <w:p w:rsidR="005E6E45" w:rsidRDefault="005E6E45" w:rsidP="00F737A4">
      <w:pPr>
        <w:numPr>
          <w:ilvl w:val="0"/>
          <w:numId w:val="6"/>
        </w:numPr>
        <w:spacing w:after="0"/>
        <w:ind w:left="1134" w:hanging="425"/>
      </w:pPr>
      <w:r>
        <w:t>report anxiety due to the wait (63% versus 44%; p=0.002);</w:t>
      </w:r>
    </w:p>
    <w:p w:rsidR="00564E21" w:rsidRDefault="005E6E45" w:rsidP="00F737A4">
      <w:pPr>
        <w:numPr>
          <w:ilvl w:val="0"/>
          <w:numId w:val="6"/>
        </w:numPr>
        <w:spacing w:after="0"/>
        <w:ind w:left="1134" w:hanging="425"/>
      </w:pPr>
      <w:r>
        <w:t>report delaying their next test because of anxiety over the wait (24% versus 13%, p=0.03); and</w:t>
      </w:r>
    </w:p>
    <w:p w:rsidR="005E6E45" w:rsidRDefault="00263E7A" w:rsidP="00263E7A">
      <w:proofErr w:type="gramStart"/>
      <w:r>
        <w:t>l</w:t>
      </w:r>
      <w:r w:rsidR="005E6E45">
        <w:t>ess</w:t>
      </w:r>
      <w:proofErr w:type="gramEnd"/>
      <w:r w:rsidR="005E6E45">
        <w:t xml:space="preserve"> likely to report that obtaining the results was convenient (41% versus 74%; p&lt;0.001)</w:t>
      </w:r>
      <w:r>
        <w:t xml:space="preserve"> </w:t>
      </w:r>
      <w:r w:rsidR="005E6E45">
        <w:t xml:space="preserve">compared with men randomised to rapid point-of-care testing. </w:t>
      </w:r>
    </w:p>
    <w:p w:rsidR="00FD7699" w:rsidRDefault="00FD7699" w:rsidP="00263E7A">
      <w:r>
        <w:t xml:space="preserve">While the population enrolled in the randomised controlled trial reported by Read (2013) is directly applicable to the Australian setting, there are some limitations.  The trial only enrolled MSM, where the test is intended for a wider population, such as injecting drug users.  Although enrolling MSM, this was a select group of men who had tested within the last two years, i.e., those who had a history of testing.  This was a requirement of the trial to increase the likelihood of men returning for subsequent testing, but this restriction limits any increase in testing that may or may not have been observed if ‘never’ testers had also been enrolled.  This is of particular relevance when considered in the context that the results of the patient satisfaction questionnaire reported in </w:t>
      </w:r>
      <w:proofErr w:type="spellStart"/>
      <w:r>
        <w:t>Eu</w:t>
      </w:r>
      <w:proofErr w:type="spellEnd"/>
      <w:r>
        <w:t xml:space="preserve"> (2014) indicated that one in five men would not have been tested if rapid point-of-care testing </w:t>
      </w:r>
      <w:r w:rsidR="00312E72">
        <w:t>was</w:t>
      </w:r>
      <w:r>
        <w:t xml:space="preserve"> not available.</w:t>
      </w:r>
    </w:p>
    <w:p w:rsidR="00986010" w:rsidRDefault="00AB0F6C" w:rsidP="000A3AAF">
      <w:pPr>
        <w:pStyle w:val="Heading3"/>
      </w:pPr>
      <w:bookmarkStart w:id="128" w:name="_Toc188861200"/>
      <w:r>
        <w:t xml:space="preserve">Evidence linkage 3: </w:t>
      </w:r>
      <w:r w:rsidR="00986010" w:rsidRPr="000A3AAF">
        <w:t>Does change in management improve patient outcomes?</w:t>
      </w:r>
      <w:bookmarkEnd w:id="128"/>
    </w:p>
    <w:p w:rsidR="00CA14A0" w:rsidRPr="00CA14A0" w:rsidRDefault="00F771DB" w:rsidP="00F771DB">
      <w:r>
        <w:t>Once a diagnosis of HIV infection is made there would be no difference in the time taken to commence treatment and alter high-risk behaviour.</w:t>
      </w:r>
    </w:p>
    <w:p w:rsidR="00986010" w:rsidRPr="004C6B15" w:rsidRDefault="009A05BD" w:rsidP="003B4B69">
      <w:r w:rsidRPr="000A3AAF">
        <w:t xml:space="preserve"> </w:t>
      </w:r>
    </w:p>
    <w:p w:rsidR="007B32E8" w:rsidRPr="004C6B15" w:rsidRDefault="007B32E8">
      <w:pPr>
        <w:pStyle w:val="Heading2"/>
        <w:sectPr w:rsidR="007B32E8" w:rsidRPr="004C6B15" w:rsidSect="00516396">
          <w:footerReference w:type="default" r:id="rId31"/>
          <w:pgSz w:w="11906" w:h="16838"/>
          <w:pgMar w:top="1440" w:right="1440" w:bottom="1440" w:left="1440" w:header="720" w:footer="720" w:gutter="0"/>
          <w:paperSrc w:first="2" w:other="2"/>
          <w:cols w:space="720"/>
        </w:sectPr>
      </w:pPr>
    </w:p>
    <w:p w:rsidR="00A277E4" w:rsidRPr="004C6B15" w:rsidRDefault="00A277E4" w:rsidP="00E44F80">
      <w:pPr>
        <w:pStyle w:val="Heading1"/>
      </w:pPr>
      <w:bookmarkStart w:id="129" w:name="_Toc418224873"/>
      <w:r w:rsidRPr="004C6B15">
        <w:lastRenderedPageBreak/>
        <w:t>Other relevant considerations</w:t>
      </w:r>
      <w:bookmarkEnd w:id="129"/>
    </w:p>
    <w:p w:rsidR="00AF53AA" w:rsidRDefault="00AF53AA" w:rsidP="00563502">
      <w:pPr>
        <w:pStyle w:val="Heading2"/>
      </w:pPr>
      <w:bookmarkStart w:id="130" w:name="_Toc418224874"/>
      <w:r w:rsidRPr="00C52671">
        <w:t xml:space="preserve">Consumer </w:t>
      </w:r>
      <w:r w:rsidR="00174CBB" w:rsidRPr="00C52671">
        <w:t>i</w:t>
      </w:r>
      <w:r w:rsidRPr="00C52671">
        <w:t xml:space="preserve">mplications and </w:t>
      </w:r>
      <w:r w:rsidR="00174CBB" w:rsidRPr="00C52671">
        <w:t>other c</w:t>
      </w:r>
      <w:r w:rsidRPr="00C52671">
        <w:t>onsiderations</w:t>
      </w:r>
      <w:bookmarkEnd w:id="130"/>
    </w:p>
    <w:p w:rsidR="0022302B" w:rsidRDefault="005923F2" w:rsidP="00CF2E2D">
      <w:r>
        <w:t xml:space="preserve">Two studies (Yang 2014, </w:t>
      </w:r>
      <w:proofErr w:type="spellStart"/>
      <w:r>
        <w:t>Eu</w:t>
      </w:r>
      <w:proofErr w:type="spellEnd"/>
      <w:r>
        <w:t xml:space="preserve"> 2014) have indicated that Australian G/MSM have a preference for rapid testing over non-rapid testing.  However, in the randomised controlled trial reported by Read (2013), MSM randomised to the rapid testing arm did not demonstrate a sustained increased frequency of testing over the 18 month period of the trial.  Thus, it is unclear whether the </w:t>
      </w:r>
      <w:r w:rsidR="00CF2E2D">
        <w:t>availability of a MBS-listed rapid point-of-care HIV test</w:t>
      </w:r>
      <w:r>
        <w:t xml:space="preserve"> </w:t>
      </w:r>
      <w:r w:rsidR="00CF2E2D">
        <w:t>would actually achieve the desired effect of (</w:t>
      </w:r>
      <w:proofErr w:type="spellStart"/>
      <w:r w:rsidR="00CF2E2D">
        <w:t>i</w:t>
      </w:r>
      <w:proofErr w:type="spellEnd"/>
      <w:r w:rsidR="00CF2E2D">
        <w:t>) increasing HIV testing frequency among those being tested (demonstrated to not occur in the randomised controlled trial reported by Read 2013) and (ii) testing am</w:t>
      </w:r>
      <w:r w:rsidR="00A83143">
        <w:t>ong those who have never tested, in order to allow for earlier HIV diagnosis.</w:t>
      </w:r>
    </w:p>
    <w:p w:rsidR="001A1060" w:rsidRDefault="00CF2E2D" w:rsidP="001A1060">
      <w:pPr>
        <w:spacing w:after="120"/>
      </w:pPr>
      <w:r>
        <w:t xml:space="preserve">This may be attributable to the attitudes of MSM, where the reasons cited by at least 20% of those surveyed in </w:t>
      </w:r>
      <w:proofErr w:type="spellStart"/>
      <w:r>
        <w:t>Prestage</w:t>
      </w:r>
      <w:proofErr w:type="spellEnd"/>
      <w:r>
        <w:t xml:space="preserve"> (2012) for not being tested include</w:t>
      </w:r>
      <w:r w:rsidR="00A83143">
        <w:t>d</w:t>
      </w:r>
      <w:r w:rsidR="001A1060">
        <w:t>:</w:t>
      </w:r>
      <w:r>
        <w:t xml:space="preserve"> </w:t>
      </w:r>
    </w:p>
    <w:p w:rsidR="001A1060" w:rsidRPr="001A1060" w:rsidRDefault="00CF2E2D" w:rsidP="00F737A4">
      <w:pPr>
        <w:pStyle w:val="ListParagraph"/>
        <w:numPr>
          <w:ilvl w:val="0"/>
          <w:numId w:val="33"/>
        </w:numPr>
        <w:spacing w:after="120" w:line="240" w:lineRule="auto"/>
        <w:ind w:left="1434" w:hanging="357"/>
        <w:rPr>
          <w:rFonts w:ascii="Garamond" w:hAnsi="Garamond"/>
          <w:sz w:val="24"/>
          <w:szCs w:val="24"/>
        </w:rPr>
      </w:pPr>
      <w:proofErr w:type="gramStart"/>
      <w:r w:rsidRPr="001A1060">
        <w:rPr>
          <w:rFonts w:ascii="Garamond" w:hAnsi="Garamond"/>
          <w:sz w:val="24"/>
          <w:szCs w:val="24"/>
        </w:rPr>
        <w:t>not</w:t>
      </w:r>
      <w:proofErr w:type="gramEnd"/>
      <w:r w:rsidRPr="001A1060">
        <w:rPr>
          <w:rFonts w:ascii="Garamond" w:hAnsi="Garamond"/>
          <w:sz w:val="24"/>
          <w:szCs w:val="24"/>
        </w:rPr>
        <w:t xml:space="preserve"> feeling they have done anything “risky” (41%)</w:t>
      </w:r>
      <w:r w:rsidR="001A1060" w:rsidRPr="001A1060">
        <w:rPr>
          <w:rFonts w:ascii="Garamond" w:hAnsi="Garamond"/>
          <w:sz w:val="24"/>
          <w:szCs w:val="24"/>
        </w:rPr>
        <w:t>;</w:t>
      </w:r>
      <w:r w:rsidRPr="001A1060">
        <w:rPr>
          <w:rFonts w:ascii="Garamond" w:hAnsi="Garamond"/>
          <w:sz w:val="24"/>
          <w:szCs w:val="24"/>
        </w:rPr>
        <w:t xml:space="preserve"> </w:t>
      </w:r>
    </w:p>
    <w:p w:rsidR="001A1060" w:rsidRDefault="001A1060" w:rsidP="00F737A4">
      <w:pPr>
        <w:pStyle w:val="ListParagraph"/>
        <w:numPr>
          <w:ilvl w:val="0"/>
          <w:numId w:val="33"/>
        </w:numPr>
        <w:spacing w:after="120"/>
        <w:rPr>
          <w:rFonts w:ascii="Garamond" w:hAnsi="Garamond"/>
          <w:sz w:val="24"/>
          <w:szCs w:val="24"/>
        </w:rPr>
      </w:pPr>
      <w:proofErr w:type="gramStart"/>
      <w:r w:rsidRPr="001A1060">
        <w:rPr>
          <w:rFonts w:ascii="Garamond" w:hAnsi="Garamond"/>
          <w:sz w:val="24"/>
          <w:szCs w:val="24"/>
        </w:rPr>
        <w:t>having</w:t>
      </w:r>
      <w:proofErr w:type="gramEnd"/>
      <w:r w:rsidRPr="001A1060">
        <w:rPr>
          <w:rFonts w:ascii="Garamond" w:hAnsi="Garamond"/>
          <w:sz w:val="24"/>
          <w:szCs w:val="24"/>
        </w:rPr>
        <w:t xml:space="preserve"> to return another time for results (40%);</w:t>
      </w:r>
    </w:p>
    <w:p w:rsidR="001A1060" w:rsidRDefault="001A1060" w:rsidP="00F737A4">
      <w:pPr>
        <w:pStyle w:val="ListParagraph"/>
        <w:numPr>
          <w:ilvl w:val="0"/>
          <w:numId w:val="33"/>
        </w:numPr>
        <w:spacing w:after="120"/>
        <w:rPr>
          <w:rFonts w:ascii="Garamond" w:hAnsi="Garamond"/>
          <w:sz w:val="24"/>
          <w:szCs w:val="24"/>
        </w:rPr>
      </w:pPr>
      <w:proofErr w:type="gramStart"/>
      <w:r>
        <w:rPr>
          <w:rFonts w:ascii="Garamond" w:hAnsi="Garamond"/>
          <w:sz w:val="24"/>
          <w:szCs w:val="24"/>
        </w:rPr>
        <w:t>not</w:t>
      </w:r>
      <w:proofErr w:type="gramEnd"/>
      <w:r>
        <w:rPr>
          <w:rFonts w:ascii="Garamond" w:hAnsi="Garamond"/>
          <w:sz w:val="24"/>
          <w:szCs w:val="24"/>
        </w:rPr>
        <w:t xml:space="preserve"> having enough time (25%);</w:t>
      </w:r>
    </w:p>
    <w:p w:rsidR="001A1060" w:rsidRDefault="00CF2E2D" w:rsidP="00F737A4">
      <w:pPr>
        <w:pStyle w:val="ListParagraph"/>
        <w:numPr>
          <w:ilvl w:val="0"/>
          <w:numId w:val="33"/>
        </w:numPr>
        <w:spacing w:after="120"/>
        <w:rPr>
          <w:rFonts w:ascii="Garamond" w:hAnsi="Garamond"/>
          <w:sz w:val="24"/>
          <w:szCs w:val="24"/>
        </w:rPr>
      </w:pPr>
      <w:r w:rsidRPr="001A1060">
        <w:rPr>
          <w:rFonts w:ascii="Garamond" w:hAnsi="Garamond"/>
          <w:sz w:val="24"/>
          <w:szCs w:val="24"/>
        </w:rPr>
        <w:t>having not changed partners (20%)</w:t>
      </w:r>
      <w:r w:rsidR="001A1060">
        <w:rPr>
          <w:rFonts w:ascii="Garamond" w:hAnsi="Garamond"/>
          <w:sz w:val="24"/>
          <w:szCs w:val="24"/>
        </w:rPr>
        <w:t>;</w:t>
      </w:r>
      <w:r w:rsidRPr="001A1060">
        <w:rPr>
          <w:rFonts w:ascii="Garamond" w:hAnsi="Garamond"/>
          <w:sz w:val="24"/>
          <w:szCs w:val="24"/>
        </w:rPr>
        <w:t xml:space="preserve"> or </w:t>
      </w:r>
    </w:p>
    <w:p w:rsidR="00CF2E2D" w:rsidRDefault="00CF2E2D" w:rsidP="00F737A4">
      <w:pPr>
        <w:pStyle w:val="ListParagraph"/>
        <w:numPr>
          <w:ilvl w:val="0"/>
          <w:numId w:val="33"/>
        </w:numPr>
        <w:spacing w:after="120"/>
        <w:rPr>
          <w:rFonts w:ascii="Garamond" w:hAnsi="Garamond"/>
          <w:sz w:val="24"/>
          <w:szCs w:val="24"/>
        </w:rPr>
      </w:pPr>
      <w:proofErr w:type="gramStart"/>
      <w:r w:rsidRPr="001A1060">
        <w:rPr>
          <w:rFonts w:ascii="Garamond" w:hAnsi="Garamond"/>
          <w:sz w:val="24"/>
          <w:szCs w:val="24"/>
        </w:rPr>
        <w:t>not</w:t>
      </w:r>
      <w:proofErr w:type="gramEnd"/>
      <w:r w:rsidRPr="001A1060">
        <w:rPr>
          <w:rFonts w:ascii="Garamond" w:hAnsi="Garamond"/>
          <w:sz w:val="24"/>
          <w:szCs w:val="24"/>
        </w:rPr>
        <w:t xml:space="preserve"> having had any illness or symptoms which made them worry </w:t>
      </w:r>
      <w:r w:rsidR="001A1060">
        <w:rPr>
          <w:rFonts w:ascii="Garamond" w:hAnsi="Garamond"/>
          <w:sz w:val="24"/>
          <w:szCs w:val="24"/>
        </w:rPr>
        <w:t>(20%).</w:t>
      </w:r>
    </w:p>
    <w:p w:rsidR="00A83143" w:rsidRDefault="00A83143" w:rsidP="00A83143">
      <w:pPr>
        <w:rPr>
          <w:szCs w:val="24"/>
        </w:rPr>
      </w:pPr>
      <w:r>
        <w:rPr>
          <w:szCs w:val="24"/>
        </w:rPr>
        <w:t xml:space="preserve">These commonly cited reasons for not regularly </w:t>
      </w:r>
      <w:proofErr w:type="gramStart"/>
      <w:r>
        <w:rPr>
          <w:szCs w:val="24"/>
        </w:rPr>
        <w:t>testing,</w:t>
      </w:r>
      <w:proofErr w:type="gramEnd"/>
      <w:r>
        <w:rPr>
          <w:szCs w:val="24"/>
        </w:rPr>
        <w:t xml:space="preserve"> or testing at all, may contribute to the lack of an observed increased in the testing frequency in Read (2013) as rapid testing does not specifically address any of these concerns. </w:t>
      </w:r>
    </w:p>
    <w:p w:rsidR="00A83143" w:rsidRDefault="00A83143" w:rsidP="00A83143">
      <w:pPr>
        <w:spacing w:after="120"/>
      </w:pPr>
      <w:r>
        <w:rPr>
          <w:szCs w:val="24"/>
        </w:rPr>
        <w:t xml:space="preserve">Of note, </w:t>
      </w:r>
      <w:r>
        <w:t xml:space="preserve">Knight (2014) </w:t>
      </w:r>
      <w:r w:rsidR="004F6D59">
        <w:t>reports</w:t>
      </w:r>
      <w:r>
        <w:t xml:space="preserve"> the use of the DHC test in a pop-up caravan.  The pop-up caravan was installed on 25 November 2013 for a period of five days, staffed by one nurse and two peer educators.  Anyone requesting a HIV test was advised that the target group for the testing service were gay, bisexual and other men who have sex with men (GBM).  182 GBM requested a HIV test with DHC over the five-day period (this compares with 219 MSM over a five and half month period reported in </w:t>
      </w:r>
      <w:proofErr w:type="spellStart"/>
      <w:r>
        <w:t>Eu</w:t>
      </w:r>
      <w:proofErr w:type="spellEnd"/>
      <w:r>
        <w:t xml:space="preserve"> 2014 or 2468 MSM over a 22 month period in Conway 2014).  Of the 182 tests conducted, none were newly reactive and most received their results by SMS, while some chose to return to the caravan for their results.  The relative success of the caravan in engaging GBM for testing (36.4 individuals or 36.4 tests per day) compared with attendance to a GP or sexual health clinic (1.3 individuals or 1.8 tests per day in </w:t>
      </w:r>
      <w:proofErr w:type="spellStart"/>
      <w:r>
        <w:t>Eu</w:t>
      </w:r>
      <w:proofErr w:type="spellEnd"/>
      <w:r>
        <w:t xml:space="preserve"> 2014 or 3.7 individuals or 4.8 tests per day in Conway 2014) may support the use of the DHC test in more of an outreach capacity.</w:t>
      </w:r>
    </w:p>
    <w:p w:rsidR="006C3DE0" w:rsidRPr="00A83143" w:rsidRDefault="006C3DE0" w:rsidP="00A83143">
      <w:pPr>
        <w:spacing w:after="120"/>
        <w:rPr>
          <w:szCs w:val="24"/>
        </w:rPr>
      </w:pPr>
      <w:r>
        <w:t xml:space="preserve">Alternatively, although the DHC test is not TGA-approved for “at home” use, this may represent an alternative use for the test.  A rapid test (the </w:t>
      </w:r>
      <w:proofErr w:type="spellStart"/>
      <w:r>
        <w:t>BioSURE</w:t>
      </w:r>
      <w:proofErr w:type="spellEnd"/>
      <w:r>
        <w:t xml:space="preserve"> HIV </w:t>
      </w:r>
      <w:proofErr w:type="spellStart"/>
      <w:r>
        <w:t>Self Test</w:t>
      </w:r>
      <w:proofErr w:type="spellEnd"/>
      <w:r>
        <w:t>, antibody only) has recently been approved for use “at home” in the United Kingdom.  Expert opinion sought during the assessment also supported the use of home testing using the DHC test.</w:t>
      </w:r>
    </w:p>
    <w:p w:rsidR="00AB68D3" w:rsidRDefault="00AB68D3" w:rsidP="00E44F80">
      <w:pPr>
        <w:pStyle w:val="Heading1"/>
      </w:pPr>
      <w:bookmarkStart w:id="131" w:name="_Toc418224875"/>
      <w:r w:rsidRPr="004C6B15">
        <w:lastRenderedPageBreak/>
        <w:t>What are the economic considerations?</w:t>
      </w:r>
      <w:bookmarkEnd w:id="131"/>
      <w:r w:rsidRPr="004C6B15">
        <w:t xml:space="preserve"> </w:t>
      </w:r>
    </w:p>
    <w:p w:rsidR="00D56906" w:rsidRDefault="00A82411" w:rsidP="00716BB7">
      <w:r>
        <w:t xml:space="preserve">The data reported in Conway (2014) and </w:t>
      </w:r>
      <w:proofErr w:type="spellStart"/>
      <w:r>
        <w:t>Eu</w:t>
      </w:r>
      <w:proofErr w:type="spellEnd"/>
      <w:r>
        <w:t xml:space="preserve"> (2014) indicates that DHC has inferior diagnostic accuracy for detecting HIV compared to serology testing; whereas data reported in Read (2013) indicates that there was no statistically significant difference between the groups randomised to rapid point-of-care testing and serology testing in terms of number of tests/year for HIV.  To account for the differential diagnostic accuracy, a cost-effectiveness analysis is appropriate.</w:t>
      </w:r>
      <w:r w:rsidR="00D56906">
        <w:t xml:space="preserve"> </w:t>
      </w:r>
    </w:p>
    <w:p w:rsidR="00A82411" w:rsidRDefault="00A82411" w:rsidP="00A82411">
      <w:r>
        <w:t xml:space="preserve">The base case of the model assumes no differences in testing frequency between the two arms of the model.  Sensitivity analyses are conducted modifying some assumptions to attempt to capture other reasonable scenarios, including the qualitative patient satisfaction evidence in </w:t>
      </w:r>
      <w:proofErr w:type="spellStart"/>
      <w:r>
        <w:t>Eu</w:t>
      </w:r>
      <w:proofErr w:type="spellEnd"/>
      <w:r>
        <w:t xml:space="preserve"> (2014) and the </w:t>
      </w:r>
      <w:r w:rsidRPr="00A82411">
        <w:rPr>
          <w:i/>
        </w:rPr>
        <w:t>post-hoc</w:t>
      </w:r>
      <w:r>
        <w:t xml:space="preserve"> analysis in Read (2013).</w:t>
      </w:r>
      <w:r w:rsidDel="00BE4895">
        <w:t xml:space="preserve"> </w:t>
      </w:r>
    </w:p>
    <w:p w:rsidR="007A4DD5" w:rsidRPr="004C6B15" w:rsidRDefault="007A4DD5" w:rsidP="00D45AA1">
      <w:pPr>
        <w:pStyle w:val="Heading2"/>
      </w:pPr>
      <w:bookmarkStart w:id="132" w:name="_Toc418224876"/>
      <w:r>
        <w:t xml:space="preserve">Economic </w:t>
      </w:r>
      <w:r w:rsidR="00174CBB">
        <w:t>e</w:t>
      </w:r>
      <w:r>
        <w:t>valuation</w:t>
      </w:r>
      <w:bookmarkEnd w:id="132"/>
    </w:p>
    <w:p w:rsidR="005804D8" w:rsidRDefault="00696A03" w:rsidP="00696A03">
      <w:pPr>
        <w:pStyle w:val="Heading3"/>
      </w:pPr>
      <w:r>
        <w:t>Overview</w:t>
      </w:r>
    </w:p>
    <w:p w:rsidR="005804D8" w:rsidRDefault="00696A03" w:rsidP="005804D8">
      <w:r w:rsidRPr="0022302B">
        <w:t>The type of economic evaluation presented is a cost-consequences analysis which estimates cost per various test outcomes associated with the DHC test and conventional testing (</w:t>
      </w:r>
      <w:r w:rsidR="00716BB7">
        <w:t>four</w:t>
      </w:r>
      <w:r w:rsidRPr="0022302B">
        <w:t>th generation EIA) over one year.  Whilst it is acknowledged that HIV and HIV screening</w:t>
      </w:r>
      <w:r w:rsidR="004E0751">
        <w:rPr>
          <w:rStyle w:val="FootnoteReference"/>
        </w:rPr>
        <w:footnoteReference w:id="2"/>
      </w:r>
      <w:r w:rsidRPr="0022302B">
        <w:t xml:space="preserve"> programs should be modelled using dynamic transmission model</w:t>
      </w:r>
      <w:r w:rsidR="004E0751">
        <w:t>s</w:t>
      </w:r>
      <w:r w:rsidRPr="0022302B">
        <w:t xml:space="preserve"> to account for the dynamics of infection</w:t>
      </w:r>
      <w:r w:rsidR="00280A51" w:rsidRPr="0022302B">
        <w:rPr>
          <w:rStyle w:val="FootnoteReference"/>
        </w:rPr>
        <w:footnoteReference w:id="3"/>
      </w:r>
      <w:r w:rsidRPr="0022302B">
        <w:t xml:space="preserve"> , there is limited field data required to inform such models particularly in the Australian setting (</w:t>
      </w:r>
      <w:proofErr w:type="spellStart"/>
      <w:r w:rsidRPr="0022302B">
        <w:t>Dibosa-Osadolor</w:t>
      </w:r>
      <w:proofErr w:type="spellEnd"/>
      <w:r w:rsidRPr="0022302B">
        <w:t xml:space="preserve"> 2010, </w:t>
      </w:r>
      <w:proofErr w:type="spellStart"/>
      <w:r w:rsidRPr="0022302B">
        <w:t>Cambiano</w:t>
      </w:r>
      <w:proofErr w:type="spellEnd"/>
      <w:r w:rsidRPr="0022302B">
        <w:t xml:space="preserve"> 2014).  Therefore, in consideration of the clinical evidence available relevant to Australia and more importantly the model outcomes specified in the </w:t>
      </w:r>
      <w:r w:rsidR="00A82411">
        <w:t xml:space="preserve">MSAC 1391 Final </w:t>
      </w:r>
      <w:r w:rsidRPr="0022302B">
        <w:t>Protocol (“early diagnosis of HIV infection”, “false-negatives” and “false-positives”), a novel static</w:t>
      </w:r>
      <w:r w:rsidR="00280A51" w:rsidRPr="0022302B">
        <w:rPr>
          <w:rStyle w:val="FootnoteReference"/>
        </w:rPr>
        <w:footnoteReference w:id="4"/>
      </w:r>
      <w:r w:rsidRPr="0022302B">
        <w:t xml:space="preserve"> </w:t>
      </w:r>
      <w:r w:rsidR="00A82411">
        <w:t xml:space="preserve">state transition </w:t>
      </w:r>
      <w:r w:rsidRPr="0022302B">
        <w:t>model was constructed.  The use of a static model is consistent with other models presented in the literature, and is considered reasonable over a short time horizon.</w:t>
      </w:r>
      <w:r w:rsidRPr="00696A03">
        <w:t xml:space="preserve">  </w:t>
      </w:r>
    </w:p>
    <w:p w:rsidR="005804D8" w:rsidRDefault="00696A03" w:rsidP="00696A03">
      <w:pPr>
        <w:pStyle w:val="Heading3"/>
      </w:pPr>
      <w:r w:rsidRPr="00696A03">
        <w:t>Population and setting for the economic evaluation</w:t>
      </w:r>
    </w:p>
    <w:p w:rsidR="005804D8" w:rsidRDefault="00696A03" w:rsidP="005804D8">
      <w:r w:rsidRPr="00AC00C9">
        <w:t xml:space="preserve">The population in the model is assumed to be all Australian MSMs without diagnosed HIV, and includes </w:t>
      </w:r>
      <w:r w:rsidR="00543DDC">
        <w:rPr>
          <w:bCs/>
        </w:rPr>
        <w:t>individual</w:t>
      </w:r>
      <w:r w:rsidR="00543DDC" w:rsidRPr="00102204">
        <w:rPr>
          <w:bCs/>
        </w:rPr>
        <w:t>s</w:t>
      </w:r>
      <w:r w:rsidRPr="00AC00C9">
        <w:t xml:space="preserve"> who are seropositive, seroconverting and seronegative.  As discussed </w:t>
      </w:r>
      <w:r w:rsidR="00AC00C9" w:rsidRPr="00AC00C9">
        <w:t>under “Current reimbursement arrangements” in the Background section of the report,</w:t>
      </w:r>
      <w:r w:rsidRPr="00AC00C9">
        <w:t xml:space="preserve"> it is anticipated that the majority of use will be in GP clinics and sexual health clinics for MSM.</w:t>
      </w:r>
    </w:p>
    <w:p w:rsidR="005804D8" w:rsidRDefault="00AC00C9" w:rsidP="00AC00C9">
      <w:pPr>
        <w:pStyle w:val="Heading3"/>
      </w:pPr>
      <w:r w:rsidRPr="00AC00C9">
        <w:lastRenderedPageBreak/>
        <w:t>Structure and rationale of the economic evaluation</w:t>
      </w:r>
    </w:p>
    <w:p w:rsidR="00AC00C9" w:rsidRPr="00AC00C9" w:rsidRDefault="00AC00C9" w:rsidP="00D4145E">
      <w:pPr>
        <w:pStyle w:val="Heading4"/>
      </w:pPr>
      <w:r>
        <w:t xml:space="preserve">Economic </w:t>
      </w:r>
      <w:r w:rsidRPr="00D4145E">
        <w:t>evaluation</w:t>
      </w:r>
      <w:r>
        <w:t xml:space="preserve"> literature review</w:t>
      </w:r>
    </w:p>
    <w:p w:rsidR="00AC00C9" w:rsidRPr="005C55AB" w:rsidRDefault="00AC00C9" w:rsidP="005804D8">
      <w:r w:rsidRPr="008C491E">
        <w:t xml:space="preserve">A literature search was conducted to identify published modelled economic evaluations </w:t>
      </w:r>
      <w:r w:rsidR="005C55AB" w:rsidRPr="00AC00C9">
        <w:t xml:space="preserve">investigating </w:t>
      </w:r>
      <w:r w:rsidR="005C55AB">
        <w:t>point-of-care testing (</w:t>
      </w:r>
      <w:r w:rsidR="005C55AB" w:rsidRPr="00AC00C9">
        <w:t>POCT</w:t>
      </w:r>
      <w:r w:rsidR="005C55AB">
        <w:t>)</w:t>
      </w:r>
      <w:r w:rsidRPr="008C491E">
        <w:t xml:space="preserve"> versus conventional laboratory testing for the detection of HIV (Appendix </w:t>
      </w:r>
      <w:r w:rsidR="0022302B" w:rsidRPr="008C491E">
        <w:t>F)</w:t>
      </w:r>
      <w:r w:rsidRPr="008C491E">
        <w:t xml:space="preserve"> and to inform the structure of, and inputs to, the economic model.  The inclusion criteria</w:t>
      </w:r>
      <w:r w:rsidRPr="00AC00C9">
        <w:t xml:space="preserve"> were broad to identify as many studies as possible.  However</w:t>
      </w:r>
      <w:r>
        <w:t>,</w:t>
      </w:r>
      <w:r w:rsidRPr="00AC00C9">
        <w:t xml:space="preserve"> studies us</w:t>
      </w:r>
      <w:r w:rsidR="005C55AB">
        <w:t>ing POCT</w:t>
      </w:r>
      <w:r w:rsidRPr="00AC00C9">
        <w:t xml:space="preserve"> </w:t>
      </w:r>
      <w:r w:rsidR="005C55AB">
        <w:t>for screening of</w:t>
      </w:r>
      <w:r w:rsidRPr="00AC00C9">
        <w:t xml:space="preserve"> blood donations, other organ or tissue donations or routine serology during pregnancy were excluded as being not relevant to the requested restriction (see </w:t>
      </w:r>
      <w:r w:rsidR="002C3786">
        <w:t>“I</w:t>
      </w:r>
      <w:r w:rsidR="005C20EB">
        <w:t>ntended purpose” and “Current reimbursement arrangements”</w:t>
      </w:r>
      <w:r w:rsidRPr="00AC00C9">
        <w:t>).  Six studies were identified, including five cost-effectiveness studies in the US and one modelled analysis in the Australian setting.</w:t>
      </w:r>
      <w:r w:rsidR="00994EE4">
        <w:t xml:space="preserve">  A summary of these studies is </w:t>
      </w:r>
      <w:r w:rsidR="00994EE4" w:rsidRPr="005C55AB">
        <w:t xml:space="preserve">presented in Table </w:t>
      </w:r>
      <w:r w:rsidR="005C55AB" w:rsidRPr="005C55AB">
        <w:t>17</w:t>
      </w:r>
      <w:r w:rsidR="00994EE4" w:rsidRPr="005C55AB">
        <w:t>.</w:t>
      </w:r>
    </w:p>
    <w:p w:rsidR="00994EE4" w:rsidRDefault="00994EE4" w:rsidP="005C55AB">
      <w:pPr>
        <w:pStyle w:val="Caption"/>
      </w:pPr>
      <w:bookmarkStart w:id="133" w:name="_Toc415103521"/>
      <w:bookmarkStart w:id="134" w:name="_Toc418225010"/>
      <w:bookmarkStart w:id="135" w:name="_Toc418225656"/>
      <w:r w:rsidRPr="005C55AB">
        <w:t xml:space="preserve">Table </w:t>
      </w:r>
      <w:r w:rsidR="005C55AB" w:rsidRPr="005C55AB">
        <w:t>17</w:t>
      </w:r>
      <w:r w:rsidRPr="005C55AB">
        <w:tab/>
        <w:t>Studies presenting modelled analyses of POCT versus</w:t>
      </w:r>
      <w:r w:rsidRPr="00994EE4">
        <w:t xml:space="preserve"> laboratory HIV testing programs</w:t>
      </w:r>
      <w:bookmarkEnd w:id="133"/>
      <w:bookmarkEnd w:id="134"/>
      <w:bookmarkEnd w:id="135"/>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Studies presenting modelled analyses of POCT versus laboratory HIV testing programs. Summary of the methods used and results of published modelled economic evaluations of point-of-care testing versus laoratory HIV testing programs"/>
      </w:tblPr>
      <w:tblGrid>
        <w:gridCol w:w="1122"/>
        <w:gridCol w:w="1978"/>
        <w:gridCol w:w="1268"/>
        <w:gridCol w:w="1411"/>
        <w:gridCol w:w="1069"/>
        <w:gridCol w:w="1497"/>
      </w:tblGrid>
      <w:tr w:rsidR="007B1695" w:rsidRPr="00775738" w:rsidTr="00A82411">
        <w:trPr>
          <w:trHeight w:val="70"/>
          <w:tblHeader/>
        </w:trPr>
        <w:tc>
          <w:tcPr>
            <w:tcW w:w="1126" w:type="dxa"/>
            <w:shd w:val="clear" w:color="auto" w:fill="auto"/>
            <w:vAlign w:val="center"/>
          </w:tcPr>
          <w:p w:rsidR="00775738" w:rsidRPr="007B1695" w:rsidRDefault="00775738" w:rsidP="007B1695">
            <w:pPr>
              <w:spacing w:beforeLines="40" w:before="96" w:afterLines="40" w:after="96"/>
              <w:ind w:hanging="720"/>
              <w:rPr>
                <w:rFonts w:ascii="Arial Narrow" w:hAnsi="Arial Narrow" w:cs="Arial"/>
                <w:b/>
                <w:bCs/>
                <w:sz w:val="18"/>
                <w:szCs w:val="18"/>
              </w:rPr>
            </w:pPr>
            <w:r w:rsidRPr="007B1695">
              <w:rPr>
                <w:rFonts w:ascii="Arial Narrow" w:hAnsi="Arial Narrow" w:cs="Arial"/>
                <w:b/>
                <w:bCs/>
                <w:sz w:val="18"/>
                <w:szCs w:val="18"/>
              </w:rPr>
              <w:t>Study</w:t>
            </w:r>
          </w:p>
        </w:tc>
        <w:tc>
          <w:tcPr>
            <w:tcW w:w="1993" w:type="dxa"/>
            <w:shd w:val="clear" w:color="auto" w:fill="auto"/>
            <w:vAlign w:val="center"/>
          </w:tcPr>
          <w:p w:rsidR="00775738" w:rsidRPr="007B1695" w:rsidRDefault="00775738" w:rsidP="007B1695">
            <w:pPr>
              <w:spacing w:beforeLines="40" w:before="96" w:afterLines="40" w:after="96"/>
              <w:ind w:hanging="720"/>
              <w:jc w:val="center"/>
              <w:rPr>
                <w:rFonts w:ascii="Arial Narrow" w:hAnsi="Arial Narrow" w:cs="Arial"/>
                <w:b/>
                <w:bCs/>
                <w:sz w:val="18"/>
                <w:szCs w:val="18"/>
              </w:rPr>
            </w:pPr>
            <w:r w:rsidRPr="007B1695">
              <w:rPr>
                <w:rFonts w:ascii="Arial Narrow" w:hAnsi="Arial Narrow" w:cs="Arial"/>
                <w:b/>
                <w:bCs/>
                <w:sz w:val="18"/>
                <w:szCs w:val="18"/>
              </w:rPr>
              <w:t>Comparisons</w:t>
            </w:r>
          </w:p>
        </w:tc>
        <w:tc>
          <w:tcPr>
            <w:tcW w:w="1275" w:type="dxa"/>
            <w:shd w:val="clear" w:color="auto" w:fill="auto"/>
            <w:vAlign w:val="center"/>
          </w:tcPr>
          <w:p w:rsidR="00775738" w:rsidRPr="007B1695" w:rsidRDefault="00775738" w:rsidP="007B1695">
            <w:pPr>
              <w:spacing w:beforeLines="40" w:before="96" w:afterLines="40" w:after="96"/>
              <w:ind w:hanging="720"/>
              <w:jc w:val="center"/>
              <w:rPr>
                <w:rFonts w:ascii="Arial Narrow" w:hAnsi="Arial Narrow" w:cs="Arial"/>
                <w:b/>
                <w:bCs/>
                <w:sz w:val="18"/>
                <w:szCs w:val="18"/>
              </w:rPr>
            </w:pPr>
            <w:r w:rsidRPr="007B1695">
              <w:rPr>
                <w:rFonts w:ascii="Arial Narrow" w:hAnsi="Arial Narrow" w:cs="Arial"/>
                <w:b/>
                <w:bCs/>
                <w:sz w:val="18"/>
                <w:szCs w:val="18"/>
              </w:rPr>
              <w:t>Population</w:t>
            </w:r>
          </w:p>
        </w:tc>
        <w:tc>
          <w:tcPr>
            <w:tcW w:w="1418" w:type="dxa"/>
            <w:shd w:val="clear" w:color="auto" w:fill="auto"/>
            <w:vAlign w:val="center"/>
          </w:tcPr>
          <w:p w:rsidR="00775738" w:rsidRPr="007B1695" w:rsidRDefault="00775738" w:rsidP="007B1695">
            <w:pPr>
              <w:spacing w:beforeLines="40" w:before="96" w:afterLines="40" w:after="96"/>
              <w:ind w:left="0"/>
              <w:jc w:val="center"/>
              <w:rPr>
                <w:rFonts w:ascii="Arial Narrow" w:hAnsi="Arial Narrow" w:cs="Arial"/>
                <w:b/>
                <w:bCs/>
                <w:sz w:val="18"/>
                <w:szCs w:val="18"/>
              </w:rPr>
            </w:pPr>
            <w:r w:rsidRPr="007B1695">
              <w:rPr>
                <w:rFonts w:ascii="Arial Narrow" w:hAnsi="Arial Narrow" w:cs="Arial"/>
                <w:b/>
                <w:bCs/>
                <w:sz w:val="18"/>
                <w:szCs w:val="18"/>
              </w:rPr>
              <w:t>POCT effectiveness</w:t>
            </w:r>
          </w:p>
        </w:tc>
        <w:tc>
          <w:tcPr>
            <w:tcW w:w="1028" w:type="dxa"/>
            <w:shd w:val="clear" w:color="auto" w:fill="auto"/>
            <w:vAlign w:val="center"/>
          </w:tcPr>
          <w:p w:rsidR="00775738" w:rsidRPr="007B1695" w:rsidRDefault="00775738" w:rsidP="007B1695">
            <w:pPr>
              <w:spacing w:beforeLines="40" w:before="96" w:afterLines="40" w:after="96"/>
              <w:ind w:hanging="720"/>
              <w:jc w:val="center"/>
              <w:rPr>
                <w:rFonts w:ascii="Arial Narrow" w:hAnsi="Arial Narrow" w:cs="Arial"/>
                <w:b/>
                <w:bCs/>
                <w:sz w:val="18"/>
                <w:szCs w:val="18"/>
              </w:rPr>
            </w:pPr>
            <w:r w:rsidRPr="007B1695">
              <w:rPr>
                <w:rFonts w:ascii="Arial Narrow" w:hAnsi="Arial Narrow" w:cs="Arial"/>
                <w:b/>
                <w:bCs/>
                <w:sz w:val="18"/>
                <w:szCs w:val="18"/>
              </w:rPr>
              <w:t>Model</w:t>
            </w:r>
          </w:p>
        </w:tc>
        <w:tc>
          <w:tcPr>
            <w:tcW w:w="1505" w:type="dxa"/>
            <w:shd w:val="clear" w:color="auto" w:fill="auto"/>
            <w:vAlign w:val="center"/>
          </w:tcPr>
          <w:p w:rsidR="00775738" w:rsidRPr="007B1695" w:rsidRDefault="00775738" w:rsidP="007B1695">
            <w:pPr>
              <w:spacing w:beforeLines="40" w:before="96" w:afterLines="40" w:after="96"/>
              <w:ind w:hanging="720"/>
              <w:jc w:val="center"/>
              <w:rPr>
                <w:rFonts w:ascii="Arial Narrow" w:hAnsi="Arial Narrow" w:cs="Arial"/>
                <w:b/>
                <w:bCs/>
                <w:sz w:val="18"/>
                <w:szCs w:val="18"/>
              </w:rPr>
            </w:pPr>
            <w:r w:rsidRPr="007B1695">
              <w:rPr>
                <w:rFonts w:ascii="Arial Narrow" w:hAnsi="Arial Narrow" w:cs="Arial"/>
                <w:b/>
                <w:bCs/>
                <w:sz w:val="18"/>
                <w:szCs w:val="18"/>
              </w:rPr>
              <w:t>Outcome(s)</w:t>
            </w:r>
          </w:p>
        </w:tc>
      </w:tr>
      <w:tr w:rsidR="007B1695" w:rsidRPr="00775738" w:rsidTr="007B1695">
        <w:tc>
          <w:tcPr>
            <w:tcW w:w="1126" w:type="dxa"/>
            <w:shd w:val="clear" w:color="auto" w:fill="auto"/>
            <w:vAlign w:val="center"/>
          </w:tcPr>
          <w:p w:rsidR="00775738" w:rsidRPr="007B1695" w:rsidRDefault="00775738" w:rsidP="007B1695">
            <w:pPr>
              <w:spacing w:beforeLines="40" w:before="96" w:after="40"/>
              <w:ind w:left="0"/>
              <w:rPr>
                <w:rFonts w:ascii="Arial Narrow" w:hAnsi="Arial Narrow" w:cs="Arial"/>
                <w:sz w:val="18"/>
                <w:szCs w:val="18"/>
              </w:rPr>
            </w:pPr>
            <w:r w:rsidRPr="007B1695">
              <w:rPr>
                <w:rFonts w:ascii="Arial Narrow" w:hAnsi="Arial Narrow" w:cs="Arial"/>
                <w:sz w:val="18"/>
                <w:szCs w:val="18"/>
              </w:rPr>
              <w:t>Farnham 1996</w:t>
            </w:r>
          </w:p>
        </w:tc>
        <w:tc>
          <w:tcPr>
            <w:tcW w:w="1993"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No screening</w:t>
            </w:r>
          </w:p>
          <w:p w:rsidR="00775738" w:rsidRPr="007B1695" w:rsidRDefault="00775738" w:rsidP="00F737A4">
            <w:pPr>
              <w:pStyle w:val="ListParagraph"/>
              <w:numPr>
                <w:ilvl w:val="0"/>
                <w:numId w:val="22"/>
              </w:numPr>
              <w:tabs>
                <w:tab w:val="left" w:pos="122"/>
              </w:tabs>
              <w:spacing w:after="0" w:line="240" w:lineRule="auto"/>
              <w:ind w:left="125" w:hanging="125"/>
              <w:rPr>
                <w:rFonts w:ascii="Arial Narrow" w:hAnsi="Arial Narrow"/>
                <w:sz w:val="18"/>
                <w:szCs w:val="18"/>
              </w:rPr>
            </w:pPr>
            <w:r w:rsidRPr="007B1695">
              <w:rPr>
                <w:rFonts w:ascii="Arial Narrow" w:hAnsi="Arial Narrow"/>
                <w:sz w:val="18"/>
                <w:szCs w:val="18"/>
              </w:rPr>
              <w:t>Lab test + counselling</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POCT (Genie HIV-1/2 test) + counselling</w:t>
            </w:r>
          </w:p>
        </w:tc>
        <w:tc>
          <w:tcPr>
            <w:tcW w:w="1275" w:type="dxa"/>
            <w:shd w:val="clear" w:color="auto" w:fill="auto"/>
            <w:vAlign w:val="center"/>
          </w:tcPr>
          <w:p w:rsidR="00775738" w:rsidRPr="007B1695" w:rsidRDefault="00775738" w:rsidP="007B1695">
            <w:pPr>
              <w:spacing w:beforeLines="40" w:before="96" w:after="40"/>
              <w:ind w:left="0" w:firstLine="22"/>
              <w:jc w:val="center"/>
              <w:rPr>
                <w:rFonts w:ascii="Arial Narrow" w:hAnsi="Arial Narrow" w:cs="Arial"/>
                <w:sz w:val="18"/>
                <w:szCs w:val="18"/>
              </w:rPr>
            </w:pPr>
            <w:r w:rsidRPr="007B1695">
              <w:rPr>
                <w:rFonts w:ascii="Arial Narrow" w:hAnsi="Arial Narrow" w:cs="Arial"/>
                <w:sz w:val="18"/>
                <w:szCs w:val="18"/>
              </w:rPr>
              <w:t>US population screening, medical clinics</w:t>
            </w:r>
          </w:p>
        </w:tc>
        <w:tc>
          <w:tcPr>
            <w:tcW w:w="1418" w:type="dxa"/>
            <w:shd w:val="clear" w:color="auto" w:fill="auto"/>
            <w:vAlign w:val="center"/>
          </w:tcPr>
          <w:p w:rsidR="00775738" w:rsidRPr="007B1695" w:rsidRDefault="00775738" w:rsidP="00F737A4">
            <w:pPr>
              <w:pStyle w:val="ListParagraph"/>
              <w:numPr>
                <w:ilvl w:val="0"/>
                <w:numId w:val="22"/>
              </w:numPr>
              <w:tabs>
                <w:tab w:val="left" w:pos="122"/>
              </w:tabs>
              <w:spacing w:beforeLines="40" w:before="96" w:after="40" w:line="240" w:lineRule="auto"/>
              <w:ind w:left="122" w:hanging="122"/>
              <w:rPr>
                <w:rFonts w:ascii="Arial Narrow" w:hAnsi="Arial Narrow"/>
                <w:sz w:val="18"/>
                <w:szCs w:val="18"/>
              </w:rPr>
            </w:pPr>
            <w:r w:rsidRPr="007B1695">
              <w:rPr>
                <w:rFonts w:ascii="Arial Narrow" w:hAnsi="Arial Narrow"/>
                <w:sz w:val="18"/>
                <w:szCs w:val="18"/>
              </w:rPr>
              <w:t>Increased probability of receiving test result;</w:t>
            </w:r>
          </w:p>
        </w:tc>
        <w:tc>
          <w:tcPr>
            <w:tcW w:w="1028" w:type="dxa"/>
            <w:shd w:val="clear" w:color="auto" w:fill="auto"/>
            <w:vAlign w:val="center"/>
          </w:tcPr>
          <w:p w:rsidR="00775738" w:rsidRPr="007B1695" w:rsidRDefault="00775738" w:rsidP="007B1695">
            <w:pPr>
              <w:spacing w:beforeLines="40" w:before="96" w:after="40"/>
              <w:ind w:left="0"/>
              <w:jc w:val="center"/>
              <w:rPr>
                <w:rFonts w:ascii="Arial Narrow" w:hAnsi="Arial Narrow" w:cs="Arial"/>
                <w:sz w:val="18"/>
                <w:szCs w:val="18"/>
              </w:rPr>
            </w:pPr>
            <w:r w:rsidRPr="007B1695">
              <w:rPr>
                <w:rFonts w:ascii="Arial Narrow" w:hAnsi="Arial Narrow" w:cs="Arial"/>
                <w:sz w:val="18"/>
                <w:szCs w:val="18"/>
              </w:rPr>
              <w:t>Decision tree</w:t>
            </w:r>
          </w:p>
        </w:tc>
        <w:tc>
          <w:tcPr>
            <w:tcW w:w="1505"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Cost per HIV-infected notified;</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Cost per correct notification</w:t>
            </w:r>
          </w:p>
        </w:tc>
      </w:tr>
      <w:tr w:rsidR="007B1695" w:rsidRPr="00775738" w:rsidTr="007B1695">
        <w:tc>
          <w:tcPr>
            <w:tcW w:w="1126" w:type="dxa"/>
            <w:shd w:val="clear" w:color="auto" w:fill="auto"/>
            <w:vAlign w:val="center"/>
          </w:tcPr>
          <w:p w:rsidR="00775738" w:rsidRPr="007B1695" w:rsidRDefault="00775738" w:rsidP="007B1695">
            <w:pPr>
              <w:spacing w:beforeLines="40" w:before="96" w:after="40"/>
              <w:ind w:left="0"/>
              <w:rPr>
                <w:rFonts w:ascii="Arial Narrow" w:hAnsi="Arial Narrow" w:cs="Arial"/>
                <w:sz w:val="18"/>
                <w:szCs w:val="18"/>
              </w:rPr>
            </w:pPr>
            <w:proofErr w:type="spellStart"/>
            <w:r w:rsidRPr="007B1695">
              <w:rPr>
                <w:rFonts w:ascii="Arial Narrow" w:hAnsi="Arial Narrow" w:cs="Arial"/>
                <w:sz w:val="18"/>
                <w:szCs w:val="18"/>
              </w:rPr>
              <w:t>Ekwueme</w:t>
            </w:r>
            <w:proofErr w:type="spellEnd"/>
            <w:r w:rsidRPr="007B1695">
              <w:rPr>
                <w:rFonts w:ascii="Arial Narrow" w:hAnsi="Arial Narrow" w:cs="Arial"/>
                <w:sz w:val="18"/>
                <w:szCs w:val="18"/>
              </w:rPr>
              <w:t xml:space="preserve"> 2003</w:t>
            </w:r>
          </w:p>
        </w:tc>
        <w:tc>
          <w:tcPr>
            <w:tcW w:w="1993"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Lab test + counselling</w:t>
            </w:r>
          </w:p>
          <w:p w:rsidR="00775738" w:rsidRPr="007B1695" w:rsidRDefault="00775738" w:rsidP="00F737A4">
            <w:pPr>
              <w:pStyle w:val="ListParagraph"/>
              <w:numPr>
                <w:ilvl w:val="0"/>
                <w:numId w:val="22"/>
              </w:numPr>
              <w:tabs>
                <w:tab w:val="left" w:pos="122"/>
              </w:tabs>
              <w:spacing w:after="0" w:line="240" w:lineRule="auto"/>
              <w:ind w:left="125" w:hanging="125"/>
              <w:rPr>
                <w:rFonts w:ascii="Arial Narrow" w:hAnsi="Arial Narrow"/>
                <w:sz w:val="18"/>
                <w:szCs w:val="18"/>
              </w:rPr>
            </w:pPr>
            <w:r w:rsidRPr="007B1695">
              <w:rPr>
                <w:rFonts w:ascii="Arial Narrow" w:hAnsi="Arial Narrow"/>
                <w:sz w:val="18"/>
                <w:szCs w:val="18"/>
              </w:rPr>
              <w:t>“two-step” POCT + counselling</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“one-step” POCT + counselling</w:t>
            </w:r>
          </w:p>
        </w:tc>
        <w:tc>
          <w:tcPr>
            <w:tcW w:w="1275" w:type="dxa"/>
            <w:shd w:val="clear" w:color="auto" w:fill="auto"/>
            <w:vAlign w:val="center"/>
          </w:tcPr>
          <w:p w:rsidR="00775738" w:rsidRPr="007B1695" w:rsidRDefault="00775738" w:rsidP="007B1695">
            <w:pPr>
              <w:spacing w:beforeLines="40" w:before="96" w:after="40"/>
              <w:ind w:left="0"/>
              <w:jc w:val="center"/>
              <w:rPr>
                <w:rFonts w:ascii="Arial Narrow" w:hAnsi="Arial Narrow" w:cs="Arial"/>
                <w:sz w:val="18"/>
                <w:szCs w:val="18"/>
              </w:rPr>
            </w:pPr>
            <w:r w:rsidRPr="007B1695">
              <w:rPr>
                <w:rFonts w:ascii="Arial Narrow" w:hAnsi="Arial Narrow" w:cs="Arial"/>
                <w:sz w:val="18"/>
                <w:szCs w:val="18"/>
              </w:rPr>
              <w:t>US population screening, medical clinics</w:t>
            </w:r>
          </w:p>
        </w:tc>
        <w:tc>
          <w:tcPr>
            <w:tcW w:w="1418"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Increased probability of receiving test result;</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Assumed 100% sensitivity / specificity</w:t>
            </w:r>
          </w:p>
        </w:tc>
        <w:tc>
          <w:tcPr>
            <w:tcW w:w="1028" w:type="dxa"/>
            <w:shd w:val="clear" w:color="auto" w:fill="auto"/>
            <w:vAlign w:val="center"/>
          </w:tcPr>
          <w:p w:rsidR="00775738" w:rsidRPr="007B1695" w:rsidRDefault="00775738" w:rsidP="007B1695">
            <w:pPr>
              <w:spacing w:beforeLines="40" w:before="96" w:after="40"/>
              <w:ind w:left="-13" w:firstLine="13"/>
              <w:jc w:val="center"/>
              <w:rPr>
                <w:rFonts w:ascii="Arial Narrow" w:hAnsi="Arial Narrow" w:cs="Arial"/>
                <w:sz w:val="18"/>
                <w:szCs w:val="18"/>
              </w:rPr>
            </w:pPr>
            <w:r w:rsidRPr="007B1695">
              <w:rPr>
                <w:rFonts w:ascii="Arial Narrow" w:hAnsi="Arial Narrow" w:cs="Arial"/>
                <w:sz w:val="18"/>
                <w:szCs w:val="18"/>
              </w:rPr>
              <w:t>Decision tree</w:t>
            </w:r>
          </w:p>
        </w:tc>
        <w:tc>
          <w:tcPr>
            <w:tcW w:w="1505"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Cost per strategy;</w:t>
            </w:r>
          </w:p>
          <w:p w:rsidR="00775738" w:rsidRPr="007B1695" w:rsidRDefault="00775738" w:rsidP="00F737A4">
            <w:pPr>
              <w:pStyle w:val="ListParagraph"/>
              <w:numPr>
                <w:ilvl w:val="0"/>
                <w:numId w:val="22"/>
              </w:numPr>
              <w:tabs>
                <w:tab w:val="left" w:pos="122"/>
              </w:tabs>
              <w:spacing w:after="0" w:line="240" w:lineRule="auto"/>
              <w:ind w:left="125" w:hanging="125"/>
              <w:rPr>
                <w:rFonts w:ascii="Arial Narrow" w:hAnsi="Arial Narrow"/>
                <w:sz w:val="18"/>
                <w:szCs w:val="18"/>
              </w:rPr>
            </w:pPr>
            <w:r w:rsidRPr="007B1695">
              <w:rPr>
                <w:rFonts w:ascii="Arial Narrow" w:hAnsi="Arial Narrow"/>
                <w:sz w:val="18"/>
                <w:szCs w:val="18"/>
              </w:rPr>
              <w:t>Cost per test by HIV status;</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Cost per correct notification</w:t>
            </w:r>
          </w:p>
        </w:tc>
      </w:tr>
      <w:tr w:rsidR="007B1695" w:rsidRPr="00775738" w:rsidTr="007B1695">
        <w:tc>
          <w:tcPr>
            <w:tcW w:w="1126" w:type="dxa"/>
            <w:shd w:val="clear" w:color="auto" w:fill="auto"/>
            <w:vAlign w:val="center"/>
          </w:tcPr>
          <w:p w:rsidR="00775738" w:rsidRPr="007B1695" w:rsidRDefault="00775738" w:rsidP="007B1695">
            <w:pPr>
              <w:spacing w:beforeLines="40" w:before="96" w:after="40"/>
              <w:ind w:left="0"/>
              <w:rPr>
                <w:rFonts w:ascii="Arial Narrow" w:hAnsi="Arial Narrow" w:cs="Arial"/>
                <w:sz w:val="18"/>
                <w:szCs w:val="18"/>
              </w:rPr>
            </w:pPr>
            <w:r w:rsidRPr="007B1695">
              <w:rPr>
                <w:rFonts w:ascii="Arial Narrow" w:hAnsi="Arial Narrow" w:cs="Arial"/>
                <w:sz w:val="18"/>
                <w:szCs w:val="18"/>
              </w:rPr>
              <w:t>Farnham 2008</w:t>
            </w:r>
          </w:p>
        </w:tc>
        <w:tc>
          <w:tcPr>
            <w:tcW w:w="1993"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Lab test + counselling</w:t>
            </w:r>
          </w:p>
          <w:p w:rsidR="00775738" w:rsidRPr="007B1695" w:rsidRDefault="00775738" w:rsidP="00F737A4">
            <w:pPr>
              <w:pStyle w:val="ListParagraph"/>
              <w:numPr>
                <w:ilvl w:val="0"/>
                <w:numId w:val="22"/>
              </w:numPr>
              <w:tabs>
                <w:tab w:val="left" w:pos="122"/>
              </w:tabs>
              <w:spacing w:after="0" w:line="240" w:lineRule="auto"/>
              <w:ind w:left="125" w:hanging="125"/>
              <w:rPr>
                <w:rFonts w:ascii="Arial Narrow" w:hAnsi="Arial Narrow"/>
                <w:sz w:val="18"/>
                <w:szCs w:val="18"/>
              </w:rPr>
            </w:pPr>
            <w:r w:rsidRPr="007B1695">
              <w:rPr>
                <w:rFonts w:ascii="Arial Narrow" w:hAnsi="Arial Narrow"/>
                <w:sz w:val="18"/>
                <w:szCs w:val="18"/>
              </w:rPr>
              <w:t>POCT (</w:t>
            </w:r>
            <w:proofErr w:type="spellStart"/>
            <w:r w:rsidRPr="007B1695">
              <w:rPr>
                <w:rFonts w:ascii="Arial Narrow" w:hAnsi="Arial Narrow"/>
                <w:sz w:val="18"/>
                <w:szCs w:val="18"/>
              </w:rPr>
              <w:t>OraQuick</w:t>
            </w:r>
            <w:proofErr w:type="spellEnd"/>
            <w:r w:rsidRPr="007B1695">
              <w:rPr>
                <w:rFonts w:ascii="Arial Narrow" w:hAnsi="Arial Narrow"/>
                <w:sz w:val="18"/>
                <w:szCs w:val="18"/>
              </w:rPr>
              <w:t xml:space="preserve"> Advance rapid HIV-1/2 ab test) + counselling</w:t>
            </w:r>
          </w:p>
        </w:tc>
        <w:tc>
          <w:tcPr>
            <w:tcW w:w="1275" w:type="dxa"/>
            <w:shd w:val="clear" w:color="auto" w:fill="auto"/>
            <w:vAlign w:val="center"/>
          </w:tcPr>
          <w:p w:rsidR="00775738" w:rsidRPr="007B1695" w:rsidRDefault="00775738" w:rsidP="007B1695">
            <w:pPr>
              <w:spacing w:beforeLines="40" w:before="96" w:after="40"/>
              <w:ind w:left="0"/>
              <w:jc w:val="center"/>
              <w:rPr>
                <w:rFonts w:ascii="Arial Narrow" w:hAnsi="Arial Narrow" w:cs="Arial"/>
                <w:sz w:val="18"/>
                <w:szCs w:val="18"/>
              </w:rPr>
            </w:pPr>
            <w:r w:rsidRPr="007B1695">
              <w:rPr>
                <w:rFonts w:ascii="Arial Narrow" w:hAnsi="Arial Narrow" w:cs="Arial"/>
                <w:sz w:val="18"/>
                <w:szCs w:val="18"/>
              </w:rPr>
              <w:t>US population screening, STD clinics and EDs</w:t>
            </w:r>
          </w:p>
        </w:tc>
        <w:tc>
          <w:tcPr>
            <w:tcW w:w="1418"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Increased probability of accepting test (in EDs);</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Increased probability of receiving test result;</w:t>
            </w:r>
          </w:p>
        </w:tc>
        <w:tc>
          <w:tcPr>
            <w:tcW w:w="1028" w:type="dxa"/>
            <w:shd w:val="clear" w:color="auto" w:fill="auto"/>
            <w:vAlign w:val="center"/>
          </w:tcPr>
          <w:p w:rsidR="00775738" w:rsidRPr="007B1695" w:rsidRDefault="00775738" w:rsidP="007B1695">
            <w:pPr>
              <w:spacing w:beforeLines="40" w:before="96" w:after="40"/>
              <w:ind w:left="-13" w:firstLine="13"/>
              <w:jc w:val="center"/>
              <w:rPr>
                <w:rFonts w:ascii="Arial Narrow" w:hAnsi="Arial Narrow" w:cs="Arial"/>
                <w:sz w:val="18"/>
                <w:szCs w:val="18"/>
              </w:rPr>
            </w:pPr>
            <w:r w:rsidRPr="007B1695">
              <w:rPr>
                <w:rFonts w:ascii="Arial Narrow" w:hAnsi="Arial Narrow" w:cs="Arial"/>
                <w:sz w:val="18"/>
                <w:szCs w:val="18"/>
              </w:rPr>
              <w:t>Decision tree</w:t>
            </w:r>
          </w:p>
        </w:tc>
        <w:tc>
          <w:tcPr>
            <w:tcW w:w="1505"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Cost per HIV-infected notified;</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Cost per correct notification;</w:t>
            </w:r>
          </w:p>
        </w:tc>
      </w:tr>
      <w:tr w:rsidR="007B1695" w:rsidRPr="00775738" w:rsidTr="007B1695">
        <w:tc>
          <w:tcPr>
            <w:tcW w:w="1126" w:type="dxa"/>
            <w:shd w:val="clear" w:color="auto" w:fill="auto"/>
            <w:vAlign w:val="center"/>
          </w:tcPr>
          <w:p w:rsidR="00775738" w:rsidRPr="007B1695" w:rsidRDefault="00775738" w:rsidP="007B1695">
            <w:pPr>
              <w:spacing w:beforeLines="40" w:before="96" w:after="40"/>
              <w:ind w:left="0"/>
              <w:rPr>
                <w:rFonts w:ascii="Arial Narrow" w:hAnsi="Arial Narrow" w:cs="Arial"/>
                <w:sz w:val="18"/>
                <w:szCs w:val="18"/>
              </w:rPr>
            </w:pPr>
            <w:r w:rsidRPr="007B1695">
              <w:rPr>
                <w:rFonts w:ascii="Arial Narrow" w:hAnsi="Arial Narrow" w:cs="Arial"/>
                <w:sz w:val="18"/>
                <w:szCs w:val="18"/>
              </w:rPr>
              <w:t>Sanders 20</w:t>
            </w:r>
            <w:r w:rsidR="001341F5" w:rsidRPr="007B1695">
              <w:rPr>
                <w:rFonts w:ascii="Arial Narrow" w:hAnsi="Arial Narrow" w:cs="Arial"/>
                <w:sz w:val="18"/>
                <w:szCs w:val="18"/>
              </w:rPr>
              <w:t>10</w:t>
            </w:r>
          </w:p>
        </w:tc>
        <w:tc>
          <w:tcPr>
            <w:tcW w:w="1993"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Nurse referral to GP for lab test + counselling</w:t>
            </w:r>
          </w:p>
          <w:p w:rsidR="00775738" w:rsidRPr="007B1695" w:rsidRDefault="00775738" w:rsidP="00F737A4">
            <w:pPr>
              <w:pStyle w:val="ListParagraph"/>
              <w:numPr>
                <w:ilvl w:val="0"/>
                <w:numId w:val="22"/>
              </w:numPr>
              <w:tabs>
                <w:tab w:val="left" w:pos="122"/>
              </w:tabs>
              <w:spacing w:after="0" w:line="240" w:lineRule="auto"/>
              <w:ind w:left="125" w:hanging="125"/>
              <w:rPr>
                <w:rFonts w:ascii="Arial Narrow" w:hAnsi="Arial Narrow"/>
                <w:sz w:val="18"/>
                <w:szCs w:val="18"/>
              </w:rPr>
            </w:pPr>
            <w:r w:rsidRPr="007B1695">
              <w:rPr>
                <w:rFonts w:ascii="Arial Narrow" w:hAnsi="Arial Narrow"/>
                <w:sz w:val="18"/>
                <w:szCs w:val="18"/>
              </w:rPr>
              <w:t>Nurse initiated laboratory test + counselling</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Nurse initiated POCT (</w:t>
            </w:r>
            <w:proofErr w:type="spellStart"/>
            <w:r w:rsidRPr="007B1695">
              <w:rPr>
                <w:rFonts w:ascii="Arial Narrow" w:hAnsi="Arial Narrow"/>
                <w:sz w:val="18"/>
                <w:szCs w:val="18"/>
              </w:rPr>
              <w:t>OraQuick</w:t>
            </w:r>
            <w:proofErr w:type="spellEnd"/>
            <w:r w:rsidRPr="007B1695">
              <w:rPr>
                <w:rFonts w:ascii="Arial Narrow" w:hAnsi="Arial Narrow"/>
                <w:sz w:val="18"/>
                <w:szCs w:val="18"/>
              </w:rPr>
              <w:t xml:space="preserve"> Advance rapid HIV-1/2 ab test) + counselling</w:t>
            </w:r>
          </w:p>
        </w:tc>
        <w:tc>
          <w:tcPr>
            <w:tcW w:w="1275" w:type="dxa"/>
            <w:shd w:val="clear" w:color="auto" w:fill="auto"/>
            <w:vAlign w:val="center"/>
          </w:tcPr>
          <w:p w:rsidR="00775738" w:rsidRPr="007B1695" w:rsidRDefault="00775738" w:rsidP="007B1695">
            <w:pPr>
              <w:spacing w:beforeLines="40" w:before="96" w:after="40"/>
              <w:ind w:left="0"/>
              <w:jc w:val="center"/>
              <w:rPr>
                <w:rFonts w:ascii="Arial Narrow" w:hAnsi="Arial Narrow" w:cs="Arial"/>
                <w:sz w:val="18"/>
                <w:szCs w:val="18"/>
              </w:rPr>
            </w:pPr>
            <w:r w:rsidRPr="007B1695">
              <w:rPr>
                <w:rFonts w:ascii="Arial Narrow" w:hAnsi="Arial Narrow" w:cs="Arial"/>
                <w:sz w:val="18"/>
                <w:szCs w:val="18"/>
              </w:rPr>
              <w:t>US population screening, trial data in hospital</w:t>
            </w:r>
          </w:p>
          <w:p w:rsidR="00775738" w:rsidRPr="007B1695" w:rsidRDefault="00775738" w:rsidP="007B1695">
            <w:pPr>
              <w:spacing w:beforeLines="40" w:before="96" w:after="40"/>
              <w:ind w:left="0"/>
              <w:jc w:val="center"/>
              <w:rPr>
                <w:rFonts w:ascii="Arial Narrow" w:hAnsi="Arial Narrow" w:cs="Arial"/>
                <w:sz w:val="18"/>
                <w:szCs w:val="18"/>
              </w:rPr>
            </w:pPr>
            <w:r w:rsidRPr="007B1695">
              <w:rPr>
                <w:rFonts w:ascii="Arial Narrow" w:hAnsi="Arial Narrow" w:cs="Arial"/>
                <w:sz w:val="18"/>
                <w:szCs w:val="18"/>
              </w:rPr>
              <w:t>(Anaya 2008)</w:t>
            </w:r>
          </w:p>
        </w:tc>
        <w:tc>
          <w:tcPr>
            <w:tcW w:w="1418"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Increased probability of accepting test;</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Increased probability of receiving test result;</w:t>
            </w:r>
          </w:p>
        </w:tc>
        <w:tc>
          <w:tcPr>
            <w:tcW w:w="1028" w:type="dxa"/>
            <w:shd w:val="clear" w:color="auto" w:fill="auto"/>
            <w:vAlign w:val="center"/>
          </w:tcPr>
          <w:p w:rsidR="00775738" w:rsidRPr="007B1695" w:rsidRDefault="00775738" w:rsidP="007B1695">
            <w:pPr>
              <w:spacing w:beforeLines="40" w:before="96" w:after="40"/>
              <w:ind w:left="-13" w:firstLine="13"/>
              <w:jc w:val="center"/>
              <w:rPr>
                <w:rFonts w:ascii="Arial Narrow" w:hAnsi="Arial Narrow" w:cs="Arial"/>
                <w:sz w:val="18"/>
                <w:szCs w:val="18"/>
              </w:rPr>
            </w:pPr>
            <w:r w:rsidRPr="007B1695">
              <w:rPr>
                <w:rFonts w:ascii="Arial Narrow" w:hAnsi="Arial Narrow" w:cs="Arial"/>
                <w:sz w:val="18"/>
                <w:szCs w:val="18"/>
              </w:rPr>
              <w:t>Decision tree + Markov model</w:t>
            </w:r>
          </w:p>
        </w:tc>
        <w:tc>
          <w:tcPr>
            <w:tcW w:w="1505" w:type="dxa"/>
            <w:shd w:val="clear" w:color="auto" w:fill="auto"/>
            <w:vAlign w:val="center"/>
          </w:tcPr>
          <w:p w:rsidR="00775738" w:rsidRPr="007B1695" w:rsidRDefault="00775738" w:rsidP="007B1695">
            <w:pPr>
              <w:spacing w:beforeLines="40" w:before="96" w:after="40"/>
              <w:ind w:left="-13" w:firstLine="13"/>
              <w:jc w:val="center"/>
              <w:rPr>
                <w:rFonts w:ascii="Arial Narrow" w:hAnsi="Arial Narrow" w:cs="Arial"/>
                <w:sz w:val="18"/>
                <w:szCs w:val="18"/>
              </w:rPr>
            </w:pPr>
            <w:r w:rsidRPr="007B1695">
              <w:rPr>
                <w:rFonts w:ascii="Arial Narrow" w:hAnsi="Arial Narrow" w:cs="Arial"/>
                <w:sz w:val="18"/>
                <w:szCs w:val="18"/>
              </w:rPr>
              <w:t>Cost per QALY</w:t>
            </w:r>
          </w:p>
        </w:tc>
      </w:tr>
      <w:tr w:rsidR="007B1695" w:rsidRPr="00775738" w:rsidTr="007B1695">
        <w:tc>
          <w:tcPr>
            <w:tcW w:w="1126" w:type="dxa"/>
            <w:shd w:val="clear" w:color="auto" w:fill="auto"/>
            <w:vAlign w:val="center"/>
          </w:tcPr>
          <w:p w:rsidR="00775738" w:rsidRPr="007B1695" w:rsidRDefault="00775738" w:rsidP="007B1695">
            <w:pPr>
              <w:spacing w:beforeLines="40" w:before="96" w:after="40"/>
              <w:ind w:left="0"/>
              <w:rPr>
                <w:rFonts w:ascii="Arial Narrow" w:hAnsi="Arial Narrow" w:cs="Arial"/>
                <w:sz w:val="18"/>
                <w:szCs w:val="18"/>
              </w:rPr>
            </w:pPr>
            <w:r w:rsidRPr="007B1695">
              <w:rPr>
                <w:rFonts w:ascii="Arial Narrow" w:hAnsi="Arial Narrow" w:cs="Arial"/>
                <w:sz w:val="18"/>
                <w:szCs w:val="18"/>
              </w:rPr>
              <w:t>Wilson 2011</w:t>
            </w:r>
          </w:p>
        </w:tc>
        <w:tc>
          <w:tcPr>
            <w:tcW w:w="1993"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3</w:t>
            </w:r>
            <w:r w:rsidRPr="007B1695">
              <w:rPr>
                <w:rFonts w:ascii="Arial Narrow" w:hAnsi="Arial Narrow"/>
                <w:sz w:val="18"/>
                <w:szCs w:val="18"/>
                <w:vertAlign w:val="superscript"/>
              </w:rPr>
              <w:t>rd</w:t>
            </w:r>
            <w:r w:rsidRPr="007B1695">
              <w:rPr>
                <w:rFonts w:ascii="Arial Narrow" w:hAnsi="Arial Narrow"/>
                <w:sz w:val="18"/>
                <w:szCs w:val="18"/>
              </w:rPr>
              <w:t xml:space="preserve"> gen. lab test</w:t>
            </w:r>
          </w:p>
          <w:p w:rsidR="00775738" w:rsidRPr="007B1695" w:rsidRDefault="00775738" w:rsidP="00F737A4">
            <w:pPr>
              <w:pStyle w:val="ListParagraph"/>
              <w:numPr>
                <w:ilvl w:val="0"/>
                <w:numId w:val="22"/>
              </w:numPr>
              <w:tabs>
                <w:tab w:val="left" w:pos="122"/>
              </w:tabs>
              <w:spacing w:after="0" w:line="240" w:lineRule="auto"/>
              <w:ind w:left="125" w:hanging="125"/>
              <w:rPr>
                <w:rFonts w:ascii="Arial Narrow" w:hAnsi="Arial Narrow"/>
                <w:sz w:val="18"/>
                <w:szCs w:val="18"/>
              </w:rPr>
            </w:pPr>
            <w:r w:rsidRPr="007B1695">
              <w:rPr>
                <w:rFonts w:ascii="Arial Narrow" w:hAnsi="Arial Narrow"/>
                <w:sz w:val="18"/>
                <w:szCs w:val="18"/>
              </w:rPr>
              <w:t>4</w:t>
            </w:r>
            <w:r w:rsidRPr="007B1695">
              <w:rPr>
                <w:rFonts w:ascii="Arial Narrow" w:hAnsi="Arial Narrow"/>
                <w:sz w:val="18"/>
                <w:szCs w:val="18"/>
                <w:vertAlign w:val="superscript"/>
              </w:rPr>
              <w:t>th</w:t>
            </w:r>
            <w:r w:rsidRPr="007B1695">
              <w:rPr>
                <w:rFonts w:ascii="Arial Narrow" w:hAnsi="Arial Narrow"/>
                <w:sz w:val="18"/>
                <w:szCs w:val="18"/>
              </w:rPr>
              <w:t xml:space="preserve"> gen. lab test</w:t>
            </w:r>
          </w:p>
          <w:p w:rsidR="00775738" w:rsidRPr="007B1695" w:rsidRDefault="00775738" w:rsidP="00F737A4">
            <w:pPr>
              <w:pStyle w:val="ListParagraph"/>
              <w:numPr>
                <w:ilvl w:val="0"/>
                <w:numId w:val="22"/>
              </w:numPr>
              <w:tabs>
                <w:tab w:val="left" w:pos="122"/>
              </w:tabs>
              <w:spacing w:after="0" w:line="240" w:lineRule="auto"/>
              <w:ind w:left="125" w:hanging="125"/>
              <w:rPr>
                <w:rFonts w:ascii="Arial Narrow" w:hAnsi="Arial Narrow"/>
                <w:sz w:val="18"/>
                <w:szCs w:val="18"/>
              </w:rPr>
            </w:pPr>
            <w:r w:rsidRPr="007B1695">
              <w:rPr>
                <w:rFonts w:ascii="Arial Narrow" w:hAnsi="Arial Narrow"/>
                <w:sz w:val="18"/>
                <w:szCs w:val="18"/>
              </w:rPr>
              <w:t>3</w:t>
            </w:r>
            <w:r w:rsidRPr="007B1695">
              <w:rPr>
                <w:rFonts w:ascii="Arial Narrow" w:hAnsi="Arial Narrow"/>
                <w:sz w:val="18"/>
                <w:szCs w:val="18"/>
                <w:vertAlign w:val="superscript"/>
              </w:rPr>
              <w:t>rd</w:t>
            </w:r>
            <w:r w:rsidRPr="007B1695">
              <w:rPr>
                <w:rFonts w:ascii="Arial Narrow" w:hAnsi="Arial Narrow"/>
                <w:sz w:val="18"/>
                <w:szCs w:val="18"/>
              </w:rPr>
              <w:t xml:space="preserve"> gen. POCT (</w:t>
            </w:r>
            <w:proofErr w:type="spellStart"/>
            <w:r w:rsidRPr="007B1695">
              <w:rPr>
                <w:rFonts w:ascii="Arial Narrow" w:hAnsi="Arial Narrow"/>
                <w:sz w:val="18"/>
                <w:szCs w:val="18"/>
              </w:rPr>
              <w:t>OraQuick</w:t>
            </w:r>
            <w:proofErr w:type="spellEnd"/>
            <w:r w:rsidRPr="007B1695">
              <w:rPr>
                <w:rFonts w:ascii="Arial Narrow" w:hAnsi="Arial Narrow"/>
                <w:sz w:val="18"/>
                <w:szCs w:val="18"/>
              </w:rPr>
              <w:t xml:space="preserve"> Advance rapid HIV-1/2 ab test)</w:t>
            </w:r>
          </w:p>
          <w:p w:rsidR="00775738" w:rsidRPr="0003725D"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lang w:val="de-DE"/>
              </w:rPr>
            </w:pPr>
            <w:r w:rsidRPr="0003725D">
              <w:rPr>
                <w:rFonts w:ascii="Arial Narrow" w:hAnsi="Arial Narrow"/>
                <w:sz w:val="18"/>
                <w:szCs w:val="18"/>
                <w:lang w:val="de-DE"/>
              </w:rPr>
              <w:t>4</w:t>
            </w:r>
            <w:r w:rsidRPr="0003725D">
              <w:rPr>
                <w:rFonts w:ascii="Arial Narrow" w:hAnsi="Arial Narrow"/>
                <w:sz w:val="18"/>
                <w:szCs w:val="18"/>
                <w:vertAlign w:val="superscript"/>
                <w:lang w:val="de-DE"/>
              </w:rPr>
              <w:t>th</w:t>
            </w:r>
            <w:r w:rsidRPr="0003725D">
              <w:rPr>
                <w:rFonts w:ascii="Arial Narrow" w:hAnsi="Arial Narrow"/>
                <w:sz w:val="18"/>
                <w:szCs w:val="18"/>
                <w:lang w:val="de-DE"/>
              </w:rPr>
              <w:t xml:space="preserve"> gen. POCT (Determine HIV-1/2 ag/ab test)</w:t>
            </w:r>
          </w:p>
        </w:tc>
        <w:tc>
          <w:tcPr>
            <w:tcW w:w="1275" w:type="dxa"/>
            <w:shd w:val="clear" w:color="auto" w:fill="auto"/>
            <w:vAlign w:val="center"/>
          </w:tcPr>
          <w:p w:rsidR="00775738" w:rsidRPr="007B1695" w:rsidRDefault="00775738" w:rsidP="007B1695">
            <w:pPr>
              <w:spacing w:beforeLines="40" w:before="96" w:after="40"/>
              <w:ind w:left="0"/>
              <w:jc w:val="center"/>
              <w:rPr>
                <w:rFonts w:ascii="Arial Narrow" w:hAnsi="Arial Narrow" w:cs="Arial"/>
                <w:sz w:val="18"/>
                <w:szCs w:val="18"/>
              </w:rPr>
            </w:pPr>
            <w:r w:rsidRPr="007B1695">
              <w:rPr>
                <w:rFonts w:ascii="Arial Narrow" w:hAnsi="Arial Narrow" w:cs="Arial"/>
                <w:sz w:val="18"/>
                <w:szCs w:val="18"/>
              </w:rPr>
              <w:t>Australian HIV-infected. Data from Melbourne Sexual Health Clinic</w:t>
            </w:r>
          </w:p>
        </w:tc>
        <w:tc>
          <w:tcPr>
            <w:tcW w:w="1418"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Inferior window period compared to 4</w:t>
            </w:r>
            <w:r w:rsidRPr="007B1695">
              <w:rPr>
                <w:rFonts w:ascii="Arial Narrow" w:hAnsi="Arial Narrow"/>
                <w:sz w:val="18"/>
                <w:szCs w:val="18"/>
                <w:vertAlign w:val="superscript"/>
              </w:rPr>
              <w:t>th</w:t>
            </w:r>
            <w:r w:rsidRPr="007B1695">
              <w:rPr>
                <w:rFonts w:ascii="Arial Narrow" w:hAnsi="Arial Narrow"/>
                <w:sz w:val="18"/>
                <w:szCs w:val="18"/>
              </w:rPr>
              <w:t xml:space="preserve"> gen. laboratory test</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Results provided earlier than laboratory testing</w:t>
            </w:r>
          </w:p>
        </w:tc>
        <w:tc>
          <w:tcPr>
            <w:tcW w:w="1028" w:type="dxa"/>
            <w:shd w:val="clear" w:color="auto" w:fill="auto"/>
            <w:vAlign w:val="center"/>
          </w:tcPr>
          <w:p w:rsidR="00775738" w:rsidRPr="007B1695" w:rsidRDefault="00775738" w:rsidP="007B1695">
            <w:pPr>
              <w:spacing w:beforeLines="40" w:before="96" w:after="40"/>
              <w:ind w:left="-13" w:firstLine="13"/>
              <w:jc w:val="center"/>
              <w:rPr>
                <w:rFonts w:ascii="Arial Narrow" w:hAnsi="Arial Narrow" w:cs="Arial"/>
                <w:sz w:val="18"/>
                <w:szCs w:val="18"/>
              </w:rPr>
            </w:pPr>
            <w:r w:rsidRPr="007B1695">
              <w:rPr>
                <w:rFonts w:ascii="Arial Narrow" w:hAnsi="Arial Narrow" w:cs="Arial"/>
                <w:sz w:val="18"/>
                <w:szCs w:val="18"/>
              </w:rPr>
              <w:t>Microsimulation + transmission model</w:t>
            </w:r>
          </w:p>
        </w:tc>
        <w:tc>
          <w:tcPr>
            <w:tcW w:w="1505" w:type="dxa"/>
            <w:shd w:val="clear" w:color="auto" w:fill="auto"/>
            <w:vAlign w:val="center"/>
          </w:tcPr>
          <w:p w:rsidR="00775738" w:rsidRPr="007B1695" w:rsidRDefault="00775738" w:rsidP="00F737A4">
            <w:pPr>
              <w:pStyle w:val="ListParagraph"/>
              <w:numPr>
                <w:ilvl w:val="0"/>
                <w:numId w:val="22"/>
              </w:numPr>
              <w:tabs>
                <w:tab w:val="left" w:pos="122"/>
              </w:tabs>
              <w:spacing w:beforeLines="40" w:before="96" w:after="40" w:line="240" w:lineRule="auto"/>
              <w:ind w:left="122" w:hanging="122"/>
              <w:rPr>
                <w:rFonts w:ascii="Arial Narrow" w:hAnsi="Arial Narrow"/>
                <w:sz w:val="18"/>
                <w:szCs w:val="18"/>
              </w:rPr>
            </w:pPr>
            <w:r w:rsidRPr="007B1695">
              <w:rPr>
                <w:rFonts w:ascii="Arial Narrow" w:hAnsi="Arial Narrow"/>
                <w:sz w:val="18"/>
                <w:szCs w:val="18"/>
              </w:rPr>
              <w:t>Time to HIV-diagnosis;</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 xml:space="preserve">Change in HIV transmissions. </w:t>
            </w:r>
          </w:p>
        </w:tc>
      </w:tr>
      <w:tr w:rsidR="007B1695" w:rsidRPr="00775738" w:rsidTr="007B1695">
        <w:tc>
          <w:tcPr>
            <w:tcW w:w="1126" w:type="dxa"/>
            <w:shd w:val="clear" w:color="auto" w:fill="auto"/>
            <w:vAlign w:val="center"/>
          </w:tcPr>
          <w:p w:rsidR="00775738" w:rsidRPr="007B1695" w:rsidRDefault="00775738" w:rsidP="007B1695">
            <w:pPr>
              <w:spacing w:beforeLines="40" w:before="96" w:after="40"/>
              <w:ind w:left="0"/>
              <w:rPr>
                <w:rFonts w:ascii="Arial Narrow" w:hAnsi="Arial Narrow" w:cs="Arial"/>
                <w:sz w:val="18"/>
                <w:szCs w:val="18"/>
              </w:rPr>
            </w:pPr>
            <w:proofErr w:type="spellStart"/>
            <w:r w:rsidRPr="007B1695">
              <w:rPr>
                <w:rFonts w:ascii="Arial Narrow" w:hAnsi="Arial Narrow" w:cs="Arial"/>
                <w:sz w:val="18"/>
                <w:szCs w:val="18"/>
              </w:rPr>
              <w:t>Schackman</w:t>
            </w:r>
            <w:proofErr w:type="spellEnd"/>
            <w:r w:rsidRPr="007B1695">
              <w:rPr>
                <w:rFonts w:ascii="Arial Narrow" w:hAnsi="Arial Narrow" w:cs="Arial"/>
                <w:sz w:val="18"/>
                <w:szCs w:val="18"/>
              </w:rPr>
              <w:t xml:space="preserve"> 2013</w:t>
            </w:r>
          </w:p>
        </w:tc>
        <w:tc>
          <w:tcPr>
            <w:tcW w:w="1993" w:type="dxa"/>
            <w:shd w:val="clear" w:color="auto" w:fill="auto"/>
            <w:vAlign w:val="center"/>
          </w:tcPr>
          <w:p w:rsidR="00775738" w:rsidRPr="007B1695" w:rsidRDefault="00775738" w:rsidP="00F737A4">
            <w:pPr>
              <w:pStyle w:val="ListParagraph"/>
              <w:numPr>
                <w:ilvl w:val="0"/>
                <w:numId w:val="22"/>
              </w:numPr>
              <w:tabs>
                <w:tab w:val="left" w:pos="122"/>
              </w:tabs>
              <w:spacing w:before="40" w:after="0" w:line="240" w:lineRule="auto"/>
              <w:ind w:left="125" w:hanging="125"/>
              <w:rPr>
                <w:rFonts w:ascii="Arial Narrow" w:hAnsi="Arial Narrow"/>
                <w:sz w:val="18"/>
                <w:szCs w:val="18"/>
              </w:rPr>
            </w:pPr>
            <w:r w:rsidRPr="007B1695">
              <w:rPr>
                <w:rFonts w:ascii="Arial Narrow" w:hAnsi="Arial Narrow"/>
                <w:sz w:val="18"/>
                <w:szCs w:val="18"/>
              </w:rPr>
              <w:t>No screening (simulated)</w:t>
            </w:r>
          </w:p>
          <w:p w:rsidR="00775738" w:rsidRPr="007B1695" w:rsidRDefault="00775738" w:rsidP="00F737A4">
            <w:pPr>
              <w:pStyle w:val="ListParagraph"/>
              <w:numPr>
                <w:ilvl w:val="0"/>
                <w:numId w:val="22"/>
              </w:numPr>
              <w:tabs>
                <w:tab w:val="left" w:pos="122"/>
              </w:tabs>
              <w:spacing w:after="0" w:line="240" w:lineRule="auto"/>
              <w:ind w:left="125" w:hanging="125"/>
              <w:rPr>
                <w:rFonts w:ascii="Arial Narrow" w:hAnsi="Arial Narrow"/>
                <w:sz w:val="18"/>
                <w:szCs w:val="18"/>
              </w:rPr>
            </w:pPr>
            <w:r w:rsidRPr="007B1695">
              <w:rPr>
                <w:rFonts w:ascii="Arial Narrow" w:hAnsi="Arial Narrow"/>
                <w:sz w:val="18"/>
                <w:szCs w:val="18"/>
              </w:rPr>
              <w:t>Referral to GP for lab test + counselling</w:t>
            </w:r>
          </w:p>
          <w:p w:rsidR="00775738" w:rsidRPr="007B1695" w:rsidRDefault="00775738" w:rsidP="00F737A4">
            <w:pPr>
              <w:pStyle w:val="ListParagraph"/>
              <w:numPr>
                <w:ilvl w:val="0"/>
                <w:numId w:val="22"/>
              </w:numPr>
              <w:tabs>
                <w:tab w:val="left" w:pos="122"/>
              </w:tabs>
              <w:spacing w:after="0" w:line="240" w:lineRule="auto"/>
              <w:ind w:left="125" w:hanging="125"/>
              <w:rPr>
                <w:rFonts w:ascii="Arial Narrow" w:hAnsi="Arial Narrow"/>
                <w:sz w:val="18"/>
                <w:szCs w:val="18"/>
              </w:rPr>
            </w:pPr>
            <w:r w:rsidRPr="007B1695">
              <w:rPr>
                <w:rFonts w:ascii="Arial Narrow" w:hAnsi="Arial Narrow"/>
                <w:sz w:val="18"/>
                <w:szCs w:val="18"/>
              </w:rPr>
              <w:t>POCT (</w:t>
            </w:r>
            <w:proofErr w:type="spellStart"/>
            <w:r w:rsidRPr="007B1695">
              <w:rPr>
                <w:rFonts w:ascii="Arial Narrow" w:hAnsi="Arial Narrow"/>
                <w:sz w:val="18"/>
                <w:szCs w:val="18"/>
              </w:rPr>
              <w:t>OraQuick</w:t>
            </w:r>
            <w:proofErr w:type="spellEnd"/>
            <w:r w:rsidRPr="007B1695">
              <w:rPr>
                <w:rFonts w:ascii="Arial Narrow" w:hAnsi="Arial Narrow"/>
                <w:sz w:val="18"/>
                <w:szCs w:val="18"/>
              </w:rPr>
              <w:t xml:space="preserve"> Advance rapid HIV-1/2 ab test) + information only</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POCT (</w:t>
            </w:r>
            <w:proofErr w:type="spellStart"/>
            <w:r w:rsidRPr="007B1695">
              <w:rPr>
                <w:rFonts w:ascii="Arial Narrow" w:hAnsi="Arial Narrow"/>
                <w:sz w:val="18"/>
                <w:szCs w:val="18"/>
              </w:rPr>
              <w:t>OraQuick</w:t>
            </w:r>
            <w:proofErr w:type="spellEnd"/>
            <w:r w:rsidRPr="007B1695">
              <w:rPr>
                <w:rFonts w:ascii="Arial Narrow" w:hAnsi="Arial Narrow"/>
                <w:sz w:val="18"/>
                <w:szCs w:val="18"/>
              </w:rPr>
              <w:t xml:space="preserve"> Advance </w:t>
            </w:r>
            <w:r w:rsidRPr="007B1695">
              <w:rPr>
                <w:rFonts w:ascii="Arial Narrow" w:hAnsi="Arial Narrow"/>
                <w:sz w:val="18"/>
                <w:szCs w:val="18"/>
              </w:rPr>
              <w:lastRenderedPageBreak/>
              <w:t>rapid HIV-1/2 ab test) + counselling</w:t>
            </w:r>
          </w:p>
        </w:tc>
        <w:tc>
          <w:tcPr>
            <w:tcW w:w="1275" w:type="dxa"/>
            <w:shd w:val="clear" w:color="auto" w:fill="auto"/>
            <w:vAlign w:val="center"/>
          </w:tcPr>
          <w:p w:rsidR="00775738" w:rsidRPr="007B1695" w:rsidRDefault="00775738" w:rsidP="007B1695">
            <w:pPr>
              <w:spacing w:beforeLines="40" w:before="96" w:after="40"/>
              <w:ind w:left="0"/>
              <w:jc w:val="center"/>
              <w:rPr>
                <w:rFonts w:ascii="Arial Narrow" w:hAnsi="Arial Narrow" w:cs="Arial"/>
                <w:sz w:val="18"/>
                <w:szCs w:val="18"/>
              </w:rPr>
            </w:pPr>
            <w:r w:rsidRPr="007B1695">
              <w:rPr>
                <w:rFonts w:ascii="Arial Narrow" w:hAnsi="Arial Narrow" w:cs="Arial"/>
                <w:sz w:val="18"/>
                <w:szCs w:val="18"/>
              </w:rPr>
              <w:lastRenderedPageBreak/>
              <w:t xml:space="preserve">US population screening, trial data in drug abuse clinic </w:t>
            </w:r>
          </w:p>
          <w:p w:rsidR="00775738" w:rsidRPr="007B1695" w:rsidRDefault="00775738" w:rsidP="007B1695">
            <w:pPr>
              <w:spacing w:beforeLines="40" w:before="96" w:after="40"/>
              <w:ind w:left="0"/>
              <w:jc w:val="center"/>
              <w:rPr>
                <w:rFonts w:ascii="Arial Narrow" w:hAnsi="Arial Narrow" w:cs="Arial"/>
                <w:sz w:val="18"/>
                <w:szCs w:val="18"/>
              </w:rPr>
            </w:pPr>
            <w:r w:rsidRPr="007B1695">
              <w:rPr>
                <w:rFonts w:ascii="Arial Narrow" w:hAnsi="Arial Narrow" w:cs="Arial"/>
                <w:sz w:val="18"/>
                <w:szCs w:val="18"/>
              </w:rPr>
              <w:t>(</w:t>
            </w:r>
            <w:proofErr w:type="spellStart"/>
            <w:r w:rsidRPr="007B1695">
              <w:rPr>
                <w:rFonts w:ascii="Arial Narrow" w:hAnsi="Arial Narrow" w:cs="Arial"/>
                <w:sz w:val="18"/>
                <w:szCs w:val="18"/>
              </w:rPr>
              <w:t>Metsch</w:t>
            </w:r>
            <w:proofErr w:type="spellEnd"/>
            <w:r w:rsidRPr="007B1695">
              <w:rPr>
                <w:rFonts w:ascii="Arial Narrow" w:hAnsi="Arial Narrow" w:cs="Arial"/>
                <w:sz w:val="18"/>
                <w:szCs w:val="18"/>
              </w:rPr>
              <w:t xml:space="preserve"> 2012)</w:t>
            </w:r>
          </w:p>
        </w:tc>
        <w:tc>
          <w:tcPr>
            <w:tcW w:w="1418" w:type="dxa"/>
            <w:shd w:val="clear" w:color="auto" w:fill="auto"/>
            <w:vAlign w:val="center"/>
          </w:tcPr>
          <w:p w:rsidR="00775738" w:rsidRPr="007B1695" w:rsidRDefault="00775738" w:rsidP="00F737A4">
            <w:pPr>
              <w:pStyle w:val="ListParagraph"/>
              <w:numPr>
                <w:ilvl w:val="0"/>
                <w:numId w:val="22"/>
              </w:numPr>
              <w:tabs>
                <w:tab w:val="left" w:pos="122"/>
              </w:tabs>
              <w:spacing w:beforeLines="40" w:before="96" w:after="40" w:line="240" w:lineRule="auto"/>
              <w:ind w:left="122" w:hanging="122"/>
              <w:rPr>
                <w:rFonts w:ascii="Arial Narrow" w:hAnsi="Arial Narrow"/>
                <w:sz w:val="18"/>
                <w:szCs w:val="18"/>
              </w:rPr>
            </w:pPr>
            <w:r w:rsidRPr="007B1695">
              <w:rPr>
                <w:rFonts w:ascii="Arial Narrow" w:hAnsi="Arial Narrow"/>
                <w:sz w:val="18"/>
                <w:szCs w:val="18"/>
              </w:rPr>
              <w:t>Increased probability of accepting test;</w:t>
            </w:r>
          </w:p>
          <w:p w:rsidR="00775738" w:rsidRPr="007B1695" w:rsidRDefault="00775738" w:rsidP="00F737A4">
            <w:pPr>
              <w:pStyle w:val="ListParagraph"/>
              <w:numPr>
                <w:ilvl w:val="0"/>
                <w:numId w:val="22"/>
              </w:numPr>
              <w:tabs>
                <w:tab w:val="left" w:pos="122"/>
              </w:tabs>
              <w:spacing w:after="40" w:line="240" w:lineRule="auto"/>
              <w:ind w:left="125" w:hanging="125"/>
              <w:rPr>
                <w:rFonts w:ascii="Arial Narrow" w:hAnsi="Arial Narrow"/>
                <w:sz w:val="18"/>
                <w:szCs w:val="18"/>
              </w:rPr>
            </w:pPr>
            <w:r w:rsidRPr="007B1695">
              <w:rPr>
                <w:rFonts w:ascii="Arial Narrow" w:hAnsi="Arial Narrow"/>
                <w:sz w:val="18"/>
                <w:szCs w:val="18"/>
              </w:rPr>
              <w:t xml:space="preserve">Increased probability of receiving test </w:t>
            </w:r>
            <w:r w:rsidRPr="007B1695">
              <w:rPr>
                <w:rFonts w:ascii="Arial Narrow" w:hAnsi="Arial Narrow"/>
                <w:sz w:val="18"/>
                <w:szCs w:val="18"/>
              </w:rPr>
              <w:lastRenderedPageBreak/>
              <w:t>result;</w:t>
            </w:r>
          </w:p>
        </w:tc>
        <w:tc>
          <w:tcPr>
            <w:tcW w:w="1028" w:type="dxa"/>
            <w:shd w:val="clear" w:color="auto" w:fill="auto"/>
            <w:vAlign w:val="center"/>
          </w:tcPr>
          <w:p w:rsidR="00775738" w:rsidRPr="007B1695" w:rsidRDefault="00775738" w:rsidP="007B1695">
            <w:pPr>
              <w:spacing w:beforeLines="40" w:before="96" w:after="40"/>
              <w:ind w:left="-13" w:firstLine="13"/>
              <w:jc w:val="center"/>
              <w:rPr>
                <w:rFonts w:ascii="Arial Narrow" w:hAnsi="Arial Narrow" w:cs="Arial"/>
                <w:sz w:val="18"/>
                <w:szCs w:val="18"/>
              </w:rPr>
            </w:pPr>
            <w:r w:rsidRPr="007B1695">
              <w:rPr>
                <w:rFonts w:ascii="Arial Narrow" w:hAnsi="Arial Narrow" w:cs="Arial"/>
                <w:sz w:val="18"/>
                <w:szCs w:val="18"/>
              </w:rPr>
              <w:lastRenderedPageBreak/>
              <w:t>Screening module + Markov model (CEPAC)</w:t>
            </w:r>
          </w:p>
        </w:tc>
        <w:tc>
          <w:tcPr>
            <w:tcW w:w="1505" w:type="dxa"/>
            <w:shd w:val="clear" w:color="auto" w:fill="auto"/>
            <w:vAlign w:val="center"/>
          </w:tcPr>
          <w:p w:rsidR="00775738" w:rsidRPr="007B1695" w:rsidRDefault="00775738" w:rsidP="007B1695">
            <w:pPr>
              <w:spacing w:beforeLines="40" w:before="96" w:after="40"/>
              <w:ind w:left="-13" w:firstLine="13"/>
              <w:jc w:val="center"/>
              <w:rPr>
                <w:rFonts w:ascii="Arial Narrow" w:hAnsi="Arial Narrow" w:cs="Arial"/>
                <w:sz w:val="18"/>
                <w:szCs w:val="18"/>
              </w:rPr>
            </w:pPr>
            <w:r w:rsidRPr="007B1695">
              <w:rPr>
                <w:rFonts w:ascii="Arial Narrow" w:hAnsi="Arial Narrow" w:cs="Arial"/>
                <w:sz w:val="18"/>
                <w:szCs w:val="18"/>
              </w:rPr>
              <w:t>Cost per QALY</w:t>
            </w:r>
          </w:p>
        </w:tc>
      </w:tr>
    </w:tbl>
    <w:p w:rsidR="00775738" w:rsidRDefault="00280A51" w:rsidP="00280A51">
      <w:pPr>
        <w:pStyle w:val="TableNotes"/>
      </w:pPr>
      <w:r>
        <w:lastRenderedPageBreak/>
        <w:t>Source: relevant publications</w:t>
      </w:r>
    </w:p>
    <w:p w:rsidR="00280A51" w:rsidRDefault="002C3786" w:rsidP="00280A51">
      <w:pPr>
        <w:spacing w:after="0"/>
      </w:pPr>
      <w:r>
        <w:t>In the US-</w:t>
      </w:r>
      <w:r w:rsidR="00280A51">
        <w:t>based studies, the modelled benefits associated with POCT, relative to conventional laboratory testing, include:</w:t>
      </w:r>
    </w:p>
    <w:p w:rsidR="00280A51" w:rsidRDefault="00280A51" w:rsidP="00280A51">
      <w:pPr>
        <w:spacing w:after="0"/>
        <w:ind w:left="1134" w:hanging="425"/>
      </w:pPr>
      <w:proofErr w:type="spellStart"/>
      <w:r>
        <w:t>i</w:t>
      </w:r>
      <w:proofErr w:type="spellEnd"/>
      <w:r>
        <w:t>.</w:t>
      </w:r>
      <w:r>
        <w:tab/>
        <w:t>An increase in the probability of agreeing to test, in the context of population screening; and</w:t>
      </w:r>
    </w:p>
    <w:p w:rsidR="00280A51" w:rsidRDefault="00280A51" w:rsidP="00280A51">
      <w:r>
        <w:t>ii.</w:t>
      </w:r>
      <w:r>
        <w:tab/>
        <w:t>An increase in the probability of receiving the test result.</w:t>
      </w:r>
    </w:p>
    <w:p w:rsidR="00280A51" w:rsidRDefault="00280A51" w:rsidP="00280A51">
      <w:r>
        <w:t>These studies state up to one third of individuals in the US do not receive the results of conventional HIV testing and remain unaware of their HIV status because they fail to attend the follow-up appointment.  Given POCT results are provided on the same day, the probability of receiving a confirmed result is higher: a POCT negative is a final result, whereas a POCT positive may increase the likelihood of attending the follow-up appointment for the confirmatory test.</w:t>
      </w:r>
    </w:p>
    <w:p w:rsidR="00280A51" w:rsidRDefault="00280A51" w:rsidP="00280A51">
      <w:r>
        <w:t>The three earliest cost-effectiveness studies present simple decision trees and estimate cost per person notified of HIV status (or similar outcome) with screening hypothetical populations in US medical clinics</w:t>
      </w:r>
      <w:r w:rsidR="00A82411">
        <w:t xml:space="preserve"> (Farnham 1996; </w:t>
      </w:r>
      <w:proofErr w:type="spellStart"/>
      <w:r w:rsidR="00A82411">
        <w:t>Ekwueme</w:t>
      </w:r>
      <w:proofErr w:type="spellEnd"/>
      <w:r w:rsidR="00A82411">
        <w:t xml:space="preserve"> 2003; and Farnham 2008)</w:t>
      </w:r>
      <w:r>
        <w:t xml:space="preserve">.  The two most recent studies </w:t>
      </w:r>
      <w:r w:rsidR="002C3786">
        <w:t xml:space="preserve">(Sanders 2010, </w:t>
      </w:r>
      <w:proofErr w:type="spellStart"/>
      <w:r w:rsidR="002C3786">
        <w:t>Schackman</w:t>
      </w:r>
      <w:proofErr w:type="spellEnd"/>
      <w:r w:rsidR="002C3786">
        <w:t xml:space="preserve"> 2013) </w:t>
      </w:r>
      <w:r>
        <w:t>use</w:t>
      </w:r>
      <w:r w:rsidR="002C3786">
        <w:t>d</w:t>
      </w:r>
      <w:r>
        <w:t xml:space="preserve"> microsimulation to estimate cost per QALY associated with screening in trial based pop</w:t>
      </w:r>
      <w:r w:rsidR="002C3786">
        <w:t>ulations.  Sanders (2010) modelled</w:t>
      </w:r>
      <w:r>
        <w:t xml:space="preserve"> three nurse-based screening strategies derived from an RCT (n=251) in US hospitals (Anaya 2008).  A trial-based decision tree inputs </w:t>
      </w:r>
      <w:r w:rsidR="005C20EB">
        <w:t>individual</w:t>
      </w:r>
      <w:r>
        <w:t>s into a Markov model either aware or unaware of their HIV status into one of seven health states: “uninfected”; “HIV asymptomatic”; “HIV symptomatic”; “HIV on HAART”; “AIDS on HAART”; “AIDS” and “Dead”.  Each month, the model assesse</w:t>
      </w:r>
      <w:r w:rsidR="002C3786">
        <w:t>d</w:t>
      </w:r>
      <w:r>
        <w:t xml:space="preserve"> the </w:t>
      </w:r>
      <w:r w:rsidR="005C20EB">
        <w:t>individuals</w:t>
      </w:r>
      <w:r w:rsidR="002C3786">
        <w:t>’ HIV status, whether it wa</w:t>
      </w:r>
      <w:r>
        <w:t xml:space="preserve">s identified, the clinical course of the disease, and the costs and consequences of HIV transmission and HAART for </w:t>
      </w:r>
      <w:r w:rsidR="005C20EB">
        <w:t xml:space="preserve">individuals </w:t>
      </w:r>
      <w:r>
        <w:t xml:space="preserve">identified and eligible for treatment.  </w:t>
      </w:r>
      <w:proofErr w:type="spellStart"/>
      <w:r>
        <w:t>Schackman</w:t>
      </w:r>
      <w:proofErr w:type="spellEnd"/>
      <w:r>
        <w:t xml:space="preserve"> (2013) model</w:t>
      </w:r>
      <w:r w:rsidR="002C3786">
        <w:t>led</w:t>
      </w:r>
      <w:r>
        <w:t xml:space="preserve"> three screening strategies derived from an RCT (n=1281) in a US substance abuse clinic (</w:t>
      </w:r>
      <w:proofErr w:type="spellStart"/>
      <w:r>
        <w:t>Metsch</w:t>
      </w:r>
      <w:proofErr w:type="spellEnd"/>
      <w:r>
        <w:t xml:space="preserve"> 2012), using the CEPAC </w:t>
      </w:r>
      <w:r w:rsidR="00A82411">
        <w:t xml:space="preserve">(Cost-Effectiveness of Preventing AIDS Complications) </w:t>
      </w:r>
      <w:r>
        <w:t>Markov model.  A screenin</w:t>
      </w:r>
      <w:r w:rsidR="002C3786">
        <w:t>g module wa</w:t>
      </w:r>
      <w:r>
        <w:t>s used to compare the strategies and determine whether and</w:t>
      </w:r>
      <w:r w:rsidR="002C3786">
        <w:t xml:space="preserve"> when HIV-infected individuals we</w:t>
      </w:r>
      <w:r>
        <w:t>re tested, diagnosed, informed and linked to care.  The cohort of HIV-infected transition</w:t>
      </w:r>
      <w:r w:rsidR="002C3786">
        <w:t>ed</w:t>
      </w:r>
      <w:r>
        <w:t xml:space="preserve"> monthly between the four basic health states (“primary HIV infection”; “Chronic HIV infection”; “Acute clinical event”; “Death”) depending on simulated immune status (CD4 </w:t>
      </w:r>
      <w:r w:rsidR="008360C6">
        <w:t xml:space="preserve">positive </w:t>
      </w:r>
      <w:r>
        <w:t>count), viral burden (RNA level), maintenance on HAART or the presence of AIDs related complication.</w:t>
      </w:r>
    </w:p>
    <w:p w:rsidR="00280A51" w:rsidRDefault="00280A51" w:rsidP="00280A51">
      <w:r>
        <w:t xml:space="preserve">By contrast, the Australian study </w:t>
      </w:r>
      <w:r w:rsidR="002C3786">
        <w:t xml:space="preserve">(Wilson 2011) </w:t>
      </w:r>
      <w:r>
        <w:t>model</w:t>
      </w:r>
      <w:r w:rsidR="002C3786">
        <w:t>led</w:t>
      </w:r>
      <w:r>
        <w:t xml:space="preserve"> the trade-off between earlier diagnosis with </w:t>
      </w:r>
      <w:r w:rsidR="00A82411">
        <w:t>DHC</w:t>
      </w:r>
      <w:r>
        <w:t xml:space="preserve"> since results are provided immediately and the potential for missed diagnoses due to a longer window period compared with conventional laboratory testing.  A microsimulation model and a separate transmi</w:t>
      </w:r>
      <w:r w:rsidR="002C3786">
        <w:t>ssion model we</w:t>
      </w:r>
      <w:r>
        <w:t xml:space="preserve">re used to </w:t>
      </w:r>
      <w:proofErr w:type="gramStart"/>
      <w:r>
        <w:t>investigate</w:t>
      </w:r>
      <w:r w:rsidR="005C20EB">
        <w:t>(</w:t>
      </w:r>
      <w:proofErr w:type="gramEnd"/>
      <w:r>
        <w:t xml:space="preserve"> </w:t>
      </w:r>
      <w:proofErr w:type="spellStart"/>
      <w:r>
        <w:t>i</w:t>
      </w:r>
      <w:proofErr w:type="spellEnd"/>
      <w:r>
        <w:t xml:space="preserve">) the change in time to diagnosis for HIV infected individuals and </w:t>
      </w:r>
      <w:r w:rsidR="002C3786">
        <w:t>(</w:t>
      </w:r>
      <w:r>
        <w:t xml:space="preserve">ii) the number of additional or averted HIV transmissions with </w:t>
      </w:r>
      <w:r w:rsidR="00A82411">
        <w:t>DHC</w:t>
      </w:r>
      <w:r>
        <w:t xml:space="preserve">, assuming no change in treatment rates.  Data was derived from medical records of 174 HIV positive MSM at Melbourne Sexual Health Clinic from 2002 to 2009, including frequency of sexual activity, levels of unprotected anal sex in prior 12 months, HIV viral load at diagnosis and the number of days between testing and receiving results.  Distributions were generated for time </w:t>
      </w:r>
      <w:r>
        <w:lastRenderedPageBreak/>
        <w:t xml:space="preserve">between tests, and time between final test and diagnosis based.  A uniform distribution was assumed for time of infection between tests.  A microsimulation with 100,000 was run such that if duration of time between infection and test is greater than the window period of the relevant test (EIA versus </w:t>
      </w:r>
      <w:r w:rsidR="00A82411">
        <w:t>DHC</w:t>
      </w:r>
      <w:r w:rsidR="002C3786">
        <w:t>), a diagnosis wa</w:t>
      </w:r>
      <w:r>
        <w:t xml:space="preserve">s made.  If not, detection </w:t>
      </w:r>
      <w:r w:rsidR="002C3786">
        <w:t>occurred</w:t>
      </w:r>
      <w:r>
        <w:t xml:space="preserve"> at </w:t>
      </w:r>
      <w:r w:rsidR="002C3786">
        <w:t>the following test.  Diagnosis wa</w:t>
      </w:r>
      <w:r>
        <w:t xml:space="preserve">s assumed </w:t>
      </w:r>
      <w:r w:rsidR="002C3786">
        <w:t xml:space="preserve">to occur </w:t>
      </w:r>
      <w:r>
        <w:t xml:space="preserve">on the same day for </w:t>
      </w:r>
      <w:r w:rsidR="00A82411">
        <w:t>DHC</w:t>
      </w:r>
      <w:r>
        <w:t xml:space="preserve">, and sampled from the distribution for EIA.  The number of days from infection and diagnosis was calculated for each simulated individual and inputted into a transmission model to estimate net HIV transmissions.  </w:t>
      </w:r>
    </w:p>
    <w:p w:rsidR="00280A51" w:rsidRDefault="00280A51" w:rsidP="00280A51">
      <w:r>
        <w:t xml:space="preserve">No studies were identified that modelled the cost-effectiveness of the DHC test versus conventional laboratory testing in high-risk individuals in Australian GP or sexual health clinics.  It is noted that a large number of HIV transmission models were excluded during the literature review because HIV detection using POCT has become common place in the US.  Therefore, the most recent modelled evaluations compared different POCT-based screening programs, </w:t>
      </w:r>
      <w:r w:rsidR="00A82411">
        <w:t>and did not include laboratory only screening programs as a comparator.</w:t>
      </w:r>
    </w:p>
    <w:p w:rsidR="00A82411" w:rsidRDefault="00A82411" w:rsidP="00A82411">
      <w:pPr>
        <w:spacing w:after="120"/>
      </w:pPr>
      <w:r>
        <w:t xml:space="preserve">Given Australia does not have a reported problem with respect to </w:t>
      </w:r>
      <w:r w:rsidR="00543DDC">
        <w:rPr>
          <w:bCs/>
        </w:rPr>
        <w:t>individual</w:t>
      </w:r>
      <w:r w:rsidR="00543DDC" w:rsidRPr="00102204">
        <w:rPr>
          <w:bCs/>
        </w:rPr>
        <w:t>s</w:t>
      </w:r>
      <w:r>
        <w:t xml:space="preserve"> receiving test results, and the proposed listing of DHC on the MBS is not for population screening, the benefits modelled in the US studies are not relevant to Australia.  Expert opinion sought during the assessment confirmed a near perfect rate of reporting HIV results in Australia.  Therefore the model presented was developed in consideration of (</w:t>
      </w:r>
      <w:proofErr w:type="spellStart"/>
      <w:r>
        <w:t>i</w:t>
      </w:r>
      <w:proofErr w:type="spellEnd"/>
      <w:r>
        <w:t xml:space="preserve">) the reported diagnostic accuracies in given populations, (ii) the reported window periods relevant to newly infected individuals and (iii) two possible ways in which DHC </w:t>
      </w:r>
      <w:r w:rsidRPr="00F973E1">
        <w:rPr>
          <w:u w:val="single"/>
        </w:rPr>
        <w:t>may</w:t>
      </w:r>
      <w:r>
        <w:t xml:space="preserve"> influence testing behaviour in Australia (for the purposes of sensitivity analyses):</w:t>
      </w:r>
    </w:p>
    <w:p w:rsidR="00A82411" w:rsidRDefault="00A82411" w:rsidP="00A82411">
      <w:pPr>
        <w:spacing w:after="120"/>
      </w:pPr>
      <w:r>
        <w:t>-</w:t>
      </w:r>
      <w:r>
        <w:tab/>
        <w:t>Change in the probability of undertaking any routine screening, and/or</w:t>
      </w:r>
    </w:p>
    <w:p w:rsidR="00A82411" w:rsidRDefault="00A82411" w:rsidP="00A82411">
      <w:r>
        <w:t>-</w:t>
      </w:r>
      <w:r>
        <w:tab/>
        <w:t>Change in the frequency of routine screening, given previous screening.</w:t>
      </w:r>
    </w:p>
    <w:p w:rsidR="00280A51" w:rsidRDefault="00280A51" w:rsidP="00026CEB">
      <w:pPr>
        <w:pStyle w:val="Heading4"/>
      </w:pPr>
      <w:r>
        <w:t>Structure of the economic evaluation</w:t>
      </w:r>
    </w:p>
    <w:p w:rsidR="006A6796" w:rsidRDefault="006A6796" w:rsidP="006A6796">
      <w:pPr>
        <w:spacing w:after="120"/>
      </w:pPr>
      <w:r>
        <w:t xml:space="preserve">A decision analytic Markov model is used to estimate the cost per various test outcomes over a one year time horizon, of a scenario where the DHC test is available for screening HIV in high-risk </w:t>
      </w:r>
      <w:r w:rsidR="00543DDC">
        <w:rPr>
          <w:bCs/>
        </w:rPr>
        <w:t>individual</w:t>
      </w:r>
      <w:r w:rsidR="00543DDC" w:rsidRPr="00102204">
        <w:rPr>
          <w:bCs/>
        </w:rPr>
        <w:t>s</w:t>
      </w:r>
      <w:r>
        <w:t xml:space="preserve">. </w:t>
      </w:r>
      <w:r w:rsidR="005C55AB">
        <w:t xml:space="preserve"> </w:t>
      </w:r>
      <w:r w:rsidRPr="005C55AB">
        <w:t xml:space="preserve">Figure </w:t>
      </w:r>
      <w:r w:rsidR="005C55AB" w:rsidRPr="005C55AB">
        <w:t>5</w:t>
      </w:r>
      <w:r w:rsidRPr="005C55AB">
        <w:t xml:space="preserve"> presents a simple transition state diagram of the model.  MSMs without a diagnosis of HIV are assumed to commence each cycle in one of four health states:</w:t>
      </w:r>
    </w:p>
    <w:p w:rsidR="006A6796" w:rsidRPr="0003725D" w:rsidRDefault="006A6796" w:rsidP="006A6796">
      <w:pPr>
        <w:spacing w:after="120"/>
        <w:rPr>
          <w:lang w:val="it-IT"/>
        </w:rPr>
      </w:pPr>
      <w:r w:rsidRPr="0003725D">
        <w:rPr>
          <w:lang w:val="it-IT"/>
        </w:rPr>
        <w:t>(i)</w:t>
      </w:r>
      <w:r w:rsidRPr="0003725D">
        <w:rPr>
          <w:lang w:val="it-IT"/>
        </w:rPr>
        <w:tab/>
        <w:t>“Seropositive”</w:t>
      </w:r>
    </w:p>
    <w:p w:rsidR="006A6796" w:rsidRPr="0003725D" w:rsidRDefault="006A6796" w:rsidP="006A6796">
      <w:pPr>
        <w:spacing w:after="120"/>
        <w:rPr>
          <w:lang w:val="it-IT"/>
        </w:rPr>
      </w:pPr>
      <w:r w:rsidRPr="0003725D">
        <w:rPr>
          <w:lang w:val="it-IT"/>
        </w:rPr>
        <w:t>(ii)</w:t>
      </w:r>
      <w:r w:rsidRPr="0003725D">
        <w:rPr>
          <w:lang w:val="it-IT"/>
        </w:rPr>
        <w:tab/>
        <w:t>“Seroconverting”</w:t>
      </w:r>
    </w:p>
    <w:p w:rsidR="006A6796" w:rsidRPr="0003725D" w:rsidRDefault="006A6796" w:rsidP="006A6796">
      <w:pPr>
        <w:spacing w:after="120"/>
        <w:rPr>
          <w:lang w:val="it-IT"/>
        </w:rPr>
      </w:pPr>
      <w:r w:rsidRPr="0003725D">
        <w:rPr>
          <w:lang w:val="it-IT"/>
        </w:rPr>
        <w:t>(iii)</w:t>
      </w:r>
      <w:r w:rsidRPr="0003725D">
        <w:rPr>
          <w:lang w:val="it-IT"/>
        </w:rPr>
        <w:tab/>
        <w:t xml:space="preserve">“Seronegative” </w:t>
      </w:r>
    </w:p>
    <w:p w:rsidR="00280A51" w:rsidRDefault="006A6796" w:rsidP="006A6796">
      <w:r>
        <w:t>(iv)</w:t>
      </w:r>
      <w:r>
        <w:tab/>
        <w:t>“HIV diagnosed”</w:t>
      </w:r>
    </w:p>
    <w:p w:rsidR="006A6796" w:rsidRDefault="00A82411" w:rsidP="006A6796">
      <w:pPr>
        <w:pStyle w:val="TableName"/>
        <w:rPr>
          <w:noProof/>
        </w:rPr>
      </w:pPr>
      <w:r>
        <w:rPr>
          <w:noProof/>
        </w:rPr>
        <w:lastRenderedPageBreak/>
        <w:drawing>
          <wp:inline distT="0" distB="0" distL="0" distR="0" wp14:anchorId="732D21A5" wp14:editId="2570A730">
            <wp:extent cx="3836419" cy="2608028"/>
            <wp:effectExtent l="0" t="0" r="0" b="1905"/>
            <wp:docPr id="93" name="Picture 93" descr="transition state diagram for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onash.edu\home\User057\pghijben\Desktop\hhh.t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35496" cy="2607400"/>
                    </a:xfrm>
                    <a:prstGeom prst="rect">
                      <a:avLst/>
                    </a:prstGeom>
                    <a:noFill/>
                    <a:ln>
                      <a:noFill/>
                    </a:ln>
                  </pic:spPr>
                </pic:pic>
              </a:graphicData>
            </a:graphic>
          </wp:inline>
        </w:drawing>
      </w:r>
    </w:p>
    <w:p w:rsidR="006A6796" w:rsidRDefault="006A6796" w:rsidP="005C55AB">
      <w:pPr>
        <w:pStyle w:val="Caption"/>
        <w:spacing w:after="240"/>
      </w:pPr>
      <w:bookmarkStart w:id="136" w:name="_Toc415103441"/>
      <w:bookmarkStart w:id="137" w:name="_Toc415107318"/>
      <w:bookmarkStart w:id="138" w:name="_Toc418225011"/>
      <w:bookmarkStart w:id="139" w:name="_Toc418225657"/>
      <w:r>
        <w:t xml:space="preserve">Figure </w:t>
      </w:r>
      <w:r w:rsidR="005C55AB">
        <w:t>5</w:t>
      </w:r>
      <w:r>
        <w:tab/>
        <w:t xml:space="preserve">Transition state </w:t>
      </w:r>
      <w:proofErr w:type="gramStart"/>
      <w:r>
        <w:t>diagram</w:t>
      </w:r>
      <w:bookmarkEnd w:id="136"/>
      <w:bookmarkEnd w:id="137"/>
      <w:bookmarkEnd w:id="138"/>
      <w:bookmarkEnd w:id="139"/>
      <w:proofErr w:type="gramEnd"/>
    </w:p>
    <w:p w:rsidR="006A6796" w:rsidRDefault="00A82411" w:rsidP="006A6796">
      <w:r>
        <w:t xml:space="preserve">The cohort </w:t>
      </w:r>
      <w:r w:rsidR="002C3786">
        <w:t>enters</w:t>
      </w:r>
      <w:r>
        <w:t xml:space="preserve"> the model in one of the three non-HIV diagnosed health states, and only transitions to the absorbing health state “HIV diagnosed” after a confirmed HIV diagnosis is made either through HIV screening or the development of AIDS complications and symptom-based testing.  Each cycle is assumed to have </w:t>
      </w:r>
      <w:proofErr w:type="gramStart"/>
      <w:r w:rsidR="002C3786">
        <w:t xml:space="preserve">a </w:t>
      </w:r>
      <w:r>
        <w:t>duration</w:t>
      </w:r>
      <w:proofErr w:type="gramEnd"/>
      <w:r>
        <w:t xml:space="preserve"> of three months given (</w:t>
      </w:r>
      <w:proofErr w:type="spellStart"/>
      <w:r>
        <w:t>i</w:t>
      </w:r>
      <w:proofErr w:type="spellEnd"/>
      <w:r>
        <w:t xml:space="preserve">) the seroconverting window period may be up to three months after infection and (ii) high-risk MSM in Australia are recommended to test every 3 months (The </w:t>
      </w:r>
      <w:r w:rsidRPr="006A5FC4">
        <w:t>A</w:t>
      </w:r>
      <w:r>
        <w:t xml:space="preserve">ustralian </w:t>
      </w:r>
      <w:r w:rsidRPr="006A5FC4">
        <w:t>S</w:t>
      </w:r>
      <w:r>
        <w:t>exually</w:t>
      </w:r>
      <w:r w:rsidRPr="006A5FC4">
        <w:t xml:space="preserve"> T</w:t>
      </w:r>
      <w:r>
        <w:t>ransmitted</w:t>
      </w:r>
      <w:r w:rsidRPr="006A5FC4">
        <w:t xml:space="preserve"> I</w:t>
      </w:r>
      <w:r>
        <w:t>nfection</w:t>
      </w:r>
      <w:r w:rsidRPr="006A5FC4">
        <w:t xml:space="preserve"> &amp;</w:t>
      </w:r>
      <w:r>
        <w:t xml:space="preserve"> H</w:t>
      </w:r>
      <w:r w:rsidR="002C3786">
        <w:t>IV Testing Guidelines, 2014).</w:t>
      </w:r>
    </w:p>
    <w:p w:rsidR="00A82411" w:rsidRDefault="00A82411" w:rsidP="00A82411">
      <w:r>
        <w:t xml:space="preserve">The cohort commencing in the “seronegative” health state may become infected with HIV during a cycle and transition to “seroconverting” or remain “seronegative”.  The cohort can only remain in the “seroconverting” health state for one cycle.  If screened for HIV within the cycle and diagnosed, the cohort transitions to “HIV diagnosed”, otherwise they will transition to “seropositive” in the following cycle.  The cohort in the “seropositive” health state either transition to “HIV diagnosed” via HIV screening or due to development of AIDS symptoms and symptom-based testing, or remain “seropositive” in the following cycle.  </w:t>
      </w:r>
    </w:p>
    <w:p w:rsidR="006A6796" w:rsidRDefault="00A82411" w:rsidP="00A82411">
      <w:pPr>
        <w:spacing w:after="120"/>
      </w:pPr>
      <w:r>
        <w:t>Monte Carlo simulation is used to model the heterogeneous population, conditional transition state probabilities, and incorporates a tracker variable for number of tests undertaken by each modelled individual.  At the start of the model, individuals are assigned to one category for each of the following variables:</w:t>
      </w:r>
    </w:p>
    <w:p w:rsidR="00A82411" w:rsidRDefault="006A6796" w:rsidP="00A82411">
      <w:pPr>
        <w:spacing w:after="120"/>
        <w:ind w:left="1134" w:hanging="414"/>
      </w:pPr>
      <w:r>
        <w:t>•</w:t>
      </w:r>
      <w:r>
        <w:tab/>
      </w:r>
      <w:r w:rsidR="00A82411">
        <w:t>Initial non-HIV diagnosed health state (“seronegative”, “seroconverting”, “</w:t>
      </w:r>
      <w:proofErr w:type="gramStart"/>
      <w:r w:rsidR="00A82411">
        <w:t>seropositive</w:t>
      </w:r>
      <w:proofErr w:type="gramEnd"/>
      <w:r w:rsidR="00A82411">
        <w:t>”);</w:t>
      </w:r>
    </w:p>
    <w:p w:rsidR="00A82411" w:rsidRDefault="00A82411" w:rsidP="00A82411">
      <w:pPr>
        <w:spacing w:after="120"/>
        <w:ind w:left="1134" w:hanging="414"/>
      </w:pPr>
      <w:r>
        <w:t>•</w:t>
      </w:r>
      <w:r>
        <w:tab/>
        <w:t>Undertakes routine HIV screening (yes or no);</w:t>
      </w:r>
    </w:p>
    <w:p w:rsidR="00A82411" w:rsidRDefault="00A82411" w:rsidP="00A82411">
      <w:pPr>
        <w:spacing w:after="120"/>
        <w:ind w:left="1134" w:hanging="414"/>
      </w:pPr>
      <w:r>
        <w:t>•</w:t>
      </w:r>
      <w:r>
        <w:tab/>
        <w:t>Number of year seropositive (1 to 20) – applicable only when in the “seropositive” health state; and</w:t>
      </w:r>
    </w:p>
    <w:p w:rsidR="00A82411" w:rsidRDefault="00A82411" w:rsidP="00A82411">
      <w:pPr>
        <w:ind w:left="1134" w:hanging="414"/>
      </w:pPr>
      <w:r>
        <w:t>•</w:t>
      </w:r>
      <w:r>
        <w:tab/>
        <w:t>Days since HIV infection (1 to 90) – applicable only when in the “seroconverting” health state.</w:t>
      </w:r>
    </w:p>
    <w:p w:rsidR="006A6796" w:rsidRDefault="00A82411" w:rsidP="006A6796">
      <w:r>
        <w:t xml:space="preserve">A tracker variable is programmed to count the number of tests undertaken by each individual, given the </w:t>
      </w:r>
      <w:r w:rsidRPr="00A82411">
        <w:rPr>
          <w:i/>
        </w:rPr>
        <w:t>post-hoc</w:t>
      </w:r>
      <w:r>
        <w:t xml:space="preserve"> analysis reported in Read (2013) </w:t>
      </w:r>
      <w:r w:rsidR="00B17417">
        <w:t>suggests</w:t>
      </w:r>
      <w:r>
        <w:t xml:space="preserve"> a difference in the </w:t>
      </w:r>
      <w:r>
        <w:lastRenderedPageBreak/>
        <w:t>rate of initial re-screening with the DHC test, but no difference in the rate of subsequent re-screening.</w:t>
      </w:r>
    </w:p>
    <w:p w:rsidR="006A6796" w:rsidRDefault="00B17417" w:rsidP="006A6796">
      <w:r w:rsidRPr="00980A6E">
        <w:t>Figure 6 presents</w:t>
      </w:r>
      <w:r>
        <w:t xml:space="preserve"> the structure of the model used to conduct the analysis.  The testing algorithms vary in each arm of the model to reflect: (</w:t>
      </w:r>
      <w:proofErr w:type="spellStart"/>
      <w:r>
        <w:t>i</w:t>
      </w:r>
      <w:proofErr w:type="spellEnd"/>
      <w:r>
        <w:t xml:space="preserve">) the current scenario without the DHC test (“Serology”); and (ii) the proposed scenario with the DHC test (“DHC”) where a DHC negative is a final result but a DHC positive requires confirmatory serological testing.  An assumption is made that serology is the gold standard for individuals who are “seropositive” or “seronegative” and the published sensitivity/specificity of the DHC test is based on samples of those with known HIV-status (The </w:t>
      </w:r>
      <w:proofErr w:type="spellStart"/>
      <w:r>
        <w:t>Alere</w:t>
      </w:r>
      <w:proofErr w:type="spellEnd"/>
      <w:r>
        <w:t xml:space="preserve"> HIV-1/2 Ag/Ab Combo product insert).  However, the model assumes that the probability of detecting HIV for individuals who are “seroconverting” is a function of the window period of each respective test, and a diagnosis is based on a positive serological result.</w:t>
      </w:r>
    </w:p>
    <w:p w:rsidR="006A6796" w:rsidRPr="00980A6E" w:rsidRDefault="00B17417" w:rsidP="000250F8">
      <w:r w:rsidRPr="00980A6E">
        <w:t xml:space="preserve">Costs associated with each arm </w:t>
      </w:r>
      <w:r>
        <w:t xml:space="preserve">of the model </w:t>
      </w:r>
      <w:r w:rsidRPr="00980A6E">
        <w:t xml:space="preserve">are allocated as transition costs at the relevant nodes and a binary outcome (1 or 0) is assigned to the termination nodes to count the outcomes specified in the </w:t>
      </w:r>
      <w:r>
        <w:t xml:space="preserve">MSAC 1391 </w:t>
      </w:r>
      <w:r w:rsidRPr="00980A6E">
        <w:t>Final Protocol, summarised in Table 18.  To correctly classify the DHC test negatives in the “seroconverting” health state</w:t>
      </w:r>
      <w:r>
        <w:t xml:space="preserve"> for the assessment of test performance versus serology</w:t>
      </w:r>
      <w:r w:rsidRPr="00980A6E">
        <w:t xml:space="preserve">, a ‘hypothetical’ serology test is assumed </w:t>
      </w:r>
      <w:r>
        <w:t xml:space="preserve">to occur after a DHC negative result.  Given </w:t>
      </w:r>
      <w:r w:rsidRPr="00980A6E">
        <w:t>a positive diagnosis via serology is also assumed to be a function of days since infection</w:t>
      </w:r>
      <w:r>
        <w:t>, only those detected by serology but not by DHC are classified as false negatives</w:t>
      </w:r>
      <w:r w:rsidRPr="00980A6E">
        <w:t xml:space="preserve"> (see below).</w:t>
      </w:r>
    </w:p>
    <w:p w:rsidR="00720A65" w:rsidRDefault="00720A65" w:rsidP="00980A6E">
      <w:pPr>
        <w:pStyle w:val="Caption"/>
      </w:pPr>
      <w:bookmarkStart w:id="140" w:name="_Toc415103523"/>
      <w:bookmarkStart w:id="141" w:name="_Toc418225012"/>
      <w:bookmarkStart w:id="142" w:name="_Toc418225658"/>
      <w:r w:rsidRPr="00980A6E">
        <w:t xml:space="preserve">Table </w:t>
      </w:r>
      <w:r w:rsidR="00980A6E" w:rsidRPr="00980A6E">
        <w:t>18</w:t>
      </w:r>
      <w:r w:rsidRPr="00980A6E">
        <w:tab/>
        <w:t>Outcomes reported by the model</w:t>
      </w:r>
      <w:bookmarkEnd w:id="140"/>
      <w:bookmarkEnd w:id="141"/>
      <w:bookmarkEnd w:id="142"/>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Outcomes reported by the model. Summary of the outcome outputs reported by the modelled economic evaluation"/>
      </w:tblPr>
      <w:tblGrid>
        <w:gridCol w:w="3812"/>
        <w:gridCol w:w="4533"/>
      </w:tblGrid>
      <w:tr w:rsidR="00720A65" w:rsidRPr="00720A65" w:rsidTr="00B17417">
        <w:trPr>
          <w:tblHeader/>
        </w:trPr>
        <w:tc>
          <w:tcPr>
            <w:tcW w:w="3812" w:type="dxa"/>
            <w:shd w:val="clear" w:color="auto" w:fill="auto"/>
          </w:tcPr>
          <w:p w:rsidR="00720A65" w:rsidRPr="007B1695" w:rsidRDefault="00720A65" w:rsidP="00B17417">
            <w:pPr>
              <w:spacing w:before="40" w:after="40"/>
              <w:ind w:left="0"/>
              <w:rPr>
                <w:rFonts w:ascii="Arial Narrow" w:hAnsi="Arial Narrow"/>
                <w:b/>
                <w:sz w:val="18"/>
                <w:szCs w:val="18"/>
              </w:rPr>
            </w:pPr>
            <w:r w:rsidRPr="007B1695">
              <w:rPr>
                <w:rFonts w:ascii="Arial Narrow" w:hAnsi="Arial Narrow"/>
                <w:b/>
                <w:sz w:val="18"/>
                <w:szCs w:val="18"/>
              </w:rPr>
              <w:t>Outcome</w:t>
            </w:r>
          </w:p>
        </w:tc>
        <w:tc>
          <w:tcPr>
            <w:tcW w:w="4533" w:type="dxa"/>
            <w:shd w:val="clear" w:color="auto" w:fill="auto"/>
          </w:tcPr>
          <w:p w:rsidR="00720A65" w:rsidRPr="007B1695" w:rsidRDefault="00720A65" w:rsidP="00B17417">
            <w:pPr>
              <w:spacing w:before="40" w:after="40"/>
              <w:ind w:left="0"/>
              <w:rPr>
                <w:rFonts w:ascii="Arial Narrow" w:hAnsi="Arial Narrow"/>
                <w:b/>
                <w:sz w:val="18"/>
                <w:szCs w:val="18"/>
              </w:rPr>
            </w:pPr>
            <w:r w:rsidRPr="007B1695">
              <w:rPr>
                <w:rFonts w:ascii="Arial Narrow" w:hAnsi="Arial Narrow"/>
                <w:b/>
                <w:sz w:val="18"/>
                <w:szCs w:val="18"/>
              </w:rPr>
              <w:t>Description</w:t>
            </w:r>
          </w:p>
        </w:tc>
      </w:tr>
      <w:tr w:rsidR="00720A65" w:rsidRPr="00720A65" w:rsidTr="007B1695">
        <w:tc>
          <w:tcPr>
            <w:tcW w:w="3812" w:type="dxa"/>
            <w:shd w:val="clear" w:color="auto" w:fill="auto"/>
          </w:tcPr>
          <w:p w:rsidR="00720A65" w:rsidRPr="007B1695" w:rsidRDefault="00720A65" w:rsidP="00B17417">
            <w:pPr>
              <w:spacing w:before="40" w:after="40"/>
              <w:ind w:left="0"/>
              <w:rPr>
                <w:rFonts w:ascii="Arial Narrow" w:hAnsi="Arial Narrow"/>
                <w:sz w:val="18"/>
                <w:szCs w:val="18"/>
              </w:rPr>
            </w:pPr>
            <w:r w:rsidRPr="007B1695">
              <w:rPr>
                <w:rFonts w:ascii="Arial Narrow" w:hAnsi="Arial Narrow"/>
                <w:sz w:val="18"/>
                <w:szCs w:val="18"/>
              </w:rPr>
              <w:t>HIV diagnosis</w:t>
            </w:r>
          </w:p>
        </w:tc>
        <w:tc>
          <w:tcPr>
            <w:tcW w:w="4533" w:type="dxa"/>
            <w:shd w:val="clear" w:color="auto" w:fill="auto"/>
          </w:tcPr>
          <w:p w:rsidR="00720A65" w:rsidRPr="007B1695" w:rsidRDefault="00720A65" w:rsidP="00B17417">
            <w:pPr>
              <w:spacing w:before="40" w:after="40"/>
              <w:ind w:left="0"/>
              <w:rPr>
                <w:rFonts w:ascii="Arial Narrow" w:hAnsi="Arial Narrow"/>
                <w:sz w:val="18"/>
                <w:szCs w:val="18"/>
              </w:rPr>
            </w:pPr>
            <w:r w:rsidRPr="007B1695">
              <w:rPr>
                <w:rFonts w:ascii="Arial Narrow" w:hAnsi="Arial Narrow"/>
                <w:sz w:val="18"/>
                <w:szCs w:val="18"/>
              </w:rPr>
              <w:t>Total number HIV diagnosed</w:t>
            </w:r>
          </w:p>
        </w:tc>
      </w:tr>
      <w:tr w:rsidR="00720A65" w:rsidRPr="00720A65" w:rsidTr="007B1695">
        <w:tc>
          <w:tcPr>
            <w:tcW w:w="3812" w:type="dxa"/>
            <w:shd w:val="clear" w:color="auto" w:fill="auto"/>
          </w:tcPr>
          <w:p w:rsidR="00720A65" w:rsidRPr="007B1695" w:rsidRDefault="00720A65" w:rsidP="00B17417">
            <w:pPr>
              <w:spacing w:before="40" w:after="40"/>
              <w:ind w:left="0"/>
              <w:rPr>
                <w:rFonts w:ascii="Arial Narrow" w:hAnsi="Arial Narrow"/>
                <w:sz w:val="18"/>
                <w:szCs w:val="18"/>
              </w:rPr>
            </w:pPr>
            <w:r w:rsidRPr="007B1695">
              <w:rPr>
                <w:rFonts w:ascii="Arial Narrow" w:hAnsi="Arial Narrow"/>
                <w:sz w:val="18"/>
                <w:szCs w:val="18"/>
              </w:rPr>
              <w:t>Early</w:t>
            </w:r>
          </w:p>
        </w:tc>
        <w:tc>
          <w:tcPr>
            <w:tcW w:w="4533" w:type="dxa"/>
            <w:shd w:val="clear" w:color="auto" w:fill="auto"/>
          </w:tcPr>
          <w:p w:rsidR="00720A65" w:rsidRPr="007B1695" w:rsidRDefault="00720A65" w:rsidP="00B17417">
            <w:pPr>
              <w:spacing w:before="40" w:after="40"/>
              <w:ind w:left="0"/>
              <w:rPr>
                <w:rFonts w:ascii="Arial Narrow" w:hAnsi="Arial Narrow"/>
                <w:sz w:val="18"/>
                <w:szCs w:val="18"/>
              </w:rPr>
            </w:pPr>
            <w:r w:rsidRPr="007B1695">
              <w:rPr>
                <w:rFonts w:ascii="Arial Narrow" w:hAnsi="Arial Narrow"/>
                <w:sz w:val="18"/>
                <w:szCs w:val="18"/>
              </w:rPr>
              <w:t>Number diagnosed due to screening test</w:t>
            </w:r>
          </w:p>
        </w:tc>
      </w:tr>
      <w:tr w:rsidR="00720A65" w:rsidRPr="00720A65" w:rsidTr="007B1695">
        <w:tc>
          <w:tcPr>
            <w:tcW w:w="3812" w:type="dxa"/>
            <w:shd w:val="clear" w:color="auto" w:fill="auto"/>
          </w:tcPr>
          <w:p w:rsidR="00720A65" w:rsidRPr="007B1695" w:rsidRDefault="00720A65" w:rsidP="00B17417">
            <w:pPr>
              <w:spacing w:before="40" w:after="40"/>
              <w:ind w:left="0"/>
              <w:rPr>
                <w:rFonts w:ascii="Arial Narrow" w:hAnsi="Arial Narrow"/>
                <w:sz w:val="18"/>
                <w:szCs w:val="18"/>
              </w:rPr>
            </w:pPr>
            <w:r w:rsidRPr="007B1695">
              <w:rPr>
                <w:rFonts w:ascii="Arial Narrow" w:hAnsi="Arial Narrow"/>
                <w:sz w:val="18"/>
                <w:szCs w:val="18"/>
              </w:rPr>
              <w:t>Late</w:t>
            </w:r>
          </w:p>
        </w:tc>
        <w:tc>
          <w:tcPr>
            <w:tcW w:w="4533" w:type="dxa"/>
            <w:shd w:val="clear" w:color="auto" w:fill="auto"/>
          </w:tcPr>
          <w:p w:rsidR="00720A65" w:rsidRPr="007B1695" w:rsidRDefault="00720A65" w:rsidP="00B17417">
            <w:pPr>
              <w:spacing w:before="40" w:after="40"/>
              <w:ind w:left="0"/>
              <w:rPr>
                <w:rFonts w:ascii="Arial Narrow" w:hAnsi="Arial Narrow"/>
                <w:sz w:val="18"/>
                <w:szCs w:val="18"/>
              </w:rPr>
            </w:pPr>
            <w:r w:rsidRPr="007B1695">
              <w:rPr>
                <w:rFonts w:ascii="Arial Narrow" w:hAnsi="Arial Narrow"/>
                <w:sz w:val="18"/>
                <w:szCs w:val="18"/>
              </w:rPr>
              <w:t>Number diagnosed due to AIDS complications testing</w:t>
            </w:r>
          </w:p>
        </w:tc>
      </w:tr>
      <w:tr w:rsidR="00720A65" w:rsidRPr="00720A65" w:rsidTr="007B1695">
        <w:tc>
          <w:tcPr>
            <w:tcW w:w="3812" w:type="dxa"/>
            <w:shd w:val="clear" w:color="auto" w:fill="auto"/>
          </w:tcPr>
          <w:p w:rsidR="00720A65" w:rsidRPr="007B1695" w:rsidRDefault="00720A65" w:rsidP="00B17417">
            <w:pPr>
              <w:spacing w:before="40" w:after="40"/>
              <w:ind w:left="0"/>
              <w:rPr>
                <w:rFonts w:ascii="Arial Narrow" w:hAnsi="Arial Narrow"/>
                <w:sz w:val="18"/>
                <w:szCs w:val="18"/>
              </w:rPr>
            </w:pPr>
            <w:r w:rsidRPr="007B1695">
              <w:rPr>
                <w:rFonts w:ascii="Arial Narrow" w:hAnsi="Arial Narrow"/>
                <w:sz w:val="18"/>
                <w:szCs w:val="18"/>
              </w:rPr>
              <w:t>Testing procedure failure</w:t>
            </w:r>
          </w:p>
        </w:tc>
        <w:tc>
          <w:tcPr>
            <w:tcW w:w="4533" w:type="dxa"/>
            <w:shd w:val="clear" w:color="auto" w:fill="auto"/>
          </w:tcPr>
          <w:p w:rsidR="00720A65" w:rsidRPr="007B1695" w:rsidRDefault="00720A65" w:rsidP="00B17417">
            <w:pPr>
              <w:spacing w:before="40" w:after="40"/>
              <w:ind w:left="0"/>
              <w:rPr>
                <w:rFonts w:ascii="Arial Narrow" w:hAnsi="Arial Narrow"/>
                <w:sz w:val="18"/>
                <w:szCs w:val="18"/>
              </w:rPr>
            </w:pPr>
            <w:r w:rsidRPr="007B1695">
              <w:rPr>
                <w:rFonts w:ascii="Arial Narrow" w:hAnsi="Arial Narrow"/>
                <w:sz w:val="18"/>
                <w:szCs w:val="18"/>
              </w:rPr>
              <w:t xml:space="preserve">HIV </w:t>
            </w:r>
            <w:r w:rsidR="00A9720C" w:rsidRPr="007B1695">
              <w:rPr>
                <w:rFonts w:ascii="Arial Narrow" w:hAnsi="Arial Narrow"/>
                <w:sz w:val="18"/>
                <w:szCs w:val="18"/>
              </w:rPr>
              <w:t>positives</w:t>
            </w:r>
            <w:r w:rsidRPr="007B1695">
              <w:rPr>
                <w:rFonts w:ascii="Arial Narrow" w:hAnsi="Arial Narrow"/>
                <w:sz w:val="18"/>
                <w:szCs w:val="18"/>
              </w:rPr>
              <w:t xml:space="preserve"> tested </w:t>
            </w:r>
            <w:r w:rsidR="00A9720C" w:rsidRPr="007B1695">
              <w:rPr>
                <w:rFonts w:ascii="Arial Narrow" w:hAnsi="Arial Narrow"/>
                <w:sz w:val="18"/>
                <w:szCs w:val="18"/>
              </w:rPr>
              <w:t xml:space="preserve">but </w:t>
            </w:r>
            <w:r w:rsidRPr="007B1695">
              <w:rPr>
                <w:rFonts w:ascii="Arial Narrow" w:hAnsi="Arial Narrow"/>
                <w:sz w:val="18"/>
                <w:szCs w:val="18"/>
              </w:rPr>
              <w:t>not diagnosed</w:t>
            </w:r>
            <w:r w:rsidR="00A9720C" w:rsidRPr="007B1695">
              <w:rPr>
                <w:rFonts w:ascii="Arial Narrow" w:hAnsi="Arial Narrow"/>
                <w:sz w:val="18"/>
                <w:szCs w:val="18"/>
              </w:rPr>
              <w:t xml:space="preserve"> at time of testing</w:t>
            </w:r>
          </w:p>
        </w:tc>
      </w:tr>
      <w:tr w:rsidR="00720A65" w:rsidRPr="00720A65" w:rsidTr="00FC7145">
        <w:tc>
          <w:tcPr>
            <w:tcW w:w="3812" w:type="dxa"/>
            <w:tcBorders>
              <w:right w:val="nil"/>
            </w:tcBorders>
            <w:shd w:val="clear" w:color="auto" w:fill="auto"/>
          </w:tcPr>
          <w:p w:rsidR="00720A65" w:rsidRPr="007B1695" w:rsidRDefault="00FC7145" w:rsidP="00B17417">
            <w:pPr>
              <w:spacing w:before="40" w:after="40"/>
              <w:ind w:left="0"/>
              <w:rPr>
                <w:rFonts w:ascii="Arial Narrow" w:hAnsi="Arial Narrow"/>
                <w:sz w:val="18"/>
                <w:szCs w:val="18"/>
              </w:rPr>
            </w:pPr>
            <w:r>
              <w:rPr>
                <w:rFonts w:ascii="Arial Narrow" w:hAnsi="Arial Narrow"/>
                <w:sz w:val="18"/>
                <w:szCs w:val="18"/>
              </w:rPr>
              <w:t>DHC</w:t>
            </w:r>
            <w:r w:rsidR="00720A65" w:rsidRPr="007B1695">
              <w:rPr>
                <w:rFonts w:ascii="Arial Narrow" w:hAnsi="Arial Narrow"/>
                <w:sz w:val="18"/>
                <w:szCs w:val="18"/>
              </w:rPr>
              <w:t xml:space="preserve"> test outcome</w:t>
            </w:r>
          </w:p>
        </w:tc>
        <w:tc>
          <w:tcPr>
            <w:tcW w:w="4533" w:type="dxa"/>
            <w:tcBorders>
              <w:left w:val="nil"/>
            </w:tcBorders>
            <w:shd w:val="clear" w:color="auto" w:fill="auto"/>
          </w:tcPr>
          <w:p w:rsidR="00720A65" w:rsidRPr="007B1695" w:rsidRDefault="00FC7145" w:rsidP="00B17417">
            <w:pPr>
              <w:spacing w:before="40" w:after="40"/>
              <w:ind w:left="0"/>
              <w:rPr>
                <w:rFonts w:ascii="Arial Narrow" w:hAnsi="Arial Narrow"/>
                <w:sz w:val="18"/>
                <w:szCs w:val="18"/>
              </w:rPr>
            </w:pPr>
            <w:r w:rsidRPr="00FC7145">
              <w:rPr>
                <w:rFonts w:ascii="Arial Narrow" w:hAnsi="Arial Narrow"/>
                <w:color w:val="FFFFFF" w:themeColor="background1"/>
                <w:sz w:val="18"/>
                <w:szCs w:val="18"/>
              </w:rPr>
              <w:t>-</w:t>
            </w:r>
          </w:p>
        </w:tc>
      </w:tr>
      <w:tr w:rsidR="00720A65" w:rsidRPr="00720A65" w:rsidTr="007B1695">
        <w:tc>
          <w:tcPr>
            <w:tcW w:w="3812" w:type="dxa"/>
            <w:shd w:val="clear" w:color="auto" w:fill="auto"/>
          </w:tcPr>
          <w:p w:rsidR="00720A65" w:rsidRPr="007B1695" w:rsidRDefault="00980A6E" w:rsidP="00FC7145">
            <w:pPr>
              <w:spacing w:before="40" w:after="40"/>
              <w:ind w:left="0"/>
              <w:rPr>
                <w:rFonts w:ascii="Arial Narrow" w:hAnsi="Arial Narrow"/>
                <w:sz w:val="18"/>
                <w:szCs w:val="18"/>
              </w:rPr>
            </w:pPr>
            <w:r>
              <w:rPr>
                <w:rFonts w:ascii="Arial Narrow" w:hAnsi="Arial Narrow"/>
                <w:sz w:val="18"/>
                <w:szCs w:val="18"/>
              </w:rPr>
              <w:tab/>
            </w:r>
            <w:r w:rsidR="00FC7145">
              <w:rPr>
                <w:rFonts w:ascii="Arial Narrow" w:hAnsi="Arial Narrow"/>
                <w:sz w:val="18"/>
                <w:szCs w:val="18"/>
              </w:rPr>
              <w:t>DHC</w:t>
            </w:r>
            <w:r w:rsidR="00720A65" w:rsidRPr="007B1695">
              <w:rPr>
                <w:rFonts w:ascii="Arial Narrow" w:hAnsi="Arial Narrow"/>
                <w:sz w:val="18"/>
                <w:szCs w:val="18"/>
              </w:rPr>
              <w:t xml:space="preserve"> true positive</w:t>
            </w:r>
          </w:p>
        </w:tc>
        <w:tc>
          <w:tcPr>
            <w:tcW w:w="4533" w:type="dxa"/>
            <w:shd w:val="clear" w:color="auto" w:fill="auto"/>
          </w:tcPr>
          <w:p w:rsidR="00720A65" w:rsidRPr="007B1695" w:rsidRDefault="00FC7145" w:rsidP="00B17417">
            <w:pPr>
              <w:spacing w:before="40" w:after="40"/>
              <w:ind w:left="0"/>
              <w:rPr>
                <w:rFonts w:ascii="Arial Narrow" w:hAnsi="Arial Narrow"/>
                <w:sz w:val="18"/>
                <w:szCs w:val="18"/>
              </w:rPr>
            </w:pPr>
            <w:r>
              <w:rPr>
                <w:rFonts w:ascii="Arial Narrow" w:hAnsi="Arial Narrow"/>
                <w:sz w:val="18"/>
                <w:szCs w:val="18"/>
              </w:rPr>
              <w:t>DHC</w:t>
            </w:r>
            <w:r w:rsidR="00720A65" w:rsidRPr="007B1695">
              <w:rPr>
                <w:rFonts w:ascii="Arial Narrow" w:hAnsi="Arial Narrow"/>
                <w:sz w:val="18"/>
                <w:szCs w:val="18"/>
              </w:rPr>
              <w:t xml:space="preserve"> arm only, number of true positives</w:t>
            </w:r>
          </w:p>
        </w:tc>
      </w:tr>
      <w:tr w:rsidR="00720A65" w:rsidRPr="00720A65" w:rsidTr="007B1695">
        <w:tc>
          <w:tcPr>
            <w:tcW w:w="3812" w:type="dxa"/>
            <w:shd w:val="clear" w:color="auto" w:fill="auto"/>
          </w:tcPr>
          <w:p w:rsidR="00720A65" w:rsidRPr="007B1695" w:rsidRDefault="00980A6E" w:rsidP="00FC7145">
            <w:pPr>
              <w:spacing w:before="40" w:after="40"/>
              <w:ind w:left="0"/>
              <w:rPr>
                <w:rFonts w:ascii="Arial Narrow" w:hAnsi="Arial Narrow"/>
                <w:sz w:val="18"/>
                <w:szCs w:val="18"/>
              </w:rPr>
            </w:pPr>
            <w:r>
              <w:rPr>
                <w:rFonts w:ascii="Arial Narrow" w:hAnsi="Arial Narrow"/>
                <w:sz w:val="18"/>
                <w:szCs w:val="18"/>
              </w:rPr>
              <w:tab/>
            </w:r>
            <w:r w:rsidR="00FC7145">
              <w:rPr>
                <w:rFonts w:ascii="Arial Narrow" w:hAnsi="Arial Narrow"/>
                <w:sz w:val="18"/>
                <w:szCs w:val="18"/>
              </w:rPr>
              <w:t>DHC</w:t>
            </w:r>
            <w:r w:rsidR="00720A65" w:rsidRPr="007B1695">
              <w:rPr>
                <w:rFonts w:ascii="Arial Narrow" w:hAnsi="Arial Narrow"/>
                <w:sz w:val="18"/>
                <w:szCs w:val="18"/>
              </w:rPr>
              <w:t xml:space="preserve"> true negative</w:t>
            </w:r>
          </w:p>
        </w:tc>
        <w:tc>
          <w:tcPr>
            <w:tcW w:w="4533" w:type="dxa"/>
            <w:shd w:val="clear" w:color="auto" w:fill="auto"/>
          </w:tcPr>
          <w:p w:rsidR="00720A65" w:rsidRPr="007B1695" w:rsidRDefault="00FC7145" w:rsidP="00B17417">
            <w:pPr>
              <w:spacing w:before="40" w:after="40"/>
              <w:ind w:left="0"/>
              <w:rPr>
                <w:rFonts w:ascii="Arial Narrow" w:hAnsi="Arial Narrow"/>
                <w:sz w:val="18"/>
                <w:szCs w:val="18"/>
              </w:rPr>
            </w:pPr>
            <w:r>
              <w:rPr>
                <w:rFonts w:ascii="Arial Narrow" w:hAnsi="Arial Narrow"/>
                <w:sz w:val="18"/>
                <w:szCs w:val="18"/>
              </w:rPr>
              <w:t>DHC</w:t>
            </w:r>
            <w:r w:rsidR="00720A65" w:rsidRPr="007B1695">
              <w:rPr>
                <w:rFonts w:ascii="Arial Narrow" w:hAnsi="Arial Narrow"/>
                <w:sz w:val="18"/>
                <w:szCs w:val="18"/>
              </w:rPr>
              <w:t xml:space="preserve"> arm only, number of true negative</w:t>
            </w:r>
          </w:p>
        </w:tc>
      </w:tr>
      <w:tr w:rsidR="00720A65" w:rsidRPr="00720A65" w:rsidTr="007B1695">
        <w:tc>
          <w:tcPr>
            <w:tcW w:w="3812" w:type="dxa"/>
            <w:shd w:val="clear" w:color="auto" w:fill="auto"/>
          </w:tcPr>
          <w:p w:rsidR="00720A65" w:rsidRPr="007B1695" w:rsidRDefault="00980A6E" w:rsidP="00FC7145">
            <w:pPr>
              <w:spacing w:before="40" w:after="40"/>
              <w:ind w:left="0"/>
              <w:rPr>
                <w:rFonts w:ascii="Arial Narrow" w:hAnsi="Arial Narrow"/>
                <w:sz w:val="18"/>
                <w:szCs w:val="18"/>
              </w:rPr>
            </w:pPr>
            <w:r>
              <w:rPr>
                <w:rFonts w:ascii="Arial Narrow" w:hAnsi="Arial Narrow"/>
                <w:sz w:val="18"/>
                <w:szCs w:val="18"/>
              </w:rPr>
              <w:tab/>
            </w:r>
            <w:r w:rsidR="00FC7145">
              <w:rPr>
                <w:rFonts w:ascii="Arial Narrow" w:hAnsi="Arial Narrow"/>
                <w:sz w:val="18"/>
                <w:szCs w:val="18"/>
              </w:rPr>
              <w:t>DHC</w:t>
            </w:r>
            <w:r w:rsidR="00720A65" w:rsidRPr="007B1695">
              <w:rPr>
                <w:rFonts w:ascii="Arial Narrow" w:hAnsi="Arial Narrow"/>
                <w:sz w:val="18"/>
                <w:szCs w:val="18"/>
              </w:rPr>
              <w:t xml:space="preserve"> false positive</w:t>
            </w:r>
          </w:p>
        </w:tc>
        <w:tc>
          <w:tcPr>
            <w:tcW w:w="4533" w:type="dxa"/>
            <w:shd w:val="clear" w:color="auto" w:fill="auto"/>
          </w:tcPr>
          <w:p w:rsidR="00720A65" w:rsidRPr="007B1695" w:rsidRDefault="00FC7145" w:rsidP="00B17417">
            <w:pPr>
              <w:spacing w:before="40" w:after="40"/>
              <w:ind w:left="0"/>
              <w:rPr>
                <w:rFonts w:ascii="Arial Narrow" w:hAnsi="Arial Narrow"/>
                <w:sz w:val="18"/>
                <w:szCs w:val="18"/>
              </w:rPr>
            </w:pPr>
            <w:r>
              <w:rPr>
                <w:rFonts w:ascii="Arial Narrow" w:hAnsi="Arial Narrow"/>
                <w:sz w:val="18"/>
                <w:szCs w:val="18"/>
              </w:rPr>
              <w:t>DHC</w:t>
            </w:r>
            <w:r w:rsidR="00720A65" w:rsidRPr="007B1695">
              <w:rPr>
                <w:rFonts w:ascii="Arial Narrow" w:hAnsi="Arial Narrow"/>
                <w:sz w:val="18"/>
                <w:szCs w:val="18"/>
              </w:rPr>
              <w:t xml:space="preserve"> arm only , number of false positives</w:t>
            </w:r>
          </w:p>
        </w:tc>
      </w:tr>
      <w:tr w:rsidR="00720A65" w:rsidRPr="00720A65" w:rsidTr="007B1695">
        <w:tc>
          <w:tcPr>
            <w:tcW w:w="3812" w:type="dxa"/>
            <w:shd w:val="clear" w:color="auto" w:fill="auto"/>
          </w:tcPr>
          <w:p w:rsidR="00720A65" w:rsidRPr="007B1695" w:rsidRDefault="00980A6E" w:rsidP="00B17417">
            <w:pPr>
              <w:spacing w:before="40" w:after="40"/>
              <w:ind w:left="0"/>
              <w:rPr>
                <w:rFonts w:ascii="Arial Narrow" w:hAnsi="Arial Narrow"/>
                <w:sz w:val="18"/>
                <w:szCs w:val="18"/>
              </w:rPr>
            </w:pPr>
            <w:r>
              <w:rPr>
                <w:rFonts w:ascii="Arial Narrow" w:hAnsi="Arial Narrow"/>
                <w:sz w:val="18"/>
                <w:szCs w:val="18"/>
              </w:rPr>
              <w:tab/>
            </w:r>
            <w:r w:rsidR="00FC7145">
              <w:rPr>
                <w:rFonts w:ascii="Arial Narrow" w:hAnsi="Arial Narrow"/>
                <w:sz w:val="18"/>
                <w:szCs w:val="18"/>
              </w:rPr>
              <w:t>DHC</w:t>
            </w:r>
            <w:r w:rsidR="00720A65" w:rsidRPr="007B1695">
              <w:rPr>
                <w:rFonts w:ascii="Arial Narrow" w:hAnsi="Arial Narrow"/>
                <w:sz w:val="18"/>
                <w:szCs w:val="18"/>
              </w:rPr>
              <w:t xml:space="preserve"> false negative</w:t>
            </w:r>
          </w:p>
        </w:tc>
        <w:tc>
          <w:tcPr>
            <w:tcW w:w="4533" w:type="dxa"/>
            <w:shd w:val="clear" w:color="auto" w:fill="auto"/>
          </w:tcPr>
          <w:p w:rsidR="00720A65" w:rsidRPr="007B1695" w:rsidRDefault="00FC7145" w:rsidP="00B17417">
            <w:pPr>
              <w:spacing w:before="40" w:after="40"/>
              <w:ind w:left="0"/>
              <w:rPr>
                <w:rFonts w:ascii="Arial Narrow" w:hAnsi="Arial Narrow"/>
                <w:sz w:val="18"/>
                <w:szCs w:val="18"/>
              </w:rPr>
            </w:pPr>
            <w:r>
              <w:rPr>
                <w:rFonts w:ascii="Arial Narrow" w:hAnsi="Arial Narrow"/>
                <w:sz w:val="18"/>
                <w:szCs w:val="18"/>
              </w:rPr>
              <w:t>DHC</w:t>
            </w:r>
            <w:r w:rsidR="00720A65" w:rsidRPr="007B1695">
              <w:rPr>
                <w:rFonts w:ascii="Arial Narrow" w:hAnsi="Arial Narrow"/>
                <w:sz w:val="18"/>
                <w:szCs w:val="18"/>
              </w:rPr>
              <w:t xml:space="preserve"> arm only, number of false negative</w:t>
            </w:r>
          </w:p>
        </w:tc>
      </w:tr>
    </w:tbl>
    <w:p w:rsidR="00720A65" w:rsidRDefault="00720A65" w:rsidP="00720A65"/>
    <w:p w:rsidR="00720A65" w:rsidRDefault="00720A65" w:rsidP="00720A65">
      <w:r w:rsidRPr="00720A65">
        <w:t>The time horizon was limited to one year as the force of infection is assumed constant within the model and no allowance has been made for population growth</w:t>
      </w:r>
      <w:r>
        <w:t>.</w:t>
      </w:r>
    </w:p>
    <w:p w:rsidR="00720A65" w:rsidRDefault="00720A65" w:rsidP="00720A65">
      <w:pPr>
        <w:sectPr w:rsidR="00720A65" w:rsidSect="00957FC8">
          <w:footerReference w:type="even" r:id="rId33"/>
          <w:type w:val="oddPage"/>
          <w:pgSz w:w="11906" w:h="16838"/>
          <w:pgMar w:top="1440" w:right="1440" w:bottom="1440" w:left="1440" w:header="720" w:footer="720" w:gutter="0"/>
          <w:paperSrc w:first="7" w:other="7"/>
          <w:cols w:space="720"/>
        </w:sectPr>
      </w:pPr>
      <w:r w:rsidRPr="00720A65">
        <w:t>.</w:t>
      </w:r>
    </w:p>
    <w:p w:rsidR="00720A65" w:rsidRPr="00720A65" w:rsidRDefault="00B17417" w:rsidP="00720A65">
      <w:pPr>
        <w:rPr>
          <w:rStyle w:val="TableNameChar"/>
        </w:rPr>
      </w:pPr>
      <w:r>
        <w:rPr>
          <w:noProof/>
        </w:rPr>
        <w:lastRenderedPageBreak/>
        <w:drawing>
          <wp:inline distT="0" distB="0" distL="0" distR="0" wp14:anchorId="6DCA93A8" wp14:editId="0F8F8F37">
            <wp:extent cx="8356821" cy="5262438"/>
            <wp:effectExtent l="0" t="0" r="6350" b="0"/>
            <wp:docPr id="96" name="Picture 96" descr="Figure 6 Structure of the modelled economic evaluation 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onash.edu\home\User057\pghijben\Desktop\rrr.t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70693" cy="5271173"/>
                    </a:xfrm>
                    <a:prstGeom prst="rect">
                      <a:avLst/>
                    </a:prstGeom>
                    <a:noFill/>
                    <a:ln>
                      <a:noFill/>
                    </a:ln>
                  </pic:spPr>
                </pic:pic>
              </a:graphicData>
            </a:graphic>
          </wp:inline>
        </w:drawing>
      </w:r>
    </w:p>
    <w:p w:rsidR="00720A65" w:rsidRDefault="00720A65" w:rsidP="00980A6E">
      <w:pPr>
        <w:pStyle w:val="Caption"/>
      </w:pPr>
      <w:bookmarkStart w:id="143" w:name="_Toc415103444"/>
      <w:bookmarkStart w:id="144" w:name="_Toc415107321"/>
      <w:bookmarkStart w:id="145" w:name="_Toc418225013"/>
      <w:bookmarkStart w:id="146" w:name="_Toc418225659"/>
      <w:r w:rsidRPr="00980A6E">
        <w:t xml:space="preserve">Figure </w:t>
      </w:r>
      <w:r w:rsidR="00980A6E" w:rsidRPr="00980A6E">
        <w:t>6</w:t>
      </w:r>
      <w:r w:rsidRPr="00980A6E">
        <w:tab/>
      </w:r>
      <w:r w:rsidR="00980A6E" w:rsidRPr="00980A6E">
        <w:t>Structure</w:t>
      </w:r>
      <w:r w:rsidR="00980A6E">
        <w:t xml:space="preserve"> of the modelled economic evaluation</w:t>
      </w:r>
      <w:bookmarkEnd w:id="143"/>
      <w:bookmarkEnd w:id="144"/>
      <w:bookmarkEnd w:id="145"/>
      <w:bookmarkEnd w:id="146"/>
    </w:p>
    <w:p w:rsidR="00720A65" w:rsidRDefault="00720A65" w:rsidP="00720A65">
      <w:pPr>
        <w:pStyle w:val="TableName"/>
        <w:sectPr w:rsidR="00720A65" w:rsidSect="00720A65">
          <w:pgSz w:w="16838" w:h="11906" w:orient="landscape"/>
          <w:pgMar w:top="1440" w:right="1440" w:bottom="1440" w:left="1440" w:header="720" w:footer="720" w:gutter="0"/>
          <w:paperSrc w:first="7" w:other="7"/>
          <w:cols w:space="720"/>
          <w:docGrid w:linePitch="326"/>
        </w:sectPr>
      </w:pPr>
    </w:p>
    <w:p w:rsidR="003B60CD" w:rsidRDefault="003B60CD" w:rsidP="00026CEB">
      <w:pPr>
        <w:pStyle w:val="Heading4"/>
      </w:pPr>
      <w:r>
        <w:lastRenderedPageBreak/>
        <w:t>Summary of the economic evaluation</w:t>
      </w:r>
    </w:p>
    <w:p w:rsidR="003B60CD" w:rsidRPr="006F3D8F" w:rsidRDefault="003B60CD" w:rsidP="003B60CD">
      <w:r w:rsidRPr="006F3D8F">
        <w:t>Table 19 summarises the modelled economic evaluation.</w:t>
      </w:r>
    </w:p>
    <w:p w:rsidR="003B60CD" w:rsidRDefault="003B60CD" w:rsidP="003B60CD">
      <w:pPr>
        <w:pStyle w:val="Caption"/>
      </w:pPr>
      <w:bookmarkStart w:id="147" w:name="_Toc415103524"/>
      <w:bookmarkStart w:id="148" w:name="_Toc418225014"/>
      <w:bookmarkStart w:id="149" w:name="_Toc418225660"/>
      <w:r w:rsidRPr="006F3D8F">
        <w:t>Table 19</w:t>
      </w:r>
      <w:r w:rsidRPr="006F3D8F">
        <w:tab/>
        <w:t>Summary of the</w:t>
      </w:r>
      <w:r>
        <w:t xml:space="preserve"> economic evaluation</w:t>
      </w:r>
      <w:bookmarkEnd w:id="147"/>
      <w:bookmarkEnd w:id="148"/>
      <w:bookmarkEnd w:id="149"/>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the economic evaluation"/>
        <w:tblDescription w:val="Summary of the key aspects of the modelled economic evaluation"/>
      </w:tblPr>
      <w:tblGrid>
        <w:gridCol w:w="3812"/>
        <w:gridCol w:w="4533"/>
      </w:tblGrid>
      <w:tr w:rsidR="003B60CD" w:rsidRPr="00720A65" w:rsidTr="000D423C">
        <w:tc>
          <w:tcPr>
            <w:tcW w:w="3812" w:type="dxa"/>
            <w:shd w:val="clear" w:color="auto" w:fill="auto"/>
          </w:tcPr>
          <w:p w:rsidR="003B60CD" w:rsidRPr="007B1695" w:rsidRDefault="003B60CD" w:rsidP="000D423C">
            <w:pPr>
              <w:spacing w:before="40" w:after="40"/>
              <w:ind w:hanging="720"/>
              <w:rPr>
                <w:rFonts w:ascii="Arial Narrow" w:hAnsi="Arial Narrow"/>
                <w:sz w:val="18"/>
              </w:rPr>
            </w:pPr>
            <w:r w:rsidRPr="007B1695">
              <w:rPr>
                <w:rFonts w:ascii="Arial Narrow" w:hAnsi="Arial Narrow"/>
                <w:sz w:val="18"/>
              </w:rPr>
              <w:t>Time horizon</w:t>
            </w:r>
          </w:p>
        </w:tc>
        <w:tc>
          <w:tcPr>
            <w:tcW w:w="4533" w:type="dxa"/>
            <w:shd w:val="clear" w:color="auto" w:fill="auto"/>
          </w:tcPr>
          <w:p w:rsidR="003B60CD" w:rsidRPr="007B1695" w:rsidRDefault="003B60CD" w:rsidP="000D423C">
            <w:pPr>
              <w:spacing w:before="40" w:after="40"/>
              <w:ind w:hanging="720"/>
              <w:rPr>
                <w:rFonts w:ascii="Arial Narrow" w:hAnsi="Arial Narrow"/>
                <w:sz w:val="18"/>
              </w:rPr>
            </w:pPr>
            <w:r w:rsidRPr="007B1695">
              <w:rPr>
                <w:rFonts w:ascii="Arial Narrow" w:hAnsi="Arial Narrow"/>
                <w:sz w:val="18"/>
              </w:rPr>
              <w:t>One year</w:t>
            </w:r>
          </w:p>
        </w:tc>
      </w:tr>
      <w:tr w:rsidR="003B60CD" w:rsidRPr="00720A65" w:rsidTr="000D423C">
        <w:tc>
          <w:tcPr>
            <w:tcW w:w="3812" w:type="dxa"/>
            <w:shd w:val="clear" w:color="auto" w:fill="auto"/>
          </w:tcPr>
          <w:p w:rsidR="003B60CD" w:rsidRPr="007B1695" w:rsidRDefault="003B60CD" w:rsidP="000D423C">
            <w:pPr>
              <w:spacing w:before="40" w:after="40"/>
              <w:ind w:hanging="720"/>
              <w:rPr>
                <w:rFonts w:ascii="Arial Narrow" w:hAnsi="Arial Narrow"/>
                <w:sz w:val="18"/>
              </w:rPr>
            </w:pPr>
            <w:r w:rsidRPr="007B1695">
              <w:rPr>
                <w:rFonts w:ascii="Arial Narrow" w:hAnsi="Arial Narrow"/>
                <w:sz w:val="18"/>
              </w:rPr>
              <w:t>Outcomes</w:t>
            </w:r>
          </w:p>
        </w:tc>
        <w:tc>
          <w:tcPr>
            <w:tcW w:w="4533" w:type="dxa"/>
            <w:shd w:val="clear" w:color="auto" w:fill="auto"/>
          </w:tcPr>
          <w:p w:rsidR="003B60CD" w:rsidRPr="007B1695" w:rsidRDefault="003B60CD" w:rsidP="000D423C">
            <w:pPr>
              <w:spacing w:before="40" w:after="40"/>
              <w:ind w:hanging="720"/>
              <w:rPr>
                <w:rFonts w:ascii="Arial Narrow" w:hAnsi="Arial Narrow"/>
                <w:sz w:val="18"/>
              </w:rPr>
            </w:pPr>
            <w:r w:rsidRPr="007B1695">
              <w:rPr>
                <w:rFonts w:ascii="Arial Narrow" w:hAnsi="Arial Narrow"/>
                <w:sz w:val="18"/>
              </w:rPr>
              <w:t xml:space="preserve">(see Table </w:t>
            </w:r>
            <w:r>
              <w:rPr>
                <w:rFonts w:ascii="Arial Narrow" w:hAnsi="Arial Narrow"/>
                <w:sz w:val="18"/>
              </w:rPr>
              <w:t>18</w:t>
            </w:r>
            <w:r w:rsidRPr="007B1695">
              <w:rPr>
                <w:rFonts w:ascii="Arial Narrow" w:hAnsi="Arial Narrow"/>
                <w:sz w:val="18"/>
              </w:rPr>
              <w:t xml:space="preserve"> above)</w:t>
            </w:r>
          </w:p>
        </w:tc>
      </w:tr>
      <w:tr w:rsidR="003B60CD" w:rsidRPr="00720A65" w:rsidTr="000D423C">
        <w:tc>
          <w:tcPr>
            <w:tcW w:w="3812" w:type="dxa"/>
            <w:shd w:val="clear" w:color="auto" w:fill="auto"/>
          </w:tcPr>
          <w:p w:rsidR="003B60CD" w:rsidRPr="007B1695" w:rsidRDefault="003B60CD" w:rsidP="000D423C">
            <w:pPr>
              <w:spacing w:before="40" w:after="40"/>
              <w:ind w:hanging="720"/>
              <w:rPr>
                <w:rFonts w:ascii="Arial Narrow" w:hAnsi="Arial Narrow"/>
                <w:sz w:val="18"/>
              </w:rPr>
            </w:pPr>
            <w:r w:rsidRPr="007B1695">
              <w:rPr>
                <w:rFonts w:ascii="Arial Narrow" w:hAnsi="Arial Narrow"/>
                <w:sz w:val="18"/>
              </w:rPr>
              <w:t>Methods used to generate results</w:t>
            </w:r>
          </w:p>
        </w:tc>
        <w:tc>
          <w:tcPr>
            <w:tcW w:w="4533" w:type="dxa"/>
            <w:shd w:val="clear" w:color="auto" w:fill="auto"/>
          </w:tcPr>
          <w:p w:rsidR="003B60CD" w:rsidRPr="007B1695" w:rsidRDefault="003B60CD" w:rsidP="000D423C">
            <w:pPr>
              <w:spacing w:before="40" w:after="40"/>
              <w:ind w:hanging="720"/>
              <w:rPr>
                <w:rFonts w:ascii="Arial Narrow" w:hAnsi="Arial Narrow"/>
                <w:sz w:val="18"/>
              </w:rPr>
            </w:pPr>
            <w:r w:rsidRPr="007B1695">
              <w:rPr>
                <w:rFonts w:ascii="Arial Narrow" w:hAnsi="Arial Narrow"/>
                <w:sz w:val="18"/>
              </w:rPr>
              <w:t>Monte Carlo simulation</w:t>
            </w:r>
          </w:p>
        </w:tc>
      </w:tr>
      <w:tr w:rsidR="003B60CD" w:rsidRPr="00720A65" w:rsidTr="000D423C">
        <w:tc>
          <w:tcPr>
            <w:tcW w:w="3812" w:type="dxa"/>
            <w:shd w:val="clear" w:color="auto" w:fill="auto"/>
          </w:tcPr>
          <w:p w:rsidR="003B60CD" w:rsidRPr="007B1695" w:rsidRDefault="003B60CD" w:rsidP="000D423C">
            <w:pPr>
              <w:spacing w:before="40" w:after="40"/>
              <w:ind w:hanging="720"/>
              <w:rPr>
                <w:rFonts w:ascii="Arial Narrow" w:hAnsi="Arial Narrow"/>
                <w:sz w:val="18"/>
              </w:rPr>
            </w:pPr>
            <w:r w:rsidRPr="007B1695">
              <w:rPr>
                <w:rFonts w:ascii="Arial Narrow" w:hAnsi="Arial Narrow"/>
                <w:sz w:val="18"/>
              </w:rPr>
              <w:t>Cycle length</w:t>
            </w:r>
          </w:p>
        </w:tc>
        <w:tc>
          <w:tcPr>
            <w:tcW w:w="4533" w:type="dxa"/>
            <w:shd w:val="clear" w:color="auto" w:fill="auto"/>
          </w:tcPr>
          <w:p w:rsidR="003B60CD" w:rsidRPr="007B1695" w:rsidRDefault="003B60CD" w:rsidP="000D423C">
            <w:pPr>
              <w:spacing w:before="40" w:after="40"/>
              <w:ind w:hanging="720"/>
              <w:rPr>
                <w:rFonts w:ascii="Arial Narrow" w:hAnsi="Arial Narrow"/>
                <w:sz w:val="18"/>
              </w:rPr>
            </w:pPr>
            <w:r w:rsidRPr="007B1695">
              <w:rPr>
                <w:rFonts w:ascii="Arial Narrow" w:hAnsi="Arial Narrow"/>
                <w:sz w:val="18"/>
              </w:rPr>
              <w:t>3 months</w:t>
            </w:r>
          </w:p>
        </w:tc>
      </w:tr>
      <w:tr w:rsidR="003B60CD" w:rsidRPr="00720A65" w:rsidTr="000D423C">
        <w:tc>
          <w:tcPr>
            <w:tcW w:w="3812" w:type="dxa"/>
            <w:shd w:val="clear" w:color="auto" w:fill="auto"/>
          </w:tcPr>
          <w:p w:rsidR="003B60CD" w:rsidRPr="00475249" w:rsidRDefault="003B60CD" w:rsidP="000D423C">
            <w:pPr>
              <w:spacing w:before="40" w:after="40"/>
              <w:ind w:hanging="720"/>
              <w:rPr>
                <w:rFonts w:ascii="Arial Narrow" w:hAnsi="Arial Narrow"/>
                <w:sz w:val="18"/>
              </w:rPr>
            </w:pPr>
            <w:r w:rsidRPr="00475249">
              <w:rPr>
                <w:rFonts w:ascii="Arial Narrow" w:hAnsi="Arial Narrow"/>
                <w:sz w:val="18"/>
              </w:rPr>
              <w:t>Transition probabilities</w:t>
            </w:r>
          </w:p>
        </w:tc>
        <w:tc>
          <w:tcPr>
            <w:tcW w:w="4533" w:type="dxa"/>
            <w:shd w:val="clear" w:color="auto" w:fill="auto"/>
          </w:tcPr>
          <w:p w:rsidR="003B60CD" w:rsidRPr="00475249" w:rsidRDefault="003B60CD" w:rsidP="000D423C">
            <w:pPr>
              <w:spacing w:before="40" w:after="40"/>
              <w:ind w:hanging="720"/>
              <w:rPr>
                <w:rFonts w:ascii="Arial Narrow" w:hAnsi="Arial Narrow"/>
                <w:sz w:val="18"/>
              </w:rPr>
            </w:pPr>
            <w:r w:rsidRPr="00475249">
              <w:rPr>
                <w:rFonts w:ascii="Arial Narrow" w:hAnsi="Arial Narrow"/>
                <w:sz w:val="18"/>
              </w:rPr>
              <w:t>(see Table 21 below)</w:t>
            </w:r>
          </w:p>
        </w:tc>
      </w:tr>
      <w:tr w:rsidR="003B60CD" w:rsidRPr="00720A65" w:rsidTr="000D423C">
        <w:tc>
          <w:tcPr>
            <w:tcW w:w="3812" w:type="dxa"/>
            <w:shd w:val="clear" w:color="auto" w:fill="auto"/>
          </w:tcPr>
          <w:p w:rsidR="003B60CD" w:rsidRPr="007B1695" w:rsidRDefault="003B60CD" w:rsidP="000D423C">
            <w:pPr>
              <w:spacing w:before="40" w:after="40"/>
              <w:ind w:hanging="720"/>
              <w:rPr>
                <w:rFonts w:ascii="Arial Narrow" w:hAnsi="Arial Narrow"/>
                <w:sz w:val="18"/>
              </w:rPr>
            </w:pPr>
            <w:r w:rsidRPr="007B1695">
              <w:rPr>
                <w:rFonts w:ascii="Arial Narrow" w:hAnsi="Arial Narrow"/>
                <w:sz w:val="18"/>
              </w:rPr>
              <w:t>Discount rate</w:t>
            </w:r>
          </w:p>
        </w:tc>
        <w:tc>
          <w:tcPr>
            <w:tcW w:w="4533" w:type="dxa"/>
            <w:shd w:val="clear" w:color="auto" w:fill="auto"/>
          </w:tcPr>
          <w:p w:rsidR="003B60CD" w:rsidRPr="007B1695" w:rsidRDefault="003B60CD" w:rsidP="000D423C">
            <w:pPr>
              <w:spacing w:before="40" w:after="40"/>
              <w:ind w:hanging="720"/>
              <w:rPr>
                <w:rFonts w:ascii="Arial Narrow" w:hAnsi="Arial Narrow"/>
                <w:sz w:val="18"/>
              </w:rPr>
            </w:pPr>
            <w:r w:rsidRPr="007B1695">
              <w:rPr>
                <w:rFonts w:ascii="Arial Narrow" w:hAnsi="Arial Narrow"/>
                <w:sz w:val="18"/>
              </w:rPr>
              <w:t>N/A for one year time horizon</w:t>
            </w:r>
          </w:p>
        </w:tc>
      </w:tr>
      <w:tr w:rsidR="003B60CD" w:rsidRPr="00720A65" w:rsidTr="000D423C">
        <w:tc>
          <w:tcPr>
            <w:tcW w:w="3812" w:type="dxa"/>
            <w:shd w:val="clear" w:color="auto" w:fill="auto"/>
          </w:tcPr>
          <w:p w:rsidR="003B60CD" w:rsidRPr="007B1695" w:rsidRDefault="003B60CD" w:rsidP="000D423C">
            <w:pPr>
              <w:spacing w:before="40" w:after="40"/>
              <w:ind w:hanging="720"/>
              <w:rPr>
                <w:rFonts w:ascii="Arial Narrow" w:hAnsi="Arial Narrow"/>
                <w:sz w:val="18"/>
              </w:rPr>
            </w:pPr>
            <w:r w:rsidRPr="007B1695">
              <w:rPr>
                <w:rFonts w:ascii="Arial Narrow" w:hAnsi="Arial Narrow"/>
                <w:sz w:val="18"/>
              </w:rPr>
              <w:t>Software package</w:t>
            </w:r>
          </w:p>
        </w:tc>
        <w:tc>
          <w:tcPr>
            <w:tcW w:w="4533" w:type="dxa"/>
            <w:shd w:val="clear" w:color="auto" w:fill="auto"/>
          </w:tcPr>
          <w:p w:rsidR="003B60CD" w:rsidRPr="007B1695" w:rsidRDefault="003B60CD" w:rsidP="000D423C">
            <w:pPr>
              <w:spacing w:before="40" w:after="40"/>
              <w:ind w:hanging="720"/>
              <w:rPr>
                <w:rFonts w:ascii="Arial Narrow" w:hAnsi="Arial Narrow"/>
                <w:sz w:val="18"/>
              </w:rPr>
            </w:pPr>
            <w:proofErr w:type="spellStart"/>
            <w:r w:rsidRPr="007B1695">
              <w:rPr>
                <w:rFonts w:ascii="Arial Narrow" w:hAnsi="Arial Narrow"/>
                <w:sz w:val="18"/>
              </w:rPr>
              <w:t>TreeAge</w:t>
            </w:r>
            <w:proofErr w:type="spellEnd"/>
            <w:r w:rsidRPr="007B1695">
              <w:rPr>
                <w:rFonts w:ascii="Arial Narrow" w:hAnsi="Arial Narrow"/>
                <w:sz w:val="18"/>
              </w:rPr>
              <w:t xml:space="preserve"> Pro 2015</w:t>
            </w:r>
          </w:p>
        </w:tc>
      </w:tr>
    </w:tbl>
    <w:p w:rsidR="003B60CD" w:rsidRDefault="003B60CD" w:rsidP="00187F45">
      <w:pPr>
        <w:rPr>
          <w:b/>
        </w:rPr>
      </w:pPr>
    </w:p>
    <w:p w:rsidR="00187F45" w:rsidRDefault="00187F45" w:rsidP="00026CEB">
      <w:pPr>
        <w:pStyle w:val="Heading4"/>
      </w:pPr>
      <w:r w:rsidRPr="00187F45">
        <w:t xml:space="preserve">Inputs into the modelled economic evaluation </w:t>
      </w:r>
    </w:p>
    <w:p w:rsidR="00187F45" w:rsidRPr="00026CEB" w:rsidRDefault="00187F45" w:rsidP="00026CEB">
      <w:pPr>
        <w:pStyle w:val="Heading5"/>
      </w:pPr>
      <w:r w:rsidRPr="00026CEB">
        <w:t>Population characteristics</w:t>
      </w:r>
    </w:p>
    <w:p w:rsidR="00187F45" w:rsidRPr="00026CEB" w:rsidRDefault="00187F45" w:rsidP="00026CEB">
      <w:pPr>
        <w:pStyle w:val="Heading6"/>
      </w:pPr>
      <w:r w:rsidRPr="00026CEB">
        <w:t>Disease Status</w:t>
      </w:r>
    </w:p>
    <w:p w:rsidR="00187F45" w:rsidRDefault="00187F45" w:rsidP="00187F45">
      <w:r>
        <w:t xml:space="preserve">The modelled population is the Australian population of MSM without a diagnosis of HIV, and includes individuals who are HIV seronegative, seroconverting (defined in the model as HIV infected within past </w:t>
      </w:r>
      <w:r w:rsidR="006F3D8F">
        <w:t>three</w:t>
      </w:r>
      <w:r>
        <w:t xml:space="preserve"> months) or seropositive.  The probability of commencing the model in each of these health states were calculated in a step-wise fashion, using estimates predominately reported in two Australian HIV surveillance reports published by the Kirby Institute (2014a, 2014b).</w:t>
      </w:r>
    </w:p>
    <w:p w:rsidR="00187F45" w:rsidRDefault="00187F45" w:rsidP="00DD75C7">
      <w:r>
        <w:t>The total MSM population in Australia is estimated by the Kirby Institute to be between 180,000 to 200,000 (Kirby 2014</w:t>
      </w:r>
      <w:r w:rsidR="0050272C">
        <w:t>b</w:t>
      </w:r>
      <w:r w:rsidR="006F3D8F">
        <w:t>); t</w:t>
      </w:r>
      <w:r>
        <w:t xml:space="preserve">he mid-point of 190,000 is assumed for the following calculations.  </w:t>
      </w:r>
      <w:r w:rsidR="00DB47FD">
        <w:t xml:space="preserve">An estimate of 190,000 </w:t>
      </w:r>
      <w:r>
        <w:t xml:space="preserve">is consistent with the estimate of 182,624 in 2001 reported by </w:t>
      </w:r>
      <w:proofErr w:type="spellStart"/>
      <w:r w:rsidRPr="00DB47FD">
        <w:t>Prestage</w:t>
      </w:r>
      <w:proofErr w:type="spellEnd"/>
      <w:r w:rsidRPr="00DB47FD">
        <w:t xml:space="preserve"> </w:t>
      </w:r>
      <w:r w:rsidR="003B60CD">
        <w:t>(</w:t>
      </w:r>
      <w:r w:rsidRPr="00DB47FD">
        <w:t>2008</w:t>
      </w:r>
      <w:r w:rsidR="003B60CD">
        <w:t>)</w:t>
      </w:r>
      <w:r w:rsidRPr="00DB47FD">
        <w:t>,</w:t>
      </w:r>
      <w:r>
        <w:t xml:space="preserve"> based on aggregated survey data.  As there were 7,562,960 Australian males aged over 15 years in 2014, the estimate impl</w:t>
      </w:r>
      <w:r w:rsidR="00DB47FD">
        <w:t>ies</w:t>
      </w:r>
      <w:r>
        <w:t xml:space="preserve"> approximately 2.4 to 2.6% of the male Australian population are </w:t>
      </w:r>
      <w:r w:rsidRPr="00DB47FD">
        <w:t>MSM (ABS statistics website).</w:t>
      </w:r>
      <w:r>
        <w:t xml:space="preserve">  This is consistent with an Australian population survey conducted in 2003 which reported 2.5% of the 9475 men aged 16 to 59 surveyed identified as either homosexual (154) or bisexual (89).  </w:t>
      </w:r>
    </w:p>
    <w:p w:rsidR="00187F45" w:rsidRDefault="00187F45" w:rsidP="00187F45">
      <w:r>
        <w:t>The number of Australians living with diagnosed and undiagnosed HIV is estimated by the Kirby Institute to be 26,800 (</w:t>
      </w:r>
      <w:r w:rsidR="007D703C">
        <w:t xml:space="preserve">plausible </w:t>
      </w:r>
      <w:r>
        <w:t>range: 24,500 to 30,900) with 70-75% of infections due to male homosexual contact (Kirby Institute 2014</w:t>
      </w:r>
      <w:r w:rsidR="00BB3B69">
        <w:t>b</w:t>
      </w:r>
      <w:r>
        <w:t>).  The number of MSM living with HIV is therefore approximately 19,430 (range: 17,150 to 23,175).  This is consistent with an estimate of 19,000 (range: 14,400 to 24,000) calculated using the total MSM population and an estimated HIV prevalence in MSM of 8-12% (Kirby Institute 2014</w:t>
      </w:r>
      <w:r w:rsidR="00BB3B69">
        <w:t>b</w:t>
      </w:r>
      <w:r>
        <w:t xml:space="preserve">).  </w:t>
      </w:r>
      <w:r w:rsidRPr="00DB47FD">
        <w:t xml:space="preserve">Both estimates are consistent with those reported by Wand (2010) and </w:t>
      </w:r>
      <w:proofErr w:type="spellStart"/>
      <w:r w:rsidRPr="00DB47FD">
        <w:t>Mallitt</w:t>
      </w:r>
      <w:proofErr w:type="spellEnd"/>
      <w:r w:rsidRPr="00DB47FD">
        <w:t xml:space="preserve"> (2012) using back projections for 2006, 19,689 and 26,232</w:t>
      </w:r>
      <w:r>
        <w:t xml:space="preserve"> (95%CI: 17,923 to 34,205) respectively.</w:t>
      </w:r>
    </w:p>
    <w:p w:rsidR="00187F45" w:rsidRDefault="00187F45" w:rsidP="00BB3B69">
      <w:r>
        <w:t>The number of Australians living with diagnosed HIV is estimated by the Kirby Institute to be 23,100 (range: 21,800 to 24,400) (</w:t>
      </w:r>
      <w:r w:rsidR="00BB3B69">
        <w:t xml:space="preserve">Kirby </w:t>
      </w:r>
      <w:r>
        <w:t>2014</w:t>
      </w:r>
      <w:r w:rsidR="00BB3B69">
        <w:t>b</w:t>
      </w:r>
      <w:r>
        <w:t>), which implies 3</w:t>
      </w:r>
      <w:r w:rsidR="003B60CD">
        <w:t>,</w:t>
      </w:r>
      <w:r>
        <w:t>700 (range: 2</w:t>
      </w:r>
      <w:r w:rsidR="003B60CD">
        <w:t>,</w:t>
      </w:r>
      <w:r>
        <w:t>700 to 6</w:t>
      </w:r>
      <w:r w:rsidR="003B60CD">
        <w:t>,</w:t>
      </w:r>
      <w:r>
        <w:t>500) cases are undiagnosed.  Based on the estimated number of infections due to male homosexual contact of 70-75% (mid-point 72.5%), there are approximately 2</w:t>
      </w:r>
      <w:r w:rsidR="003B60CD">
        <w:t>,</w:t>
      </w:r>
      <w:r>
        <w:t xml:space="preserve">683 </w:t>
      </w:r>
      <w:r>
        <w:lastRenderedPageBreak/>
        <w:t>MSM living with undiagnosed HIV.  This is consistent with an estimate of 2</w:t>
      </w:r>
      <w:r w:rsidR="003B60CD">
        <w:t>,</w:t>
      </w:r>
      <w:r>
        <w:t xml:space="preserve">720 calculated using the estimated the total number of MSM with diagnosed and undiagnosed HIV of 19,430 and the estimated percentage of total undiagnosed cases of 14% (Kirby Institute </w:t>
      </w:r>
      <w:r w:rsidR="00BB3B69">
        <w:t>2014b</w:t>
      </w:r>
      <w:r>
        <w:t xml:space="preserve">).  Both estimates are consistent with those reported by Wand (2010) and </w:t>
      </w:r>
      <w:proofErr w:type="spellStart"/>
      <w:r>
        <w:t>Mallitt</w:t>
      </w:r>
      <w:proofErr w:type="spellEnd"/>
      <w:r>
        <w:t xml:space="preserve"> (2012) for 2006, 2</w:t>
      </w:r>
      <w:r w:rsidR="003B60CD">
        <w:t>,</w:t>
      </w:r>
      <w:r>
        <w:t>560 or 13% (95%CI: 12</w:t>
      </w:r>
      <w:r w:rsidR="007D703C">
        <w:t xml:space="preserve">, </w:t>
      </w:r>
      <w:r>
        <w:t>14%) undiagnosed and 3</w:t>
      </w:r>
      <w:r w:rsidR="003B60CD">
        <w:t>,</w:t>
      </w:r>
      <w:r>
        <w:t>148 or 12% undiagnosed respectively.</w:t>
      </w:r>
    </w:p>
    <w:p w:rsidR="00187F45" w:rsidRDefault="00187F45" w:rsidP="00187F45">
      <w:r>
        <w:t>Three sources were identified to estimate HIV incident population in MSM.  The number of newly detected HIV cases in 2013 was 1,236, with 350 newly acquired within the past 12 months of which 85% were in MSM (Kirby Institute</w:t>
      </w:r>
      <w:r w:rsidR="00334595">
        <w:t xml:space="preserve"> </w:t>
      </w:r>
      <w:r>
        <w:t>2014</w:t>
      </w:r>
      <w:r w:rsidR="00BB3B69">
        <w:t>a</w:t>
      </w:r>
      <w:r>
        <w:t>).  Therefore the number of MSM with newly acquired and detected HIV was 308.  This value could be used to estimate a lower bound for the incident population.  Alternatively, the rate of infection estimated in a cohort of homosexual men in Sydney between 2001 and 2004 was estimated to be 0.87 per 100 person years, which translates into 1</w:t>
      </w:r>
      <w:r w:rsidR="003B60CD">
        <w:t>,</w:t>
      </w:r>
      <w:r>
        <w:t>481 incident infections (</w:t>
      </w:r>
      <w:proofErr w:type="spellStart"/>
      <w:r>
        <w:t>Jin</w:t>
      </w:r>
      <w:proofErr w:type="spellEnd"/>
      <w:r>
        <w:t xml:space="preserve"> 200</w:t>
      </w:r>
      <w:r w:rsidR="003B60CD">
        <w:t>8</w:t>
      </w:r>
      <w:r>
        <w:t xml:space="preserve">).  Another analysis based on CD4 </w:t>
      </w:r>
      <w:r w:rsidR="008360C6">
        <w:t xml:space="preserve">positive </w:t>
      </w:r>
      <w:r>
        <w:t>count at diagnosis estimated that there are approximately 1</w:t>
      </w:r>
      <w:r w:rsidR="003B60CD">
        <w:t>,</w:t>
      </w:r>
      <w:r>
        <w:t xml:space="preserve">000 incident HIV cases in MSM per year (Wilson </w:t>
      </w:r>
      <w:r w:rsidR="00BB3B69">
        <w:t xml:space="preserve">2011 </w:t>
      </w:r>
      <w:r>
        <w:t>presentation</w:t>
      </w:r>
      <w:r w:rsidR="00BB3B69">
        <w:t xml:space="preserve"> slides “Undiagnosed HIV in Australia”</w:t>
      </w:r>
      <w:r>
        <w:t>).  Therefore, of the estimated 2</w:t>
      </w:r>
      <w:r w:rsidR="003B60CD">
        <w:t>,</w:t>
      </w:r>
      <w:r>
        <w:t>720 HIV prevalent MSM population, 1</w:t>
      </w:r>
      <w:r w:rsidR="003B60CD">
        <w:t>,</w:t>
      </w:r>
      <w:r>
        <w:t>000 are incident cases.  This estimate is used for the base case analysis.</w:t>
      </w:r>
    </w:p>
    <w:p w:rsidR="00187F45" w:rsidRPr="00187F45" w:rsidRDefault="00187F45" w:rsidP="00187F45">
      <w:r>
        <w:t xml:space="preserve">Based on these calculations the total MSM population without a diagnosis of HIV is estimated to be 173,720.  Of these, 171,000 (98.43%) are estimated to be “seronegative”, 250 (0.14%) are estimated to be “seroconverting” defined as incident cases in </w:t>
      </w:r>
      <w:r w:rsidR="00334595">
        <w:t>three</w:t>
      </w:r>
      <w:r>
        <w:t xml:space="preserve"> months, and 2</w:t>
      </w:r>
      <w:r w:rsidR="003B60CD">
        <w:t>,</w:t>
      </w:r>
      <w:r>
        <w:t xml:space="preserve">470 (1.42%) are estimate to be “seropositive” and infected longer than </w:t>
      </w:r>
      <w:r w:rsidR="00334595">
        <w:t>three</w:t>
      </w:r>
      <w:r>
        <w:t xml:space="preserve"> months.</w:t>
      </w:r>
    </w:p>
    <w:p w:rsidR="00720A65" w:rsidRPr="00187F45" w:rsidRDefault="00187F45" w:rsidP="00026CEB">
      <w:pPr>
        <w:pStyle w:val="Heading6"/>
      </w:pPr>
      <w:r w:rsidRPr="00187F45">
        <w:t>Days since infection</w:t>
      </w:r>
    </w:p>
    <w:p w:rsidR="00187F45" w:rsidRDefault="00187F45" w:rsidP="00720A65">
      <w:r w:rsidRPr="00187F45">
        <w:t xml:space="preserve">The modelled population in the “seroconverting” health state is assigned to a day of </w:t>
      </w:r>
      <w:r w:rsidR="00334595">
        <w:t>infection (1 to 90) within the three-</w:t>
      </w:r>
      <w:r w:rsidRPr="00187F45">
        <w:t>month cycle assuming a uniform distribution.  It is assumed that the probability of a positive diagnosis with a given test increases over time, and is dependent on the time since infection occurs (see below).</w:t>
      </w:r>
      <w:r w:rsidR="00282C04">
        <w:t xml:space="preserve">  This is consistent with the approach used by Wilson </w:t>
      </w:r>
      <w:r w:rsidR="00334595">
        <w:t>(</w:t>
      </w:r>
      <w:r w:rsidR="00282C04">
        <w:t>2011</w:t>
      </w:r>
      <w:r w:rsidR="00334595">
        <w:t>)</w:t>
      </w:r>
      <w:r w:rsidR="00282C04">
        <w:t>.</w:t>
      </w:r>
    </w:p>
    <w:p w:rsidR="00187F45" w:rsidRDefault="00187F45" w:rsidP="00026CEB">
      <w:pPr>
        <w:pStyle w:val="Heading6"/>
      </w:pPr>
      <w:r>
        <w:t>Years since infection (seropositive)</w:t>
      </w:r>
    </w:p>
    <w:p w:rsidR="00187F45" w:rsidRDefault="00187F45" w:rsidP="00696A28">
      <w:r w:rsidRPr="00187F45">
        <w:t>The modelled population who commences in the “seropositive” health state is assigned to a year of infection, between 1 and 20 years.  Given the lack of data to inform the distribution “years since infection” in undiagnosed seropositive</w:t>
      </w:r>
      <w:r>
        <w:t xml:space="preserve"> individuals</w:t>
      </w:r>
      <w:r w:rsidRPr="00187F45">
        <w:t xml:space="preserve">, the model was used to simulate a distribution over 5 years.  10,000 individuals </w:t>
      </w:r>
      <w:r w:rsidR="003B60CD">
        <w:t>entered</w:t>
      </w:r>
      <w:r w:rsidRPr="00187F45">
        <w:t xml:space="preserve"> the model in the seronegative health state and</w:t>
      </w:r>
      <w:r w:rsidR="003B60CD">
        <w:t xml:space="preserve"> were</w:t>
      </w:r>
      <w:r w:rsidRPr="00187F45">
        <w:t xml:space="preserve"> tracked for 20 cycles.  Two tracker variables were used for the seropositive and HIV diagnosed health states.  Individuals who remained in the seropositive health states by the end of the 20 cycles were analysed according to the number of cycles in the seropositive health state.  The number of cycles seropositive was rounded up to the close</w:t>
      </w:r>
      <w:r w:rsidR="00334595">
        <w:t>s</w:t>
      </w:r>
      <w:r w:rsidRPr="00187F45">
        <w:t xml:space="preserve">t integer to correspond with the available evidence (see below).  </w:t>
      </w:r>
      <w:r w:rsidR="00696A28">
        <w:t>For the base-case, a</w:t>
      </w:r>
      <w:r w:rsidRPr="00187F45">
        <w:t xml:space="preserve"> log-normal distribution was </w:t>
      </w:r>
      <w:r w:rsidR="00696A28">
        <w:t>used</w:t>
      </w:r>
      <w:r w:rsidR="00696A28" w:rsidRPr="00187F45">
        <w:t xml:space="preserve"> </w:t>
      </w:r>
      <w:r w:rsidRPr="00187F45">
        <w:t>to approximate</w:t>
      </w:r>
      <w:r w:rsidR="00696A28">
        <w:t xml:space="preserve"> and extrapolate</w:t>
      </w:r>
      <w:r w:rsidRPr="00187F45">
        <w:t xml:space="preserve"> the </w:t>
      </w:r>
      <w:r w:rsidR="00696A28">
        <w:t xml:space="preserve">simulated </w:t>
      </w:r>
      <w:r w:rsidRPr="00187F45">
        <w:t xml:space="preserve">distribution.  A second log-normal distribution was </w:t>
      </w:r>
      <w:r w:rsidR="00696A28">
        <w:t>used for a sensitivity analysis</w:t>
      </w:r>
      <w:r w:rsidR="00696A28" w:rsidRPr="00187F45">
        <w:t xml:space="preserve"> </w:t>
      </w:r>
      <w:r w:rsidRPr="00187F45">
        <w:t xml:space="preserve">which more closely matches the shape of CD4 </w:t>
      </w:r>
      <w:r w:rsidR="008360C6">
        <w:t xml:space="preserve">positive </w:t>
      </w:r>
      <w:r w:rsidRPr="00187F45">
        <w:t xml:space="preserve">count (a proxy for time infected) distribution at diagnosis presented by Wilson (undated presentation; ashm.org.au).  </w:t>
      </w:r>
      <w:r w:rsidR="00696A28">
        <w:t xml:space="preserve">Figure </w:t>
      </w:r>
      <w:r w:rsidR="00334595">
        <w:t>7</w:t>
      </w:r>
      <w:r w:rsidR="00696A28">
        <w:t xml:space="preserve"> presents the two log-normal distributions used in the model. </w:t>
      </w:r>
      <w:r w:rsidR="00334595">
        <w:t xml:space="preserve"> </w:t>
      </w:r>
      <w:r w:rsidR="00696A28" w:rsidRPr="00187F45">
        <w:t>The results are not sensitive to the assumed distribution.</w:t>
      </w:r>
      <w:r w:rsidR="00696A28">
        <w:t xml:space="preserve">  </w:t>
      </w:r>
      <w:r w:rsidRPr="00187F45">
        <w:t xml:space="preserve">The probability of developing AIDS complications and therefore detection due to complications increases the longer </w:t>
      </w:r>
      <w:r w:rsidRPr="00187F45">
        <w:lastRenderedPageBreak/>
        <w:t xml:space="preserve">the individual has been infected and untreated. </w:t>
      </w:r>
      <w:r w:rsidR="00CD655B">
        <w:t xml:space="preserve"> </w:t>
      </w:r>
      <w:r w:rsidRPr="00187F45">
        <w:t xml:space="preserve">As the model is only run for </w:t>
      </w:r>
      <w:r w:rsidR="00CD655B">
        <w:t>one</w:t>
      </w:r>
      <w:r w:rsidRPr="00187F45">
        <w:t xml:space="preserve"> year, the tracker variable used to simulate the distribution of years seropositive is not used.  </w:t>
      </w:r>
    </w:p>
    <w:p w:rsidR="00CD655B" w:rsidRDefault="00B17417" w:rsidP="00CD655B">
      <w:pPr>
        <w:spacing w:after="0"/>
        <w:jc w:val="center"/>
        <w:rPr>
          <w:noProof/>
        </w:rPr>
      </w:pPr>
      <w:r>
        <w:rPr>
          <w:noProof/>
        </w:rPr>
        <w:drawing>
          <wp:inline distT="0" distB="0" distL="0" distR="0" wp14:anchorId="0B0DE94B" wp14:editId="2FBBA815">
            <wp:extent cx="5240399" cy="2337683"/>
            <wp:effectExtent l="0" t="0" r="0" b="5715"/>
            <wp:docPr id="98" name="Picture 98" title="Estimated log-normal distribution of year infected in MSM with undiagnosed H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onash.edu\home\User057\pghijben\Desktop\Doc1.tiff"/>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a:stretch/>
                  </pic:blipFill>
                  <pic:spPr bwMode="auto">
                    <a:xfrm>
                      <a:off x="0" y="0"/>
                      <a:ext cx="5248593" cy="2341338"/>
                    </a:xfrm>
                    <a:prstGeom prst="rect">
                      <a:avLst/>
                    </a:prstGeom>
                    <a:noFill/>
                    <a:ln>
                      <a:noFill/>
                    </a:ln>
                    <a:extLst>
                      <a:ext uri="{53640926-AAD7-44D8-BBD7-CCE9431645EC}">
                        <a14:shadowObscured xmlns:a14="http://schemas.microsoft.com/office/drawing/2010/main"/>
                      </a:ext>
                    </a:extLst>
                  </pic:spPr>
                </pic:pic>
              </a:graphicData>
            </a:graphic>
          </wp:inline>
        </w:drawing>
      </w:r>
    </w:p>
    <w:p w:rsidR="00CD655B" w:rsidRDefault="00CD655B" w:rsidP="00334595">
      <w:pPr>
        <w:pStyle w:val="Caption"/>
      </w:pPr>
      <w:bookmarkStart w:id="150" w:name="_Toc415103445"/>
      <w:bookmarkStart w:id="151" w:name="_Toc415107322"/>
      <w:bookmarkStart w:id="152" w:name="_Toc418225015"/>
      <w:bookmarkStart w:id="153" w:name="_Toc418225661"/>
      <w:r w:rsidRPr="00CD655B">
        <w:t xml:space="preserve">Figure </w:t>
      </w:r>
      <w:r w:rsidR="00334595">
        <w:t>7</w:t>
      </w:r>
      <w:r w:rsidRPr="00CD655B">
        <w:tab/>
      </w:r>
      <w:r>
        <w:t>E</w:t>
      </w:r>
      <w:r w:rsidRPr="00CD655B">
        <w:t>stimated log-normal distribution of year infected in MSM with undiagnosed HIV</w:t>
      </w:r>
      <w:bookmarkEnd w:id="150"/>
      <w:bookmarkEnd w:id="151"/>
      <w:bookmarkEnd w:id="152"/>
      <w:bookmarkEnd w:id="153"/>
    </w:p>
    <w:p w:rsidR="00CD655B" w:rsidRDefault="00CD655B" w:rsidP="00CD655B"/>
    <w:p w:rsidR="00CD655B" w:rsidRDefault="00CD655B" w:rsidP="00026CEB">
      <w:pPr>
        <w:pStyle w:val="Heading5"/>
      </w:pPr>
      <w:r>
        <w:t>Disease characteristics</w:t>
      </w:r>
    </w:p>
    <w:p w:rsidR="00CD655B" w:rsidRPr="00CD655B" w:rsidRDefault="00CD655B" w:rsidP="00026CEB">
      <w:pPr>
        <w:pStyle w:val="Heading6"/>
      </w:pPr>
      <w:r w:rsidRPr="00CD655B">
        <w:t>Probability of transmission</w:t>
      </w:r>
    </w:p>
    <w:p w:rsidR="00CD655B" w:rsidRDefault="00CD655B" w:rsidP="00282C04">
      <w:r w:rsidRPr="00CD655B">
        <w:t xml:space="preserve">The model assumes a constant rate of infection for individuals in the “Seronegative” health state, modelled as a </w:t>
      </w:r>
      <w:r>
        <w:t>three</w:t>
      </w:r>
      <w:r w:rsidRPr="00CD655B">
        <w:t>-monthly probability.  As discussed above, three sources were identified to estimate the HIV incident population.  The lower bound estimate of newly acquired or incident infections in the MSM population is 308</w:t>
      </w:r>
      <w:r w:rsidR="00282C04">
        <w:t xml:space="preserve"> (Kirby 2014a)</w:t>
      </w:r>
      <w:r w:rsidRPr="00CD655B">
        <w:t xml:space="preserve">.  Based on the estimated number at risk of 171,000, this translates to a </w:t>
      </w:r>
      <w:r>
        <w:t>three</w:t>
      </w:r>
      <w:r w:rsidRPr="00CD655B">
        <w:t xml:space="preserve">-monthly probability of infection of 0.000451.  Alternatively, the cohort study in Sydney reported the rate of infection as 0.87 per 100 per years, or 0.002173 as a </w:t>
      </w:r>
      <w:r>
        <w:t>three</w:t>
      </w:r>
      <w:r w:rsidRPr="00CD655B">
        <w:t>-month probability</w:t>
      </w:r>
      <w:r w:rsidR="00282C04">
        <w:t xml:space="preserve"> (</w:t>
      </w:r>
      <w:proofErr w:type="spellStart"/>
      <w:r w:rsidR="00282C04">
        <w:t>Jin</w:t>
      </w:r>
      <w:proofErr w:type="spellEnd"/>
      <w:r w:rsidR="00282C04">
        <w:t xml:space="preserve"> 200</w:t>
      </w:r>
      <w:r w:rsidR="003B60CD">
        <w:t>8</w:t>
      </w:r>
      <w:r w:rsidR="00282C04">
        <w:t>)</w:t>
      </w:r>
      <w:r w:rsidRPr="00CD655B">
        <w:t xml:space="preserve">.  The third estimate based on CD4 </w:t>
      </w:r>
      <w:r w:rsidR="008360C6">
        <w:t xml:space="preserve">positive </w:t>
      </w:r>
      <w:r w:rsidRPr="00CD655B">
        <w:t>count at diagnosis approximated 1</w:t>
      </w:r>
      <w:r w:rsidR="003B60CD">
        <w:t>,</w:t>
      </w:r>
      <w:r w:rsidRPr="00CD655B">
        <w:t>000 incident infections in MSM</w:t>
      </w:r>
      <w:r w:rsidR="00282C04">
        <w:t xml:space="preserve"> (Wilson 2011 presentation slides “Undiagnosed HIV in Australia”).  </w:t>
      </w:r>
      <w:r w:rsidRPr="00CD655B">
        <w:t xml:space="preserve">Similarly, assuming 171,000 at risk, the </w:t>
      </w:r>
      <w:r>
        <w:t>three</w:t>
      </w:r>
      <w:r w:rsidRPr="00CD655B">
        <w:t xml:space="preserve">-month probability of infection was calculated as 0.001465. </w:t>
      </w:r>
      <w:r w:rsidR="00282C04">
        <w:t xml:space="preserve"> This estimate was used in the base case for consistency with the modelled population estimates.</w:t>
      </w:r>
    </w:p>
    <w:p w:rsidR="00CD655B" w:rsidRPr="00CD655B" w:rsidRDefault="00CD655B" w:rsidP="00026CEB">
      <w:pPr>
        <w:pStyle w:val="Heading6"/>
      </w:pPr>
      <w:r>
        <w:t>Probability of developing AIDS</w:t>
      </w:r>
    </w:p>
    <w:p w:rsidR="00CD655B" w:rsidRDefault="00CD655B" w:rsidP="004D39C4">
      <w:r w:rsidRPr="00CD655B">
        <w:t xml:space="preserve">The model assumes that </w:t>
      </w:r>
      <w:r w:rsidR="00543DDC">
        <w:rPr>
          <w:bCs/>
        </w:rPr>
        <w:t>individual</w:t>
      </w:r>
      <w:r w:rsidR="00543DDC" w:rsidRPr="00102204">
        <w:rPr>
          <w:bCs/>
        </w:rPr>
        <w:t>s</w:t>
      </w:r>
      <w:r w:rsidRPr="00CD655B">
        <w:t xml:space="preserve"> will be diagnosed with HIV/AIDS following the development of AIDS. </w:t>
      </w:r>
      <w:r>
        <w:t xml:space="preserve"> </w:t>
      </w:r>
      <w:r w:rsidRPr="00CD655B">
        <w:t xml:space="preserve">The probability of progressing to AIDS within each cycle is dependent on the number of years seropositive.  The estimated cumulative probability (for untreated HIV) of is reported for the first 10 years of </w:t>
      </w:r>
      <w:r w:rsidRPr="00F4019F">
        <w:t xml:space="preserve">infection by </w:t>
      </w:r>
      <w:r w:rsidR="00F4019F" w:rsidRPr="00F4019F">
        <w:t>Osmond (1998)</w:t>
      </w:r>
      <w:r w:rsidRPr="00F4019F">
        <w:t xml:space="preserve">, based on a modelled analysis by </w:t>
      </w:r>
      <w:proofErr w:type="spellStart"/>
      <w:r w:rsidR="00F4019F" w:rsidRPr="00F4019F">
        <w:t>Bacchetti</w:t>
      </w:r>
      <w:proofErr w:type="spellEnd"/>
      <w:r w:rsidR="00F4019F" w:rsidRPr="00F4019F">
        <w:t xml:space="preserve"> &amp; Moss (1989)</w:t>
      </w:r>
      <w:r w:rsidRPr="00F4019F">
        <w:t>.  The rat</w:t>
      </w:r>
      <w:r w:rsidRPr="00CD655B">
        <w:t xml:space="preserve">e of progression to AIDS </w:t>
      </w:r>
      <w:r w:rsidR="009660BC">
        <w:t>is</w:t>
      </w:r>
      <w:r w:rsidRPr="00CD655B">
        <w:t xml:space="preserve"> very low in the first two years after infection and increase</w:t>
      </w:r>
      <w:r w:rsidR="009660BC">
        <w:t>s</w:t>
      </w:r>
      <w:r w:rsidRPr="00CD655B">
        <w:t xml:space="preserve"> thereafter, with a median time of approximately 9 to 10 years.  The base case applies the </w:t>
      </w:r>
      <w:r w:rsidR="004D39C4">
        <w:t>reported</w:t>
      </w:r>
      <w:r w:rsidR="004D39C4" w:rsidRPr="00CD655B">
        <w:t xml:space="preserve"> </w:t>
      </w:r>
      <w:r w:rsidRPr="00CD655B">
        <w:t>probabilities, extrapolated to 20 years assuming a polynomial function.  A</w:t>
      </w:r>
      <w:r w:rsidR="004D39C4">
        <w:t xml:space="preserve"> second logistic growth function is assumed for a</w:t>
      </w:r>
      <w:r w:rsidRPr="00CD655B">
        <w:t xml:space="preserve"> sensitivity analysis</w:t>
      </w:r>
      <w:r w:rsidR="004D39C4">
        <w:t xml:space="preserve">, </w:t>
      </w:r>
      <w:r w:rsidRPr="00CD655B">
        <w:t>used by others (</w:t>
      </w:r>
      <w:proofErr w:type="spellStart"/>
      <w:r w:rsidRPr="00CD655B">
        <w:t>Bulatao</w:t>
      </w:r>
      <w:proofErr w:type="spellEnd"/>
      <w:r w:rsidRPr="00CD655B">
        <w:t xml:space="preserve"> </w:t>
      </w:r>
      <w:r w:rsidR="009660BC">
        <w:t>&amp;</w:t>
      </w:r>
      <w:r w:rsidRPr="00CD655B">
        <w:t xml:space="preserve"> </w:t>
      </w:r>
      <w:proofErr w:type="spellStart"/>
      <w:r w:rsidRPr="00CD655B">
        <w:t>Bos</w:t>
      </w:r>
      <w:proofErr w:type="spellEnd"/>
      <w:r w:rsidRPr="00CD655B">
        <w:t xml:space="preserve"> working paper 199</w:t>
      </w:r>
      <w:r w:rsidR="004D39C4">
        <w:t>2</w:t>
      </w:r>
      <w:r w:rsidRPr="00CD655B">
        <w:t>, projecting the demographic impact of AIDS).  The model is not sensitive to th</w:t>
      </w:r>
      <w:r w:rsidR="004D39C4">
        <w:t>e distribution used.</w:t>
      </w:r>
      <w:r w:rsidRPr="00CD655B">
        <w:t xml:space="preserve">  </w:t>
      </w:r>
      <w:r w:rsidR="004D39C4">
        <w:t xml:space="preserve">The two distributions are presented in Figure </w:t>
      </w:r>
      <w:r w:rsidR="00F4019F">
        <w:t>8.</w:t>
      </w:r>
    </w:p>
    <w:p w:rsidR="00CD655B" w:rsidRDefault="00B17417" w:rsidP="00B17417">
      <w:pPr>
        <w:spacing w:after="40"/>
        <w:jc w:val="center"/>
        <w:rPr>
          <w:noProof/>
        </w:rPr>
      </w:pPr>
      <w:r>
        <w:rPr>
          <w:noProof/>
        </w:rPr>
        <w:lastRenderedPageBreak/>
        <w:drawing>
          <wp:inline distT="0" distB="0" distL="0" distR="0" wp14:anchorId="4D2BEC32" wp14:editId="29110758">
            <wp:extent cx="4071067" cy="2480806"/>
            <wp:effectExtent l="0" t="0" r="5715" b="0"/>
            <wp:docPr id="99" name="Picture 99" title="Cumulatitive probability of progressing to AIDS by years after HIV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monash.edu\home\User057\pghijben\Desktop\Doc5.tif"/>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a:stretch/>
                  </pic:blipFill>
                  <pic:spPr bwMode="auto">
                    <a:xfrm>
                      <a:off x="0" y="0"/>
                      <a:ext cx="4070088" cy="2480209"/>
                    </a:xfrm>
                    <a:prstGeom prst="rect">
                      <a:avLst/>
                    </a:prstGeom>
                    <a:noFill/>
                    <a:ln>
                      <a:noFill/>
                    </a:ln>
                    <a:extLst>
                      <a:ext uri="{53640926-AAD7-44D8-BBD7-CCE9431645EC}">
                        <a14:shadowObscured xmlns:a14="http://schemas.microsoft.com/office/drawing/2010/main"/>
                      </a:ext>
                    </a:extLst>
                  </pic:spPr>
                </pic:pic>
              </a:graphicData>
            </a:graphic>
          </wp:inline>
        </w:drawing>
      </w:r>
    </w:p>
    <w:p w:rsidR="00CD655B" w:rsidRDefault="00CD655B" w:rsidP="00F4019F">
      <w:pPr>
        <w:pStyle w:val="Caption"/>
      </w:pPr>
      <w:bookmarkStart w:id="154" w:name="_Toc415103446"/>
      <w:bookmarkStart w:id="155" w:name="_Toc415107323"/>
      <w:bookmarkStart w:id="156" w:name="_Toc418225016"/>
      <w:bookmarkStart w:id="157" w:name="_Toc418225662"/>
      <w:r>
        <w:t xml:space="preserve">Figure </w:t>
      </w:r>
      <w:r w:rsidR="00F4019F">
        <w:t>8</w:t>
      </w:r>
      <w:r>
        <w:tab/>
      </w:r>
      <w:proofErr w:type="gramStart"/>
      <w:r>
        <w:t>C</w:t>
      </w:r>
      <w:r w:rsidRPr="00CD655B">
        <w:t>umulative probability</w:t>
      </w:r>
      <w:proofErr w:type="gramEnd"/>
      <w:r w:rsidRPr="00CD655B">
        <w:t xml:space="preserve"> of progressing to AIDS, years after HIV infection</w:t>
      </w:r>
      <w:bookmarkEnd w:id="154"/>
      <w:bookmarkEnd w:id="155"/>
      <w:bookmarkEnd w:id="156"/>
      <w:bookmarkEnd w:id="157"/>
    </w:p>
    <w:p w:rsidR="00CD655B" w:rsidRDefault="00CD655B" w:rsidP="00CD655B"/>
    <w:p w:rsidR="00CD655B" w:rsidRDefault="00577337" w:rsidP="00026CEB">
      <w:pPr>
        <w:pStyle w:val="Heading5"/>
      </w:pPr>
      <w:r>
        <w:t>Test performance</w:t>
      </w:r>
    </w:p>
    <w:p w:rsidR="00577337" w:rsidRDefault="00577337" w:rsidP="00026CEB">
      <w:pPr>
        <w:pStyle w:val="Heading6"/>
      </w:pPr>
      <w:r>
        <w:t>Seronegative and seropositive</w:t>
      </w:r>
    </w:p>
    <w:p w:rsidR="00577337" w:rsidRDefault="00577337" w:rsidP="00CD655B">
      <w:r w:rsidRPr="00577337">
        <w:t xml:space="preserve">The model assumes laboratory testing is a perfect gold standard in known samples, and will always detect known positives and known negatives.  The sensitivity and specificity of </w:t>
      </w:r>
      <w:r>
        <w:t>the DHC test</w:t>
      </w:r>
      <w:r w:rsidRPr="00577337">
        <w:t xml:space="preserve"> relative to laboratory testing is based on the TGA requirement for POCT tests in Australia have a sensitivity of 100% and specificity of at least 99%.</w:t>
      </w:r>
    </w:p>
    <w:p w:rsidR="00577337" w:rsidRPr="00577337" w:rsidRDefault="00577337" w:rsidP="00026CEB">
      <w:pPr>
        <w:pStyle w:val="Heading6"/>
      </w:pPr>
      <w:r>
        <w:t>Seroconverting</w:t>
      </w:r>
    </w:p>
    <w:p w:rsidR="00577337" w:rsidRDefault="00577337" w:rsidP="00BD0AAD">
      <w:r w:rsidRPr="00F4019F">
        <w:t xml:space="preserve">There is no precise “window period” at which time a HIV test will detect an infection that it would not have detected prior to this time.  Therefore, in the seroconverting health state, the probability of a positive diagnosis is assumed to increase over time (Owen 2008).  Wilson </w:t>
      </w:r>
      <w:r w:rsidR="00F4019F" w:rsidRPr="00F4019F">
        <w:t xml:space="preserve">(2011) </w:t>
      </w:r>
      <w:r w:rsidR="009660BC">
        <w:t>modelled</w:t>
      </w:r>
      <w:r w:rsidRPr="00F4019F">
        <w:t xml:space="preserve"> the window period</w:t>
      </w:r>
      <w:r w:rsidR="00BD0AAD" w:rsidRPr="00F4019F">
        <w:t>s</w:t>
      </w:r>
      <w:r w:rsidRPr="00F4019F">
        <w:t xml:space="preserve"> of the third and fourth generation EIA and point-of-care tests using a logistic growth curves.  The medians are set equal to the defined window periods for each test after the detection of HIV RNA with the Nucleic Acid Test, 10 days for the DHC test and five days for fourth generation EIA.  However, there is an eclipse period between the day of infection and day when HIV markers are detectable.  The eclipse period is approximately 2 weeks from infection to p24 antigen, suggesting the median window periods for fourth generation EIA and the DHC test are approximately 20 and 25 days</w:t>
      </w:r>
      <w:r w:rsidR="007D703C">
        <w:t>,</w:t>
      </w:r>
      <w:r w:rsidRPr="00F4019F">
        <w:t xml:space="preserve"> respectively (Cohen 2010)</w:t>
      </w:r>
      <w:r w:rsidR="00F4019F">
        <w:t>, see Figure 9</w:t>
      </w:r>
      <w:r w:rsidRPr="00F4019F">
        <w:t>.</w:t>
      </w:r>
    </w:p>
    <w:p w:rsidR="00577337" w:rsidRDefault="00B17417" w:rsidP="00B17417">
      <w:pPr>
        <w:spacing w:after="40"/>
        <w:jc w:val="center"/>
        <w:rPr>
          <w:noProof/>
        </w:rPr>
      </w:pPr>
      <w:r>
        <w:rPr>
          <w:noProof/>
        </w:rPr>
        <w:drawing>
          <wp:inline distT="0" distB="0" distL="0" distR="0" wp14:anchorId="0D5371E5" wp14:editId="55451723">
            <wp:extent cx="4126727" cy="1741335"/>
            <wp:effectExtent l="0" t="0" r="7620" b="0"/>
            <wp:docPr id="100" name="Picture 100" title="The median window periods for fourth generation EIA and the DHC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onash.edu\home\User057\pghijben\Desktop\Doc6.tif"/>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a:stretch/>
                  </pic:blipFill>
                  <pic:spPr bwMode="auto">
                    <a:xfrm>
                      <a:off x="0" y="0"/>
                      <a:ext cx="4125734" cy="1740916"/>
                    </a:xfrm>
                    <a:prstGeom prst="rect">
                      <a:avLst/>
                    </a:prstGeom>
                    <a:noFill/>
                    <a:ln>
                      <a:noFill/>
                    </a:ln>
                    <a:extLst>
                      <a:ext uri="{53640926-AAD7-44D8-BBD7-CCE9431645EC}">
                        <a14:shadowObscured xmlns:a14="http://schemas.microsoft.com/office/drawing/2010/main"/>
                      </a:ext>
                    </a:extLst>
                  </pic:spPr>
                </pic:pic>
              </a:graphicData>
            </a:graphic>
          </wp:inline>
        </w:drawing>
      </w:r>
    </w:p>
    <w:p w:rsidR="00F4019F" w:rsidRPr="00577337" w:rsidRDefault="00F4019F" w:rsidP="00F4019F">
      <w:pPr>
        <w:pStyle w:val="Caption"/>
      </w:pPr>
      <w:bookmarkStart w:id="158" w:name="_Toc415103447"/>
      <w:bookmarkStart w:id="159" w:name="_Toc415107324"/>
      <w:bookmarkStart w:id="160" w:name="_Toc418225017"/>
      <w:bookmarkStart w:id="161" w:name="_Toc418225663"/>
      <w:r>
        <w:t>Figure 9</w:t>
      </w:r>
      <w:r>
        <w:tab/>
        <w:t>T</w:t>
      </w:r>
      <w:r w:rsidRPr="00F4019F">
        <w:t>he median window periods for fourth generation EIA and the DHC test</w:t>
      </w:r>
      <w:bookmarkEnd w:id="158"/>
      <w:bookmarkEnd w:id="159"/>
      <w:bookmarkEnd w:id="160"/>
      <w:bookmarkEnd w:id="161"/>
    </w:p>
    <w:p w:rsidR="00577337" w:rsidRDefault="00577337" w:rsidP="00026CEB">
      <w:pPr>
        <w:pStyle w:val="Heading6"/>
        <w:rPr>
          <w:noProof/>
        </w:rPr>
      </w:pPr>
      <w:r>
        <w:rPr>
          <w:noProof/>
        </w:rPr>
        <w:lastRenderedPageBreak/>
        <w:t>Cost</w:t>
      </w:r>
    </w:p>
    <w:p w:rsidR="00B17417" w:rsidRDefault="00B17417" w:rsidP="00B17417">
      <w:pPr>
        <w:rPr>
          <w:noProof/>
        </w:rPr>
      </w:pPr>
      <w:r w:rsidRPr="00F4019F">
        <w:rPr>
          <w:noProof/>
        </w:rPr>
        <w:t xml:space="preserve">Table 20 summarises the cost inputs used in the modelled evaluation.  For screening-based testing, the model assumes both test strategies require an initial GP consultation if a screening test is conducted.  The cost of the applicable test is also allocated during this consultation.  Although the </w:t>
      </w:r>
      <w:r>
        <w:rPr>
          <w:noProof/>
        </w:rPr>
        <w:t xml:space="preserve">Proposed </w:t>
      </w:r>
      <w:r w:rsidRPr="00F4019F">
        <w:rPr>
          <w:noProof/>
        </w:rPr>
        <w:t xml:space="preserve">Clinical Management Algorithm in the </w:t>
      </w:r>
      <w:r w:rsidR="009660BC">
        <w:rPr>
          <w:noProof/>
        </w:rPr>
        <w:t xml:space="preserve">MSAC 1391 </w:t>
      </w:r>
      <w:r>
        <w:rPr>
          <w:noProof/>
        </w:rPr>
        <w:t>Final P</w:t>
      </w:r>
      <w:r w:rsidRPr="00F4019F">
        <w:rPr>
          <w:noProof/>
        </w:rPr>
        <w:t xml:space="preserve">rotocol implies that all laboratory tests currently require a subsequent consultation to receive results, it is also acknowledged elsewhere (p11) in the </w:t>
      </w:r>
      <w:r w:rsidR="00B0005A">
        <w:rPr>
          <w:noProof/>
        </w:rPr>
        <w:t>P</w:t>
      </w:r>
      <w:r w:rsidRPr="00F4019F">
        <w:rPr>
          <w:noProof/>
        </w:rPr>
        <w:t>rotocol that SMS messaging is utilised to convey negative results.  Based on recommendations</w:t>
      </w:r>
      <w:r>
        <w:rPr>
          <w:noProof/>
        </w:rPr>
        <w:t xml:space="preserve"> in the Draft National HIV testing Policy (2014) and expert advice sought during the assessment, it is assumed that all negative HIV screening laboratory test results will be provided via phone or text message and would not require a follow-up visit (see “Barriers to HIV testing”).  Thus in the serology testing arm, only HIV positive laboratory results are assumed to require a follow-up consultation. </w:t>
      </w:r>
      <w:r w:rsidR="009660BC">
        <w:rPr>
          <w:noProof/>
        </w:rPr>
        <w:t xml:space="preserve"> </w:t>
      </w:r>
      <w:r>
        <w:rPr>
          <w:noProof/>
        </w:rPr>
        <w:t>The base-case analysis assumes there is no follow-up consultation in the DHC test arm (regardless of DHC outcome) as any required post-test counselling is assumed to occur at the initial consultation, as proposed in the clinical management algorithm</w:t>
      </w:r>
      <w:r w:rsidR="009660BC">
        <w:rPr>
          <w:noProof/>
        </w:rPr>
        <w:t xml:space="preserve"> provided in the MSAC 1391 Final Protocol</w:t>
      </w:r>
      <w:r>
        <w:rPr>
          <w:noProof/>
        </w:rPr>
        <w:t>.  This assumption is tested in a sensitivity analysis.</w:t>
      </w:r>
    </w:p>
    <w:p w:rsidR="00B17417" w:rsidRDefault="00B17417" w:rsidP="00B17417">
      <w:pPr>
        <w:rPr>
          <w:noProof/>
        </w:rPr>
      </w:pPr>
      <w:r w:rsidRPr="00B17417">
        <w:rPr>
          <w:noProof/>
        </w:rPr>
        <w:t>Given a postive DHC result must be confirmed by serological testing, the cost of confirmatory testing in the DHC arm is also allocated to all DHC positive results.  For symptom-based testing, the model assumes there is an initial medical consultation</w:t>
      </w:r>
      <w:r>
        <w:rPr>
          <w:noProof/>
        </w:rPr>
        <w:t>, a laboratory test and a follow-up consultation.</w:t>
      </w:r>
    </w:p>
    <w:p w:rsidR="00B62439" w:rsidRDefault="00B17417" w:rsidP="00B17417">
      <w:pPr>
        <w:rPr>
          <w:noProof/>
        </w:rPr>
      </w:pPr>
      <w:r>
        <w:rPr>
          <w:noProof/>
        </w:rPr>
        <w:t xml:space="preserve">Additional MBS fees may also be applicable for the conduct of both HIV point-of-care and laboratory testing.  A “P-12 management of bulk-bill services fee” may be payable for basic pathology tests (including DHC should it be approved) conducted by general practitioners for patients with concession cards, provided the service is bulk-billed.  The value of the fee, if applicable, is dependent on the location of the practice as specified in the item descriptions (see MBS 74990 and MBS 74991).  For the purposes of the base-case analysis, </w:t>
      </w:r>
      <w:r w:rsidRPr="006512F7">
        <w:rPr>
          <w:noProof/>
        </w:rPr>
        <w:t>based on professional advice sought during the evaluation, it is assumed that 100% of MSM are bulk-billed for services and 75% of tests are conducted by private laboratories (Cretikos 2014).  Based on these assumptions, the average weighted fee is $0.63.  For laboratory tests, a “</w:t>
      </w:r>
      <w:r>
        <w:rPr>
          <w:noProof/>
        </w:rPr>
        <w:t xml:space="preserve">P-10 patient episode initiation fee” is payable to the laboratory conducting the test, where a different fee is payable for public (MBS 73929) and private (MBS 73928) laboratories.  An additional “P-13 builk-billed pathology incentive item” is also be payble ontop of the patient episode initiation fee if the service is bulk-billed (see MBS 74995 and MBS 74999).  Based on the assumptions that 100% of MSM are bulk-billed for services, 10% have concession cards and 10% live in regional, rural or remote locations, the average weighted fee is $7.24.  Four sensitivities analyses are conducted to test the range of impact these “extra” fees have on the analysis. </w:t>
      </w:r>
      <w:r w:rsidR="00C61EB0">
        <w:rPr>
          <w:noProof/>
        </w:rPr>
        <w:t xml:space="preserve"> </w:t>
      </w:r>
    </w:p>
    <w:p w:rsidR="00B17417" w:rsidRDefault="00B17417">
      <w:pPr>
        <w:spacing w:after="0"/>
        <w:ind w:left="0"/>
        <w:rPr>
          <w:rFonts w:ascii="Arial Narrow" w:hAnsi="Arial Narrow"/>
          <w:b/>
          <w:bCs/>
          <w:noProof/>
          <w:sz w:val="20"/>
        </w:rPr>
      </w:pPr>
      <w:bookmarkStart w:id="162" w:name="_Toc415103529"/>
      <w:r>
        <w:rPr>
          <w:noProof/>
        </w:rPr>
        <w:br w:type="page"/>
      </w:r>
    </w:p>
    <w:p w:rsidR="00577337" w:rsidRDefault="00577337" w:rsidP="00F4019F">
      <w:pPr>
        <w:pStyle w:val="Caption"/>
        <w:rPr>
          <w:noProof/>
        </w:rPr>
      </w:pPr>
      <w:bookmarkStart w:id="163" w:name="_Toc418225018"/>
      <w:bookmarkStart w:id="164" w:name="_Toc418225664"/>
      <w:r>
        <w:rPr>
          <w:noProof/>
        </w:rPr>
        <w:lastRenderedPageBreak/>
        <w:t xml:space="preserve">Table </w:t>
      </w:r>
      <w:r w:rsidR="00F4019F">
        <w:rPr>
          <w:noProof/>
        </w:rPr>
        <w:t>20</w:t>
      </w:r>
      <w:r>
        <w:rPr>
          <w:noProof/>
        </w:rPr>
        <w:tab/>
        <w:t>Costs associated with testing in each arm of the model</w:t>
      </w:r>
      <w:bookmarkEnd w:id="162"/>
      <w:r w:rsidR="00762258">
        <w:rPr>
          <w:noProof/>
        </w:rPr>
        <w:t xml:space="preserve"> in the base-case analysis</w:t>
      </w:r>
      <w:bookmarkEnd w:id="163"/>
      <w:bookmarkEnd w:id="164"/>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Costs associated with testing in each arm of the model in the base-case analysis"/>
        <w:tblDescription w:val="Costs associated with testing in each arm of the model in the base-case analysis"/>
      </w:tblPr>
      <w:tblGrid>
        <w:gridCol w:w="1852"/>
        <w:gridCol w:w="1534"/>
        <w:gridCol w:w="1821"/>
        <w:gridCol w:w="1517"/>
        <w:gridCol w:w="1621"/>
      </w:tblGrid>
      <w:tr w:rsidR="007B1695" w:rsidRPr="00475249" w:rsidTr="00B17417">
        <w:trPr>
          <w:tblHeader/>
        </w:trPr>
        <w:tc>
          <w:tcPr>
            <w:tcW w:w="1852" w:type="dxa"/>
            <w:tcBorders>
              <w:bottom w:val="single" w:sz="4" w:space="0" w:color="auto"/>
            </w:tcBorders>
            <w:shd w:val="clear" w:color="auto" w:fill="auto"/>
          </w:tcPr>
          <w:p w:rsidR="00577337" w:rsidRPr="007B1695" w:rsidRDefault="00577337" w:rsidP="00B17417">
            <w:pPr>
              <w:spacing w:before="40" w:after="40"/>
              <w:ind w:left="0"/>
              <w:jc w:val="both"/>
              <w:rPr>
                <w:rFonts w:ascii="Arial Narrow" w:hAnsi="Arial Narrow" w:cs="Arial"/>
                <w:sz w:val="18"/>
                <w:szCs w:val="18"/>
              </w:rPr>
            </w:pPr>
          </w:p>
        </w:tc>
        <w:tc>
          <w:tcPr>
            <w:tcW w:w="1534" w:type="dxa"/>
            <w:tcBorders>
              <w:bottom w:val="single" w:sz="4" w:space="0" w:color="auto"/>
            </w:tcBorders>
            <w:shd w:val="clear" w:color="auto" w:fill="auto"/>
            <w:vAlign w:val="center"/>
          </w:tcPr>
          <w:p w:rsidR="00577337" w:rsidRPr="00475249" w:rsidRDefault="00F737A4" w:rsidP="00F737A4">
            <w:pPr>
              <w:spacing w:before="40" w:after="40"/>
              <w:ind w:hanging="720"/>
              <w:jc w:val="center"/>
              <w:rPr>
                <w:rFonts w:ascii="Arial Narrow" w:hAnsi="Arial Narrow" w:cs="Arial"/>
                <w:b/>
                <w:bCs/>
                <w:sz w:val="18"/>
                <w:szCs w:val="18"/>
              </w:rPr>
            </w:pPr>
            <w:r>
              <w:rPr>
                <w:rFonts w:ascii="Arial Narrow" w:hAnsi="Arial Narrow" w:cs="Arial"/>
                <w:b/>
                <w:bCs/>
                <w:sz w:val="18"/>
                <w:szCs w:val="18"/>
              </w:rPr>
              <w:t>DHC test</w:t>
            </w:r>
          </w:p>
        </w:tc>
        <w:tc>
          <w:tcPr>
            <w:tcW w:w="1821" w:type="dxa"/>
            <w:tcBorders>
              <w:bottom w:val="single" w:sz="4" w:space="0" w:color="auto"/>
            </w:tcBorders>
            <w:shd w:val="clear" w:color="auto" w:fill="auto"/>
            <w:vAlign w:val="center"/>
          </w:tcPr>
          <w:p w:rsidR="00577337" w:rsidRPr="00475249" w:rsidRDefault="00577337" w:rsidP="00B17417">
            <w:pPr>
              <w:spacing w:before="40" w:after="40"/>
              <w:ind w:hanging="720"/>
              <w:jc w:val="center"/>
              <w:rPr>
                <w:rFonts w:ascii="Arial Narrow" w:hAnsi="Arial Narrow" w:cs="Arial"/>
                <w:b/>
                <w:bCs/>
                <w:sz w:val="18"/>
                <w:szCs w:val="18"/>
              </w:rPr>
            </w:pPr>
            <w:r w:rsidRPr="00475249">
              <w:rPr>
                <w:rFonts w:ascii="Arial Narrow" w:hAnsi="Arial Narrow" w:cs="Arial"/>
                <w:b/>
                <w:bCs/>
                <w:sz w:val="18"/>
                <w:szCs w:val="18"/>
              </w:rPr>
              <w:t>Laboratory testing</w:t>
            </w:r>
          </w:p>
        </w:tc>
        <w:tc>
          <w:tcPr>
            <w:tcW w:w="1517" w:type="dxa"/>
            <w:tcBorders>
              <w:bottom w:val="single" w:sz="4" w:space="0" w:color="auto"/>
            </w:tcBorders>
            <w:shd w:val="clear" w:color="auto" w:fill="auto"/>
            <w:vAlign w:val="center"/>
          </w:tcPr>
          <w:p w:rsidR="00577337" w:rsidRPr="00475249" w:rsidRDefault="00577337" w:rsidP="00B17417">
            <w:pPr>
              <w:spacing w:before="40" w:after="40"/>
              <w:ind w:hanging="710"/>
              <w:jc w:val="center"/>
              <w:rPr>
                <w:rFonts w:ascii="Arial Narrow" w:hAnsi="Arial Narrow" w:cs="Arial"/>
                <w:b/>
                <w:bCs/>
                <w:sz w:val="18"/>
                <w:szCs w:val="18"/>
              </w:rPr>
            </w:pPr>
            <w:r w:rsidRPr="00475249">
              <w:rPr>
                <w:rFonts w:ascii="Arial Narrow" w:hAnsi="Arial Narrow" w:cs="Arial"/>
                <w:b/>
                <w:bCs/>
                <w:sz w:val="18"/>
                <w:szCs w:val="18"/>
              </w:rPr>
              <w:t>Unit cost</w:t>
            </w:r>
          </w:p>
        </w:tc>
        <w:tc>
          <w:tcPr>
            <w:tcW w:w="1621" w:type="dxa"/>
            <w:tcBorders>
              <w:bottom w:val="single" w:sz="4" w:space="0" w:color="auto"/>
            </w:tcBorders>
            <w:shd w:val="clear" w:color="auto" w:fill="auto"/>
            <w:vAlign w:val="center"/>
          </w:tcPr>
          <w:p w:rsidR="00577337" w:rsidRPr="00475249" w:rsidRDefault="00577337" w:rsidP="00B17417">
            <w:pPr>
              <w:spacing w:before="40" w:after="40"/>
              <w:ind w:hanging="668"/>
              <w:jc w:val="center"/>
              <w:rPr>
                <w:rFonts w:ascii="Arial Narrow" w:hAnsi="Arial Narrow" w:cs="Arial"/>
                <w:b/>
                <w:bCs/>
                <w:sz w:val="18"/>
                <w:szCs w:val="18"/>
              </w:rPr>
            </w:pPr>
            <w:r w:rsidRPr="00475249">
              <w:rPr>
                <w:rFonts w:ascii="Arial Narrow" w:hAnsi="Arial Narrow" w:cs="Arial"/>
                <w:b/>
                <w:bCs/>
                <w:sz w:val="18"/>
                <w:szCs w:val="18"/>
              </w:rPr>
              <w:t>Source</w:t>
            </w:r>
          </w:p>
        </w:tc>
      </w:tr>
      <w:tr w:rsidR="007B1695" w:rsidRPr="00475249" w:rsidTr="007B1695">
        <w:tc>
          <w:tcPr>
            <w:tcW w:w="1852" w:type="dxa"/>
            <w:tcBorders>
              <w:bottom w:val="nil"/>
            </w:tcBorders>
            <w:shd w:val="clear" w:color="auto" w:fill="auto"/>
            <w:vAlign w:val="center"/>
          </w:tcPr>
          <w:p w:rsidR="00577337" w:rsidRPr="00475249" w:rsidRDefault="00577337" w:rsidP="00B17417">
            <w:pPr>
              <w:spacing w:before="40" w:after="40"/>
              <w:ind w:left="0"/>
              <w:rPr>
                <w:rFonts w:ascii="Arial Narrow" w:hAnsi="Arial Narrow" w:cs="Arial"/>
                <w:b/>
                <w:bCs/>
                <w:sz w:val="18"/>
                <w:szCs w:val="18"/>
              </w:rPr>
            </w:pPr>
            <w:r w:rsidRPr="00475249">
              <w:rPr>
                <w:rFonts w:ascii="Arial Narrow" w:hAnsi="Arial Narrow" w:cs="Arial"/>
                <w:b/>
                <w:bCs/>
                <w:sz w:val="18"/>
                <w:szCs w:val="18"/>
              </w:rPr>
              <w:t>Screening test</w:t>
            </w:r>
          </w:p>
        </w:tc>
        <w:tc>
          <w:tcPr>
            <w:tcW w:w="1534" w:type="dxa"/>
            <w:tcBorders>
              <w:bottom w:val="nil"/>
            </w:tcBorders>
            <w:shd w:val="clear" w:color="auto" w:fill="auto"/>
            <w:vAlign w:val="center"/>
          </w:tcPr>
          <w:p w:rsidR="00577337" w:rsidRPr="00475249" w:rsidRDefault="00577337" w:rsidP="00B17417">
            <w:pPr>
              <w:spacing w:before="40" w:after="40"/>
              <w:ind w:hanging="720"/>
              <w:rPr>
                <w:rFonts w:ascii="Arial Narrow" w:hAnsi="Arial Narrow" w:cs="Arial"/>
                <w:b/>
                <w:bCs/>
                <w:sz w:val="18"/>
                <w:szCs w:val="18"/>
              </w:rPr>
            </w:pPr>
          </w:p>
        </w:tc>
        <w:tc>
          <w:tcPr>
            <w:tcW w:w="1821" w:type="dxa"/>
            <w:tcBorders>
              <w:bottom w:val="nil"/>
            </w:tcBorders>
            <w:shd w:val="clear" w:color="auto" w:fill="auto"/>
            <w:vAlign w:val="center"/>
          </w:tcPr>
          <w:p w:rsidR="00577337" w:rsidRPr="00475249" w:rsidRDefault="00577337" w:rsidP="00B17417">
            <w:pPr>
              <w:spacing w:before="40" w:after="40"/>
              <w:ind w:hanging="720"/>
              <w:rPr>
                <w:rFonts w:ascii="Arial Narrow" w:hAnsi="Arial Narrow" w:cs="Arial"/>
                <w:b/>
                <w:bCs/>
                <w:sz w:val="18"/>
                <w:szCs w:val="18"/>
              </w:rPr>
            </w:pPr>
          </w:p>
        </w:tc>
        <w:tc>
          <w:tcPr>
            <w:tcW w:w="1517" w:type="dxa"/>
            <w:tcBorders>
              <w:bottom w:val="nil"/>
            </w:tcBorders>
            <w:shd w:val="clear" w:color="auto" w:fill="auto"/>
            <w:vAlign w:val="center"/>
          </w:tcPr>
          <w:p w:rsidR="00577337" w:rsidRPr="00475249" w:rsidRDefault="00577337" w:rsidP="00B17417">
            <w:pPr>
              <w:spacing w:before="40" w:after="40"/>
              <w:ind w:hanging="710"/>
              <w:rPr>
                <w:rFonts w:ascii="Arial Narrow" w:hAnsi="Arial Narrow" w:cs="Arial"/>
                <w:b/>
                <w:bCs/>
                <w:sz w:val="18"/>
                <w:szCs w:val="18"/>
              </w:rPr>
            </w:pPr>
          </w:p>
        </w:tc>
        <w:tc>
          <w:tcPr>
            <w:tcW w:w="1621" w:type="dxa"/>
            <w:tcBorders>
              <w:bottom w:val="nil"/>
            </w:tcBorders>
            <w:shd w:val="clear" w:color="auto" w:fill="auto"/>
            <w:vAlign w:val="center"/>
          </w:tcPr>
          <w:p w:rsidR="00577337" w:rsidRPr="00475249" w:rsidRDefault="00577337" w:rsidP="00B17417">
            <w:pPr>
              <w:spacing w:before="40" w:after="40"/>
              <w:ind w:hanging="668"/>
              <w:rPr>
                <w:rFonts w:ascii="Arial Narrow" w:hAnsi="Arial Narrow" w:cs="Arial"/>
                <w:b/>
                <w:bCs/>
                <w:sz w:val="18"/>
                <w:szCs w:val="18"/>
              </w:rPr>
            </w:pPr>
          </w:p>
        </w:tc>
      </w:tr>
      <w:tr w:rsidR="007B1695" w:rsidRPr="00475249" w:rsidTr="007B1695">
        <w:tc>
          <w:tcPr>
            <w:tcW w:w="1852" w:type="dxa"/>
            <w:tcBorders>
              <w:top w:val="nil"/>
              <w:bottom w:val="nil"/>
            </w:tcBorders>
            <w:shd w:val="clear" w:color="auto" w:fill="auto"/>
          </w:tcPr>
          <w:p w:rsidR="00577337" w:rsidRPr="00475249" w:rsidRDefault="00577337" w:rsidP="00B17417">
            <w:pPr>
              <w:spacing w:before="40" w:after="40"/>
              <w:ind w:left="0"/>
              <w:jc w:val="both"/>
              <w:rPr>
                <w:rFonts w:ascii="Arial Narrow" w:hAnsi="Arial Narrow" w:cs="Arial"/>
                <w:sz w:val="18"/>
                <w:szCs w:val="18"/>
              </w:rPr>
            </w:pPr>
            <w:r w:rsidRPr="00475249">
              <w:rPr>
                <w:rFonts w:ascii="Arial Narrow" w:hAnsi="Arial Narrow" w:cs="Arial"/>
                <w:sz w:val="18"/>
                <w:szCs w:val="18"/>
              </w:rPr>
              <w:t>Initial consultation</w:t>
            </w:r>
          </w:p>
        </w:tc>
        <w:tc>
          <w:tcPr>
            <w:tcW w:w="1534"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821"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517" w:type="dxa"/>
            <w:tcBorders>
              <w:top w:val="nil"/>
              <w:bottom w:val="nil"/>
            </w:tcBorders>
            <w:shd w:val="clear" w:color="auto" w:fill="auto"/>
            <w:vAlign w:val="center"/>
          </w:tcPr>
          <w:p w:rsidR="00577337" w:rsidRPr="00475249" w:rsidRDefault="00577337" w:rsidP="00B17417">
            <w:pPr>
              <w:spacing w:before="40" w:after="40"/>
              <w:ind w:hanging="710"/>
              <w:jc w:val="center"/>
              <w:rPr>
                <w:rFonts w:ascii="Arial Narrow" w:hAnsi="Arial Narrow" w:cs="Arial"/>
                <w:sz w:val="18"/>
                <w:szCs w:val="18"/>
              </w:rPr>
            </w:pPr>
            <w:r w:rsidRPr="00475249">
              <w:rPr>
                <w:rFonts w:ascii="Arial Narrow" w:hAnsi="Arial Narrow" w:cs="Arial"/>
                <w:sz w:val="18"/>
                <w:szCs w:val="18"/>
              </w:rPr>
              <w:t>$37.05</w:t>
            </w:r>
          </w:p>
        </w:tc>
        <w:tc>
          <w:tcPr>
            <w:tcW w:w="1621" w:type="dxa"/>
            <w:tcBorders>
              <w:top w:val="nil"/>
              <w:bottom w:val="nil"/>
            </w:tcBorders>
            <w:shd w:val="clear" w:color="auto" w:fill="auto"/>
            <w:vAlign w:val="center"/>
          </w:tcPr>
          <w:p w:rsidR="00577337" w:rsidRPr="00475249" w:rsidRDefault="00577337" w:rsidP="00B17417">
            <w:pPr>
              <w:spacing w:before="40" w:after="40"/>
              <w:ind w:hanging="668"/>
              <w:jc w:val="center"/>
              <w:rPr>
                <w:rFonts w:ascii="Arial Narrow" w:hAnsi="Arial Narrow" w:cs="Arial"/>
                <w:sz w:val="18"/>
                <w:szCs w:val="18"/>
              </w:rPr>
            </w:pPr>
            <w:r w:rsidRPr="00475249">
              <w:rPr>
                <w:rFonts w:ascii="Arial Narrow" w:hAnsi="Arial Narrow" w:cs="Arial"/>
                <w:sz w:val="18"/>
                <w:szCs w:val="18"/>
              </w:rPr>
              <w:t>MBS 23</w:t>
            </w:r>
          </w:p>
        </w:tc>
      </w:tr>
      <w:tr w:rsidR="007B1695" w:rsidRPr="00475249" w:rsidTr="007B1695">
        <w:tc>
          <w:tcPr>
            <w:tcW w:w="1852" w:type="dxa"/>
            <w:tcBorders>
              <w:top w:val="nil"/>
              <w:bottom w:val="nil"/>
            </w:tcBorders>
            <w:shd w:val="clear" w:color="auto" w:fill="auto"/>
          </w:tcPr>
          <w:p w:rsidR="00577337" w:rsidRPr="00475249" w:rsidRDefault="00577337" w:rsidP="00B17417">
            <w:pPr>
              <w:spacing w:before="40" w:after="40"/>
              <w:ind w:left="0"/>
              <w:jc w:val="both"/>
              <w:rPr>
                <w:rFonts w:ascii="Arial Narrow" w:hAnsi="Arial Narrow" w:cs="Arial"/>
                <w:sz w:val="18"/>
                <w:szCs w:val="18"/>
              </w:rPr>
            </w:pPr>
            <w:r w:rsidRPr="00475249">
              <w:rPr>
                <w:rFonts w:ascii="Arial Narrow" w:hAnsi="Arial Narrow" w:cs="Arial"/>
                <w:sz w:val="18"/>
                <w:szCs w:val="18"/>
              </w:rPr>
              <w:t>HIV test</w:t>
            </w:r>
          </w:p>
        </w:tc>
        <w:tc>
          <w:tcPr>
            <w:tcW w:w="1534"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p>
        </w:tc>
        <w:tc>
          <w:tcPr>
            <w:tcW w:w="1821"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p>
        </w:tc>
        <w:tc>
          <w:tcPr>
            <w:tcW w:w="1517" w:type="dxa"/>
            <w:tcBorders>
              <w:top w:val="nil"/>
              <w:bottom w:val="nil"/>
            </w:tcBorders>
            <w:shd w:val="clear" w:color="auto" w:fill="auto"/>
            <w:vAlign w:val="center"/>
          </w:tcPr>
          <w:p w:rsidR="00577337" w:rsidRPr="00475249" w:rsidRDefault="00577337" w:rsidP="00B17417">
            <w:pPr>
              <w:spacing w:before="40" w:after="40"/>
              <w:ind w:hanging="710"/>
              <w:jc w:val="center"/>
              <w:rPr>
                <w:rFonts w:ascii="Arial Narrow" w:hAnsi="Arial Narrow" w:cs="Arial"/>
                <w:sz w:val="18"/>
                <w:szCs w:val="18"/>
              </w:rPr>
            </w:pPr>
          </w:p>
        </w:tc>
        <w:tc>
          <w:tcPr>
            <w:tcW w:w="1621" w:type="dxa"/>
            <w:tcBorders>
              <w:top w:val="nil"/>
              <w:bottom w:val="nil"/>
            </w:tcBorders>
            <w:shd w:val="clear" w:color="auto" w:fill="auto"/>
            <w:vAlign w:val="center"/>
          </w:tcPr>
          <w:p w:rsidR="00577337" w:rsidRPr="00475249" w:rsidRDefault="00577337" w:rsidP="00B17417">
            <w:pPr>
              <w:spacing w:before="40" w:after="40"/>
              <w:ind w:hanging="668"/>
              <w:jc w:val="center"/>
              <w:rPr>
                <w:rFonts w:ascii="Arial Narrow" w:hAnsi="Arial Narrow" w:cs="Arial"/>
                <w:sz w:val="18"/>
                <w:szCs w:val="18"/>
              </w:rPr>
            </w:pPr>
          </w:p>
        </w:tc>
      </w:tr>
      <w:tr w:rsidR="007B1695" w:rsidRPr="00475249" w:rsidTr="007B1695">
        <w:tc>
          <w:tcPr>
            <w:tcW w:w="1852" w:type="dxa"/>
            <w:tcBorders>
              <w:top w:val="nil"/>
              <w:bottom w:val="nil"/>
            </w:tcBorders>
            <w:shd w:val="clear" w:color="auto" w:fill="auto"/>
          </w:tcPr>
          <w:p w:rsidR="00577337" w:rsidRPr="00475249" w:rsidRDefault="00577337" w:rsidP="00B17417">
            <w:pPr>
              <w:spacing w:before="40" w:after="40"/>
              <w:ind w:left="0"/>
              <w:jc w:val="both"/>
              <w:rPr>
                <w:rFonts w:ascii="Arial Narrow" w:hAnsi="Arial Narrow" w:cs="Arial"/>
                <w:sz w:val="18"/>
                <w:szCs w:val="18"/>
              </w:rPr>
            </w:pPr>
            <w:r w:rsidRPr="00475249">
              <w:rPr>
                <w:rFonts w:ascii="Arial Narrow" w:hAnsi="Arial Narrow" w:cs="Arial"/>
                <w:sz w:val="18"/>
                <w:szCs w:val="18"/>
              </w:rPr>
              <w:t>Determine test</w:t>
            </w:r>
          </w:p>
        </w:tc>
        <w:tc>
          <w:tcPr>
            <w:tcW w:w="1534"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821"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x</w:t>
            </w:r>
          </w:p>
        </w:tc>
        <w:tc>
          <w:tcPr>
            <w:tcW w:w="1517" w:type="dxa"/>
            <w:tcBorders>
              <w:top w:val="nil"/>
              <w:bottom w:val="nil"/>
            </w:tcBorders>
            <w:shd w:val="clear" w:color="auto" w:fill="auto"/>
            <w:vAlign w:val="center"/>
          </w:tcPr>
          <w:p w:rsidR="00577337" w:rsidRPr="00475249" w:rsidRDefault="00577337" w:rsidP="00B17417">
            <w:pPr>
              <w:spacing w:before="40" w:after="40"/>
              <w:ind w:hanging="710"/>
              <w:jc w:val="center"/>
              <w:rPr>
                <w:rFonts w:ascii="Arial Narrow" w:hAnsi="Arial Narrow" w:cs="Arial"/>
                <w:sz w:val="18"/>
                <w:szCs w:val="18"/>
              </w:rPr>
            </w:pPr>
            <w:r w:rsidRPr="00475249">
              <w:rPr>
                <w:rFonts w:ascii="Arial Narrow" w:hAnsi="Arial Narrow" w:cs="Arial"/>
                <w:sz w:val="18"/>
                <w:szCs w:val="18"/>
              </w:rPr>
              <w:t>$30.00</w:t>
            </w:r>
          </w:p>
        </w:tc>
        <w:tc>
          <w:tcPr>
            <w:tcW w:w="1621" w:type="dxa"/>
            <w:tcBorders>
              <w:top w:val="nil"/>
              <w:bottom w:val="nil"/>
            </w:tcBorders>
            <w:shd w:val="clear" w:color="auto" w:fill="auto"/>
            <w:vAlign w:val="center"/>
          </w:tcPr>
          <w:p w:rsidR="00577337" w:rsidRPr="00475249" w:rsidRDefault="00577337" w:rsidP="00B17417">
            <w:pPr>
              <w:spacing w:before="40" w:after="40"/>
              <w:ind w:hanging="668"/>
              <w:jc w:val="center"/>
              <w:rPr>
                <w:rFonts w:ascii="Arial Narrow" w:hAnsi="Arial Narrow" w:cs="Arial"/>
                <w:sz w:val="18"/>
                <w:szCs w:val="18"/>
              </w:rPr>
            </w:pPr>
            <w:r w:rsidRPr="00475249">
              <w:rPr>
                <w:rFonts w:ascii="Arial Narrow" w:hAnsi="Arial Narrow" w:cs="Arial"/>
                <w:sz w:val="18"/>
                <w:szCs w:val="18"/>
              </w:rPr>
              <w:t>Section A</w:t>
            </w:r>
          </w:p>
        </w:tc>
      </w:tr>
      <w:tr w:rsidR="007B1695" w:rsidRPr="00475249" w:rsidTr="007B1695">
        <w:tc>
          <w:tcPr>
            <w:tcW w:w="1852" w:type="dxa"/>
            <w:tcBorders>
              <w:top w:val="nil"/>
              <w:bottom w:val="nil"/>
            </w:tcBorders>
            <w:shd w:val="clear" w:color="auto" w:fill="auto"/>
          </w:tcPr>
          <w:p w:rsidR="00577337" w:rsidRPr="00475249" w:rsidRDefault="00577337" w:rsidP="00B17417">
            <w:pPr>
              <w:spacing w:before="40" w:after="40"/>
              <w:ind w:left="0"/>
              <w:jc w:val="both"/>
              <w:rPr>
                <w:rFonts w:ascii="Arial Narrow" w:hAnsi="Arial Narrow" w:cs="Arial"/>
                <w:sz w:val="18"/>
                <w:szCs w:val="18"/>
              </w:rPr>
            </w:pPr>
            <w:r w:rsidRPr="00475249">
              <w:rPr>
                <w:rFonts w:ascii="Arial Narrow" w:hAnsi="Arial Narrow" w:cs="Arial"/>
                <w:sz w:val="18"/>
                <w:szCs w:val="18"/>
              </w:rPr>
              <w:t>Laboratory test</w:t>
            </w:r>
          </w:p>
        </w:tc>
        <w:tc>
          <w:tcPr>
            <w:tcW w:w="1534" w:type="dxa"/>
            <w:tcBorders>
              <w:top w:val="nil"/>
              <w:bottom w:val="nil"/>
            </w:tcBorders>
            <w:shd w:val="clear" w:color="auto" w:fill="auto"/>
            <w:vAlign w:val="center"/>
          </w:tcPr>
          <w:p w:rsidR="00577337" w:rsidRPr="00475249" w:rsidRDefault="00577337" w:rsidP="00F737A4">
            <w:pPr>
              <w:spacing w:before="40" w:after="40"/>
              <w:ind w:hanging="720"/>
              <w:jc w:val="center"/>
              <w:rPr>
                <w:rFonts w:ascii="Arial Narrow" w:hAnsi="Arial Narrow" w:cs="Arial"/>
                <w:sz w:val="18"/>
                <w:szCs w:val="18"/>
              </w:rPr>
            </w:pPr>
            <w:r w:rsidRPr="00475249">
              <w:rPr>
                <w:rFonts w:ascii="Arial Narrow" w:hAnsi="Arial Narrow" w:cs="Arial"/>
                <w:sz w:val="18"/>
                <w:szCs w:val="18"/>
              </w:rPr>
              <w:t xml:space="preserve">If </w:t>
            </w:r>
            <w:r w:rsidR="00F737A4">
              <w:rPr>
                <w:rFonts w:ascii="Arial Narrow" w:hAnsi="Arial Narrow" w:cs="Arial"/>
                <w:sz w:val="18"/>
                <w:szCs w:val="18"/>
              </w:rPr>
              <w:t>DHC</w:t>
            </w:r>
            <w:r w:rsidRPr="00475249">
              <w:rPr>
                <w:rFonts w:ascii="Arial Narrow" w:hAnsi="Arial Narrow" w:cs="Arial"/>
                <w:sz w:val="18"/>
                <w:szCs w:val="18"/>
              </w:rPr>
              <w:t xml:space="preserve"> positive</w:t>
            </w:r>
          </w:p>
        </w:tc>
        <w:tc>
          <w:tcPr>
            <w:tcW w:w="1821"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517" w:type="dxa"/>
            <w:tcBorders>
              <w:top w:val="nil"/>
              <w:bottom w:val="nil"/>
            </w:tcBorders>
            <w:shd w:val="clear" w:color="auto" w:fill="auto"/>
            <w:vAlign w:val="center"/>
          </w:tcPr>
          <w:p w:rsidR="00577337" w:rsidRPr="00475249" w:rsidRDefault="00577337" w:rsidP="00B17417">
            <w:pPr>
              <w:spacing w:before="40" w:after="40"/>
              <w:ind w:hanging="710"/>
              <w:jc w:val="center"/>
              <w:rPr>
                <w:rFonts w:ascii="Arial Narrow" w:hAnsi="Arial Narrow" w:cs="Arial"/>
                <w:sz w:val="18"/>
                <w:szCs w:val="18"/>
              </w:rPr>
            </w:pPr>
            <w:r w:rsidRPr="00475249">
              <w:rPr>
                <w:rFonts w:ascii="Arial Narrow" w:hAnsi="Arial Narrow" w:cs="Arial"/>
                <w:sz w:val="18"/>
                <w:szCs w:val="18"/>
              </w:rPr>
              <w:t>$15.65</w:t>
            </w:r>
          </w:p>
        </w:tc>
        <w:tc>
          <w:tcPr>
            <w:tcW w:w="1621" w:type="dxa"/>
            <w:tcBorders>
              <w:top w:val="nil"/>
              <w:bottom w:val="nil"/>
            </w:tcBorders>
            <w:shd w:val="clear" w:color="auto" w:fill="auto"/>
            <w:vAlign w:val="center"/>
          </w:tcPr>
          <w:p w:rsidR="00577337" w:rsidRPr="00475249" w:rsidRDefault="00577337" w:rsidP="00B17417">
            <w:pPr>
              <w:spacing w:before="40" w:after="40"/>
              <w:ind w:hanging="668"/>
              <w:jc w:val="center"/>
              <w:rPr>
                <w:rFonts w:ascii="Arial Narrow" w:hAnsi="Arial Narrow" w:cs="Arial"/>
                <w:sz w:val="18"/>
                <w:szCs w:val="18"/>
              </w:rPr>
            </w:pPr>
            <w:r w:rsidRPr="00475249">
              <w:rPr>
                <w:rFonts w:ascii="Arial Narrow" w:hAnsi="Arial Narrow" w:cs="Arial"/>
                <w:sz w:val="18"/>
                <w:szCs w:val="18"/>
              </w:rPr>
              <w:t>MBS 69384</w:t>
            </w:r>
          </w:p>
        </w:tc>
      </w:tr>
      <w:tr w:rsidR="007B1695" w:rsidRPr="00475249" w:rsidTr="007D703C">
        <w:tc>
          <w:tcPr>
            <w:tcW w:w="1852" w:type="dxa"/>
            <w:tcBorders>
              <w:top w:val="nil"/>
              <w:bottom w:val="nil"/>
            </w:tcBorders>
            <w:shd w:val="clear" w:color="auto" w:fill="auto"/>
          </w:tcPr>
          <w:p w:rsidR="00577337" w:rsidRPr="00475249" w:rsidRDefault="00326D37" w:rsidP="00F737A4">
            <w:pPr>
              <w:spacing w:before="40" w:after="40"/>
              <w:ind w:left="0"/>
              <w:jc w:val="both"/>
              <w:rPr>
                <w:rFonts w:ascii="Arial Narrow" w:hAnsi="Arial Narrow" w:cs="Arial"/>
                <w:sz w:val="18"/>
                <w:szCs w:val="18"/>
              </w:rPr>
            </w:pPr>
            <w:r>
              <w:rPr>
                <w:rFonts w:ascii="Arial Narrow" w:hAnsi="Arial Narrow" w:cs="Arial"/>
                <w:sz w:val="18"/>
                <w:szCs w:val="18"/>
              </w:rPr>
              <w:t>E</w:t>
            </w:r>
            <w:r w:rsidR="00577337" w:rsidRPr="00475249">
              <w:rPr>
                <w:rFonts w:ascii="Arial Narrow" w:hAnsi="Arial Narrow" w:cs="Arial"/>
                <w:sz w:val="18"/>
                <w:szCs w:val="18"/>
              </w:rPr>
              <w:t xml:space="preserve">xtra </w:t>
            </w:r>
            <w:r w:rsidR="00F737A4">
              <w:rPr>
                <w:rFonts w:ascii="Arial Narrow" w:hAnsi="Arial Narrow" w:cs="Arial"/>
                <w:sz w:val="18"/>
                <w:szCs w:val="18"/>
              </w:rPr>
              <w:t>DHC</w:t>
            </w:r>
            <w:r>
              <w:rPr>
                <w:rFonts w:ascii="Arial Narrow" w:hAnsi="Arial Narrow" w:cs="Arial"/>
                <w:sz w:val="18"/>
                <w:szCs w:val="18"/>
              </w:rPr>
              <w:t xml:space="preserve"> test </w:t>
            </w:r>
            <w:r w:rsidR="00577337" w:rsidRPr="00475249">
              <w:rPr>
                <w:rFonts w:ascii="Arial Narrow" w:hAnsi="Arial Narrow" w:cs="Arial"/>
                <w:sz w:val="18"/>
                <w:szCs w:val="18"/>
              </w:rPr>
              <w:t>fee</w:t>
            </w:r>
          </w:p>
        </w:tc>
        <w:tc>
          <w:tcPr>
            <w:tcW w:w="1534" w:type="dxa"/>
            <w:tcBorders>
              <w:top w:val="nil"/>
              <w:bottom w:val="nil"/>
            </w:tcBorders>
            <w:shd w:val="clear" w:color="auto" w:fill="auto"/>
            <w:vAlign w:val="center"/>
          </w:tcPr>
          <w:p w:rsidR="00577337" w:rsidRPr="00475249" w:rsidRDefault="0086027D"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821" w:type="dxa"/>
            <w:tcBorders>
              <w:top w:val="nil"/>
              <w:bottom w:val="nil"/>
            </w:tcBorders>
            <w:shd w:val="clear" w:color="auto" w:fill="auto"/>
            <w:vAlign w:val="center"/>
          </w:tcPr>
          <w:p w:rsidR="00577337" w:rsidRPr="00475249" w:rsidRDefault="0086027D"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x</w:t>
            </w:r>
          </w:p>
        </w:tc>
        <w:tc>
          <w:tcPr>
            <w:tcW w:w="1517" w:type="dxa"/>
            <w:tcBorders>
              <w:top w:val="nil"/>
              <w:bottom w:val="nil"/>
            </w:tcBorders>
            <w:shd w:val="clear" w:color="auto" w:fill="auto"/>
            <w:vAlign w:val="center"/>
          </w:tcPr>
          <w:p w:rsidR="00577337" w:rsidRPr="00475249" w:rsidRDefault="00577337" w:rsidP="00B17417">
            <w:pPr>
              <w:spacing w:before="40" w:after="40"/>
              <w:ind w:hanging="710"/>
              <w:jc w:val="center"/>
              <w:rPr>
                <w:rFonts w:ascii="Arial Narrow" w:hAnsi="Arial Narrow" w:cs="Arial"/>
                <w:sz w:val="18"/>
                <w:szCs w:val="18"/>
              </w:rPr>
            </w:pPr>
            <w:r w:rsidRPr="00475249">
              <w:rPr>
                <w:rFonts w:ascii="Arial Narrow" w:hAnsi="Arial Narrow" w:cs="Arial"/>
                <w:sz w:val="18"/>
                <w:szCs w:val="18"/>
              </w:rPr>
              <w:t>$</w:t>
            </w:r>
            <w:r w:rsidR="002C6D0C">
              <w:rPr>
                <w:rFonts w:ascii="Arial Narrow" w:hAnsi="Arial Narrow" w:cs="Arial"/>
                <w:sz w:val="18"/>
                <w:szCs w:val="18"/>
              </w:rPr>
              <w:t>0.</w:t>
            </w:r>
            <w:r w:rsidR="006971C9">
              <w:rPr>
                <w:rFonts w:ascii="Arial Narrow" w:hAnsi="Arial Narrow" w:cs="Arial"/>
                <w:sz w:val="18"/>
                <w:szCs w:val="18"/>
              </w:rPr>
              <w:t>74</w:t>
            </w:r>
            <w:r w:rsidR="002C6D0C">
              <w:rPr>
                <w:rFonts w:ascii="Arial Narrow" w:hAnsi="Arial Narrow" w:cs="Arial"/>
                <w:sz w:val="18"/>
                <w:szCs w:val="18"/>
              </w:rPr>
              <w:t>*</w:t>
            </w:r>
          </w:p>
        </w:tc>
        <w:tc>
          <w:tcPr>
            <w:tcW w:w="1621" w:type="dxa"/>
            <w:tcBorders>
              <w:top w:val="nil"/>
              <w:bottom w:val="nil"/>
            </w:tcBorders>
            <w:shd w:val="clear" w:color="auto" w:fill="auto"/>
            <w:vAlign w:val="center"/>
          </w:tcPr>
          <w:p w:rsidR="0086027D" w:rsidRPr="00475249" w:rsidRDefault="00756638" w:rsidP="00B17417">
            <w:pPr>
              <w:spacing w:before="40" w:after="40"/>
              <w:ind w:hanging="668"/>
              <w:jc w:val="center"/>
              <w:rPr>
                <w:rFonts w:ascii="Arial Narrow" w:hAnsi="Arial Narrow" w:cs="Arial"/>
                <w:sz w:val="18"/>
                <w:szCs w:val="18"/>
              </w:rPr>
            </w:pPr>
            <w:r>
              <w:rPr>
                <w:rFonts w:ascii="Arial Narrow" w:hAnsi="Arial Narrow" w:cs="Arial"/>
                <w:sz w:val="18"/>
                <w:szCs w:val="18"/>
              </w:rPr>
              <w:t>MBS 74990, 74991</w:t>
            </w:r>
          </w:p>
        </w:tc>
      </w:tr>
      <w:tr w:rsidR="00326D37" w:rsidRPr="00475249" w:rsidTr="00F737A4">
        <w:tc>
          <w:tcPr>
            <w:tcW w:w="1852" w:type="dxa"/>
            <w:tcBorders>
              <w:top w:val="nil"/>
              <w:bottom w:val="nil"/>
            </w:tcBorders>
            <w:shd w:val="clear" w:color="auto" w:fill="auto"/>
            <w:vAlign w:val="center"/>
          </w:tcPr>
          <w:p w:rsidR="00326D37" w:rsidRPr="00475249" w:rsidDel="00326D37" w:rsidRDefault="00E34988" w:rsidP="00F737A4">
            <w:pPr>
              <w:spacing w:before="40" w:after="40"/>
              <w:ind w:left="0"/>
              <w:rPr>
                <w:rFonts w:ascii="Arial Narrow" w:hAnsi="Arial Narrow" w:cs="Arial"/>
                <w:sz w:val="18"/>
                <w:szCs w:val="18"/>
              </w:rPr>
            </w:pPr>
            <w:r>
              <w:rPr>
                <w:rFonts w:ascii="Arial Narrow" w:hAnsi="Arial Narrow" w:cs="Arial"/>
                <w:sz w:val="18"/>
                <w:szCs w:val="18"/>
              </w:rPr>
              <w:t>Extra l</w:t>
            </w:r>
            <w:r w:rsidR="00326D37">
              <w:rPr>
                <w:rFonts w:ascii="Arial Narrow" w:hAnsi="Arial Narrow" w:cs="Arial"/>
                <w:sz w:val="18"/>
                <w:szCs w:val="18"/>
              </w:rPr>
              <w:t>aboratory test fee</w:t>
            </w:r>
          </w:p>
        </w:tc>
        <w:tc>
          <w:tcPr>
            <w:tcW w:w="1534" w:type="dxa"/>
            <w:tcBorders>
              <w:top w:val="nil"/>
              <w:bottom w:val="nil"/>
            </w:tcBorders>
            <w:shd w:val="clear" w:color="auto" w:fill="auto"/>
            <w:vAlign w:val="center"/>
          </w:tcPr>
          <w:p w:rsidR="00326D37" w:rsidRPr="00475249" w:rsidRDefault="00326D37" w:rsidP="00F737A4">
            <w:pPr>
              <w:spacing w:before="40" w:after="40"/>
              <w:ind w:hanging="720"/>
              <w:jc w:val="center"/>
              <w:rPr>
                <w:rFonts w:ascii="Arial Narrow" w:hAnsi="Arial Narrow" w:cs="Arial"/>
                <w:sz w:val="18"/>
                <w:szCs w:val="18"/>
              </w:rPr>
            </w:pPr>
            <w:r>
              <w:rPr>
                <w:rFonts w:ascii="Arial Narrow" w:hAnsi="Arial Narrow" w:cs="Arial"/>
                <w:sz w:val="18"/>
                <w:szCs w:val="18"/>
              </w:rPr>
              <w:t>If</w:t>
            </w:r>
            <w:r w:rsidR="0086027D">
              <w:rPr>
                <w:rFonts w:ascii="Arial Narrow" w:hAnsi="Arial Narrow" w:cs="Arial"/>
                <w:sz w:val="18"/>
                <w:szCs w:val="18"/>
              </w:rPr>
              <w:t xml:space="preserve"> </w:t>
            </w:r>
            <w:r w:rsidR="00F737A4">
              <w:rPr>
                <w:rFonts w:ascii="Arial Narrow" w:hAnsi="Arial Narrow" w:cs="Arial"/>
                <w:sz w:val="18"/>
                <w:szCs w:val="18"/>
              </w:rPr>
              <w:t>DHC</w:t>
            </w:r>
            <w:r w:rsidR="0086027D">
              <w:rPr>
                <w:rFonts w:ascii="Arial Narrow" w:hAnsi="Arial Narrow" w:cs="Arial"/>
                <w:sz w:val="18"/>
                <w:szCs w:val="18"/>
              </w:rPr>
              <w:t xml:space="preserve"> positive</w:t>
            </w:r>
          </w:p>
        </w:tc>
        <w:tc>
          <w:tcPr>
            <w:tcW w:w="1821" w:type="dxa"/>
            <w:tcBorders>
              <w:top w:val="nil"/>
              <w:bottom w:val="nil"/>
            </w:tcBorders>
            <w:shd w:val="clear" w:color="auto" w:fill="auto"/>
            <w:vAlign w:val="center"/>
          </w:tcPr>
          <w:p w:rsidR="00326D37" w:rsidRPr="00475249" w:rsidRDefault="0086027D"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517" w:type="dxa"/>
            <w:tcBorders>
              <w:top w:val="nil"/>
              <w:bottom w:val="nil"/>
            </w:tcBorders>
            <w:shd w:val="clear" w:color="auto" w:fill="auto"/>
            <w:vAlign w:val="center"/>
          </w:tcPr>
          <w:p w:rsidR="00326D37" w:rsidRPr="00475249" w:rsidRDefault="00756638" w:rsidP="00B17417">
            <w:pPr>
              <w:spacing w:before="40" w:after="40"/>
              <w:ind w:hanging="710"/>
              <w:jc w:val="center"/>
              <w:rPr>
                <w:rFonts w:ascii="Arial Narrow" w:hAnsi="Arial Narrow" w:cs="Arial"/>
                <w:sz w:val="18"/>
                <w:szCs w:val="18"/>
              </w:rPr>
            </w:pPr>
            <w:r>
              <w:rPr>
                <w:rFonts w:ascii="Arial Narrow" w:hAnsi="Arial Narrow" w:cs="Arial"/>
                <w:sz w:val="18"/>
                <w:szCs w:val="18"/>
              </w:rPr>
              <w:t>$</w:t>
            </w:r>
            <w:r w:rsidR="006971C9">
              <w:rPr>
                <w:rFonts w:ascii="Arial Narrow" w:hAnsi="Arial Narrow" w:cs="Arial"/>
                <w:sz w:val="18"/>
                <w:szCs w:val="18"/>
              </w:rPr>
              <w:t>8.46</w:t>
            </w:r>
            <w:r w:rsidR="002C6D0C" w:rsidRPr="007D703C">
              <w:rPr>
                <w:rFonts w:ascii="Arial Narrow" w:hAnsi="Arial Narrow" w:cs="Arial"/>
                <w:sz w:val="18"/>
                <w:szCs w:val="18"/>
                <w:vertAlign w:val="superscript"/>
              </w:rPr>
              <w:t>#</w:t>
            </w:r>
          </w:p>
        </w:tc>
        <w:tc>
          <w:tcPr>
            <w:tcW w:w="1621" w:type="dxa"/>
            <w:tcBorders>
              <w:top w:val="nil"/>
              <w:bottom w:val="nil"/>
            </w:tcBorders>
            <w:shd w:val="clear" w:color="auto" w:fill="auto"/>
            <w:vAlign w:val="center"/>
          </w:tcPr>
          <w:p w:rsidR="00756638" w:rsidRDefault="00756638" w:rsidP="00B17417">
            <w:pPr>
              <w:spacing w:before="40" w:after="40"/>
              <w:ind w:hanging="668"/>
              <w:jc w:val="center"/>
              <w:rPr>
                <w:rFonts w:ascii="Arial Narrow" w:hAnsi="Arial Narrow" w:cs="Arial"/>
                <w:sz w:val="18"/>
                <w:szCs w:val="18"/>
              </w:rPr>
            </w:pPr>
            <w:r w:rsidRPr="00475249">
              <w:rPr>
                <w:rFonts w:ascii="Arial Narrow" w:hAnsi="Arial Narrow" w:cs="Arial"/>
                <w:sz w:val="18"/>
                <w:szCs w:val="18"/>
              </w:rPr>
              <w:t>MBS</w:t>
            </w:r>
            <w:r>
              <w:rPr>
                <w:rFonts w:ascii="Arial Narrow" w:hAnsi="Arial Narrow" w:cs="Arial"/>
                <w:sz w:val="18"/>
                <w:szCs w:val="18"/>
              </w:rPr>
              <w:t xml:space="preserve"> 74995, 74999;</w:t>
            </w:r>
          </w:p>
          <w:p w:rsidR="0086027D" w:rsidRPr="00475249" w:rsidRDefault="00756638" w:rsidP="00B17417">
            <w:pPr>
              <w:spacing w:before="40" w:after="40"/>
              <w:ind w:hanging="668"/>
              <w:jc w:val="center"/>
              <w:rPr>
                <w:rFonts w:ascii="Arial Narrow" w:hAnsi="Arial Narrow" w:cs="Arial"/>
                <w:sz w:val="18"/>
                <w:szCs w:val="18"/>
              </w:rPr>
            </w:pPr>
            <w:r>
              <w:rPr>
                <w:rFonts w:ascii="Arial Narrow" w:hAnsi="Arial Narrow" w:cs="Arial"/>
                <w:sz w:val="18"/>
                <w:szCs w:val="18"/>
              </w:rPr>
              <w:t>MBS 73928, 73929</w:t>
            </w:r>
          </w:p>
        </w:tc>
      </w:tr>
      <w:tr w:rsidR="007B1695" w:rsidRPr="00475249" w:rsidTr="007B1695">
        <w:tc>
          <w:tcPr>
            <w:tcW w:w="1852" w:type="dxa"/>
            <w:tcBorders>
              <w:top w:val="nil"/>
              <w:bottom w:val="nil"/>
            </w:tcBorders>
            <w:shd w:val="clear" w:color="auto" w:fill="auto"/>
          </w:tcPr>
          <w:p w:rsidR="00577337" w:rsidRPr="00475249" w:rsidRDefault="00577337" w:rsidP="00B17417">
            <w:pPr>
              <w:spacing w:before="40" w:after="40"/>
              <w:ind w:left="0"/>
              <w:jc w:val="both"/>
              <w:rPr>
                <w:rFonts w:ascii="Arial Narrow" w:hAnsi="Arial Narrow" w:cs="Arial"/>
                <w:sz w:val="18"/>
                <w:szCs w:val="18"/>
              </w:rPr>
            </w:pPr>
            <w:r w:rsidRPr="00475249">
              <w:rPr>
                <w:rFonts w:ascii="Arial Narrow" w:hAnsi="Arial Narrow" w:cs="Arial"/>
                <w:sz w:val="18"/>
                <w:szCs w:val="18"/>
              </w:rPr>
              <w:t>Follow-up consultation</w:t>
            </w:r>
          </w:p>
        </w:tc>
        <w:tc>
          <w:tcPr>
            <w:tcW w:w="1534"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x</w:t>
            </w:r>
          </w:p>
        </w:tc>
        <w:tc>
          <w:tcPr>
            <w:tcW w:w="1821"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If test positive</w:t>
            </w:r>
          </w:p>
        </w:tc>
        <w:tc>
          <w:tcPr>
            <w:tcW w:w="1517" w:type="dxa"/>
            <w:tcBorders>
              <w:top w:val="nil"/>
              <w:bottom w:val="nil"/>
            </w:tcBorders>
            <w:shd w:val="clear" w:color="auto" w:fill="auto"/>
            <w:vAlign w:val="center"/>
          </w:tcPr>
          <w:p w:rsidR="00577337" w:rsidRPr="00475249" w:rsidRDefault="00577337" w:rsidP="00B17417">
            <w:pPr>
              <w:spacing w:before="40" w:after="40"/>
              <w:ind w:hanging="710"/>
              <w:jc w:val="center"/>
              <w:rPr>
                <w:rFonts w:ascii="Arial Narrow" w:hAnsi="Arial Narrow" w:cs="Arial"/>
                <w:sz w:val="18"/>
                <w:szCs w:val="18"/>
              </w:rPr>
            </w:pPr>
            <w:r w:rsidRPr="00475249">
              <w:rPr>
                <w:rFonts w:ascii="Arial Narrow" w:hAnsi="Arial Narrow" w:cs="Arial"/>
                <w:sz w:val="18"/>
                <w:szCs w:val="18"/>
              </w:rPr>
              <w:t>$37.05</w:t>
            </w:r>
          </w:p>
        </w:tc>
        <w:tc>
          <w:tcPr>
            <w:tcW w:w="1621" w:type="dxa"/>
            <w:tcBorders>
              <w:top w:val="nil"/>
              <w:bottom w:val="nil"/>
            </w:tcBorders>
            <w:shd w:val="clear" w:color="auto" w:fill="auto"/>
            <w:vAlign w:val="center"/>
          </w:tcPr>
          <w:p w:rsidR="00577337" w:rsidRPr="00475249" w:rsidRDefault="00577337" w:rsidP="00B17417">
            <w:pPr>
              <w:spacing w:before="40" w:after="40"/>
              <w:ind w:hanging="668"/>
              <w:jc w:val="center"/>
              <w:rPr>
                <w:rFonts w:ascii="Arial Narrow" w:hAnsi="Arial Narrow" w:cs="Arial"/>
                <w:sz w:val="18"/>
                <w:szCs w:val="18"/>
              </w:rPr>
            </w:pPr>
            <w:r w:rsidRPr="00475249">
              <w:rPr>
                <w:rFonts w:ascii="Arial Narrow" w:hAnsi="Arial Narrow" w:cs="Arial"/>
                <w:sz w:val="18"/>
                <w:szCs w:val="18"/>
              </w:rPr>
              <w:t>MBS 23</w:t>
            </w:r>
          </w:p>
        </w:tc>
      </w:tr>
      <w:tr w:rsidR="007B1695" w:rsidRPr="00475249" w:rsidTr="007B1695">
        <w:tc>
          <w:tcPr>
            <w:tcW w:w="1852" w:type="dxa"/>
            <w:tcBorders>
              <w:top w:val="nil"/>
              <w:bottom w:val="nil"/>
            </w:tcBorders>
            <w:shd w:val="clear" w:color="auto" w:fill="auto"/>
          </w:tcPr>
          <w:p w:rsidR="00577337" w:rsidRPr="00475249" w:rsidRDefault="00577337" w:rsidP="00B17417">
            <w:pPr>
              <w:spacing w:before="40" w:after="40"/>
              <w:ind w:left="0"/>
              <w:jc w:val="both"/>
              <w:rPr>
                <w:rFonts w:ascii="Arial Narrow" w:hAnsi="Arial Narrow" w:cs="Arial"/>
                <w:b/>
                <w:bCs/>
                <w:sz w:val="18"/>
                <w:szCs w:val="18"/>
              </w:rPr>
            </w:pPr>
            <w:r w:rsidRPr="00475249">
              <w:rPr>
                <w:rFonts w:ascii="Arial Narrow" w:hAnsi="Arial Narrow" w:cs="Arial"/>
                <w:b/>
                <w:bCs/>
                <w:sz w:val="18"/>
                <w:szCs w:val="18"/>
              </w:rPr>
              <w:t>Symptom-based testing</w:t>
            </w:r>
          </w:p>
        </w:tc>
        <w:tc>
          <w:tcPr>
            <w:tcW w:w="1534"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p>
        </w:tc>
        <w:tc>
          <w:tcPr>
            <w:tcW w:w="1821"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p>
        </w:tc>
        <w:tc>
          <w:tcPr>
            <w:tcW w:w="1517" w:type="dxa"/>
            <w:tcBorders>
              <w:top w:val="nil"/>
              <w:bottom w:val="nil"/>
            </w:tcBorders>
            <w:shd w:val="clear" w:color="auto" w:fill="auto"/>
            <w:vAlign w:val="center"/>
          </w:tcPr>
          <w:p w:rsidR="00577337" w:rsidRPr="00475249" w:rsidRDefault="00577337" w:rsidP="00B17417">
            <w:pPr>
              <w:spacing w:before="40" w:after="40"/>
              <w:ind w:hanging="710"/>
              <w:jc w:val="center"/>
              <w:rPr>
                <w:rFonts w:ascii="Arial Narrow" w:hAnsi="Arial Narrow" w:cs="Arial"/>
                <w:sz w:val="18"/>
                <w:szCs w:val="18"/>
              </w:rPr>
            </w:pPr>
          </w:p>
        </w:tc>
        <w:tc>
          <w:tcPr>
            <w:tcW w:w="1621" w:type="dxa"/>
            <w:tcBorders>
              <w:top w:val="nil"/>
              <w:bottom w:val="nil"/>
            </w:tcBorders>
            <w:shd w:val="clear" w:color="auto" w:fill="auto"/>
            <w:vAlign w:val="center"/>
          </w:tcPr>
          <w:p w:rsidR="00577337" w:rsidRPr="00475249" w:rsidRDefault="00577337" w:rsidP="00B17417">
            <w:pPr>
              <w:spacing w:before="40" w:after="40"/>
              <w:ind w:hanging="668"/>
              <w:jc w:val="center"/>
              <w:rPr>
                <w:rFonts w:ascii="Arial Narrow" w:hAnsi="Arial Narrow" w:cs="Arial"/>
                <w:sz w:val="18"/>
                <w:szCs w:val="18"/>
              </w:rPr>
            </w:pPr>
          </w:p>
        </w:tc>
      </w:tr>
      <w:tr w:rsidR="007B1695" w:rsidRPr="00475249" w:rsidTr="007B1695">
        <w:tc>
          <w:tcPr>
            <w:tcW w:w="1852" w:type="dxa"/>
            <w:tcBorders>
              <w:top w:val="nil"/>
              <w:bottom w:val="nil"/>
            </w:tcBorders>
            <w:shd w:val="clear" w:color="auto" w:fill="auto"/>
          </w:tcPr>
          <w:p w:rsidR="00577337" w:rsidRPr="00475249" w:rsidRDefault="00577337" w:rsidP="00B17417">
            <w:pPr>
              <w:spacing w:before="40" w:after="40"/>
              <w:ind w:left="0"/>
              <w:jc w:val="both"/>
              <w:rPr>
                <w:rFonts w:ascii="Arial Narrow" w:hAnsi="Arial Narrow" w:cs="Arial"/>
                <w:sz w:val="18"/>
                <w:szCs w:val="18"/>
              </w:rPr>
            </w:pPr>
            <w:r w:rsidRPr="00475249">
              <w:rPr>
                <w:rFonts w:ascii="Arial Narrow" w:hAnsi="Arial Narrow" w:cs="Arial"/>
                <w:sz w:val="18"/>
                <w:szCs w:val="18"/>
              </w:rPr>
              <w:t>Initial consultation</w:t>
            </w:r>
          </w:p>
        </w:tc>
        <w:tc>
          <w:tcPr>
            <w:tcW w:w="1534"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821"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517" w:type="dxa"/>
            <w:tcBorders>
              <w:top w:val="nil"/>
              <w:bottom w:val="nil"/>
            </w:tcBorders>
            <w:shd w:val="clear" w:color="auto" w:fill="auto"/>
            <w:vAlign w:val="center"/>
          </w:tcPr>
          <w:p w:rsidR="00577337" w:rsidRPr="00475249" w:rsidRDefault="00577337" w:rsidP="00B17417">
            <w:pPr>
              <w:spacing w:before="40" w:after="40"/>
              <w:ind w:hanging="710"/>
              <w:jc w:val="center"/>
              <w:rPr>
                <w:rFonts w:ascii="Arial Narrow" w:hAnsi="Arial Narrow" w:cs="Arial"/>
                <w:sz w:val="18"/>
                <w:szCs w:val="18"/>
              </w:rPr>
            </w:pPr>
            <w:r w:rsidRPr="00475249">
              <w:rPr>
                <w:rFonts w:ascii="Arial Narrow" w:hAnsi="Arial Narrow" w:cs="Arial"/>
                <w:sz w:val="18"/>
                <w:szCs w:val="18"/>
              </w:rPr>
              <w:t>$37.05</w:t>
            </w:r>
          </w:p>
        </w:tc>
        <w:tc>
          <w:tcPr>
            <w:tcW w:w="1621" w:type="dxa"/>
            <w:tcBorders>
              <w:top w:val="nil"/>
              <w:bottom w:val="nil"/>
            </w:tcBorders>
            <w:shd w:val="clear" w:color="auto" w:fill="auto"/>
            <w:vAlign w:val="center"/>
          </w:tcPr>
          <w:p w:rsidR="00577337" w:rsidRPr="00475249" w:rsidRDefault="00577337" w:rsidP="00B17417">
            <w:pPr>
              <w:spacing w:before="40" w:after="40"/>
              <w:ind w:hanging="668"/>
              <w:jc w:val="center"/>
              <w:rPr>
                <w:rFonts w:ascii="Arial Narrow" w:hAnsi="Arial Narrow" w:cs="Arial"/>
                <w:sz w:val="18"/>
                <w:szCs w:val="18"/>
              </w:rPr>
            </w:pPr>
            <w:r w:rsidRPr="00475249">
              <w:rPr>
                <w:rFonts w:ascii="Arial Narrow" w:hAnsi="Arial Narrow" w:cs="Arial"/>
                <w:sz w:val="18"/>
                <w:szCs w:val="18"/>
              </w:rPr>
              <w:t>MBS 23</w:t>
            </w:r>
          </w:p>
        </w:tc>
      </w:tr>
      <w:tr w:rsidR="007B1695" w:rsidRPr="00475249" w:rsidTr="007B1695">
        <w:tc>
          <w:tcPr>
            <w:tcW w:w="1852" w:type="dxa"/>
            <w:tcBorders>
              <w:top w:val="nil"/>
              <w:bottom w:val="nil"/>
            </w:tcBorders>
            <w:shd w:val="clear" w:color="auto" w:fill="auto"/>
          </w:tcPr>
          <w:p w:rsidR="00577337" w:rsidRPr="00475249" w:rsidRDefault="00577337" w:rsidP="00B17417">
            <w:pPr>
              <w:spacing w:before="40" w:after="40"/>
              <w:ind w:left="0"/>
              <w:jc w:val="both"/>
              <w:rPr>
                <w:rFonts w:ascii="Arial Narrow" w:hAnsi="Arial Narrow" w:cs="Arial"/>
                <w:sz w:val="18"/>
                <w:szCs w:val="18"/>
              </w:rPr>
            </w:pPr>
            <w:r w:rsidRPr="00475249">
              <w:rPr>
                <w:rFonts w:ascii="Arial Narrow" w:hAnsi="Arial Narrow" w:cs="Arial"/>
                <w:sz w:val="18"/>
                <w:szCs w:val="18"/>
              </w:rPr>
              <w:t>HIV test</w:t>
            </w:r>
          </w:p>
        </w:tc>
        <w:tc>
          <w:tcPr>
            <w:tcW w:w="1534"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p>
        </w:tc>
        <w:tc>
          <w:tcPr>
            <w:tcW w:w="1821"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p>
        </w:tc>
        <w:tc>
          <w:tcPr>
            <w:tcW w:w="1517" w:type="dxa"/>
            <w:tcBorders>
              <w:top w:val="nil"/>
              <w:bottom w:val="nil"/>
            </w:tcBorders>
            <w:shd w:val="clear" w:color="auto" w:fill="auto"/>
            <w:vAlign w:val="center"/>
          </w:tcPr>
          <w:p w:rsidR="00577337" w:rsidRPr="00475249" w:rsidRDefault="00577337" w:rsidP="00B17417">
            <w:pPr>
              <w:spacing w:before="40" w:after="40"/>
              <w:ind w:hanging="710"/>
              <w:jc w:val="center"/>
              <w:rPr>
                <w:rFonts w:ascii="Arial Narrow" w:hAnsi="Arial Narrow" w:cs="Arial"/>
                <w:sz w:val="18"/>
                <w:szCs w:val="18"/>
              </w:rPr>
            </w:pPr>
          </w:p>
        </w:tc>
        <w:tc>
          <w:tcPr>
            <w:tcW w:w="1621" w:type="dxa"/>
            <w:tcBorders>
              <w:top w:val="nil"/>
              <w:bottom w:val="nil"/>
            </w:tcBorders>
            <w:shd w:val="clear" w:color="auto" w:fill="auto"/>
            <w:vAlign w:val="center"/>
          </w:tcPr>
          <w:p w:rsidR="00577337" w:rsidRPr="00475249" w:rsidRDefault="00577337" w:rsidP="00B17417">
            <w:pPr>
              <w:spacing w:before="40" w:after="40"/>
              <w:ind w:hanging="668"/>
              <w:jc w:val="center"/>
              <w:rPr>
                <w:rFonts w:ascii="Arial Narrow" w:hAnsi="Arial Narrow" w:cs="Arial"/>
                <w:sz w:val="18"/>
                <w:szCs w:val="18"/>
              </w:rPr>
            </w:pPr>
          </w:p>
        </w:tc>
      </w:tr>
      <w:tr w:rsidR="007B1695" w:rsidRPr="00475249" w:rsidTr="007B1695">
        <w:tc>
          <w:tcPr>
            <w:tcW w:w="1852" w:type="dxa"/>
            <w:tcBorders>
              <w:top w:val="nil"/>
              <w:bottom w:val="nil"/>
            </w:tcBorders>
            <w:shd w:val="clear" w:color="auto" w:fill="auto"/>
          </w:tcPr>
          <w:p w:rsidR="00577337" w:rsidRPr="00475249" w:rsidRDefault="00577337" w:rsidP="00B17417">
            <w:pPr>
              <w:spacing w:before="40" w:after="40"/>
              <w:ind w:left="0"/>
              <w:jc w:val="both"/>
              <w:rPr>
                <w:rFonts w:ascii="Arial Narrow" w:hAnsi="Arial Narrow" w:cs="Arial"/>
                <w:sz w:val="18"/>
                <w:szCs w:val="18"/>
              </w:rPr>
            </w:pPr>
            <w:r w:rsidRPr="00475249">
              <w:rPr>
                <w:rFonts w:ascii="Arial Narrow" w:hAnsi="Arial Narrow" w:cs="Arial"/>
                <w:sz w:val="18"/>
                <w:szCs w:val="18"/>
              </w:rPr>
              <w:t>Laboratory test</w:t>
            </w:r>
          </w:p>
        </w:tc>
        <w:tc>
          <w:tcPr>
            <w:tcW w:w="1534"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821"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517" w:type="dxa"/>
            <w:tcBorders>
              <w:top w:val="nil"/>
              <w:bottom w:val="nil"/>
            </w:tcBorders>
            <w:shd w:val="clear" w:color="auto" w:fill="auto"/>
            <w:vAlign w:val="center"/>
          </w:tcPr>
          <w:p w:rsidR="00577337" w:rsidRPr="00475249" w:rsidRDefault="00577337" w:rsidP="00B17417">
            <w:pPr>
              <w:spacing w:before="40" w:after="40"/>
              <w:ind w:hanging="710"/>
              <w:jc w:val="center"/>
              <w:rPr>
                <w:rFonts w:ascii="Arial Narrow" w:hAnsi="Arial Narrow" w:cs="Arial"/>
                <w:sz w:val="18"/>
                <w:szCs w:val="18"/>
              </w:rPr>
            </w:pPr>
            <w:r w:rsidRPr="00475249">
              <w:rPr>
                <w:rFonts w:ascii="Arial Narrow" w:hAnsi="Arial Narrow" w:cs="Arial"/>
                <w:sz w:val="18"/>
                <w:szCs w:val="18"/>
              </w:rPr>
              <w:t>$15.65</w:t>
            </w:r>
          </w:p>
        </w:tc>
        <w:tc>
          <w:tcPr>
            <w:tcW w:w="1621" w:type="dxa"/>
            <w:tcBorders>
              <w:top w:val="nil"/>
              <w:bottom w:val="nil"/>
            </w:tcBorders>
            <w:shd w:val="clear" w:color="auto" w:fill="auto"/>
            <w:vAlign w:val="center"/>
          </w:tcPr>
          <w:p w:rsidR="00577337" w:rsidRPr="00475249" w:rsidRDefault="00577337" w:rsidP="00B17417">
            <w:pPr>
              <w:spacing w:before="40" w:after="40"/>
              <w:ind w:hanging="668"/>
              <w:jc w:val="center"/>
              <w:rPr>
                <w:rFonts w:ascii="Arial Narrow" w:hAnsi="Arial Narrow" w:cs="Arial"/>
                <w:sz w:val="18"/>
                <w:szCs w:val="18"/>
              </w:rPr>
            </w:pPr>
            <w:r w:rsidRPr="00475249">
              <w:rPr>
                <w:rFonts w:ascii="Arial Narrow" w:hAnsi="Arial Narrow" w:cs="Arial"/>
                <w:sz w:val="18"/>
                <w:szCs w:val="18"/>
              </w:rPr>
              <w:t>MBS 69384</w:t>
            </w:r>
          </w:p>
        </w:tc>
      </w:tr>
      <w:tr w:rsidR="007B1695" w:rsidRPr="00475249" w:rsidTr="007B1695">
        <w:tc>
          <w:tcPr>
            <w:tcW w:w="1852" w:type="dxa"/>
            <w:tcBorders>
              <w:top w:val="nil"/>
              <w:bottom w:val="nil"/>
            </w:tcBorders>
            <w:shd w:val="clear" w:color="auto" w:fill="auto"/>
          </w:tcPr>
          <w:p w:rsidR="00577337" w:rsidRPr="00475249" w:rsidRDefault="00E34988" w:rsidP="00B17417">
            <w:pPr>
              <w:spacing w:before="40" w:after="40"/>
              <w:ind w:left="0"/>
              <w:jc w:val="both"/>
              <w:rPr>
                <w:rFonts w:ascii="Arial Narrow" w:hAnsi="Arial Narrow" w:cs="Arial"/>
                <w:sz w:val="18"/>
                <w:szCs w:val="18"/>
              </w:rPr>
            </w:pPr>
            <w:r>
              <w:rPr>
                <w:rFonts w:ascii="Arial Narrow" w:hAnsi="Arial Narrow" w:cs="Arial"/>
                <w:sz w:val="18"/>
                <w:szCs w:val="18"/>
              </w:rPr>
              <w:t>Extra l</w:t>
            </w:r>
            <w:r w:rsidR="00577337" w:rsidRPr="00475249">
              <w:rPr>
                <w:rFonts w:ascii="Arial Narrow" w:hAnsi="Arial Narrow" w:cs="Arial"/>
                <w:sz w:val="18"/>
                <w:szCs w:val="18"/>
              </w:rPr>
              <w:t xml:space="preserve">aboratory </w:t>
            </w:r>
            <w:r>
              <w:rPr>
                <w:rFonts w:ascii="Arial Narrow" w:hAnsi="Arial Narrow" w:cs="Arial"/>
                <w:sz w:val="18"/>
                <w:szCs w:val="18"/>
              </w:rPr>
              <w:t>test</w:t>
            </w:r>
            <w:r w:rsidRPr="00475249">
              <w:rPr>
                <w:rFonts w:ascii="Arial Narrow" w:hAnsi="Arial Narrow" w:cs="Arial"/>
                <w:sz w:val="18"/>
                <w:szCs w:val="18"/>
              </w:rPr>
              <w:t xml:space="preserve"> </w:t>
            </w:r>
            <w:r w:rsidR="00577337" w:rsidRPr="00475249">
              <w:rPr>
                <w:rFonts w:ascii="Arial Narrow" w:hAnsi="Arial Narrow" w:cs="Arial"/>
                <w:sz w:val="18"/>
                <w:szCs w:val="18"/>
              </w:rPr>
              <w:t>fee</w:t>
            </w:r>
          </w:p>
        </w:tc>
        <w:tc>
          <w:tcPr>
            <w:tcW w:w="1534"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821" w:type="dxa"/>
            <w:tcBorders>
              <w:top w:val="nil"/>
              <w:bottom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517" w:type="dxa"/>
            <w:tcBorders>
              <w:top w:val="nil"/>
              <w:bottom w:val="nil"/>
            </w:tcBorders>
            <w:shd w:val="clear" w:color="auto" w:fill="auto"/>
            <w:vAlign w:val="center"/>
          </w:tcPr>
          <w:p w:rsidR="00577337" w:rsidRPr="007D703C" w:rsidRDefault="00577337" w:rsidP="00B17417">
            <w:pPr>
              <w:spacing w:before="40" w:after="40"/>
              <w:ind w:hanging="710"/>
              <w:jc w:val="center"/>
              <w:rPr>
                <w:rFonts w:ascii="Arial Narrow" w:hAnsi="Arial Narrow" w:cs="Arial"/>
                <w:sz w:val="18"/>
                <w:szCs w:val="18"/>
                <w:vertAlign w:val="superscript"/>
              </w:rPr>
            </w:pPr>
            <w:r w:rsidRPr="00475249">
              <w:rPr>
                <w:rFonts w:ascii="Arial Narrow" w:hAnsi="Arial Narrow" w:cs="Arial"/>
                <w:sz w:val="18"/>
                <w:szCs w:val="18"/>
              </w:rPr>
              <w:t>$</w:t>
            </w:r>
            <w:r w:rsidR="006971C9">
              <w:rPr>
                <w:rFonts w:ascii="Arial Narrow" w:hAnsi="Arial Narrow" w:cs="Arial"/>
                <w:sz w:val="18"/>
                <w:szCs w:val="18"/>
              </w:rPr>
              <w:t>8.46</w:t>
            </w:r>
            <w:r w:rsidR="00E34988">
              <w:rPr>
                <w:rFonts w:ascii="Arial Narrow" w:hAnsi="Arial Narrow" w:cs="Arial"/>
                <w:sz w:val="18"/>
                <w:szCs w:val="18"/>
                <w:vertAlign w:val="superscript"/>
              </w:rPr>
              <w:t>#</w:t>
            </w:r>
          </w:p>
        </w:tc>
        <w:tc>
          <w:tcPr>
            <w:tcW w:w="1621" w:type="dxa"/>
            <w:tcBorders>
              <w:top w:val="nil"/>
              <w:bottom w:val="nil"/>
            </w:tcBorders>
            <w:shd w:val="clear" w:color="auto" w:fill="auto"/>
            <w:vAlign w:val="center"/>
          </w:tcPr>
          <w:p w:rsidR="00E34988" w:rsidRDefault="00E34988" w:rsidP="00B17417">
            <w:pPr>
              <w:spacing w:before="40" w:after="40"/>
              <w:ind w:hanging="668"/>
              <w:jc w:val="center"/>
              <w:rPr>
                <w:rFonts w:ascii="Arial Narrow" w:hAnsi="Arial Narrow" w:cs="Arial"/>
                <w:sz w:val="18"/>
                <w:szCs w:val="18"/>
              </w:rPr>
            </w:pPr>
            <w:r w:rsidRPr="00475249">
              <w:rPr>
                <w:rFonts w:ascii="Arial Narrow" w:hAnsi="Arial Narrow" w:cs="Arial"/>
                <w:sz w:val="18"/>
                <w:szCs w:val="18"/>
              </w:rPr>
              <w:t>MBS</w:t>
            </w:r>
            <w:r>
              <w:rPr>
                <w:rFonts w:ascii="Arial Narrow" w:hAnsi="Arial Narrow" w:cs="Arial"/>
                <w:sz w:val="18"/>
                <w:szCs w:val="18"/>
              </w:rPr>
              <w:t xml:space="preserve"> 74995, 74999;</w:t>
            </w:r>
          </w:p>
          <w:p w:rsidR="00577337" w:rsidRPr="00475249" w:rsidRDefault="00E34988" w:rsidP="00B17417">
            <w:pPr>
              <w:spacing w:before="40" w:after="40"/>
              <w:ind w:hanging="668"/>
              <w:jc w:val="center"/>
              <w:rPr>
                <w:rFonts w:ascii="Arial Narrow" w:hAnsi="Arial Narrow" w:cs="Arial"/>
                <w:sz w:val="18"/>
                <w:szCs w:val="18"/>
              </w:rPr>
            </w:pPr>
            <w:r>
              <w:rPr>
                <w:rFonts w:ascii="Arial Narrow" w:hAnsi="Arial Narrow" w:cs="Arial"/>
                <w:sz w:val="18"/>
                <w:szCs w:val="18"/>
              </w:rPr>
              <w:t>MBS 73928, 73929</w:t>
            </w:r>
          </w:p>
        </w:tc>
      </w:tr>
      <w:tr w:rsidR="007B1695" w:rsidRPr="00577337" w:rsidTr="007B1695">
        <w:tc>
          <w:tcPr>
            <w:tcW w:w="1852" w:type="dxa"/>
            <w:tcBorders>
              <w:top w:val="nil"/>
            </w:tcBorders>
            <w:shd w:val="clear" w:color="auto" w:fill="auto"/>
          </w:tcPr>
          <w:p w:rsidR="00577337" w:rsidRPr="00475249" w:rsidRDefault="00577337" w:rsidP="00B17417">
            <w:pPr>
              <w:spacing w:before="40" w:after="40"/>
              <w:ind w:left="0"/>
              <w:jc w:val="both"/>
              <w:rPr>
                <w:rFonts w:ascii="Arial Narrow" w:hAnsi="Arial Narrow" w:cs="Arial"/>
                <w:sz w:val="18"/>
                <w:szCs w:val="18"/>
              </w:rPr>
            </w:pPr>
            <w:r w:rsidRPr="00475249">
              <w:rPr>
                <w:rFonts w:ascii="Arial Narrow" w:hAnsi="Arial Narrow" w:cs="Arial"/>
                <w:sz w:val="18"/>
                <w:szCs w:val="18"/>
              </w:rPr>
              <w:t>Follow-up consultation</w:t>
            </w:r>
          </w:p>
        </w:tc>
        <w:tc>
          <w:tcPr>
            <w:tcW w:w="1534" w:type="dxa"/>
            <w:tcBorders>
              <w:top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821" w:type="dxa"/>
            <w:tcBorders>
              <w:top w:val="nil"/>
            </w:tcBorders>
            <w:shd w:val="clear" w:color="auto" w:fill="auto"/>
            <w:vAlign w:val="center"/>
          </w:tcPr>
          <w:p w:rsidR="00577337" w:rsidRPr="00475249" w:rsidRDefault="00577337" w:rsidP="00B17417">
            <w:pPr>
              <w:spacing w:before="40" w:after="40"/>
              <w:ind w:hanging="720"/>
              <w:jc w:val="center"/>
              <w:rPr>
                <w:rFonts w:ascii="Arial Narrow" w:hAnsi="Arial Narrow" w:cs="Arial"/>
                <w:sz w:val="18"/>
                <w:szCs w:val="18"/>
              </w:rPr>
            </w:pPr>
            <w:r w:rsidRPr="00475249">
              <w:rPr>
                <w:rFonts w:ascii="Arial Narrow" w:hAnsi="Arial Narrow" w:cs="Arial"/>
                <w:sz w:val="18"/>
                <w:szCs w:val="18"/>
              </w:rPr>
              <w:t>√</w:t>
            </w:r>
          </w:p>
        </w:tc>
        <w:tc>
          <w:tcPr>
            <w:tcW w:w="1517" w:type="dxa"/>
            <w:tcBorders>
              <w:top w:val="nil"/>
            </w:tcBorders>
            <w:shd w:val="clear" w:color="auto" w:fill="auto"/>
            <w:vAlign w:val="center"/>
          </w:tcPr>
          <w:p w:rsidR="00577337" w:rsidRPr="00475249" w:rsidRDefault="00577337" w:rsidP="00B17417">
            <w:pPr>
              <w:spacing w:before="40" w:after="40"/>
              <w:ind w:hanging="710"/>
              <w:jc w:val="center"/>
              <w:rPr>
                <w:rFonts w:ascii="Arial Narrow" w:hAnsi="Arial Narrow" w:cs="Arial"/>
                <w:sz w:val="18"/>
                <w:szCs w:val="18"/>
              </w:rPr>
            </w:pPr>
            <w:r w:rsidRPr="00475249">
              <w:rPr>
                <w:rFonts w:ascii="Arial Narrow" w:hAnsi="Arial Narrow" w:cs="Arial"/>
                <w:sz w:val="18"/>
                <w:szCs w:val="18"/>
              </w:rPr>
              <w:t>$37.05</w:t>
            </w:r>
          </w:p>
        </w:tc>
        <w:tc>
          <w:tcPr>
            <w:tcW w:w="1621" w:type="dxa"/>
            <w:tcBorders>
              <w:top w:val="nil"/>
            </w:tcBorders>
            <w:shd w:val="clear" w:color="auto" w:fill="auto"/>
            <w:vAlign w:val="center"/>
          </w:tcPr>
          <w:p w:rsidR="00577337" w:rsidRPr="007B1695" w:rsidRDefault="00577337" w:rsidP="00B17417">
            <w:pPr>
              <w:spacing w:before="40" w:after="40"/>
              <w:ind w:hanging="668"/>
              <w:jc w:val="center"/>
              <w:rPr>
                <w:rFonts w:ascii="Arial Narrow" w:hAnsi="Arial Narrow" w:cs="Arial"/>
                <w:sz w:val="18"/>
                <w:szCs w:val="18"/>
              </w:rPr>
            </w:pPr>
            <w:r w:rsidRPr="00475249">
              <w:rPr>
                <w:rFonts w:ascii="Arial Narrow" w:hAnsi="Arial Narrow" w:cs="Arial"/>
                <w:sz w:val="18"/>
                <w:szCs w:val="18"/>
              </w:rPr>
              <w:t>MBS 23</w:t>
            </w:r>
          </w:p>
        </w:tc>
      </w:tr>
    </w:tbl>
    <w:p w:rsidR="00577337" w:rsidRDefault="00577337" w:rsidP="00A4658E">
      <w:pPr>
        <w:pStyle w:val="TableNotes"/>
      </w:pPr>
      <w:r>
        <w:t xml:space="preserve">* </w:t>
      </w:r>
      <w:proofErr w:type="gramStart"/>
      <w:r w:rsidR="002C6D0C">
        <w:t>weighted</w:t>
      </w:r>
      <w:proofErr w:type="gramEnd"/>
      <w:r w:rsidR="002C6D0C">
        <w:t xml:space="preserve"> cost, assuming 100% of MSM are bulk-billed for services, and 75% of serology testing is conducted in private laboratories.  </w:t>
      </w:r>
    </w:p>
    <w:p w:rsidR="002C6D0C" w:rsidRPr="002C6D0C" w:rsidRDefault="002C6D0C" w:rsidP="007D703C">
      <w:pPr>
        <w:pStyle w:val="TableNotes"/>
        <w:tabs>
          <w:tab w:val="left" w:pos="851"/>
        </w:tabs>
      </w:pPr>
      <w:r w:rsidRPr="007D703C">
        <w:rPr>
          <w:vertAlign w:val="superscript"/>
        </w:rPr>
        <w:t>#</w:t>
      </w:r>
      <w:r w:rsidRPr="007D703C">
        <w:rPr>
          <w:vertAlign w:val="superscript"/>
        </w:rPr>
        <w:tab/>
      </w:r>
      <w:r>
        <w:t xml:space="preserve">weighted cost, assuming 100% of </w:t>
      </w:r>
      <w:r w:rsidR="00A4658E">
        <w:t>MSM are bulk-billed for services, 10% are concession card holders and 10% live in regional, rural or remote locations.</w:t>
      </w:r>
    </w:p>
    <w:p w:rsidR="00577337" w:rsidRDefault="00577337" w:rsidP="00577337">
      <w:pPr>
        <w:rPr>
          <w:noProof/>
        </w:rPr>
      </w:pPr>
      <w:r w:rsidRPr="00475249">
        <w:rPr>
          <w:noProof/>
        </w:rPr>
        <w:t xml:space="preserve">Whilst the </w:t>
      </w:r>
      <w:r w:rsidR="009660BC">
        <w:rPr>
          <w:noProof/>
        </w:rPr>
        <w:t>MSAC 13191 Final P</w:t>
      </w:r>
      <w:r w:rsidRPr="00475249">
        <w:rPr>
          <w:noProof/>
        </w:rPr>
        <w:t xml:space="preserve">rotocol specifies MBS item number 69384 as the applicable item number for a laboratory HIV testing, it is noted that the STIGMA guidelines recommend that other STIs (including chlamydia, gonorrhoea, syphilis, hepatitis A/B/C) are concurrently screened along with HIV in MSM.  Therefore, serology samples taken from MSM are likely to be screened for multiple infections and </w:t>
      </w:r>
      <w:r w:rsidR="00475249" w:rsidRPr="00475249">
        <w:rPr>
          <w:noProof/>
        </w:rPr>
        <w:t>the DHC test</w:t>
      </w:r>
      <w:r w:rsidRPr="00475249">
        <w:rPr>
          <w:noProof/>
        </w:rPr>
        <w:t xml:space="preserve"> for HIV will not reduce these tests.  Given syphilis “should be conducted at each occasion of HIV immune monitoring” (Templeton 2014), the cost of HIV laboratory testing in this context is the incremental cost associated with reducing the number of infections tested from 4 to 3 tests, 3 to 2 tests or 2 to 1 test, equal to $13.35.</w:t>
      </w:r>
      <w:r w:rsidRPr="00577337">
        <w:rPr>
          <w:noProof/>
        </w:rPr>
        <w:t xml:space="preserve"> </w:t>
      </w:r>
      <w:r w:rsidR="006A7205">
        <w:rPr>
          <w:noProof/>
        </w:rPr>
        <w:t xml:space="preserve"> </w:t>
      </w:r>
      <w:r w:rsidRPr="00577337">
        <w:rPr>
          <w:noProof/>
        </w:rPr>
        <w:t xml:space="preserve">A sensitivity analysis is presented </w:t>
      </w:r>
      <w:r w:rsidR="006A7205">
        <w:rPr>
          <w:noProof/>
        </w:rPr>
        <w:t>using a cost of</w:t>
      </w:r>
      <w:r w:rsidRPr="00577337">
        <w:rPr>
          <w:noProof/>
        </w:rPr>
        <w:t xml:space="preserve"> $13.35</w:t>
      </w:r>
      <w:r w:rsidR="00475249">
        <w:rPr>
          <w:noProof/>
        </w:rPr>
        <w:t xml:space="preserve"> for laboratory-based testing</w:t>
      </w:r>
      <w:r w:rsidRPr="00577337">
        <w:rPr>
          <w:noProof/>
        </w:rPr>
        <w:t>.</w:t>
      </w:r>
    </w:p>
    <w:p w:rsidR="006A7205" w:rsidRDefault="006A7205" w:rsidP="00026CEB">
      <w:pPr>
        <w:pStyle w:val="Heading5"/>
        <w:rPr>
          <w:noProof/>
        </w:rPr>
      </w:pPr>
      <w:r>
        <w:rPr>
          <w:noProof/>
        </w:rPr>
        <w:t>Testing behaviour</w:t>
      </w:r>
    </w:p>
    <w:p w:rsidR="006A7205" w:rsidRDefault="006A7205" w:rsidP="00026CEB">
      <w:pPr>
        <w:pStyle w:val="Heading6"/>
        <w:rPr>
          <w:noProof/>
        </w:rPr>
      </w:pPr>
      <w:r>
        <w:rPr>
          <w:noProof/>
        </w:rPr>
        <w:t>Probability of undetaking any routine HIV screening</w:t>
      </w:r>
    </w:p>
    <w:p w:rsidR="006A7205" w:rsidRDefault="00B17417" w:rsidP="000D44BC">
      <w:pPr>
        <w:rPr>
          <w:noProof/>
        </w:rPr>
      </w:pPr>
      <w:r>
        <w:rPr>
          <w:noProof/>
        </w:rPr>
        <w:t>The model assumes that not all Australia MSM will elect to routine</w:t>
      </w:r>
      <w:r w:rsidR="009660BC">
        <w:rPr>
          <w:noProof/>
        </w:rPr>
        <w:t>ly test for</w:t>
      </w:r>
      <w:r>
        <w:rPr>
          <w:noProof/>
        </w:rPr>
        <w:t xml:space="preserve"> HIV, and only those who do</w:t>
      </w:r>
      <w:r w:rsidR="009660BC">
        <w:rPr>
          <w:noProof/>
        </w:rPr>
        <w:t>,</w:t>
      </w:r>
      <w:r>
        <w:rPr>
          <w:noProof/>
        </w:rPr>
        <w:t xml:space="preserve"> are then eligible for testing in each cycle in the model.  This assumption is reasonable over the one year time horizon and consistent with the enrolled population in Read (2013), from which the probability of testing is derived.  </w:t>
      </w:r>
      <w:r w:rsidR="000D44BC">
        <w:rPr>
          <w:noProof/>
        </w:rPr>
        <w:t xml:space="preserve">Two recent studies in Australia suggested the proportion of MSM who test reguarly may be between 55% </w:t>
      </w:r>
      <w:r w:rsidR="00475249">
        <w:rPr>
          <w:noProof/>
        </w:rPr>
        <w:t xml:space="preserve">(Knight 2014) </w:t>
      </w:r>
      <w:r w:rsidR="000D44BC">
        <w:rPr>
          <w:noProof/>
        </w:rPr>
        <w:t xml:space="preserve">to 75% </w:t>
      </w:r>
      <w:r w:rsidR="00475249">
        <w:rPr>
          <w:noProof/>
        </w:rPr>
        <w:t>(</w:t>
      </w:r>
      <w:r w:rsidR="000D44BC">
        <w:rPr>
          <w:noProof/>
        </w:rPr>
        <w:t>Pedrana 2012</w:t>
      </w:r>
      <w:r w:rsidR="00475249">
        <w:rPr>
          <w:noProof/>
        </w:rPr>
        <w:t>)</w:t>
      </w:r>
      <w:r w:rsidR="000D44BC">
        <w:rPr>
          <w:noProof/>
        </w:rPr>
        <w:t xml:space="preserve">.  Knight </w:t>
      </w:r>
      <w:r w:rsidR="00475249">
        <w:rPr>
          <w:noProof/>
        </w:rPr>
        <w:t>(</w:t>
      </w:r>
      <w:r w:rsidR="000D44BC">
        <w:rPr>
          <w:noProof/>
        </w:rPr>
        <w:t>2014</w:t>
      </w:r>
      <w:r w:rsidR="00475249">
        <w:rPr>
          <w:noProof/>
        </w:rPr>
        <w:t>)</w:t>
      </w:r>
      <w:r w:rsidR="000D44BC">
        <w:rPr>
          <w:noProof/>
        </w:rPr>
        <w:t xml:space="preserve"> collected data from a pop-up testing service in a major pedestrian throughfare in a gay precent in Sydney, whereas Pedrana </w:t>
      </w:r>
      <w:r w:rsidR="00B431E1">
        <w:rPr>
          <w:noProof/>
        </w:rPr>
        <w:t>(</w:t>
      </w:r>
      <w:r w:rsidR="000D44BC">
        <w:rPr>
          <w:noProof/>
        </w:rPr>
        <w:t>2012</w:t>
      </w:r>
      <w:r w:rsidR="00B431E1">
        <w:rPr>
          <w:noProof/>
        </w:rPr>
        <w:t>)</w:t>
      </w:r>
      <w:r w:rsidR="000D44BC">
        <w:rPr>
          <w:noProof/>
        </w:rPr>
        <w:t xml:space="preserve"> recruited participants at gay and sex-on-premis</w:t>
      </w:r>
      <w:r w:rsidR="00B4120C">
        <w:rPr>
          <w:noProof/>
        </w:rPr>
        <w:t>es</w:t>
      </w:r>
      <w:r w:rsidR="000D44BC">
        <w:rPr>
          <w:noProof/>
        </w:rPr>
        <w:t xml:space="preserve"> venues in Melbourne.  The esti</w:t>
      </w:r>
      <w:r w:rsidR="00B4120C">
        <w:rPr>
          <w:noProof/>
        </w:rPr>
        <w:t>ma</w:t>
      </w:r>
      <w:r w:rsidR="000D44BC">
        <w:rPr>
          <w:noProof/>
        </w:rPr>
        <w:t xml:space="preserve">te reported by Knight </w:t>
      </w:r>
      <w:r w:rsidR="00475249">
        <w:rPr>
          <w:noProof/>
        </w:rPr>
        <w:t>(</w:t>
      </w:r>
      <w:r w:rsidR="000D44BC">
        <w:rPr>
          <w:noProof/>
        </w:rPr>
        <w:t>2014</w:t>
      </w:r>
      <w:r w:rsidR="00475249">
        <w:rPr>
          <w:noProof/>
        </w:rPr>
        <w:t>)</w:t>
      </w:r>
      <w:r w:rsidR="000D44BC">
        <w:rPr>
          <w:noProof/>
        </w:rPr>
        <w:t xml:space="preserve"> is used for the base case given the sample recruited may be more representati</w:t>
      </w:r>
      <w:r w:rsidR="00B431E1">
        <w:rPr>
          <w:noProof/>
        </w:rPr>
        <w:t>ve</w:t>
      </w:r>
      <w:r w:rsidR="000D44BC">
        <w:rPr>
          <w:noProof/>
        </w:rPr>
        <w:t xml:space="preserve"> of </w:t>
      </w:r>
      <w:r w:rsidR="009660BC">
        <w:rPr>
          <w:noProof/>
        </w:rPr>
        <w:t>a broader</w:t>
      </w:r>
      <w:r w:rsidR="000D44BC">
        <w:rPr>
          <w:noProof/>
        </w:rPr>
        <w:t xml:space="preserve"> MSM population.</w:t>
      </w:r>
      <w:r w:rsidR="002D3726">
        <w:rPr>
          <w:noProof/>
        </w:rPr>
        <w:t xml:space="preserve"> </w:t>
      </w:r>
    </w:p>
    <w:p w:rsidR="006A7205" w:rsidRDefault="006A7205" w:rsidP="006A7205">
      <w:pPr>
        <w:rPr>
          <w:noProof/>
        </w:rPr>
      </w:pPr>
      <w:r>
        <w:rPr>
          <w:noProof/>
        </w:rPr>
        <w:t xml:space="preserve">Therefore, it is assumed that only 55% of those commencing the model in the seronegative or seroconverting health states will consider screening for HIV.  The same proportion however cannot be used for individuals commencing the model in the </w:t>
      </w:r>
      <w:r>
        <w:rPr>
          <w:noProof/>
        </w:rPr>
        <w:lastRenderedPageBreak/>
        <w:t xml:space="preserve">seropositive health state given the probability of screening determines whether you are diagnosed shortly after infection and if diagnosed early, the individual would not be in the (undiagnosed) seropositive health state.  That is, the proportion of those who choose to monitor HIV status are expected to be </w:t>
      </w:r>
      <w:r w:rsidR="00475249">
        <w:rPr>
          <w:noProof/>
        </w:rPr>
        <w:t>lower</w:t>
      </w:r>
      <w:r>
        <w:rPr>
          <w:noProof/>
        </w:rPr>
        <w:t xml:space="preserve"> in a population whose HIV positive status has not been detected.  Therefore, the starting proportion was simulated using the model, using the same method used to simulate the distribution of “years infected” in the seropositive population.  Approximately 20% of newly infected individuals who were in seropositive health state after 20 cycles were designated as undergoing routine </w:t>
      </w:r>
      <w:r w:rsidR="00B17417">
        <w:rPr>
          <w:noProof/>
        </w:rPr>
        <w:t>screening</w:t>
      </w:r>
      <w:r>
        <w:rPr>
          <w:noProof/>
        </w:rPr>
        <w:t xml:space="preserve"> at the start of the model in the seronegative health state.  Therefore, the base case analysis assumes 20% of those starting in the seropositive health state choose to be tested and hence are eligible for routine screening.  </w:t>
      </w:r>
    </w:p>
    <w:p w:rsidR="006A7205" w:rsidRDefault="006A7205" w:rsidP="006A7205">
      <w:pPr>
        <w:rPr>
          <w:noProof/>
        </w:rPr>
      </w:pPr>
      <w:r>
        <w:rPr>
          <w:noProof/>
        </w:rPr>
        <w:t xml:space="preserve">No difference in the testing rate or frequency is assumed across the arms in the base case, based on the </w:t>
      </w:r>
      <w:r w:rsidR="007D2E85">
        <w:rPr>
          <w:noProof/>
        </w:rPr>
        <w:t>primary outcome</w:t>
      </w:r>
      <w:r>
        <w:rPr>
          <w:noProof/>
        </w:rPr>
        <w:t xml:space="preserve"> reported by Read (2013).  </w:t>
      </w:r>
    </w:p>
    <w:p w:rsidR="006A7205" w:rsidRPr="00094646" w:rsidRDefault="00094646" w:rsidP="00026CEB">
      <w:pPr>
        <w:pStyle w:val="Heading6"/>
        <w:rPr>
          <w:noProof/>
        </w:rPr>
      </w:pPr>
      <w:r>
        <w:rPr>
          <w:noProof/>
        </w:rPr>
        <w:t>Frequency of routin</w:t>
      </w:r>
      <w:r w:rsidR="009660BC">
        <w:rPr>
          <w:noProof/>
        </w:rPr>
        <w:t>e</w:t>
      </w:r>
      <w:r>
        <w:rPr>
          <w:noProof/>
        </w:rPr>
        <w:t xml:space="preserve"> monitoring given previous monitoring</w:t>
      </w:r>
    </w:p>
    <w:p w:rsidR="00094646" w:rsidRDefault="00094646" w:rsidP="00094646">
      <w:pPr>
        <w:rPr>
          <w:noProof/>
        </w:rPr>
      </w:pPr>
      <w:r>
        <w:rPr>
          <w:noProof/>
        </w:rPr>
        <w:t>Based on the results reported by Read (2013), the base case assumes no statistically significant difference between testing arms; the average rate of t</w:t>
      </w:r>
      <w:r w:rsidR="00475249">
        <w:rPr>
          <w:noProof/>
        </w:rPr>
        <w:t>e</w:t>
      </w:r>
      <w:r>
        <w:rPr>
          <w:noProof/>
        </w:rPr>
        <w:t>sting reported in Read (2013) is used in both arms of the model: (1.63 + 1.42) / 2 = 1.525 tests per year; three-month probability of 0.316993</w:t>
      </w:r>
      <w:r w:rsidR="009660BC">
        <w:rPr>
          <w:noProof/>
        </w:rPr>
        <w:t>.</w:t>
      </w:r>
    </w:p>
    <w:p w:rsidR="00094646" w:rsidRPr="00094646" w:rsidRDefault="00094646" w:rsidP="00026CEB">
      <w:pPr>
        <w:pStyle w:val="Heading6"/>
        <w:rPr>
          <w:noProof/>
        </w:rPr>
      </w:pPr>
      <w:r>
        <w:rPr>
          <w:noProof/>
        </w:rPr>
        <w:t>Probability of symptom-based testing</w:t>
      </w:r>
    </w:p>
    <w:p w:rsidR="00094646" w:rsidRDefault="00094646" w:rsidP="006A7205">
      <w:pPr>
        <w:rPr>
          <w:noProof/>
        </w:rPr>
      </w:pPr>
      <w:r w:rsidRPr="00094646">
        <w:rPr>
          <w:noProof/>
        </w:rPr>
        <w:t xml:space="preserve">It is assumed that all individuals who develop AIDS symptoms will present to a medical facility and be tested using conventional laboratory testing, regardless of previous testing behaviour.  </w:t>
      </w:r>
    </w:p>
    <w:p w:rsidR="00094646" w:rsidRDefault="00A52567" w:rsidP="006A7205">
      <w:pPr>
        <w:rPr>
          <w:noProof/>
        </w:rPr>
      </w:pPr>
      <w:r>
        <w:rPr>
          <w:noProof/>
        </w:rPr>
        <w:t xml:space="preserve">Table </w:t>
      </w:r>
      <w:r w:rsidR="00475249">
        <w:rPr>
          <w:noProof/>
        </w:rPr>
        <w:t>21</w:t>
      </w:r>
      <w:r>
        <w:rPr>
          <w:noProof/>
        </w:rPr>
        <w:t xml:space="preserve"> summarises the inputs used in the model.</w:t>
      </w:r>
    </w:p>
    <w:p w:rsidR="00A52567" w:rsidRDefault="007766C8" w:rsidP="00475249">
      <w:pPr>
        <w:pStyle w:val="Caption"/>
        <w:rPr>
          <w:noProof/>
        </w:rPr>
      </w:pPr>
      <w:bookmarkStart w:id="165" w:name="_Toc415103530"/>
      <w:r>
        <w:rPr>
          <w:noProof/>
        </w:rPr>
        <w:br w:type="page"/>
      </w:r>
      <w:bookmarkStart w:id="166" w:name="_Toc418225019"/>
      <w:bookmarkStart w:id="167" w:name="_Toc418225665"/>
      <w:r w:rsidR="00A52567">
        <w:rPr>
          <w:noProof/>
        </w:rPr>
        <w:lastRenderedPageBreak/>
        <w:t xml:space="preserve">Table </w:t>
      </w:r>
      <w:r w:rsidR="00475249">
        <w:rPr>
          <w:noProof/>
        </w:rPr>
        <w:t>21</w:t>
      </w:r>
      <w:r w:rsidR="00A52567">
        <w:rPr>
          <w:noProof/>
        </w:rPr>
        <w:tab/>
        <w:t>Inputs used in the model</w:t>
      </w:r>
      <w:bookmarkEnd w:id="165"/>
      <w:bookmarkEnd w:id="166"/>
      <w:bookmarkEnd w:id="167"/>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Inputs used in the model"/>
        <w:tblDescription w:val="Description of the values used as the inputs to the modelled economic evaluation and where the values were sourced"/>
      </w:tblPr>
      <w:tblGrid>
        <w:gridCol w:w="4111"/>
        <w:gridCol w:w="2126"/>
        <w:gridCol w:w="2126"/>
      </w:tblGrid>
      <w:tr w:rsidR="00A52567" w:rsidTr="007D2E85">
        <w:trPr>
          <w:tblHeader/>
        </w:trPr>
        <w:tc>
          <w:tcPr>
            <w:tcW w:w="4111" w:type="dxa"/>
            <w:shd w:val="clear" w:color="auto" w:fill="auto"/>
            <w:vAlign w:val="center"/>
          </w:tcPr>
          <w:p w:rsidR="00A52567" w:rsidRDefault="00A52567" w:rsidP="007D2E85">
            <w:pPr>
              <w:pStyle w:val="TableText"/>
            </w:pPr>
          </w:p>
        </w:tc>
        <w:tc>
          <w:tcPr>
            <w:tcW w:w="2126" w:type="dxa"/>
            <w:shd w:val="clear" w:color="auto" w:fill="auto"/>
            <w:vAlign w:val="center"/>
          </w:tcPr>
          <w:p w:rsidR="00A52567" w:rsidRPr="00475249" w:rsidRDefault="00A52567" w:rsidP="007D2E85">
            <w:pPr>
              <w:pStyle w:val="TableText"/>
              <w:jc w:val="center"/>
              <w:rPr>
                <w:b/>
              </w:rPr>
            </w:pPr>
            <w:r w:rsidRPr="00475249">
              <w:rPr>
                <w:b/>
              </w:rPr>
              <w:t>Base case</w:t>
            </w:r>
          </w:p>
        </w:tc>
        <w:tc>
          <w:tcPr>
            <w:tcW w:w="2126" w:type="dxa"/>
            <w:shd w:val="clear" w:color="auto" w:fill="auto"/>
            <w:vAlign w:val="center"/>
          </w:tcPr>
          <w:p w:rsidR="00A52567" w:rsidRPr="00475249" w:rsidRDefault="00A52567" w:rsidP="007D2E85">
            <w:pPr>
              <w:pStyle w:val="TableText"/>
              <w:jc w:val="center"/>
              <w:rPr>
                <w:b/>
              </w:rPr>
            </w:pPr>
            <w:r w:rsidRPr="00475249">
              <w:rPr>
                <w:b/>
              </w:rPr>
              <w:t>Source</w:t>
            </w:r>
          </w:p>
        </w:tc>
      </w:tr>
      <w:tr w:rsidR="00A52567" w:rsidTr="00475249">
        <w:tc>
          <w:tcPr>
            <w:tcW w:w="8363" w:type="dxa"/>
            <w:gridSpan w:val="3"/>
            <w:shd w:val="clear" w:color="auto" w:fill="auto"/>
            <w:vAlign w:val="center"/>
          </w:tcPr>
          <w:p w:rsidR="00A52567" w:rsidRPr="007B1695" w:rsidRDefault="00A52567" w:rsidP="007D2E85">
            <w:pPr>
              <w:pStyle w:val="TableText"/>
              <w:rPr>
                <w:b/>
                <w:bCs/>
              </w:rPr>
            </w:pPr>
            <w:r w:rsidRPr="007B1695">
              <w:rPr>
                <w:b/>
                <w:bCs/>
              </w:rPr>
              <w:t>Population characteristics (at cycle 0)</w:t>
            </w:r>
          </w:p>
        </w:tc>
      </w:tr>
      <w:tr w:rsidR="00A52567" w:rsidTr="00475249">
        <w:tc>
          <w:tcPr>
            <w:tcW w:w="4111" w:type="dxa"/>
            <w:shd w:val="clear" w:color="auto" w:fill="auto"/>
            <w:vAlign w:val="center"/>
          </w:tcPr>
          <w:p w:rsidR="00A52567" w:rsidRDefault="00A52567" w:rsidP="007D2E85">
            <w:pPr>
              <w:pStyle w:val="TableText"/>
            </w:pPr>
            <w:r>
              <w:t>Cohort size</w:t>
            </w:r>
          </w:p>
        </w:tc>
        <w:tc>
          <w:tcPr>
            <w:tcW w:w="2126" w:type="dxa"/>
            <w:shd w:val="clear" w:color="auto" w:fill="auto"/>
            <w:vAlign w:val="center"/>
          </w:tcPr>
          <w:p w:rsidR="00A52567" w:rsidRDefault="00A52567" w:rsidP="007D2E85">
            <w:pPr>
              <w:pStyle w:val="TableText"/>
              <w:jc w:val="center"/>
            </w:pPr>
            <w:r>
              <w:t>173,720</w:t>
            </w:r>
          </w:p>
        </w:tc>
        <w:tc>
          <w:tcPr>
            <w:tcW w:w="2126" w:type="dxa"/>
            <w:shd w:val="clear" w:color="auto" w:fill="auto"/>
            <w:vAlign w:val="center"/>
          </w:tcPr>
          <w:p w:rsidR="00A52567" w:rsidRDefault="00A52567" w:rsidP="007D2E85">
            <w:pPr>
              <w:pStyle w:val="TableText"/>
            </w:pPr>
            <w:r>
              <w:t>Estimate, (</w:t>
            </w:r>
            <w:r w:rsidR="00D86EF6">
              <w:t>Kirby 2014a</w:t>
            </w:r>
            <w:r>
              <w:t>)</w:t>
            </w:r>
          </w:p>
        </w:tc>
      </w:tr>
      <w:tr w:rsidR="00A52567" w:rsidTr="00475249">
        <w:tc>
          <w:tcPr>
            <w:tcW w:w="4111" w:type="dxa"/>
            <w:shd w:val="clear" w:color="auto" w:fill="auto"/>
            <w:vAlign w:val="center"/>
          </w:tcPr>
          <w:p w:rsidR="00A52567" w:rsidRDefault="00A52567" w:rsidP="007D2E85">
            <w:pPr>
              <w:pStyle w:val="TableText"/>
            </w:pPr>
            <w:r>
              <w:t>Prob. Seronegative</w:t>
            </w:r>
          </w:p>
        </w:tc>
        <w:tc>
          <w:tcPr>
            <w:tcW w:w="2126" w:type="dxa"/>
            <w:shd w:val="clear" w:color="auto" w:fill="auto"/>
            <w:vAlign w:val="center"/>
          </w:tcPr>
          <w:p w:rsidR="00A52567" w:rsidRDefault="00A52567" w:rsidP="007D2E85">
            <w:pPr>
              <w:pStyle w:val="TableText"/>
              <w:jc w:val="center"/>
            </w:pPr>
            <w:r>
              <w:t>0.984343</w:t>
            </w:r>
          </w:p>
        </w:tc>
        <w:tc>
          <w:tcPr>
            <w:tcW w:w="2126" w:type="dxa"/>
            <w:shd w:val="clear" w:color="auto" w:fill="auto"/>
            <w:vAlign w:val="center"/>
          </w:tcPr>
          <w:p w:rsidR="00A52567" w:rsidRDefault="00D86EF6" w:rsidP="00DD75C7">
            <w:pPr>
              <w:pStyle w:val="TableText"/>
            </w:pPr>
            <w:r>
              <w:t>Calculation</w:t>
            </w:r>
            <w:r w:rsidR="00A52567">
              <w:t>, (</w:t>
            </w:r>
            <w:r>
              <w:t xml:space="preserve">Kirby 2014a, Kirby 2014b, Wand 2010, </w:t>
            </w:r>
            <w:proofErr w:type="spellStart"/>
            <w:r>
              <w:t>Mallitt</w:t>
            </w:r>
            <w:proofErr w:type="spellEnd"/>
            <w:r>
              <w:t xml:space="preserve"> 2012, </w:t>
            </w:r>
            <w:proofErr w:type="spellStart"/>
            <w:r>
              <w:t>Prestage</w:t>
            </w:r>
            <w:proofErr w:type="spellEnd"/>
            <w:r>
              <w:t xml:space="preserve"> 2008, ABS, Wilson presentation 2011)</w:t>
            </w:r>
            <w:r w:rsidR="00A52567">
              <w:t>)</w:t>
            </w:r>
          </w:p>
        </w:tc>
      </w:tr>
      <w:tr w:rsidR="00A52567" w:rsidTr="00475249">
        <w:tc>
          <w:tcPr>
            <w:tcW w:w="4111" w:type="dxa"/>
            <w:shd w:val="clear" w:color="auto" w:fill="auto"/>
            <w:vAlign w:val="center"/>
          </w:tcPr>
          <w:p w:rsidR="00A52567" w:rsidRDefault="00A52567" w:rsidP="007D2E85">
            <w:pPr>
              <w:pStyle w:val="TableText"/>
            </w:pPr>
            <w:r>
              <w:t>Prob. Seroconverting</w:t>
            </w:r>
          </w:p>
        </w:tc>
        <w:tc>
          <w:tcPr>
            <w:tcW w:w="2126" w:type="dxa"/>
            <w:shd w:val="clear" w:color="auto" w:fill="auto"/>
            <w:vAlign w:val="center"/>
          </w:tcPr>
          <w:p w:rsidR="00A52567" w:rsidRDefault="00A52567" w:rsidP="007D2E85">
            <w:pPr>
              <w:pStyle w:val="TableText"/>
              <w:jc w:val="center"/>
            </w:pPr>
            <w:r>
              <w:t>0.001439</w:t>
            </w:r>
          </w:p>
        </w:tc>
        <w:tc>
          <w:tcPr>
            <w:tcW w:w="2126" w:type="dxa"/>
            <w:shd w:val="clear" w:color="auto" w:fill="auto"/>
            <w:vAlign w:val="center"/>
          </w:tcPr>
          <w:p w:rsidR="00A52567" w:rsidRDefault="00D86EF6" w:rsidP="007D2E85">
            <w:pPr>
              <w:pStyle w:val="TableText"/>
            </w:pPr>
            <w:r>
              <w:t>Calculation</w:t>
            </w:r>
            <w:r w:rsidR="00A52567">
              <w:t>, (</w:t>
            </w:r>
            <w:r w:rsidR="00312E72">
              <w:t>Kirby</w:t>
            </w:r>
            <w:r>
              <w:t xml:space="preserve"> 2014a 2014b, </w:t>
            </w:r>
            <w:proofErr w:type="spellStart"/>
            <w:r>
              <w:t>Jin</w:t>
            </w:r>
            <w:proofErr w:type="spellEnd"/>
            <w:r>
              <w:t xml:space="preserve"> 2009, Wilson presentation 2011</w:t>
            </w:r>
            <w:r w:rsidR="00A52567">
              <w:t>)</w:t>
            </w:r>
          </w:p>
        </w:tc>
      </w:tr>
      <w:tr w:rsidR="00A52567" w:rsidTr="00475249">
        <w:tc>
          <w:tcPr>
            <w:tcW w:w="4111" w:type="dxa"/>
            <w:shd w:val="clear" w:color="auto" w:fill="auto"/>
            <w:vAlign w:val="center"/>
          </w:tcPr>
          <w:p w:rsidR="00A52567" w:rsidRDefault="00A52567" w:rsidP="007D2E85">
            <w:pPr>
              <w:pStyle w:val="TableText"/>
            </w:pPr>
            <w:r>
              <w:t>Prob. Seropositive</w:t>
            </w:r>
          </w:p>
        </w:tc>
        <w:tc>
          <w:tcPr>
            <w:tcW w:w="2126" w:type="dxa"/>
            <w:shd w:val="clear" w:color="auto" w:fill="auto"/>
            <w:vAlign w:val="center"/>
          </w:tcPr>
          <w:p w:rsidR="00A52567" w:rsidRDefault="00A52567" w:rsidP="007D2E85">
            <w:pPr>
              <w:pStyle w:val="TableText"/>
              <w:jc w:val="center"/>
            </w:pPr>
            <w:r>
              <w:t>0.014218</w:t>
            </w:r>
          </w:p>
        </w:tc>
        <w:tc>
          <w:tcPr>
            <w:tcW w:w="2126" w:type="dxa"/>
            <w:shd w:val="clear" w:color="auto" w:fill="auto"/>
            <w:vAlign w:val="center"/>
          </w:tcPr>
          <w:p w:rsidR="00A52567" w:rsidRDefault="00D86EF6" w:rsidP="007D2E85">
            <w:pPr>
              <w:pStyle w:val="TableText"/>
            </w:pPr>
            <w:r>
              <w:t>Calculation</w:t>
            </w:r>
            <w:r w:rsidR="00A52567">
              <w:t>, (</w:t>
            </w:r>
            <w:r w:rsidR="00312E72">
              <w:t>Kirby</w:t>
            </w:r>
            <w:r>
              <w:t xml:space="preserve"> 2014a 2014b, </w:t>
            </w:r>
            <w:proofErr w:type="spellStart"/>
            <w:r>
              <w:t>Jin</w:t>
            </w:r>
            <w:proofErr w:type="spellEnd"/>
            <w:r>
              <w:t xml:space="preserve"> 2009, Wilson presentation 2011, </w:t>
            </w:r>
            <w:proofErr w:type="spellStart"/>
            <w:r>
              <w:t>Mallitt</w:t>
            </w:r>
            <w:proofErr w:type="spellEnd"/>
            <w:r>
              <w:t xml:space="preserve"> 2012, Wand 2010</w:t>
            </w:r>
            <w:r w:rsidR="00A52567">
              <w:t>)</w:t>
            </w:r>
          </w:p>
        </w:tc>
      </w:tr>
      <w:tr w:rsidR="00A52567" w:rsidTr="00475249">
        <w:tc>
          <w:tcPr>
            <w:tcW w:w="4111" w:type="dxa"/>
            <w:shd w:val="clear" w:color="auto" w:fill="auto"/>
            <w:vAlign w:val="center"/>
          </w:tcPr>
          <w:p w:rsidR="00A52567" w:rsidRDefault="00A52567" w:rsidP="007D2E85">
            <w:pPr>
              <w:pStyle w:val="TableText"/>
            </w:pPr>
            <w:r>
              <w:t>Prob. days since infection</w:t>
            </w:r>
          </w:p>
        </w:tc>
        <w:tc>
          <w:tcPr>
            <w:tcW w:w="2126" w:type="dxa"/>
            <w:shd w:val="clear" w:color="auto" w:fill="auto"/>
            <w:vAlign w:val="center"/>
          </w:tcPr>
          <w:p w:rsidR="00A52567" w:rsidRDefault="00A52567" w:rsidP="007D2E85">
            <w:pPr>
              <w:pStyle w:val="TableText"/>
              <w:jc w:val="center"/>
            </w:pPr>
            <w:r>
              <w:t>Uniform dist. 1 to 90</w:t>
            </w:r>
          </w:p>
        </w:tc>
        <w:tc>
          <w:tcPr>
            <w:tcW w:w="2126" w:type="dxa"/>
            <w:shd w:val="clear" w:color="auto" w:fill="auto"/>
            <w:vAlign w:val="center"/>
          </w:tcPr>
          <w:p w:rsidR="00A52567" w:rsidRDefault="00A52567" w:rsidP="007D2E85">
            <w:pPr>
              <w:pStyle w:val="TableText"/>
            </w:pPr>
            <w:r>
              <w:t>Assumption</w:t>
            </w:r>
            <w:r w:rsidR="00D86EF6">
              <w:t xml:space="preserve"> (Wilson 2011 model)</w:t>
            </w:r>
          </w:p>
        </w:tc>
      </w:tr>
      <w:tr w:rsidR="00A52567" w:rsidTr="00475249">
        <w:tc>
          <w:tcPr>
            <w:tcW w:w="4111" w:type="dxa"/>
            <w:shd w:val="clear" w:color="auto" w:fill="auto"/>
            <w:vAlign w:val="center"/>
          </w:tcPr>
          <w:p w:rsidR="00A52567" w:rsidRDefault="00A52567" w:rsidP="007D2E85">
            <w:pPr>
              <w:pStyle w:val="TableText"/>
            </w:pPr>
            <w:r>
              <w:t>Prob. years since infection</w:t>
            </w:r>
          </w:p>
        </w:tc>
        <w:tc>
          <w:tcPr>
            <w:tcW w:w="2126" w:type="dxa"/>
            <w:shd w:val="clear" w:color="auto" w:fill="auto"/>
            <w:vAlign w:val="center"/>
          </w:tcPr>
          <w:p w:rsidR="00A52567" w:rsidRPr="00475249" w:rsidRDefault="00A52567" w:rsidP="007D2E85">
            <w:pPr>
              <w:pStyle w:val="TableText"/>
              <w:jc w:val="center"/>
            </w:pPr>
            <w:r w:rsidRPr="00475249">
              <w:t>Log-norm. dist.</w:t>
            </w:r>
          </w:p>
          <w:p w:rsidR="00A52567" w:rsidRDefault="00A52567" w:rsidP="007D2E85">
            <w:pPr>
              <w:pStyle w:val="TableText"/>
              <w:jc w:val="center"/>
            </w:pPr>
            <w:r w:rsidRPr="00475249">
              <w:t xml:space="preserve">(see </w:t>
            </w:r>
            <w:r w:rsidR="00D86EF6" w:rsidRPr="00475249">
              <w:t xml:space="preserve">Figure </w:t>
            </w:r>
            <w:r w:rsidR="00475249" w:rsidRPr="00475249">
              <w:t>7</w:t>
            </w:r>
            <w:r w:rsidRPr="00475249">
              <w:t>)</w:t>
            </w:r>
          </w:p>
        </w:tc>
        <w:tc>
          <w:tcPr>
            <w:tcW w:w="2126" w:type="dxa"/>
            <w:shd w:val="clear" w:color="auto" w:fill="auto"/>
            <w:vAlign w:val="center"/>
          </w:tcPr>
          <w:p w:rsidR="00A52567" w:rsidRDefault="00A52567" w:rsidP="007D2E85">
            <w:pPr>
              <w:pStyle w:val="TableText"/>
            </w:pPr>
            <w:r>
              <w:t>Simulation</w:t>
            </w:r>
          </w:p>
        </w:tc>
      </w:tr>
      <w:tr w:rsidR="00A52567" w:rsidTr="00475249">
        <w:tc>
          <w:tcPr>
            <w:tcW w:w="8363" w:type="dxa"/>
            <w:gridSpan w:val="3"/>
            <w:shd w:val="clear" w:color="auto" w:fill="auto"/>
            <w:vAlign w:val="center"/>
          </w:tcPr>
          <w:p w:rsidR="00A52567" w:rsidRPr="007B1695" w:rsidRDefault="00A52567" w:rsidP="007D2E85">
            <w:pPr>
              <w:pStyle w:val="TableText"/>
              <w:rPr>
                <w:b/>
                <w:bCs/>
              </w:rPr>
            </w:pPr>
            <w:r w:rsidRPr="007B1695">
              <w:rPr>
                <w:b/>
                <w:bCs/>
              </w:rPr>
              <w:t>Disease characteristics</w:t>
            </w:r>
          </w:p>
        </w:tc>
      </w:tr>
      <w:tr w:rsidR="00A52567" w:rsidTr="00475249">
        <w:tc>
          <w:tcPr>
            <w:tcW w:w="4111" w:type="dxa"/>
            <w:shd w:val="clear" w:color="auto" w:fill="auto"/>
            <w:vAlign w:val="center"/>
          </w:tcPr>
          <w:p w:rsidR="00A52567" w:rsidRDefault="00A52567" w:rsidP="007D2E85">
            <w:pPr>
              <w:pStyle w:val="TableText"/>
            </w:pPr>
            <w:r>
              <w:t>Prob. of transmission (3-month)</w:t>
            </w:r>
          </w:p>
        </w:tc>
        <w:tc>
          <w:tcPr>
            <w:tcW w:w="2126" w:type="dxa"/>
            <w:shd w:val="clear" w:color="auto" w:fill="auto"/>
            <w:vAlign w:val="center"/>
          </w:tcPr>
          <w:p w:rsidR="00A52567" w:rsidRDefault="00D86EF6" w:rsidP="007D2E85">
            <w:pPr>
              <w:pStyle w:val="TableText"/>
              <w:jc w:val="center"/>
            </w:pPr>
            <w:r>
              <w:t>0.0011465</w:t>
            </w:r>
          </w:p>
        </w:tc>
        <w:tc>
          <w:tcPr>
            <w:tcW w:w="2126" w:type="dxa"/>
            <w:shd w:val="clear" w:color="auto" w:fill="auto"/>
            <w:vAlign w:val="center"/>
          </w:tcPr>
          <w:p w:rsidR="00A52567" w:rsidRDefault="00A52567" w:rsidP="007D2E85">
            <w:pPr>
              <w:pStyle w:val="TableText"/>
            </w:pPr>
            <w:r>
              <w:t>Estimate (</w:t>
            </w:r>
            <w:r w:rsidR="00D86EF6">
              <w:t>Wilson presentation</w:t>
            </w:r>
            <w:r>
              <w:t>)</w:t>
            </w:r>
          </w:p>
        </w:tc>
      </w:tr>
      <w:tr w:rsidR="00A52567" w:rsidTr="00475249">
        <w:tc>
          <w:tcPr>
            <w:tcW w:w="4111" w:type="dxa"/>
            <w:shd w:val="clear" w:color="auto" w:fill="auto"/>
            <w:vAlign w:val="center"/>
          </w:tcPr>
          <w:p w:rsidR="00A52567" w:rsidRDefault="00A52567" w:rsidP="007D2E85">
            <w:pPr>
              <w:pStyle w:val="TableText"/>
            </w:pPr>
            <w:r>
              <w:t>Prob. of AIDS (3-month)</w:t>
            </w:r>
          </w:p>
        </w:tc>
        <w:tc>
          <w:tcPr>
            <w:tcW w:w="2126" w:type="dxa"/>
            <w:shd w:val="clear" w:color="auto" w:fill="auto"/>
            <w:vAlign w:val="center"/>
          </w:tcPr>
          <w:p w:rsidR="00A52567" w:rsidRPr="00475249" w:rsidRDefault="00A52567" w:rsidP="007D2E85">
            <w:pPr>
              <w:pStyle w:val="TableText"/>
              <w:jc w:val="center"/>
            </w:pPr>
            <w:r w:rsidRPr="00475249">
              <w:t>Cum. distribution</w:t>
            </w:r>
          </w:p>
          <w:p w:rsidR="00A52567" w:rsidRDefault="00A52567" w:rsidP="007D2E85">
            <w:pPr>
              <w:pStyle w:val="TableText"/>
              <w:jc w:val="center"/>
            </w:pPr>
            <w:r w:rsidRPr="00475249">
              <w:t xml:space="preserve">(see </w:t>
            </w:r>
            <w:r w:rsidR="00D86EF6" w:rsidRPr="00475249">
              <w:t xml:space="preserve">Figure </w:t>
            </w:r>
            <w:r w:rsidR="00475249" w:rsidRPr="00475249">
              <w:t>8</w:t>
            </w:r>
            <w:r w:rsidRPr="00475249">
              <w:t>)</w:t>
            </w:r>
          </w:p>
        </w:tc>
        <w:tc>
          <w:tcPr>
            <w:tcW w:w="2126" w:type="dxa"/>
            <w:shd w:val="clear" w:color="auto" w:fill="auto"/>
            <w:vAlign w:val="center"/>
          </w:tcPr>
          <w:p w:rsidR="00A52567" w:rsidRDefault="00A52567" w:rsidP="007D2E85">
            <w:pPr>
              <w:pStyle w:val="TableText"/>
            </w:pPr>
            <w:r>
              <w:t>(</w:t>
            </w:r>
            <w:r w:rsidR="00475249">
              <w:t>REF</w:t>
            </w:r>
            <w:r>
              <w:t>)</w:t>
            </w:r>
          </w:p>
        </w:tc>
      </w:tr>
      <w:tr w:rsidR="00A52567" w:rsidTr="00475249">
        <w:tc>
          <w:tcPr>
            <w:tcW w:w="4111" w:type="dxa"/>
            <w:shd w:val="clear" w:color="auto" w:fill="auto"/>
            <w:vAlign w:val="center"/>
          </w:tcPr>
          <w:p w:rsidR="00A52567" w:rsidRDefault="00A52567" w:rsidP="007D2E85">
            <w:pPr>
              <w:pStyle w:val="TableText"/>
            </w:pPr>
            <w:r>
              <w:t>Prob. detection, given AIDS</w:t>
            </w:r>
          </w:p>
        </w:tc>
        <w:tc>
          <w:tcPr>
            <w:tcW w:w="2126" w:type="dxa"/>
            <w:shd w:val="clear" w:color="auto" w:fill="auto"/>
            <w:vAlign w:val="center"/>
          </w:tcPr>
          <w:p w:rsidR="00A52567" w:rsidRDefault="00A52567" w:rsidP="007D2E85">
            <w:pPr>
              <w:pStyle w:val="TableText"/>
              <w:jc w:val="center"/>
            </w:pPr>
            <w:r>
              <w:t>100%</w:t>
            </w:r>
          </w:p>
        </w:tc>
        <w:tc>
          <w:tcPr>
            <w:tcW w:w="2126" w:type="dxa"/>
            <w:shd w:val="clear" w:color="auto" w:fill="auto"/>
            <w:vAlign w:val="center"/>
          </w:tcPr>
          <w:p w:rsidR="00A52567" w:rsidRDefault="00A52567" w:rsidP="007D2E85">
            <w:pPr>
              <w:pStyle w:val="TableText"/>
            </w:pPr>
            <w:r>
              <w:t>Assum</w:t>
            </w:r>
            <w:r w:rsidR="00D86EF6">
              <w:t>ption</w:t>
            </w:r>
          </w:p>
        </w:tc>
      </w:tr>
      <w:tr w:rsidR="00A52567" w:rsidTr="00475249">
        <w:tc>
          <w:tcPr>
            <w:tcW w:w="8363" w:type="dxa"/>
            <w:gridSpan w:val="3"/>
            <w:shd w:val="clear" w:color="auto" w:fill="auto"/>
            <w:vAlign w:val="center"/>
          </w:tcPr>
          <w:p w:rsidR="00A52567" w:rsidRPr="007B1695" w:rsidRDefault="00A52567" w:rsidP="007D2E85">
            <w:pPr>
              <w:pStyle w:val="TableText"/>
              <w:rPr>
                <w:b/>
                <w:bCs/>
              </w:rPr>
            </w:pPr>
            <w:r w:rsidRPr="007B1695">
              <w:rPr>
                <w:b/>
                <w:bCs/>
              </w:rPr>
              <w:t>Test performance</w:t>
            </w:r>
          </w:p>
        </w:tc>
      </w:tr>
      <w:tr w:rsidR="00A52567" w:rsidTr="00475249">
        <w:tc>
          <w:tcPr>
            <w:tcW w:w="4111" w:type="dxa"/>
            <w:shd w:val="clear" w:color="auto" w:fill="auto"/>
            <w:vAlign w:val="center"/>
          </w:tcPr>
          <w:p w:rsidR="00A52567" w:rsidRDefault="00A52567" w:rsidP="007D2E85">
            <w:pPr>
              <w:pStyle w:val="TableText"/>
            </w:pPr>
            <w:r>
              <w:t>Prob. 4</w:t>
            </w:r>
            <w:r w:rsidRPr="007B1695">
              <w:rPr>
                <w:vertAlign w:val="superscript"/>
              </w:rPr>
              <w:t>th</w:t>
            </w:r>
            <w:r>
              <w:t xml:space="preserve"> gen EIA positive, given seropositive</w:t>
            </w:r>
          </w:p>
        </w:tc>
        <w:tc>
          <w:tcPr>
            <w:tcW w:w="2126" w:type="dxa"/>
            <w:shd w:val="clear" w:color="auto" w:fill="auto"/>
            <w:vAlign w:val="center"/>
          </w:tcPr>
          <w:p w:rsidR="00A52567" w:rsidRDefault="00A52567" w:rsidP="007D2E85">
            <w:pPr>
              <w:pStyle w:val="TableText"/>
              <w:jc w:val="center"/>
            </w:pPr>
            <w:r>
              <w:t>100%</w:t>
            </w:r>
          </w:p>
        </w:tc>
        <w:tc>
          <w:tcPr>
            <w:tcW w:w="2126" w:type="dxa"/>
            <w:shd w:val="clear" w:color="auto" w:fill="auto"/>
            <w:vAlign w:val="center"/>
          </w:tcPr>
          <w:p w:rsidR="00A52567" w:rsidRDefault="00A52567" w:rsidP="007D2E85">
            <w:pPr>
              <w:pStyle w:val="TableText"/>
            </w:pPr>
            <w:r>
              <w:t>Assumption</w:t>
            </w:r>
          </w:p>
        </w:tc>
      </w:tr>
      <w:tr w:rsidR="00A52567" w:rsidTr="00475249">
        <w:tc>
          <w:tcPr>
            <w:tcW w:w="4111" w:type="dxa"/>
            <w:shd w:val="clear" w:color="auto" w:fill="auto"/>
            <w:vAlign w:val="center"/>
          </w:tcPr>
          <w:p w:rsidR="00A52567" w:rsidRDefault="00A52567" w:rsidP="007D2E85">
            <w:pPr>
              <w:pStyle w:val="TableText"/>
            </w:pPr>
            <w:r>
              <w:t>Prob. 4</w:t>
            </w:r>
            <w:r w:rsidRPr="007B1695">
              <w:rPr>
                <w:vertAlign w:val="superscript"/>
              </w:rPr>
              <w:t>th</w:t>
            </w:r>
            <w:r>
              <w:t xml:space="preserve"> gen. EIA negative, given seronegative</w:t>
            </w:r>
          </w:p>
        </w:tc>
        <w:tc>
          <w:tcPr>
            <w:tcW w:w="2126" w:type="dxa"/>
            <w:shd w:val="clear" w:color="auto" w:fill="auto"/>
            <w:vAlign w:val="center"/>
          </w:tcPr>
          <w:p w:rsidR="00A52567" w:rsidRDefault="00A52567" w:rsidP="007D2E85">
            <w:pPr>
              <w:pStyle w:val="TableText"/>
              <w:jc w:val="center"/>
            </w:pPr>
            <w:r>
              <w:t>100%</w:t>
            </w:r>
          </w:p>
        </w:tc>
        <w:tc>
          <w:tcPr>
            <w:tcW w:w="2126" w:type="dxa"/>
            <w:shd w:val="clear" w:color="auto" w:fill="auto"/>
            <w:vAlign w:val="center"/>
          </w:tcPr>
          <w:p w:rsidR="00A52567" w:rsidRDefault="00A52567" w:rsidP="007D2E85">
            <w:pPr>
              <w:pStyle w:val="TableText"/>
            </w:pPr>
            <w:r>
              <w:t>Assumption</w:t>
            </w:r>
          </w:p>
        </w:tc>
      </w:tr>
      <w:tr w:rsidR="00A52567" w:rsidTr="00475249">
        <w:tc>
          <w:tcPr>
            <w:tcW w:w="4111" w:type="dxa"/>
            <w:shd w:val="clear" w:color="auto" w:fill="auto"/>
            <w:vAlign w:val="center"/>
          </w:tcPr>
          <w:p w:rsidR="00A52567" w:rsidRDefault="00A52567" w:rsidP="00F737A4">
            <w:pPr>
              <w:pStyle w:val="TableText"/>
            </w:pPr>
            <w:r>
              <w:t xml:space="preserve">Sensitivity </w:t>
            </w:r>
            <w:r w:rsidR="00F737A4">
              <w:t>DHC</w:t>
            </w:r>
            <w:r>
              <w:t xml:space="preserve"> v EIA/WB, given seronegative or -positive</w:t>
            </w:r>
          </w:p>
        </w:tc>
        <w:tc>
          <w:tcPr>
            <w:tcW w:w="2126" w:type="dxa"/>
            <w:shd w:val="clear" w:color="auto" w:fill="auto"/>
            <w:vAlign w:val="center"/>
          </w:tcPr>
          <w:p w:rsidR="00A52567" w:rsidRPr="00C53B98" w:rsidRDefault="00A52567" w:rsidP="007D2E85">
            <w:pPr>
              <w:pStyle w:val="TableText"/>
              <w:jc w:val="center"/>
            </w:pPr>
            <w:r w:rsidRPr="00C53B98">
              <w:t>100%</w:t>
            </w:r>
          </w:p>
        </w:tc>
        <w:tc>
          <w:tcPr>
            <w:tcW w:w="2126" w:type="dxa"/>
            <w:shd w:val="clear" w:color="auto" w:fill="auto"/>
            <w:vAlign w:val="center"/>
          </w:tcPr>
          <w:p w:rsidR="00A52567" w:rsidRDefault="00D86EF6" w:rsidP="007D2E85">
            <w:pPr>
              <w:pStyle w:val="TableText"/>
            </w:pPr>
            <w:r>
              <w:t>AMCD statement, Protocol p5</w:t>
            </w:r>
          </w:p>
        </w:tc>
      </w:tr>
      <w:tr w:rsidR="00A52567" w:rsidTr="00475249">
        <w:tc>
          <w:tcPr>
            <w:tcW w:w="4111" w:type="dxa"/>
            <w:shd w:val="clear" w:color="auto" w:fill="auto"/>
            <w:vAlign w:val="center"/>
          </w:tcPr>
          <w:p w:rsidR="00A52567" w:rsidRDefault="00A52567" w:rsidP="00F737A4">
            <w:pPr>
              <w:pStyle w:val="TableText"/>
            </w:pPr>
            <w:r>
              <w:t xml:space="preserve">Specificity </w:t>
            </w:r>
            <w:r w:rsidR="00F737A4">
              <w:t>DHC</w:t>
            </w:r>
            <w:r>
              <w:t xml:space="preserve"> v EIA/WB, given seronegative or -positive</w:t>
            </w:r>
          </w:p>
        </w:tc>
        <w:tc>
          <w:tcPr>
            <w:tcW w:w="2126" w:type="dxa"/>
            <w:shd w:val="clear" w:color="auto" w:fill="auto"/>
            <w:vAlign w:val="center"/>
          </w:tcPr>
          <w:p w:rsidR="00A52567" w:rsidRPr="00C53B98" w:rsidRDefault="00A52567" w:rsidP="007D2E85">
            <w:pPr>
              <w:pStyle w:val="TableText"/>
              <w:jc w:val="center"/>
            </w:pPr>
            <w:r w:rsidRPr="00C53B98">
              <w:t>99%</w:t>
            </w:r>
          </w:p>
        </w:tc>
        <w:tc>
          <w:tcPr>
            <w:tcW w:w="2126" w:type="dxa"/>
            <w:shd w:val="clear" w:color="auto" w:fill="auto"/>
            <w:vAlign w:val="center"/>
          </w:tcPr>
          <w:p w:rsidR="00A52567" w:rsidRDefault="00D86EF6" w:rsidP="007D2E85">
            <w:pPr>
              <w:pStyle w:val="TableText"/>
            </w:pPr>
            <w:r>
              <w:t>AMCD statement, Protocol p5</w:t>
            </w:r>
          </w:p>
        </w:tc>
      </w:tr>
      <w:tr w:rsidR="00A52567" w:rsidTr="00475249">
        <w:tc>
          <w:tcPr>
            <w:tcW w:w="4111" w:type="dxa"/>
            <w:shd w:val="clear" w:color="auto" w:fill="auto"/>
            <w:vAlign w:val="center"/>
          </w:tcPr>
          <w:p w:rsidR="00A52567" w:rsidRDefault="00A52567" w:rsidP="007D2E85">
            <w:pPr>
              <w:pStyle w:val="TableText"/>
            </w:pPr>
            <w:r>
              <w:t>Prob. 4</w:t>
            </w:r>
            <w:r w:rsidRPr="007B1695">
              <w:rPr>
                <w:vertAlign w:val="superscript"/>
              </w:rPr>
              <w:t>th</w:t>
            </w:r>
            <w:r>
              <w:t xml:space="preserve"> gen. EIA positive, given seroconverting</w:t>
            </w:r>
          </w:p>
        </w:tc>
        <w:tc>
          <w:tcPr>
            <w:tcW w:w="2126" w:type="dxa"/>
            <w:shd w:val="clear" w:color="auto" w:fill="auto"/>
            <w:vAlign w:val="center"/>
          </w:tcPr>
          <w:p w:rsidR="00A52567" w:rsidRDefault="00A52567" w:rsidP="007D2E85">
            <w:pPr>
              <w:pStyle w:val="TableText"/>
              <w:jc w:val="center"/>
            </w:pPr>
            <w:r>
              <w:t>Logistic growth function, median 20 days post infection</w:t>
            </w:r>
          </w:p>
        </w:tc>
        <w:tc>
          <w:tcPr>
            <w:tcW w:w="2126" w:type="dxa"/>
            <w:shd w:val="clear" w:color="auto" w:fill="auto"/>
            <w:vAlign w:val="center"/>
          </w:tcPr>
          <w:p w:rsidR="00A52567" w:rsidRDefault="00D86EF6" w:rsidP="007D2E85">
            <w:pPr>
              <w:pStyle w:val="TableText"/>
            </w:pPr>
            <w:r>
              <w:t>(Wilson 2011 model, Owen 2008, Cohen 2010)</w:t>
            </w:r>
          </w:p>
        </w:tc>
      </w:tr>
      <w:tr w:rsidR="00A52567" w:rsidTr="00475249">
        <w:tc>
          <w:tcPr>
            <w:tcW w:w="4111" w:type="dxa"/>
            <w:shd w:val="clear" w:color="auto" w:fill="auto"/>
            <w:vAlign w:val="center"/>
          </w:tcPr>
          <w:p w:rsidR="00A52567" w:rsidRDefault="00A52567" w:rsidP="00F737A4">
            <w:pPr>
              <w:pStyle w:val="TableText"/>
            </w:pPr>
            <w:r>
              <w:t xml:space="preserve">Prob. </w:t>
            </w:r>
            <w:r w:rsidR="00F737A4">
              <w:t>DHC</w:t>
            </w:r>
            <w:r>
              <w:t xml:space="preserve"> positive, given seroconverting</w:t>
            </w:r>
          </w:p>
        </w:tc>
        <w:tc>
          <w:tcPr>
            <w:tcW w:w="2126" w:type="dxa"/>
            <w:shd w:val="clear" w:color="auto" w:fill="auto"/>
            <w:vAlign w:val="center"/>
          </w:tcPr>
          <w:p w:rsidR="00A52567" w:rsidRDefault="00A52567" w:rsidP="007D2E85">
            <w:pPr>
              <w:pStyle w:val="TableText"/>
              <w:jc w:val="center"/>
            </w:pPr>
            <w:r>
              <w:t>Logistic growth function, median 25 days post infection</w:t>
            </w:r>
          </w:p>
        </w:tc>
        <w:tc>
          <w:tcPr>
            <w:tcW w:w="2126" w:type="dxa"/>
            <w:shd w:val="clear" w:color="auto" w:fill="auto"/>
            <w:vAlign w:val="center"/>
          </w:tcPr>
          <w:p w:rsidR="00A52567" w:rsidRDefault="00D86EF6" w:rsidP="007D2E85">
            <w:pPr>
              <w:pStyle w:val="TableText"/>
            </w:pPr>
            <w:r>
              <w:t>(Wilson 2011 model, Owen 2008, Cohen 2010)</w:t>
            </w:r>
          </w:p>
        </w:tc>
      </w:tr>
      <w:tr w:rsidR="00A52567" w:rsidTr="00475249">
        <w:tc>
          <w:tcPr>
            <w:tcW w:w="8363" w:type="dxa"/>
            <w:gridSpan w:val="3"/>
            <w:shd w:val="clear" w:color="auto" w:fill="auto"/>
            <w:vAlign w:val="center"/>
          </w:tcPr>
          <w:p w:rsidR="00A52567" w:rsidRPr="007B1695" w:rsidRDefault="00A52567" w:rsidP="007D2E85">
            <w:pPr>
              <w:pStyle w:val="TableText"/>
              <w:rPr>
                <w:b/>
                <w:bCs/>
              </w:rPr>
            </w:pPr>
            <w:r w:rsidRPr="007B1695">
              <w:rPr>
                <w:b/>
                <w:bCs/>
              </w:rPr>
              <w:t>Cost</w:t>
            </w:r>
          </w:p>
        </w:tc>
      </w:tr>
      <w:tr w:rsidR="00A52567" w:rsidTr="00475249">
        <w:tc>
          <w:tcPr>
            <w:tcW w:w="4111" w:type="dxa"/>
            <w:shd w:val="clear" w:color="auto" w:fill="auto"/>
            <w:vAlign w:val="center"/>
          </w:tcPr>
          <w:p w:rsidR="00A52567" w:rsidRDefault="00A52567" w:rsidP="007D2E85">
            <w:pPr>
              <w:pStyle w:val="TableText"/>
            </w:pPr>
            <w:r>
              <w:t>Initial consultation</w:t>
            </w:r>
          </w:p>
        </w:tc>
        <w:tc>
          <w:tcPr>
            <w:tcW w:w="2126" w:type="dxa"/>
            <w:shd w:val="clear" w:color="auto" w:fill="auto"/>
            <w:vAlign w:val="center"/>
          </w:tcPr>
          <w:p w:rsidR="00A52567" w:rsidRDefault="00A52567" w:rsidP="007D2E85">
            <w:pPr>
              <w:pStyle w:val="TableText"/>
              <w:jc w:val="center"/>
            </w:pPr>
            <w:r>
              <w:t>$37.05</w:t>
            </w:r>
          </w:p>
        </w:tc>
        <w:tc>
          <w:tcPr>
            <w:tcW w:w="2126" w:type="dxa"/>
            <w:shd w:val="clear" w:color="auto" w:fill="auto"/>
            <w:vAlign w:val="center"/>
          </w:tcPr>
          <w:p w:rsidR="00A52567" w:rsidRDefault="00A52567" w:rsidP="007D2E85">
            <w:pPr>
              <w:pStyle w:val="TableText"/>
            </w:pPr>
            <w:r>
              <w:t>MBS 23</w:t>
            </w:r>
          </w:p>
        </w:tc>
      </w:tr>
      <w:tr w:rsidR="00A52567" w:rsidTr="00475249">
        <w:tc>
          <w:tcPr>
            <w:tcW w:w="4111" w:type="dxa"/>
            <w:shd w:val="clear" w:color="auto" w:fill="auto"/>
            <w:vAlign w:val="center"/>
          </w:tcPr>
          <w:p w:rsidR="00A52567" w:rsidRDefault="00F737A4" w:rsidP="007D2E85">
            <w:pPr>
              <w:pStyle w:val="TableText"/>
            </w:pPr>
            <w:r>
              <w:t>DHC</w:t>
            </w:r>
            <w:r w:rsidR="00A52567">
              <w:t xml:space="preserve"> test</w:t>
            </w:r>
          </w:p>
        </w:tc>
        <w:tc>
          <w:tcPr>
            <w:tcW w:w="2126" w:type="dxa"/>
            <w:shd w:val="clear" w:color="auto" w:fill="auto"/>
            <w:vAlign w:val="center"/>
          </w:tcPr>
          <w:p w:rsidR="00A52567" w:rsidRDefault="00A52567" w:rsidP="007D2E85">
            <w:pPr>
              <w:pStyle w:val="TableText"/>
              <w:jc w:val="center"/>
            </w:pPr>
            <w:r>
              <w:t>$30.00</w:t>
            </w:r>
          </w:p>
        </w:tc>
        <w:tc>
          <w:tcPr>
            <w:tcW w:w="2126" w:type="dxa"/>
            <w:shd w:val="clear" w:color="auto" w:fill="auto"/>
            <w:vAlign w:val="center"/>
          </w:tcPr>
          <w:p w:rsidR="00A52567" w:rsidRDefault="00A52567" w:rsidP="007D2E85">
            <w:pPr>
              <w:pStyle w:val="TableText"/>
            </w:pPr>
            <w:r>
              <w:t>Section A</w:t>
            </w:r>
          </w:p>
        </w:tc>
      </w:tr>
      <w:tr w:rsidR="00A52567" w:rsidTr="00475249">
        <w:tc>
          <w:tcPr>
            <w:tcW w:w="4111" w:type="dxa"/>
            <w:shd w:val="clear" w:color="auto" w:fill="auto"/>
            <w:vAlign w:val="center"/>
          </w:tcPr>
          <w:p w:rsidR="00A52567" w:rsidRDefault="00A52567" w:rsidP="007D2E85">
            <w:pPr>
              <w:pStyle w:val="TableText"/>
            </w:pPr>
            <w:r>
              <w:t>Laboratory test</w:t>
            </w:r>
          </w:p>
        </w:tc>
        <w:tc>
          <w:tcPr>
            <w:tcW w:w="2126" w:type="dxa"/>
            <w:shd w:val="clear" w:color="auto" w:fill="auto"/>
            <w:vAlign w:val="center"/>
          </w:tcPr>
          <w:p w:rsidR="00A52567" w:rsidRDefault="00A52567" w:rsidP="007D2E85">
            <w:pPr>
              <w:pStyle w:val="TableText"/>
              <w:jc w:val="center"/>
            </w:pPr>
            <w:r>
              <w:t>$15.65</w:t>
            </w:r>
          </w:p>
        </w:tc>
        <w:tc>
          <w:tcPr>
            <w:tcW w:w="2126" w:type="dxa"/>
            <w:shd w:val="clear" w:color="auto" w:fill="auto"/>
            <w:vAlign w:val="center"/>
          </w:tcPr>
          <w:p w:rsidR="00A52567" w:rsidRDefault="00A52567" w:rsidP="007D2E85">
            <w:pPr>
              <w:pStyle w:val="TableText"/>
            </w:pPr>
            <w:r>
              <w:t>MBS 69384</w:t>
            </w:r>
          </w:p>
        </w:tc>
      </w:tr>
      <w:tr w:rsidR="00A52567" w:rsidTr="00475249">
        <w:tc>
          <w:tcPr>
            <w:tcW w:w="4111" w:type="dxa"/>
            <w:shd w:val="clear" w:color="auto" w:fill="auto"/>
            <w:vAlign w:val="center"/>
          </w:tcPr>
          <w:p w:rsidR="00A52567" w:rsidRDefault="00E23D23" w:rsidP="007D2E85">
            <w:pPr>
              <w:pStyle w:val="TableText"/>
            </w:pPr>
            <w:r>
              <w:t>E</w:t>
            </w:r>
            <w:r w:rsidR="00A52567">
              <w:t xml:space="preserve">xtra </w:t>
            </w:r>
            <w:r>
              <w:t xml:space="preserve">POC </w:t>
            </w:r>
            <w:r w:rsidR="00A52567">
              <w:t>fee</w:t>
            </w:r>
          </w:p>
        </w:tc>
        <w:tc>
          <w:tcPr>
            <w:tcW w:w="2126" w:type="dxa"/>
            <w:shd w:val="clear" w:color="auto" w:fill="auto"/>
            <w:vAlign w:val="center"/>
          </w:tcPr>
          <w:p w:rsidR="00A52567" w:rsidRDefault="00E23D23" w:rsidP="007D2E85">
            <w:pPr>
              <w:pStyle w:val="TableText"/>
              <w:jc w:val="center"/>
            </w:pPr>
            <w:r>
              <w:t>$</w:t>
            </w:r>
            <w:r w:rsidR="001B2E25">
              <w:t>0.</w:t>
            </w:r>
            <w:r w:rsidR="006971C9">
              <w:t>74</w:t>
            </w:r>
            <w:r w:rsidR="001B2E25">
              <w:t>*</w:t>
            </w:r>
          </w:p>
        </w:tc>
        <w:tc>
          <w:tcPr>
            <w:tcW w:w="2126" w:type="dxa"/>
            <w:shd w:val="clear" w:color="auto" w:fill="auto"/>
            <w:vAlign w:val="center"/>
          </w:tcPr>
          <w:p w:rsidR="00A52567" w:rsidRDefault="00E23D23" w:rsidP="007D2E85">
            <w:pPr>
              <w:pStyle w:val="TableText"/>
            </w:pPr>
            <w:r>
              <w:t>MBS 74990, 74991</w:t>
            </w:r>
          </w:p>
        </w:tc>
      </w:tr>
      <w:tr w:rsidR="00E23D23" w:rsidTr="00475249">
        <w:tc>
          <w:tcPr>
            <w:tcW w:w="4111" w:type="dxa"/>
            <w:shd w:val="clear" w:color="auto" w:fill="auto"/>
            <w:vAlign w:val="center"/>
          </w:tcPr>
          <w:p w:rsidR="00E23D23" w:rsidRDefault="00E23D23" w:rsidP="007D2E85">
            <w:pPr>
              <w:pStyle w:val="TableText"/>
            </w:pPr>
            <w:r>
              <w:t>Extra laboratory fee</w:t>
            </w:r>
          </w:p>
        </w:tc>
        <w:tc>
          <w:tcPr>
            <w:tcW w:w="2126" w:type="dxa"/>
            <w:shd w:val="clear" w:color="auto" w:fill="auto"/>
            <w:vAlign w:val="center"/>
          </w:tcPr>
          <w:p w:rsidR="00E23D23" w:rsidRPr="00475249" w:rsidRDefault="00E23D23" w:rsidP="007D2E85">
            <w:pPr>
              <w:pStyle w:val="TableText"/>
              <w:jc w:val="center"/>
            </w:pPr>
            <w:r>
              <w:t>$</w:t>
            </w:r>
            <w:r w:rsidR="00DF5E71">
              <w:t>8.46</w:t>
            </w:r>
            <w:r w:rsidR="001B2E25">
              <w:t>*</w:t>
            </w:r>
          </w:p>
        </w:tc>
        <w:tc>
          <w:tcPr>
            <w:tcW w:w="2126" w:type="dxa"/>
            <w:shd w:val="clear" w:color="auto" w:fill="auto"/>
            <w:vAlign w:val="center"/>
          </w:tcPr>
          <w:p w:rsidR="00E23D23" w:rsidRDefault="00E23D23" w:rsidP="007D2E85">
            <w:pPr>
              <w:pStyle w:val="TableText"/>
            </w:pPr>
            <w:r>
              <w:t>MBS 74995, 74999, 73928, 73929</w:t>
            </w:r>
          </w:p>
        </w:tc>
      </w:tr>
      <w:tr w:rsidR="00A52567" w:rsidTr="00475249">
        <w:tc>
          <w:tcPr>
            <w:tcW w:w="4111" w:type="dxa"/>
            <w:shd w:val="clear" w:color="auto" w:fill="auto"/>
            <w:vAlign w:val="center"/>
          </w:tcPr>
          <w:p w:rsidR="00A52567" w:rsidRDefault="00A52567" w:rsidP="007D2E85">
            <w:pPr>
              <w:pStyle w:val="TableText"/>
            </w:pPr>
            <w:r>
              <w:t>Follow-up consultation</w:t>
            </w:r>
          </w:p>
        </w:tc>
        <w:tc>
          <w:tcPr>
            <w:tcW w:w="2126" w:type="dxa"/>
            <w:shd w:val="clear" w:color="auto" w:fill="auto"/>
            <w:vAlign w:val="center"/>
          </w:tcPr>
          <w:p w:rsidR="00A52567" w:rsidRDefault="00A52567" w:rsidP="007D2E85">
            <w:pPr>
              <w:pStyle w:val="TableText"/>
              <w:jc w:val="center"/>
            </w:pPr>
            <w:r>
              <w:t>$37.05</w:t>
            </w:r>
          </w:p>
        </w:tc>
        <w:tc>
          <w:tcPr>
            <w:tcW w:w="2126" w:type="dxa"/>
            <w:shd w:val="clear" w:color="auto" w:fill="auto"/>
            <w:vAlign w:val="center"/>
          </w:tcPr>
          <w:p w:rsidR="00A52567" w:rsidRDefault="00A52567" w:rsidP="007D2E85">
            <w:pPr>
              <w:pStyle w:val="TableText"/>
            </w:pPr>
            <w:r>
              <w:t>MBS 23</w:t>
            </w:r>
          </w:p>
        </w:tc>
      </w:tr>
      <w:tr w:rsidR="00A52567" w:rsidTr="00475249">
        <w:tc>
          <w:tcPr>
            <w:tcW w:w="8363" w:type="dxa"/>
            <w:gridSpan w:val="3"/>
            <w:shd w:val="clear" w:color="auto" w:fill="auto"/>
            <w:vAlign w:val="center"/>
          </w:tcPr>
          <w:p w:rsidR="00A52567" w:rsidRPr="007B1695" w:rsidRDefault="00A52567" w:rsidP="007D2E85">
            <w:pPr>
              <w:pStyle w:val="TableText"/>
              <w:rPr>
                <w:b/>
                <w:bCs/>
              </w:rPr>
            </w:pPr>
            <w:r w:rsidRPr="007B1695">
              <w:rPr>
                <w:b/>
                <w:bCs/>
              </w:rPr>
              <w:t>Testing behaviour</w:t>
            </w:r>
          </w:p>
        </w:tc>
      </w:tr>
      <w:tr w:rsidR="00A52567" w:rsidTr="00475249">
        <w:tc>
          <w:tcPr>
            <w:tcW w:w="4111" w:type="dxa"/>
            <w:shd w:val="clear" w:color="auto" w:fill="auto"/>
            <w:vAlign w:val="center"/>
          </w:tcPr>
          <w:p w:rsidR="00A52567" w:rsidRDefault="00A52567" w:rsidP="007D2E85">
            <w:pPr>
              <w:pStyle w:val="TableText"/>
            </w:pPr>
            <w:r>
              <w:t>Prob. symptomatic infection will be tested</w:t>
            </w:r>
          </w:p>
        </w:tc>
        <w:tc>
          <w:tcPr>
            <w:tcW w:w="2126" w:type="dxa"/>
            <w:shd w:val="clear" w:color="auto" w:fill="auto"/>
            <w:vAlign w:val="center"/>
          </w:tcPr>
          <w:p w:rsidR="00A52567" w:rsidRDefault="00A52567" w:rsidP="007D2E85">
            <w:pPr>
              <w:pStyle w:val="TableText"/>
              <w:jc w:val="center"/>
            </w:pPr>
            <w:r>
              <w:t>100%</w:t>
            </w:r>
          </w:p>
        </w:tc>
        <w:tc>
          <w:tcPr>
            <w:tcW w:w="2126" w:type="dxa"/>
            <w:shd w:val="clear" w:color="auto" w:fill="auto"/>
            <w:vAlign w:val="center"/>
          </w:tcPr>
          <w:p w:rsidR="00A52567" w:rsidRDefault="00A52567" w:rsidP="007D2E85">
            <w:pPr>
              <w:pStyle w:val="TableText"/>
            </w:pPr>
            <w:r>
              <w:t>Assumption</w:t>
            </w:r>
          </w:p>
        </w:tc>
      </w:tr>
      <w:tr w:rsidR="00A52567" w:rsidTr="00475249">
        <w:tc>
          <w:tcPr>
            <w:tcW w:w="4111" w:type="dxa"/>
            <w:shd w:val="clear" w:color="auto" w:fill="auto"/>
            <w:vAlign w:val="center"/>
          </w:tcPr>
          <w:p w:rsidR="00A52567" w:rsidRDefault="00A52567" w:rsidP="007D2E85">
            <w:pPr>
              <w:pStyle w:val="TableText"/>
            </w:pPr>
            <w:r>
              <w:t>Prob. an individual will monitor HIV, (by initial health state)</w:t>
            </w:r>
          </w:p>
        </w:tc>
        <w:tc>
          <w:tcPr>
            <w:tcW w:w="2126" w:type="dxa"/>
            <w:shd w:val="clear" w:color="auto" w:fill="auto"/>
            <w:vAlign w:val="center"/>
          </w:tcPr>
          <w:p w:rsidR="00A52567" w:rsidRDefault="00A52567" w:rsidP="007D2E85">
            <w:pPr>
              <w:pStyle w:val="TableText"/>
              <w:jc w:val="center"/>
            </w:pPr>
            <w:r>
              <w:t xml:space="preserve">Seronegative </w:t>
            </w:r>
            <w:r w:rsidR="006D2F5E">
              <w:t>&amp;</w:t>
            </w:r>
            <w:r>
              <w:t xml:space="preserve"> seroconverting = 55% </w:t>
            </w:r>
            <w:r w:rsidR="006D2F5E">
              <w:t>(</w:t>
            </w:r>
            <w:r>
              <w:t>Seropositive = 20%</w:t>
            </w:r>
            <w:r w:rsidR="006D2F5E">
              <w:t>)</w:t>
            </w:r>
          </w:p>
        </w:tc>
        <w:tc>
          <w:tcPr>
            <w:tcW w:w="2126" w:type="dxa"/>
            <w:shd w:val="clear" w:color="auto" w:fill="auto"/>
            <w:vAlign w:val="center"/>
          </w:tcPr>
          <w:p w:rsidR="00A52567" w:rsidRDefault="00A52567" w:rsidP="007D2E85">
            <w:pPr>
              <w:pStyle w:val="TableText"/>
            </w:pPr>
            <w:r>
              <w:t>Knight (2014), Simulation</w:t>
            </w:r>
          </w:p>
        </w:tc>
      </w:tr>
      <w:tr w:rsidR="00A52567" w:rsidTr="00475249">
        <w:tc>
          <w:tcPr>
            <w:tcW w:w="4111" w:type="dxa"/>
            <w:shd w:val="clear" w:color="auto" w:fill="auto"/>
            <w:vAlign w:val="center"/>
          </w:tcPr>
          <w:p w:rsidR="00A52567" w:rsidRDefault="00A52567" w:rsidP="007D2E85">
            <w:pPr>
              <w:pStyle w:val="TableText"/>
            </w:pPr>
            <w:r>
              <w:t xml:space="preserve">Prob. of HIV test each cycle, given the individual monitors HIV </w:t>
            </w:r>
          </w:p>
        </w:tc>
        <w:tc>
          <w:tcPr>
            <w:tcW w:w="2126" w:type="dxa"/>
            <w:shd w:val="clear" w:color="auto" w:fill="auto"/>
            <w:vAlign w:val="center"/>
          </w:tcPr>
          <w:p w:rsidR="00A52567" w:rsidRDefault="00A52567" w:rsidP="007D2E85">
            <w:pPr>
              <w:pStyle w:val="TableText"/>
              <w:jc w:val="center"/>
            </w:pPr>
            <w:r>
              <w:t>0.316993</w:t>
            </w:r>
          </w:p>
        </w:tc>
        <w:tc>
          <w:tcPr>
            <w:tcW w:w="2126" w:type="dxa"/>
            <w:shd w:val="clear" w:color="auto" w:fill="auto"/>
            <w:vAlign w:val="center"/>
          </w:tcPr>
          <w:p w:rsidR="00A52567" w:rsidRDefault="00A52567" w:rsidP="007D2E85">
            <w:pPr>
              <w:pStyle w:val="TableText"/>
            </w:pPr>
            <w:r>
              <w:t>Read (2013)</w:t>
            </w:r>
          </w:p>
        </w:tc>
      </w:tr>
    </w:tbl>
    <w:p w:rsidR="00A52567" w:rsidRDefault="00EF13BD" w:rsidP="00B431E1">
      <w:pPr>
        <w:pStyle w:val="TableText"/>
        <w:tabs>
          <w:tab w:val="left" w:pos="851"/>
        </w:tabs>
        <w:ind w:left="709"/>
        <w:rPr>
          <w:noProof/>
        </w:rPr>
      </w:pPr>
      <w:r>
        <w:rPr>
          <w:noProof/>
        </w:rPr>
        <w:t>*</w:t>
      </w:r>
      <w:r>
        <w:rPr>
          <w:noProof/>
        </w:rPr>
        <w:tab/>
      </w:r>
      <w:r w:rsidR="001B2E25">
        <w:rPr>
          <w:noProof/>
        </w:rPr>
        <w:t>weighted fee</w:t>
      </w:r>
      <w:r w:rsidR="00713895">
        <w:rPr>
          <w:noProof/>
        </w:rPr>
        <w:t>s; assuming 100% bulk-billed; 10% in regional, rural or remote; 10% concession card holders; 75% serology tests in private laboratories</w:t>
      </w:r>
    </w:p>
    <w:p w:rsidR="00BC228C" w:rsidRDefault="00BC228C" w:rsidP="00BC228C">
      <w:pPr>
        <w:pStyle w:val="Heading3"/>
        <w:rPr>
          <w:noProof/>
        </w:rPr>
      </w:pPr>
      <w:r>
        <w:rPr>
          <w:noProof/>
        </w:rPr>
        <w:t>Results</w:t>
      </w:r>
    </w:p>
    <w:p w:rsidR="00BC228C" w:rsidRDefault="00BC228C" w:rsidP="00BC228C">
      <w:r>
        <w:t xml:space="preserve">The results of the base case of the economic evaluation are presented in Table </w:t>
      </w:r>
      <w:r w:rsidR="00475249">
        <w:t>22</w:t>
      </w:r>
      <w:r>
        <w:t>.</w:t>
      </w:r>
    </w:p>
    <w:p w:rsidR="00BC228C" w:rsidRDefault="007766C8" w:rsidP="00475249">
      <w:pPr>
        <w:pStyle w:val="Caption"/>
      </w:pPr>
      <w:bookmarkStart w:id="168" w:name="_Toc415103531"/>
      <w:r>
        <w:br w:type="page"/>
      </w:r>
      <w:bookmarkStart w:id="169" w:name="_Toc418225020"/>
      <w:bookmarkStart w:id="170" w:name="_Toc418225666"/>
      <w:r w:rsidR="00BC228C">
        <w:lastRenderedPageBreak/>
        <w:t xml:space="preserve">Table </w:t>
      </w:r>
      <w:r w:rsidR="00475249">
        <w:t>22</w:t>
      </w:r>
      <w:r w:rsidR="00BC228C">
        <w:tab/>
        <w:t>Base case results of the modelled economic evaluation</w:t>
      </w:r>
      <w:bookmarkEnd w:id="168"/>
      <w:bookmarkEnd w:id="169"/>
      <w:bookmarkEnd w:id="170"/>
    </w:p>
    <w:tbl>
      <w:tblPr>
        <w:tblW w:w="842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Base case results of the modelled economic evaluation"/>
        <w:tblDescription w:val="Base case results of the modelled economic evaluation"/>
      </w:tblPr>
      <w:tblGrid>
        <w:gridCol w:w="4616"/>
        <w:gridCol w:w="1902"/>
        <w:gridCol w:w="1902"/>
      </w:tblGrid>
      <w:tr w:rsidR="00BC228C" w:rsidRPr="00BC228C" w:rsidTr="007D2E85">
        <w:trPr>
          <w:tblHeader/>
        </w:trPr>
        <w:tc>
          <w:tcPr>
            <w:tcW w:w="4616" w:type="dxa"/>
            <w:shd w:val="clear" w:color="auto" w:fill="auto"/>
          </w:tcPr>
          <w:p w:rsidR="00BC228C" w:rsidRPr="007B1695" w:rsidRDefault="00BC228C" w:rsidP="007D2E85">
            <w:pPr>
              <w:pStyle w:val="TableText0"/>
              <w:rPr>
                <w:szCs w:val="18"/>
              </w:rPr>
            </w:pPr>
          </w:p>
        </w:tc>
        <w:tc>
          <w:tcPr>
            <w:tcW w:w="1902" w:type="dxa"/>
            <w:shd w:val="clear" w:color="auto" w:fill="auto"/>
            <w:vAlign w:val="center"/>
          </w:tcPr>
          <w:p w:rsidR="00BC228C" w:rsidRPr="007B1695" w:rsidRDefault="009B6EB3" w:rsidP="007D2E85">
            <w:pPr>
              <w:pStyle w:val="TableText0"/>
              <w:jc w:val="center"/>
              <w:rPr>
                <w:b/>
                <w:bCs/>
                <w:szCs w:val="18"/>
              </w:rPr>
            </w:pPr>
            <w:r w:rsidRPr="007B1695">
              <w:rPr>
                <w:b/>
                <w:bCs/>
                <w:szCs w:val="18"/>
              </w:rPr>
              <w:t>DHC test</w:t>
            </w:r>
          </w:p>
        </w:tc>
        <w:tc>
          <w:tcPr>
            <w:tcW w:w="1902" w:type="dxa"/>
            <w:shd w:val="clear" w:color="auto" w:fill="auto"/>
            <w:vAlign w:val="center"/>
          </w:tcPr>
          <w:p w:rsidR="00BC228C" w:rsidRPr="007B1695" w:rsidRDefault="00BC228C" w:rsidP="007D2E85">
            <w:pPr>
              <w:pStyle w:val="TableText0"/>
              <w:jc w:val="center"/>
              <w:rPr>
                <w:b/>
                <w:bCs/>
                <w:szCs w:val="18"/>
              </w:rPr>
            </w:pPr>
            <w:r w:rsidRPr="007B1695">
              <w:rPr>
                <w:b/>
                <w:bCs/>
                <w:szCs w:val="18"/>
              </w:rPr>
              <w:t>Serology</w:t>
            </w:r>
          </w:p>
        </w:tc>
      </w:tr>
      <w:tr w:rsidR="00BC228C" w:rsidRPr="00BC228C" w:rsidTr="00F737A4">
        <w:tc>
          <w:tcPr>
            <w:tcW w:w="4616" w:type="dxa"/>
            <w:shd w:val="clear" w:color="auto" w:fill="auto"/>
            <w:vAlign w:val="center"/>
          </w:tcPr>
          <w:p w:rsidR="00BC228C" w:rsidRPr="007B1695" w:rsidRDefault="00BC228C" w:rsidP="00F737A4">
            <w:pPr>
              <w:pStyle w:val="TableText0"/>
              <w:rPr>
                <w:szCs w:val="18"/>
              </w:rPr>
            </w:pPr>
            <w:r w:rsidRPr="007B1695">
              <w:rPr>
                <w:szCs w:val="18"/>
              </w:rPr>
              <w:t>COST</w:t>
            </w:r>
          </w:p>
        </w:tc>
        <w:tc>
          <w:tcPr>
            <w:tcW w:w="1902" w:type="dxa"/>
            <w:shd w:val="clear" w:color="auto" w:fill="auto"/>
            <w:vAlign w:val="center"/>
          </w:tcPr>
          <w:p w:rsidR="00BC228C" w:rsidRPr="007B1695" w:rsidRDefault="00BC228C" w:rsidP="007D2E85">
            <w:pPr>
              <w:pStyle w:val="TableText0"/>
              <w:jc w:val="center"/>
              <w:rPr>
                <w:b/>
                <w:bCs/>
                <w:szCs w:val="18"/>
              </w:rPr>
            </w:pPr>
            <w:r w:rsidRPr="007B1695">
              <w:rPr>
                <w:b/>
                <w:bCs/>
                <w:szCs w:val="18"/>
              </w:rPr>
              <w:t>$4</w:t>
            </w:r>
            <w:r w:rsidR="00DA7814">
              <w:rPr>
                <w:b/>
                <w:bCs/>
                <w:szCs w:val="18"/>
              </w:rPr>
              <w:t>7.17</w:t>
            </w:r>
            <w:r w:rsidRPr="007B1695">
              <w:rPr>
                <w:b/>
                <w:bCs/>
                <w:szCs w:val="18"/>
              </w:rPr>
              <w:t>/individual ($8,</w:t>
            </w:r>
            <w:r w:rsidR="00DA7814" w:rsidRPr="007B1695">
              <w:rPr>
                <w:b/>
                <w:bCs/>
                <w:szCs w:val="18"/>
              </w:rPr>
              <w:t>1</w:t>
            </w:r>
            <w:r w:rsidR="00DA7814">
              <w:rPr>
                <w:b/>
                <w:bCs/>
                <w:szCs w:val="18"/>
              </w:rPr>
              <w:t>93</w:t>
            </w:r>
            <w:r w:rsidRPr="007B1695">
              <w:rPr>
                <w:b/>
                <w:bCs/>
                <w:szCs w:val="18"/>
              </w:rPr>
              <w:t>,</w:t>
            </w:r>
            <w:r w:rsidR="00E342E9">
              <w:rPr>
                <w:b/>
                <w:bCs/>
                <w:szCs w:val="18"/>
              </w:rPr>
              <w:t>836</w:t>
            </w:r>
            <w:r w:rsidRPr="007B1695">
              <w:rPr>
                <w:b/>
                <w:bCs/>
                <w:szCs w:val="18"/>
              </w:rPr>
              <w:t>)</w:t>
            </w:r>
          </w:p>
        </w:tc>
        <w:tc>
          <w:tcPr>
            <w:tcW w:w="1902" w:type="dxa"/>
            <w:shd w:val="clear" w:color="auto" w:fill="auto"/>
            <w:vAlign w:val="center"/>
          </w:tcPr>
          <w:p w:rsidR="00BC228C" w:rsidRPr="007B1695" w:rsidRDefault="00BC228C" w:rsidP="007D2E85">
            <w:pPr>
              <w:pStyle w:val="TableText0"/>
              <w:jc w:val="center"/>
              <w:rPr>
                <w:b/>
                <w:bCs/>
                <w:szCs w:val="18"/>
              </w:rPr>
            </w:pPr>
            <w:r w:rsidRPr="007B1695">
              <w:rPr>
                <w:b/>
                <w:bCs/>
                <w:szCs w:val="18"/>
              </w:rPr>
              <w:t>$</w:t>
            </w:r>
            <w:r w:rsidR="00DA7814">
              <w:rPr>
                <w:b/>
                <w:bCs/>
                <w:szCs w:val="18"/>
              </w:rPr>
              <w:t>41</w:t>
            </w:r>
            <w:r w:rsidRPr="007B1695">
              <w:rPr>
                <w:b/>
                <w:bCs/>
                <w:szCs w:val="18"/>
              </w:rPr>
              <w:t>.</w:t>
            </w:r>
            <w:r w:rsidR="00DA7814" w:rsidRPr="007B1695">
              <w:rPr>
                <w:b/>
                <w:bCs/>
                <w:szCs w:val="18"/>
              </w:rPr>
              <w:t>7</w:t>
            </w:r>
            <w:r w:rsidR="00DA7814">
              <w:rPr>
                <w:b/>
                <w:bCs/>
                <w:szCs w:val="18"/>
              </w:rPr>
              <w:t>5</w:t>
            </w:r>
            <w:r w:rsidR="00DA7814" w:rsidRPr="007B1695">
              <w:rPr>
                <w:b/>
                <w:bCs/>
                <w:szCs w:val="18"/>
              </w:rPr>
              <w:t xml:space="preserve"> </w:t>
            </w:r>
            <w:r w:rsidRPr="007B1695">
              <w:rPr>
                <w:b/>
                <w:bCs/>
                <w:szCs w:val="18"/>
              </w:rPr>
              <w:t>/ individual</w:t>
            </w:r>
            <w:r w:rsidR="00B4120C">
              <w:rPr>
                <w:b/>
                <w:bCs/>
                <w:szCs w:val="18"/>
              </w:rPr>
              <w:t xml:space="preserve"> </w:t>
            </w:r>
            <w:r w:rsidRPr="007B1695">
              <w:rPr>
                <w:b/>
                <w:bCs/>
                <w:szCs w:val="18"/>
              </w:rPr>
              <w:t>($</w:t>
            </w:r>
            <w:r w:rsidR="00DA7814">
              <w:rPr>
                <w:b/>
                <w:bCs/>
                <w:szCs w:val="18"/>
              </w:rPr>
              <w:t>7</w:t>
            </w:r>
            <w:r w:rsidRPr="007B1695">
              <w:rPr>
                <w:b/>
                <w:bCs/>
                <w:szCs w:val="18"/>
              </w:rPr>
              <w:t>,</w:t>
            </w:r>
            <w:r w:rsidR="00DA7814">
              <w:rPr>
                <w:b/>
                <w:bCs/>
                <w:szCs w:val="18"/>
              </w:rPr>
              <w:t>25</w:t>
            </w:r>
            <w:r w:rsidR="00E342E9">
              <w:rPr>
                <w:b/>
                <w:bCs/>
                <w:szCs w:val="18"/>
              </w:rPr>
              <w:t>2</w:t>
            </w:r>
            <w:r w:rsidRPr="007B1695">
              <w:rPr>
                <w:b/>
                <w:bCs/>
                <w:szCs w:val="18"/>
              </w:rPr>
              <w:t>,</w:t>
            </w:r>
            <w:r w:rsidR="00E342E9">
              <w:rPr>
                <w:b/>
                <w:bCs/>
                <w:szCs w:val="18"/>
              </w:rPr>
              <w:t>0</w:t>
            </w:r>
            <w:r w:rsidR="00DA7814">
              <w:rPr>
                <w:b/>
                <w:bCs/>
                <w:szCs w:val="18"/>
              </w:rPr>
              <w:t>5</w:t>
            </w:r>
            <w:r w:rsidR="00E342E9">
              <w:rPr>
                <w:b/>
                <w:bCs/>
                <w:szCs w:val="18"/>
              </w:rPr>
              <w:t>0</w:t>
            </w:r>
            <w:r w:rsidRPr="007B1695">
              <w:rPr>
                <w:b/>
                <w:bCs/>
                <w:szCs w:val="18"/>
              </w:rPr>
              <w:t>)</w:t>
            </w:r>
          </w:p>
        </w:tc>
      </w:tr>
      <w:tr w:rsidR="00A51776" w:rsidRPr="00BC228C" w:rsidTr="007B1695">
        <w:tc>
          <w:tcPr>
            <w:tcW w:w="4616" w:type="dxa"/>
            <w:shd w:val="clear" w:color="auto" w:fill="auto"/>
          </w:tcPr>
          <w:p w:rsidR="00A51776" w:rsidRPr="007B1695" w:rsidRDefault="00A51776" w:rsidP="007D2E85">
            <w:pPr>
              <w:pStyle w:val="TableText0"/>
              <w:rPr>
                <w:szCs w:val="18"/>
              </w:rPr>
            </w:pPr>
            <w:r w:rsidRPr="007B1695">
              <w:rPr>
                <w:szCs w:val="18"/>
              </w:rPr>
              <w:t>HIV diagnosis</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1099</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1109</w:t>
            </w:r>
          </w:p>
        </w:tc>
      </w:tr>
      <w:tr w:rsidR="00BC228C" w:rsidRPr="00BC228C" w:rsidTr="007B1695">
        <w:tc>
          <w:tcPr>
            <w:tcW w:w="4616" w:type="dxa"/>
            <w:shd w:val="clear" w:color="auto" w:fill="auto"/>
          </w:tcPr>
          <w:p w:rsidR="00BC228C" w:rsidRPr="007B1695" w:rsidRDefault="00A51776" w:rsidP="007D2E85">
            <w:pPr>
              <w:pStyle w:val="TableText0"/>
              <w:ind w:left="91"/>
              <w:rPr>
                <w:szCs w:val="18"/>
              </w:rPr>
            </w:pPr>
            <w:r w:rsidRPr="007B1695">
              <w:rPr>
                <w:szCs w:val="18"/>
              </w:rPr>
              <w:t>Early</w:t>
            </w:r>
          </w:p>
        </w:tc>
        <w:tc>
          <w:tcPr>
            <w:tcW w:w="1902" w:type="dxa"/>
            <w:shd w:val="clear" w:color="auto" w:fill="auto"/>
            <w:vAlign w:val="center"/>
          </w:tcPr>
          <w:p w:rsidR="00BC228C" w:rsidRPr="007B1695" w:rsidRDefault="00A51776" w:rsidP="007D2E85">
            <w:pPr>
              <w:pStyle w:val="TableText0"/>
              <w:jc w:val="center"/>
              <w:rPr>
                <w:szCs w:val="18"/>
              </w:rPr>
            </w:pPr>
            <w:r w:rsidRPr="007B1695">
              <w:rPr>
                <w:szCs w:val="18"/>
              </w:rPr>
              <w:t>682</w:t>
            </w:r>
          </w:p>
        </w:tc>
        <w:tc>
          <w:tcPr>
            <w:tcW w:w="1902" w:type="dxa"/>
            <w:shd w:val="clear" w:color="auto" w:fill="auto"/>
            <w:vAlign w:val="center"/>
          </w:tcPr>
          <w:p w:rsidR="00BC228C" w:rsidRPr="007B1695" w:rsidRDefault="00A51776" w:rsidP="007D2E85">
            <w:pPr>
              <w:pStyle w:val="TableText0"/>
              <w:jc w:val="center"/>
              <w:rPr>
                <w:szCs w:val="18"/>
              </w:rPr>
            </w:pPr>
            <w:r w:rsidRPr="007B1695">
              <w:rPr>
                <w:szCs w:val="18"/>
              </w:rPr>
              <w:t>692</w:t>
            </w:r>
          </w:p>
        </w:tc>
      </w:tr>
      <w:tr w:rsidR="00A51776" w:rsidRPr="00BC228C" w:rsidTr="007B1695">
        <w:tc>
          <w:tcPr>
            <w:tcW w:w="4616" w:type="dxa"/>
            <w:shd w:val="clear" w:color="auto" w:fill="auto"/>
          </w:tcPr>
          <w:p w:rsidR="00A51776" w:rsidRPr="007B1695" w:rsidDel="00A51776" w:rsidRDefault="00A51776" w:rsidP="007D2E85">
            <w:pPr>
              <w:pStyle w:val="TableText0"/>
              <w:ind w:left="233"/>
              <w:rPr>
                <w:szCs w:val="18"/>
              </w:rPr>
            </w:pPr>
            <w:r w:rsidRPr="007B1695">
              <w:rPr>
                <w:szCs w:val="18"/>
              </w:rPr>
              <w:t>Commenced seropositive</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(386)</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(386)</w:t>
            </w:r>
          </w:p>
        </w:tc>
      </w:tr>
      <w:tr w:rsidR="00A51776" w:rsidRPr="00BC228C" w:rsidTr="007B1695">
        <w:tc>
          <w:tcPr>
            <w:tcW w:w="4616" w:type="dxa"/>
            <w:shd w:val="clear" w:color="auto" w:fill="auto"/>
          </w:tcPr>
          <w:p w:rsidR="00A51776" w:rsidRPr="007B1695" w:rsidDel="00A51776" w:rsidRDefault="00A51776" w:rsidP="007D2E85">
            <w:pPr>
              <w:pStyle w:val="TableText0"/>
              <w:ind w:left="233"/>
              <w:rPr>
                <w:szCs w:val="18"/>
              </w:rPr>
            </w:pPr>
            <w:r w:rsidRPr="007B1695">
              <w:rPr>
                <w:szCs w:val="18"/>
              </w:rPr>
              <w:t>Commenced seroconverting</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(111)</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(111)</w:t>
            </w:r>
          </w:p>
        </w:tc>
      </w:tr>
      <w:tr w:rsidR="00A51776" w:rsidRPr="00BC228C" w:rsidTr="007B1695">
        <w:tc>
          <w:tcPr>
            <w:tcW w:w="4616" w:type="dxa"/>
            <w:shd w:val="clear" w:color="auto" w:fill="auto"/>
          </w:tcPr>
          <w:p w:rsidR="00A51776" w:rsidRPr="007B1695" w:rsidDel="00A51776" w:rsidRDefault="00A51776" w:rsidP="007D2E85">
            <w:pPr>
              <w:pStyle w:val="TableText0"/>
              <w:ind w:left="233"/>
              <w:rPr>
                <w:szCs w:val="18"/>
              </w:rPr>
            </w:pPr>
            <w:r w:rsidRPr="007B1695">
              <w:rPr>
                <w:szCs w:val="18"/>
              </w:rPr>
              <w:t>Commenced seronegative</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(185)</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(195)</w:t>
            </w:r>
          </w:p>
        </w:tc>
      </w:tr>
      <w:tr w:rsidR="00A51776" w:rsidRPr="00BC228C" w:rsidTr="007B1695">
        <w:tc>
          <w:tcPr>
            <w:tcW w:w="4616" w:type="dxa"/>
            <w:shd w:val="clear" w:color="auto" w:fill="auto"/>
          </w:tcPr>
          <w:p w:rsidR="00A51776" w:rsidRPr="007B1695" w:rsidRDefault="00A51776" w:rsidP="007D2E85">
            <w:pPr>
              <w:pStyle w:val="TableText0"/>
              <w:ind w:left="91"/>
              <w:rPr>
                <w:szCs w:val="18"/>
              </w:rPr>
            </w:pPr>
            <w:r w:rsidRPr="007B1695">
              <w:rPr>
                <w:szCs w:val="18"/>
              </w:rPr>
              <w:t>Late</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417</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417</w:t>
            </w:r>
          </w:p>
        </w:tc>
      </w:tr>
      <w:tr w:rsidR="00A51776" w:rsidRPr="00BC228C" w:rsidTr="007B1695">
        <w:tc>
          <w:tcPr>
            <w:tcW w:w="4616" w:type="dxa"/>
            <w:shd w:val="clear" w:color="auto" w:fill="auto"/>
          </w:tcPr>
          <w:p w:rsidR="00A51776" w:rsidRPr="007B1695" w:rsidRDefault="00A51776" w:rsidP="007D2E85">
            <w:pPr>
              <w:pStyle w:val="TableText0"/>
              <w:rPr>
                <w:szCs w:val="18"/>
              </w:rPr>
            </w:pPr>
            <w:r w:rsidRPr="007B1695">
              <w:rPr>
                <w:szCs w:val="18"/>
              </w:rPr>
              <w:t xml:space="preserve">Total Screening Tests </w:t>
            </w:r>
            <w:r w:rsidR="00A9720C" w:rsidRPr="007B1695">
              <w:rPr>
                <w:szCs w:val="18"/>
              </w:rPr>
              <w:t>Conducted</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119889</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119886</w:t>
            </w:r>
          </w:p>
        </w:tc>
      </w:tr>
      <w:tr w:rsidR="00A51776" w:rsidRPr="00BC228C" w:rsidTr="007B1695">
        <w:tc>
          <w:tcPr>
            <w:tcW w:w="4616" w:type="dxa"/>
            <w:shd w:val="clear" w:color="auto" w:fill="auto"/>
          </w:tcPr>
          <w:p w:rsidR="00A51776" w:rsidRPr="007B1695" w:rsidRDefault="00A9720C" w:rsidP="007D2E85">
            <w:pPr>
              <w:pStyle w:val="TableText0"/>
              <w:rPr>
                <w:szCs w:val="18"/>
              </w:rPr>
            </w:pPr>
            <w:r w:rsidRPr="007B1695">
              <w:rPr>
                <w:szCs w:val="18"/>
              </w:rPr>
              <w:t>Total Unique Individuals Not Screened</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99489</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99505</w:t>
            </w:r>
          </w:p>
        </w:tc>
      </w:tr>
      <w:tr w:rsidR="00A51776" w:rsidRPr="00BC228C" w:rsidTr="007B1695">
        <w:tc>
          <w:tcPr>
            <w:tcW w:w="4616" w:type="dxa"/>
            <w:shd w:val="clear" w:color="auto" w:fill="auto"/>
          </w:tcPr>
          <w:p w:rsidR="00A51776" w:rsidRPr="007B1695" w:rsidRDefault="00A9720C" w:rsidP="007D2E85">
            <w:pPr>
              <w:pStyle w:val="TableText0"/>
              <w:rPr>
                <w:szCs w:val="18"/>
              </w:rPr>
            </w:pPr>
            <w:r w:rsidRPr="007B1695">
              <w:rPr>
                <w:szCs w:val="18"/>
              </w:rPr>
              <w:t>Total Unique Individuals Screened</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74211</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74195</w:t>
            </w:r>
          </w:p>
        </w:tc>
      </w:tr>
      <w:tr w:rsidR="00A51776" w:rsidRPr="00BC228C" w:rsidTr="007B1695">
        <w:tc>
          <w:tcPr>
            <w:tcW w:w="4616" w:type="dxa"/>
            <w:shd w:val="clear" w:color="auto" w:fill="auto"/>
          </w:tcPr>
          <w:p w:rsidR="00A51776" w:rsidRPr="007B1695" w:rsidRDefault="00A9720C" w:rsidP="007D2E85">
            <w:pPr>
              <w:pStyle w:val="TableText0"/>
              <w:ind w:left="91"/>
              <w:rPr>
                <w:szCs w:val="18"/>
              </w:rPr>
            </w:pPr>
            <w:r w:rsidRPr="007B1695">
              <w:rPr>
                <w:szCs w:val="18"/>
              </w:rPr>
              <w:t>Screened once</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38529</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38499</w:t>
            </w:r>
          </w:p>
        </w:tc>
      </w:tr>
      <w:tr w:rsidR="00A51776" w:rsidRPr="00BC228C" w:rsidTr="007B1695">
        <w:tc>
          <w:tcPr>
            <w:tcW w:w="4616" w:type="dxa"/>
            <w:shd w:val="clear" w:color="auto" w:fill="auto"/>
          </w:tcPr>
          <w:p w:rsidR="00A51776" w:rsidRPr="007B1695" w:rsidRDefault="00A9720C" w:rsidP="007D2E85">
            <w:pPr>
              <w:pStyle w:val="TableText0"/>
              <w:ind w:left="91"/>
              <w:rPr>
                <w:szCs w:val="18"/>
              </w:rPr>
            </w:pPr>
            <w:r w:rsidRPr="007B1695">
              <w:rPr>
                <w:szCs w:val="18"/>
              </w:rPr>
              <w:t>Screened</w:t>
            </w:r>
            <w:r w:rsidR="00A51776" w:rsidRPr="007B1695">
              <w:rPr>
                <w:szCs w:val="18"/>
              </w:rPr>
              <w:t xml:space="preserve"> twice</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26653</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26643</w:t>
            </w:r>
          </w:p>
        </w:tc>
      </w:tr>
      <w:tr w:rsidR="00A51776" w:rsidRPr="00BC228C" w:rsidTr="007B1695">
        <w:tc>
          <w:tcPr>
            <w:tcW w:w="4616" w:type="dxa"/>
            <w:shd w:val="clear" w:color="auto" w:fill="auto"/>
          </w:tcPr>
          <w:p w:rsidR="00A51776" w:rsidRPr="007B1695" w:rsidRDefault="00A9720C" w:rsidP="007D2E85">
            <w:pPr>
              <w:pStyle w:val="TableText0"/>
              <w:ind w:left="91"/>
              <w:rPr>
                <w:szCs w:val="18"/>
              </w:rPr>
            </w:pPr>
            <w:r w:rsidRPr="007B1695">
              <w:rPr>
                <w:szCs w:val="18"/>
              </w:rPr>
              <w:t>Screened</w:t>
            </w:r>
            <w:r w:rsidR="00A51776" w:rsidRPr="007B1695">
              <w:rPr>
                <w:szCs w:val="18"/>
              </w:rPr>
              <w:t xml:space="preserve"> thrice</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8094</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8111</w:t>
            </w:r>
          </w:p>
        </w:tc>
      </w:tr>
      <w:tr w:rsidR="00A51776" w:rsidRPr="00BC228C" w:rsidTr="007B1695">
        <w:tc>
          <w:tcPr>
            <w:tcW w:w="4616" w:type="dxa"/>
            <w:shd w:val="clear" w:color="auto" w:fill="auto"/>
          </w:tcPr>
          <w:p w:rsidR="00A51776" w:rsidRPr="007B1695" w:rsidRDefault="00A9720C" w:rsidP="007D2E85">
            <w:pPr>
              <w:pStyle w:val="TableText0"/>
              <w:ind w:left="91"/>
              <w:rPr>
                <w:szCs w:val="18"/>
              </w:rPr>
            </w:pPr>
            <w:r w:rsidRPr="007B1695">
              <w:rPr>
                <w:szCs w:val="18"/>
              </w:rPr>
              <w:t>Screened</w:t>
            </w:r>
            <w:r w:rsidR="00A51776" w:rsidRPr="007B1695">
              <w:rPr>
                <w:szCs w:val="18"/>
              </w:rPr>
              <w:t xml:space="preserve"> four times</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935</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942</w:t>
            </w:r>
          </w:p>
        </w:tc>
      </w:tr>
      <w:tr w:rsidR="00A51776" w:rsidRPr="00BC228C" w:rsidTr="007B1695">
        <w:tc>
          <w:tcPr>
            <w:tcW w:w="4616" w:type="dxa"/>
            <w:shd w:val="clear" w:color="auto" w:fill="auto"/>
          </w:tcPr>
          <w:p w:rsidR="00A51776" w:rsidRPr="007B1695" w:rsidRDefault="00A9720C" w:rsidP="007D2E85">
            <w:pPr>
              <w:pStyle w:val="TableText0"/>
              <w:rPr>
                <w:szCs w:val="18"/>
              </w:rPr>
            </w:pPr>
            <w:r w:rsidRPr="007B1695">
              <w:rPr>
                <w:szCs w:val="18"/>
              </w:rPr>
              <w:t>Total Testing Procedure Failures</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96</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32</w:t>
            </w:r>
          </w:p>
        </w:tc>
      </w:tr>
      <w:tr w:rsidR="00A51776" w:rsidRPr="00BC228C" w:rsidTr="007B1695">
        <w:tc>
          <w:tcPr>
            <w:tcW w:w="4616" w:type="dxa"/>
            <w:shd w:val="clear" w:color="auto" w:fill="auto"/>
          </w:tcPr>
          <w:p w:rsidR="00A51776" w:rsidRPr="007B1695" w:rsidRDefault="00F737A4" w:rsidP="007D2E85">
            <w:pPr>
              <w:pStyle w:val="TableText0"/>
              <w:rPr>
                <w:szCs w:val="18"/>
              </w:rPr>
            </w:pPr>
            <w:r>
              <w:rPr>
                <w:szCs w:val="18"/>
              </w:rPr>
              <w:t>DHC</w:t>
            </w:r>
            <w:r w:rsidR="00A9720C" w:rsidRPr="007B1695">
              <w:rPr>
                <w:szCs w:val="18"/>
              </w:rPr>
              <w:t xml:space="preserve"> false negative</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61</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w:t>
            </w:r>
          </w:p>
        </w:tc>
      </w:tr>
      <w:tr w:rsidR="00A51776" w:rsidRPr="00BC228C" w:rsidTr="007B1695">
        <w:tc>
          <w:tcPr>
            <w:tcW w:w="4616" w:type="dxa"/>
            <w:shd w:val="clear" w:color="auto" w:fill="auto"/>
          </w:tcPr>
          <w:p w:rsidR="00A51776" w:rsidRPr="007B1695" w:rsidRDefault="00F737A4" w:rsidP="007D2E85">
            <w:pPr>
              <w:pStyle w:val="TableText0"/>
              <w:rPr>
                <w:szCs w:val="18"/>
              </w:rPr>
            </w:pPr>
            <w:r>
              <w:rPr>
                <w:szCs w:val="18"/>
              </w:rPr>
              <w:t>DHC</w:t>
            </w:r>
            <w:r w:rsidR="00A9720C" w:rsidRPr="007B1695">
              <w:rPr>
                <w:szCs w:val="18"/>
              </w:rPr>
              <w:t xml:space="preserve"> false positive</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1177</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w:t>
            </w:r>
          </w:p>
        </w:tc>
      </w:tr>
      <w:tr w:rsidR="00A51776" w:rsidRPr="00BC228C" w:rsidTr="007B1695">
        <w:tc>
          <w:tcPr>
            <w:tcW w:w="4616" w:type="dxa"/>
            <w:shd w:val="clear" w:color="auto" w:fill="auto"/>
          </w:tcPr>
          <w:p w:rsidR="00A51776" w:rsidRPr="007B1695" w:rsidRDefault="00F737A4" w:rsidP="007D2E85">
            <w:pPr>
              <w:pStyle w:val="TableText0"/>
              <w:rPr>
                <w:szCs w:val="18"/>
              </w:rPr>
            </w:pPr>
            <w:r>
              <w:rPr>
                <w:szCs w:val="18"/>
              </w:rPr>
              <w:t>DHC</w:t>
            </w:r>
            <w:r w:rsidR="00A9720C" w:rsidRPr="007B1695">
              <w:rPr>
                <w:szCs w:val="18"/>
              </w:rPr>
              <w:t xml:space="preserve"> true negative</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117969</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w:t>
            </w:r>
          </w:p>
        </w:tc>
      </w:tr>
      <w:tr w:rsidR="00A51776" w:rsidRPr="00BC228C" w:rsidTr="007B1695">
        <w:tc>
          <w:tcPr>
            <w:tcW w:w="4616" w:type="dxa"/>
            <w:shd w:val="clear" w:color="auto" w:fill="auto"/>
          </w:tcPr>
          <w:p w:rsidR="00A51776" w:rsidRPr="007B1695" w:rsidRDefault="00F737A4" w:rsidP="007D2E85">
            <w:pPr>
              <w:pStyle w:val="TableText0"/>
              <w:rPr>
                <w:szCs w:val="18"/>
              </w:rPr>
            </w:pPr>
            <w:r>
              <w:rPr>
                <w:szCs w:val="18"/>
              </w:rPr>
              <w:t>DHC</w:t>
            </w:r>
            <w:r w:rsidR="00A9720C" w:rsidRPr="007B1695">
              <w:rPr>
                <w:szCs w:val="18"/>
              </w:rPr>
              <w:t xml:space="preserve"> true positive</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682</w:t>
            </w:r>
          </w:p>
        </w:tc>
        <w:tc>
          <w:tcPr>
            <w:tcW w:w="1902" w:type="dxa"/>
            <w:shd w:val="clear" w:color="auto" w:fill="auto"/>
            <w:vAlign w:val="center"/>
          </w:tcPr>
          <w:p w:rsidR="00A51776" w:rsidRPr="007B1695" w:rsidRDefault="00A51776" w:rsidP="007D2E85">
            <w:pPr>
              <w:pStyle w:val="TableText0"/>
              <w:jc w:val="center"/>
              <w:rPr>
                <w:szCs w:val="18"/>
              </w:rPr>
            </w:pPr>
            <w:r w:rsidRPr="007B1695">
              <w:rPr>
                <w:szCs w:val="18"/>
              </w:rPr>
              <w:t>-</w:t>
            </w:r>
          </w:p>
        </w:tc>
      </w:tr>
    </w:tbl>
    <w:p w:rsidR="00BC228C" w:rsidRDefault="00BC228C" w:rsidP="00BC228C"/>
    <w:p w:rsidR="00BC228C" w:rsidRDefault="00BC228C" w:rsidP="00DA7814">
      <w:r>
        <w:t xml:space="preserve">The </w:t>
      </w:r>
      <w:r w:rsidR="00475249">
        <w:t xml:space="preserve">base case of the </w:t>
      </w:r>
      <w:r>
        <w:t>model predicts 10 fewer cases of HIV will be detected via screening with the DHC test compared to standard laboratory testing</w:t>
      </w:r>
      <w:r w:rsidR="00475249">
        <w:t>, largely due to the window periods assumed for the tests</w:t>
      </w:r>
      <w:r>
        <w:t>.  Of those not diagnosed, all commenced in the seronegative health state and were infected within the year.  The incremental cost of the DHC test is $</w:t>
      </w:r>
      <w:r w:rsidR="00DA7814">
        <w:t>941</w:t>
      </w:r>
      <w:r>
        <w:t>,</w:t>
      </w:r>
      <w:r w:rsidR="00DA7814">
        <w:t>454</w:t>
      </w:r>
      <w:r>
        <w:t xml:space="preserve"> therefore the strategy is dominated.</w:t>
      </w:r>
      <w:r w:rsidR="00475249">
        <w:t xml:space="preserve">  This result is consistent with the assumption of no differences in testing frequency, and with the increased cost/test for the DHC test compared with serology.</w:t>
      </w:r>
    </w:p>
    <w:p w:rsidR="00BC228C" w:rsidRDefault="00BC228C" w:rsidP="00BC228C">
      <w:pPr>
        <w:spacing w:after="120"/>
      </w:pPr>
      <w:r>
        <w:t>As the modelled population is the estimated Australian eligible MSM population, the validity of the modelled results was assessed by comparing the modelled outcomes in the serology only arm to reported values in the literature:</w:t>
      </w:r>
    </w:p>
    <w:p w:rsidR="00BC228C" w:rsidRDefault="00BC228C" w:rsidP="00BC228C">
      <w:pPr>
        <w:spacing w:after="120"/>
        <w:ind w:left="993" w:hanging="273"/>
      </w:pPr>
      <w:r>
        <w:t>•</w:t>
      </w:r>
      <w:r>
        <w:tab/>
        <w:t>In the serology arm, the model predicts a total of 1</w:t>
      </w:r>
      <w:r w:rsidR="009660BC">
        <w:t>,</w:t>
      </w:r>
      <w:r>
        <w:t>109 HIV cases will be detected in MSM for the year, of which 27.6% (306/1</w:t>
      </w:r>
      <w:r w:rsidR="009660BC">
        <w:t>,</w:t>
      </w:r>
      <w:r>
        <w:t>109) are newly acquired infections within the year and 37.6% (417/1</w:t>
      </w:r>
      <w:r w:rsidR="009660BC">
        <w:t>,</w:t>
      </w:r>
      <w:r>
        <w:t xml:space="preserve">109) are advanced or late infections.  These modelled results are consistent with those reported by the Kirby </w:t>
      </w:r>
      <w:r w:rsidRPr="00BA681F">
        <w:t>Institute (2014a</w:t>
      </w:r>
      <w:r w:rsidR="00BA681F" w:rsidRPr="00BA681F">
        <w:t>, 2014</w:t>
      </w:r>
      <w:r w:rsidRPr="00BA681F">
        <w:t>b)</w:t>
      </w:r>
      <w:r>
        <w:t xml:space="preserve"> whereby ~1</w:t>
      </w:r>
      <w:r w:rsidR="009660BC">
        <w:t>,</w:t>
      </w:r>
      <w:r>
        <w:t xml:space="preserve">050 MSM were diagnosed with HIV in 2013, ~28% with newly acquired infection and ~31% with advanced or late infections (Kirby Institute 2014b).  </w:t>
      </w:r>
    </w:p>
    <w:p w:rsidR="00BC228C" w:rsidRDefault="00BC228C" w:rsidP="00BC228C">
      <w:pPr>
        <w:spacing w:after="120"/>
        <w:ind w:left="993" w:hanging="273"/>
      </w:pPr>
      <w:r>
        <w:t>•</w:t>
      </w:r>
      <w:r>
        <w:tab/>
        <w:t>The model predicts HIV positivity in 0.93% of individuals screened (or 1.48% including symptom-based testing), which is similar to a reported probability of 1.3% based on a retrospective audit of the Prahran Market Clinic in Melbourne (</w:t>
      </w:r>
      <w:proofErr w:type="spellStart"/>
      <w:r>
        <w:t>Eu</w:t>
      </w:r>
      <w:proofErr w:type="spellEnd"/>
      <w:r>
        <w:t xml:space="preserve"> 2014).</w:t>
      </w:r>
    </w:p>
    <w:p w:rsidR="00BC228C" w:rsidRDefault="00BC228C" w:rsidP="00BC228C">
      <w:pPr>
        <w:ind w:left="993" w:hanging="273"/>
      </w:pPr>
      <w:r>
        <w:t>•</w:t>
      </w:r>
      <w:r>
        <w:tab/>
        <w:t xml:space="preserve">In terms of diagnostic accuracy, the model predicts the sensitivity and specificity of the DHC test to laboratory testing in the clinical setting are 91.76% and 99.01% respectively.  These modelled results are similarly consistent with those reported in the </w:t>
      </w:r>
      <w:r>
        <w:lastRenderedPageBreak/>
        <w:t>meta-analysis above, 8</w:t>
      </w:r>
      <w:r w:rsidR="00BA681F">
        <w:t>7.</w:t>
      </w:r>
      <w:r>
        <w:t>8%</w:t>
      </w:r>
      <w:r w:rsidR="00BA681F">
        <w:t xml:space="preserve"> (95% CI: 75.2%, 95.4%)</w:t>
      </w:r>
      <w:r>
        <w:t xml:space="preserve"> and 99</w:t>
      </w:r>
      <w:r w:rsidR="00BA681F">
        <w:t>.4</w:t>
      </w:r>
      <w:r>
        <w:t>%</w:t>
      </w:r>
      <w:r w:rsidR="00BA681F">
        <w:t xml:space="preserve"> (95% CI: 99.1%, 99.7%),</w:t>
      </w:r>
      <w:r>
        <w:t xml:space="preserve"> respectively.</w:t>
      </w:r>
    </w:p>
    <w:p w:rsidR="007B4F49" w:rsidRDefault="00BC228C" w:rsidP="00B431E1">
      <w:r>
        <w:t xml:space="preserve">Table </w:t>
      </w:r>
      <w:r w:rsidR="00BA681F">
        <w:t>23</w:t>
      </w:r>
      <w:r>
        <w:t xml:space="preserve"> presents the results of sensitivity analyses conducted during the assessment.</w:t>
      </w:r>
      <w:r w:rsidR="007B4F49">
        <w:t xml:space="preserve">  </w:t>
      </w:r>
    </w:p>
    <w:p w:rsidR="005F5CFB" w:rsidRDefault="005F5CFB" w:rsidP="00B431E1">
      <w:r>
        <w:t xml:space="preserve">Sensitivities 1 and 2 </w:t>
      </w:r>
      <w:r w:rsidR="00AB31A5">
        <w:t xml:space="preserve">alter </w:t>
      </w:r>
      <w:r>
        <w:t>two of the assumed distributions used by the model</w:t>
      </w:r>
      <w:r w:rsidR="00AB31A5">
        <w:t xml:space="preserve"> to estimate the starting composition of the “Seropositive” health state by years infected and the probability of progressing to AID</w:t>
      </w:r>
      <w:r w:rsidR="00B431E1">
        <w:t>S</w:t>
      </w:r>
      <w:r w:rsidR="00AB31A5">
        <w:t xml:space="preserve"> (see above)</w:t>
      </w:r>
      <w:r>
        <w:t>.</w:t>
      </w:r>
      <w:r w:rsidR="00B431E1">
        <w:t xml:space="preserve"> </w:t>
      </w:r>
      <w:r w:rsidR="00AB31A5">
        <w:t xml:space="preserve"> The results indicate that only the absolute number of total diagnoses is affected by these distributions, and not the incremental change between testing strategies.</w:t>
      </w:r>
    </w:p>
    <w:p w:rsidR="00AB31A5" w:rsidRDefault="00E0713F" w:rsidP="00B431E1">
      <w:r>
        <w:t>Sensitivities 3 to 7 alter the costs assumed in the model</w:t>
      </w:r>
      <w:r w:rsidR="00B431E1">
        <w:t xml:space="preserve">.  </w:t>
      </w:r>
      <w:r w:rsidR="000E76A6">
        <w:t>In all cases, the proposed listing of DHC is associated with an incremental cost and a fewer number of detections compared with current laboratory testing.</w:t>
      </w:r>
    </w:p>
    <w:p w:rsidR="00F737A4" w:rsidRDefault="00E959B5" w:rsidP="00543DDC">
      <w:pPr>
        <w:spacing w:after="120"/>
      </w:pPr>
      <w:r>
        <w:t>Sensitivities 8 to 11 alter the impact that DHC will have on current practice.  Based on professional advice sought during the evaluation,</w:t>
      </w:r>
      <w:r w:rsidR="00041F66">
        <w:t xml:space="preserve"> the proposed listing of DHC is unlikely to change c</w:t>
      </w:r>
      <w:r w:rsidR="00AC25ED">
        <w:t>linical</w:t>
      </w:r>
      <w:r w:rsidR="00041F66">
        <w:t xml:space="preserve"> practice of HIV testing and </w:t>
      </w:r>
      <w:r w:rsidR="00AC25ED">
        <w:t xml:space="preserve">hence any use of DHC would be in addition to current laboratory testing.  </w:t>
      </w:r>
    </w:p>
    <w:p w:rsidR="00F737A4" w:rsidRPr="00F737A4" w:rsidRDefault="00AC25ED" w:rsidP="00543DDC">
      <w:pPr>
        <w:pStyle w:val="ListParagraph"/>
        <w:numPr>
          <w:ilvl w:val="0"/>
          <w:numId w:val="34"/>
        </w:numPr>
        <w:spacing w:before="120" w:after="120" w:line="240" w:lineRule="auto"/>
        <w:ind w:left="993" w:hanging="284"/>
      </w:pPr>
      <w:r w:rsidRPr="00F737A4">
        <w:rPr>
          <w:rFonts w:ascii="Garamond" w:hAnsi="Garamond"/>
          <w:sz w:val="24"/>
        </w:rPr>
        <w:t xml:space="preserve">Sensitivity 8 assumes all DHC confirmed positives will return to the GP for counselling despite receiving counselling following the unconfirmed DHC positive. </w:t>
      </w:r>
    </w:p>
    <w:p w:rsidR="00F737A4" w:rsidRPr="00F737A4" w:rsidRDefault="00AC25ED" w:rsidP="00543DDC">
      <w:pPr>
        <w:pStyle w:val="ListParagraph"/>
        <w:numPr>
          <w:ilvl w:val="0"/>
          <w:numId w:val="34"/>
        </w:numPr>
        <w:spacing w:before="120" w:after="120" w:line="240" w:lineRule="auto"/>
        <w:ind w:left="993" w:hanging="284"/>
      </w:pPr>
      <w:r w:rsidRPr="00F737A4">
        <w:rPr>
          <w:rFonts w:ascii="Garamond" w:hAnsi="Garamond"/>
          <w:sz w:val="24"/>
        </w:rPr>
        <w:t xml:space="preserve">Sensitivity 9 assumes all </w:t>
      </w:r>
      <w:r w:rsidR="00466C51" w:rsidRPr="00F737A4">
        <w:rPr>
          <w:rFonts w:ascii="Garamond" w:hAnsi="Garamond"/>
          <w:sz w:val="24"/>
        </w:rPr>
        <w:t xml:space="preserve">DHC tests (positive and negative) in the “seroconverting” health state are confirmed by serology, which is further supported by recent Australian recommendations for point-of-care testing in </w:t>
      </w:r>
      <w:r w:rsidR="00543DDC" w:rsidRPr="00543DDC">
        <w:rPr>
          <w:rFonts w:ascii="Garamond" w:hAnsi="Garamond"/>
          <w:bCs/>
          <w:sz w:val="24"/>
          <w:szCs w:val="24"/>
        </w:rPr>
        <w:t>individuals</w:t>
      </w:r>
      <w:r w:rsidR="00466C51" w:rsidRPr="00543DDC">
        <w:rPr>
          <w:rFonts w:ascii="Garamond" w:hAnsi="Garamond"/>
          <w:sz w:val="24"/>
          <w:szCs w:val="24"/>
        </w:rPr>
        <w:t xml:space="preserve"> s</w:t>
      </w:r>
      <w:r w:rsidR="00466C51" w:rsidRPr="00F737A4">
        <w:rPr>
          <w:rFonts w:ascii="Garamond" w:hAnsi="Garamond"/>
          <w:sz w:val="24"/>
        </w:rPr>
        <w:t xml:space="preserve">uspected of seroconverting by Chan </w:t>
      </w:r>
      <w:r w:rsidR="00B431E1" w:rsidRPr="00F737A4">
        <w:rPr>
          <w:rFonts w:ascii="Garamond" w:hAnsi="Garamond"/>
          <w:sz w:val="24"/>
        </w:rPr>
        <w:t>(</w:t>
      </w:r>
      <w:r w:rsidR="00466C51" w:rsidRPr="00F737A4">
        <w:rPr>
          <w:rFonts w:ascii="Garamond" w:hAnsi="Garamond"/>
          <w:sz w:val="24"/>
        </w:rPr>
        <w:t>2015</w:t>
      </w:r>
      <w:r w:rsidR="00B431E1" w:rsidRPr="00F737A4">
        <w:rPr>
          <w:rFonts w:ascii="Garamond" w:hAnsi="Garamond"/>
          <w:sz w:val="24"/>
        </w:rPr>
        <w:t>)</w:t>
      </w:r>
      <w:r w:rsidR="00466C51" w:rsidRPr="00F737A4">
        <w:rPr>
          <w:rFonts w:ascii="Garamond" w:hAnsi="Garamond"/>
          <w:sz w:val="24"/>
        </w:rPr>
        <w:t>.</w:t>
      </w:r>
      <w:r w:rsidR="00466C51" w:rsidRPr="00F737A4">
        <w:rPr>
          <w:sz w:val="24"/>
        </w:rPr>
        <w:t xml:space="preserve"> </w:t>
      </w:r>
      <w:r w:rsidR="00B431E1" w:rsidRPr="00F737A4">
        <w:rPr>
          <w:sz w:val="24"/>
        </w:rPr>
        <w:t xml:space="preserve"> </w:t>
      </w:r>
    </w:p>
    <w:p w:rsidR="00F737A4" w:rsidRPr="00F737A4" w:rsidRDefault="00466C51" w:rsidP="00543DDC">
      <w:pPr>
        <w:pStyle w:val="ListParagraph"/>
        <w:numPr>
          <w:ilvl w:val="0"/>
          <w:numId w:val="34"/>
        </w:numPr>
        <w:spacing w:before="120" w:after="120" w:line="240" w:lineRule="auto"/>
        <w:ind w:left="993" w:hanging="284"/>
        <w:rPr>
          <w:rFonts w:ascii="Garamond" w:hAnsi="Garamond"/>
          <w:sz w:val="24"/>
        </w:rPr>
      </w:pPr>
      <w:r w:rsidRPr="00F737A4">
        <w:rPr>
          <w:rFonts w:ascii="Garamond" w:hAnsi="Garamond"/>
          <w:sz w:val="24"/>
        </w:rPr>
        <w:t xml:space="preserve">Sensitivity 10 assumes all DHC tests (positive and negative) will be confirmed with serology.  </w:t>
      </w:r>
      <w:r w:rsidR="00F05C5E" w:rsidRPr="00F737A4">
        <w:rPr>
          <w:rFonts w:ascii="Garamond" w:hAnsi="Garamond"/>
          <w:sz w:val="24"/>
        </w:rPr>
        <w:t>Given a blood sample should be concurrently taken to test for STIs such as syphilis with every HIV test (see STIGMA guidelines), it is highly likely HIV status will also be tested by serology regardless of the point-of-care test result.</w:t>
      </w:r>
      <w:r w:rsidR="00B431E1" w:rsidRPr="00F737A4">
        <w:rPr>
          <w:rFonts w:ascii="Garamond" w:hAnsi="Garamond"/>
          <w:sz w:val="24"/>
        </w:rPr>
        <w:t xml:space="preserve"> </w:t>
      </w:r>
      <w:r w:rsidR="00F05C5E" w:rsidRPr="00F737A4">
        <w:rPr>
          <w:rFonts w:ascii="Garamond" w:hAnsi="Garamond"/>
          <w:sz w:val="24"/>
        </w:rPr>
        <w:t xml:space="preserve"> </w:t>
      </w:r>
      <w:r w:rsidR="00324478" w:rsidRPr="00F737A4">
        <w:rPr>
          <w:rFonts w:ascii="Garamond" w:hAnsi="Garamond"/>
          <w:sz w:val="24"/>
        </w:rPr>
        <w:t xml:space="preserve">This is current practice at </w:t>
      </w:r>
      <w:r w:rsidR="00B431E1" w:rsidRPr="00F737A4">
        <w:rPr>
          <w:rFonts w:ascii="Garamond" w:hAnsi="Garamond"/>
          <w:sz w:val="24"/>
        </w:rPr>
        <w:t>one</w:t>
      </w:r>
      <w:r w:rsidR="00746720" w:rsidRPr="00F737A4">
        <w:rPr>
          <w:rFonts w:ascii="Garamond" w:hAnsi="Garamond"/>
          <w:sz w:val="24"/>
        </w:rPr>
        <w:t xml:space="preserve"> Melbourne </w:t>
      </w:r>
      <w:r w:rsidR="00B431E1" w:rsidRPr="00F737A4">
        <w:rPr>
          <w:rFonts w:ascii="Garamond" w:hAnsi="Garamond"/>
          <w:sz w:val="24"/>
        </w:rPr>
        <w:t xml:space="preserve">clinic </w:t>
      </w:r>
      <w:r w:rsidR="00324478" w:rsidRPr="00F737A4">
        <w:rPr>
          <w:rFonts w:ascii="Garamond" w:hAnsi="Garamond"/>
          <w:sz w:val="24"/>
        </w:rPr>
        <w:t>which offers point-of-care testing</w:t>
      </w:r>
      <w:r w:rsidR="00324478" w:rsidRPr="00F737A4">
        <w:rPr>
          <w:rStyle w:val="FootnoteReference"/>
          <w:rFonts w:ascii="Garamond" w:hAnsi="Garamond"/>
          <w:sz w:val="24"/>
        </w:rPr>
        <w:footnoteReference w:id="5"/>
      </w:r>
      <w:r w:rsidR="00324478" w:rsidRPr="00F737A4">
        <w:rPr>
          <w:rFonts w:ascii="Garamond" w:hAnsi="Garamond"/>
          <w:sz w:val="24"/>
        </w:rPr>
        <w:t>.</w:t>
      </w:r>
      <w:r w:rsidR="00746720" w:rsidRPr="00F737A4">
        <w:rPr>
          <w:rFonts w:ascii="Garamond" w:hAnsi="Garamond"/>
          <w:sz w:val="24"/>
        </w:rPr>
        <w:t xml:space="preserve"> </w:t>
      </w:r>
    </w:p>
    <w:p w:rsidR="004946A0" w:rsidRDefault="00746720" w:rsidP="00543DDC">
      <w:pPr>
        <w:pStyle w:val="ListParagraph"/>
        <w:numPr>
          <w:ilvl w:val="0"/>
          <w:numId w:val="34"/>
        </w:numPr>
        <w:spacing w:before="120" w:after="120" w:line="240" w:lineRule="auto"/>
        <w:ind w:left="993" w:hanging="284"/>
        <w:rPr>
          <w:rFonts w:ascii="Garamond" w:hAnsi="Garamond"/>
          <w:sz w:val="24"/>
        </w:rPr>
      </w:pPr>
      <w:r w:rsidRPr="00F737A4">
        <w:rPr>
          <w:rFonts w:ascii="Garamond" w:hAnsi="Garamond"/>
          <w:sz w:val="24"/>
        </w:rPr>
        <w:t>Sensitivity 1</w:t>
      </w:r>
      <w:r w:rsidR="00F737A4" w:rsidRPr="00F737A4">
        <w:rPr>
          <w:rFonts w:ascii="Garamond" w:hAnsi="Garamond"/>
          <w:sz w:val="24"/>
        </w:rPr>
        <w:t>1</w:t>
      </w:r>
      <w:r w:rsidRPr="00F737A4">
        <w:rPr>
          <w:rFonts w:ascii="Garamond" w:hAnsi="Garamond"/>
          <w:sz w:val="24"/>
        </w:rPr>
        <w:t xml:space="preserve"> assumes all DHC tests (positive and negative) will be confirmed with serology and all confirmed positives </w:t>
      </w:r>
      <w:r w:rsidRPr="00F737A4">
        <w:rPr>
          <w:rFonts w:ascii="Garamond" w:hAnsi="Garamond"/>
          <w:sz w:val="24"/>
          <w:u w:val="single"/>
        </w:rPr>
        <w:t>will</w:t>
      </w:r>
      <w:r w:rsidRPr="00F737A4">
        <w:rPr>
          <w:rFonts w:ascii="Garamond" w:hAnsi="Garamond"/>
          <w:sz w:val="24"/>
        </w:rPr>
        <w:t xml:space="preserve"> return to the GP for counselling despite receiving counselling following the unconfirmed DHC positive.  </w:t>
      </w:r>
    </w:p>
    <w:p w:rsidR="001D0878" w:rsidRPr="004946A0" w:rsidRDefault="00746720" w:rsidP="004946A0">
      <w:pPr>
        <w:spacing w:before="120"/>
        <w:ind w:left="709"/>
      </w:pPr>
      <w:r w:rsidRPr="004946A0">
        <w:t>The incremental cost is higher in each scenario compared to the base case.</w:t>
      </w:r>
    </w:p>
    <w:p w:rsidR="00F737A4" w:rsidRDefault="00EC2165" w:rsidP="00543DDC">
      <w:pPr>
        <w:spacing w:after="120"/>
      </w:pPr>
      <w:r>
        <w:t>Sensitivities 12 and 15</w:t>
      </w:r>
      <w:r w:rsidR="00C54FE7">
        <w:t xml:space="preserve"> increase the proportion and testing frequency in the </w:t>
      </w:r>
      <w:r>
        <w:t xml:space="preserve">model under two scenarios where DHC will substitute for serology testing and where serology testing will be done regardless of DHC result. </w:t>
      </w:r>
      <w:r w:rsidR="00B431E1">
        <w:t xml:space="preserve"> </w:t>
      </w:r>
    </w:p>
    <w:p w:rsidR="00F737A4" w:rsidRPr="00F737A4" w:rsidRDefault="00EC2165" w:rsidP="00543DDC">
      <w:pPr>
        <w:pStyle w:val="ListParagraph"/>
        <w:numPr>
          <w:ilvl w:val="0"/>
          <w:numId w:val="34"/>
        </w:numPr>
        <w:spacing w:after="120" w:line="240" w:lineRule="auto"/>
        <w:ind w:left="993" w:hanging="284"/>
        <w:rPr>
          <w:rFonts w:ascii="Garamond" w:hAnsi="Garamond"/>
          <w:sz w:val="24"/>
          <w:szCs w:val="24"/>
        </w:rPr>
      </w:pPr>
      <w:r w:rsidRPr="00F737A4">
        <w:rPr>
          <w:rFonts w:ascii="Garamond" w:hAnsi="Garamond"/>
          <w:sz w:val="24"/>
          <w:szCs w:val="24"/>
        </w:rPr>
        <w:t>Sensitivities</w:t>
      </w:r>
      <w:r w:rsidR="00FB1A33" w:rsidRPr="00F737A4">
        <w:rPr>
          <w:rFonts w:ascii="Garamond" w:hAnsi="Garamond"/>
          <w:sz w:val="24"/>
          <w:szCs w:val="24"/>
        </w:rPr>
        <w:t xml:space="preserve"> 12 </w:t>
      </w:r>
      <w:r w:rsidRPr="00F737A4">
        <w:rPr>
          <w:rFonts w:ascii="Garamond" w:hAnsi="Garamond"/>
          <w:sz w:val="24"/>
          <w:szCs w:val="24"/>
        </w:rPr>
        <w:t xml:space="preserve">and 14 </w:t>
      </w:r>
      <w:r w:rsidR="00FB1A33" w:rsidRPr="00F737A4">
        <w:rPr>
          <w:rFonts w:ascii="Garamond" w:hAnsi="Garamond"/>
          <w:sz w:val="24"/>
          <w:szCs w:val="24"/>
        </w:rPr>
        <w:t>assumes DHC is associated with 3 percentage point increase in the proportion of individuals are tested for HIV.</w:t>
      </w:r>
      <w:r w:rsidR="00B431E1" w:rsidRPr="00F737A4">
        <w:rPr>
          <w:rFonts w:ascii="Garamond" w:hAnsi="Garamond"/>
          <w:sz w:val="24"/>
          <w:szCs w:val="24"/>
        </w:rPr>
        <w:t xml:space="preserve"> </w:t>
      </w:r>
      <w:r w:rsidR="00FB1A33" w:rsidRPr="00F737A4">
        <w:rPr>
          <w:rFonts w:ascii="Garamond" w:hAnsi="Garamond"/>
          <w:sz w:val="24"/>
          <w:szCs w:val="24"/>
        </w:rPr>
        <w:t xml:space="preserve"> </w:t>
      </w:r>
      <w:proofErr w:type="spellStart"/>
      <w:r w:rsidR="00C54FE7" w:rsidRPr="00F737A4">
        <w:rPr>
          <w:rFonts w:ascii="Garamond" w:hAnsi="Garamond"/>
          <w:sz w:val="24"/>
          <w:szCs w:val="24"/>
        </w:rPr>
        <w:t>Eu</w:t>
      </w:r>
      <w:proofErr w:type="spellEnd"/>
      <w:r w:rsidR="00C54FE7" w:rsidRPr="00F737A4">
        <w:rPr>
          <w:rFonts w:ascii="Garamond" w:hAnsi="Garamond"/>
          <w:sz w:val="24"/>
          <w:szCs w:val="24"/>
        </w:rPr>
        <w:t xml:space="preserve"> </w:t>
      </w:r>
      <w:r w:rsidR="00B431E1" w:rsidRPr="00F737A4">
        <w:rPr>
          <w:rFonts w:ascii="Garamond" w:hAnsi="Garamond"/>
          <w:sz w:val="24"/>
          <w:szCs w:val="24"/>
        </w:rPr>
        <w:t>(</w:t>
      </w:r>
      <w:r w:rsidR="00C54FE7" w:rsidRPr="00F737A4">
        <w:rPr>
          <w:rFonts w:ascii="Garamond" w:hAnsi="Garamond"/>
          <w:sz w:val="24"/>
          <w:szCs w:val="24"/>
        </w:rPr>
        <w:t>2014</w:t>
      </w:r>
      <w:r w:rsidR="00B431E1" w:rsidRPr="00F737A4">
        <w:rPr>
          <w:rFonts w:ascii="Garamond" w:hAnsi="Garamond"/>
          <w:sz w:val="24"/>
          <w:szCs w:val="24"/>
        </w:rPr>
        <w:t>)</w:t>
      </w:r>
      <w:r w:rsidR="00C54FE7" w:rsidRPr="00F737A4">
        <w:rPr>
          <w:rFonts w:ascii="Garamond" w:hAnsi="Garamond"/>
          <w:sz w:val="24"/>
          <w:szCs w:val="24"/>
        </w:rPr>
        <w:t xml:space="preserve"> reports that of the 1</w:t>
      </w:r>
      <w:r w:rsidR="004946A0">
        <w:rPr>
          <w:rFonts w:ascii="Garamond" w:hAnsi="Garamond"/>
          <w:sz w:val="24"/>
          <w:szCs w:val="24"/>
        </w:rPr>
        <w:t>,</w:t>
      </w:r>
      <w:r w:rsidR="00C54FE7" w:rsidRPr="00F737A4">
        <w:rPr>
          <w:rFonts w:ascii="Garamond" w:hAnsi="Garamond"/>
          <w:sz w:val="24"/>
          <w:szCs w:val="24"/>
        </w:rPr>
        <w:t>527 MSM tested for HIV</w:t>
      </w:r>
      <w:r w:rsidR="00B431E1" w:rsidRPr="00F737A4">
        <w:rPr>
          <w:rFonts w:ascii="Garamond" w:hAnsi="Garamond"/>
          <w:sz w:val="24"/>
          <w:szCs w:val="24"/>
        </w:rPr>
        <w:t>,</w:t>
      </w:r>
      <w:r w:rsidR="00C54FE7" w:rsidRPr="00F737A4">
        <w:rPr>
          <w:rFonts w:ascii="Garamond" w:hAnsi="Garamond"/>
          <w:sz w:val="24"/>
          <w:szCs w:val="24"/>
        </w:rPr>
        <w:t xml:space="preserve"> 219 requested a point-of-care test</w:t>
      </w:r>
      <w:r w:rsidR="00870585" w:rsidRPr="00F737A4">
        <w:rPr>
          <w:rFonts w:ascii="Garamond" w:hAnsi="Garamond"/>
          <w:sz w:val="24"/>
          <w:szCs w:val="24"/>
        </w:rPr>
        <w:t xml:space="preserve">, and 1 in 5 surveyed indicated they would not have been tested should DHC not have been available.  Therefore, screening participation may have increased in </w:t>
      </w:r>
      <w:proofErr w:type="spellStart"/>
      <w:r w:rsidR="00870585" w:rsidRPr="00F737A4">
        <w:rPr>
          <w:rFonts w:ascii="Garamond" w:hAnsi="Garamond"/>
          <w:sz w:val="24"/>
          <w:szCs w:val="24"/>
        </w:rPr>
        <w:t>Eu</w:t>
      </w:r>
      <w:proofErr w:type="spellEnd"/>
      <w:r w:rsidR="00870585" w:rsidRPr="00F737A4">
        <w:rPr>
          <w:rFonts w:ascii="Garamond" w:hAnsi="Garamond"/>
          <w:sz w:val="24"/>
          <w:szCs w:val="24"/>
        </w:rPr>
        <w:t xml:space="preserve"> </w:t>
      </w:r>
      <w:r w:rsidR="00B431E1" w:rsidRPr="00F737A4">
        <w:rPr>
          <w:rFonts w:ascii="Garamond" w:hAnsi="Garamond"/>
          <w:sz w:val="24"/>
          <w:szCs w:val="24"/>
        </w:rPr>
        <w:t>(</w:t>
      </w:r>
      <w:r w:rsidR="00870585" w:rsidRPr="00F737A4">
        <w:rPr>
          <w:rFonts w:ascii="Garamond" w:hAnsi="Garamond"/>
          <w:sz w:val="24"/>
          <w:szCs w:val="24"/>
        </w:rPr>
        <w:t>2014</w:t>
      </w:r>
      <w:r w:rsidR="00B431E1" w:rsidRPr="00F737A4">
        <w:rPr>
          <w:rFonts w:ascii="Garamond" w:hAnsi="Garamond"/>
          <w:sz w:val="24"/>
          <w:szCs w:val="24"/>
        </w:rPr>
        <w:t>)</w:t>
      </w:r>
      <w:r w:rsidR="00870585" w:rsidRPr="00F737A4">
        <w:rPr>
          <w:rFonts w:ascii="Garamond" w:hAnsi="Garamond"/>
          <w:sz w:val="24"/>
          <w:szCs w:val="24"/>
        </w:rPr>
        <w:t xml:space="preserve"> by approximately 3% as a result of point-of-care testing.  </w:t>
      </w:r>
    </w:p>
    <w:p w:rsidR="000677D8" w:rsidRDefault="00FB1A33" w:rsidP="000677D8">
      <w:pPr>
        <w:pStyle w:val="ListParagraph"/>
        <w:numPr>
          <w:ilvl w:val="0"/>
          <w:numId w:val="34"/>
        </w:numPr>
        <w:spacing w:before="120" w:after="0" w:line="240" w:lineRule="auto"/>
        <w:ind w:left="993" w:hanging="284"/>
        <w:rPr>
          <w:rFonts w:ascii="Garamond" w:hAnsi="Garamond"/>
          <w:sz w:val="24"/>
          <w:szCs w:val="24"/>
        </w:rPr>
      </w:pPr>
      <w:r w:rsidRPr="000677D8">
        <w:rPr>
          <w:rFonts w:ascii="Garamond" w:hAnsi="Garamond"/>
          <w:sz w:val="24"/>
          <w:szCs w:val="24"/>
        </w:rPr>
        <w:lastRenderedPageBreak/>
        <w:t>Sensitivit</w:t>
      </w:r>
      <w:r w:rsidR="00EC2165" w:rsidRPr="000677D8">
        <w:rPr>
          <w:rFonts w:ascii="Garamond" w:hAnsi="Garamond"/>
          <w:sz w:val="24"/>
          <w:szCs w:val="24"/>
        </w:rPr>
        <w:t>ies</w:t>
      </w:r>
      <w:r w:rsidRPr="000677D8">
        <w:rPr>
          <w:rFonts w:ascii="Garamond" w:hAnsi="Garamond"/>
          <w:sz w:val="24"/>
          <w:szCs w:val="24"/>
        </w:rPr>
        <w:t xml:space="preserve"> 13 </w:t>
      </w:r>
      <w:r w:rsidR="00EC2165" w:rsidRPr="000677D8">
        <w:rPr>
          <w:rFonts w:ascii="Garamond" w:hAnsi="Garamond"/>
          <w:sz w:val="24"/>
          <w:szCs w:val="24"/>
        </w:rPr>
        <w:t xml:space="preserve">and 15 </w:t>
      </w:r>
      <w:r w:rsidRPr="000677D8">
        <w:rPr>
          <w:rFonts w:ascii="Garamond" w:hAnsi="Garamond"/>
          <w:sz w:val="24"/>
          <w:szCs w:val="24"/>
        </w:rPr>
        <w:t xml:space="preserve">models the rate of first-test and subsequent-tests separately in both the DHC and serology arms, based on the </w:t>
      </w:r>
      <w:r w:rsidRPr="000677D8">
        <w:rPr>
          <w:rFonts w:ascii="Garamond" w:hAnsi="Garamond"/>
          <w:i/>
          <w:sz w:val="24"/>
          <w:szCs w:val="24"/>
        </w:rPr>
        <w:t>post-hoc</w:t>
      </w:r>
      <w:r w:rsidRPr="000677D8">
        <w:rPr>
          <w:rFonts w:ascii="Garamond" w:hAnsi="Garamond"/>
          <w:sz w:val="24"/>
          <w:szCs w:val="24"/>
        </w:rPr>
        <w:t xml:space="preserve"> analysis reported in Read (2013).  </w:t>
      </w:r>
      <w:r w:rsidR="00020387" w:rsidRPr="000677D8">
        <w:rPr>
          <w:rFonts w:ascii="Garamond" w:hAnsi="Garamond"/>
          <w:sz w:val="24"/>
          <w:szCs w:val="24"/>
        </w:rPr>
        <w:t xml:space="preserve">The 3-monthly probabilities are calculated from the reported rates for the DHC and serology arms respectively: </w:t>
      </w:r>
      <w:r w:rsidR="00C36EFD" w:rsidRPr="000677D8">
        <w:rPr>
          <w:rFonts w:ascii="Garamond" w:hAnsi="Garamond"/>
          <w:sz w:val="24"/>
          <w:szCs w:val="24"/>
        </w:rPr>
        <w:t xml:space="preserve">first test = </w:t>
      </w:r>
      <w:r w:rsidR="00020387" w:rsidRPr="000677D8">
        <w:rPr>
          <w:rFonts w:ascii="Garamond" w:hAnsi="Garamond"/>
          <w:sz w:val="24"/>
          <w:szCs w:val="24"/>
        </w:rPr>
        <w:t xml:space="preserve">0.281017 (161 tests / 122 person years) and 0.222589 (141 tests / 140 person years); </w:t>
      </w:r>
      <w:r w:rsidR="00C36EFD" w:rsidRPr="000677D8">
        <w:rPr>
          <w:rFonts w:ascii="Garamond" w:hAnsi="Garamond"/>
          <w:sz w:val="24"/>
          <w:szCs w:val="24"/>
        </w:rPr>
        <w:t xml:space="preserve">subsequent tests = </w:t>
      </w:r>
      <w:r w:rsidR="00020387" w:rsidRPr="000677D8">
        <w:rPr>
          <w:rFonts w:ascii="Garamond" w:hAnsi="Garamond"/>
          <w:sz w:val="24"/>
          <w:szCs w:val="24"/>
        </w:rPr>
        <w:t>0.371865 (1.86 tests / year) and 0.367136 (1.83 tests / year).</w:t>
      </w:r>
      <w:r w:rsidR="002E4A7A" w:rsidRPr="000677D8">
        <w:rPr>
          <w:rFonts w:ascii="Garamond" w:hAnsi="Garamond"/>
          <w:sz w:val="24"/>
          <w:szCs w:val="24"/>
        </w:rPr>
        <w:t xml:space="preserve">  </w:t>
      </w:r>
    </w:p>
    <w:p w:rsidR="002E4A7A" w:rsidRPr="000677D8" w:rsidRDefault="002E4A7A" w:rsidP="000677D8">
      <w:pPr>
        <w:spacing w:before="120" w:after="0"/>
        <w:ind w:left="0"/>
        <w:rPr>
          <w:szCs w:val="24"/>
        </w:rPr>
      </w:pPr>
      <w:r>
        <w:t xml:space="preserve">Whilst both sensitivity analyses 12 </w:t>
      </w:r>
      <w:r w:rsidR="00073C39">
        <w:t xml:space="preserve">to </w:t>
      </w:r>
      <w:r>
        <w:t>1</w:t>
      </w:r>
      <w:r w:rsidR="00073C39">
        <w:t>5</w:t>
      </w:r>
      <w:r>
        <w:t xml:space="preserve"> have a positive ICER, it must be noted that a key assumption in the model is that each individual’s testing behaviour is unrelated to their risk taking behaviour.  Should the proposed DHC listing only influence testing behaviour in risk averse individuals who are less likely to be HIV positive or become HIV positive, despite increased testing (and increased cost) there would be no (or margi</w:t>
      </w:r>
      <w:r w:rsidR="003B2623">
        <w:t>nal) increase in HIV detection.</w:t>
      </w:r>
      <w:r w:rsidR="00073C39">
        <w:t xml:space="preserve">  More importantly however, these analyses should be viewed only as sensitivities given the lack of evidence to suggest the listing of DHC on the MBS would change testing behaviour.</w:t>
      </w:r>
    </w:p>
    <w:p w:rsidR="00BC228C" w:rsidRDefault="00BC228C" w:rsidP="00BA681F">
      <w:pPr>
        <w:pStyle w:val="Caption"/>
      </w:pPr>
      <w:bookmarkStart w:id="171" w:name="_Toc415103532"/>
      <w:bookmarkStart w:id="172" w:name="_Toc418225021"/>
      <w:bookmarkStart w:id="173" w:name="_Toc418225667"/>
      <w:r>
        <w:t xml:space="preserve">Table </w:t>
      </w:r>
      <w:r w:rsidR="00BA681F">
        <w:t>23</w:t>
      </w:r>
      <w:r>
        <w:tab/>
        <w:t>Sensitivity analyses</w:t>
      </w:r>
      <w:bookmarkEnd w:id="171"/>
      <w:bookmarkEnd w:id="172"/>
      <w:bookmarkEnd w:id="173"/>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ensitivity analyses"/>
        <w:tblDescription w:val="Sensitivity analyses varying the value of important inputs into the model and how this impacts of the results of the cost-effectiveness of the DHC test"/>
      </w:tblPr>
      <w:tblGrid>
        <w:gridCol w:w="3796"/>
        <w:gridCol w:w="1575"/>
        <w:gridCol w:w="63"/>
        <w:gridCol w:w="1438"/>
        <w:gridCol w:w="1501"/>
      </w:tblGrid>
      <w:tr w:rsidR="00BC228C" w:rsidRPr="00C07905" w:rsidTr="007D2E85">
        <w:trPr>
          <w:tblHeader/>
        </w:trPr>
        <w:tc>
          <w:tcPr>
            <w:tcW w:w="3796" w:type="dxa"/>
            <w:shd w:val="clear" w:color="auto" w:fill="auto"/>
          </w:tcPr>
          <w:p w:rsidR="00BC228C" w:rsidRPr="007B1695" w:rsidRDefault="00BC228C" w:rsidP="007D2E85">
            <w:pPr>
              <w:pStyle w:val="TableText0"/>
              <w:rPr>
                <w:szCs w:val="18"/>
              </w:rPr>
            </w:pPr>
          </w:p>
        </w:tc>
        <w:tc>
          <w:tcPr>
            <w:tcW w:w="1575" w:type="dxa"/>
            <w:shd w:val="clear" w:color="auto" w:fill="auto"/>
          </w:tcPr>
          <w:p w:rsidR="00BC228C" w:rsidRPr="00C07905" w:rsidRDefault="00BC228C" w:rsidP="007D2E85">
            <w:pPr>
              <w:pStyle w:val="TableText0"/>
              <w:jc w:val="center"/>
              <w:rPr>
                <w:b/>
                <w:szCs w:val="18"/>
              </w:rPr>
            </w:pPr>
            <w:r w:rsidRPr="00C07905">
              <w:rPr>
                <w:b/>
                <w:szCs w:val="18"/>
              </w:rPr>
              <w:t>DHC test</w:t>
            </w:r>
          </w:p>
        </w:tc>
        <w:tc>
          <w:tcPr>
            <w:tcW w:w="1501" w:type="dxa"/>
            <w:gridSpan w:val="2"/>
            <w:shd w:val="clear" w:color="auto" w:fill="auto"/>
          </w:tcPr>
          <w:p w:rsidR="00BC228C" w:rsidRPr="00C07905" w:rsidRDefault="00BC228C" w:rsidP="007D2E85">
            <w:pPr>
              <w:pStyle w:val="TableText0"/>
              <w:jc w:val="center"/>
              <w:rPr>
                <w:b/>
                <w:szCs w:val="18"/>
              </w:rPr>
            </w:pPr>
            <w:r w:rsidRPr="00C07905">
              <w:rPr>
                <w:b/>
                <w:szCs w:val="18"/>
              </w:rPr>
              <w:t>Serology</w:t>
            </w:r>
          </w:p>
        </w:tc>
        <w:tc>
          <w:tcPr>
            <w:tcW w:w="1501" w:type="dxa"/>
            <w:shd w:val="clear" w:color="auto" w:fill="auto"/>
          </w:tcPr>
          <w:p w:rsidR="00BC228C" w:rsidRPr="00C07905" w:rsidRDefault="00BC228C" w:rsidP="007D2E85">
            <w:pPr>
              <w:pStyle w:val="TableText0"/>
              <w:jc w:val="center"/>
              <w:rPr>
                <w:b/>
                <w:szCs w:val="18"/>
              </w:rPr>
            </w:pPr>
            <w:r w:rsidRPr="00C07905">
              <w:rPr>
                <w:b/>
                <w:szCs w:val="18"/>
              </w:rPr>
              <w:t>Increment</w:t>
            </w:r>
          </w:p>
        </w:tc>
      </w:tr>
      <w:tr w:rsidR="007B4F49" w:rsidRPr="00C07905" w:rsidTr="007D2E85">
        <w:trPr>
          <w:trHeight w:val="122"/>
        </w:trPr>
        <w:tc>
          <w:tcPr>
            <w:tcW w:w="8373" w:type="dxa"/>
            <w:gridSpan w:val="5"/>
            <w:shd w:val="clear" w:color="auto" w:fill="auto"/>
          </w:tcPr>
          <w:p w:rsidR="007B4F49" w:rsidRPr="00C07905" w:rsidRDefault="007B4F49" w:rsidP="007D2E85">
            <w:pPr>
              <w:pStyle w:val="TableText0"/>
              <w:rPr>
                <w:szCs w:val="18"/>
              </w:rPr>
            </w:pPr>
            <w:r w:rsidRPr="00C07905">
              <w:rPr>
                <w:szCs w:val="18"/>
              </w:rPr>
              <w:t>Base case</w:t>
            </w:r>
          </w:p>
        </w:tc>
      </w:tr>
      <w:tr w:rsidR="008F30D3" w:rsidRPr="00C07905" w:rsidTr="00B431E1">
        <w:trPr>
          <w:trHeight w:val="244"/>
        </w:trPr>
        <w:tc>
          <w:tcPr>
            <w:tcW w:w="3796" w:type="dxa"/>
            <w:shd w:val="clear" w:color="auto" w:fill="auto"/>
          </w:tcPr>
          <w:p w:rsidR="008F30D3" w:rsidRPr="00C07905" w:rsidRDefault="008F30D3" w:rsidP="007D2E85">
            <w:pPr>
              <w:pStyle w:val="TableText0"/>
              <w:rPr>
                <w:szCs w:val="18"/>
              </w:rPr>
            </w:pPr>
            <w:r w:rsidRPr="00C07905">
              <w:rPr>
                <w:szCs w:val="18"/>
              </w:rPr>
              <w:t>Cost</w:t>
            </w:r>
          </w:p>
        </w:tc>
        <w:tc>
          <w:tcPr>
            <w:tcW w:w="1575" w:type="dxa"/>
            <w:shd w:val="clear" w:color="auto" w:fill="auto"/>
            <w:vAlign w:val="bottom"/>
          </w:tcPr>
          <w:p w:rsidR="008F30D3" w:rsidRPr="00C07905" w:rsidRDefault="008F30D3" w:rsidP="007D2E85">
            <w:pPr>
              <w:pStyle w:val="TableText0"/>
              <w:jc w:val="center"/>
              <w:rPr>
                <w:szCs w:val="18"/>
              </w:rPr>
            </w:pPr>
            <w:r w:rsidRPr="00B431E1">
              <w:rPr>
                <w:szCs w:val="18"/>
              </w:rPr>
              <w:t xml:space="preserve"> $8,209,795 </w:t>
            </w:r>
          </w:p>
        </w:tc>
        <w:tc>
          <w:tcPr>
            <w:tcW w:w="1501" w:type="dxa"/>
            <w:gridSpan w:val="2"/>
            <w:shd w:val="clear" w:color="auto" w:fill="auto"/>
            <w:vAlign w:val="bottom"/>
          </w:tcPr>
          <w:p w:rsidR="008F30D3" w:rsidRPr="00C07905" w:rsidRDefault="008F30D3" w:rsidP="007D2E85">
            <w:pPr>
              <w:pStyle w:val="TableText0"/>
              <w:jc w:val="center"/>
              <w:rPr>
                <w:szCs w:val="18"/>
              </w:rPr>
            </w:pPr>
            <w:r w:rsidRPr="00B431E1">
              <w:rPr>
                <w:szCs w:val="18"/>
              </w:rPr>
              <w:t xml:space="preserve"> $7,398,820 </w:t>
            </w:r>
          </w:p>
        </w:tc>
        <w:tc>
          <w:tcPr>
            <w:tcW w:w="1501" w:type="dxa"/>
            <w:shd w:val="clear" w:color="auto" w:fill="auto"/>
            <w:vAlign w:val="bottom"/>
          </w:tcPr>
          <w:p w:rsidR="008F30D3" w:rsidRPr="00C07905" w:rsidRDefault="008F30D3" w:rsidP="007D2E85">
            <w:pPr>
              <w:pStyle w:val="TableText0"/>
              <w:jc w:val="center"/>
              <w:rPr>
                <w:szCs w:val="18"/>
              </w:rPr>
            </w:pPr>
            <w:r w:rsidRPr="00B431E1">
              <w:rPr>
                <w:szCs w:val="18"/>
              </w:rPr>
              <w:t xml:space="preserve"> $810,976 </w:t>
            </w:r>
          </w:p>
        </w:tc>
      </w:tr>
      <w:tr w:rsidR="007B4F49" w:rsidRPr="00C07905" w:rsidTr="00B431E1">
        <w:trPr>
          <w:trHeight w:val="244"/>
        </w:trPr>
        <w:tc>
          <w:tcPr>
            <w:tcW w:w="3796" w:type="dxa"/>
            <w:shd w:val="clear" w:color="auto" w:fill="auto"/>
          </w:tcPr>
          <w:p w:rsidR="007B4F49" w:rsidRPr="00C07905" w:rsidRDefault="007B4F49" w:rsidP="007D2E85">
            <w:pPr>
              <w:pStyle w:val="TableText0"/>
              <w:rPr>
                <w:szCs w:val="18"/>
              </w:rPr>
            </w:pPr>
            <w:r w:rsidRPr="00C07905">
              <w:rPr>
                <w:szCs w:val="18"/>
              </w:rPr>
              <w:t>HIV detected</w:t>
            </w:r>
          </w:p>
        </w:tc>
        <w:tc>
          <w:tcPr>
            <w:tcW w:w="1575" w:type="dxa"/>
            <w:shd w:val="clear" w:color="auto" w:fill="auto"/>
            <w:vAlign w:val="center"/>
          </w:tcPr>
          <w:p w:rsidR="007B4F49" w:rsidRPr="00C07905" w:rsidRDefault="007B4F49" w:rsidP="007D2E85">
            <w:pPr>
              <w:pStyle w:val="TableText0"/>
              <w:jc w:val="center"/>
              <w:rPr>
                <w:szCs w:val="18"/>
              </w:rPr>
            </w:pPr>
            <w:r w:rsidRPr="00C07905">
              <w:rPr>
                <w:szCs w:val="18"/>
              </w:rPr>
              <w:t>1,138</w:t>
            </w:r>
          </w:p>
        </w:tc>
        <w:tc>
          <w:tcPr>
            <w:tcW w:w="1501" w:type="dxa"/>
            <w:gridSpan w:val="2"/>
            <w:shd w:val="clear" w:color="auto" w:fill="auto"/>
            <w:vAlign w:val="center"/>
          </w:tcPr>
          <w:p w:rsidR="007B4F49" w:rsidRPr="00C07905" w:rsidRDefault="007B4F49" w:rsidP="007D2E85">
            <w:pPr>
              <w:pStyle w:val="TableText0"/>
              <w:jc w:val="center"/>
              <w:rPr>
                <w:szCs w:val="18"/>
              </w:rPr>
            </w:pPr>
            <w:r w:rsidRPr="00C07905">
              <w:rPr>
                <w:szCs w:val="18"/>
              </w:rPr>
              <w:t>1,148</w:t>
            </w:r>
          </w:p>
        </w:tc>
        <w:tc>
          <w:tcPr>
            <w:tcW w:w="1501" w:type="dxa"/>
            <w:shd w:val="clear" w:color="auto" w:fill="auto"/>
            <w:vAlign w:val="center"/>
          </w:tcPr>
          <w:p w:rsidR="007B4F49" w:rsidRPr="00C07905" w:rsidRDefault="007B4F49" w:rsidP="007D2E85">
            <w:pPr>
              <w:pStyle w:val="TableText0"/>
              <w:jc w:val="center"/>
              <w:rPr>
                <w:szCs w:val="18"/>
              </w:rPr>
            </w:pPr>
            <w:r w:rsidRPr="00C07905">
              <w:rPr>
                <w:szCs w:val="18"/>
              </w:rPr>
              <w:t>-10</w:t>
            </w:r>
          </w:p>
        </w:tc>
      </w:tr>
      <w:tr w:rsidR="007B4F49" w:rsidRPr="00C07905" w:rsidTr="00B431E1">
        <w:tc>
          <w:tcPr>
            <w:tcW w:w="6872" w:type="dxa"/>
            <w:gridSpan w:val="4"/>
            <w:shd w:val="clear" w:color="auto" w:fill="auto"/>
            <w:vAlign w:val="center"/>
          </w:tcPr>
          <w:p w:rsidR="007B4F49" w:rsidRPr="00C07905" w:rsidRDefault="007B4F49" w:rsidP="007D2E85">
            <w:pPr>
              <w:pStyle w:val="TableText0"/>
              <w:jc w:val="right"/>
              <w:rPr>
                <w:szCs w:val="18"/>
              </w:rPr>
            </w:pPr>
            <w:r w:rsidRPr="00C07905">
              <w:rPr>
                <w:szCs w:val="18"/>
              </w:rPr>
              <w:t>Incremental cost/ extra HIV detection</w:t>
            </w:r>
          </w:p>
        </w:tc>
        <w:tc>
          <w:tcPr>
            <w:tcW w:w="1501" w:type="dxa"/>
            <w:shd w:val="clear" w:color="auto" w:fill="auto"/>
            <w:vAlign w:val="center"/>
          </w:tcPr>
          <w:p w:rsidR="007B4F49" w:rsidRPr="00C07905" w:rsidRDefault="007B4F49" w:rsidP="007D2E85">
            <w:pPr>
              <w:pStyle w:val="TableText0"/>
              <w:jc w:val="center"/>
              <w:rPr>
                <w:szCs w:val="18"/>
              </w:rPr>
            </w:pPr>
            <w:r w:rsidRPr="00C07905">
              <w:rPr>
                <w:szCs w:val="18"/>
              </w:rPr>
              <w:t>Dominated</w:t>
            </w:r>
          </w:p>
        </w:tc>
      </w:tr>
      <w:tr w:rsidR="00BC228C" w:rsidRPr="00C07905" w:rsidTr="007B1695">
        <w:tc>
          <w:tcPr>
            <w:tcW w:w="8373" w:type="dxa"/>
            <w:gridSpan w:val="5"/>
            <w:shd w:val="clear" w:color="auto" w:fill="auto"/>
          </w:tcPr>
          <w:p w:rsidR="00BC228C" w:rsidRPr="00C07905" w:rsidRDefault="00BC228C" w:rsidP="007D2E85">
            <w:pPr>
              <w:pStyle w:val="TableText0"/>
              <w:rPr>
                <w:szCs w:val="18"/>
              </w:rPr>
            </w:pPr>
            <w:r w:rsidRPr="00C07905">
              <w:rPr>
                <w:szCs w:val="18"/>
              </w:rPr>
              <w:t>Sensitivity analysis 1: Years infected alternative log-normal distribution</w:t>
            </w:r>
          </w:p>
        </w:tc>
      </w:tr>
      <w:tr w:rsidR="00761EF0" w:rsidRPr="00C07905" w:rsidTr="00B431E1">
        <w:tc>
          <w:tcPr>
            <w:tcW w:w="3796" w:type="dxa"/>
            <w:shd w:val="clear" w:color="auto" w:fill="auto"/>
          </w:tcPr>
          <w:p w:rsidR="00761EF0" w:rsidRPr="00C07905" w:rsidRDefault="00761EF0" w:rsidP="007D2E85">
            <w:pPr>
              <w:pStyle w:val="TableText0"/>
              <w:rPr>
                <w:szCs w:val="18"/>
              </w:rPr>
            </w:pPr>
            <w:r w:rsidRPr="00C07905">
              <w:rPr>
                <w:szCs w:val="18"/>
              </w:rPr>
              <w:t>Cost</w:t>
            </w:r>
          </w:p>
        </w:tc>
        <w:tc>
          <w:tcPr>
            <w:tcW w:w="1575" w:type="dxa"/>
            <w:shd w:val="clear" w:color="auto" w:fill="auto"/>
            <w:vAlign w:val="bottom"/>
          </w:tcPr>
          <w:p w:rsidR="00761EF0" w:rsidRPr="00C07905" w:rsidRDefault="00761EF0" w:rsidP="007D2E85">
            <w:pPr>
              <w:pStyle w:val="TableText0"/>
              <w:jc w:val="center"/>
              <w:rPr>
                <w:szCs w:val="18"/>
              </w:rPr>
            </w:pPr>
            <w:r w:rsidRPr="00B431E1">
              <w:rPr>
                <w:szCs w:val="18"/>
              </w:rPr>
              <w:t xml:space="preserve"> $8,214,125 </w:t>
            </w:r>
          </w:p>
        </w:tc>
        <w:tc>
          <w:tcPr>
            <w:tcW w:w="1501" w:type="dxa"/>
            <w:gridSpan w:val="2"/>
            <w:shd w:val="clear" w:color="auto" w:fill="auto"/>
            <w:vAlign w:val="bottom"/>
          </w:tcPr>
          <w:p w:rsidR="00761EF0" w:rsidRPr="00C07905" w:rsidRDefault="00761EF0" w:rsidP="007D2E85">
            <w:pPr>
              <w:pStyle w:val="TableText0"/>
              <w:jc w:val="center"/>
              <w:rPr>
                <w:szCs w:val="18"/>
              </w:rPr>
            </w:pPr>
            <w:r w:rsidRPr="00B431E1">
              <w:rPr>
                <w:szCs w:val="18"/>
              </w:rPr>
              <w:t xml:space="preserve"> $7,403,078 </w:t>
            </w:r>
          </w:p>
        </w:tc>
        <w:tc>
          <w:tcPr>
            <w:tcW w:w="1501" w:type="dxa"/>
            <w:shd w:val="clear" w:color="auto" w:fill="auto"/>
            <w:vAlign w:val="bottom"/>
          </w:tcPr>
          <w:p w:rsidR="00761EF0" w:rsidRPr="00C07905" w:rsidRDefault="00761EF0" w:rsidP="007D2E85">
            <w:pPr>
              <w:pStyle w:val="TableText0"/>
              <w:jc w:val="center"/>
              <w:rPr>
                <w:szCs w:val="18"/>
              </w:rPr>
            </w:pPr>
            <w:r w:rsidRPr="00B431E1">
              <w:rPr>
                <w:szCs w:val="18"/>
              </w:rPr>
              <w:t xml:space="preserve"> $811,047 </w:t>
            </w:r>
          </w:p>
        </w:tc>
      </w:tr>
      <w:tr w:rsidR="00BC228C" w:rsidRPr="00C07905" w:rsidTr="00C9326B">
        <w:tc>
          <w:tcPr>
            <w:tcW w:w="3796" w:type="dxa"/>
            <w:shd w:val="clear" w:color="auto" w:fill="auto"/>
          </w:tcPr>
          <w:p w:rsidR="00BC228C" w:rsidRPr="00C07905" w:rsidRDefault="00BC228C" w:rsidP="007D2E85">
            <w:pPr>
              <w:pStyle w:val="TableText0"/>
              <w:rPr>
                <w:szCs w:val="18"/>
              </w:rPr>
            </w:pPr>
            <w:r w:rsidRPr="00C07905">
              <w:rPr>
                <w:szCs w:val="18"/>
              </w:rPr>
              <w:t>HIV detected</w:t>
            </w:r>
          </w:p>
        </w:tc>
        <w:tc>
          <w:tcPr>
            <w:tcW w:w="1575" w:type="dxa"/>
            <w:shd w:val="clear" w:color="auto" w:fill="auto"/>
          </w:tcPr>
          <w:p w:rsidR="00BC228C" w:rsidRPr="00C07905" w:rsidRDefault="00BC228C" w:rsidP="007D2E85">
            <w:pPr>
              <w:pStyle w:val="TableText0"/>
              <w:jc w:val="center"/>
              <w:rPr>
                <w:szCs w:val="18"/>
              </w:rPr>
            </w:pPr>
            <w:r w:rsidRPr="00C07905">
              <w:rPr>
                <w:szCs w:val="18"/>
              </w:rPr>
              <w:t>1,138</w:t>
            </w:r>
          </w:p>
        </w:tc>
        <w:tc>
          <w:tcPr>
            <w:tcW w:w="1501" w:type="dxa"/>
            <w:gridSpan w:val="2"/>
            <w:shd w:val="clear" w:color="auto" w:fill="auto"/>
          </w:tcPr>
          <w:p w:rsidR="00BC228C" w:rsidRPr="00C07905" w:rsidRDefault="00BC228C" w:rsidP="007D2E85">
            <w:pPr>
              <w:pStyle w:val="TableText0"/>
              <w:jc w:val="center"/>
              <w:rPr>
                <w:szCs w:val="18"/>
              </w:rPr>
            </w:pPr>
            <w:r w:rsidRPr="00C07905">
              <w:rPr>
                <w:szCs w:val="18"/>
              </w:rPr>
              <w:t>1,148</w:t>
            </w:r>
          </w:p>
        </w:tc>
        <w:tc>
          <w:tcPr>
            <w:tcW w:w="1501" w:type="dxa"/>
            <w:shd w:val="clear" w:color="auto" w:fill="auto"/>
          </w:tcPr>
          <w:p w:rsidR="00BC228C" w:rsidRPr="00C07905" w:rsidRDefault="00BC228C" w:rsidP="007D2E85">
            <w:pPr>
              <w:pStyle w:val="TableText0"/>
              <w:jc w:val="center"/>
              <w:rPr>
                <w:szCs w:val="18"/>
              </w:rPr>
            </w:pPr>
            <w:r w:rsidRPr="00C07905">
              <w:rPr>
                <w:szCs w:val="18"/>
              </w:rPr>
              <w:t>-10</w:t>
            </w:r>
          </w:p>
        </w:tc>
      </w:tr>
      <w:tr w:rsidR="00BC228C" w:rsidRPr="00C07905" w:rsidTr="00C9326B">
        <w:tc>
          <w:tcPr>
            <w:tcW w:w="6872" w:type="dxa"/>
            <w:gridSpan w:val="4"/>
            <w:shd w:val="clear" w:color="auto" w:fill="auto"/>
            <w:vAlign w:val="center"/>
          </w:tcPr>
          <w:p w:rsidR="00BC228C" w:rsidRPr="00C07905" w:rsidRDefault="00BC228C" w:rsidP="007D2E85">
            <w:pPr>
              <w:pStyle w:val="TableText0"/>
              <w:jc w:val="right"/>
              <w:rPr>
                <w:szCs w:val="18"/>
              </w:rPr>
            </w:pPr>
            <w:r w:rsidRPr="00C07905">
              <w:rPr>
                <w:szCs w:val="18"/>
              </w:rPr>
              <w:t>Incremental cost/ extra HIV detection</w:t>
            </w:r>
          </w:p>
        </w:tc>
        <w:tc>
          <w:tcPr>
            <w:tcW w:w="1501" w:type="dxa"/>
            <w:shd w:val="clear" w:color="auto" w:fill="auto"/>
          </w:tcPr>
          <w:p w:rsidR="00BC228C" w:rsidRPr="00C07905" w:rsidRDefault="00BC228C" w:rsidP="007D2E85">
            <w:pPr>
              <w:pStyle w:val="TableText0"/>
              <w:jc w:val="center"/>
              <w:rPr>
                <w:szCs w:val="18"/>
              </w:rPr>
            </w:pPr>
            <w:r w:rsidRPr="00C07905">
              <w:rPr>
                <w:szCs w:val="18"/>
              </w:rPr>
              <w:t>Dominated</w:t>
            </w:r>
          </w:p>
        </w:tc>
      </w:tr>
      <w:tr w:rsidR="00BC228C" w:rsidRPr="00C07905" w:rsidTr="007B1695">
        <w:tc>
          <w:tcPr>
            <w:tcW w:w="8373" w:type="dxa"/>
            <w:gridSpan w:val="5"/>
            <w:shd w:val="clear" w:color="auto" w:fill="auto"/>
          </w:tcPr>
          <w:p w:rsidR="00BC228C" w:rsidRPr="00C07905" w:rsidRDefault="00BC228C" w:rsidP="007D2E85">
            <w:pPr>
              <w:pStyle w:val="TableText0"/>
              <w:rPr>
                <w:szCs w:val="18"/>
              </w:rPr>
            </w:pPr>
            <w:r w:rsidRPr="00C07905">
              <w:rPr>
                <w:szCs w:val="18"/>
              </w:rPr>
              <w:t>Sensitivity analysis 2: logistic cumulative function for progression to AIDS</w:t>
            </w:r>
          </w:p>
        </w:tc>
      </w:tr>
      <w:tr w:rsidR="00761EF0" w:rsidRPr="00C07905" w:rsidTr="00B431E1">
        <w:tc>
          <w:tcPr>
            <w:tcW w:w="3796" w:type="dxa"/>
            <w:shd w:val="clear" w:color="auto" w:fill="auto"/>
          </w:tcPr>
          <w:p w:rsidR="00761EF0" w:rsidRPr="00C07905" w:rsidRDefault="00761EF0" w:rsidP="007D2E85">
            <w:pPr>
              <w:pStyle w:val="TableText0"/>
              <w:rPr>
                <w:szCs w:val="18"/>
              </w:rPr>
            </w:pPr>
            <w:r w:rsidRPr="00C07905">
              <w:rPr>
                <w:szCs w:val="18"/>
              </w:rPr>
              <w:t>Cost</w:t>
            </w:r>
          </w:p>
        </w:tc>
        <w:tc>
          <w:tcPr>
            <w:tcW w:w="1575" w:type="dxa"/>
            <w:shd w:val="clear" w:color="auto" w:fill="auto"/>
            <w:vAlign w:val="bottom"/>
          </w:tcPr>
          <w:p w:rsidR="00761EF0" w:rsidRPr="00C07905" w:rsidRDefault="00761EF0" w:rsidP="007D2E85">
            <w:pPr>
              <w:pStyle w:val="TableText0"/>
              <w:jc w:val="center"/>
              <w:rPr>
                <w:szCs w:val="18"/>
              </w:rPr>
            </w:pPr>
            <w:r w:rsidRPr="00B431E1">
              <w:rPr>
                <w:szCs w:val="18"/>
              </w:rPr>
              <w:t xml:space="preserve"> $8,218,319 </w:t>
            </w:r>
          </w:p>
        </w:tc>
        <w:tc>
          <w:tcPr>
            <w:tcW w:w="1501" w:type="dxa"/>
            <w:gridSpan w:val="2"/>
            <w:shd w:val="clear" w:color="auto" w:fill="auto"/>
            <w:vAlign w:val="bottom"/>
          </w:tcPr>
          <w:p w:rsidR="00761EF0" w:rsidRPr="00C07905" w:rsidRDefault="00761EF0" w:rsidP="007D2E85">
            <w:pPr>
              <w:pStyle w:val="TableText0"/>
              <w:jc w:val="center"/>
              <w:rPr>
                <w:szCs w:val="18"/>
              </w:rPr>
            </w:pPr>
            <w:r w:rsidRPr="00B431E1">
              <w:rPr>
                <w:szCs w:val="18"/>
              </w:rPr>
              <w:t xml:space="preserve"> $7,407,251 </w:t>
            </w:r>
          </w:p>
        </w:tc>
        <w:tc>
          <w:tcPr>
            <w:tcW w:w="1501" w:type="dxa"/>
            <w:shd w:val="clear" w:color="auto" w:fill="auto"/>
            <w:vAlign w:val="bottom"/>
          </w:tcPr>
          <w:p w:rsidR="00761EF0" w:rsidRPr="00C07905" w:rsidRDefault="00761EF0" w:rsidP="007D2E85">
            <w:pPr>
              <w:pStyle w:val="TableText0"/>
              <w:jc w:val="center"/>
              <w:rPr>
                <w:szCs w:val="18"/>
              </w:rPr>
            </w:pPr>
            <w:r w:rsidRPr="00B431E1">
              <w:rPr>
                <w:szCs w:val="18"/>
              </w:rPr>
              <w:t xml:space="preserve"> $811,067 </w:t>
            </w:r>
          </w:p>
        </w:tc>
      </w:tr>
      <w:tr w:rsidR="00BC228C" w:rsidRPr="00C07905" w:rsidTr="00C9326B">
        <w:tc>
          <w:tcPr>
            <w:tcW w:w="3796" w:type="dxa"/>
            <w:shd w:val="clear" w:color="auto" w:fill="auto"/>
          </w:tcPr>
          <w:p w:rsidR="00BC228C" w:rsidRPr="00C07905" w:rsidRDefault="00BC228C" w:rsidP="007D2E85">
            <w:pPr>
              <w:pStyle w:val="TableText0"/>
              <w:rPr>
                <w:szCs w:val="18"/>
              </w:rPr>
            </w:pPr>
            <w:r w:rsidRPr="00C07905">
              <w:rPr>
                <w:szCs w:val="18"/>
              </w:rPr>
              <w:t>HIV detected</w:t>
            </w:r>
          </w:p>
        </w:tc>
        <w:tc>
          <w:tcPr>
            <w:tcW w:w="1575" w:type="dxa"/>
            <w:shd w:val="clear" w:color="auto" w:fill="auto"/>
          </w:tcPr>
          <w:p w:rsidR="00BC228C" w:rsidRPr="00C07905" w:rsidRDefault="00BC228C" w:rsidP="007D2E85">
            <w:pPr>
              <w:pStyle w:val="TableText0"/>
              <w:jc w:val="center"/>
              <w:rPr>
                <w:szCs w:val="18"/>
              </w:rPr>
            </w:pPr>
            <w:r w:rsidRPr="00C07905">
              <w:rPr>
                <w:szCs w:val="18"/>
              </w:rPr>
              <w:t>1,178</w:t>
            </w:r>
          </w:p>
        </w:tc>
        <w:tc>
          <w:tcPr>
            <w:tcW w:w="1501" w:type="dxa"/>
            <w:gridSpan w:val="2"/>
            <w:shd w:val="clear" w:color="auto" w:fill="auto"/>
          </w:tcPr>
          <w:p w:rsidR="00BC228C" w:rsidRPr="00C07905" w:rsidRDefault="00BC228C" w:rsidP="007D2E85">
            <w:pPr>
              <w:pStyle w:val="TableText0"/>
              <w:jc w:val="center"/>
              <w:rPr>
                <w:szCs w:val="18"/>
              </w:rPr>
            </w:pPr>
            <w:r w:rsidRPr="00C07905">
              <w:rPr>
                <w:szCs w:val="18"/>
              </w:rPr>
              <w:t>1,188</w:t>
            </w:r>
          </w:p>
        </w:tc>
        <w:tc>
          <w:tcPr>
            <w:tcW w:w="1501" w:type="dxa"/>
            <w:shd w:val="clear" w:color="auto" w:fill="auto"/>
          </w:tcPr>
          <w:p w:rsidR="00BC228C" w:rsidRPr="00C07905" w:rsidRDefault="00BC228C" w:rsidP="007D2E85">
            <w:pPr>
              <w:pStyle w:val="TableText0"/>
              <w:jc w:val="center"/>
              <w:rPr>
                <w:szCs w:val="18"/>
              </w:rPr>
            </w:pPr>
            <w:r w:rsidRPr="00C07905">
              <w:rPr>
                <w:szCs w:val="18"/>
              </w:rPr>
              <w:t>-10</w:t>
            </w:r>
          </w:p>
        </w:tc>
      </w:tr>
      <w:tr w:rsidR="00BC228C" w:rsidRPr="00C07905" w:rsidTr="00C9326B">
        <w:tc>
          <w:tcPr>
            <w:tcW w:w="6872" w:type="dxa"/>
            <w:gridSpan w:val="4"/>
            <w:shd w:val="clear" w:color="auto" w:fill="auto"/>
            <w:vAlign w:val="center"/>
          </w:tcPr>
          <w:p w:rsidR="00BC228C" w:rsidRPr="00C07905" w:rsidRDefault="00BC228C" w:rsidP="007D2E85">
            <w:pPr>
              <w:pStyle w:val="TableText0"/>
              <w:jc w:val="right"/>
              <w:rPr>
                <w:szCs w:val="18"/>
              </w:rPr>
            </w:pPr>
            <w:r w:rsidRPr="00C07905">
              <w:rPr>
                <w:szCs w:val="18"/>
              </w:rPr>
              <w:t>Incremental cost/ extra HIV detection</w:t>
            </w:r>
          </w:p>
        </w:tc>
        <w:tc>
          <w:tcPr>
            <w:tcW w:w="1501" w:type="dxa"/>
            <w:shd w:val="clear" w:color="auto" w:fill="auto"/>
          </w:tcPr>
          <w:p w:rsidR="00BC228C" w:rsidRPr="00C07905" w:rsidRDefault="00BC228C" w:rsidP="007D2E85">
            <w:pPr>
              <w:pStyle w:val="TableText0"/>
              <w:jc w:val="center"/>
              <w:rPr>
                <w:szCs w:val="18"/>
              </w:rPr>
            </w:pPr>
            <w:r w:rsidRPr="00C07905">
              <w:rPr>
                <w:szCs w:val="18"/>
              </w:rPr>
              <w:t>Dominated</w:t>
            </w:r>
          </w:p>
        </w:tc>
      </w:tr>
      <w:tr w:rsidR="00BC228C" w:rsidRPr="00C07905" w:rsidTr="007B1695">
        <w:tc>
          <w:tcPr>
            <w:tcW w:w="8373" w:type="dxa"/>
            <w:gridSpan w:val="5"/>
            <w:shd w:val="clear" w:color="auto" w:fill="auto"/>
          </w:tcPr>
          <w:p w:rsidR="00BC228C" w:rsidRPr="00C07905" w:rsidRDefault="00BC228C" w:rsidP="007D2E85">
            <w:pPr>
              <w:pStyle w:val="TableText0"/>
              <w:rPr>
                <w:szCs w:val="18"/>
              </w:rPr>
            </w:pPr>
            <w:r w:rsidRPr="00C07905">
              <w:rPr>
                <w:szCs w:val="18"/>
              </w:rPr>
              <w:t>Sensitivity analysis 3: incremental cost of HIV laboratory test = $13.25</w:t>
            </w:r>
          </w:p>
        </w:tc>
      </w:tr>
      <w:tr w:rsidR="00761EF0" w:rsidRPr="00C07905" w:rsidTr="00B431E1">
        <w:tc>
          <w:tcPr>
            <w:tcW w:w="3796" w:type="dxa"/>
            <w:shd w:val="clear" w:color="auto" w:fill="auto"/>
          </w:tcPr>
          <w:p w:rsidR="00761EF0" w:rsidRPr="00C07905" w:rsidRDefault="00761EF0" w:rsidP="007D2E85">
            <w:pPr>
              <w:pStyle w:val="TableText0"/>
              <w:rPr>
                <w:szCs w:val="18"/>
              </w:rPr>
            </w:pPr>
            <w:r w:rsidRPr="00C07905">
              <w:rPr>
                <w:szCs w:val="18"/>
              </w:rPr>
              <w:t>Cost</w:t>
            </w:r>
          </w:p>
        </w:tc>
        <w:tc>
          <w:tcPr>
            <w:tcW w:w="1575" w:type="dxa"/>
            <w:shd w:val="clear" w:color="auto" w:fill="auto"/>
            <w:vAlign w:val="bottom"/>
          </w:tcPr>
          <w:p w:rsidR="00761EF0" w:rsidRPr="00C07905" w:rsidRDefault="00761EF0" w:rsidP="007D2E85">
            <w:pPr>
              <w:pStyle w:val="TableText0"/>
              <w:jc w:val="center"/>
              <w:rPr>
                <w:szCs w:val="18"/>
              </w:rPr>
            </w:pPr>
            <w:r w:rsidRPr="00B431E1">
              <w:rPr>
                <w:szCs w:val="18"/>
              </w:rPr>
              <w:t xml:space="preserve"> $8,204,333 </w:t>
            </w:r>
          </w:p>
        </w:tc>
        <w:tc>
          <w:tcPr>
            <w:tcW w:w="1501" w:type="dxa"/>
            <w:gridSpan w:val="2"/>
            <w:shd w:val="clear" w:color="auto" w:fill="auto"/>
            <w:vAlign w:val="bottom"/>
          </w:tcPr>
          <w:p w:rsidR="00761EF0" w:rsidRPr="00C07905" w:rsidRDefault="00761EF0" w:rsidP="007D2E85">
            <w:pPr>
              <w:pStyle w:val="TableText0"/>
              <w:jc w:val="center"/>
              <w:rPr>
                <w:szCs w:val="18"/>
              </w:rPr>
            </w:pPr>
            <w:r w:rsidRPr="00B431E1">
              <w:rPr>
                <w:szCs w:val="18"/>
              </w:rPr>
              <w:t xml:space="preserve"> $7,110,093 </w:t>
            </w:r>
          </w:p>
        </w:tc>
        <w:tc>
          <w:tcPr>
            <w:tcW w:w="1501" w:type="dxa"/>
            <w:shd w:val="clear" w:color="auto" w:fill="auto"/>
            <w:vAlign w:val="bottom"/>
          </w:tcPr>
          <w:p w:rsidR="00761EF0" w:rsidRPr="00C07905" w:rsidRDefault="00761EF0" w:rsidP="007D2E85">
            <w:pPr>
              <w:pStyle w:val="TableText0"/>
              <w:jc w:val="center"/>
              <w:rPr>
                <w:szCs w:val="18"/>
              </w:rPr>
            </w:pPr>
            <w:r w:rsidRPr="00B431E1">
              <w:rPr>
                <w:szCs w:val="18"/>
              </w:rPr>
              <w:t xml:space="preserve"> $1,094,240 </w:t>
            </w:r>
          </w:p>
        </w:tc>
      </w:tr>
      <w:tr w:rsidR="00BC228C" w:rsidRPr="00C07905" w:rsidTr="00C9326B">
        <w:tc>
          <w:tcPr>
            <w:tcW w:w="3796" w:type="dxa"/>
            <w:shd w:val="clear" w:color="auto" w:fill="auto"/>
          </w:tcPr>
          <w:p w:rsidR="00BC228C" w:rsidRPr="00C07905" w:rsidRDefault="00BC228C" w:rsidP="007D2E85">
            <w:pPr>
              <w:pStyle w:val="TableText0"/>
              <w:rPr>
                <w:szCs w:val="18"/>
              </w:rPr>
            </w:pPr>
            <w:r w:rsidRPr="00C07905">
              <w:rPr>
                <w:szCs w:val="18"/>
              </w:rPr>
              <w:t>HIV detected</w:t>
            </w:r>
          </w:p>
        </w:tc>
        <w:tc>
          <w:tcPr>
            <w:tcW w:w="1575" w:type="dxa"/>
            <w:shd w:val="clear" w:color="auto" w:fill="auto"/>
          </w:tcPr>
          <w:p w:rsidR="00BC228C" w:rsidRPr="00C07905" w:rsidRDefault="00BC228C" w:rsidP="007D2E85">
            <w:pPr>
              <w:pStyle w:val="TableText0"/>
              <w:jc w:val="center"/>
              <w:rPr>
                <w:szCs w:val="18"/>
              </w:rPr>
            </w:pPr>
            <w:r w:rsidRPr="00C07905">
              <w:rPr>
                <w:szCs w:val="18"/>
              </w:rPr>
              <w:t>1,099</w:t>
            </w:r>
          </w:p>
        </w:tc>
        <w:tc>
          <w:tcPr>
            <w:tcW w:w="1501" w:type="dxa"/>
            <w:gridSpan w:val="2"/>
            <w:shd w:val="clear" w:color="auto" w:fill="auto"/>
          </w:tcPr>
          <w:p w:rsidR="00BC228C" w:rsidRPr="00C07905" w:rsidRDefault="00BC228C" w:rsidP="007D2E85">
            <w:pPr>
              <w:pStyle w:val="TableText0"/>
              <w:jc w:val="center"/>
              <w:rPr>
                <w:szCs w:val="18"/>
              </w:rPr>
            </w:pPr>
            <w:r w:rsidRPr="00C07905">
              <w:rPr>
                <w:szCs w:val="18"/>
              </w:rPr>
              <w:t>1,109</w:t>
            </w:r>
          </w:p>
        </w:tc>
        <w:tc>
          <w:tcPr>
            <w:tcW w:w="1501" w:type="dxa"/>
            <w:shd w:val="clear" w:color="auto" w:fill="auto"/>
          </w:tcPr>
          <w:p w:rsidR="00BC228C" w:rsidRPr="00C07905" w:rsidRDefault="00BC228C" w:rsidP="007D2E85">
            <w:pPr>
              <w:pStyle w:val="TableText0"/>
              <w:jc w:val="center"/>
              <w:rPr>
                <w:szCs w:val="18"/>
              </w:rPr>
            </w:pPr>
            <w:r w:rsidRPr="00C07905">
              <w:rPr>
                <w:szCs w:val="18"/>
              </w:rPr>
              <w:t>-10</w:t>
            </w:r>
          </w:p>
        </w:tc>
      </w:tr>
      <w:tr w:rsidR="00BC228C" w:rsidRPr="00C07905" w:rsidTr="00C9326B">
        <w:tc>
          <w:tcPr>
            <w:tcW w:w="6872" w:type="dxa"/>
            <w:gridSpan w:val="4"/>
            <w:shd w:val="clear" w:color="auto" w:fill="auto"/>
            <w:vAlign w:val="center"/>
          </w:tcPr>
          <w:p w:rsidR="00BC228C" w:rsidRPr="00C07905" w:rsidRDefault="00BC228C" w:rsidP="007D2E85">
            <w:pPr>
              <w:pStyle w:val="TableText0"/>
              <w:jc w:val="right"/>
              <w:rPr>
                <w:szCs w:val="18"/>
              </w:rPr>
            </w:pPr>
            <w:r w:rsidRPr="00C07905">
              <w:rPr>
                <w:szCs w:val="18"/>
              </w:rPr>
              <w:t>Incremental cost/ extra HIV detection</w:t>
            </w:r>
          </w:p>
        </w:tc>
        <w:tc>
          <w:tcPr>
            <w:tcW w:w="1501" w:type="dxa"/>
            <w:shd w:val="clear" w:color="auto" w:fill="auto"/>
          </w:tcPr>
          <w:p w:rsidR="00BC228C" w:rsidRPr="00C07905" w:rsidRDefault="00BC228C" w:rsidP="007D2E85">
            <w:pPr>
              <w:pStyle w:val="TableText0"/>
              <w:jc w:val="center"/>
              <w:rPr>
                <w:szCs w:val="18"/>
              </w:rPr>
            </w:pPr>
            <w:r w:rsidRPr="00C07905">
              <w:rPr>
                <w:szCs w:val="18"/>
              </w:rPr>
              <w:t>Dominated</w:t>
            </w:r>
          </w:p>
        </w:tc>
      </w:tr>
      <w:tr w:rsidR="004357EF" w:rsidRPr="00C07905" w:rsidTr="00B431E1">
        <w:tc>
          <w:tcPr>
            <w:tcW w:w="8373" w:type="dxa"/>
            <w:gridSpan w:val="5"/>
            <w:shd w:val="clear" w:color="auto" w:fill="auto"/>
            <w:vAlign w:val="center"/>
          </w:tcPr>
          <w:p w:rsidR="004357EF" w:rsidRPr="00C07905" w:rsidRDefault="004357EF" w:rsidP="007D2E85">
            <w:pPr>
              <w:pStyle w:val="TableText0"/>
              <w:rPr>
                <w:szCs w:val="18"/>
              </w:rPr>
            </w:pPr>
            <w:r w:rsidRPr="00C07905">
              <w:rPr>
                <w:szCs w:val="18"/>
              </w:rPr>
              <w:t xml:space="preserve">Sensitivity analysis 4: </w:t>
            </w:r>
            <w:r w:rsidR="003E75ED" w:rsidRPr="00C07905">
              <w:rPr>
                <w:szCs w:val="18"/>
              </w:rPr>
              <w:t>extra POC fee = $0.00 (min); extra lab fee = $2.40 (min)</w:t>
            </w:r>
          </w:p>
        </w:tc>
      </w:tr>
      <w:tr w:rsidR="00044A16" w:rsidRPr="00C07905" w:rsidTr="00B431E1">
        <w:tc>
          <w:tcPr>
            <w:tcW w:w="3796" w:type="dxa"/>
            <w:shd w:val="clear" w:color="auto" w:fill="auto"/>
            <w:vAlign w:val="center"/>
          </w:tcPr>
          <w:p w:rsidR="00044A16" w:rsidRPr="00C07905" w:rsidRDefault="00044A16" w:rsidP="007D2E85">
            <w:pPr>
              <w:pStyle w:val="TableText0"/>
              <w:rPr>
                <w:szCs w:val="18"/>
              </w:rPr>
            </w:pPr>
            <w:r w:rsidRPr="00C07905">
              <w:rPr>
                <w:szCs w:val="18"/>
              </w:rPr>
              <w:t>Cost</w:t>
            </w:r>
          </w:p>
        </w:tc>
        <w:tc>
          <w:tcPr>
            <w:tcW w:w="1638" w:type="dxa"/>
            <w:gridSpan w:val="2"/>
            <w:shd w:val="clear" w:color="auto" w:fill="auto"/>
            <w:vAlign w:val="bottom"/>
          </w:tcPr>
          <w:p w:rsidR="00044A16" w:rsidRPr="00C07905" w:rsidRDefault="00044A16" w:rsidP="007D2E85">
            <w:pPr>
              <w:pStyle w:val="TableText0"/>
              <w:jc w:val="center"/>
              <w:rPr>
                <w:szCs w:val="18"/>
              </w:rPr>
            </w:pPr>
            <w:r w:rsidRPr="00B431E1">
              <w:rPr>
                <w:szCs w:val="18"/>
              </w:rPr>
              <w:t xml:space="preserve"> $8,107,321 </w:t>
            </w:r>
          </w:p>
        </w:tc>
        <w:tc>
          <w:tcPr>
            <w:tcW w:w="1438" w:type="dxa"/>
            <w:shd w:val="clear" w:color="auto" w:fill="auto"/>
            <w:vAlign w:val="bottom"/>
          </w:tcPr>
          <w:p w:rsidR="00044A16" w:rsidRPr="00C07905" w:rsidRDefault="00044A16" w:rsidP="007D2E85">
            <w:pPr>
              <w:pStyle w:val="TableText0"/>
              <w:jc w:val="center"/>
              <w:rPr>
                <w:szCs w:val="18"/>
              </w:rPr>
            </w:pPr>
            <w:r w:rsidRPr="00B431E1">
              <w:rPr>
                <w:szCs w:val="18"/>
              </w:rPr>
              <w:t xml:space="preserve"> $6,669,784 </w:t>
            </w:r>
          </w:p>
        </w:tc>
        <w:tc>
          <w:tcPr>
            <w:tcW w:w="1501" w:type="dxa"/>
            <w:shd w:val="clear" w:color="auto" w:fill="auto"/>
            <w:vAlign w:val="bottom"/>
          </w:tcPr>
          <w:p w:rsidR="00044A16" w:rsidRPr="00C07905" w:rsidRDefault="00044A16" w:rsidP="007D2E85">
            <w:pPr>
              <w:pStyle w:val="TableText0"/>
              <w:jc w:val="center"/>
              <w:rPr>
                <w:szCs w:val="18"/>
              </w:rPr>
            </w:pPr>
            <w:r w:rsidRPr="00B431E1">
              <w:rPr>
                <w:szCs w:val="18"/>
              </w:rPr>
              <w:t xml:space="preserve"> $1,437,537 </w:t>
            </w:r>
          </w:p>
        </w:tc>
      </w:tr>
      <w:tr w:rsidR="00B24178" w:rsidRPr="00C07905" w:rsidTr="00B431E1">
        <w:tc>
          <w:tcPr>
            <w:tcW w:w="3796" w:type="dxa"/>
            <w:shd w:val="clear" w:color="auto" w:fill="auto"/>
            <w:vAlign w:val="center"/>
          </w:tcPr>
          <w:p w:rsidR="00B24178" w:rsidRPr="00C07905" w:rsidRDefault="00B24178" w:rsidP="007D2E85">
            <w:pPr>
              <w:pStyle w:val="TableText0"/>
              <w:rPr>
                <w:szCs w:val="18"/>
              </w:rPr>
            </w:pPr>
            <w:r w:rsidRPr="00C07905">
              <w:rPr>
                <w:szCs w:val="18"/>
              </w:rPr>
              <w:t>HIV detected</w:t>
            </w:r>
          </w:p>
        </w:tc>
        <w:tc>
          <w:tcPr>
            <w:tcW w:w="1638" w:type="dxa"/>
            <w:gridSpan w:val="2"/>
            <w:shd w:val="clear" w:color="auto" w:fill="auto"/>
            <w:vAlign w:val="center"/>
          </w:tcPr>
          <w:p w:rsidR="00B24178" w:rsidRPr="00C07905" w:rsidRDefault="00B24178" w:rsidP="007D2E85">
            <w:pPr>
              <w:pStyle w:val="TableText0"/>
              <w:jc w:val="center"/>
              <w:rPr>
                <w:szCs w:val="18"/>
              </w:rPr>
            </w:pPr>
            <w:r w:rsidRPr="00C07905">
              <w:rPr>
                <w:szCs w:val="18"/>
              </w:rPr>
              <w:t>1099</w:t>
            </w:r>
          </w:p>
        </w:tc>
        <w:tc>
          <w:tcPr>
            <w:tcW w:w="1438" w:type="dxa"/>
            <w:shd w:val="clear" w:color="auto" w:fill="auto"/>
            <w:vAlign w:val="center"/>
          </w:tcPr>
          <w:p w:rsidR="00B24178" w:rsidRPr="00C07905" w:rsidRDefault="00B24178" w:rsidP="007D2E85">
            <w:pPr>
              <w:pStyle w:val="TableText0"/>
              <w:jc w:val="center"/>
              <w:rPr>
                <w:szCs w:val="18"/>
              </w:rPr>
            </w:pPr>
            <w:r w:rsidRPr="00C07905">
              <w:rPr>
                <w:szCs w:val="18"/>
              </w:rPr>
              <w:t>1109</w:t>
            </w:r>
          </w:p>
        </w:tc>
        <w:tc>
          <w:tcPr>
            <w:tcW w:w="1501" w:type="dxa"/>
            <w:shd w:val="clear" w:color="auto" w:fill="auto"/>
            <w:vAlign w:val="center"/>
          </w:tcPr>
          <w:p w:rsidR="00B24178" w:rsidRPr="00C07905" w:rsidRDefault="00B24178" w:rsidP="007D2E85">
            <w:pPr>
              <w:pStyle w:val="TableText0"/>
              <w:jc w:val="center"/>
              <w:rPr>
                <w:szCs w:val="18"/>
              </w:rPr>
            </w:pPr>
            <w:r w:rsidRPr="00C07905">
              <w:rPr>
                <w:szCs w:val="18"/>
              </w:rPr>
              <w:t>-10</w:t>
            </w:r>
          </w:p>
        </w:tc>
      </w:tr>
      <w:tr w:rsidR="00B24178" w:rsidRPr="00C07905" w:rsidTr="00C9326B">
        <w:tc>
          <w:tcPr>
            <w:tcW w:w="6872" w:type="dxa"/>
            <w:gridSpan w:val="4"/>
            <w:shd w:val="clear" w:color="auto" w:fill="auto"/>
            <w:vAlign w:val="center"/>
          </w:tcPr>
          <w:p w:rsidR="00B24178" w:rsidRPr="00C07905" w:rsidRDefault="00B24178" w:rsidP="007D2E85">
            <w:pPr>
              <w:pStyle w:val="TableText0"/>
              <w:jc w:val="right"/>
              <w:rPr>
                <w:szCs w:val="18"/>
              </w:rPr>
            </w:pPr>
            <w:r w:rsidRPr="00C07905">
              <w:rPr>
                <w:szCs w:val="18"/>
              </w:rPr>
              <w:t>Incremental cost/ extra HIV detection</w:t>
            </w:r>
          </w:p>
        </w:tc>
        <w:tc>
          <w:tcPr>
            <w:tcW w:w="1501" w:type="dxa"/>
            <w:shd w:val="clear" w:color="auto" w:fill="auto"/>
          </w:tcPr>
          <w:p w:rsidR="00B24178" w:rsidRPr="00C07905" w:rsidRDefault="00B24178" w:rsidP="007D2E85">
            <w:pPr>
              <w:pStyle w:val="TableText0"/>
              <w:jc w:val="center"/>
              <w:rPr>
                <w:szCs w:val="18"/>
              </w:rPr>
            </w:pPr>
            <w:r w:rsidRPr="00C07905">
              <w:rPr>
                <w:szCs w:val="18"/>
              </w:rPr>
              <w:t>Dominated</w:t>
            </w:r>
          </w:p>
        </w:tc>
      </w:tr>
      <w:tr w:rsidR="00B24178" w:rsidRPr="00C07905" w:rsidTr="00B431E1">
        <w:tc>
          <w:tcPr>
            <w:tcW w:w="8373" w:type="dxa"/>
            <w:gridSpan w:val="5"/>
            <w:shd w:val="clear" w:color="auto" w:fill="auto"/>
            <w:vAlign w:val="center"/>
          </w:tcPr>
          <w:p w:rsidR="00B24178" w:rsidRPr="00C07905" w:rsidRDefault="00B24178" w:rsidP="007D2E85">
            <w:pPr>
              <w:pStyle w:val="TableText0"/>
              <w:rPr>
                <w:szCs w:val="18"/>
              </w:rPr>
            </w:pPr>
            <w:r w:rsidRPr="00C07905">
              <w:rPr>
                <w:szCs w:val="18"/>
              </w:rPr>
              <w:t>Sensitivity analysis 5: extra POC fee = $0.00 (min); extra lab fee = $9.95 (max)</w:t>
            </w:r>
          </w:p>
        </w:tc>
      </w:tr>
      <w:tr w:rsidR="00044A16" w:rsidRPr="00C07905" w:rsidTr="00B431E1">
        <w:tc>
          <w:tcPr>
            <w:tcW w:w="3796" w:type="dxa"/>
            <w:shd w:val="clear" w:color="auto" w:fill="auto"/>
          </w:tcPr>
          <w:p w:rsidR="00044A16" w:rsidRPr="00C07905" w:rsidRDefault="00044A16" w:rsidP="007D2E85">
            <w:pPr>
              <w:pStyle w:val="TableText0"/>
              <w:rPr>
                <w:szCs w:val="18"/>
              </w:rPr>
            </w:pPr>
            <w:r w:rsidRPr="00C07905">
              <w:rPr>
                <w:szCs w:val="18"/>
              </w:rPr>
              <w:t>Cost</w:t>
            </w:r>
          </w:p>
        </w:tc>
        <w:tc>
          <w:tcPr>
            <w:tcW w:w="1575" w:type="dxa"/>
            <w:shd w:val="clear" w:color="auto" w:fill="auto"/>
            <w:vAlign w:val="bottom"/>
          </w:tcPr>
          <w:p w:rsidR="00044A16" w:rsidRPr="00C07905" w:rsidRDefault="00044A16" w:rsidP="007D2E85">
            <w:pPr>
              <w:pStyle w:val="TableText0"/>
              <w:jc w:val="center"/>
              <w:rPr>
                <w:szCs w:val="18"/>
              </w:rPr>
            </w:pPr>
            <w:r w:rsidRPr="00B431E1">
              <w:rPr>
                <w:szCs w:val="18"/>
              </w:rPr>
              <w:t xml:space="preserve"> $8,124,504 </w:t>
            </w:r>
          </w:p>
        </w:tc>
        <w:tc>
          <w:tcPr>
            <w:tcW w:w="1501" w:type="dxa"/>
            <w:gridSpan w:val="2"/>
            <w:shd w:val="clear" w:color="auto" w:fill="auto"/>
            <w:vAlign w:val="bottom"/>
          </w:tcPr>
          <w:p w:rsidR="00044A16" w:rsidRPr="00C07905" w:rsidRDefault="00044A16" w:rsidP="007D2E85">
            <w:pPr>
              <w:pStyle w:val="TableText0"/>
              <w:jc w:val="center"/>
              <w:rPr>
                <w:szCs w:val="18"/>
              </w:rPr>
            </w:pPr>
            <w:r w:rsidRPr="00B431E1">
              <w:rPr>
                <w:szCs w:val="18"/>
              </w:rPr>
              <w:t xml:space="preserve"> $7,578,071 </w:t>
            </w:r>
          </w:p>
        </w:tc>
        <w:tc>
          <w:tcPr>
            <w:tcW w:w="1501" w:type="dxa"/>
            <w:shd w:val="clear" w:color="auto" w:fill="auto"/>
            <w:vAlign w:val="bottom"/>
          </w:tcPr>
          <w:p w:rsidR="00044A16" w:rsidRPr="00C07905" w:rsidRDefault="00044A16" w:rsidP="007D2E85">
            <w:pPr>
              <w:pStyle w:val="TableText0"/>
              <w:jc w:val="center"/>
              <w:rPr>
                <w:szCs w:val="18"/>
              </w:rPr>
            </w:pPr>
            <w:r w:rsidRPr="00B431E1">
              <w:rPr>
                <w:szCs w:val="18"/>
              </w:rPr>
              <w:t xml:space="preserve"> $546,433 </w:t>
            </w:r>
          </w:p>
        </w:tc>
      </w:tr>
      <w:tr w:rsidR="00B24178" w:rsidRPr="00C07905" w:rsidTr="00B431E1">
        <w:tc>
          <w:tcPr>
            <w:tcW w:w="3796" w:type="dxa"/>
            <w:shd w:val="clear" w:color="auto" w:fill="auto"/>
          </w:tcPr>
          <w:p w:rsidR="00B24178" w:rsidRPr="00C07905" w:rsidRDefault="00B24178" w:rsidP="007D2E85">
            <w:pPr>
              <w:pStyle w:val="TableText0"/>
              <w:rPr>
                <w:szCs w:val="18"/>
              </w:rPr>
            </w:pPr>
            <w:r w:rsidRPr="00C07905">
              <w:rPr>
                <w:szCs w:val="18"/>
              </w:rPr>
              <w:t>HIV detected</w:t>
            </w:r>
          </w:p>
        </w:tc>
        <w:tc>
          <w:tcPr>
            <w:tcW w:w="1575" w:type="dxa"/>
            <w:shd w:val="clear" w:color="auto" w:fill="auto"/>
            <w:vAlign w:val="center"/>
          </w:tcPr>
          <w:p w:rsidR="00B24178" w:rsidRPr="00C07905" w:rsidRDefault="00B24178" w:rsidP="007D2E85">
            <w:pPr>
              <w:pStyle w:val="TableText0"/>
              <w:jc w:val="center"/>
              <w:rPr>
                <w:szCs w:val="18"/>
              </w:rPr>
            </w:pPr>
            <w:r w:rsidRPr="00C07905">
              <w:rPr>
                <w:szCs w:val="18"/>
              </w:rPr>
              <w:t>1099</w:t>
            </w:r>
          </w:p>
        </w:tc>
        <w:tc>
          <w:tcPr>
            <w:tcW w:w="1501" w:type="dxa"/>
            <w:gridSpan w:val="2"/>
            <w:shd w:val="clear" w:color="auto" w:fill="auto"/>
            <w:vAlign w:val="center"/>
          </w:tcPr>
          <w:p w:rsidR="00B24178" w:rsidRPr="00C07905" w:rsidRDefault="00B24178" w:rsidP="007D2E85">
            <w:pPr>
              <w:pStyle w:val="TableText0"/>
              <w:jc w:val="center"/>
              <w:rPr>
                <w:szCs w:val="18"/>
              </w:rPr>
            </w:pPr>
            <w:r w:rsidRPr="00C07905">
              <w:rPr>
                <w:szCs w:val="18"/>
              </w:rPr>
              <w:t>1109</w:t>
            </w:r>
          </w:p>
        </w:tc>
        <w:tc>
          <w:tcPr>
            <w:tcW w:w="1501" w:type="dxa"/>
            <w:shd w:val="clear" w:color="auto" w:fill="auto"/>
            <w:vAlign w:val="center"/>
          </w:tcPr>
          <w:p w:rsidR="00B24178" w:rsidRPr="00C07905" w:rsidRDefault="00B24178" w:rsidP="007D2E85">
            <w:pPr>
              <w:pStyle w:val="TableText0"/>
              <w:jc w:val="center"/>
              <w:rPr>
                <w:szCs w:val="18"/>
              </w:rPr>
            </w:pPr>
            <w:r w:rsidRPr="00C07905">
              <w:rPr>
                <w:szCs w:val="18"/>
              </w:rPr>
              <w:t>-10</w:t>
            </w:r>
          </w:p>
        </w:tc>
      </w:tr>
      <w:tr w:rsidR="00B24178" w:rsidRPr="00C07905" w:rsidTr="00C9326B">
        <w:tc>
          <w:tcPr>
            <w:tcW w:w="6872" w:type="dxa"/>
            <w:gridSpan w:val="4"/>
            <w:shd w:val="clear" w:color="auto" w:fill="auto"/>
            <w:vAlign w:val="center"/>
          </w:tcPr>
          <w:p w:rsidR="00B24178" w:rsidRPr="00C07905" w:rsidRDefault="00B24178" w:rsidP="007D2E85">
            <w:pPr>
              <w:pStyle w:val="TableText0"/>
              <w:jc w:val="right"/>
              <w:rPr>
                <w:szCs w:val="18"/>
              </w:rPr>
            </w:pPr>
            <w:r w:rsidRPr="00C07905">
              <w:rPr>
                <w:szCs w:val="18"/>
              </w:rPr>
              <w:t>Incremental cost/ extra HIV detection</w:t>
            </w:r>
          </w:p>
        </w:tc>
        <w:tc>
          <w:tcPr>
            <w:tcW w:w="1501" w:type="dxa"/>
            <w:shd w:val="clear" w:color="auto" w:fill="auto"/>
          </w:tcPr>
          <w:p w:rsidR="00B24178" w:rsidRPr="00C07905" w:rsidRDefault="00B24178" w:rsidP="007D2E85">
            <w:pPr>
              <w:pStyle w:val="TableText0"/>
              <w:jc w:val="center"/>
              <w:rPr>
                <w:szCs w:val="18"/>
              </w:rPr>
            </w:pPr>
            <w:r w:rsidRPr="00C07905">
              <w:rPr>
                <w:szCs w:val="18"/>
              </w:rPr>
              <w:t>Dominated</w:t>
            </w:r>
          </w:p>
        </w:tc>
      </w:tr>
      <w:tr w:rsidR="00B24178" w:rsidRPr="00C07905" w:rsidTr="00B431E1">
        <w:tc>
          <w:tcPr>
            <w:tcW w:w="8373" w:type="dxa"/>
            <w:gridSpan w:val="5"/>
            <w:shd w:val="clear" w:color="auto" w:fill="auto"/>
            <w:vAlign w:val="center"/>
          </w:tcPr>
          <w:p w:rsidR="00B24178" w:rsidRPr="00C07905" w:rsidRDefault="00B24178" w:rsidP="007D2E85">
            <w:pPr>
              <w:pStyle w:val="TableText0"/>
              <w:rPr>
                <w:szCs w:val="18"/>
              </w:rPr>
            </w:pPr>
            <w:r w:rsidRPr="00C07905">
              <w:rPr>
                <w:szCs w:val="18"/>
              </w:rPr>
              <w:t>Sensitivity analysis 6: extra POC fee = $10.65 (max); extra lab fee = $2.40 (min)</w:t>
            </w:r>
          </w:p>
        </w:tc>
      </w:tr>
      <w:tr w:rsidR="009A1F02" w:rsidRPr="00C07905" w:rsidTr="00B431E1">
        <w:tc>
          <w:tcPr>
            <w:tcW w:w="3796" w:type="dxa"/>
            <w:shd w:val="clear" w:color="auto" w:fill="auto"/>
          </w:tcPr>
          <w:p w:rsidR="009A1F02" w:rsidRPr="00C07905" w:rsidRDefault="009A1F02" w:rsidP="007D2E85">
            <w:pPr>
              <w:pStyle w:val="TableText0"/>
              <w:rPr>
                <w:szCs w:val="18"/>
              </w:rPr>
            </w:pPr>
            <w:r w:rsidRPr="00C07905">
              <w:rPr>
                <w:szCs w:val="18"/>
              </w:rPr>
              <w:t>Cost</w:t>
            </w:r>
          </w:p>
        </w:tc>
        <w:tc>
          <w:tcPr>
            <w:tcW w:w="1575" w:type="dxa"/>
            <w:shd w:val="clear" w:color="auto" w:fill="auto"/>
            <w:vAlign w:val="bottom"/>
          </w:tcPr>
          <w:p w:rsidR="009A1F02" w:rsidRPr="00C07905" w:rsidRDefault="009A1F02" w:rsidP="007D2E85">
            <w:pPr>
              <w:pStyle w:val="TableText0"/>
              <w:jc w:val="center"/>
              <w:rPr>
                <w:szCs w:val="18"/>
              </w:rPr>
            </w:pPr>
            <w:r w:rsidRPr="00B431E1">
              <w:rPr>
                <w:szCs w:val="18"/>
              </w:rPr>
              <w:t xml:space="preserve"> $9,383,627 </w:t>
            </w:r>
          </w:p>
        </w:tc>
        <w:tc>
          <w:tcPr>
            <w:tcW w:w="1501" w:type="dxa"/>
            <w:gridSpan w:val="2"/>
            <w:shd w:val="clear" w:color="auto" w:fill="auto"/>
            <w:vAlign w:val="bottom"/>
          </w:tcPr>
          <w:p w:rsidR="009A1F02" w:rsidRPr="00C07905" w:rsidRDefault="009A1F02" w:rsidP="007D2E85">
            <w:pPr>
              <w:pStyle w:val="TableText0"/>
              <w:jc w:val="center"/>
              <w:rPr>
                <w:szCs w:val="18"/>
              </w:rPr>
            </w:pPr>
            <w:r w:rsidRPr="00B431E1">
              <w:rPr>
                <w:szCs w:val="18"/>
              </w:rPr>
              <w:t xml:space="preserve"> $6,669,784 </w:t>
            </w:r>
          </w:p>
        </w:tc>
        <w:tc>
          <w:tcPr>
            <w:tcW w:w="1501" w:type="dxa"/>
            <w:shd w:val="clear" w:color="auto" w:fill="auto"/>
            <w:vAlign w:val="bottom"/>
          </w:tcPr>
          <w:p w:rsidR="009A1F02" w:rsidRPr="00C07905" w:rsidRDefault="009A1F02" w:rsidP="007D2E85">
            <w:pPr>
              <w:pStyle w:val="TableText0"/>
              <w:jc w:val="center"/>
              <w:rPr>
                <w:szCs w:val="18"/>
              </w:rPr>
            </w:pPr>
            <w:r w:rsidRPr="00B431E1">
              <w:rPr>
                <w:szCs w:val="18"/>
              </w:rPr>
              <w:t xml:space="preserve"> $2,713,843 </w:t>
            </w:r>
          </w:p>
        </w:tc>
      </w:tr>
      <w:tr w:rsidR="00B24178" w:rsidRPr="00C07905" w:rsidTr="00B431E1">
        <w:tc>
          <w:tcPr>
            <w:tcW w:w="3796" w:type="dxa"/>
            <w:shd w:val="clear" w:color="auto" w:fill="auto"/>
          </w:tcPr>
          <w:p w:rsidR="00B24178" w:rsidRPr="00C07905" w:rsidRDefault="00B24178" w:rsidP="007D2E85">
            <w:pPr>
              <w:pStyle w:val="TableText0"/>
              <w:rPr>
                <w:szCs w:val="18"/>
              </w:rPr>
            </w:pPr>
            <w:r w:rsidRPr="00C07905">
              <w:rPr>
                <w:szCs w:val="18"/>
              </w:rPr>
              <w:t>HIV detected</w:t>
            </w:r>
          </w:p>
        </w:tc>
        <w:tc>
          <w:tcPr>
            <w:tcW w:w="1575" w:type="dxa"/>
            <w:shd w:val="clear" w:color="auto" w:fill="auto"/>
            <w:vAlign w:val="center"/>
          </w:tcPr>
          <w:p w:rsidR="00B24178" w:rsidRPr="00C07905" w:rsidRDefault="00B24178" w:rsidP="007D2E85">
            <w:pPr>
              <w:pStyle w:val="TableText0"/>
              <w:jc w:val="center"/>
              <w:rPr>
                <w:szCs w:val="18"/>
              </w:rPr>
            </w:pPr>
            <w:r w:rsidRPr="00C07905">
              <w:rPr>
                <w:szCs w:val="18"/>
              </w:rPr>
              <w:t>1099</w:t>
            </w:r>
          </w:p>
        </w:tc>
        <w:tc>
          <w:tcPr>
            <w:tcW w:w="1501" w:type="dxa"/>
            <w:gridSpan w:val="2"/>
            <w:shd w:val="clear" w:color="auto" w:fill="auto"/>
            <w:vAlign w:val="center"/>
          </w:tcPr>
          <w:p w:rsidR="00B24178" w:rsidRPr="00C07905" w:rsidRDefault="00B24178" w:rsidP="007D2E85">
            <w:pPr>
              <w:pStyle w:val="TableText0"/>
              <w:jc w:val="center"/>
              <w:rPr>
                <w:szCs w:val="18"/>
              </w:rPr>
            </w:pPr>
            <w:r w:rsidRPr="00C07905">
              <w:rPr>
                <w:szCs w:val="18"/>
              </w:rPr>
              <w:t>1109</w:t>
            </w:r>
          </w:p>
        </w:tc>
        <w:tc>
          <w:tcPr>
            <w:tcW w:w="1501" w:type="dxa"/>
            <w:shd w:val="clear" w:color="auto" w:fill="auto"/>
            <w:vAlign w:val="center"/>
          </w:tcPr>
          <w:p w:rsidR="00B24178" w:rsidRPr="00C07905" w:rsidRDefault="00B24178" w:rsidP="007D2E85">
            <w:pPr>
              <w:pStyle w:val="TableText0"/>
              <w:jc w:val="center"/>
              <w:rPr>
                <w:szCs w:val="18"/>
              </w:rPr>
            </w:pPr>
            <w:r w:rsidRPr="00C07905">
              <w:rPr>
                <w:szCs w:val="18"/>
              </w:rPr>
              <w:t>-10</w:t>
            </w:r>
          </w:p>
        </w:tc>
      </w:tr>
      <w:tr w:rsidR="00B24178" w:rsidRPr="00C07905" w:rsidTr="00C9326B">
        <w:tc>
          <w:tcPr>
            <w:tcW w:w="6872" w:type="dxa"/>
            <w:gridSpan w:val="4"/>
            <w:shd w:val="clear" w:color="auto" w:fill="auto"/>
            <w:vAlign w:val="center"/>
          </w:tcPr>
          <w:p w:rsidR="00B24178" w:rsidRPr="00C07905" w:rsidRDefault="00B24178" w:rsidP="007D2E85">
            <w:pPr>
              <w:pStyle w:val="TableText0"/>
              <w:jc w:val="right"/>
              <w:rPr>
                <w:szCs w:val="18"/>
              </w:rPr>
            </w:pPr>
            <w:r w:rsidRPr="00C07905">
              <w:rPr>
                <w:szCs w:val="18"/>
              </w:rPr>
              <w:t>Incremental cost/ extra HIV detection</w:t>
            </w:r>
          </w:p>
        </w:tc>
        <w:tc>
          <w:tcPr>
            <w:tcW w:w="1501" w:type="dxa"/>
            <w:shd w:val="clear" w:color="auto" w:fill="auto"/>
          </w:tcPr>
          <w:p w:rsidR="00B24178" w:rsidRPr="00C07905" w:rsidRDefault="00B24178" w:rsidP="007D2E85">
            <w:pPr>
              <w:pStyle w:val="TableText0"/>
              <w:jc w:val="center"/>
              <w:rPr>
                <w:szCs w:val="18"/>
              </w:rPr>
            </w:pPr>
            <w:r w:rsidRPr="00C07905">
              <w:rPr>
                <w:szCs w:val="18"/>
              </w:rPr>
              <w:t>Dominated</w:t>
            </w:r>
          </w:p>
        </w:tc>
      </w:tr>
      <w:tr w:rsidR="00B24178" w:rsidRPr="00C07905" w:rsidTr="00B431E1">
        <w:tc>
          <w:tcPr>
            <w:tcW w:w="8373" w:type="dxa"/>
            <w:gridSpan w:val="5"/>
            <w:shd w:val="clear" w:color="auto" w:fill="auto"/>
            <w:vAlign w:val="center"/>
          </w:tcPr>
          <w:p w:rsidR="00B24178" w:rsidRPr="00C07905" w:rsidRDefault="00B24178" w:rsidP="007D2E85">
            <w:pPr>
              <w:pStyle w:val="TableText0"/>
              <w:rPr>
                <w:szCs w:val="18"/>
              </w:rPr>
            </w:pPr>
            <w:r w:rsidRPr="00C07905">
              <w:rPr>
                <w:szCs w:val="18"/>
              </w:rPr>
              <w:t>Sensitivity analysis 7: extra POC fee = $10.65 (max); extra lab fee = $9.95 (max)</w:t>
            </w:r>
          </w:p>
        </w:tc>
      </w:tr>
      <w:tr w:rsidR="00DC1720" w:rsidRPr="00C07905" w:rsidTr="00B431E1">
        <w:tc>
          <w:tcPr>
            <w:tcW w:w="3796" w:type="dxa"/>
            <w:shd w:val="clear" w:color="auto" w:fill="auto"/>
          </w:tcPr>
          <w:p w:rsidR="00DC1720" w:rsidRPr="00C07905" w:rsidRDefault="00DC1720" w:rsidP="007D2E85">
            <w:pPr>
              <w:pStyle w:val="TableText0"/>
              <w:rPr>
                <w:szCs w:val="18"/>
              </w:rPr>
            </w:pPr>
            <w:r w:rsidRPr="00C07905">
              <w:rPr>
                <w:szCs w:val="18"/>
              </w:rPr>
              <w:t>Cost</w:t>
            </w:r>
          </w:p>
        </w:tc>
        <w:tc>
          <w:tcPr>
            <w:tcW w:w="1575" w:type="dxa"/>
            <w:shd w:val="clear" w:color="auto" w:fill="auto"/>
            <w:vAlign w:val="center"/>
          </w:tcPr>
          <w:p w:rsidR="00DC1720" w:rsidRPr="00C07905" w:rsidRDefault="00DC1720" w:rsidP="007D2E85">
            <w:pPr>
              <w:pStyle w:val="TableText0"/>
              <w:jc w:val="center"/>
              <w:rPr>
                <w:szCs w:val="18"/>
              </w:rPr>
            </w:pPr>
            <w:r w:rsidRPr="00B431E1">
              <w:rPr>
                <w:szCs w:val="18"/>
              </w:rPr>
              <w:t>$9,400,811</w:t>
            </w:r>
          </w:p>
        </w:tc>
        <w:tc>
          <w:tcPr>
            <w:tcW w:w="1501" w:type="dxa"/>
            <w:gridSpan w:val="2"/>
            <w:shd w:val="clear" w:color="auto" w:fill="auto"/>
            <w:vAlign w:val="center"/>
          </w:tcPr>
          <w:p w:rsidR="00DC1720" w:rsidRPr="00C07905" w:rsidRDefault="00DC1720" w:rsidP="007D2E85">
            <w:pPr>
              <w:pStyle w:val="TableText0"/>
              <w:jc w:val="center"/>
              <w:rPr>
                <w:szCs w:val="18"/>
              </w:rPr>
            </w:pPr>
            <w:r w:rsidRPr="00B431E1">
              <w:rPr>
                <w:szCs w:val="18"/>
              </w:rPr>
              <w:t>$7,578,071</w:t>
            </w:r>
          </w:p>
        </w:tc>
        <w:tc>
          <w:tcPr>
            <w:tcW w:w="1501" w:type="dxa"/>
            <w:shd w:val="clear" w:color="auto" w:fill="auto"/>
            <w:vAlign w:val="center"/>
          </w:tcPr>
          <w:p w:rsidR="00DC1720" w:rsidRPr="00C07905" w:rsidRDefault="00DC1720" w:rsidP="007D2E85">
            <w:pPr>
              <w:pStyle w:val="TableText0"/>
              <w:jc w:val="center"/>
              <w:rPr>
                <w:szCs w:val="18"/>
              </w:rPr>
            </w:pPr>
            <w:r w:rsidRPr="00B431E1">
              <w:rPr>
                <w:szCs w:val="18"/>
              </w:rPr>
              <w:t>$1,822,740</w:t>
            </w:r>
          </w:p>
        </w:tc>
      </w:tr>
      <w:tr w:rsidR="00B24178" w:rsidRPr="00C07905" w:rsidTr="00B431E1">
        <w:tc>
          <w:tcPr>
            <w:tcW w:w="3796" w:type="dxa"/>
            <w:shd w:val="clear" w:color="auto" w:fill="auto"/>
          </w:tcPr>
          <w:p w:rsidR="00B24178" w:rsidRPr="00C07905" w:rsidRDefault="00B24178" w:rsidP="007D2E85">
            <w:pPr>
              <w:pStyle w:val="TableText0"/>
              <w:rPr>
                <w:szCs w:val="18"/>
              </w:rPr>
            </w:pPr>
            <w:r w:rsidRPr="00C07905">
              <w:rPr>
                <w:szCs w:val="18"/>
              </w:rPr>
              <w:t>HIV detected</w:t>
            </w:r>
          </w:p>
        </w:tc>
        <w:tc>
          <w:tcPr>
            <w:tcW w:w="1575" w:type="dxa"/>
            <w:shd w:val="clear" w:color="auto" w:fill="auto"/>
            <w:vAlign w:val="center"/>
          </w:tcPr>
          <w:p w:rsidR="00B24178" w:rsidRPr="00C07905" w:rsidRDefault="00B24178" w:rsidP="007D2E85">
            <w:pPr>
              <w:pStyle w:val="TableText0"/>
              <w:jc w:val="center"/>
              <w:rPr>
                <w:szCs w:val="18"/>
              </w:rPr>
            </w:pPr>
            <w:r w:rsidRPr="00C07905">
              <w:rPr>
                <w:szCs w:val="18"/>
              </w:rPr>
              <w:t>1099</w:t>
            </w:r>
          </w:p>
        </w:tc>
        <w:tc>
          <w:tcPr>
            <w:tcW w:w="1501" w:type="dxa"/>
            <w:gridSpan w:val="2"/>
            <w:shd w:val="clear" w:color="auto" w:fill="auto"/>
            <w:vAlign w:val="center"/>
          </w:tcPr>
          <w:p w:rsidR="00B24178" w:rsidRPr="00C07905" w:rsidRDefault="00B24178" w:rsidP="007D2E85">
            <w:pPr>
              <w:pStyle w:val="TableText0"/>
              <w:jc w:val="center"/>
              <w:rPr>
                <w:szCs w:val="18"/>
              </w:rPr>
            </w:pPr>
            <w:r w:rsidRPr="00C07905">
              <w:rPr>
                <w:szCs w:val="18"/>
              </w:rPr>
              <w:t>1109</w:t>
            </w:r>
          </w:p>
        </w:tc>
        <w:tc>
          <w:tcPr>
            <w:tcW w:w="1501" w:type="dxa"/>
            <w:shd w:val="clear" w:color="auto" w:fill="auto"/>
            <w:vAlign w:val="center"/>
          </w:tcPr>
          <w:p w:rsidR="00B24178" w:rsidRPr="00C07905" w:rsidRDefault="00B24178" w:rsidP="007D2E85">
            <w:pPr>
              <w:pStyle w:val="TableText0"/>
              <w:jc w:val="center"/>
              <w:rPr>
                <w:szCs w:val="18"/>
              </w:rPr>
            </w:pPr>
            <w:r w:rsidRPr="00C07905">
              <w:rPr>
                <w:szCs w:val="18"/>
              </w:rPr>
              <w:t>-10</w:t>
            </w:r>
          </w:p>
        </w:tc>
      </w:tr>
      <w:tr w:rsidR="00B24178" w:rsidRPr="00C07905" w:rsidTr="00C9326B">
        <w:tc>
          <w:tcPr>
            <w:tcW w:w="6872" w:type="dxa"/>
            <w:gridSpan w:val="4"/>
            <w:shd w:val="clear" w:color="auto" w:fill="auto"/>
            <w:vAlign w:val="center"/>
          </w:tcPr>
          <w:p w:rsidR="00B24178" w:rsidRPr="00C07905" w:rsidRDefault="00B24178" w:rsidP="007D2E85">
            <w:pPr>
              <w:pStyle w:val="TableText0"/>
              <w:jc w:val="right"/>
              <w:rPr>
                <w:szCs w:val="18"/>
              </w:rPr>
            </w:pPr>
            <w:r w:rsidRPr="00C07905">
              <w:rPr>
                <w:szCs w:val="18"/>
              </w:rPr>
              <w:t>Incremental cost/ extra HIV detection</w:t>
            </w:r>
          </w:p>
        </w:tc>
        <w:tc>
          <w:tcPr>
            <w:tcW w:w="1501" w:type="dxa"/>
            <w:shd w:val="clear" w:color="auto" w:fill="auto"/>
          </w:tcPr>
          <w:p w:rsidR="00B24178" w:rsidRPr="00C07905" w:rsidRDefault="00B24178" w:rsidP="007D2E85">
            <w:pPr>
              <w:pStyle w:val="TableText0"/>
              <w:jc w:val="center"/>
              <w:rPr>
                <w:szCs w:val="18"/>
              </w:rPr>
            </w:pPr>
            <w:r w:rsidRPr="00C07905">
              <w:rPr>
                <w:szCs w:val="18"/>
              </w:rPr>
              <w:t>Dominated</w:t>
            </w:r>
          </w:p>
        </w:tc>
      </w:tr>
      <w:tr w:rsidR="00B24178" w:rsidRPr="00C07905" w:rsidTr="007B1695">
        <w:tc>
          <w:tcPr>
            <w:tcW w:w="8373" w:type="dxa"/>
            <w:gridSpan w:val="5"/>
            <w:shd w:val="clear" w:color="auto" w:fill="auto"/>
          </w:tcPr>
          <w:p w:rsidR="00B24178" w:rsidRPr="00C07905" w:rsidRDefault="00B24178" w:rsidP="007D2E85">
            <w:pPr>
              <w:pStyle w:val="TableText0"/>
              <w:rPr>
                <w:szCs w:val="18"/>
              </w:rPr>
            </w:pPr>
            <w:r w:rsidRPr="00C07905">
              <w:rPr>
                <w:szCs w:val="18"/>
              </w:rPr>
              <w:t>Sensitivity analysis 8: all POCT confirmed positives will have a follow-up consultation</w:t>
            </w:r>
          </w:p>
        </w:tc>
      </w:tr>
      <w:tr w:rsidR="00761EF0" w:rsidRPr="00C07905" w:rsidTr="00B431E1">
        <w:tc>
          <w:tcPr>
            <w:tcW w:w="3796" w:type="dxa"/>
            <w:shd w:val="clear" w:color="auto" w:fill="auto"/>
          </w:tcPr>
          <w:p w:rsidR="00761EF0" w:rsidRPr="00C07905" w:rsidRDefault="00761EF0" w:rsidP="007D2E85">
            <w:pPr>
              <w:pStyle w:val="TableText0"/>
              <w:rPr>
                <w:szCs w:val="18"/>
              </w:rPr>
            </w:pPr>
            <w:r w:rsidRPr="00C07905">
              <w:rPr>
                <w:szCs w:val="18"/>
              </w:rPr>
              <w:t>Cost</w:t>
            </w:r>
          </w:p>
        </w:tc>
        <w:tc>
          <w:tcPr>
            <w:tcW w:w="1575" w:type="dxa"/>
            <w:shd w:val="clear" w:color="auto" w:fill="auto"/>
            <w:vAlign w:val="bottom"/>
          </w:tcPr>
          <w:p w:rsidR="00761EF0" w:rsidRPr="00C07905" w:rsidRDefault="00761EF0" w:rsidP="007D2E85">
            <w:pPr>
              <w:pStyle w:val="TableText0"/>
              <w:jc w:val="center"/>
              <w:rPr>
                <w:szCs w:val="18"/>
              </w:rPr>
            </w:pPr>
            <w:r w:rsidRPr="00B431E1">
              <w:rPr>
                <w:szCs w:val="18"/>
              </w:rPr>
              <w:t xml:space="preserve"> $8,235,064 </w:t>
            </w:r>
          </w:p>
        </w:tc>
        <w:tc>
          <w:tcPr>
            <w:tcW w:w="1501" w:type="dxa"/>
            <w:gridSpan w:val="2"/>
            <w:shd w:val="clear" w:color="auto" w:fill="auto"/>
            <w:vAlign w:val="bottom"/>
          </w:tcPr>
          <w:p w:rsidR="00761EF0" w:rsidRPr="00C07905" w:rsidRDefault="00F00F09" w:rsidP="007D2E85">
            <w:pPr>
              <w:pStyle w:val="TableText0"/>
              <w:jc w:val="center"/>
              <w:rPr>
                <w:szCs w:val="18"/>
              </w:rPr>
            </w:pPr>
            <w:r>
              <w:rPr>
                <w:szCs w:val="18"/>
              </w:rPr>
              <w:t xml:space="preserve"> $</w:t>
            </w:r>
            <w:r w:rsidR="00761EF0" w:rsidRPr="00B431E1">
              <w:rPr>
                <w:szCs w:val="18"/>
              </w:rPr>
              <w:t xml:space="preserve">7,398,820 </w:t>
            </w:r>
          </w:p>
        </w:tc>
        <w:tc>
          <w:tcPr>
            <w:tcW w:w="1501" w:type="dxa"/>
            <w:shd w:val="clear" w:color="auto" w:fill="auto"/>
            <w:vAlign w:val="bottom"/>
          </w:tcPr>
          <w:p w:rsidR="00761EF0" w:rsidRPr="00C07905" w:rsidRDefault="00761EF0" w:rsidP="007D2E85">
            <w:pPr>
              <w:pStyle w:val="TableText0"/>
              <w:jc w:val="center"/>
              <w:rPr>
                <w:szCs w:val="18"/>
              </w:rPr>
            </w:pPr>
            <w:r w:rsidRPr="00B431E1">
              <w:rPr>
                <w:szCs w:val="18"/>
              </w:rPr>
              <w:t xml:space="preserve"> $836,244 </w:t>
            </w:r>
          </w:p>
        </w:tc>
      </w:tr>
      <w:tr w:rsidR="00B24178" w:rsidRPr="00C07905" w:rsidTr="00C9326B">
        <w:tc>
          <w:tcPr>
            <w:tcW w:w="3796" w:type="dxa"/>
            <w:shd w:val="clear" w:color="auto" w:fill="auto"/>
          </w:tcPr>
          <w:p w:rsidR="00B24178" w:rsidRPr="00C07905" w:rsidRDefault="00B24178" w:rsidP="007D2E85">
            <w:pPr>
              <w:pStyle w:val="TableText0"/>
              <w:rPr>
                <w:szCs w:val="18"/>
              </w:rPr>
            </w:pPr>
            <w:r w:rsidRPr="00C07905">
              <w:rPr>
                <w:szCs w:val="18"/>
              </w:rPr>
              <w:t>HIV detected</w:t>
            </w:r>
          </w:p>
        </w:tc>
        <w:tc>
          <w:tcPr>
            <w:tcW w:w="1575" w:type="dxa"/>
            <w:shd w:val="clear" w:color="auto" w:fill="auto"/>
          </w:tcPr>
          <w:p w:rsidR="00B24178" w:rsidRPr="00C07905" w:rsidRDefault="00B24178" w:rsidP="007D2E85">
            <w:pPr>
              <w:pStyle w:val="TableText0"/>
              <w:jc w:val="center"/>
              <w:rPr>
                <w:szCs w:val="18"/>
              </w:rPr>
            </w:pPr>
            <w:r w:rsidRPr="00C07905">
              <w:rPr>
                <w:szCs w:val="18"/>
              </w:rPr>
              <w:t>1,099</w:t>
            </w:r>
          </w:p>
        </w:tc>
        <w:tc>
          <w:tcPr>
            <w:tcW w:w="1501" w:type="dxa"/>
            <w:gridSpan w:val="2"/>
            <w:shd w:val="clear" w:color="auto" w:fill="auto"/>
          </w:tcPr>
          <w:p w:rsidR="00B24178" w:rsidRPr="00C07905" w:rsidRDefault="00B24178" w:rsidP="007D2E85">
            <w:pPr>
              <w:pStyle w:val="TableText0"/>
              <w:jc w:val="center"/>
              <w:rPr>
                <w:szCs w:val="18"/>
              </w:rPr>
            </w:pPr>
            <w:r w:rsidRPr="00C07905">
              <w:rPr>
                <w:szCs w:val="18"/>
              </w:rPr>
              <w:t>1,109</w:t>
            </w:r>
          </w:p>
        </w:tc>
        <w:tc>
          <w:tcPr>
            <w:tcW w:w="1501" w:type="dxa"/>
            <w:shd w:val="clear" w:color="auto" w:fill="auto"/>
          </w:tcPr>
          <w:p w:rsidR="00B24178" w:rsidRPr="00C07905" w:rsidRDefault="00B24178" w:rsidP="007D2E85">
            <w:pPr>
              <w:pStyle w:val="TableText0"/>
              <w:jc w:val="center"/>
              <w:rPr>
                <w:szCs w:val="18"/>
              </w:rPr>
            </w:pPr>
            <w:r w:rsidRPr="00C07905">
              <w:rPr>
                <w:szCs w:val="18"/>
              </w:rPr>
              <w:t>-10</w:t>
            </w:r>
          </w:p>
        </w:tc>
      </w:tr>
      <w:tr w:rsidR="00B24178" w:rsidRPr="00C07905" w:rsidTr="00C9326B">
        <w:tc>
          <w:tcPr>
            <w:tcW w:w="6872" w:type="dxa"/>
            <w:gridSpan w:val="4"/>
            <w:shd w:val="clear" w:color="auto" w:fill="auto"/>
            <w:vAlign w:val="bottom"/>
          </w:tcPr>
          <w:p w:rsidR="00B24178" w:rsidRPr="00C07905" w:rsidRDefault="00B24178" w:rsidP="007D2E85">
            <w:pPr>
              <w:pStyle w:val="TableText0"/>
              <w:jc w:val="right"/>
              <w:rPr>
                <w:szCs w:val="18"/>
              </w:rPr>
            </w:pPr>
            <w:r w:rsidRPr="00C07905">
              <w:rPr>
                <w:szCs w:val="18"/>
              </w:rPr>
              <w:t>Incremental cost/ extra HIV detection</w:t>
            </w:r>
          </w:p>
        </w:tc>
        <w:tc>
          <w:tcPr>
            <w:tcW w:w="1501" w:type="dxa"/>
            <w:shd w:val="clear" w:color="auto" w:fill="auto"/>
          </w:tcPr>
          <w:p w:rsidR="00B24178" w:rsidRPr="00C07905" w:rsidRDefault="00B24178" w:rsidP="007D2E85">
            <w:pPr>
              <w:pStyle w:val="TableText0"/>
              <w:jc w:val="center"/>
              <w:rPr>
                <w:szCs w:val="18"/>
              </w:rPr>
            </w:pPr>
            <w:r w:rsidRPr="00C07905">
              <w:rPr>
                <w:szCs w:val="18"/>
              </w:rPr>
              <w:t>Dominated</w:t>
            </w:r>
          </w:p>
        </w:tc>
      </w:tr>
      <w:tr w:rsidR="00B24178" w:rsidRPr="00C07905" w:rsidTr="007B1695">
        <w:tc>
          <w:tcPr>
            <w:tcW w:w="8373" w:type="dxa"/>
            <w:gridSpan w:val="5"/>
            <w:shd w:val="clear" w:color="auto" w:fill="auto"/>
          </w:tcPr>
          <w:p w:rsidR="00B24178" w:rsidRPr="00C07905" w:rsidRDefault="00B24178" w:rsidP="007D2E85">
            <w:pPr>
              <w:pStyle w:val="TableText0"/>
              <w:rPr>
                <w:szCs w:val="18"/>
              </w:rPr>
            </w:pPr>
            <w:r w:rsidRPr="00C07905">
              <w:rPr>
                <w:szCs w:val="18"/>
              </w:rPr>
              <w:t>Sensitivity analysis 9: all POCT tests in seroconverting health state are confirmed by serology (no POCT follow-up consultation)</w:t>
            </w:r>
          </w:p>
        </w:tc>
      </w:tr>
      <w:tr w:rsidR="00D402F4" w:rsidRPr="00C07905" w:rsidTr="00B431E1">
        <w:tc>
          <w:tcPr>
            <w:tcW w:w="3796" w:type="dxa"/>
            <w:shd w:val="clear" w:color="auto" w:fill="auto"/>
          </w:tcPr>
          <w:p w:rsidR="00D402F4" w:rsidRPr="00C07905" w:rsidRDefault="00D402F4" w:rsidP="007D2E85">
            <w:pPr>
              <w:pStyle w:val="TableText0"/>
              <w:rPr>
                <w:szCs w:val="18"/>
              </w:rPr>
            </w:pPr>
            <w:r w:rsidRPr="00C07905">
              <w:rPr>
                <w:szCs w:val="18"/>
              </w:rPr>
              <w:t>Cost</w:t>
            </w:r>
          </w:p>
        </w:tc>
        <w:tc>
          <w:tcPr>
            <w:tcW w:w="1575" w:type="dxa"/>
            <w:shd w:val="clear" w:color="auto" w:fill="auto"/>
            <w:vAlign w:val="bottom"/>
          </w:tcPr>
          <w:p w:rsidR="00D402F4" w:rsidRPr="00C07905" w:rsidRDefault="00D402F4" w:rsidP="007D2E85">
            <w:pPr>
              <w:pStyle w:val="TableText0"/>
              <w:jc w:val="center"/>
              <w:rPr>
                <w:szCs w:val="18"/>
              </w:rPr>
            </w:pPr>
            <w:r w:rsidRPr="00B431E1">
              <w:rPr>
                <w:szCs w:val="18"/>
              </w:rPr>
              <w:t xml:space="preserve"> $8,210,769 </w:t>
            </w:r>
          </w:p>
        </w:tc>
        <w:tc>
          <w:tcPr>
            <w:tcW w:w="1501" w:type="dxa"/>
            <w:gridSpan w:val="2"/>
            <w:shd w:val="clear" w:color="auto" w:fill="auto"/>
            <w:vAlign w:val="bottom"/>
          </w:tcPr>
          <w:p w:rsidR="00D402F4" w:rsidRPr="00C07905" w:rsidRDefault="00D402F4" w:rsidP="007D2E85">
            <w:pPr>
              <w:pStyle w:val="TableText0"/>
              <w:jc w:val="center"/>
              <w:rPr>
                <w:szCs w:val="18"/>
              </w:rPr>
            </w:pPr>
            <w:r w:rsidRPr="00B431E1">
              <w:rPr>
                <w:szCs w:val="18"/>
              </w:rPr>
              <w:t xml:space="preserve"> $7,398,820 </w:t>
            </w:r>
          </w:p>
        </w:tc>
        <w:tc>
          <w:tcPr>
            <w:tcW w:w="1501" w:type="dxa"/>
            <w:shd w:val="clear" w:color="auto" w:fill="auto"/>
            <w:vAlign w:val="bottom"/>
          </w:tcPr>
          <w:p w:rsidR="00D402F4" w:rsidRPr="00C07905" w:rsidRDefault="00D402F4" w:rsidP="007D2E85">
            <w:pPr>
              <w:pStyle w:val="TableText0"/>
              <w:jc w:val="center"/>
              <w:rPr>
                <w:szCs w:val="18"/>
              </w:rPr>
            </w:pPr>
            <w:r w:rsidRPr="00B431E1">
              <w:rPr>
                <w:szCs w:val="18"/>
              </w:rPr>
              <w:t xml:space="preserve"> $811,949 </w:t>
            </w:r>
          </w:p>
        </w:tc>
      </w:tr>
      <w:tr w:rsidR="00B24178" w:rsidRPr="00C07905" w:rsidTr="00C9326B">
        <w:tc>
          <w:tcPr>
            <w:tcW w:w="3796" w:type="dxa"/>
            <w:shd w:val="clear" w:color="auto" w:fill="auto"/>
          </w:tcPr>
          <w:p w:rsidR="00B24178" w:rsidRPr="00C07905" w:rsidRDefault="00B24178" w:rsidP="007D2E85">
            <w:pPr>
              <w:pStyle w:val="TableText0"/>
              <w:rPr>
                <w:szCs w:val="18"/>
              </w:rPr>
            </w:pPr>
            <w:r w:rsidRPr="00C07905">
              <w:rPr>
                <w:szCs w:val="18"/>
              </w:rPr>
              <w:t>HIV detected</w:t>
            </w:r>
          </w:p>
        </w:tc>
        <w:tc>
          <w:tcPr>
            <w:tcW w:w="1575" w:type="dxa"/>
            <w:shd w:val="clear" w:color="auto" w:fill="auto"/>
          </w:tcPr>
          <w:p w:rsidR="00B24178" w:rsidRPr="00C07905" w:rsidRDefault="00B24178" w:rsidP="007D2E85">
            <w:pPr>
              <w:pStyle w:val="TableText0"/>
              <w:jc w:val="center"/>
              <w:rPr>
                <w:szCs w:val="18"/>
              </w:rPr>
            </w:pPr>
            <w:r w:rsidRPr="00C07905">
              <w:rPr>
                <w:szCs w:val="18"/>
              </w:rPr>
              <w:t>1,109</w:t>
            </w:r>
          </w:p>
        </w:tc>
        <w:tc>
          <w:tcPr>
            <w:tcW w:w="1501" w:type="dxa"/>
            <w:gridSpan w:val="2"/>
            <w:shd w:val="clear" w:color="auto" w:fill="auto"/>
          </w:tcPr>
          <w:p w:rsidR="00B24178" w:rsidRPr="00C07905" w:rsidRDefault="00B24178" w:rsidP="007D2E85">
            <w:pPr>
              <w:pStyle w:val="TableText0"/>
              <w:jc w:val="center"/>
              <w:rPr>
                <w:szCs w:val="18"/>
              </w:rPr>
            </w:pPr>
            <w:r w:rsidRPr="00C07905">
              <w:rPr>
                <w:szCs w:val="18"/>
              </w:rPr>
              <w:t>1,109</w:t>
            </w:r>
          </w:p>
        </w:tc>
        <w:tc>
          <w:tcPr>
            <w:tcW w:w="1501" w:type="dxa"/>
            <w:shd w:val="clear" w:color="auto" w:fill="auto"/>
          </w:tcPr>
          <w:p w:rsidR="00B24178" w:rsidRPr="00C07905" w:rsidRDefault="00B24178" w:rsidP="007D2E85">
            <w:pPr>
              <w:pStyle w:val="TableText0"/>
              <w:jc w:val="center"/>
              <w:rPr>
                <w:szCs w:val="18"/>
              </w:rPr>
            </w:pPr>
            <w:r w:rsidRPr="00C07905">
              <w:rPr>
                <w:szCs w:val="18"/>
              </w:rPr>
              <w:t>0</w:t>
            </w:r>
          </w:p>
        </w:tc>
      </w:tr>
      <w:tr w:rsidR="00B24178" w:rsidRPr="00C07905" w:rsidTr="00C9326B">
        <w:tc>
          <w:tcPr>
            <w:tcW w:w="6872" w:type="dxa"/>
            <w:gridSpan w:val="4"/>
            <w:shd w:val="clear" w:color="auto" w:fill="auto"/>
            <w:vAlign w:val="center"/>
          </w:tcPr>
          <w:p w:rsidR="00B24178" w:rsidRPr="00C07905" w:rsidRDefault="00B24178" w:rsidP="007D2E85">
            <w:pPr>
              <w:pStyle w:val="TableText0"/>
              <w:jc w:val="right"/>
              <w:rPr>
                <w:szCs w:val="18"/>
              </w:rPr>
            </w:pPr>
            <w:r w:rsidRPr="00C07905">
              <w:rPr>
                <w:szCs w:val="18"/>
              </w:rPr>
              <w:t>Incremental cost/ extra HIV detection</w:t>
            </w:r>
          </w:p>
        </w:tc>
        <w:tc>
          <w:tcPr>
            <w:tcW w:w="1501" w:type="dxa"/>
            <w:shd w:val="clear" w:color="auto" w:fill="auto"/>
          </w:tcPr>
          <w:p w:rsidR="00B24178" w:rsidRPr="00C07905" w:rsidRDefault="00B24178" w:rsidP="007D2E85">
            <w:pPr>
              <w:pStyle w:val="TableText0"/>
              <w:jc w:val="center"/>
              <w:rPr>
                <w:szCs w:val="18"/>
              </w:rPr>
            </w:pPr>
            <w:r w:rsidRPr="00C07905">
              <w:rPr>
                <w:szCs w:val="18"/>
              </w:rPr>
              <w:t>Dominated</w:t>
            </w:r>
          </w:p>
        </w:tc>
      </w:tr>
      <w:tr w:rsidR="00B24178" w:rsidRPr="00C07905" w:rsidTr="007B1695">
        <w:tc>
          <w:tcPr>
            <w:tcW w:w="8373" w:type="dxa"/>
            <w:gridSpan w:val="5"/>
            <w:shd w:val="clear" w:color="auto" w:fill="auto"/>
          </w:tcPr>
          <w:p w:rsidR="00B24178" w:rsidRPr="00C07905" w:rsidRDefault="00B24178" w:rsidP="007D2E85">
            <w:pPr>
              <w:pStyle w:val="TableText0"/>
              <w:rPr>
                <w:szCs w:val="18"/>
              </w:rPr>
            </w:pPr>
            <w:r w:rsidRPr="00C07905">
              <w:rPr>
                <w:szCs w:val="18"/>
              </w:rPr>
              <w:t>Sensitivity analysis 10: all POCT tests are confirmed with serology (no POCT follow-up consultation)</w:t>
            </w:r>
          </w:p>
        </w:tc>
      </w:tr>
      <w:tr w:rsidR="003435F8" w:rsidRPr="00C07905" w:rsidTr="00B431E1">
        <w:tc>
          <w:tcPr>
            <w:tcW w:w="3796" w:type="dxa"/>
            <w:shd w:val="clear" w:color="auto" w:fill="auto"/>
          </w:tcPr>
          <w:p w:rsidR="003435F8" w:rsidRPr="00C07905" w:rsidRDefault="003435F8" w:rsidP="007D2E85">
            <w:pPr>
              <w:pStyle w:val="TableText0"/>
              <w:rPr>
                <w:szCs w:val="18"/>
              </w:rPr>
            </w:pPr>
            <w:r w:rsidRPr="00C07905">
              <w:rPr>
                <w:szCs w:val="18"/>
              </w:rPr>
              <w:t>Cost</w:t>
            </w:r>
          </w:p>
        </w:tc>
        <w:tc>
          <w:tcPr>
            <w:tcW w:w="1575" w:type="dxa"/>
            <w:shd w:val="clear" w:color="auto" w:fill="auto"/>
            <w:vAlign w:val="bottom"/>
          </w:tcPr>
          <w:p w:rsidR="003435F8" w:rsidRPr="00C07905" w:rsidRDefault="003435F8" w:rsidP="007D2E85">
            <w:pPr>
              <w:pStyle w:val="TableText0"/>
              <w:jc w:val="center"/>
              <w:rPr>
                <w:szCs w:val="18"/>
              </w:rPr>
            </w:pPr>
            <w:r w:rsidRPr="00B431E1">
              <w:rPr>
                <w:szCs w:val="18"/>
              </w:rPr>
              <w:t xml:space="preserve"> $11,054,158 </w:t>
            </w:r>
          </w:p>
        </w:tc>
        <w:tc>
          <w:tcPr>
            <w:tcW w:w="1501" w:type="dxa"/>
            <w:gridSpan w:val="2"/>
            <w:shd w:val="clear" w:color="auto" w:fill="auto"/>
            <w:vAlign w:val="bottom"/>
          </w:tcPr>
          <w:p w:rsidR="003435F8" w:rsidRPr="00C07905" w:rsidRDefault="003435F8" w:rsidP="007D2E85">
            <w:pPr>
              <w:pStyle w:val="TableText0"/>
              <w:jc w:val="center"/>
              <w:rPr>
                <w:szCs w:val="18"/>
              </w:rPr>
            </w:pPr>
            <w:r w:rsidRPr="00B431E1">
              <w:rPr>
                <w:szCs w:val="18"/>
              </w:rPr>
              <w:t xml:space="preserve"> $7,398,820 </w:t>
            </w:r>
          </w:p>
        </w:tc>
        <w:tc>
          <w:tcPr>
            <w:tcW w:w="1501" w:type="dxa"/>
            <w:shd w:val="clear" w:color="auto" w:fill="auto"/>
            <w:vAlign w:val="bottom"/>
          </w:tcPr>
          <w:p w:rsidR="003435F8" w:rsidRPr="00C07905" w:rsidRDefault="003435F8" w:rsidP="007D2E85">
            <w:pPr>
              <w:pStyle w:val="TableText0"/>
              <w:jc w:val="center"/>
              <w:rPr>
                <w:szCs w:val="18"/>
              </w:rPr>
            </w:pPr>
            <w:r w:rsidRPr="00B431E1">
              <w:rPr>
                <w:szCs w:val="18"/>
              </w:rPr>
              <w:t xml:space="preserve"> $3,655,338 </w:t>
            </w:r>
          </w:p>
        </w:tc>
      </w:tr>
      <w:tr w:rsidR="00B24178" w:rsidRPr="00C07905" w:rsidTr="00C9326B">
        <w:tc>
          <w:tcPr>
            <w:tcW w:w="3796" w:type="dxa"/>
            <w:shd w:val="clear" w:color="auto" w:fill="auto"/>
          </w:tcPr>
          <w:p w:rsidR="00B24178" w:rsidRPr="00C07905" w:rsidRDefault="00B24178" w:rsidP="007D2E85">
            <w:pPr>
              <w:pStyle w:val="TableText0"/>
              <w:rPr>
                <w:szCs w:val="18"/>
              </w:rPr>
            </w:pPr>
            <w:r w:rsidRPr="00C07905">
              <w:rPr>
                <w:szCs w:val="18"/>
              </w:rPr>
              <w:t>HIV detected</w:t>
            </w:r>
          </w:p>
        </w:tc>
        <w:tc>
          <w:tcPr>
            <w:tcW w:w="1575" w:type="dxa"/>
            <w:shd w:val="clear" w:color="auto" w:fill="auto"/>
          </w:tcPr>
          <w:p w:rsidR="00B24178" w:rsidRPr="00C07905" w:rsidRDefault="00B24178" w:rsidP="007D2E85">
            <w:pPr>
              <w:pStyle w:val="TableText0"/>
              <w:jc w:val="center"/>
              <w:rPr>
                <w:szCs w:val="18"/>
              </w:rPr>
            </w:pPr>
            <w:r w:rsidRPr="00C07905">
              <w:rPr>
                <w:szCs w:val="18"/>
              </w:rPr>
              <w:t>1,109</w:t>
            </w:r>
          </w:p>
        </w:tc>
        <w:tc>
          <w:tcPr>
            <w:tcW w:w="1501" w:type="dxa"/>
            <w:gridSpan w:val="2"/>
            <w:shd w:val="clear" w:color="auto" w:fill="auto"/>
          </w:tcPr>
          <w:p w:rsidR="00B24178" w:rsidRPr="00C07905" w:rsidRDefault="00B24178" w:rsidP="007D2E85">
            <w:pPr>
              <w:pStyle w:val="TableText0"/>
              <w:jc w:val="center"/>
              <w:rPr>
                <w:szCs w:val="18"/>
              </w:rPr>
            </w:pPr>
            <w:r w:rsidRPr="00C07905">
              <w:rPr>
                <w:szCs w:val="18"/>
              </w:rPr>
              <w:t>1,109</w:t>
            </w:r>
          </w:p>
        </w:tc>
        <w:tc>
          <w:tcPr>
            <w:tcW w:w="1501" w:type="dxa"/>
            <w:shd w:val="clear" w:color="auto" w:fill="auto"/>
          </w:tcPr>
          <w:p w:rsidR="00B24178" w:rsidRPr="00C07905" w:rsidRDefault="00B24178" w:rsidP="007D2E85">
            <w:pPr>
              <w:pStyle w:val="TableText0"/>
              <w:jc w:val="center"/>
              <w:rPr>
                <w:szCs w:val="18"/>
              </w:rPr>
            </w:pPr>
            <w:r w:rsidRPr="00C07905">
              <w:rPr>
                <w:szCs w:val="18"/>
              </w:rPr>
              <w:t>0</w:t>
            </w:r>
          </w:p>
        </w:tc>
      </w:tr>
      <w:tr w:rsidR="00B24178" w:rsidRPr="00C07905" w:rsidTr="00C9326B">
        <w:tc>
          <w:tcPr>
            <w:tcW w:w="6872" w:type="dxa"/>
            <w:gridSpan w:val="4"/>
            <w:shd w:val="clear" w:color="auto" w:fill="auto"/>
            <w:vAlign w:val="center"/>
          </w:tcPr>
          <w:p w:rsidR="00B24178" w:rsidRPr="00C07905" w:rsidRDefault="00B24178" w:rsidP="007D2E85">
            <w:pPr>
              <w:pStyle w:val="TableText0"/>
              <w:jc w:val="right"/>
              <w:rPr>
                <w:szCs w:val="18"/>
              </w:rPr>
            </w:pPr>
            <w:r w:rsidRPr="00C07905">
              <w:rPr>
                <w:szCs w:val="18"/>
              </w:rPr>
              <w:t>Incremental cost/ extra HIV detection</w:t>
            </w:r>
          </w:p>
        </w:tc>
        <w:tc>
          <w:tcPr>
            <w:tcW w:w="1501" w:type="dxa"/>
            <w:shd w:val="clear" w:color="auto" w:fill="auto"/>
          </w:tcPr>
          <w:p w:rsidR="00B24178" w:rsidRPr="00C07905" w:rsidRDefault="00B24178" w:rsidP="007D2E85">
            <w:pPr>
              <w:pStyle w:val="TableText0"/>
              <w:jc w:val="center"/>
              <w:rPr>
                <w:szCs w:val="18"/>
              </w:rPr>
            </w:pPr>
            <w:r w:rsidRPr="00C07905">
              <w:rPr>
                <w:szCs w:val="18"/>
              </w:rPr>
              <w:t>Dominated</w:t>
            </w:r>
          </w:p>
        </w:tc>
      </w:tr>
      <w:tr w:rsidR="00B24178" w:rsidRPr="00C07905" w:rsidTr="00B431E1">
        <w:tc>
          <w:tcPr>
            <w:tcW w:w="8373" w:type="dxa"/>
            <w:gridSpan w:val="5"/>
            <w:shd w:val="clear" w:color="auto" w:fill="auto"/>
            <w:vAlign w:val="center"/>
          </w:tcPr>
          <w:p w:rsidR="00B24178" w:rsidRPr="00C07905" w:rsidRDefault="00B24178" w:rsidP="007D2E85">
            <w:pPr>
              <w:pStyle w:val="TableText0"/>
              <w:rPr>
                <w:szCs w:val="18"/>
              </w:rPr>
            </w:pPr>
            <w:r w:rsidRPr="00C07905">
              <w:rPr>
                <w:szCs w:val="18"/>
              </w:rPr>
              <w:t xml:space="preserve">Sensitivity analysis 11: no change to current practice = all POCT are confirmed with serology + all confirmed positives have </w:t>
            </w:r>
            <w:r w:rsidRPr="00C07905">
              <w:rPr>
                <w:szCs w:val="18"/>
              </w:rPr>
              <w:lastRenderedPageBreak/>
              <w:t>follow-up</w:t>
            </w:r>
          </w:p>
        </w:tc>
      </w:tr>
      <w:tr w:rsidR="0039277E" w:rsidRPr="00C07905" w:rsidTr="00B431E1">
        <w:tc>
          <w:tcPr>
            <w:tcW w:w="3796" w:type="dxa"/>
            <w:shd w:val="clear" w:color="auto" w:fill="auto"/>
            <w:vAlign w:val="center"/>
          </w:tcPr>
          <w:p w:rsidR="0039277E" w:rsidRPr="00C07905" w:rsidRDefault="0039277E" w:rsidP="007D2E85">
            <w:pPr>
              <w:pStyle w:val="TableText0"/>
              <w:rPr>
                <w:szCs w:val="18"/>
              </w:rPr>
            </w:pPr>
            <w:r w:rsidRPr="00C07905">
              <w:rPr>
                <w:szCs w:val="18"/>
              </w:rPr>
              <w:lastRenderedPageBreak/>
              <w:t>Cost</w:t>
            </w:r>
          </w:p>
        </w:tc>
        <w:tc>
          <w:tcPr>
            <w:tcW w:w="1575" w:type="dxa"/>
            <w:shd w:val="clear" w:color="auto" w:fill="auto"/>
            <w:vAlign w:val="bottom"/>
          </w:tcPr>
          <w:p w:rsidR="0039277E" w:rsidRPr="00C07905" w:rsidRDefault="0039277E" w:rsidP="007D2E85">
            <w:pPr>
              <w:pStyle w:val="TableText0"/>
              <w:jc w:val="center"/>
              <w:rPr>
                <w:szCs w:val="18"/>
              </w:rPr>
            </w:pPr>
            <w:r w:rsidRPr="00B431E1">
              <w:rPr>
                <w:szCs w:val="18"/>
              </w:rPr>
              <w:t xml:space="preserve"> $11,079,833 </w:t>
            </w:r>
          </w:p>
        </w:tc>
        <w:tc>
          <w:tcPr>
            <w:tcW w:w="1501" w:type="dxa"/>
            <w:gridSpan w:val="2"/>
            <w:shd w:val="clear" w:color="auto" w:fill="auto"/>
            <w:vAlign w:val="bottom"/>
          </w:tcPr>
          <w:p w:rsidR="0039277E" w:rsidRPr="00C07905" w:rsidRDefault="0039277E" w:rsidP="007D2E85">
            <w:pPr>
              <w:pStyle w:val="TableText0"/>
              <w:jc w:val="center"/>
              <w:rPr>
                <w:szCs w:val="18"/>
              </w:rPr>
            </w:pPr>
            <w:r w:rsidRPr="00B431E1">
              <w:rPr>
                <w:szCs w:val="18"/>
              </w:rPr>
              <w:t xml:space="preserve"> $7,398,820 </w:t>
            </w:r>
          </w:p>
        </w:tc>
        <w:tc>
          <w:tcPr>
            <w:tcW w:w="1501" w:type="dxa"/>
            <w:shd w:val="clear" w:color="auto" w:fill="auto"/>
            <w:vAlign w:val="bottom"/>
          </w:tcPr>
          <w:p w:rsidR="0039277E" w:rsidRPr="00C07905" w:rsidRDefault="0039277E" w:rsidP="007D2E85">
            <w:pPr>
              <w:pStyle w:val="TableText0"/>
              <w:jc w:val="center"/>
              <w:rPr>
                <w:szCs w:val="18"/>
              </w:rPr>
            </w:pPr>
            <w:r w:rsidRPr="00B431E1">
              <w:rPr>
                <w:szCs w:val="18"/>
              </w:rPr>
              <w:t xml:space="preserve"> $3,681,013 </w:t>
            </w:r>
          </w:p>
        </w:tc>
      </w:tr>
      <w:tr w:rsidR="00B24178" w:rsidRPr="00C07905" w:rsidTr="00B431E1">
        <w:tc>
          <w:tcPr>
            <w:tcW w:w="3796" w:type="dxa"/>
            <w:shd w:val="clear" w:color="auto" w:fill="auto"/>
            <w:vAlign w:val="center"/>
          </w:tcPr>
          <w:p w:rsidR="00B24178" w:rsidRPr="00C07905" w:rsidRDefault="00B24178" w:rsidP="007D2E85">
            <w:pPr>
              <w:pStyle w:val="TableText0"/>
              <w:rPr>
                <w:szCs w:val="18"/>
              </w:rPr>
            </w:pPr>
            <w:r w:rsidRPr="00C07905">
              <w:rPr>
                <w:szCs w:val="18"/>
              </w:rPr>
              <w:t>HIV detected</w:t>
            </w:r>
          </w:p>
        </w:tc>
        <w:tc>
          <w:tcPr>
            <w:tcW w:w="1575" w:type="dxa"/>
            <w:shd w:val="clear" w:color="auto" w:fill="auto"/>
          </w:tcPr>
          <w:p w:rsidR="00B24178" w:rsidRPr="00C07905" w:rsidRDefault="00B24178" w:rsidP="007D2E85">
            <w:pPr>
              <w:pStyle w:val="TableText0"/>
              <w:jc w:val="center"/>
              <w:rPr>
                <w:szCs w:val="18"/>
              </w:rPr>
            </w:pPr>
            <w:r w:rsidRPr="00C07905">
              <w:rPr>
                <w:szCs w:val="18"/>
              </w:rPr>
              <w:t>1,109</w:t>
            </w:r>
          </w:p>
        </w:tc>
        <w:tc>
          <w:tcPr>
            <w:tcW w:w="1501" w:type="dxa"/>
            <w:gridSpan w:val="2"/>
            <w:shd w:val="clear" w:color="auto" w:fill="auto"/>
          </w:tcPr>
          <w:p w:rsidR="00B24178" w:rsidRPr="00C07905" w:rsidRDefault="00B24178" w:rsidP="007D2E85">
            <w:pPr>
              <w:pStyle w:val="TableText0"/>
              <w:jc w:val="center"/>
              <w:rPr>
                <w:szCs w:val="18"/>
              </w:rPr>
            </w:pPr>
            <w:r w:rsidRPr="00C07905">
              <w:rPr>
                <w:szCs w:val="18"/>
              </w:rPr>
              <w:t>1,109</w:t>
            </w:r>
          </w:p>
        </w:tc>
        <w:tc>
          <w:tcPr>
            <w:tcW w:w="1501" w:type="dxa"/>
            <w:shd w:val="clear" w:color="auto" w:fill="auto"/>
          </w:tcPr>
          <w:p w:rsidR="00B24178" w:rsidRPr="00C07905" w:rsidRDefault="00B24178" w:rsidP="007D2E85">
            <w:pPr>
              <w:pStyle w:val="TableText0"/>
              <w:jc w:val="center"/>
              <w:rPr>
                <w:szCs w:val="18"/>
              </w:rPr>
            </w:pPr>
            <w:r w:rsidRPr="00C07905">
              <w:rPr>
                <w:szCs w:val="18"/>
              </w:rPr>
              <w:t>0</w:t>
            </w:r>
          </w:p>
        </w:tc>
      </w:tr>
      <w:tr w:rsidR="00B24178" w:rsidRPr="00C07905" w:rsidTr="00C9326B">
        <w:tc>
          <w:tcPr>
            <w:tcW w:w="6872" w:type="dxa"/>
            <w:gridSpan w:val="4"/>
            <w:shd w:val="clear" w:color="auto" w:fill="auto"/>
            <w:vAlign w:val="center"/>
          </w:tcPr>
          <w:p w:rsidR="00B24178" w:rsidRPr="00C07905" w:rsidRDefault="00B24178" w:rsidP="007D2E85">
            <w:pPr>
              <w:pStyle w:val="TableText0"/>
              <w:jc w:val="right"/>
              <w:rPr>
                <w:szCs w:val="18"/>
              </w:rPr>
            </w:pPr>
            <w:r w:rsidRPr="00C07905">
              <w:rPr>
                <w:szCs w:val="18"/>
              </w:rPr>
              <w:t>Incremental cost/ extra HIV detection</w:t>
            </w:r>
          </w:p>
        </w:tc>
        <w:tc>
          <w:tcPr>
            <w:tcW w:w="1501" w:type="dxa"/>
            <w:shd w:val="clear" w:color="auto" w:fill="auto"/>
          </w:tcPr>
          <w:p w:rsidR="00B24178" w:rsidRPr="00C07905" w:rsidRDefault="00B24178" w:rsidP="007D2E85">
            <w:pPr>
              <w:pStyle w:val="TableText0"/>
              <w:jc w:val="center"/>
              <w:rPr>
                <w:szCs w:val="18"/>
              </w:rPr>
            </w:pPr>
            <w:r w:rsidRPr="00C07905">
              <w:rPr>
                <w:szCs w:val="18"/>
              </w:rPr>
              <w:t>Dominated</w:t>
            </w:r>
          </w:p>
        </w:tc>
      </w:tr>
      <w:tr w:rsidR="00B24178" w:rsidRPr="00C07905" w:rsidTr="0005371E">
        <w:tc>
          <w:tcPr>
            <w:tcW w:w="8373" w:type="dxa"/>
            <w:gridSpan w:val="5"/>
            <w:shd w:val="clear" w:color="auto" w:fill="auto"/>
          </w:tcPr>
          <w:p w:rsidR="00B24178" w:rsidRPr="00C07905" w:rsidRDefault="00B24178" w:rsidP="007D2E85">
            <w:pPr>
              <w:pStyle w:val="TableText0"/>
              <w:rPr>
                <w:szCs w:val="18"/>
              </w:rPr>
            </w:pPr>
            <w:r w:rsidRPr="00C07905">
              <w:rPr>
                <w:szCs w:val="18"/>
              </w:rPr>
              <w:t xml:space="preserve">Sensitivity analysis 12: Increase in proportion who test in POCT arm from 55% to </w:t>
            </w:r>
            <w:r w:rsidR="00870585" w:rsidRPr="00C07905">
              <w:rPr>
                <w:szCs w:val="18"/>
              </w:rPr>
              <w:t>5</w:t>
            </w:r>
            <w:r w:rsidR="002E7579" w:rsidRPr="00C07905">
              <w:rPr>
                <w:szCs w:val="18"/>
              </w:rPr>
              <w:t>8</w:t>
            </w:r>
            <w:r w:rsidRPr="00C07905">
              <w:rPr>
                <w:szCs w:val="18"/>
              </w:rPr>
              <w:t>%</w:t>
            </w:r>
          </w:p>
        </w:tc>
      </w:tr>
      <w:tr w:rsidR="00C9326B" w:rsidRPr="00C07905" w:rsidTr="00B431E1">
        <w:tc>
          <w:tcPr>
            <w:tcW w:w="3796" w:type="dxa"/>
            <w:shd w:val="clear" w:color="auto" w:fill="auto"/>
          </w:tcPr>
          <w:p w:rsidR="00C9326B" w:rsidRPr="00C07905" w:rsidRDefault="00C9326B" w:rsidP="007D2E85">
            <w:pPr>
              <w:pStyle w:val="TableText0"/>
              <w:rPr>
                <w:szCs w:val="18"/>
              </w:rPr>
            </w:pPr>
            <w:r w:rsidRPr="00C07905">
              <w:rPr>
                <w:szCs w:val="18"/>
              </w:rPr>
              <w:t>Cost</w:t>
            </w:r>
          </w:p>
        </w:tc>
        <w:tc>
          <w:tcPr>
            <w:tcW w:w="1575" w:type="dxa"/>
            <w:shd w:val="clear" w:color="auto" w:fill="auto"/>
            <w:vAlign w:val="bottom"/>
          </w:tcPr>
          <w:p w:rsidR="00C9326B" w:rsidRPr="00C07905" w:rsidRDefault="004946A0" w:rsidP="007D2E85">
            <w:pPr>
              <w:pStyle w:val="TableText0"/>
              <w:jc w:val="center"/>
              <w:rPr>
                <w:szCs w:val="18"/>
              </w:rPr>
            </w:pPr>
            <w:r>
              <w:rPr>
                <w:szCs w:val="18"/>
              </w:rPr>
              <w:t>$</w:t>
            </w:r>
            <w:r w:rsidR="00C9326B" w:rsidRPr="00B431E1">
              <w:rPr>
                <w:szCs w:val="18"/>
              </w:rPr>
              <w:t>8</w:t>
            </w:r>
            <w:r>
              <w:rPr>
                <w:szCs w:val="18"/>
              </w:rPr>
              <w:t>,</w:t>
            </w:r>
            <w:r w:rsidR="00C9326B" w:rsidRPr="00B431E1">
              <w:rPr>
                <w:szCs w:val="18"/>
              </w:rPr>
              <w:t>659</w:t>
            </w:r>
            <w:r>
              <w:rPr>
                <w:szCs w:val="18"/>
              </w:rPr>
              <w:t>,</w:t>
            </w:r>
            <w:r w:rsidR="00C9326B" w:rsidRPr="00B431E1">
              <w:rPr>
                <w:szCs w:val="18"/>
              </w:rPr>
              <w:t>409.64</w:t>
            </w:r>
          </w:p>
        </w:tc>
        <w:tc>
          <w:tcPr>
            <w:tcW w:w="1501" w:type="dxa"/>
            <w:gridSpan w:val="2"/>
            <w:shd w:val="clear" w:color="auto" w:fill="auto"/>
            <w:vAlign w:val="bottom"/>
          </w:tcPr>
          <w:p w:rsidR="00C9326B" w:rsidRPr="00C07905" w:rsidRDefault="00C9326B" w:rsidP="007D2E85">
            <w:pPr>
              <w:pStyle w:val="TableText0"/>
              <w:jc w:val="center"/>
              <w:rPr>
                <w:szCs w:val="18"/>
              </w:rPr>
            </w:pPr>
            <w:r w:rsidRPr="00B431E1">
              <w:rPr>
                <w:szCs w:val="18"/>
              </w:rPr>
              <w:t xml:space="preserve"> $7,398,820 </w:t>
            </w:r>
          </w:p>
        </w:tc>
        <w:tc>
          <w:tcPr>
            <w:tcW w:w="1501" w:type="dxa"/>
            <w:shd w:val="clear" w:color="auto" w:fill="auto"/>
            <w:vAlign w:val="bottom"/>
          </w:tcPr>
          <w:p w:rsidR="00C9326B" w:rsidRPr="00C07905" w:rsidRDefault="00C9326B" w:rsidP="007D2E85">
            <w:pPr>
              <w:pStyle w:val="TableText0"/>
              <w:jc w:val="center"/>
              <w:rPr>
                <w:szCs w:val="18"/>
              </w:rPr>
            </w:pPr>
            <w:r w:rsidRPr="00B431E1">
              <w:rPr>
                <w:szCs w:val="18"/>
              </w:rPr>
              <w:t xml:space="preserve"> $1,260,590 </w:t>
            </w:r>
          </w:p>
        </w:tc>
      </w:tr>
      <w:tr w:rsidR="00B24178" w:rsidRPr="00C07905" w:rsidTr="00C9326B">
        <w:tc>
          <w:tcPr>
            <w:tcW w:w="3796" w:type="dxa"/>
            <w:shd w:val="clear" w:color="auto" w:fill="auto"/>
          </w:tcPr>
          <w:p w:rsidR="00B24178" w:rsidRPr="00C07905" w:rsidRDefault="00B24178" w:rsidP="007D2E85">
            <w:pPr>
              <w:pStyle w:val="TableText0"/>
              <w:rPr>
                <w:szCs w:val="18"/>
              </w:rPr>
            </w:pPr>
            <w:r w:rsidRPr="00C07905">
              <w:rPr>
                <w:szCs w:val="18"/>
              </w:rPr>
              <w:t>HIV detected</w:t>
            </w:r>
          </w:p>
        </w:tc>
        <w:tc>
          <w:tcPr>
            <w:tcW w:w="1575" w:type="dxa"/>
            <w:shd w:val="clear" w:color="auto" w:fill="auto"/>
          </w:tcPr>
          <w:p w:rsidR="00B24178" w:rsidRPr="00C07905" w:rsidRDefault="00B24178" w:rsidP="007D2E85">
            <w:pPr>
              <w:pStyle w:val="TableText0"/>
              <w:jc w:val="center"/>
              <w:rPr>
                <w:szCs w:val="18"/>
              </w:rPr>
            </w:pPr>
            <w:r w:rsidRPr="00C07905">
              <w:rPr>
                <w:szCs w:val="18"/>
              </w:rPr>
              <w:t>1,1</w:t>
            </w:r>
            <w:r w:rsidR="002E7579" w:rsidRPr="00C07905">
              <w:rPr>
                <w:szCs w:val="18"/>
              </w:rPr>
              <w:t>36</w:t>
            </w:r>
          </w:p>
        </w:tc>
        <w:tc>
          <w:tcPr>
            <w:tcW w:w="1501" w:type="dxa"/>
            <w:gridSpan w:val="2"/>
            <w:shd w:val="clear" w:color="auto" w:fill="auto"/>
          </w:tcPr>
          <w:p w:rsidR="00B24178" w:rsidRPr="00C07905" w:rsidRDefault="00B24178" w:rsidP="007D2E85">
            <w:pPr>
              <w:pStyle w:val="TableText0"/>
              <w:jc w:val="center"/>
              <w:rPr>
                <w:szCs w:val="18"/>
              </w:rPr>
            </w:pPr>
            <w:r w:rsidRPr="00C07905">
              <w:rPr>
                <w:szCs w:val="18"/>
              </w:rPr>
              <w:t>1,109</w:t>
            </w:r>
          </w:p>
        </w:tc>
        <w:tc>
          <w:tcPr>
            <w:tcW w:w="1501" w:type="dxa"/>
            <w:shd w:val="clear" w:color="auto" w:fill="auto"/>
          </w:tcPr>
          <w:p w:rsidR="00B24178" w:rsidRPr="00C07905" w:rsidRDefault="002E7579" w:rsidP="007D2E85">
            <w:pPr>
              <w:pStyle w:val="TableText0"/>
              <w:jc w:val="center"/>
              <w:rPr>
                <w:szCs w:val="18"/>
              </w:rPr>
            </w:pPr>
            <w:r w:rsidRPr="00C07905">
              <w:rPr>
                <w:szCs w:val="18"/>
              </w:rPr>
              <w:t>27</w:t>
            </w:r>
          </w:p>
        </w:tc>
      </w:tr>
      <w:tr w:rsidR="00B24178" w:rsidRPr="00C07905" w:rsidTr="00C9326B">
        <w:tc>
          <w:tcPr>
            <w:tcW w:w="6872" w:type="dxa"/>
            <w:gridSpan w:val="4"/>
            <w:shd w:val="clear" w:color="auto" w:fill="auto"/>
            <w:vAlign w:val="bottom"/>
          </w:tcPr>
          <w:p w:rsidR="00B24178" w:rsidRPr="00C07905" w:rsidRDefault="00B24178" w:rsidP="007D2E85">
            <w:pPr>
              <w:pStyle w:val="TableText0"/>
              <w:jc w:val="right"/>
              <w:rPr>
                <w:szCs w:val="18"/>
              </w:rPr>
            </w:pPr>
            <w:r w:rsidRPr="00C07905">
              <w:rPr>
                <w:szCs w:val="18"/>
              </w:rPr>
              <w:t>Incremental cost/ extra HIV detection</w:t>
            </w:r>
          </w:p>
        </w:tc>
        <w:tc>
          <w:tcPr>
            <w:tcW w:w="1501" w:type="dxa"/>
            <w:shd w:val="clear" w:color="auto" w:fill="auto"/>
          </w:tcPr>
          <w:p w:rsidR="00B24178" w:rsidRPr="00B431E1" w:rsidRDefault="00B24178" w:rsidP="007D2E85">
            <w:pPr>
              <w:pStyle w:val="TableText0"/>
              <w:jc w:val="center"/>
              <w:rPr>
                <w:szCs w:val="18"/>
                <w:vertAlign w:val="superscript"/>
              </w:rPr>
            </w:pPr>
            <w:r w:rsidRPr="00C07905">
              <w:rPr>
                <w:szCs w:val="18"/>
              </w:rPr>
              <w:t>$</w:t>
            </w:r>
            <w:r w:rsidR="00C9326B" w:rsidRPr="00C07905">
              <w:rPr>
                <w:szCs w:val="18"/>
              </w:rPr>
              <w:t>46,689</w:t>
            </w:r>
            <w:r w:rsidR="00B93ED0" w:rsidRPr="00C07905">
              <w:rPr>
                <w:szCs w:val="18"/>
                <w:vertAlign w:val="superscript"/>
              </w:rPr>
              <w:t>#</w:t>
            </w:r>
          </w:p>
        </w:tc>
      </w:tr>
      <w:tr w:rsidR="00B24178" w:rsidRPr="00C07905" w:rsidTr="0005371E">
        <w:tc>
          <w:tcPr>
            <w:tcW w:w="8373" w:type="dxa"/>
            <w:gridSpan w:val="5"/>
            <w:shd w:val="clear" w:color="auto" w:fill="auto"/>
          </w:tcPr>
          <w:p w:rsidR="00B24178" w:rsidRPr="00C07905" w:rsidRDefault="00B24178" w:rsidP="007D2E85">
            <w:pPr>
              <w:pStyle w:val="TableText0"/>
              <w:rPr>
                <w:szCs w:val="18"/>
              </w:rPr>
            </w:pPr>
            <w:r w:rsidRPr="00C07905">
              <w:rPr>
                <w:szCs w:val="18"/>
              </w:rPr>
              <w:t>Sensitivity analysis 13: Higher rate of first test in POCT, based on Read (2013) post-hoc analysis</w:t>
            </w:r>
          </w:p>
        </w:tc>
      </w:tr>
      <w:tr w:rsidR="00C9326B" w:rsidRPr="00C07905" w:rsidTr="00B431E1">
        <w:tc>
          <w:tcPr>
            <w:tcW w:w="3796" w:type="dxa"/>
            <w:shd w:val="clear" w:color="auto" w:fill="auto"/>
          </w:tcPr>
          <w:p w:rsidR="00C9326B" w:rsidRPr="00C07905" w:rsidRDefault="00C9326B" w:rsidP="007D2E85">
            <w:pPr>
              <w:pStyle w:val="TableText0"/>
              <w:rPr>
                <w:szCs w:val="18"/>
              </w:rPr>
            </w:pPr>
            <w:r w:rsidRPr="00C07905">
              <w:rPr>
                <w:szCs w:val="18"/>
              </w:rPr>
              <w:t>Cost</w:t>
            </w:r>
          </w:p>
        </w:tc>
        <w:tc>
          <w:tcPr>
            <w:tcW w:w="1575" w:type="dxa"/>
            <w:shd w:val="clear" w:color="auto" w:fill="auto"/>
            <w:vAlign w:val="bottom"/>
          </w:tcPr>
          <w:p w:rsidR="00C9326B" w:rsidRPr="00C07905" w:rsidRDefault="00C9326B" w:rsidP="007D2E85">
            <w:pPr>
              <w:pStyle w:val="TableText0"/>
              <w:jc w:val="center"/>
              <w:rPr>
                <w:szCs w:val="18"/>
              </w:rPr>
            </w:pPr>
            <w:r w:rsidRPr="00B431E1">
              <w:rPr>
                <w:szCs w:val="18"/>
              </w:rPr>
              <w:t xml:space="preserve"> $8,113,292 </w:t>
            </w:r>
          </w:p>
        </w:tc>
        <w:tc>
          <w:tcPr>
            <w:tcW w:w="1501" w:type="dxa"/>
            <w:gridSpan w:val="2"/>
            <w:shd w:val="clear" w:color="auto" w:fill="auto"/>
            <w:vAlign w:val="bottom"/>
          </w:tcPr>
          <w:p w:rsidR="00C9326B" w:rsidRPr="00C07905" w:rsidRDefault="00C9326B" w:rsidP="007D2E85">
            <w:pPr>
              <w:pStyle w:val="TableText0"/>
              <w:jc w:val="center"/>
              <w:rPr>
                <w:szCs w:val="18"/>
              </w:rPr>
            </w:pPr>
            <w:r w:rsidRPr="00B431E1">
              <w:rPr>
                <w:szCs w:val="18"/>
              </w:rPr>
              <w:t xml:space="preserve"> $6,180,282 </w:t>
            </w:r>
          </w:p>
        </w:tc>
        <w:tc>
          <w:tcPr>
            <w:tcW w:w="1501" w:type="dxa"/>
            <w:shd w:val="clear" w:color="auto" w:fill="auto"/>
            <w:vAlign w:val="bottom"/>
          </w:tcPr>
          <w:p w:rsidR="00C9326B" w:rsidRPr="00C07905" w:rsidRDefault="00C9326B" w:rsidP="007D2E85">
            <w:pPr>
              <w:pStyle w:val="TableText0"/>
              <w:jc w:val="center"/>
              <w:rPr>
                <w:szCs w:val="18"/>
              </w:rPr>
            </w:pPr>
            <w:r w:rsidRPr="00B431E1">
              <w:rPr>
                <w:szCs w:val="18"/>
              </w:rPr>
              <w:t xml:space="preserve"> $1,933,010 </w:t>
            </w:r>
          </w:p>
        </w:tc>
      </w:tr>
      <w:tr w:rsidR="00B24178" w:rsidRPr="00C07905" w:rsidTr="00C9326B">
        <w:tc>
          <w:tcPr>
            <w:tcW w:w="3796" w:type="dxa"/>
            <w:shd w:val="clear" w:color="auto" w:fill="auto"/>
          </w:tcPr>
          <w:p w:rsidR="00B24178" w:rsidRPr="00C07905" w:rsidRDefault="00B24178" w:rsidP="007D2E85">
            <w:pPr>
              <w:pStyle w:val="TableText0"/>
              <w:rPr>
                <w:szCs w:val="18"/>
              </w:rPr>
            </w:pPr>
            <w:r w:rsidRPr="00C07905">
              <w:rPr>
                <w:szCs w:val="18"/>
              </w:rPr>
              <w:t>HIV detected</w:t>
            </w:r>
          </w:p>
        </w:tc>
        <w:tc>
          <w:tcPr>
            <w:tcW w:w="1575" w:type="dxa"/>
            <w:shd w:val="clear" w:color="auto" w:fill="auto"/>
          </w:tcPr>
          <w:p w:rsidR="00B24178" w:rsidRPr="00C07905" w:rsidRDefault="00B24178" w:rsidP="007D2E85">
            <w:pPr>
              <w:pStyle w:val="TableText0"/>
              <w:jc w:val="center"/>
              <w:rPr>
                <w:szCs w:val="18"/>
              </w:rPr>
            </w:pPr>
            <w:r w:rsidRPr="00C07905">
              <w:rPr>
                <w:szCs w:val="18"/>
              </w:rPr>
              <w:t>1105</w:t>
            </w:r>
          </w:p>
        </w:tc>
        <w:tc>
          <w:tcPr>
            <w:tcW w:w="1501" w:type="dxa"/>
            <w:gridSpan w:val="2"/>
            <w:shd w:val="clear" w:color="auto" w:fill="auto"/>
          </w:tcPr>
          <w:p w:rsidR="00B24178" w:rsidRPr="00C07905" w:rsidRDefault="00B24178" w:rsidP="007D2E85">
            <w:pPr>
              <w:pStyle w:val="TableText0"/>
              <w:jc w:val="center"/>
              <w:rPr>
                <w:szCs w:val="18"/>
              </w:rPr>
            </w:pPr>
            <w:r w:rsidRPr="00C07905">
              <w:rPr>
                <w:szCs w:val="18"/>
              </w:rPr>
              <w:t>1045</w:t>
            </w:r>
          </w:p>
        </w:tc>
        <w:tc>
          <w:tcPr>
            <w:tcW w:w="1501" w:type="dxa"/>
            <w:shd w:val="clear" w:color="auto" w:fill="auto"/>
          </w:tcPr>
          <w:p w:rsidR="00B24178" w:rsidRPr="00C07905" w:rsidRDefault="00B24178" w:rsidP="007D2E85">
            <w:pPr>
              <w:pStyle w:val="TableText0"/>
              <w:jc w:val="center"/>
              <w:rPr>
                <w:szCs w:val="18"/>
              </w:rPr>
            </w:pPr>
            <w:r w:rsidRPr="00C07905">
              <w:rPr>
                <w:szCs w:val="18"/>
              </w:rPr>
              <w:t>60</w:t>
            </w:r>
          </w:p>
        </w:tc>
      </w:tr>
      <w:tr w:rsidR="00B24178" w:rsidRPr="00C07905" w:rsidTr="00C9326B">
        <w:tc>
          <w:tcPr>
            <w:tcW w:w="6872" w:type="dxa"/>
            <w:gridSpan w:val="4"/>
            <w:shd w:val="clear" w:color="auto" w:fill="auto"/>
            <w:vAlign w:val="center"/>
          </w:tcPr>
          <w:p w:rsidR="00B24178" w:rsidRPr="00C07905" w:rsidRDefault="00B24178" w:rsidP="007D2E85">
            <w:pPr>
              <w:pStyle w:val="TableText0"/>
              <w:jc w:val="right"/>
              <w:rPr>
                <w:szCs w:val="18"/>
              </w:rPr>
            </w:pPr>
            <w:r w:rsidRPr="00C07905">
              <w:rPr>
                <w:szCs w:val="18"/>
              </w:rPr>
              <w:t>Incremental cost/ extra HIV detection</w:t>
            </w:r>
          </w:p>
        </w:tc>
        <w:tc>
          <w:tcPr>
            <w:tcW w:w="1501" w:type="dxa"/>
            <w:shd w:val="clear" w:color="auto" w:fill="auto"/>
          </w:tcPr>
          <w:p w:rsidR="00B24178" w:rsidRPr="00B431E1" w:rsidRDefault="00B24178" w:rsidP="007D2E85">
            <w:pPr>
              <w:pStyle w:val="TableText0"/>
              <w:jc w:val="center"/>
              <w:rPr>
                <w:szCs w:val="18"/>
                <w:vertAlign w:val="superscript"/>
              </w:rPr>
            </w:pPr>
            <w:r w:rsidRPr="00C07905">
              <w:rPr>
                <w:szCs w:val="18"/>
              </w:rPr>
              <w:t>$</w:t>
            </w:r>
            <w:r w:rsidR="00C9326B" w:rsidRPr="00C07905">
              <w:rPr>
                <w:szCs w:val="18"/>
              </w:rPr>
              <w:t>32,217</w:t>
            </w:r>
            <w:r w:rsidR="00B93ED0" w:rsidRPr="00C07905">
              <w:rPr>
                <w:szCs w:val="18"/>
                <w:vertAlign w:val="superscript"/>
              </w:rPr>
              <w:t>#</w:t>
            </w:r>
          </w:p>
        </w:tc>
      </w:tr>
      <w:tr w:rsidR="000B4F47" w:rsidRPr="00C07905" w:rsidTr="00B431E1">
        <w:tc>
          <w:tcPr>
            <w:tcW w:w="8373" w:type="dxa"/>
            <w:gridSpan w:val="5"/>
            <w:shd w:val="clear" w:color="auto" w:fill="auto"/>
            <w:vAlign w:val="center"/>
          </w:tcPr>
          <w:p w:rsidR="000B4F47" w:rsidRPr="00C07905" w:rsidRDefault="000B4F47" w:rsidP="007D2E85">
            <w:pPr>
              <w:pStyle w:val="TableText0"/>
              <w:rPr>
                <w:szCs w:val="18"/>
              </w:rPr>
            </w:pPr>
            <w:r w:rsidRPr="00C07905">
              <w:rPr>
                <w:szCs w:val="18"/>
              </w:rPr>
              <w:t>Sensitivity analysis 14: Increase in proportion who test in POCT arm from 55% to 58% + no change to current practice (all POCT are confirmed with serology + all confirmed positives have follow-up)</w:t>
            </w:r>
          </w:p>
        </w:tc>
      </w:tr>
      <w:tr w:rsidR="0039277E" w:rsidRPr="00C07905" w:rsidTr="00B431E1">
        <w:tc>
          <w:tcPr>
            <w:tcW w:w="3796" w:type="dxa"/>
            <w:shd w:val="clear" w:color="auto" w:fill="auto"/>
            <w:vAlign w:val="center"/>
          </w:tcPr>
          <w:p w:rsidR="0039277E" w:rsidRPr="00C07905" w:rsidRDefault="0039277E" w:rsidP="007D2E85">
            <w:pPr>
              <w:pStyle w:val="TableText0"/>
              <w:rPr>
                <w:szCs w:val="18"/>
              </w:rPr>
            </w:pPr>
            <w:r w:rsidRPr="00C07905">
              <w:rPr>
                <w:szCs w:val="18"/>
              </w:rPr>
              <w:t>Cost</w:t>
            </w:r>
          </w:p>
        </w:tc>
        <w:tc>
          <w:tcPr>
            <w:tcW w:w="1575" w:type="dxa"/>
            <w:shd w:val="clear" w:color="auto" w:fill="auto"/>
            <w:vAlign w:val="bottom"/>
          </w:tcPr>
          <w:p w:rsidR="0039277E" w:rsidRPr="00C07905" w:rsidRDefault="0039277E" w:rsidP="007D2E85">
            <w:pPr>
              <w:pStyle w:val="TableText0"/>
              <w:jc w:val="center"/>
              <w:rPr>
                <w:szCs w:val="18"/>
              </w:rPr>
            </w:pPr>
            <w:r w:rsidRPr="00B431E1">
              <w:rPr>
                <w:szCs w:val="18"/>
              </w:rPr>
              <w:t xml:space="preserve"> $11,687,622 </w:t>
            </w:r>
          </w:p>
        </w:tc>
        <w:tc>
          <w:tcPr>
            <w:tcW w:w="1501" w:type="dxa"/>
            <w:gridSpan w:val="2"/>
            <w:shd w:val="clear" w:color="auto" w:fill="auto"/>
            <w:vAlign w:val="bottom"/>
          </w:tcPr>
          <w:p w:rsidR="0039277E" w:rsidRPr="00C07905" w:rsidRDefault="00F00F09" w:rsidP="007D2E85">
            <w:pPr>
              <w:pStyle w:val="TableText0"/>
              <w:jc w:val="center"/>
              <w:rPr>
                <w:szCs w:val="18"/>
              </w:rPr>
            </w:pPr>
            <w:r>
              <w:rPr>
                <w:szCs w:val="18"/>
              </w:rPr>
              <w:t>$</w:t>
            </w:r>
            <w:r w:rsidR="00C9326B" w:rsidRPr="00B431E1">
              <w:rPr>
                <w:szCs w:val="18"/>
              </w:rPr>
              <w:t>7,398,820</w:t>
            </w:r>
          </w:p>
        </w:tc>
        <w:tc>
          <w:tcPr>
            <w:tcW w:w="1501" w:type="dxa"/>
            <w:shd w:val="clear" w:color="auto" w:fill="auto"/>
            <w:vAlign w:val="bottom"/>
          </w:tcPr>
          <w:p w:rsidR="0039277E" w:rsidRPr="00C07905" w:rsidRDefault="00C9326B" w:rsidP="007D2E85">
            <w:pPr>
              <w:pStyle w:val="TableText0"/>
              <w:jc w:val="center"/>
              <w:rPr>
                <w:szCs w:val="18"/>
              </w:rPr>
            </w:pPr>
            <w:r w:rsidRPr="00B431E1">
              <w:rPr>
                <w:szCs w:val="18"/>
              </w:rPr>
              <w:t>$4,288,802</w:t>
            </w:r>
          </w:p>
        </w:tc>
      </w:tr>
      <w:tr w:rsidR="006F3902" w:rsidRPr="00C07905" w:rsidTr="00B431E1">
        <w:tc>
          <w:tcPr>
            <w:tcW w:w="3796" w:type="dxa"/>
            <w:shd w:val="clear" w:color="auto" w:fill="auto"/>
            <w:vAlign w:val="center"/>
          </w:tcPr>
          <w:p w:rsidR="006F3902" w:rsidRPr="00C07905" w:rsidRDefault="006F3902" w:rsidP="007D2E85">
            <w:pPr>
              <w:pStyle w:val="TableText0"/>
              <w:rPr>
                <w:szCs w:val="18"/>
              </w:rPr>
            </w:pPr>
            <w:r w:rsidRPr="00C07905">
              <w:rPr>
                <w:szCs w:val="18"/>
              </w:rPr>
              <w:t>HIV detected</w:t>
            </w:r>
          </w:p>
        </w:tc>
        <w:tc>
          <w:tcPr>
            <w:tcW w:w="1575" w:type="dxa"/>
            <w:shd w:val="clear" w:color="auto" w:fill="auto"/>
          </w:tcPr>
          <w:p w:rsidR="006F3902" w:rsidRPr="00C07905" w:rsidRDefault="006F3902" w:rsidP="007D2E85">
            <w:pPr>
              <w:pStyle w:val="TableText0"/>
              <w:jc w:val="center"/>
              <w:rPr>
                <w:szCs w:val="18"/>
              </w:rPr>
            </w:pPr>
            <w:r w:rsidRPr="00C07905">
              <w:rPr>
                <w:szCs w:val="18"/>
              </w:rPr>
              <w:t>1,136</w:t>
            </w:r>
          </w:p>
        </w:tc>
        <w:tc>
          <w:tcPr>
            <w:tcW w:w="1501" w:type="dxa"/>
            <w:gridSpan w:val="2"/>
            <w:shd w:val="clear" w:color="auto" w:fill="auto"/>
          </w:tcPr>
          <w:p w:rsidR="006F3902" w:rsidRPr="00C07905" w:rsidRDefault="006F3902" w:rsidP="007D2E85">
            <w:pPr>
              <w:pStyle w:val="TableText0"/>
              <w:jc w:val="center"/>
              <w:rPr>
                <w:szCs w:val="18"/>
              </w:rPr>
            </w:pPr>
            <w:r w:rsidRPr="00C07905">
              <w:rPr>
                <w:szCs w:val="18"/>
              </w:rPr>
              <w:t>1,109</w:t>
            </w:r>
          </w:p>
        </w:tc>
        <w:tc>
          <w:tcPr>
            <w:tcW w:w="1501" w:type="dxa"/>
            <w:shd w:val="clear" w:color="auto" w:fill="auto"/>
          </w:tcPr>
          <w:p w:rsidR="006F3902" w:rsidRPr="00C07905" w:rsidRDefault="006F3902" w:rsidP="007D2E85">
            <w:pPr>
              <w:pStyle w:val="TableText0"/>
              <w:jc w:val="center"/>
              <w:rPr>
                <w:szCs w:val="18"/>
              </w:rPr>
            </w:pPr>
            <w:r w:rsidRPr="00C07905">
              <w:rPr>
                <w:szCs w:val="18"/>
              </w:rPr>
              <w:t>27</w:t>
            </w:r>
          </w:p>
        </w:tc>
      </w:tr>
      <w:tr w:rsidR="000B4F47" w:rsidRPr="00C07905" w:rsidTr="00C9326B">
        <w:tc>
          <w:tcPr>
            <w:tcW w:w="6872" w:type="dxa"/>
            <w:gridSpan w:val="4"/>
            <w:shd w:val="clear" w:color="auto" w:fill="auto"/>
            <w:vAlign w:val="center"/>
          </w:tcPr>
          <w:p w:rsidR="000B4F47" w:rsidRPr="00C07905" w:rsidRDefault="000B4F47" w:rsidP="007D2E85">
            <w:pPr>
              <w:pStyle w:val="TableText0"/>
              <w:jc w:val="right"/>
              <w:rPr>
                <w:szCs w:val="18"/>
              </w:rPr>
            </w:pPr>
            <w:r w:rsidRPr="00C07905">
              <w:rPr>
                <w:szCs w:val="18"/>
              </w:rPr>
              <w:t>Incremental cost/ extra HIV detection</w:t>
            </w:r>
          </w:p>
        </w:tc>
        <w:tc>
          <w:tcPr>
            <w:tcW w:w="1501" w:type="dxa"/>
            <w:shd w:val="clear" w:color="auto" w:fill="auto"/>
          </w:tcPr>
          <w:p w:rsidR="000B4F47" w:rsidRPr="00B431E1" w:rsidRDefault="006F3902" w:rsidP="007D2E85">
            <w:pPr>
              <w:pStyle w:val="TableText0"/>
              <w:jc w:val="center"/>
              <w:rPr>
                <w:szCs w:val="18"/>
                <w:vertAlign w:val="superscript"/>
              </w:rPr>
            </w:pPr>
            <w:r w:rsidRPr="00C07905">
              <w:rPr>
                <w:szCs w:val="18"/>
              </w:rPr>
              <w:t>$</w:t>
            </w:r>
            <w:r w:rsidR="00C9326B" w:rsidRPr="00C07905">
              <w:rPr>
                <w:szCs w:val="18"/>
              </w:rPr>
              <w:t>158,845</w:t>
            </w:r>
            <w:r w:rsidRPr="00C07905">
              <w:rPr>
                <w:szCs w:val="18"/>
                <w:vertAlign w:val="superscript"/>
              </w:rPr>
              <w:t>#</w:t>
            </w:r>
          </w:p>
        </w:tc>
      </w:tr>
      <w:tr w:rsidR="000B4F47" w:rsidRPr="00C07905" w:rsidTr="00B431E1">
        <w:tc>
          <w:tcPr>
            <w:tcW w:w="8373" w:type="dxa"/>
            <w:gridSpan w:val="5"/>
            <w:shd w:val="clear" w:color="auto" w:fill="auto"/>
            <w:vAlign w:val="center"/>
          </w:tcPr>
          <w:p w:rsidR="000B4F47" w:rsidRPr="00C07905" w:rsidRDefault="000B4F47" w:rsidP="007D2E85">
            <w:pPr>
              <w:pStyle w:val="TableText0"/>
              <w:rPr>
                <w:szCs w:val="18"/>
              </w:rPr>
            </w:pPr>
            <w:r w:rsidRPr="00C07905">
              <w:rPr>
                <w:szCs w:val="18"/>
              </w:rPr>
              <w:t>Sensitivity analysis 15: Higher rate of first test in POCT, based on Read (2013) post-hoc analysis + no change to current practice (all POCT are confirmed with serology + all confirmed positives have follow-up)</w:t>
            </w:r>
          </w:p>
        </w:tc>
      </w:tr>
      <w:tr w:rsidR="003435F8" w:rsidRPr="00C07905" w:rsidTr="00B431E1">
        <w:tc>
          <w:tcPr>
            <w:tcW w:w="3796" w:type="dxa"/>
            <w:shd w:val="clear" w:color="auto" w:fill="auto"/>
            <w:vAlign w:val="center"/>
          </w:tcPr>
          <w:p w:rsidR="003435F8" w:rsidRPr="00C07905" w:rsidRDefault="003435F8" w:rsidP="007D2E85">
            <w:pPr>
              <w:pStyle w:val="TableText0"/>
              <w:rPr>
                <w:szCs w:val="18"/>
              </w:rPr>
            </w:pPr>
            <w:r w:rsidRPr="00C07905">
              <w:rPr>
                <w:szCs w:val="18"/>
              </w:rPr>
              <w:t>Cost</w:t>
            </w:r>
          </w:p>
        </w:tc>
        <w:tc>
          <w:tcPr>
            <w:tcW w:w="1575" w:type="dxa"/>
            <w:shd w:val="clear" w:color="auto" w:fill="auto"/>
            <w:vAlign w:val="bottom"/>
          </w:tcPr>
          <w:p w:rsidR="003435F8" w:rsidRPr="00C07905" w:rsidRDefault="003435F8" w:rsidP="007D2E85">
            <w:pPr>
              <w:pStyle w:val="TableText0"/>
              <w:jc w:val="center"/>
              <w:rPr>
                <w:szCs w:val="18"/>
              </w:rPr>
            </w:pPr>
            <w:r w:rsidRPr="00B431E1">
              <w:rPr>
                <w:szCs w:val="18"/>
              </w:rPr>
              <w:t xml:space="preserve"> $10,949,445 </w:t>
            </w:r>
          </w:p>
        </w:tc>
        <w:tc>
          <w:tcPr>
            <w:tcW w:w="1501" w:type="dxa"/>
            <w:gridSpan w:val="2"/>
            <w:shd w:val="clear" w:color="auto" w:fill="auto"/>
            <w:vAlign w:val="bottom"/>
          </w:tcPr>
          <w:p w:rsidR="003435F8" w:rsidRPr="00C07905" w:rsidRDefault="003435F8" w:rsidP="007D2E85">
            <w:pPr>
              <w:pStyle w:val="TableText0"/>
              <w:jc w:val="center"/>
              <w:rPr>
                <w:szCs w:val="18"/>
              </w:rPr>
            </w:pPr>
            <w:r w:rsidRPr="00B431E1">
              <w:rPr>
                <w:szCs w:val="18"/>
              </w:rPr>
              <w:t xml:space="preserve"> $6,180,282 </w:t>
            </w:r>
          </w:p>
        </w:tc>
        <w:tc>
          <w:tcPr>
            <w:tcW w:w="1501" w:type="dxa"/>
            <w:shd w:val="clear" w:color="auto" w:fill="auto"/>
            <w:vAlign w:val="bottom"/>
          </w:tcPr>
          <w:p w:rsidR="003435F8" w:rsidRPr="00C07905" w:rsidRDefault="003435F8" w:rsidP="007D2E85">
            <w:pPr>
              <w:pStyle w:val="TableText0"/>
              <w:jc w:val="center"/>
              <w:rPr>
                <w:szCs w:val="18"/>
              </w:rPr>
            </w:pPr>
            <w:r w:rsidRPr="00B431E1">
              <w:rPr>
                <w:szCs w:val="18"/>
              </w:rPr>
              <w:t xml:space="preserve"> $4,769,163 </w:t>
            </w:r>
          </w:p>
        </w:tc>
      </w:tr>
      <w:tr w:rsidR="00D351B7" w:rsidRPr="00C07905" w:rsidTr="00B431E1">
        <w:tc>
          <w:tcPr>
            <w:tcW w:w="3796" w:type="dxa"/>
            <w:shd w:val="clear" w:color="auto" w:fill="auto"/>
            <w:vAlign w:val="center"/>
          </w:tcPr>
          <w:p w:rsidR="00D351B7" w:rsidRPr="00C07905" w:rsidRDefault="00D351B7" w:rsidP="007D2E85">
            <w:pPr>
              <w:pStyle w:val="TableText0"/>
              <w:rPr>
                <w:szCs w:val="18"/>
              </w:rPr>
            </w:pPr>
            <w:r w:rsidRPr="00C07905">
              <w:rPr>
                <w:szCs w:val="18"/>
              </w:rPr>
              <w:t>HIV detected</w:t>
            </w:r>
          </w:p>
        </w:tc>
        <w:tc>
          <w:tcPr>
            <w:tcW w:w="1575" w:type="dxa"/>
            <w:shd w:val="clear" w:color="auto" w:fill="auto"/>
          </w:tcPr>
          <w:p w:rsidR="00D351B7" w:rsidRPr="00C07905" w:rsidRDefault="00D351B7" w:rsidP="007D2E85">
            <w:pPr>
              <w:pStyle w:val="TableText0"/>
              <w:jc w:val="center"/>
              <w:rPr>
                <w:szCs w:val="18"/>
              </w:rPr>
            </w:pPr>
            <w:r w:rsidRPr="00C07905">
              <w:rPr>
                <w:szCs w:val="18"/>
              </w:rPr>
              <w:t>1105</w:t>
            </w:r>
          </w:p>
        </w:tc>
        <w:tc>
          <w:tcPr>
            <w:tcW w:w="1501" w:type="dxa"/>
            <w:gridSpan w:val="2"/>
            <w:shd w:val="clear" w:color="auto" w:fill="auto"/>
          </w:tcPr>
          <w:p w:rsidR="00D351B7" w:rsidRPr="00C07905" w:rsidRDefault="00D351B7" w:rsidP="007D2E85">
            <w:pPr>
              <w:pStyle w:val="TableText0"/>
              <w:jc w:val="center"/>
              <w:rPr>
                <w:szCs w:val="18"/>
              </w:rPr>
            </w:pPr>
            <w:r w:rsidRPr="00C07905">
              <w:rPr>
                <w:szCs w:val="18"/>
              </w:rPr>
              <w:t>1045</w:t>
            </w:r>
          </w:p>
        </w:tc>
        <w:tc>
          <w:tcPr>
            <w:tcW w:w="1501" w:type="dxa"/>
            <w:shd w:val="clear" w:color="auto" w:fill="auto"/>
          </w:tcPr>
          <w:p w:rsidR="00D351B7" w:rsidRPr="00C07905" w:rsidRDefault="00D351B7" w:rsidP="007D2E85">
            <w:pPr>
              <w:pStyle w:val="TableText0"/>
              <w:jc w:val="center"/>
              <w:rPr>
                <w:szCs w:val="18"/>
              </w:rPr>
            </w:pPr>
            <w:r w:rsidRPr="00C07905">
              <w:rPr>
                <w:szCs w:val="18"/>
              </w:rPr>
              <w:t>60</w:t>
            </w:r>
          </w:p>
        </w:tc>
      </w:tr>
      <w:tr w:rsidR="000B4F47" w:rsidRPr="00BC228C" w:rsidTr="00C9326B">
        <w:tc>
          <w:tcPr>
            <w:tcW w:w="6872" w:type="dxa"/>
            <w:gridSpan w:val="4"/>
            <w:shd w:val="clear" w:color="auto" w:fill="auto"/>
            <w:vAlign w:val="center"/>
          </w:tcPr>
          <w:p w:rsidR="000B4F47" w:rsidRPr="00C07905" w:rsidRDefault="000B4F47" w:rsidP="007D2E85">
            <w:pPr>
              <w:pStyle w:val="TableText0"/>
              <w:jc w:val="right"/>
              <w:rPr>
                <w:szCs w:val="18"/>
              </w:rPr>
            </w:pPr>
            <w:r w:rsidRPr="00C07905">
              <w:rPr>
                <w:szCs w:val="18"/>
              </w:rPr>
              <w:t>Incremental cost/ extra HIV detection</w:t>
            </w:r>
          </w:p>
        </w:tc>
        <w:tc>
          <w:tcPr>
            <w:tcW w:w="1501" w:type="dxa"/>
            <w:shd w:val="clear" w:color="auto" w:fill="auto"/>
          </w:tcPr>
          <w:p w:rsidR="000B4F47" w:rsidRPr="00B431E1" w:rsidRDefault="00C07905" w:rsidP="007D2E85">
            <w:pPr>
              <w:pStyle w:val="TableText0"/>
              <w:jc w:val="center"/>
              <w:rPr>
                <w:szCs w:val="18"/>
                <w:vertAlign w:val="superscript"/>
              </w:rPr>
            </w:pPr>
            <w:r w:rsidRPr="00C07905">
              <w:rPr>
                <w:szCs w:val="18"/>
              </w:rPr>
              <w:t>$</w:t>
            </w:r>
            <w:r w:rsidR="00C9326B" w:rsidRPr="00B431E1">
              <w:rPr>
                <w:szCs w:val="18"/>
              </w:rPr>
              <w:t>79,486</w:t>
            </w:r>
            <w:r w:rsidR="00D351B7" w:rsidRPr="00C07905">
              <w:rPr>
                <w:szCs w:val="18"/>
                <w:vertAlign w:val="superscript"/>
              </w:rPr>
              <w:t>#</w:t>
            </w:r>
          </w:p>
        </w:tc>
      </w:tr>
    </w:tbl>
    <w:p w:rsidR="00785571" w:rsidRDefault="00B93ED0" w:rsidP="00B431E1">
      <w:pPr>
        <w:pStyle w:val="TableNotes"/>
        <w:ind w:left="1134" w:hanging="425"/>
      </w:pPr>
      <w:r w:rsidRPr="00B431E1">
        <w:rPr>
          <w:vertAlign w:val="superscript"/>
        </w:rPr>
        <w:t>#</w:t>
      </w:r>
      <w:r w:rsidRPr="00B431E1">
        <w:tab/>
      </w:r>
      <w:r>
        <w:t xml:space="preserve">ICER </w:t>
      </w:r>
      <w:r w:rsidRPr="00B431E1">
        <w:t xml:space="preserve">interpretation requires consideration as the model assumes testing behaviour is unrelated to risk taking behaviour or probability of </w:t>
      </w:r>
      <w:r w:rsidR="00A34A89">
        <w:t xml:space="preserve">being </w:t>
      </w:r>
      <w:r w:rsidRPr="00B431E1">
        <w:t>HIV positive</w:t>
      </w:r>
      <w:r w:rsidR="00A34A89">
        <w:t>; therefore a change in testing behaviour is assumed to impact all individuals equally.</w:t>
      </w:r>
    </w:p>
    <w:p w:rsidR="00920A7B" w:rsidRDefault="00920A7B" w:rsidP="00920A7B">
      <w:r>
        <w:t>The results of the sensitivity analyses demonstrate that the ICER is most sensitive to</w:t>
      </w:r>
      <w:r w:rsidR="00BA681F">
        <w:t xml:space="preserve"> the assumption that the availability of the DHC test would encourage a greater proportion of MSM to be tested and assumed increases in testing frequency with the DHC test compared with serology testing.</w:t>
      </w:r>
    </w:p>
    <w:p w:rsidR="00C02E57" w:rsidRPr="004C6B15" w:rsidRDefault="007A4DD5" w:rsidP="00D45AA1">
      <w:pPr>
        <w:pStyle w:val="Heading2"/>
      </w:pPr>
      <w:bookmarkStart w:id="174" w:name="_Toc418224877"/>
      <w:r>
        <w:t>Costing</w:t>
      </w:r>
      <w:bookmarkEnd w:id="174"/>
    </w:p>
    <w:p w:rsidR="00644A81" w:rsidRDefault="00644A81" w:rsidP="00644A81">
      <w:pPr>
        <w:pStyle w:val="Heading3"/>
      </w:pPr>
      <w:r w:rsidRPr="000A3AAF">
        <w:t>Costs to the Australian healthcare system overall</w:t>
      </w:r>
    </w:p>
    <w:p w:rsidR="00CD7CFF" w:rsidRDefault="009C5F9E" w:rsidP="004946A0">
      <w:r>
        <w:t xml:space="preserve">Table 24 presents the direct costs associated with a standard HIV pathology test and a point-of-care rapid test.  </w:t>
      </w:r>
      <w:r w:rsidR="00CD7CFF">
        <w:t>As discussed above, GP consultation</w:t>
      </w:r>
      <w:r>
        <w:t xml:space="preserve"> costs </w:t>
      </w:r>
      <w:r w:rsidR="00CD7CFF">
        <w:t xml:space="preserve">(initial </w:t>
      </w:r>
      <w:r>
        <w:t>and subsequent</w:t>
      </w:r>
      <w:r w:rsidR="00CD7CFF">
        <w:t>)</w:t>
      </w:r>
      <w:r>
        <w:t xml:space="preserve"> consultations ha</w:t>
      </w:r>
      <w:r w:rsidR="00CD7CFF">
        <w:t>ve</w:t>
      </w:r>
      <w:r>
        <w:t xml:space="preserve"> been excluded as they are unlikely to differ</w:t>
      </w:r>
      <w:r w:rsidR="00CD7CFF">
        <w:t xml:space="preserve"> across testing strategies.  Should DHC be used as a substitute for serology testing, the incremental cost per test is approximately $5.54</w:t>
      </w:r>
      <w:r w:rsidR="00F00F09">
        <w:t xml:space="preserve"> (85% </w:t>
      </w:r>
      <w:proofErr w:type="gramStart"/>
      <w:r w:rsidR="00F00F09">
        <w:t>benefit</w:t>
      </w:r>
      <w:proofErr w:type="gramEnd"/>
      <w:r w:rsidR="00F00F09">
        <w:t>)</w:t>
      </w:r>
      <w:r w:rsidR="00CD7CFF">
        <w:t>.  Should DHC be used in addition to serology, the incremental cost per test is approximately $26.13</w:t>
      </w:r>
      <w:r w:rsidR="00F00F09">
        <w:t xml:space="preserve"> (85% </w:t>
      </w:r>
      <w:proofErr w:type="gramStart"/>
      <w:r w:rsidR="00F00F09">
        <w:t>benefit</w:t>
      </w:r>
      <w:proofErr w:type="gramEnd"/>
      <w:r w:rsidR="00F00F09">
        <w:t>)</w:t>
      </w:r>
      <w:r w:rsidR="00D5451C">
        <w:t>.</w:t>
      </w:r>
    </w:p>
    <w:p w:rsidR="004946A0" w:rsidRDefault="004946A0">
      <w:pPr>
        <w:spacing w:after="0"/>
        <w:ind w:left="0"/>
        <w:rPr>
          <w:rFonts w:ascii="Arial Narrow" w:hAnsi="Arial Narrow"/>
          <w:b/>
          <w:bCs/>
          <w:sz w:val="20"/>
        </w:rPr>
      </w:pPr>
      <w:r>
        <w:br w:type="page"/>
      </w:r>
    </w:p>
    <w:p w:rsidR="00245933" w:rsidRDefault="00DC1869" w:rsidP="00F00F09">
      <w:pPr>
        <w:pStyle w:val="Caption"/>
      </w:pPr>
      <w:bookmarkStart w:id="175" w:name="_Toc418225022"/>
      <w:bookmarkStart w:id="176" w:name="_Toc418225668"/>
      <w:r>
        <w:lastRenderedPageBreak/>
        <w:t>Table 24</w:t>
      </w:r>
      <w:r w:rsidR="00F00F09">
        <w:tab/>
        <w:t>D</w:t>
      </w:r>
      <w:r w:rsidR="00F00F09" w:rsidRPr="00F00F09">
        <w:t>irect costs associated with a standard HIV pathology test</w:t>
      </w:r>
      <w:r w:rsidR="00F00F09">
        <w:t xml:space="preserve"> and a point-of-care rapid test</w:t>
      </w:r>
      <w:bookmarkEnd w:id="175"/>
      <w:bookmarkEnd w:id="176"/>
    </w:p>
    <w:tbl>
      <w:tblPr>
        <w:tblStyle w:val="TableGrid"/>
        <w:tblW w:w="0" w:type="auto"/>
        <w:tblInd w:w="720" w:type="dxa"/>
        <w:tblCellMar>
          <w:left w:w="28" w:type="dxa"/>
          <w:right w:w="28" w:type="dxa"/>
        </w:tblCellMar>
        <w:tblLook w:val="04A0" w:firstRow="1" w:lastRow="0" w:firstColumn="1" w:lastColumn="0" w:noHBand="0" w:noVBand="1"/>
        <w:tblDescription w:val="Direct costs associated with a standard HIV pathology test and a point-of-care rapid test. Summary of the costs to the MBS should the DHC test be listed"/>
      </w:tblPr>
      <w:tblGrid>
        <w:gridCol w:w="2994"/>
        <w:gridCol w:w="1342"/>
        <w:gridCol w:w="1342"/>
        <w:gridCol w:w="1342"/>
        <w:gridCol w:w="1342"/>
      </w:tblGrid>
      <w:tr w:rsidR="0052776C" w:rsidRPr="001E4990" w:rsidTr="007D2E85">
        <w:trPr>
          <w:tblHeader/>
        </w:trPr>
        <w:tc>
          <w:tcPr>
            <w:tcW w:w="2994" w:type="dxa"/>
            <w:tcBorders>
              <w:bottom w:val="single" w:sz="4" w:space="0" w:color="auto"/>
            </w:tcBorders>
            <w:vAlign w:val="center"/>
          </w:tcPr>
          <w:p w:rsidR="001E4990" w:rsidRPr="00F00F09" w:rsidRDefault="001E4990" w:rsidP="00F00F09">
            <w:pPr>
              <w:spacing w:before="40" w:after="40"/>
              <w:ind w:left="0"/>
              <w:rPr>
                <w:rFonts w:ascii="Arial Narrow" w:hAnsi="Arial Narrow"/>
                <w:b/>
                <w:bCs/>
                <w:sz w:val="18"/>
                <w:szCs w:val="18"/>
              </w:rPr>
            </w:pPr>
            <w:r w:rsidRPr="00F00F09">
              <w:rPr>
                <w:rFonts w:ascii="Arial Narrow" w:hAnsi="Arial Narrow"/>
                <w:b/>
                <w:bCs/>
                <w:sz w:val="18"/>
                <w:szCs w:val="18"/>
              </w:rPr>
              <w:t>MBS item description</w:t>
            </w:r>
          </w:p>
        </w:tc>
        <w:tc>
          <w:tcPr>
            <w:tcW w:w="1342" w:type="dxa"/>
            <w:tcBorders>
              <w:bottom w:val="single" w:sz="4" w:space="0" w:color="auto"/>
            </w:tcBorders>
            <w:vAlign w:val="center"/>
          </w:tcPr>
          <w:p w:rsidR="001E4990" w:rsidRPr="00F00F09" w:rsidRDefault="001E4990" w:rsidP="00F00F09">
            <w:pPr>
              <w:spacing w:before="40" w:after="40"/>
              <w:ind w:left="0"/>
              <w:jc w:val="center"/>
              <w:rPr>
                <w:rFonts w:ascii="Arial Narrow" w:hAnsi="Arial Narrow"/>
                <w:b/>
                <w:bCs/>
                <w:sz w:val="18"/>
                <w:szCs w:val="18"/>
              </w:rPr>
            </w:pPr>
            <w:r w:rsidRPr="00F00F09">
              <w:rPr>
                <w:rFonts w:ascii="Arial Narrow" w:hAnsi="Arial Narrow"/>
                <w:b/>
                <w:bCs/>
                <w:sz w:val="18"/>
                <w:szCs w:val="18"/>
              </w:rPr>
              <w:t>MBS item number</w:t>
            </w:r>
          </w:p>
        </w:tc>
        <w:tc>
          <w:tcPr>
            <w:tcW w:w="1342" w:type="dxa"/>
            <w:tcBorders>
              <w:bottom w:val="single" w:sz="4" w:space="0" w:color="auto"/>
            </w:tcBorders>
            <w:vAlign w:val="center"/>
          </w:tcPr>
          <w:p w:rsidR="001E4990" w:rsidRPr="00F00F09" w:rsidRDefault="001E4990" w:rsidP="00F00F09">
            <w:pPr>
              <w:spacing w:before="40" w:after="40"/>
              <w:ind w:left="0"/>
              <w:jc w:val="center"/>
              <w:rPr>
                <w:rFonts w:ascii="Arial Narrow" w:hAnsi="Arial Narrow"/>
                <w:b/>
                <w:bCs/>
                <w:sz w:val="18"/>
                <w:szCs w:val="18"/>
              </w:rPr>
            </w:pPr>
            <w:r w:rsidRPr="00F00F09">
              <w:rPr>
                <w:rFonts w:ascii="Arial Narrow" w:hAnsi="Arial Narrow"/>
                <w:b/>
                <w:bCs/>
                <w:sz w:val="18"/>
                <w:szCs w:val="18"/>
              </w:rPr>
              <w:t>Weight</w:t>
            </w:r>
          </w:p>
        </w:tc>
        <w:tc>
          <w:tcPr>
            <w:tcW w:w="1342" w:type="dxa"/>
            <w:tcBorders>
              <w:bottom w:val="single" w:sz="4" w:space="0" w:color="auto"/>
            </w:tcBorders>
            <w:vAlign w:val="center"/>
          </w:tcPr>
          <w:p w:rsidR="001E4990" w:rsidRPr="00F00F09" w:rsidRDefault="001E4990" w:rsidP="00F00F09">
            <w:pPr>
              <w:spacing w:before="40" w:after="40"/>
              <w:ind w:left="0"/>
              <w:jc w:val="center"/>
              <w:rPr>
                <w:rFonts w:ascii="Arial Narrow" w:hAnsi="Arial Narrow"/>
                <w:b/>
                <w:bCs/>
                <w:sz w:val="18"/>
                <w:szCs w:val="18"/>
              </w:rPr>
            </w:pPr>
            <w:r w:rsidRPr="00F00F09">
              <w:rPr>
                <w:rFonts w:ascii="Arial Narrow" w:hAnsi="Arial Narrow"/>
                <w:b/>
                <w:bCs/>
                <w:sz w:val="18"/>
                <w:szCs w:val="18"/>
              </w:rPr>
              <w:t>MBS fee (85%)</w:t>
            </w:r>
          </w:p>
        </w:tc>
        <w:tc>
          <w:tcPr>
            <w:tcW w:w="1342" w:type="dxa"/>
            <w:vAlign w:val="center"/>
          </w:tcPr>
          <w:p w:rsidR="001E4990" w:rsidRPr="00F00F09" w:rsidRDefault="001E4990" w:rsidP="00F00F09">
            <w:pPr>
              <w:spacing w:before="40" w:after="40"/>
              <w:ind w:left="0"/>
              <w:jc w:val="center"/>
              <w:rPr>
                <w:rFonts w:ascii="Arial Narrow" w:hAnsi="Arial Narrow"/>
                <w:b/>
                <w:bCs/>
                <w:sz w:val="18"/>
                <w:szCs w:val="18"/>
              </w:rPr>
            </w:pPr>
            <w:r w:rsidRPr="00F00F09">
              <w:rPr>
                <w:rFonts w:ascii="Arial Narrow" w:hAnsi="Arial Narrow"/>
                <w:b/>
                <w:bCs/>
                <w:sz w:val="18"/>
                <w:szCs w:val="18"/>
              </w:rPr>
              <w:t>Total cost</w:t>
            </w:r>
          </w:p>
        </w:tc>
      </w:tr>
      <w:tr w:rsidR="0052776C" w:rsidRPr="001E4990" w:rsidTr="0052776C">
        <w:tc>
          <w:tcPr>
            <w:tcW w:w="2994" w:type="dxa"/>
            <w:tcBorders>
              <w:right w:val="nil"/>
            </w:tcBorders>
          </w:tcPr>
          <w:p w:rsidR="0052776C" w:rsidRPr="00F00F09" w:rsidRDefault="0052776C" w:rsidP="001E4990">
            <w:pPr>
              <w:spacing w:before="40" w:after="40"/>
              <w:ind w:left="0"/>
              <w:rPr>
                <w:rFonts w:ascii="Arial Narrow" w:hAnsi="Arial Narrow"/>
                <w:b/>
                <w:bCs/>
                <w:sz w:val="18"/>
                <w:szCs w:val="18"/>
                <w:u w:val="single"/>
              </w:rPr>
            </w:pPr>
            <w:r w:rsidRPr="00F00F09">
              <w:rPr>
                <w:rFonts w:ascii="Arial Narrow" w:hAnsi="Arial Narrow"/>
                <w:b/>
                <w:bCs/>
                <w:sz w:val="18"/>
                <w:szCs w:val="18"/>
                <w:u w:val="single"/>
              </w:rPr>
              <w:t>Serology</w:t>
            </w:r>
          </w:p>
        </w:tc>
        <w:tc>
          <w:tcPr>
            <w:tcW w:w="1342" w:type="dxa"/>
            <w:tcBorders>
              <w:left w:val="nil"/>
              <w:right w:val="nil"/>
            </w:tcBorders>
          </w:tcPr>
          <w:p w:rsidR="0052776C" w:rsidRPr="001E4990" w:rsidRDefault="0052776C" w:rsidP="001E4990">
            <w:pPr>
              <w:spacing w:before="40" w:after="40"/>
              <w:ind w:left="0"/>
              <w:rPr>
                <w:rFonts w:ascii="Arial Narrow" w:hAnsi="Arial Narrow"/>
                <w:sz w:val="18"/>
                <w:szCs w:val="18"/>
              </w:rPr>
            </w:pPr>
          </w:p>
        </w:tc>
        <w:tc>
          <w:tcPr>
            <w:tcW w:w="1342" w:type="dxa"/>
            <w:tcBorders>
              <w:left w:val="nil"/>
              <w:right w:val="nil"/>
            </w:tcBorders>
          </w:tcPr>
          <w:p w:rsidR="0052776C" w:rsidRPr="001E4990" w:rsidRDefault="0052776C" w:rsidP="001E4990">
            <w:pPr>
              <w:spacing w:before="40" w:after="40"/>
              <w:ind w:left="0"/>
              <w:rPr>
                <w:rFonts w:ascii="Arial Narrow" w:hAnsi="Arial Narrow"/>
                <w:sz w:val="18"/>
                <w:szCs w:val="18"/>
              </w:rPr>
            </w:pPr>
          </w:p>
        </w:tc>
        <w:tc>
          <w:tcPr>
            <w:tcW w:w="1342" w:type="dxa"/>
            <w:tcBorders>
              <w:left w:val="nil"/>
              <w:right w:val="nil"/>
            </w:tcBorders>
          </w:tcPr>
          <w:p w:rsidR="0052776C" w:rsidRPr="001E4990" w:rsidRDefault="0052776C" w:rsidP="001E4990">
            <w:pPr>
              <w:spacing w:before="40" w:after="40"/>
              <w:ind w:left="0"/>
              <w:rPr>
                <w:rFonts w:ascii="Arial Narrow" w:hAnsi="Arial Narrow"/>
                <w:sz w:val="18"/>
                <w:szCs w:val="18"/>
              </w:rPr>
            </w:pPr>
          </w:p>
        </w:tc>
        <w:tc>
          <w:tcPr>
            <w:tcW w:w="1342" w:type="dxa"/>
            <w:tcBorders>
              <w:left w:val="nil"/>
            </w:tcBorders>
          </w:tcPr>
          <w:p w:rsidR="0052776C" w:rsidRPr="001E4990" w:rsidRDefault="0052776C" w:rsidP="001E4990">
            <w:pPr>
              <w:spacing w:before="40" w:after="40"/>
              <w:ind w:left="0"/>
              <w:rPr>
                <w:rFonts w:ascii="Arial Narrow" w:hAnsi="Arial Narrow"/>
                <w:sz w:val="18"/>
                <w:szCs w:val="18"/>
              </w:rPr>
            </w:pPr>
          </w:p>
        </w:tc>
      </w:tr>
      <w:tr w:rsidR="001E4990" w:rsidRPr="001E4990" w:rsidTr="00F00F09">
        <w:tc>
          <w:tcPr>
            <w:tcW w:w="2994" w:type="dxa"/>
            <w:tcBorders>
              <w:bottom w:val="single" w:sz="4" w:space="0" w:color="auto"/>
            </w:tcBorders>
          </w:tcPr>
          <w:p w:rsidR="001E4990" w:rsidRPr="00F00F09" w:rsidRDefault="0052776C" w:rsidP="00F00F09">
            <w:pPr>
              <w:spacing w:before="40" w:after="40"/>
              <w:ind w:left="0"/>
              <w:rPr>
                <w:rFonts w:ascii="Arial Narrow" w:hAnsi="Arial Narrow"/>
                <w:sz w:val="18"/>
                <w:szCs w:val="18"/>
              </w:rPr>
            </w:pPr>
            <w:r>
              <w:rPr>
                <w:rFonts w:ascii="Arial Narrow" w:hAnsi="Arial Narrow"/>
                <w:sz w:val="18"/>
                <w:szCs w:val="18"/>
              </w:rPr>
              <w:t>Pathology HIV test</w:t>
            </w:r>
          </w:p>
        </w:tc>
        <w:tc>
          <w:tcPr>
            <w:tcW w:w="1342" w:type="dxa"/>
            <w:tcBorders>
              <w:bottom w:val="single" w:sz="4" w:space="0" w:color="auto"/>
            </w:tcBorders>
            <w:vAlign w:val="center"/>
          </w:tcPr>
          <w:p w:rsidR="001E4990" w:rsidRPr="00F00F09" w:rsidRDefault="0052776C" w:rsidP="00F00F09">
            <w:pPr>
              <w:spacing w:before="40" w:after="40"/>
              <w:ind w:left="0"/>
              <w:jc w:val="center"/>
              <w:rPr>
                <w:rFonts w:ascii="Arial Narrow" w:hAnsi="Arial Narrow"/>
                <w:sz w:val="18"/>
                <w:szCs w:val="18"/>
              </w:rPr>
            </w:pPr>
            <w:r>
              <w:rPr>
                <w:rFonts w:ascii="Arial Narrow" w:hAnsi="Arial Narrow"/>
                <w:sz w:val="18"/>
                <w:szCs w:val="18"/>
              </w:rPr>
              <w:t>69384</w:t>
            </w:r>
          </w:p>
        </w:tc>
        <w:tc>
          <w:tcPr>
            <w:tcW w:w="1342" w:type="dxa"/>
            <w:tcBorders>
              <w:bottom w:val="single" w:sz="4" w:space="0" w:color="auto"/>
            </w:tcBorders>
            <w:vAlign w:val="center"/>
          </w:tcPr>
          <w:p w:rsidR="001E4990" w:rsidRPr="00F00F09" w:rsidRDefault="0052776C" w:rsidP="00F00F09">
            <w:pPr>
              <w:spacing w:before="40" w:after="40"/>
              <w:ind w:left="0"/>
              <w:jc w:val="center"/>
              <w:rPr>
                <w:rFonts w:ascii="Arial Narrow" w:hAnsi="Arial Narrow"/>
                <w:sz w:val="18"/>
                <w:szCs w:val="18"/>
              </w:rPr>
            </w:pPr>
            <w:r>
              <w:rPr>
                <w:rFonts w:ascii="Arial Narrow" w:hAnsi="Arial Narrow"/>
                <w:sz w:val="18"/>
                <w:szCs w:val="18"/>
              </w:rPr>
              <w:t>1</w:t>
            </w:r>
          </w:p>
        </w:tc>
        <w:tc>
          <w:tcPr>
            <w:tcW w:w="1342" w:type="dxa"/>
            <w:tcBorders>
              <w:bottom w:val="single" w:sz="4" w:space="0" w:color="auto"/>
            </w:tcBorders>
            <w:vAlign w:val="center"/>
          </w:tcPr>
          <w:p w:rsidR="001E4990" w:rsidRPr="00F00F09" w:rsidRDefault="0052776C" w:rsidP="00F00F09">
            <w:pPr>
              <w:spacing w:before="40" w:after="40"/>
              <w:ind w:left="0"/>
              <w:jc w:val="center"/>
              <w:rPr>
                <w:rFonts w:ascii="Arial Narrow" w:hAnsi="Arial Narrow"/>
                <w:sz w:val="18"/>
                <w:szCs w:val="18"/>
              </w:rPr>
            </w:pPr>
            <w:r>
              <w:rPr>
                <w:rFonts w:ascii="Arial Narrow" w:hAnsi="Arial Narrow"/>
                <w:sz w:val="18"/>
                <w:szCs w:val="18"/>
              </w:rPr>
              <w:t>$13.35</w:t>
            </w:r>
          </w:p>
        </w:tc>
        <w:tc>
          <w:tcPr>
            <w:tcW w:w="1342" w:type="dxa"/>
            <w:tcBorders>
              <w:bottom w:val="single" w:sz="4" w:space="0" w:color="auto"/>
            </w:tcBorders>
            <w:vAlign w:val="center"/>
          </w:tcPr>
          <w:p w:rsidR="001E4990" w:rsidRPr="00F00F09" w:rsidRDefault="0052776C" w:rsidP="00F00F09">
            <w:pPr>
              <w:spacing w:before="40" w:after="40"/>
              <w:ind w:left="0"/>
              <w:jc w:val="center"/>
              <w:rPr>
                <w:rFonts w:ascii="Arial Narrow" w:hAnsi="Arial Narrow"/>
                <w:sz w:val="18"/>
                <w:szCs w:val="18"/>
              </w:rPr>
            </w:pPr>
            <w:r>
              <w:rPr>
                <w:rFonts w:ascii="Arial Narrow" w:hAnsi="Arial Narrow"/>
                <w:sz w:val="18"/>
                <w:szCs w:val="18"/>
              </w:rPr>
              <w:t>$13.35</w:t>
            </w:r>
          </w:p>
        </w:tc>
      </w:tr>
      <w:tr w:rsidR="001E4990" w:rsidRPr="001E4990" w:rsidTr="00F00F09">
        <w:tc>
          <w:tcPr>
            <w:tcW w:w="2994" w:type="dxa"/>
            <w:tcBorders>
              <w:bottom w:val="nil"/>
            </w:tcBorders>
          </w:tcPr>
          <w:p w:rsidR="001E4990" w:rsidRPr="001E4990" w:rsidRDefault="0052776C" w:rsidP="001E4990">
            <w:pPr>
              <w:spacing w:before="40" w:after="40"/>
              <w:ind w:left="0"/>
              <w:rPr>
                <w:rFonts w:ascii="Arial Narrow" w:hAnsi="Arial Narrow"/>
                <w:sz w:val="18"/>
                <w:szCs w:val="18"/>
              </w:rPr>
            </w:pPr>
            <w:r>
              <w:rPr>
                <w:rFonts w:ascii="Arial Narrow" w:hAnsi="Arial Narrow"/>
                <w:sz w:val="18"/>
                <w:szCs w:val="18"/>
              </w:rPr>
              <w:t>Patient episode initiate fee</w:t>
            </w:r>
          </w:p>
        </w:tc>
        <w:tc>
          <w:tcPr>
            <w:tcW w:w="1342" w:type="dxa"/>
            <w:tcBorders>
              <w:bottom w:val="nil"/>
            </w:tcBorders>
            <w:vAlign w:val="center"/>
          </w:tcPr>
          <w:p w:rsidR="001E4990" w:rsidRPr="001E4990" w:rsidRDefault="001E4990" w:rsidP="00F00F09">
            <w:pPr>
              <w:spacing w:before="40" w:after="40"/>
              <w:ind w:left="0"/>
              <w:jc w:val="center"/>
              <w:rPr>
                <w:rFonts w:ascii="Arial Narrow" w:hAnsi="Arial Narrow"/>
                <w:sz w:val="18"/>
                <w:szCs w:val="18"/>
              </w:rPr>
            </w:pPr>
          </w:p>
        </w:tc>
        <w:tc>
          <w:tcPr>
            <w:tcW w:w="1342" w:type="dxa"/>
            <w:tcBorders>
              <w:bottom w:val="nil"/>
            </w:tcBorders>
            <w:vAlign w:val="center"/>
          </w:tcPr>
          <w:p w:rsidR="001E4990" w:rsidRPr="001E4990" w:rsidRDefault="001E4990" w:rsidP="00F00F09">
            <w:pPr>
              <w:spacing w:before="40" w:after="40"/>
              <w:ind w:left="0"/>
              <w:jc w:val="center"/>
              <w:rPr>
                <w:rFonts w:ascii="Arial Narrow" w:hAnsi="Arial Narrow"/>
                <w:sz w:val="18"/>
                <w:szCs w:val="18"/>
              </w:rPr>
            </w:pPr>
          </w:p>
        </w:tc>
        <w:tc>
          <w:tcPr>
            <w:tcW w:w="1342" w:type="dxa"/>
            <w:tcBorders>
              <w:bottom w:val="nil"/>
            </w:tcBorders>
            <w:vAlign w:val="center"/>
          </w:tcPr>
          <w:p w:rsidR="001E4990" w:rsidRPr="001E4990" w:rsidRDefault="001E4990" w:rsidP="00F00F09">
            <w:pPr>
              <w:spacing w:before="40" w:after="40"/>
              <w:ind w:left="0"/>
              <w:jc w:val="center"/>
              <w:rPr>
                <w:rFonts w:ascii="Arial Narrow" w:hAnsi="Arial Narrow"/>
                <w:sz w:val="18"/>
                <w:szCs w:val="18"/>
              </w:rPr>
            </w:pPr>
          </w:p>
        </w:tc>
        <w:tc>
          <w:tcPr>
            <w:tcW w:w="1342" w:type="dxa"/>
            <w:tcBorders>
              <w:bottom w:val="nil"/>
            </w:tcBorders>
            <w:vAlign w:val="center"/>
          </w:tcPr>
          <w:p w:rsidR="001E4990" w:rsidRPr="001E4990" w:rsidRDefault="001E4990" w:rsidP="00F00F09">
            <w:pPr>
              <w:spacing w:before="40" w:after="40"/>
              <w:ind w:left="0"/>
              <w:jc w:val="center"/>
              <w:rPr>
                <w:rFonts w:ascii="Arial Narrow" w:hAnsi="Arial Narrow"/>
                <w:sz w:val="18"/>
                <w:szCs w:val="18"/>
              </w:rPr>
            </w:pPr>
          </w:p>
        </w:tc>
      </w:tr>
      <w:tr w:rsidR="001E4990" w:rsidRPr="001E4990" w:rsidTr="00F00F09">
        <w:tc>
          <w:tcPr>
            <w:tcW w:w="2994" w:type="dxa"/>
            <w:tcBorders>
              <w:top w:val="nil"/>
              <w:bottom w:val="nil"/>
            </w:tcBorders>
          </w:tcPr>
          <w:p w:rsidR="001E4990" w:rsidRPr="001E4990" w:rsidRDefault="0052776C" w:rsidP="00F00F09">
            <w:pPr>
              <w:spacing w:before="40" w:after="40"/>
              <w:ind w:left="131"/>
              <w:rPr>
                <w:rFonts w:ascii="Arial Narrow" w:hAnsi="Arial Narrow"/>
                <w:sz w:val="18"/>
                <w:szCs w:val="18"/>
              </w:rPr>
            </w:pPr>
            <w:r>
              <w:rPr>
                <w:rFonts w:ascii="Arial Narrow" w:hAnsi="Arial Narrow"/>
                <w:sz w:val="18"/>
                <w:szCs w:val="18"/>
              </w:rPr>
              <w:t>Public laboratories</w:t>
            </w:r>
          </w:p>
        </w:tc>
        <w:tc>
          <w:tcPr>
            <w:tcW w:w="1342" w:type="dxa"/>
            <w:tcBorders>
              <w:top w:val="nil"/>
              <w:bottom w:val="nil"/>
            </w:tcBorders>
            <w:vAlign w:val="center"/>
          </w:tcPr>
          <w:p w:rsidR="001E4990"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73929</w:t>
            </w:r>
          </w:p>
        </w:tc>
        <w:tc>
          <w:tcPr>
            <w:tcW w:w="1342" w:type="dxa"/>
            <w:tcBorders>
              <w:top w:val="nil"/>
              <w:bottom w:val="nil"/>
            </w:tcBorders>
            <w:vAlign w:val="center"/>
          </w:tcPr>
          <w:p w:rsidR="001E4990"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0.25</w:t>
            </w:r>
            <w:r w:rsidR="00A865D8">
              <w:rPr>
                <w:rFonts w:ascii="Arial Narrow" w:hAnsi="Arial Narrow"/>
                <w:sz w:val="18"/>
                <w:szCs w:val="18"/>
                <w:vertAlign w:val="superscript"/>
              </w:rPr>
              <w:t>*</w:t>
            </w:r>
          </w:p>
        </w:tc>
        <w:tc>
          <w:tcPr>
            <w:tcW w:w="1342" w:type="dxa"/>
            <w:tcBorders>
              <w:top w:val="nil"/>
              <w:bottom w:val="nil"/>
            </w:tcBorders>
            <w:vAlign w:val="center"/>
          </w:tcPr>
          <w:p w:rsidR="001E4990"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$2.05</w:t>
            </w:r>
          </w:p>
        </w:tc>
        <w:tc>
          <w:tcPr>
            <w:tcW w:w="1342" w:type="dxa"/>
            <w:tcBorders>
              <w:top w:val="nil"/>
              <w:bottom w:val="nil"/>
            </w:tcBorders>
            <w:vAlign w:val="center"/>
          </w:tcPr>
          <w:p w:rsidR="001E4990"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$0.51</w:t>
            </w:r>
          </w:p>
        </w:tc>
      </w:tr>
      <w:tr w:rsidR="001E4990" w:rsidRPr="001E4990" w:rsidTr="00F00F09">
        <w:tc>
          <w:tcPr>
            <w:tcW w:w="2994" w:type="dxa"/>
            <w:tcBorders>
              <w:top w:val="nil"/>
              <w:bottom w:val="single" w:sz="4" w:space="0" w:color="auto"/>
            </w:tcBorders>
          </w:tcPr>
          <w:p w:rsidR="001E4990" w:rsidRPr="001E4990" w:rsidRDefault="0052776C" w:rsidP="00F00F09">
            <w:pPr>
              <w:spacing w:before="40" w:after="40"/>
              <w:ind w:left="131"/>
              <w:rPr>
                <w:rFonts w:ascii="Arial Narrow" w:hAnsi="Arial Narrow"/>
                <w:sz w:val="18"/>
                <w:szCs w:val="18"/>
              </w:rPr>
            </w:pPr>
            <w:r>
              <w:rPr>
                <w:rFonts w:ascii="Arial Narrow" w:hAnsi="Arial Narrow"/>
                <w:sz w:val="18"/>
                <w:szCs w:val="18"/>
              </w:rPr>
              <w:t>Private laboratories</w:t>
            </w:r>
          </w:p>
        </w:tc>
        <w:tc>
          <w:tcPr>
            <w:tcW w:w="1342" w:type="dxa"/>
            <w:tcBorders>
              <w:top w:val="nil"/>
              <w:bottom w:val="single" w:sz="4" w:space="0" w:color="auto"/>
            </w:tcBorders>
            <w:vAlign w:val="center"/>
          </w:tcPr>
          <w:p w:rsidR="001E4990"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73928</w:t>
            </w:r>
          </w:p>
        </w:tc>
        <w:tc>
          <w:tcPr>
            <w:tcW w:w="1342" w:type="dxa"/>
            <w:tcBorders>
              <w:top w:val="nil"/>
              <w:bottom w:val="single" w:sz="4" w:space="0" w:color="auto"/>
            </w:tcBorders>
            <w:vAlign w:val="center"/>
          </w:tcPr>
          <w:p w:rsidR="001E4990"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0.75</w:t>
            </w:r>
            <w:r w:rsidR="00A865D8">
              <w:rPr>
                <w:rFonts w:ascii="Arial Narrow" w:hAnsi="Arial Narrow"/>
                <w:sz w:val="18"/>
                <w:szCs w:val="18"/>
                <w:vertAlign w:val="superscript"/>
              </w:rPr>
              <w:t>*</w:t>
            </w:r>
          </w:p>
        </w:tc>
        <w:tc>
          <w:tcPr>
            <w:tcW w:w="1342" w:type="dxa"/>
            <w:tcBorders>
              <w:top w:val="nil"/>
              <w:bottom w:val="single" w:sz="4" w:space="0" w:color="auto"/>
            </w:tcBorders>
            <w:vAlign w:val="center"/>
          </w:tcPr>
          <w:p w:rsidR="001E4990"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$5.10</w:t>
            </w:r>
          </w:p>
        </w:tc>
        <w:tc>
          <w:tcPr>
            <w:tcW w:w="1342" w:type="dxa"/>
            <w:tcBorders>
              <w:top w:val="nil"/>
              <w:bottom w:val="single" w:sz="4" w:space="0" w:color="auto"/>
            </w:tcBorders>
            <w:vAlign w:val="center"/>
          </w:tcPr>
          <w:p w:rsidR="001E4990"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$3.83</w:t>
            </w:r>
          </w:p>
        </w:tc>
      </w:tr>
      <w:tr w:rsidR="001E4990" w:rsidRPr="001E4990" w:rsidTr="00F00F09">
        <w:tc>
          <w:tcPr>
            <w:tcW w:w="2994" w:type="dxa"/>
            <w:tcBorders>
              <w:bottom w:val="nil"/>
            </w:tcBorders>
          </w:tcPr>
          <w:p w:rsidR="001E4990" w:rsidRPr="001E4990" w:rsidRDefault="0052776C" w:rsidP="001E4990">
            <w:pPr>
              <w:spacing w:before="40" w:after="40"/>
              <w:ind w:left="0"/>
              <w:rPr>
                <w:rFonts w:ascii="Arial Narrow" w:hAnsi="Arial Narrow"/>
                <w:sz w:val="18"/>
                <w:szCs w:val="18"/>
              </w:rPr>
            </w:pPr>
            <w:r>
              <w:rPr>
                <w:rFonts w:ascii="Arial Narrow" w:hAnsi="Arial Narrow"/>
                <w:sz w:val="18"/>
                <w:szCs w:val="18"/>
              </w:rPr>
              <w:t>Bulk-billed pathology incentive</w:t>
            </w:r>
          </w:p>
        </w:tc>
        <w:tc>
          <w:tcPr>
            <w:tcW w:w="1342" w:type="dxa"/>
            <w:tcBorders>
              <w:bottom w:val="nil"/>
            </w:tcBorders>
            <w:vAlign w:val="center"/>
          </w:tcPr>
          <w:p w:rsidR="001E4990" w:rsidRPr="001E4990" w:rsidRDefault="001E4990" w:rsidP="00F00F09">
            <w:pPr>
              <w:spacing w:before="40" w:after="40"/>
              <w:ind w:left="0"/>
              <w:jc w:val="center"/>
              <w:rPr>
                <w:rFonts w:ascii="Arial Narrow" w:hAnsi="Arial Narrow"/>
                <w:sz w:val="18"/>
                <w:szCs w:val="18"/>
              </w:rPr>
            </w:pPr>
          </w:p>
        </w:tc>
        <w:tc>
          <w:tcPr>
            <w:tcW w:w="1342" w:type="dxa"/>
            <w:tcBorders>
              <w:bottom w:val="nil"/>
            </w:tcBorders>
            <w:vAlign w:val="center"/>
          </w:tcPr>
          <w:p w:rsidR="001E4990" w:rsidRPr="001E4990" w:rsidRDefault="001E4990" w:rsidP="00F00F09">
            <w:pPr>
              <w:spacing w:before="40" w:after="40"/>
              <w:ind w:left="0"/>
              <w:jc w:val="center"/>
              <w:rPr>
                <w:rFonts w:ascii="Arial Narrow" w:hAnsi="Arial Narrow"/>
                <w:sz w:val="18"/>
                <w:szCs w:val="18"/>
              </w:rPr>
            </w:pPr>
          </w:p>
        </w:tc>
        <w:tc>
          <w:tcPr>
            <w:tcW w:w="1342" w:type="dxa"/>
            <w:tcBorders>
              <w:bottom w:val="nil"/>
            </w:tcBorders>
            <w:vAlign w:val="center"/>
          </w:tcPr>
          <w:p w:rsidR="001E4990" w:rsidRPr="001E4990" w:rsidRDefault="001E4990" w:rsidP="00F00F09">
            <w:pPr>
              <w:spacing w:before="40" w:after="40"/>
              <w:ind w:left="0"/>
              <w:jc w:val="center"/>
              <w:rPr>
                <w:rFonts w:ascii="Arial Narrow" w:hAnsi="Arial Narrow"/>
                <w:sz w:val="18"/>
                <w:szCs w:val="18"/>
              </w:rPr>
            </w:pPr>
          </w:p>
        </w:tc>
        <w:tc>
          <w:tcPr>
            <w:tcW w:w="1342" w:type="dxa"/>
            <w:tcBorders>
              <w:bottom w:val="nil"/>
            </w:tcBorders>
            <w:vAlign w:val="center"/>
          </w:tcPr>
          <w:p w:rsidR="001E4990" w:rsidRPr="001E4990" w:rsidRDefault="001E4990" w:rsidP="00F00F09">
            <w:pPr>
              <w:spacing w:before="40" w:after="40"/>
              <w:ind w:left="0"/>
              <w:jc w:val="center"/>
              <w:rPr>
                <w:rFonts w:ascii="Arial Narrow" w:hAnsi="Arial Narrow"/>
                <w:sz w:val="18"/>
                <w:szCs w:val="18"/>
              </w:rPr>
            </w:pPr>
          </w:p>
        </w:tc>
      </w:tr>
      <w:tr w:rsidR="0052776C" w:rsidRPr="001E4990" w:rsidTr="00F00F09">
        <w:tc>
          <w:tcPr>
            <w:tcW w:w="2994" w:type="dxa"/>
            <w:tcBorders>
              <w:top w:val="nil"/>
              <w:bottom w:val="nil"/>
            </w:tcBorders>
          </w:tcPr>
          <w:p w:rsidR="0052776C" w:rsidRPr="001E4990" w:rsidRDefault="0052776C" w:rsidP="00F00F09">
            <w:pPr>
              <w:spacing w:before="40" w:after="40"/>
              <w:ind w:left="131"/>
              <w:rPr>
                <w:rFonts w:ascii="Arial Narrow" w:hAnsi="Arial Narrow"/>
                <w:sz w:val="18"/>
                <w:szCs w:val="18"/>
              </w:rPr>
            </w:pPr>
            <w:r>
              <w:rPr>
                <w:rFonts w:ascii="Arial Narrow" w:hAnsi="Arial Narrow"/>
                <w:sz w:val="18"/>
                <w:szCs w:val="18"/>
              </w:rPr>
              <w:t>Public laboratories</w:t>
            </w:r>
          </w:p>
        </w:tc>
        <w:tc>
          <w:tcPr>
            <w:tcW w:w="1342" w:type="dxa"/>
            <w:tcBorders>
              <w:top w:val="nil"/>
              <w:bottom w:val="nil"/>
            </w:tcBorders>
            <w:vAlign w:val="center"/>
          </w:tcPr>
          <w:p w:rsidR="0052776C"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74999</w:t>
            </w:r>
          </w:p>
        </w:tc>
        <w:tc>
          <w:tcPr>
            <w:tcW w:w="1342" w:type="dxa"/>
            <w:tcBorders>
              <w:top w:val="nil"/>
              <w:bottom w:val="nil"/>
            </w:tcBorders>
            <w:vAlign w:val="center"/>
          </w:tcPr>
          <w:p w:rsidR="0052776C"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0.25</w:t>
            </w:r>
            <w:r w:rsidR="00A865D8">
              <w:rPr>
                <w:rFonts w:ascii="Arial Narrow" w:hAnsi="Arial Narrow"/>
                <w:sz w:val="18"/>
                <w:szCs w:val="18"/>
                <w:vertAlign w:val="superscript"/>
              </w:rPr>
              <w:t>*</w:t>
            </w:r>
          </w:p>
        </w:tc>
        <w:tc>
          <w:tcPr>
            <w:tcW w:w="1342" w:type="dxa"/>
            <w:tcBorders>
              <w:top w:val="nil"/>
              <w:bottom w:val="nil"/>
            </w:tcBorders>
            <w:vAlign w:val="center"/>
          </w:tcPr>
          <w:p w:rsidR="0052776C"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$1.40</w:t>
            </w:r>
          </w:p>
        </w:tc>
        <w:tc>
          <w:tcPr>
            <w:tcW w:w="1342" w:type="dxa"/>
            <w:tcBorders>
              <w:top w:val="nil"/>
              <w:bottom w:val="nil"/>
            </w:tcBorders>
            <w:vAlign w:val="center"/>
          </w:tcPr>
          <w:p w:rsidR="0052776C"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$0.35</w:t>
            </w:r>
          </w:p>
        </w:tc>
      </w:tr>
      <w:tr w:rsidR="0052776C" w:rsidRPr="001E4990" w:rsidTr="0052776C">
        <w:tc>
          <w:tcPr>
            <w:tcW w:w="2994" w:type="dxa"/>
            <w:tcBorders>
              <w:top w:val="nil"/>
              <w:bottom w:val="single" w:sz="4" w:space="0" w:color="auto"/>
            </w:tcBorders>
          </w:tcPr>
          <w:p w:rsidR="0052776C" w:rsidRPr="001E4990" w:rsidRDefault="0052776C" w:rsidP="00F00F09">
            <w:pPr>
              <w:spacing w:before="40" w:after="40"/>
              <w:ind w:left="131"/>
              <w:rPr>
                <w:rFonts w:ascii="Arial Narrow" w:hAnsi="Arial Narrow"/>
                <w:sz w:val="18"/>
                <w:szCs w:val="18"/>
              </w:rPr>
            </w:pPr>
            <w:r>
              <w:rPr>
                <w:rFonts w:ascii="Arial Narrow" w:hAnsi="Arial Narrow"/>
                <w:sz w:val="18"/>
                <w:szCs w:val="18"/>
              </w:rPr>
              <w:t>Private laboratories</w:t>
            </w:r>
          </w:p>
        </w:tc>
        <w:tc>
          <w:tcPr>
            <w:tcW w:w="1342" w:type="dxa"/>
            <w:tcBorders>
              <w:top w:val="nil"/>
              <w:bottom w:val="single" w:sz="4" w:space="0" w:color="auto"/>
            </w:tcBorders>
            <w:vAlign w:val="center"/>
          </w:tcPr>
          <w:p w:rsidR="0052776C"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74995</w:t>
            </w:r>
          </w:p>
        </w:tc>
        <w:tc>
          <w:tcPr>
            <w:tcW w:w="1342" w:type="dxa"/>
            <w:tcBorders>
              <w:top w:val="nil"/>
              <w:bottom w:val="single" w:sz="4" w:space="0" w:color="auto"/>
            </w:tcBorders>
            <w:vAlign w:val="center"/>
          </w:tcPr>
          <w:p w:rsidR="0052776C" w:rsidRPr="00F00F09" w:rsidRDefault="0052776C" w:rsidP="00F00F09">
            <w:pPr>
              <w:spacing w:before="40" w:after="40"/>
              <w:ind w:left="0"/>
              <w:jc w:val="center"/>
              <w:rPr>
                <w:rFonts w:ascii="Arial Narrow" w:hAnsi="Arial Narrow"/>
                <w:sz w:val="18"/>
                <w:szCs w:val="18"/>
                <w:vertAlign w:val="superscript"/>
              </w:rPr>
            </w:pPr>
            <w:r>
              <w:rPr>
                <w:rFonts w:ascii="Arial Narrow" w:hAnsi="Arial Narrow"/>
                <w:sz w:val="18"/>
                <w:szCs w:val="18"/>
              </w:rPr>
              <w:t>0.75</w:t>
            </w:r>
            <w:r w:rsidR="00A865D8">
              <w:rPr>
                <w:rFonts w:ascii="Arial Narrow" w:hAnsi="Arial Narrow"/>
                <w:sz w:val="18"/>
                <w:szCs w:val="18"/>
                <w:vertAlign w:val="superscript"/>
              </w:rPr>
              <w:t>*</w:t>
            </w:r>
          </w:p>
        </w:tc>
        <w:tc>
          <w:tcPr>
            <w:tcW w:w="1342" w:type="dxa"/>
            <w:tcBorders>
              <w:top w:val="nil"/>
            </w:tcBorders>
            <w:vAlign w:val="center"/>
          </w:tcPr>
          <w:p w:rsidR="0052776C"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$3.40</w:t>
            </w:r>
          </w:p>
        </w:tc>
        <w:tc>
          <w:tcPr>
            <w:tcW w:w="1342" w:type="dxa"/>
            <w:tcBorders>
              <w:top w:val="nil"/>
            </w:tcBorders>
            <w:vAlign w:val="center"/>
          </w:tcPr>
          <w:p w:rsidR="0052776C" w:rsidRPr="001E4990" w:rsidRDefault="0052776C" w:rsidP="00F00F09">
            <w:pPr>
              <w:spacing w:before="40" w:after="40"/>
              <w:ind w:left="0"/>
              <w:jc w:val="center"/>
              <w:rPr>
                <w:rFonts w:ascii="Arial Narrow" w:hAnsi="Arial Narrow"/>
                <w:sz w:val="18"/>
                <w:szCs w:val="18"/>
              </w:rPr>
            </w:pPr>
            <w:r>
              <w:rPr>
                <w:rFonts w:ascii="Arial Narrow" w:hAnsi="Arial Narrow"/>
                <w:sz w:val="18"/>
                <w:szCs w:val="18"/>
              </w:rPr>
              <w:t>$2.55</w:t>
            </w:r>
          </w:p>
        </w:tc>
      </w:tr>
      <w:tr w:rsidR="0052776C" w:rsidRPr="001E4990" w:rsidTr="00F00F09">
        <w:tc>
          <w:tcPr>
            <w:tcW w:w="2994" w:type="dxa"/>
            <w:tcBorders>
              <w:bottom w:val="single" w:sz="4" w:space="0" w:color="auto"/>
              <w:right w:val="nil"/>
            </w:tcBorders>
          </w:tcPr>
          <w:p w:rsidR="0052776C" w:rsidRPr="001E4990" w:rsidRDefault="00F43211" w:rsidP="001E4990">
            <w:pPr>
              <w:spacing w:before="40" w:after="40"/>
              <w:ind w:left="0"/>
              <w:rPr>
                <w:rFonts w:ascii="Arial Narrow" w:hAnsi="Arial Narrow"/>
                <w:sz w:val="18"/>
                <w:szCs w:val="18"/>
              </w:rPr>
            </w:pPr>
            <w:r>
              <w:rPr>
                <w:rFonts w:ascii="Arial Narrow" w:hAnsi="Arial Narrow"/>
                <w:sz w:val="18"/>
                <w:szCs w:val="18"/>
              </w:rPr>
              <w:t>Total</w:t>
            </w:r>
          </w:p>
        </w:tc>
        <w:tc>
          <w:tcPr>
            <w:tcW w:w="1342" w:type="dxa"/>
            <w:tcBorders>
              <w:left w:val="nil"/>
              <w:bottom w:val="single" w:sz="4" w:space="0" w:color="auto"/>
              <w:right w:val="nil"/>
            </w:tcBorders>
          </w:tcPr>
          <w:p w:rsidR="0052776C" w:rsidRPr="001E4990" w:rsidRDefault="0052776C" w:rsidP="001E4990">
            <w:pPr>
              <w:spacing w:before="40" w:after="40"/>
              <w:ind w:left="0"/>
              <w:rPr>
                <w:rFonts w:ascii="Arial Narrow" w:hAnsi="Arial Narrow"/>
                <w:sz w:val="18"/>
                <w:szCs w:val="18"/>
              </w:rPr>
            </w:pPr>
          </w:p>
        </w:tc>
        <w:tc>
          <w:tcPr>
            <w:tcW w:w="1342" w:type="dxa"/>
            <w:tcBorders>
              <w:left w:val="nil"/>
              <w:bottom w:val="single" w:sz="4" w:space="0" w:color="auto"/>
              <w:right w:val="nil"/>
            </w:tcBorders>
          </w:tcPr>
          <w:p w:rsidR="0052776C" w:rsidRPr="001E4990" w:rsidRDefault="0052776C" w:rsidP="001E4990">
            <w:pPr>
              <w:spacing w:before="40" w:after="40"/>
              <w:ind w:left="0"/>
              <w:rPr>
                <w:rFonts w:ascii="Arial Narrow" w:hAnsi="Arial Narrow"/>
                <w:sz w:val="18"/>
                <w:szCs w:val="18"/>
              </w:rPr>
            </w:pPr>
          </w:p>
        </w:tc>
        <w:tc>
          <w:tcPr>
            <w:tcW w:w="1342" w:type="dxa"/>
            <w:tcBorders>
              <w:left w:val="nil"/>
              <w:bottom w:val="single" w:sz="4" w:space="0" w:color="auto"/>
            </w:tcBorders>
          </w:tcPr>
          <w:p w:rsidR="0052776C" w:rsidRPr="001E4990" w:rsidRDefault="0052776C" w:rsidP="001E4990">
            <w:pPr>
              <w:spacing w:before="40" w:after="40"/>
              <w:ind w:left="0"/>
              <w:rPr>
                <w:rFonts w:ascii="Arial Narrow" w:hAnsi="Arial Narrow"/>
                <w:sz w:val="18"/>
                <w:szCs w:val="18"/>
              </w:rPr>
            </w:pPr>
          </w:p>
        </w:tc>
        <w:tc>
          <w:tcPr>
            <w:tcW w:w="1342" w:type="dxa"/>
            <w:vAlign w:val="center"/>
          </w:tcPr>
          <w:p w:rsidR="0052776C" w:rsidRPr="00F00F09" w:rsidRDefault="0052776C" w:rsidP="00F00F09">
            <w:pPr>
              <w:spacing w:before="40" w:after="40"/>
              <w:ind w:left="0"/>
              <w:jc w:val="center"/>
              <w:rPr>
                <w:rFonts w:ascii="Arial Narrow" w:hAnsi="Arial Narrow"/>
                <w:b/>
                <w:bCs/>
                <w:sz w:val="18"/>
                <w:szCs w:val="18"/>
              </w:rPr>
            </w:pPr>
            <w:r>
              <w:rPr>
                <w:rFonts w:ascii="Arial Narrow" w:hAnsi="Arial Narrow"/>
                <w:b/>
                <w:bCs/>
                <w:sz w:val="18"/>
                <w:szCs w:val="18"/>
              </w:rPr>
              <w:t>$20.59</w:t>
            </w:r>
          </w:p>
        </w:tc>
      </w:tr>
      <w:tr w:rsidR="0052776C" w:rsidRPr="001E4990" w:rsidTr="00F00F09">
        <w:tc>
          <w:tcPr>
            <w:tcW w:w="2994" w:type="dxa"/>
            <w:tcBorders>
              <w:right w:val="nil"/>
            </w:tcBorders>
          </w:tcPr>
          <w:p w:rsidR="0052776C" w:rsidRPr="00F00F09" w:rsidRDefault="0052776C" w:rsidP="001E4990">
            <w:pPr>
              <w:spacing w:before="40" w:after="40"/>
              <w:ind w:left="0"/>
              <w:rPr>
                <w:rFonts w:ascii="Arial Narrow" w:hAnsi="Arial Narrow"/>
                <w:b/>
                <w:bCs/>
                <w:sz w:val="18"/>
                <w:szCs w:val="18"/>
                <w:u w:val="single"/>
              </w:rPr>
            </w:pPr>
            <w:r w:rsidRPr="00F00F09">
              <w:rPr>
                <w:rFonts w:ascii="Arial Narrow" w:hAnsi="Arial Narrow"/>
                <w:b/>
                <w:bCs/>
                <w:sz w:val="18"/>
                <w:szCs w:val="18"/>
                <w:u w:val="single"/>
              </w:rPr>
              <w:t>DHC</w:t>
            </w:r>
          </w:p>
        </w:tc>
        <w:tc>
          <w:tcPr>
            <w:tcW w:w="1342" w:type="dxa"/>
            <w:tcBorders>
              <w:left w:val="nil"/>
              <w:right w:val="nil"/>
            </w:tcBorders>
          </w:tcPr>
          <w:p w:rsidR="0052776C" w:rsidRPr="001E4990" w:rsidRDefault="0052776C" w:rsidP="001E4990">
            <w:pPr>
              <w:spacing w:before="40" w:after="40"/>
              <w:ind w:left="0"/>
              <w:rPr>
                <w:rFonts w:ascii="Arial Narrow" w:hAnsi="Arial Narrow"/>
                <w:sz w:val="18"/>
                <w:szCs w:val="18"/>
              </w:rPr>
            </w:pPr>
          </w:p>
        </w:tc>
        <w:tc>
          <w:tcPr>
            <w:tcW w:w="1342" w:type="dxa"/>
            <w:tcBorders>
              <w:left w:val="nil"/>
              <w:right w:val="nil"/>
            </w:tcBorders>
          </w:tcPr>
          <w:p w:rsidR="0052776C" w:rsidRPr="001E4990" w:rsidRDefault="0052776C" w:rsidP="001E4990">
            <w:pPr>
              <w:spacing w:before="40" w:after="40"/>
              <w:ind w:left="0"/>
              <w:rPr>
                <w:rFonts w:ascii="Arial Narrow" w:hAnsi="Arial Narrow"/>
                <w:sz w:val="18"/>
                <w:szCs w:val="18"/>
              </w:rPr>
            </w:pPr>
          </w:p>
        </w:tc>
        <w:tc>
          <w:tcPr>
            <w:tcW w:w="1342" w:type="dxa"/>
            <w:tcBorders>
              <w:left w:val="nil"/>
              <w:right w:val="nil"/>
            </w:tcBorders>
          </w:tcPr>
          <w:p w:rsidR="0052776C" w:rsidRPr="001E4990" w:rsidRDefault="0052776C" w:rsidP="001E4990">
            <w:pPr>
              <w:spacing w:before="40" w:after="40"/>
              <w:ind w:left="0"/>
              <w:rPr>
                <w:rFonts w:ascii="Arial Narrow" w:hAnsi="Arial Narrow"/>
                <w:sz w:val="18"/>
                <w:szCs w:val="18"/>
              </w:rPr>
            </w:pPr>
          </w:p>
        </w:tc>
        <w:tc>
          <w:tcPr>
            <w:tcW w:w="1342" w:type="dxa"/>
            <w:tcBorders>
              <w:left w:val="nil"/>
            </w:tcBorders>
          </w:tcPr>
          <w:p w:rsidR="0052776C" w:rsidRPr="001E4990" w:rsidRDefault="0052776C" w:rsidP="001E4990">
            <w:pPr>
              <w:spacing w:before="40" w:after="40"/>
              <w:ind w:left="0"/>
              <w:rPr>
                <w:rFonts w:ascii="Arial Narrow" w:hAnsi="Arial Narrow"/>
                <w:sz w:val="18"/>
                <w:szCs w:val="18"/>
              </w:rPr>
            </w:pPr>
          </w:p>
        </w:tc>
      </w:tr>
      <w:tr w:rsidR="0052776C" w:rsidRPr="001E4990" w:rsidTr="00F00F09">
        <w:tc>
          <w:tcPr>
            <w:tcW w:w="2994" w:type="dxa"/>
          </w:tcPr>
          <w:p w:rsidR="0052776C" w:rsidRPr="001E4990" w:rsidRDefault="00543DDC" w:rsidP="001E4990">
            <w:pPr>
              <w:spacing w:before="40" w:after="40"/>
              <w:ind w:left="0"/>
              <w:rPr>
                <w:rFonts w:ascii="Arial Narrow" w:hAnsi="Arial Narrow"/>
                <w:sz w:val="18"/>
                <w:szCs w:val="18"/>
              </w:rPr>
            </w:pPr>
            <w:r>
              <w:rPr>
                <w:rFonts w:ascii="Arial Narrow" w:hAnsi="Arial Narrow"/>
                <w:sz w:val="18"/>
                <w:szCs w:val="18"/>
              </w:rPr>
              <w:t>DHC</w:t>
            </w:r>
            <w:r w:rsidR="0020518C">
              <w:rPr>
                <w:rFonts w:ascii="Arial Narrow" w:hAnsi="Arial Narrow"/>
                <w:sz w:val="18"/>
                <w:szCs w:val="18"/>
              </w:rPr>
              <w:t xml:space="preserve"> test</w:t>
            </w:r>
          </w:p>
        </w:tc>
        <w:tc>
          <w:tcPr>
            <w:tcW w:w="1342" w:type="dxa"/>
          </w:tcPr>
          <w:p w:rsidR="0052776C" w:rsidRPr="001E4990" w:rsidRDefault="0020518C" w:rsidP="00F00F09">
            <w:pPr>
              <w:spacing w:before="40" w:after="40"/>
              <w:ind w:left="0"/>
              <w:jc w:val="center"/>
              <w:rPr>
                <w:rFonts w:ascii="Arial Narrow" w:hAnsi="Arial Narrow"/>
                <w:sz w:val="18"/>
                <w:szCs w:val="18"/>
              </w:rPr>
            </w:pPr>
            <w:r>
              <w:rPr>
                <w:rFonts w:ascii="Arial Narrow" w:hAnsi="Arial Narrow"/>
                <w:sz w:val="18"/>
                <w:szCs w:val="18"/>
              </w:rPr>
              <w:t>Proposed</w:t>
            </w:r>
          </w:p>
        </w:tc>
        <w:tc>
          <w:tcPr>
            <w:tcW w:w="1342" w:type="dxa"/>
            <w:vAlign w:val="center"/>
          </w:tcPr>
          <w:p w:rsidR="0052776C" w:rsidRPr="001E4990" w:rsidRDefault="0020518C" w:rsidP="00F00F09">
            <w:pPr>
              <w:spacing w:before="40" w:after="40"/>
              <w:ind w:left="0"/>
              <w:jc w:val="center"/>
              <w:rPr>
                <w:rFonts w:ascii="Arial Narrow" w:hAnsi="Arial Narrow"/>
                <w:sz w:val="18"/>
                <w:szCs w:val="18"/>
              </w:rPr>
            </w:pPr>
            <w:r>
              <w:rPr>
                <w:rFonts w:ascii="Arial Narrow" w:hAnsi="Arial Narrow"/>
                <w:sz w:val="18"/>
                <w:szCs w:val="18"/>
              </w:rPr>
              <w:t>1</w:t>
            </w:r>
          </w:p>
        </w:tc>
        <w:tc>
          <w:tcPr>
            <w:tcW w:w="1342" w:type="dxa"/>
            <w:vAlign w:val="center"/>
          </w:tcPr>
          <w:p w:rsidR="0052776C" w:rsidRPr="00F00F09" w:rsidRDefault="0020518C" w:rsidP="00F00F09">
            <w:pPr>
              <w:spacing w:before="40" w:after="40"/>
              <w:ind w:left="0"/>
              <w:jc w:val="center"/>
              <w:rPr>
                <w:rFonts w:ascii="Arial Narrow" w:hAnsi="Arial Narrow"/>
                <w:i/>
                <w:iCs/>
                <w:sz w:val="18"/>
                <w:szCs w:val="18"/>
              </w:rPr>
            </w:pPr>
            <w:r w:rsidRPr="00F00F09">
              <w:rPr>
                <w:rFonts w:ascii="Arial Narrow" w:hAnsi="Arial Narrow"/>
                <w:i/>
                <w:iCs/>
                <w:sz w:val="18"/>
                <w:szCs w:val="18"/>
              </w:rPr>
              <w:t>25.50</w:t>
            </w:r>
          </w:p>
        </w:tc>
        <w:tc>
          <w:tcPr>
            <w:tcW w:w="1342" w:type="dxa"/>
            <w:vAlign w:val="center"/>
          </w:tcPr>
          <w:p w:rsidR="0052776C" w:rsidRPr="00F00F09" w:rsidRDefault="0020518C" w:rsidP="00F00F09">
            <w:pPr>
              <w:spacing w:before="40" w:after="40"/>
              <w:ind w:left="0"/>
              <w:jc w:val="center"/>
              <w:rPr>
                <w:rFonts w:ascii="Arial Narrow" w:hAnsi="Arial Narrow"/>
                <w:i/>
                <w:iCs/>
                <w:sz w:val="18"/>
                <w:szCs w:val="18"/>
              </w:rPr>
            </w:pPr>
            <w:r>
              <w:rPr>
                <w:rFonts w:ascii="Arial Narrow" w:hAnsi="Arial Narrow"/>
                <w:i/>
                <w:iCs/>
                <w:sz w:val="18"/>
                <w:szCs w:val="18"/>
              </w:rPr>
              <w:t>25.50</w:t>
            </w:r>
          </w:p>
        </w:tc>
      </w:tr>
      <w:tr w:rsidR="0052776C" w:rsidRPr="001E4990" w:rsidTr="00F00F09">
        <w:tc>
          <w:tcPr>
            <w:tcW w:w="2994" w:type="dxa"/>
            <w:tcBorders>
              <w:bottom w:val="nil"/>
              <w:right w:val="nil"/>
            </w:tcBorders>
          </w:tcPr>
          <w:p w:rsidR="0052776C" w:rsidRPr="001E4990" w:rsidRDefault="0020518C" w:rsidP="001E4990">
            <w:pPr>
              <w:spacing w:before="40" w:after="40"/>
              <w:ind w:left="0"/>
              <w:rPr>
                <w:rFonts w:ascii="Arial Narrow" w:hAnsi="Arial Narrow"/>
                <w:sz w:val="18"/>
                <w:szCs w:val="18"/>
              </w:rPr>
            </w:pPr>
            <w:r>
              <w:rPr>
                <w:rFonts w:ascii="Arial Narrow" w:hAnsi="Arial Narrow"/>
                <w:sz w:val="18"/>
                <w:szCs w:val="18"/>
              </w:rPr>
              <w:t>Management of bulk-billed services</w:t>
            </w:r>
          </w:p>
        </w:tc>
        <w:tc>
          <w:tcPr>
            <w:tcW w:w="1342" w:type="dxa"/>
            <w:tcBorders>
              <w:left w:val="nil"/>
              <w:bottom w:val="nil"/>
              <w:right w:val="nil"/>
            </w:tcBorders>
            <w:vAlign w:val="center"/>
          </w:tcPr>
          <w:p w:rsidR="0052776C" w:rsidRPr="001E4990" w:rsidRDefault="0052776C" w:rsidP="00F00F09">
            <w:pPr>
              <w:spacing w:before="40" w:after="40"/>
              <w:ind w:left="0"/>
              <w:jc w:val="center"/>
              <w:rPr>
                <w:rFonts w:ascii="Arial Narrow" w:hAnsi="Arial Narrow"/>
                <w:sz w:val="18"/>
                <w:szCs w:val="18"/>
              </w:rPr>
            </w:pPr>
          </w:p>
        </w:tc>
        <w:tc>
          <w:tcPr>
            <w:tcW w:w="1342" w:type="dxa"/>
            <w:tcBorders>
              <w:left w:val="nil"/>
              <w:right w:val="nil"/>
            </w:tcBorders>
            <w:vAlign w:val="center"/>
          </w:tcPr>
          <w:p w:rsidR="0052776C" w:rsidRPr="001E4990" w:rsidRDefault="0052776C" w:rsidP="00F00F09">
            <w:pPr>
              <w:spacing w:before="40" w:after="40"/>
              <w:ind w:left="0"/>
              <w:jc w:val="center"/>
              <w:rPr>
                <w:rFonts w:ascii="Arial Narrow" w:hAnsi="Arial Narrow"/>
                <w:sz w:val="18"/>
                <w:szCs w:val="18"/>
              </w:rPr>
            </w:pPr>
          </w:p>
        </w:tc>
        <w:tc>
          <w:tcPr>
            <w:tcW w:w="1342" w:type="dxa"/>
            <w:tcBorders>
              <w:left w:val="nil"/>
              <w:right w:val="nil"/>
            </w:tcBorders>
            <w:vAlign w:val="center"/>
          </w:tcPr>
          <w:p w:rsidR="0052776C" w:rsidRPr="001E4990" w:rsidRDefault="0052776C" w:rsidP="00F00F09">
            <w:pPr>
              <w:spacing w:before="40" w:after="40"/>
              <w:ind w:left="0"/>
              <w:jc w:val="center"/>
              <w:rPr>
                <w:rFonts w:ascii="Arial Narrow" w:hAnsi="Arial Narrow"/>
                <w:sz w:val="18"/>
                <w:szCs w:val="18"/>
              </w:rPr>
            </w:pPr>
          </w:p>
        </w:tc>
        <w:tc>
          <w:tcPr>
            <w:tcW w:w="1342" w:type="dxa"/>
            <w:tcBorders>
              <w:left w:val="nil"/>
            </w:tcBorders>
            <w:vAlign w:val="center"/>
          </w:tcPr>
          <w:p w:rsidR="0052776C" w:rsidRPr="001E4990" w:rsidRDefault="0052776C" w:rsidP="00F00F09">
            <w:pPr>
              <w:spacing w:before="40" w:after="40"/>
              <w:ind w:left="0"/>
              <w:jc w:val="center"/>
              <w:rPr>
                <w:rFonts w:ascii="Arial Narrow" w:hAnsi="Arial Narrow"/>
                <w:sz w:val="18"/>
                <w:szCs w:val="18"/>
              </w:rPr>
            </w:pPr>
          </w:p>
        </w:tc>
      </w:tr>
      <w:tr w:rsidR="0052776C" w:rsidRPr="001E4990" w:rsidTr="00F00F09">
        <w:tc>
          <w:tcPr>
            <w:tcW w:w="2994" w:type="dxa"/>
          </w:tcPr>
          <w:p w:rsidR="0052776C" w:rsidRPr="001E4990" w:rsidRDefault="0020518C" w:rsidP="00F00F09">
            <w:pPr>
              <w:spacing w:before="40" w:after="40"/>
              <w:ind w:left="131"/>
              <w:rPr>
                <w:rFonts w:ascii="Arial Narrow" w:hAnsi="Arial Narrow"/>
                <w:sz w:val="18"/>
                <w:szCs w:val="18"/>
              </w:rPr>
            </w:pPr>
            <w:r>
              <w:rPr>
                <w:rFonts w:ascii="Arial Narrow" w:hAnsi="Arial Narrow"/>
                <w:sz w:val="18"/>
                <w:szCs w:val="18"/>
              </w:rPr>
              <w:t>Not regional, rural or remote</w:t>
            </w:r>
          </w:p>
        </w:tc>
        <w:tc>
          <w:tcPr>
            <w:tcW w:w="1342" w:type="dxa"/>
            <w:vAlign w:val="center"/>
          </w:tcPr>
          <w:p w:rsidR="0052776C" w:rsidRPr="001E4990" w:rsidRDefault="0020518C" w:rsidP="00F00F09">
            <w:pPr>
              <w:spacing w:before="40" w:after="40"/>
              <w:ind w:left="0"/>
              <w:jc w:val="center"/>
              <w:rPr>
                <w:rFonts w:ascii="Arial Narrow" w:hAnsi="Arial Narrow"/>
                <w:sz w:val="18"/>
                <w:szCs w:val="18"/>
              </w:rPr>
            </w:pPr>
            <w:r>
              <w:rPr>
                <w:rFonts w:ascii="Arial Narrow" w:hAnsi="Arial Narrow"/>
                <w:sz w:val="18"/>
                <w:szCs w:val="18"/>
              </w:rPr>
              <w:t>74990</w:t>
            </w:r>
          </w:p>
        </w:tc>
        <w:tc>
          <w:tcPr>
            <w:tcW w:w="1342" w:type="dxa"/>
            <w:vAlign w:val="center"/>
          </w:tcPr>
          <w:p w:rsidR="0052776C" w:rsidRPr="001E4990" w:rsidRDefault="0020518C" w:rsidP="00F00F09">
            <w:pPr>
              <w:spacing w:before="40" w:after="40"/>
              <w:ind w:left="0"/>
              <w:jc w:val="center"/>
              <w:rPr>
                <w:rFonts w:ascii="Arial Narrow" w:hAnsi="Arial Narrow"/>
                <w:sz w:val="18"/>
                <w:szCs w:val="18"/>
              </w:rPr>
            </w:pPr>
            <w:r>
              <w:rPr>
                <w:rFonts w:ascii="Arial Narrow" w:hAnsi="Arial Narrow"/>
                <w:sz w:val="18"/>
                <w:szCs w:val="18"/>
              </w:rPr>
              <w:t>0.09</w:t>
            </w:r>
            <w:r w:rsidR="00A865D8" w:rsidRPr="00F00F09">
              <w:rPr>
                <w:rFonts w:ascii="Arial Narrow" w:hAnsi="Arial Narrow"/>
                <w:sz w:val="18"/>
                <w:szCs w:val="18"/>
                <w:vertAlign w:val="superscript"/>
              </w:rPr>
              <w:t>#</w:t>
            </w:r>
          </w:p>
        </w:tc>
        <w:tc>
          <w:tcPr>
            <w:tcW w:w="1342" w:type="dxa"/>
            <w:vAlign w:val="center"/>
          </w:tcPr>
          <w:p w:rsidR="0052776C" w:rsidRPr="001E4990" w:rsidRDefault="0020518C" w:rsidP="00F00F09">
            <w:pPr>
              <w:spacing w:before="40" w:after="40"/>
              <w:ind w:left="0"/>
              <w:jc w:val="center"/>
              <w:rPr>
                <w:rFonts w:ascii="Arial Narrow" w:hAnsi="Arial Narrow"/>
                <w:sz w:val="18"/>
                <w:szCs w:val="18"/>
              </w:rPr>
            </w:pPr>
            <w:r>
              <w:rPr>
                <w:rFonts w:ascii="Arial Narrow" w:hAnsi="Arial Narrow"/>
                <w:sz w:val="18"/>
                <w:szCs w:val="18"/>
              </w:rPr>
              <w:t>$6.00</w:t>
            </w:r>
          </w:p>
        </w:tc>
        <w:tc>
          <w:tcPr>
            <w:tcW w:w="1342" w:type="dxa"/>
            <w:vAlign w:val="center"/>
          </w:tcPr>
          <w:p w:rsidR="0052776C" w:rsidRPr="001E4990" w:rsidRDefault="0020518C" w:rsidP="00F00F09">
            <w:pPr>
              <w:spacing w:before="40" w:after="40"/>
              <w:ind w:left="0"/>
              <w:jc w:val="center"/>
              <w:rPr>
                <w:rFonts w:ascii="Arial Narrow" w:hAnsi="Arial Narrow"/>
                <w:sz w:val="18"/>
                <w:szCs w:val="18"/>
              </w:rPr>
            </w:pPr>
            <w:r>
              <w:rPr>
                <w:rFonts w:ascii="Arial Narrow" w:hAnsi="Arial Narrow"/>
                <w:sz w:val="18"/>
                <w:szCs w:val="18"/>
              </w:rPr>
              <w:t>0.54</w:t>
            </w:r>
          </w:p>
        </w:tc>
      </w:tr>
      <w:tr w:rsidR="0052776C" w:rsidRPr="001E4990" w:rsidTr="00F00F09">
        <w:tc>
          <w:tcPr>
            <w:tcW w:w="2994" w:type="dxa"/>
            <w:tcBorders>
              <w:bottom w:val="single" w:sz="4" w:space="0" w:color="auto"/>
            </w:tcBorders>
          </w:tcPr>
          <w:p w:rsidR="0052776C" w:rsidRPr="001E4990" w:rsidRDefault="0020518C" w:rsidP="00F00F09">
            <w:pPr>
              <w:spacing w:before="40" w:after="40"/>
              <w:ind w:left="131"/>
              <w:rPr>
                <w:rFonts w:ascii="Arial Narrow" w:hAnsi="Arial Narrow"/>
                <w:sz w:val="18"/>
                <w:szCs w:val="18"/>
              </w:rPr>
            </w:pPr>
            <w:r>
              <w:rPr>
                <w:rFonts w:ascii="Arial Narrow" w:hAnsi="Arial Narrow"/>
                <w:sz w:val="18"/>
                <w:szCs w:val="18"/>
              </w:rPr>
              <w:t>Regional, rural or remote</w:t>
            </w:r>
          </w:p>
        </w:tc>
        <w:tc>
          <w:tcPr>
            <w:tcW w:w="1342" w:type="dxa"/>
            <w:tcBorders>
              <w:bottom w:val="single" w:sz="4" w:space="0" w:color="auto"/>
            </w:tcBorders>
            <w:vAlign w:val="center"/>
          </w:tcPr>
          <w:p w:rsidR="0052776C" w:rsidRPr="001E4990" w:rsidRDefault="0020518C" w:rsidP="00F00F09">
            <w:pPr>
              <w:spacing w:before="40" w:after="40"/>
              <w:ind w:left="0"/>
              <w:jc w:val="center"/>
              <w:rPr>
                <w:rFonts w:ascii="Arial Narrow" w:hAnsi="Arial Narrow"/>
                <w:sz w:val="18"/>
                <w:szCs w:val="18"/>
              </w:rPr>
            </w:pPr>
            <w:r>
              <w:rPr>
                <w:rFonts w:ascii="Arial Narrow" w:hAnsi="Arial Narrow"/>
                <w:sz w:val="18"/>
                <w:szCs w:val="18"/>
              </w:rPr>
              <w:t>74991</w:t>
            </w:r>
          </w:p>
        </w:tc>
        <w:tc>
          <w:tcPr>
            <w:tcW w:w="1342" w:type="dxa"/>
            <w:tcBorders>
              <w:bottom w:val="single" w:sz="4" w:space="0" w:color="auto"/>
            </w:tcBorders>
            <w:vAlign w:val="center"/>
          </w:tcPr>
          <w:p w:rsidR="0052776C" w:rsidRPr="00F00F09" w:rsidRDefault="0020518C" w:rsidP="00F00F09">
            <w:pPr>
              <w:spacing w:before="40" w:after="40"/>
              <w:ind w:left="0"/>
              <w:jc w:val="center"/>
              <w:rPr>
                <w:rFonts w:ascii="Arial Narrow" w:hAnsi="Arial Narrow"/>
                <w:sz w:val="18"/>
                <w:szCs w:val="18"/>
                <w:vertAlign w:val="superscript"/>
              </w:rPr>
            </w:pPr>
            <w:r>
              <w:rPr>
                <w:rFonts w:ascii="Arial Narrow" w:hAnsi="Arial Narrow"/>
                <w:sz w:val="18"/>
                <w:szCs w:val="18"/>
              </w:rPr>
              <w:t>0.01</w:t>
            </w:r>
            <w:r w:rsidR="00A865D8">
              <w:rPr>
                <w:rFonts w:ascii="Arial Narrow" w:hAnsi="Arial Narrow"/>
                <w:sz w:val="18"/>
                <w:szCs w:val="18"/>
                <w:vertAlign w:val="superscript"/>
              </w:rPr>
              <w:t>#</w:t>
            </w:r>
          </w:p>
        </w:tc>
        <w:tc>
          <w:tcPr>
            <w:tcW w:w="1342" w:type="dxa"/>
            <w:vAlign w:val="center"/>
          </w:tcPr>
          <w:p w:rsidR="0052776C" w:rsidRPr="001E4990" w:rsidRDefault="0020518C" w:rsidP="00F00F09">
            <w:pPr>
              <w:spacing w:before="40" w:after="40"/>
              <w:ind w:left="0"/>
              <w:jc w:val="center"/>
              <w:rPr>
                <w:rFonts w:ascii="Arial Narrow" w:hAnsi="Arial Narrow"/>
                <w:sz w:val="18"/>
                <w:szCs w:val="18"/>
              </w:rPr>
            </w:pPr>
            <w:r>
              <w:rPr>
                <w:rFonts w:ascii="Arial Narrow" w:hAnsi="Arial Narrow"/>
                <w:sz w:val="18"/>
                <w:szCs w:val="18"/>
              </w:rPr>
              <w:t>$9.10</w:t>
            </w:r>
          </w:p>
        </w:tc>
        <w:tc>
          <w:tcPr>
            <w:tcW w:w="1342" w:type="dxa"/>
            <w:vAlign w:val="center"/>
          </w:tcPr>
          <w:p w:rsidR="0052776C" w:rsidRPr="001E4990" w:rsidRDefault="0020518C" w:rsidP="00F00F09">
            <w:pPr>
              <w:spacing w:before="40" w:after="40"/>
              <w:ind w:left="0"/>
              <w:jc w:val="center"/>
              <w:rPr>
                <w:rFonts w:ascii="Arial Narrow" w:hAnsi="Arial Narrow"/>
                <w:sz w:val="18"/>
                <w:szCs w:val="18"/>
              </w:rPr>
            </w:pPr>
            <w:r>
              <w:rPr>
                <w:rFonts w:ascii="Arial Narrow" w:hAnsi="Arial Narrow"/>
                <w:sz w:val="18"/>
                <w:szCs w:val="18"/>
              </w:rPr>
              <w:t>0.09</w:t>
            </w:r>
          </w:p>
        </w:tc>
      </w:tr>
      <w:tr w:rsidR="00F43211" w:rsidRPr="001E4990" w:rsidTr="00F00F09">
        <w:tc>
          <w:tcPr>
            <w:tcW w:w="2994" w:type="dxa"/>
            <w:tcBorders>
              <w:right w:val="nil"/>
            </w:tcBorders>
          </w:tcPr>
          <w:p w:rsidR="0052776C" w:rsidRPr="001E4990" w:rsidRDefault="00F43211" w:rsidP="001E4990">
            <w:pPr>
              <w:spacing w:before="40" w:after="40"/>
              <w:ind w:left="0"/>
              <w:rPr>
                <w:rFonts w:ascii="Arial Narrow" w:hAnsi="Arial Narrow"/>
                <w:sz w:val="18"/>
                <w:szCs w:val="18"/>
              </w:rPr>
            </w:pPr>
            <w:r>
              <w:rPr>
                <w:rFonts w:ascii="Arial Narrow" w:hAnsi="Arial Narrow"/>
                <w:sz w:val="18"/>
                <w:szCs w:val="18"/>
              </w:rPr>
              <w:t>Total</w:t>
            </w:r>
          </w:p>
        </w:tc>
        <w:tc>
          <w:tcPr>
            <w:tcW w:w="1342" w:type="dxa"/>
            <w:tcBorders>
              <w:left w:val="nil"/>
              <w:right w:val="nil"/>
            </w:tcBorders>
            <w:vAlign w:val="center"/>
          </w:tcPr>
          <w:p w:rsidR="0052776C" w:rsidRPr="001E4990" w:rsidRDefault="0052776C" w:rsidP="00F00F09">
            <w:pPr>
              <w:spacing w:before="40" w:after="40"/>
              <w:ind w:left="0"/>
              <w:jc w:val="center"/>
              <w:rPr>
                <w:rFonts w:ascii="Arial Narrow" w:hAnsi="Arial Narrow"/>
                <w:sz w:val="18"/>
                <w:szCs w:val="18"/>
              </w:rPr>
            </w:pPr>
          </w:p>
        </w:tc>
        <w:tc>
          <w:tcPr>
            <w:tcW w:w="1342" w:type="dxa"/>
            <w:tcBorders>
              <w:left w:val="nil"/>
              <w:right w:val="nil"/>
            </w:tcBorders>
            <w:vAlign w:val="center"/>
          </w:tcPr>
          <w:p w:rsidR="0052776C" w:rsidRPr="001E4990" w:rsidRDefault="0052776C" w:rsidP="00F00F09">
            <w:pPr>
              <w:spacing w:before="40" w:after="40"/>
              <w:ind w:left="0"/>
              <w:jc w:val="center"/>
              <w:rPr>
                <w:rFonts w:ascii="Arial Narrow" w:hAnsi="Arial Narrow"/>
                <w:sz w:val="18"/>
                <w:szCs w:val="18"/>
              </w:rPr>
            </w:pPr>
          </w:p>
        </w:tc>
        <w:tc>
          <w:tcPr>
            <w:tcW w:w="1342" w:type="dxa"/>
            <w:tcBorders>
              <w:left w:val="nil"/>
            </w:tcBorders>
            <w:vAlign w:val="center"/>
          </w:tcPr>
          <w:p w:rsidR="0052776C" w:rsidRPr="001E4990" w:rsidRDefault="0052776C" w:rsidP="00F00F09">
            <w:pPr>
              <w:spacing w:before="40" w:after="40"/>
              <w:ind w:left="0"/>
              <w:jc w:val="center"/>
              <w:rPr>
                <w:rFonts w:ascii="Arial Narrow" w:hAnsi="Arial Narrow"/>
                <w:sz w:val="18"/>
                <w:szCs w:val="18"/>
              </w:rPr>
            </w:pPr>
          </w:p>
        </w:tc>
        <w:tc>
          <w:tcPr>
            <w:tcW w:w="1342" w:type="dxa"/>
            <w:vAlign w:val="center"/>
          </w:tcPr>
          <w:p w:rsidR="0052776C" w:rsidRPr="00F00F09" w:rsidRDefault="00F43211" w:rsidP="00F00F09">
            <w:pPr>
              <w:spacing w:before="40" w:after="40"/>
              <w:ind w:left="0"/>
              <w:jc w:val="center"/>
              <w:rPr>
                <w:rFonts w:ascii="Arial Narrow" w:hAnsi="Arial Narrow"/>
                <w:b/>
                <w:bCs/>
                <w:sz w:val="18"/>
                <w:szCs w:val="18"/>
              </w:rPr>
            </w:pPr>
            <w:r w:rsidRPr="00F00F09">
              <w:rPr>
                <w:rFonts w:ascii="Arial Narrow" w:hAnsi="Arial Narrow"/>
                <w:b/>
                <w:bCs/>
                <w:sz w:val="18"/>
                <w:szCs w:val="18"/>
              </w:rPr>
              <w:t>$26.13</w:t>
            </w:r>
          </w:p>
        </w:tc>
      </w:tr>
    </w:tbl>
    <w:p w:rsidR="00A865D8" w:rsidRPr="00F00F09" w:rsidRDefault="00A865D8" w:rsidP="00F00F09">
      <w:pPr>
        <w:pStyle w:val="TableNotes"/>
      </w:pPr>
      <w:r>
        <w:rPr>
          <w:vertAlign w:val="superscript"/>
        </w:rPr>
        <w:t>*</w:t>
      </w:r>
      <w:r>
        <w:rPr>
          <w:vertAlign w:val="superscript"/>
        </w:rPr>
        <w:tab/>
      </w:r>
      <w:r>
        <w:t>Assumption of 100% bulk-billed for services and 25% of tests conducted in public laboratories</w:t>
      </w:r>
    </w:p>
    <w:p w:rsidR="00245933" w:rsidRDefault="00A865D8" w:rsidP="00F00F09">
      <w:pPr>
        <w:pStyle w:val="TableNotes"/>
      </w:pPr>
      <w:r w:rsidRPr="00F00F09">
        <w:rPr>
          <w:vertAlign w:val="superscript"/>
        </w:rPr>
        <w:t>#</w:t>
      </w:r>
      <w:r w:rsidRPr="00F00F09">
        <w:tab/>
      </w:r>
      <w:r>
        <w:t>Assumption of 10% concession card holders; 100% bulk-billed for services and 10% in regional, rural or remote locations</w:t>
      </w:r>
    </w:p>
    <w:p w:rsidR="004946A0" w:rsidRDefault="004946A0" w:rsidP="004946A0">
      <w:r>
        <w:t xml:space="preserve">The number of tests that are likely to be undertaken amongst high risk individuals is unknown.  </w:t>
      </w:r>
    </w:p>
    <w:p w:rsidR="004946A0" w:rsidRDefault="004946A0" w:rsidP="004946A0">
      <w:r>
        <w:t xml:space="preserve">Assuming direct substitution and 45,000 rapid tests per year (MSAC 1391 Final Protocol p5), the total cost to the Australian healthcare system is approximately $249,300, where this additional cost is associated with fewer HIV diagnoses.  Assuming sequential use and 45,000 tests per year, the total cost is approximately $1,175,850, where this additional cost is associated with no differences in the number of HIV diagnoses.  </w:t>
      </w:r>
    </w:p>
    <w:p w:rsidR="004946A0" w:rsidRDefault="004946A0" w:rsidP="004946A0">
      <w:r>
        <w:t>Based on the number of tests estimated in the base case of the modelled economic evaluation of 119,889 tests per year, assuming direct substitution, the total cost to the Australian healthcare system is approximately $664,185 (additional cost with fewer HIV diagnoses); assuming sequential use, the total cost is approximately $3,132,700 (additional cost is associated with no differences in the number of HIV diagnoses).</w:t>
      </w:r>
    </w:p>
    <w:p w:rsidR="004946A0" w:rsidRDefault="004946A0" w:rsidP="006A15E7">
      <w:pPr>
        <w:spacing w:after="120"/>
      </w:pPr>
      <w:r>
        <w:t xml:space="preserve">Assuming that the DHC test will result in </w:t>
      </w:r>
      <w:r w:rsidR="004D66EE">
        <w:t xml:space="preserve">a </w:t>
      </w:r>
      <w:r w:rsidR="006A15E7">
        <w:t>3</w:t>
      </w:r>
      <w:r w:rsidR="00F23251">
        <w:t xml:space="preserve">% </w:t>
      </w:r>
      <w:r w:rsidR="004D66EE">
        <w:t xml:space="preserve">increase in the number of HIV tests </w:t>
      </w:r>
      <w:r>
        <w:t>(</w:t>
      </w:r>
      <w:r w:rsidR="006A15E7">
        <w:t>123,496</w:t>
      </w:r>
      <w:r w:rsidR="004D66EE">
        <w:t xml:space="preserve"> </w:t>
      </w:r>
      <w:r>
        <w:t>tests for DHC and 119,899 tests for serology per year)</w:t>
      </w:r>
      <w:r w:rsidR="003F5E96">
        <w:t xml:space="preserve"> and:</w:t>
      </w:r>
    </w:p>
    <w:p w:rsidR="003F5E96" w:rsidRPr="003F5E96" w:rsidRDefault="003F5E96" w:rsidP="003A6C3A">
      <w:pPr>
        <w:pStyle w:val="ListParagraph"/>
        <w:numPr>
          <w:ilvl w:val="0"/>
          <w:numId w:val="37"/>
        </w:numPr>
        <w:spacing w:after="120" w:line="240" w:lineRule="auto"/>
        <w:ind w:left="1134" w:hanging="425"/>
        <w:rPr>
          <w:rFonts w:ascii="Garamond" w:hAnsi="Garamond"/>
          <w:sz w:val="24"/>
          <w:szCs w:val="24"/>
        </w:rPr>
      </w:pPr>
      <w:r w:rsidRPr="003F5E96">
        <w:rPr>
          <w:rFonts w:ascii="Garamond" w:hAnsi="Garamond"/>
          <w:sz w:val="24"/>
          <w:szCs w:val="24"/>
        </w:rPr>
        <w:t xml:space="preserve">Direct </w:t>
      </w:r>
      <w:r>
        <w:rPr>
          <w:rFonts w:ascii="Garamond" w:hAnsi="Garamond"/>
          <w:sz w:val="24"/>
          <w:szCs w:val="24"/>
        </w:rPr>
        <w:t>substitution;</w:t>
      </w:r>
      <w:r w:rsidRPr="003F5E96">
        <w:rPr>
          <w:rFonts w:ascii="Garamond" w:hAnsi="Garamond"/>
          <w:sz w:val="24"/>
          <w:szCs w:val="24"/>
        </w:rPr>
        <w:t xml:space="preserve"> total cost to the Australian healthcare system is </w:t>
      </w:r>
      <w:r w:rsidR="00F23251">
        <w:rPr>
          <w:rFonts w:ascii="Garamond" w:hAnsi="Garamond"/>
          <w:sz w:val="24"/>
          <w:szCs w:val="24"/>
        </w:rPr>
        <w:t>$</w:t>
      </w:r>
      <w:r w:rsidR="006A15E7">
        <w:rPr>
          <w:rFonts w:ascii="Garamond" w:hAnsi="Garamond"/>
          <w:sz w:val="24"/>
          <w:szCs w:val="24"/>
        </w:rPr>
        <w:t>758,229</w:t>
      </w:r>
      <w:r w:rsidRPr="003F5E96">
        <w:rPr>
          <w:rFonts w:ascii="Garamond" w:hAnsi="Garamond"/>
          <w:sz w:val="24"/>
          <w:szCs w:val="24"/>
        </w:rPr>
        <w:t>, with additional HIV diagnoses; and</w:t>
      </w:r>
    </w:p>
    <w:p w:rsidR="003F5E96" w:rsidRDefault="003F5E96" w:rsidP="003A6C3A">
      <w:pPr>
        <w:pStyle w:val="ListParagraph"/>
        <w:numPr>
          <w:ilvl w:val="0"/>
          <w:numId w:val="37"/>
        </w:numPr>
        <w:spacing w:after="240" w:line="240" w:lineRule="auto"/>
        <w:ind w:left="1134" w:hanging="425"/>
        <w:rPr>
          <w:rFonts w:ascii="Garamond" w:hAnsi="Garamond"/>
          <w:sz w:val="24"/>
          <w:szCs w:val="24"/>
        </w:rPr>
      </w:pPr>
      <w:r w:rsidRPr="003F5E96">
        <w:rPr>
          <w:rFonts w:ascii="Garamond" w:hAnsi="Garamond"/>
          <w:sz w:val="24"/>
          <w:szCs w:val="24"/>
        </w:rPr>
        <w:t xml:space="preserve">Assuming sequential use (among those who would </w:t>
      </w:r>
      <w:r>
        <w:rPr>
          <w:rFonts w:ascii="Garamond" w:hAnsi="Garamond"/>
          <w:sz w:val="24"/>
          <w:szCs w:val="24"/>
        </w:rPr>
        <w:t>have tested by serology anyway);</w:t>
      </w:r>
      <w:r w:rsidRPr="003F5E96">
        <w:rPr>
          <w:rFonts w:ascii="Garamond" w:hAnsi="Garamond"/>
          <w:sz w:val="24"/>
          <w:szCs w:val="24"/>
        </w:rPr>
        <w:t xml:space="preserve"> total cost to the Australian healthcare system is </w:t>
      </w:r>
      <w:r w:rsidR="00F23251">
        <w:rPr>
          <w:rFonts w:ascii="Garamond" w:hAnsi="Garamond"/>
          <w:sz w:val="24"/>
          <w:szCs w:val="24"/>
        </w:rPr>
        <w:t>$</w:t>
      </w:r>
      <w:r w:rsidR="006A15E7">
        <w:rPr>
          <w:rFonts w:ascii="Garamond" w:hAnsi="Garamond"/>
          <w:sz w:val="24"/>
          <w:szCs w:val="24"/>
        </w:rPr>
        <w:t>5,769,732</w:t>
      </w:r>
      <w:r w:rsidR="00F23251">
        <w:rPr>
          <w:rFonts w:ascii="Garamond" w:hAnsi="Garamond"/>
          <w:sz w:val="24"/>
          <w:szCs w:val="24"/>
        </w:rPr>
        <w:t xml:space="preserve"> respectively, </w:t>
      </w:r>
      <w:r w:rsidRPr="003F5E96">
        <w:rPr>
          <w:rFonts w:ascii="Garamond" w:hAnsi="Garamond"/>
          <w:sz w:val="24"/>
          <w:szCs w:val="24"/>
        </w:rPr>
        <w:t>with additional HIV diagnoses</w:t>
      </w:r>
      <w:r>
        <w:rPr>
          <w:rFonts w:ascii="Garamond" w:hAnsi="Garamond"/>
          <w:sz w:val="24"/>
          <w:szCs w:val="24"/>
        </w:rPr>
        <w:t>.</w:t>
      </w:r>
    </w:p>
    <w:p w:rsidR="006A15E7" w:rsidRPr="003A6C3A" w:rsidRDefault="006A15E7" w:rsidP="003A6C3A">
      <w:pPr>
        <w:rPr>
          <w:szCs w:val="24"/>
        </w:rPr>
      </w:pPr>
      <w:r w:rsidRPr="003A6C3A">
        <w:t>Differences between these estimates, and those presented in the sensitivity analyses of the model</w:t>
      </w:r>
      <w:r>
        <w:rPr>
          <w:szCs w:val="24"/>
        </w:rPr>
        <w:t xml:space="preserve"> are due to the use of the 100% MBS fee and other assumptions used in the model. </w:t>
      </w:r>
    </w:p>
    <w:p w:rsidR="00644A81" w:rsidRDefault="00644A81" w:rsidP="00644A81">
      <w:pPr>
        <w:pStyle w:val="Heading3"/>
      </w:pPr>
      <w:r w:rsidRPr="000A3AAF">
        <w:t xml:space="preserve">Costs to the Medical Benefits Scheme (MBS) </w:t>
      </w:r>
    </w:p>
    <w:p w:rsidR="00DB7E9D" w:rsidRPr="00DB7E9D" w:rsidRDefault="00DB7E9D" w:rsidP="00BA681F">
      <w:pPr>
        <w:spacing w:after="120"/>
      </w:pPr>
      <w:r>
        <w:t>Same as overall cost</w:t>
      </w:r>
    </w:p>
    <w:p w:rsidR="00644A81" w:rsidRDefault="00644A81" w:rsidP="00644A81">
      <w:pPr>
        <w:pStyle w:val="Heading3"/>
      </w:pPr>
      <w:r w:rsidRPr="000A3AAF">
        <w:lastRenderedPageBreak/>
        <w:t>Costs to the State and Territory health systems</w:t>
      </w:r>
    </w:p>
    <w:p w:rsidR="00F00F09" w:rsidRPr="00F00F09" w:rsidRDefault="00F00F09" w:rsidP="00F00F09">
      <w:r>
        <w:t xml:space="preserve">None </w:t>
      </w:r>
    </w:p>
    <w:p w:rsidR="004825DC" w:rsidRDefault="004825DC" w:rsidP="000A3AAF">
      <w:pPr>
        <w:pStyle w:val="Heading3"/>
      </w:pPr>
      <w:r w:rsidRPr="000A3AAF">
        <w:t xml:space="preserve">Costs to the private health insurer </w:t>
      </w:r>
      <w:r w:rsidR="00B751C7" w:rsidRPr="000A3AAF">
        <w:t>and/</w:t>
      </w:r>
      <w:r w:rsidRPr="000A3AAF">
        <w:t>o</w:t>
      </w:r>
      <w:r w:rsidR="00FB5809" w:rsidRPr="000A3AAF">
        <w:t>r</w:t>
      </w:r>
      <w:r w:rsidRPr="000A3AAF">
        <w:t xml:space="preserve"> patient</w:t>
      </w:r>
    </w:p>
    <w:p w:rsidR="007C2DBB" w:rsidRPr="000A3AAF" w:rsidRDefault="00823BDB" w:rsidP="00AB0F6C">
      <w:proofErr w:type="gramStart"/>
      <w:r>
        <w:t>None.</w:t>
      </w:r>
      <w:proofErr w:type="gramEnd"/>
      <w:r>
        <w:t xml:space="preserve">  Expert advice has indicated that all </w:t>
      </w:r>
      <w:r w:rsidR="00231F87">
        <w:t xml:space="preserve">serology </w:t>
      </w:r>
      <w:r>
        <w:t>HIV tests are bulk</w:t>
      </w:r>
      <w:r w:rsidR="00F737A4">
        <w:t>-</w:t>
      </w:r>
      <w:r w:rsidR="00231F87">
        <w:t>billed, and this is likely to be the case for rapid point-of-care testing.  However, should individuals undergoing rapid po</w:t>
      </w:r>
      <w:r w:rsidR="00F737A4">
        <w:t>int-of-care testing not be bulk-</w:t>
      </w:r>
      <w:r w:rsidR="00231F87">
        <w:t>billed and be required to contribute to part of the fee, this cost would be $4.50 (15% of the $30</w:t>
      </w:r>
      <w:r w:rsidR="00F52188">
        <w:t>.00</w:t>
      </w:r>
      <w:r w:rsidR="00231F87">
        <w:t xml:space="preserve"> requested fee).</w:t>
      </w:r>
    </w:p>
    <w:p w:rsidR="008F59A8" w:rsidRPr="00776777" w:rsidRDefault="00334595" w:rsidP="00776777">
      <w:pPr>
        <w:pStyle w:val="Heading1"/>
      </w:pPr>
      <w:bookmarkStart w:id="177" w:name="_Toc418224878"/>
      <w:r w:rsidRPr="0030581B">
        <w:lastRenderedPageBreak/>
        <w:t xml:space="preserve">Discussion &amp; </w:t>
      </w:r>
      <w:r w:rsidR="008F59A8" w:rsidRPr="0030581B">
        <w:t>Conclusions</w:t>
      </w:r>
      <w:bookmarkEnd w:id="177"/>
      <w:r w:rsidR="008F59A8" w:rsidRPr="00776777">
        <w:t xml:space="preserve"> </w:t>
      </w:r>
    </w:p>
    <w:p w:rsidR="008F59A8" w:rsidRPr="004C6B15" w:rsidRDefault="008F59A8">
      <w:pPr>
        <w:pStyle w:val="Heading2"/>
      </w:pPr>
      <w:bookmarkStart w:id="178" w:name="_Toc418224879"/>
      <w:r w:rsidRPr="004C6B15">
        <w:t>Safety</w:t>
      </w:r>
      <w:bookmarkEnd w:id="178"/>
      <w:r w:rsidRPr="004C6B15">
        <w:t xml:space="preserve"> </w:t>
      </w:r>
    </w:p>
    <w:p w:rsidR="005804D8" w:rsidRDefault="00230F1B" w:rsidP="006B2FAD">
      <w:r>
        <w:t>No studies assessing the comparative safety of rapid point-of-care testing and serology testing for HIV were identified.</w:t>
      </w:r>
    </w:p>
    <w:p w:rsidR="00230F1B" w:rsidRDefault="00230F1B" w:rsidP="00230F1B">
      <w:r>
        <w:t>With respect to the procedures undertaken to collect specimens for testing, a finger-prick of venepuncture for rapid point-of-care and serology, respectively, no real safety issues are associated with either</w:t>
      </w:r>
      <w:r w:rsidR="003F5E96">
        <w:t xml:space="preserve">, </w:t>
      </w:r>
      <w:r w:rsidR="003F5E96" w:rsidRPr="00DC4B53">
        <w:t>provided the person drawing the samples is trained and sterile equipment is used</w:t>
      </w:r>
      <w:r>
        <w:t>.  In addition, as the DHC test requires the same or fewer blood withdrawals than the comparators, it is reasonable to conclude that the test is safe.</w:t>
      </w:r>
    </w:p>
    <w:p w:rsidR="00230F1B" w:rsidRPr="006B2FAD" w:rsidRDefault="00230F1B" w:rsidP="006B2FAD">
      <w:r>
        <w:t>The impact of false positive or false negative results from the rapid point-of-care test however, should be considered.  Where false positive results occur from the DHC test, this is likely to be associated with concern and anxiety until such time that the individual’s true HIV status is conveyed.  With respect to false negative results, there is potential for those individuals to have worse health outcomes in the longer term due to having an undiagnosed HIV infection.  There is also the potential for these individuals to unknowingly transmit HIV to other individuals until such time they undergo furth</w:t>
      </w:r>
      <w:r w:rsidR="003F5E96">
        <w:t xml:space="preserve">er testing and are diagnosed.  </w:t>
      </w:r>
      <w:r w:rsidR="003F5E96" w:rsidRPr="00E44BD6">
        <w:t xml:space="preserve">As noted </w:t>
      </w:r>
      <w:r w:rsidR="003F5E96">
        <w:t>previously</w:t>
      </w:r>
      <w:r w:rsidR="003F5E96" w:rsidRPr="00E44BD6">
        <w:t>, the current practice in at least one Melbourne clinic is to collect a venous sample on the same day as rapid testing for serology testing for HIV.  If this applies nationally, the risk of false negative results should be no greater than is currently the case.  The risk of false-negative results in practice may additionally be mitigated through information provided in the product’s instructions for use and through training of health professionals performing the test.  The product’s instructions for use detail the limitations of the test, including the limitation of the test at early stages of infection.  These limitations are explained to health professionals performing the test when they are trained in the use of the product.</w:t>
      </w:r>
    </w:p>
    <w:p w:rsidR="008F59A8" w:rsidRPr="004C6B15" w:rsidRDefault="008F59A8">
      <w:pPr>
        <w:pStyle w:val="Heading2"/>
      </w:pPr>
      <w:bookmarkStart w:id="179" w:name="_Toc418224880"/>
      <w:r w:rsidRPr="004C6B15">
        <w:t>Effectiveness</w:t>
      </w:r>
      <w:bookmarkEnd w:id="179"/>
      <w:r w:rsidRPr="004C6B15">
        <w:t xml:space="preserve"> </w:t>
      </w:r>
    </w:p>
    <w:p w:rsidR="00A135D9" w:rsidRDefault="00A135D9" w:rsidP="000A3AAF">
      <w:pPr>
        <w:pStyle w:val="Heading3"/>
      </w:pPr>
      <w:bookmarkStart w:id="180" w:name="_Toc188861207"/>
      <w:r w:rsidRPr="000A3AAF">
        <w:t>Diagnostic accuracy</w:t>
      </w:r>
      <w:bookmarkEnd w:id="180"/>
    </w:p>
    <w:p w:rsidR="0047059D" w:rsidRDefault="00230F1B" w:rsidP="0047059D">
      <w:r>
        <w:t xml:space="preserve">The </w:t>
      </w:r>
      <w:r w:rsidR="00CF3D7D">
        <w:t xml:space="preserve">product insert for the DHC test states that the </w:t>
      </w:r>
      <w:r>
        <w:t>sensitivity is 100.00% across 1</w:t>
      </w:r>
      <w:r w:rsidR="003F5E96">
        <w:t>,</w:t>
      </w:r>
      <w:r>
        <w:t>179 specimens positive for various types and subtypes of HIV</w:t>
      </w:r>
      <w:r w:rsidR="00F9191F">
        <w:t xml:space="preserve"> and who were confirmed HIV antibody positive</w:t>
      </w:r>
      <w:r>
        <w:t xml:space="preserve">.  The specificity of the test is 99.61% for the antigen test line and the 99.21% for the antibody test line across </w:t>
      </w:r>
      <w:r w:rsidR="00041F29">
        <w:t>1</w:t>
      </w:r>
      <w:r w:rsidR="003F5E96">
        <w:t>,</w:t>
      </w:r>
      <w:r w:rsidR="00041F29">
        <w:t>783</w:t>
      </w:r>
      <w:r w:rsidR="0030581B">
        <w:t xml:space="preserve"> </w:t>
      </w:r>
      <w:r>
        <w:t>HIV-negative specimens.</w:t>
      </w:r>
      <w:r w:rsidR="00D37F5A">
        <w:t xml:space="preserve">  </w:t>
      </w:r>
      <w:r w:rsidR="0047059D">
        <w:t>Given these estimates are derived from the</w:t>
      </w:r>
      <w:r w:rsidR="0047059D" w:rsidRPr="0061729B">
        <w:t xml:space="preserve"> two extreme ends of the </w:t>
      </w:r>
      <w:r w:rsidR="0047059D">
        <w:t xml:space="preserve">disease </w:t>
      </w:r>
      <w:r w:rsidR="0047059D" w:rsidRPr="0061729B">
        <w:t>spectrum (</w:t>
      </w:r>
      <w:proofErr w:type="spellStart"/>
      <w:r w:rsidR="0047059D" w:rsidRPr="0061729B">
        <w:t>ie</w:t>
      </w:r>
      <w:proofErr w:type="spellEnd"/>
      <w:r w:rsidR="0047059D">
        <w:t>,</w:t>
      </w:r>
      <w:r w:rsidR="0047059D" w:rsidRPr="0061729B">
        <w:t xml:space="preserve"> </w:t>
      </w:r>
      <w:r w:rsidR="0047059D">
        <w:t xml:space="preserve">confirmed </w:t>
      </w:r>
      <w:r w:rsidR="0047059D" w:rsidRPr="0061729B">
        <w:t>seronegative and seropositive</w:t>
      </w:r>
      <w:r w:rsidR="0047059D">
        <w:t xml:space="preserve"> specimens</w:t>
      </w:r>
      <w:r w:rsidR="0047059D" w:rsidRPr="0061729B">
        <w:t>), which tends to overestimate diagnostic accuracy (</w:t>
      </w:r>
      <w:proofErr w:type="spellStart"/>
      <w:r w:rsidR="0047059D" w:rsidRPr="0061729B">
        <w:t>Knottnerus</w:t>
      </w:r>
      <w:proofErr w:type="spellEnd"/>
      <w:r w:rsidR="0047059D" w:rsidRPr="0061729B">
        <w:t xml:space="preserve"> 2002</w:t>
      </w:r>
      <w:r w:rsidR="0047059D">
        <w:t>), an assessment of the diagnostic characteristics of the test amongst a high-risk Australian population, where the test was being used in GP and sexual health clinics, and was compared with current diagnostic tests used in Australia was deemed relevant to this review.</w:t>
      </w:r>
      <w:r w:rsidR="00D37F5A">
        <w:t xml:space="preserve">  </w:t>
      </w:r>
    </w:p>
    <w:p w:rsidR="0030581B" w:rsidRDefault="00D37F5A" w:rsidP="0047059D">
      <w:r>
        <w:t>D</w:t>
      </w:r>
      <w:r w:rsidR="00230F1B">
        <w:t>iagnostic accuracy of the DHC test</w:t>
      </w:r>
      <w:r w:rsidR="004F6D59">
        <w:t xml:space="preserve"> in an at-</w:t>
      </w:r>
      <w:r w:rsidR="00CF3D7D">
        <w:t>risk population</w:t>
      </w:r>
      <w:r w:rsidR="00230F1B">
        <w:t xml:space="preserve"> was derived from two Australian studies offering the DHC test to MSM </w:t>
      </w:r>
      <w:r w:rsidR="00CF3D7D">
        <w:t xml:space="preserve">attending GP and sexual health clinics in Melbourne and Sydney.  The attendees each also had laboratory-based testing for HIV, where a negative laboratory-based enzyme immunoassay was used to determine a </w:t>
      </w:r>
      <w:r w:rsidR="00CF3D7D">
        <w:lastRenderedPageBreak/>
        <w:t>true negative status and in those with positive laboratory-based immunoassay wer</w:t>
      </w:r>
      <w:r w:rsidR="00C536C4">
        <w:t>e further confirmed by Western B</w:t>
      </w:r>
      <w:r w:rsidR="00CF3D7D">
        <w:t xml:space="preserve">lot analysis to determine true HIV status.  </w:t>
      </w:r>
    </w:p>
    <w:p w:rsidR="0030581B" w:rsidRDefault="0030581B" w:rsidP="00230F1B">
      <w:r>
        <w:t>The overall findings from the body of evidence for the diagnostic accuracy component of this linked evidence assessment are summarised in Table 2</w:t>
      </w:r>
      <w:r w:rsidR="00237AF7">
        <w:t>5</w:t>
      </w:r>
      <w:r>
        <w:t>.</w:t>
      </w:r>
    </w:p>
    <w:p w:rsidR="0030581B" w:rsidRDefault="0030581B" w:rsidP="0030581B">
      <w:pPr>
        <w:pStyle w:val="Caption"/>
      </w:pPr>
      <w:bookmarkStart w:id="181" w:name="_Ref381192732"/>
      <w:bookmarkStart w:id="182" w:name="_Toc415103533"/>
      <w:bookmarkStart w:id="183" w:name="_Toc418225023"/>
      <w:bookmarkStart w:id="184" w:name="_Toc418225669"/>
      <w:bookmarkStart w:id="185" w:name="_Toc381269813"/>
      <w:r>
        <w:t xml:space="preserve">Table </w:t>
      </w:r>
      <w:bookmarkEnd w:id="181"/>
      <w:r>
        <w:t>2</w:t>
      </w:r>
      <w:r w:rsidR="00237AF7">
        <w:t>5</w:t>
      </w:r>
      <w:r>
        <w:tab/>
      </w:r>
      <w:r w:rsidRPr="0030581B">
        <w:t>Body</w:t>
      </w:r>
      <w:r>
        <w:t xml:space="preserve"> of evidence matrix for diagnostic accuracy</w:t>
      </w:r>
      <w:bookmarkEnd w:id="182"/>
      <w:bookmarkEnd w:id="183"/>
      <w:bookmarkEnd w:id="184"/>
      <w:r>
        <w:t xml:space="preserve"> </w:t>
      </w:r>
      <w:bookmarkEnd w:id="185"/>
    </w:p>
    <w:tbl>
      <w:tblPr>
        <w:tblW w:w="8363" w:type="dxa"/>
        <w:tblInd w:w="737" w:type="dxa"/>
        <w:tblLayout w:type="fixed"/>
        <w:tblCellMar>
          <w:left w:w="0" w:type="dxa"/>
          <w:right w:w="0" w:type="dxa"/>
        </w:tblCellMar>
        <w:tblLook w:val="0000" w:firstRow="0" w:lastRow="0" w:firstColumn="0" w:lastColumn="0" w:noHBand="0" w:noVBand="0"/>
        <w:tblDescription w:val="Body of evidence matrix for diagnostic accuracy "/>
      </w:tblPr>
      <w:tblGrid>
        <w:gridCol w:w="2126"/>
        <w:gridCol w:w="6237"/>
      </w:tblGrid>
      <w:tr w:rsidR="0030581B" w:rsidRPr="0020228D" w:rsidTr="007D2E85">
        <w:trPr>
          <w:tblHeader/>
        </w:trPr>
        <w:tc>
          <w:tcPr>
            <w:tcW w:w="2126" w:type="dxa"/>
            <w:tcBorders>
              <w:top w:val="single" w:sz="4" w:space="0" w:color="000000"/>
              <w:left w:val="single" w:sz="4" w:space="0" w:color="000000"/>
              <w:bottom w:val="single" w:sz="4" w:space="0" w:color="000000"/>
              <w:right w:val="single" w:sz="4" w:space="0" w:color="000000"/>
            </w:tcBorders>
          </w:tcPr>
          <w:p w:rsidR="0030581B" w:rsidRPr="0020228D" w:rsidRDefault="0030581B" w:rsidP="002A0B37">
            <w:pPr>
              <w:pStyle w:val="TableHeading"/>
              <w:keepNext w:val="0"/>
            </w:pPr>
            <w:r w:rsidRPr="0020228D">
              <w:t>Co</w:t>
            </w:r>
            <w:r w:rsidRPr="0020228D">
              <w:rPr>
                <w:spacing w:val="-1"/>
              </w:rPr>
              <w:t>m</w:t>
            </w:r>
            <w:r w:rsidRPr="0020228D">
              <w:t>p</w:t>
            </w:r>
            <w:r w:rsidRPr="0020228D">
              <w:rPr>
                <w:spacing w:val="-1"/>
              </w:rPr>
              <w:t>o</w:t>
            </w:r>
            <w:r w:rsidRPr="0020228D">
              <w:t>ne</w:t>
            </w:r>
            <w:r w:rsidRPr="0020228D">
              <w:rPr>
                <w:spacing w:val="-1"/>
              </w:rPr>
              <w:t>n</w:t>
            </w:r>
            <w:r w:rsidRPr="0020228D">
              <w:t>t</w:t>
            </w:r>
          </w:p>
        </w:tc>
        <w:tc>
          <w:tcPr>
            <w:tcW w:w="6237" w:type="dxa"/>
            <w:tcBorders>
              <w:top w:val="single" w:sz="4" w:space="0" w:color="000000"/>
              <w:left w:val="single" w:sz="4" w:space="0" w:color="000000"/>
              <w:bottom w:val="single" w:sz="4" w:space="0" w:color="000000"/>
              <w:right w:val="single" w:sz="4" w:space="0" w:color="000000"/>
            </w:tcBorders>
          </w:tcPr>
          <w:p w:rsidR="0030581B" w:rsidRDefault="007D2E85" w:rsidP="002A0B37">
            <w:pPr>
              <w:pStyle w:val="TableHeading"/>
              <w:keepNext w:val="0"/>
            </w:pPr>
            <w:r w:rsidRPr="007D2E85">
              <w:rPr>
                <w:color w:val="FFFFFF" w:themeColor="background1"/>
              </w:rPr>
              <w:t>-</w:t>
            </w:r>
          </w:p>
        </w:tc>
      </w:tr>
      <w:tr w:rsidR="0030581B" w:rsidRPr="00F94EC9" w:rsidTr="0030581B">
        <w:tc>
          <w:tcPr>
            <w:tcW w:w="2126" w:type="dxa"/>
            <w:tcBorders>
              <w:top w:val="single" w:sz="4" w:space="0" w:color="000000"/>
              <w:left w:val="single" w:sz="4" w:space="0" w:color="000000"/>
              <w:bottom w:val="single" w:sz="4" w:space="0" w:color="000000"/>
              <w:right w:val="single" w:sz="4" w:space="0" w:color="000000"/>
            </w:tcBorders>
          </w:tcPr>
          <w:p w:rsidR="0030581B" w:rsidRPr="00F94EC9" w:rsidRDefault="0030581B" w:rsidP="002A0B37">
            <w:pPr>
              <w:pStyle w:val="Tabletext1"/>
              <w:keepNext w:val="0"/>
            </w:pPr>
            <w:r>
              <w:t>E</w:t>
            </w:r>
            <w:r w:rsidRPr="00F94EC9">
              <w:t>vidence</w:t>
            </w:r>
            <w:r>
              <w:t>-</w:t>
            </w:r>
            <w:proofErr w:type="spellStart"/>
            <w:r w:rsidRPr="00F94EC9">
              <w:t>base</w:t>
            </w:r>
            <w:r>
              <w:rPr>
                <w:vertAlign w:val="superscript"/>
              </w:rPr>
              <w:t>a</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30581B" w:rsidRDefault="0030581B" w:rsidP="002A0B37">
            <w:pPr>
              <w:pStyle w:val="Tabletext1"/>
              <w:keepNext w:val="0"/>
              <w:jc w:val="left"/>
            </w:pPr>
            <w:r w:rsidRPr="00E840B2">
              <w:t>C</w:t>
            </w:r>
            <w:r>
              <w:t xml:space="preserve"> – Satisfactory</w:t>
            </w:r>
          </w:p>
          <w:p w:rsidR="0030581B" w:rsidRDefault="0030581B" w:rsidP="002A0B37">
            <w:pPr>
              <w:pStyle w:val="Tabletext1"/>
              <w:keepNext w:val="0"/>
              <w:jc w:val="left"/>
            </w:pPr>
            <w:r w:rsidRPr="00E840B2">
              <w:t>One or two lev</w:t>
            </w:r>
            <w:r w:rsidRPr="00E840B2">
              <w:rPr>
                <w:spacing w:val="-1"/>
              </w:rPr>
              <w:t>e</w:t>
            </w:r>
            <w:r w:rsidRPr="00E840B2">
              <w:t>l</w:t>
            </w:r>
            <w:r w:rsidRPr="00E840B2">
              <w:rPr>
                <w:spacing w:val="1"/>
              </w:rPr>
              <w:t xml:space="preserve"> </w:t>
            </w:r>
            <w:r w:rsidRPr="00E840B2">
              <w:t>III</w:t>
            </w:r>
            <w:r w:rsidRPr="00E840B2">
              <w:rPr>
                <w:spacing w:val="-1"/>
              </w:rPr>
              <w:t xml:space="preserve"> </w:t>
            </w:r>
            <w:r w:rsidRPr="00E840B2">
              <w:t>studies</w:t>
            </w:r>
            <w:r w:rsidRPr="00E840B2">
              <w:rPr>
                <w:spacing w:val="-2"/>
              </w:rPr>
              <w:t xml:space="preserve"> </w:t>
            </w:r>
            <w:r w:rsidRPr="00E840B2">
              <w:t>with a low</w:t>
            </w:r>
            <w:r w:rsidRPr="00E840B2">
              <w:rPr>
                <w:spacing w:val="1"/>
              </w:rPr>
              <w:t xml:space="preserve"> </w:t>
            </w:r>
            <w:r w:rsidRPr="00E840B2">
              <w:t>risk</w:t>
            </w:r>
            <w:r w:rsidRPr="00E840B2">
              <w:rPr>
                <w:spacing w:val="1"/>
              </w:rPr>
              <w:t xml:space="preserve"> </w:t>
            </w:r>
            <w:r w:rsidRPr="00E840B2">
              <w:t>of</w:t>
            </w:r>
            <w:r w:rsidRPr="00E840B2">
              <w:rPr>
                <w:spacing w:val="-1"/>
              </w:rPr>
              <w:t xml:space="preserve"> </w:t>
            </w:r>
            <w:r w:rsidRPr="00E840B2">
              <w:t>bias</w:t>
            </w:r>
          </w:p>
          <w:p w:rsidR="0030581B" w:rsidRDefault="0030581B" w:rsidP="0030581B">
            <w:pPr>
              <w:pStyle w:val="Tabletext1"/>
              <w:keepNext w:val="0"/>
              <w:jc w:val="left"/>
            </w:pPr>
            <w:r>
              <w:t>All the studies were cross-sectional in nature, level III-2; and all had a low risk of bias.</w:t>
            </w:r>
          </w:p>
        </w:tc>
      </w:tr>
      <w:tr w:rsidR="0030581B" w:rsidRPr="00F94EC9" w:rsidTr="0030581B">
        <w:tc>
          <w:tcPr>
            <w:tcW w:w="2126" w:type="dxa"/>
            <w:tcBorders>
              <w:top w:val="single" w:sz="4" w:space="0" w:color="000000"/>
              <w:left w:val="single" w:sz="4" w:space="0" w:color="000000"/>
              <w:bottom w:val="single" w:sz="4" w:space="0" w:color="000000"/>
              <w:right w:val="single" w:sz="4" w:space="0" w:color="000000"/>
            </w:tcBorders>
          </w:tcPr>
          <w:p w:rsidR="0030581B" w:rsidRPr="00F94EC9" w:rsidRDefault="0030581B" w:rsidP="002A0B37">
            <w:pPr>
              <w:pStyle w:val="Tabletext1"/>
              <w:keepNext w:val="0"/>
            </w:pPr>
            <w:r w:rsidRPr="00F94EC9">
              <w:t>Consisten</w:t>
            </w:r>
            <w:r w:rsidRPr="00F94EC9">
              <w:rPr>
                <w:spacing w:val="-1"/>
              </w:rPr>
              <w:t>c</w:t>
            </w:r>
            <w:r w:rsidRPr="00F94EC9">
              <w:t>y</w:t>
            </w:r>
          </w:p>
        </w:tc>
        <w:tc>
          <w:tcPr>
            <w:tcW w:w="6237" w:type="dxa"/>
            <w:tcBorders>
              <w:top w:val="single" w:sz="4" w:space="0" w:color="000000"/>
              <w:left w:val="single" w:sz="4" w:space="0" w:color="000000"/>
              <w:bottom w:val="single" w:sz="4" w:space="0" w:color="000000"/>
              <w:right w:val="single" w:sz="4" w:space="0" w:color="000000"/>
            </w:tcBorders>
          </w:tcPr>
          <w:p w:rsidR="0030581B" w:rsidRDefault="0030581B" w:rsidP="002A0B37">
            <w:pPr>
              <w:pStyle w:val="Tabletext1"/>
              <w:keepNext w:val="0"/>
              <w:jc w:val="left"/>
            </w:pPr>
            <w:r>
              <w:t>B – Good</w:t>
            </w:r>
          </w:p>
          <w:p w:rsidR="0030581B" w:rsidRDefault="0030581B" w:rsidP="002A0B37">
            <w:pPr>
              <w:pStyle w:val="Tabletext1"/>
              <w:keepNext w:val="0"/>
              <w:jc w:val="left"/>
            </w:pPr>
            <w:r>
              <w:t>M</w:t>
            </w:r>
            <w:r w:rsidRPr="00230F1B">
              <w:t>ost studies consistent and inconsistency may be explained</w:t>
            </w:r>
            <w:r>
              <w:t xml:space="preserve"> </w:t>
            </w:r>
          </w:p>
          <w:p w:rsidR="0030581B" w:rsidRDefault="0030581B" w:rsidP="0030581B">
            <w:pPr>
              <w:pStyle w:val="Tabletext1"/>
              <w:keepNext w:val="0"/>
              <w:jc w:val="left"/>
            </w:pPr>
            <w:r>
              <w:t>Both studies were consistent in their respective determination of sensitivity, specificity and negative predictive value of the DHC test.  The studies differed with respect to reported positive predictive value</w:t>
            </w:r>
            <w:r w:rsidR="007C5B79">
              <w:t>s</w:t>
            </w:r>
            <w:r>
              <w:t xml:space="preserve">, </w:t>
            </w:r>
            <w:r w:rsidR="007C5B79">
              <w:t>which could be explained by one study reporting approximately double the number of false positive results compared with the other (0.6% versus 0.3%).  However, the reason for this difference in observed false positive rate is not known.</w:t>
            </w:r>
          </w:p>
        </w:tc>
      </w:tr>
      <w:tr w:rsidR="0030581B" w:rsidRPr="00F94EC9" w:rsidTr="0030581B">
        <w:tc>
          <w:tcPr>
            <w:tcW w:w="2126" w:type="dxa"/>
            <w:tcBorders>
              <w:top w:val="single" w:sz="4" w:space="0" w:color="000000"/>
              <w:left w:val="single" w:sz="4" w:space="0" w:color="000000"/>
              <w:bottom w:val="single" w:sz="4" w:space="0" w:color="000000"/>
              <w:right w:val="single" w:sz="4" w:space="0" w:color="000000"/>
            </w:tcBorders>
          </w:tcPr>
          <w:p w:rsidR="0030581B" w:rsidRPr="00F94EC9" w:rsidRDefault="0030581B" w:rsidP="002A0B37">
            <w:pPr>
              <w:pStyle w:val="Tabletext1"/>
              <w:keepNext w:val="0"/>
            </w:pPr>
            <w:proofErr w:type="spellStart"/>
            <w:r w:rsidRPr="00F94EC9">
              <w:t>Gener</w:t>
            </w:r>
            <w:r w:rsidRPr="00F94EC9">
              <w:rPr>
                <w:spacing w:val="1"/>
              </w:rPr>
              <w:t>a</w:t>
            </w:r>
            <w:r w:rsidRPr="00F94EC9">
              <w:t>lis</w:t>
            </w:r>
            <w:r w:rsidRPr="00F94EC9">
              <w:rPr>
                <w:spacing w:val="1"/>
              </w:rPr>
              <w:t>a</w:t>
            </w:r>
            <w:r w:rsidRPr="00F94EC9">
              <w:t>bility</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30581B" w:rsidRDefault="007C5B79" w:rsidP="002A0B37">
            <w:pPr>
              <w:pStyle w:val="Tabletext1"/>
              <w:keepNext w:val="0"/>
              <w:jc w:val="left"/>
            </w:pPr>
            <w:r>
              <w:t>A</w:t>
            </w:r>
            <w:r w:rsidR="0030581B">
              <w:t xml:space="preserve"> – </w:t>
            </w:r>
            <w:r>
              <w:t>Excellent</w:t>
            </w:r>
          </w:p>
          <w:p w:rsidR="0030581B" w:rsidRDefault="007C5B79" w:rsidP="002A0B37">
            <w:pPr>
              <w:pStyle w:val="Tabletext1"/>
              <w:keepNext w:val="0"/>
              <w:jc w:val="left"/>
              <w:rPr>
                <w:vertAlign w:val="superscript"/>
              </w:rPr>
            </w:pPr>
            <w:r>
              <w:t>P</w:t>
            </w:r>
            <w:r w:rsidRPr="00EF1A55">
              <w:t>opulation/s studied in body of evidence are the same as the target population</w:t>
            </w:r>
          </w:p>
          <w:p w:rsidR="0030581B" w:rsidRDefault="0030581B" w:rsidP="00A45240">
            <w:pPr>
              <w:pStyle w:val="Tabletext1"/>
              <w:keepNext w:val="0"/>
              <w:jc w:val="left"/>
            </w:pPr>
            <w:r>
              <w:t xml:space="preserve">The populations </w:t>
            </w:r>
            <w:r w:rsidR="007C5B79">
              <w:t xml:space="preserve">included in the studies are directly applicable to those for whom listing is sought – Australian MSM residing in Melbourne or Sydney who attended GP or sexual health clinics for HIV testing.  While including directly applicable populations, the populations were not entirely </w:t>
            </w:r>
            <w:r w:rsidR="00A45240">
              <w:t>representative as they presented results only for MSM, where the test is intended for a wider population, such as injecting drug users.</w:t>
            </w:r>
          </w:p>
        </w:tc>
      </w:tr>
      <w:tr w:rsidR="0030581B" w:rsidRPr="00F94EC9" w:rsidTr="0030581B">
        <w:tc>
          <w:tcPr>
            <w:tcW w:w="2126" w:type="dxa"/>
            <w:tcBorders>
              <w:top w:val="single" w:sz="4" w:space="0" w:color="000000"/>
              <w:left w:val="single" w:sz="4" w:space="0" w:color="000000"/>
              <w:bottom w:val="single" w:sz="4" w:space="0" w:color="000000"/>
              <w:right w:val="single" w:sz="4" w:space="0" w:color="000000"/>
            </w:tcBorders>
          </w:tcPr>
          <w:p w:rsidR="0030581B" w:rsidRPr="00F94EC9" w:rsidRDefault="0030581B" w:rsidP="002A0B37">
            <w:pPr>
              <w:pStyle w:val="Tabletext1"/>
            </w:pPr>
            <w:r w:rsidRPr="00F94EC9">
              <w:t>Applicability</w:t>
            </w:r>
          </w:p>
        </w:tc>
        <w:tc>
          <w:tcPr>
            <w:tcW w:w="6237" w:type="dxa"/>
            <w:tcBorders>
              <w:top w:val="single" w:sz="4" w:space="0" w:color="000000"/>
              <w:left w:val="single" w:sz="4" w:space="0" w:color="000000"/>
              <w:bottom w:val="single" w:sz="4" w:space="0" w:color="000000"/>
              <w:right w:val="single" w:sz="4" w:space="0" w:color="000000"/>
            </w:tcBorders>
          </w:tcPr>
          <w:p w:rsidR="0030581B" w:rsidRDefault="00A45240" w:rsidP="002A0B37">
            <w:pPr>
              <w:pStyle w:val="Tabletext1"/>
              <w:jc w:val="left"/>
            </w:pPr>
            <w:r>
              <w:t>A</w:t>
            </w:r>
            <w:r w:rsidR="0030581B">
              <w:t xml:space="preserve"> – </w:t>
            </w:r>
            <w:r>
              <w:t>Excellent</w:t>
            </w:r>
          </w:p>
          <w:p w:rsidR="00A45240" w:rsidRDefault="00A45240" w:rsidP="002A0B37">
            <w:pPr>
              <w:pStyle w:val="Tabletext1"/>
              <w:jc w:val="left"/>
            </w:pPr>
            <w:r>
              <w:t>D</w:t>
            </w:r>
            <w:r w:rsidRPr="00EF1A55">
              <w:t>irectly applicable to Australian healthcare context</w:t>
            </w:r>
            <w:r>
              <w:t xml:space="preserve"> </w:t>
            </w:r>
          </w:p>
          <w:p w:rsidR="0030581B" w:rsidRDefault="0030581B" w:rsidP="00A45240">
            <w:pPr>
              <w:pStyle w:val="Tabletext1"/>
              <w:jc w:val="left"/>
            </w:pPr>
            <w:r>
              <w:t xml:space="preserve">Study settings and testing methodologies were </w:t>
            </w:r>
            <w:r w:rsidR="00A45240">
              <w:t>consistent with current standard of care in Australia</w:t>
            </w:r>
            <w:r>
              <w:t>.</w:t>
            </w:r>
          </w:p>
        </w:tc>
      </w:tr>
    </w:tbl>
    <w:p w:rsidR="0030581B" w:rsidRPr="00B60189" w:rsidRDefault="0030581B" w:rsidP="0030581B">
      <w:pPr>
        <w:pStyle w:val="TableNotes"/>
      </w:pPr>
      <w:r>
        <w:t>Source: adapted from</w:t>
      </w:r>
      <w:r w:rsidRPr="00B60189">
        <w:fldChar w:fldCharType="begin"/>
      </w:r>
      <w:r>
        <w:instrText xml:space="preserve"> ADDIN EN.CITE &lt;EndNote&gt;&lt;Cite&gt;&lt;Author&gt;NHMRC&lt;/Author&gt;&lt;Year&gt;2008&lt;/Year&gt;&lt;RecNum&gt;132&lt;/RecNum&gt;&lt;DisplayText&gt;(NHMRC 2008)&lt;/DisplayText&gt;&lt;record&gt;&lt;rec-number&gt;132&lt;/rec-number&gt;&lt;ref-type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Pr="00B60189">
        <w:fldChar w:fldCharType="separate"/>
      </w:r>
      <w:r>
        <w:rPr>
          <w:noProof/>
        </w:rPr>
        <w:t>(</w:t>
      </w:r>
      <w:hyperlink w:anchor="_ENREF_117" w:tooltip="NHMRC, 2008 #132" w:history="1">
        <w:r>
          <w:rPr>
            <w:noProof/>
          </w:rPr>
          <w:t>NHMRC 2008</w:t>
        </w:r>
      </w:hyperlink>
      <w:r>
        <w:rPr>
          <w:noProof/>
        </w:rPr>
        <w:t>)</w:t>
      </w:r>
      <w:r w:rsidRPr="00B60189">
        <w:fldChar w:fldCharType="end"/>
      </w:r>
    </w:p>
    <w:p w:rsidR="0030581B" w:rsidRDefault="0030581B" w:rsidP="0030581B">
      <w:pPr>
        <w:pStyle w:val="TableNotes"/>
        <w:tabs>
          <w:tab w:val="left" w:pos="993"/>
        </w:tabs>
      </w:pPr>
      <w:proofErr w:type="gramStart"/>
      <w:r>
        <w:rPr>
          <w:vertAlign w:val="superscript"/>
        </w:rPr>
        <w:t>a</w:t>
      </w:r>
      <w:proofErr w:type="gramEnd"/>
      <w:r>
        <w:tab/>
      </w:r>
      <w:r w:rsidRPr="00193B87">
        <w:t xml:space="preserve">Level of evidence determined from the NHMRC evidence hierarchy </w:t>
      </w:r>
    </w:p>
    <w:p w:rsidR="00230F1B" w:rsidRDefault="00CF3D7D" w:rsidP="00230F1B">
      <w:r>
        <w:t>A meta-analysis of the two</w:t>
      </w:r>
      <w:r w:rsidR="00A45240">
        <w:t xml:space="preserve"> included </w:t>
      </w:r>
      <w:r>
        <w:t>studies indicated that the sensitivity of the DHC test was 87.8% (95% CI: 75.2%, 95.4%) and the specificity was 99.4% (95% CI: 99.1%, 99.7%)</w:t>
      </w:r>
      <w:r w:rsidR="00ED4DD9">
        <w:t xml:space="preserve"> compared with serology testing</w:t>
      </w:r>
      <w:r>
        <w:t>.</w:t>
      </w:r>
    </w:p>
    <w:p w:rsidR="00CF3D7D" w:rsidRPr="00230F1B" w:rsidRDefault="00F943B7" w:rsidP="00093CD9">
      <w:r>
        <w:t>The data presented in these two studies is directly applicable to those for whom listing is sought</w:t>
      </w:r>
      <w:r w:rsidRPr="004A6251">
        <w:t xml:space="preserve">.  While the results of these diagnostic accuracy studies yield different diagnostic characteristics of the DHC test compared with serology testing provided in the product insert, </w:t>
      </w:r>
      <w:r>
        <w:t xml:space="preserve">the differences </w:t>
      </w:r>
      <w:r w:rsidRPr="0061729B">
        <w:t xml:space="preserve">are likely to result from the estimates provided in </w:t>
      </w:r>
      <w:r>
        <w:t>the product insert</w:t>
      </w:r>
      <w:r w:rsidRPr="0061729B">
        <w:t xml:space="preserve"> having been assessed from the two extreme ends of the </w:t>
      </w:r>
      <w:r>
        <w:t xml:space="preserve">disease </w:t>
      </w:r>
      <w:r w:rsidRPr="0061729B">
        <w:t>spectrum (</w:t>
      </w:r>
      <w:proofErr w:type="spellStart"/>
      <w:r w:rsidRPr="0061729B">
        <w:t>ie</w:t>
      </w:r>
      <w:proofErr w:type="spellEnd"/>
      <w:r>
        <w:t>,</w:t>
      </w:r>
      <w:r w:rsidRPr="0061729B">
        <w:t xml:space="preserve"> </w:t>
      </w:r>
      <w:r>
        <w:t xml:space="preserve">confirmed </w:t>
      </w:r>
      <w:r w:rsidRPr="0061729B">
        <w:t>seronegative and seropositive</w:t>
      </w:r>
      <w:r>
        <w:t xml:space="preserve"> specimens</w:t>
      </w:r>
      <w:r w:rsidRPr="0061729B">
        <w:t>), which tends to overestimate diagnostic accuracy (</w:t>
      </w:r>
      <w:proofErr w:type="spellStart"/>
      <w:r w:rsidRPr="0061729B">
        <w:t>Knottnerus</w:t>
      </w:r>
      <w:proofErr w:type="spellEnd"/>
      <w:r w:rsidRPr="0061729B">
        <w:t xml:space="preserve"> 2002)</w:t>
      </w:r>
      <w:r>
        <w:t>.</w:t>
      </w:r>
      <w:r w:rsidR="00CF2E72" w:rsidRPr="004A6251">
        <w:t xml:space="preserve">  </w:t>
      </w:r>
      <w:r w:rsidR="00CF2E72">
        <w:t>These data indicate that use of the DHC test in early HIV infection should be used with caution</w:t>
      </w:r>
      <w:r w:rsidR="003A6C3A" w:rsidRPr="004A6251">
        <w:t>.</w:t>
      </w:r>
      <w:r w:rsidR="003F5E96" w:rsidRPr="004A6251">
        <w:t xml:space="preserve"> </w:t>
      </w:r>
      <w:r w:rsidR="00C536C4">
        <w:t xml:space="preserve"> </w:t>
      </w:r>
      <w:r w:rsidR="00CF3D7D">
        <w:t xml:space="preserve">The risk of false-negative results in practice may however be mitigated through information provided in the product’s instructions for use and through training of health professionals performing the test.  The product’s instructions for use detail the limitations of the test, including the limitation of the test at early stages of infection.  These limitations are explained to health professionals performing the test when they are trained in the use of the product.  Expert advice has suggested that </w:t>
      </w:r>
      <w:r w:rsidR="00CF2E72">
        <w:t xml:space="preserve">individuals suspected of early HIV </w:t>
      </w:r>
      <w:proofErr w:type="spellStart"/>
      <w:r w:rsidR="00CF2E72">
        <w:t>seroconversion</w:t>
      </w:r>
      <w:proofErr w:type="spellEnd"/>
      <w:r w:rsidR="00CF2E72">
        <w:t xml:space="preserve"> </w:t>
      </w:r>
      <w:r>
        <w:t>a</w:t>
      </w:r>
      <w:r w:rsidR="00CF2E72">
        <w:t xml:space="preserve">re </w:t>
      </w:r>
      <w:r w:rsidR="00CF2E72">
        <w:lastRenderedPageBreak/>
        <w:t>particularly encouraged to undergo</w:t>
      </w:r>
      <w:r w:rsidR="00D62DE8">
        <w:t xml:space="preserve"> additional</w:t>
      </w:r>
      <w:r w:rsidR="00CF2E72">
        <w:t xml:space="preserve"> laboratory testing</w:t>
      </w:r>
      <w:r>
        <w:t xml:space="preserve">, other advice suggest that those suspected of early infection </w:t>
      </w:r>
      <w:r w:rsidR="00CF2E72">
        <w:t xml:space="preserve">should not be tested with a rapid test at all.  </w:t>
      </w:r>
    </w:p>
    <w:p w:rsidR="00A135D9" w:rsidRDefault="00A135D9" w:rsidP="000A3AAF">
      <w:pPr>
        <w:pStyle w:val="Heading3"/>
      </w:pPr>
      <w:bookmarkStart w:id="186" w:name="_Toc188861208"/>
      <w:r w:rsidRPr="000A3AAF">
        <w:t>Impact on patient management</w:t>
      </w:r>
      <w:bookmarkEnd w:id="186"/>
    </w:p>
    <w:p w:rsidR="00CF3D7D" w:rsidRPr="00CF3D7D" w:rsidRDefault="00CF3D7D" w:rsidP="00CF3D7D">
      <w:r>
        <w:t xml:space="preserve">A single randomised controlled trial was identified in which MSM who had a previous negative HIV test result within the last two years were randomised to the DHC test or conventional laboratory-based testing for HIV.  The trial duration was a period of 18 months and the primary outcome of the trial was </w:t>
      </w:r>
      <w:r w:rsidR="0030581B">
        <w:t>“HIV tests over 18 months”.  Table 2</w:t>
      </w:r>
      <w:r w:rsidR="00237AF7">
        <w:t>6</w:t>
      </w:r>
      <w:r w:rsidR="0030581B">
        <w:t xml:space="preserve"> summarises </w:t>
      </w:r>
      <w:r w:rsidR="00A45240">
        <w:t>the overall findings from the body of evidence for the patient management component of this linked evidence assessment.</w:t>
      </w:r>
    </w:p>
    <w:p w:rsidR="00A45240" w:rsidRDefault="00A45240" w:rsidP="00A45240">
      <w:pPr>
        <w:pStyle w:val="Caption"/>
      </w:pPr>
      <w:bookmarkStart w:id="187" w:name="_Toc415103534"/>
      <w:bookmarkStart w:id="188" w:name="_Toc418225024"/>
      <w:bookmarkStart w:id="189" w:name="_Toc418225670"/>
      <w:r>
        <w:t>Table 2</w:t>
      </w:r>
      <w:r w:rsidR="00237AF7">
        <w:t>6</w:t>
      </w:r>
      <w:r>
        <w:tab/>
      </w:r>
      <w:r w:rsidRPr="0030581B">
        <w:t>Body</w:t>
      </w:r>
      <w:r>
        <w:t xml:space="preserve"> of evidence matrix for patient management</w:t>
      </w:r>
      <w:bookmarkEnd w:id="187"/>
      <w:bookmarkEnd w:id="188"/>
      <w:bookmarkEnd w:id="189"/>
      <w:r>
        <w:t xml:space="preserve"> </w:t>
      </w:r>
    </w:p>
    <w:tbl>
      <w:tblPr>
        <w:tblW w:w="8363" w:type="dxa"/>
        <w:tblInd w:w="737" w:type="dxa"/>
        <w:tblLayout w:type="fixed"/>
        <w:tblCellMar>
          <w:left w:w="0" w:type="dxa"/>
          <w:right w:w="0" w:type="dxa"/>
        </w:tblCellMar>
        <w:tblLook w:val="0000" w:firstRow="0" w:lastRow="0" w:firstColumn="0" w:lastColumn="0" w:noHBand="0" w:noVBand="0"/>
        <w:tblDescription w:val="Body of evidence matrix for patient management "/>
      </w:tblPr>
      <w:tblGrid>
        <w:gridCol w:w="2126"/>
        <w:gridCol w:w="6237"/>
      </w:tblGrid>
      <w:tr w:rsidR="00A45240" w:rsidRPr="0020228D" w:rsidTr="007D2E85">
        <w:trPr>
          <w:tblHeader/>
        </w:trPr>
        <w:tc>
          <w:tcPr>
            <w:tcW w:w="2126" w:type="dxa"/>
            <w:tcBorders>
              <w:top w:val="single" w:sz="4" w:space="0" w:color="000000"/>
              <w:left w:val="single" w:sz="4" w:space="0" w:color="000000"/>
              <w:bottom w:val="single" w:sz="4" w:space="0" w:color="000000"/>
              <w:right w:val="single" w:sz="4" w:space="0" w:color="000000"/>
            </w:tcBorders>
          </w:tcPr>
          <w:p w:rsidR="00A45240" w:rsidRPr="0020228D" w:rsidRDefault="00A45240" w:rsidP="002A0B37">
            <w:pPr>
              <w:pStyle w:val="TableHeading"/>
              <w:keepNext w:val="0"/>
            </w:pPr>
            <w:r w:rsidRPr="0020228D">
              <w:t>Co</w:t>
            </w:r>
            <w:r w:rsidRPr="0020228D">
              <w:rPr>
                <w:spacing w:val="-1"/>
              </w:rPr>
              <w:t>m</w:t>
            </w:r>
            <w:r w:rsidRPr="0020228D">
              <w:t>p</w:t>
            </w:r>
            <w:r w:rsidRPr="0020228D">
              <w:rPr>
                <w:spacing w:val="-1"/>
              </w:rPr>
              <w:t>o</w:t>
            </w:r>
            <w:r w:rsidRPr="0020228D">
              <w:t>ne</w:t>
            </w:r>
            <w:r w:rsidRPr="0020228D">
              <w:rPr>
                <w:spacing w:val="-1"/>
              </w:rPr>
              <w:t>n</w:t>
            </w:r>
            <w:r w:rsidRPr="0020228D">
              <w:t>t</w:t>
            </w:r>
          </w:p>
        </w:tc>
        <w:tc>
          <w:tcPr>
            <w:tcW w:w="6237" w:type="dxa"/>
            <w:tcBorders>
              <w:top w:val="single" w:sz="4" w:space="0" w:color="000000"/>
              <w:left w:val="single" w:sz="4" w:space="0" w:color="000000"/>
              <w:bottom w:val="single" w:sz="4" w:space="0" w:color="000000"/>
              <w:right w:val="single" w:sz="4" w:space="0" w:color="000000"/>
            </w:tcBorders>
          </w:tcPr>
          <w:p w:rsidR="00A45240" w:rsidRDefault="007D2E85" w:rsidP="002A0B37">
            <w:pPr>
              <w:pStyle w:val="TableHeading"/>
              <w:keepNext w:val="0"/>
            </w:pPr>
            <w:r w:rsidRPr="007D2E85">
              <w:rPr>
                <w:color w:val="FFFFFF" w:themeColor="background1"/>
              </w:rPr>
              <w:t>-</w:t>
            </w:r>
          </w:p>
        </w:tc>
      </w:tr>
      <w:tr w:rsidR="00A45240" w:rsidRPr="00F94EC9" w:rsidTr="002A0B37">
        <w:tc>
          <w:tcPr>
            <w:tcW w:w="2126" w:type="dxa"/>
            <w:tcBorders>
              <w:top w:val="single" w:sz="4" w:space="0" w:color="000000"/>
              <w:left w:val="single" w:sz="4" w:space="0" w:color="000000"/>
              <w:bottom w:val="single" w:sz="4" w:space="0" w:color="000000"/>
              <w:right w:val="single" w:sz="4" w:space="0" w:color="000000"/>
            </w:tcBorders>
          </w:tcPr>
          <w:p w:rsidR="00A45240" w:rsidRPr="00F94EC9" w:rsidRDefault="00A45240" w:rsidP="002A0B37">
            <w:pPr>
              <w:pStyle w:val="Tabletext1"/>
              <w:keepNext w:val="0"/>
            </w:pPr>
            <w:r>
              <w:t>E</w:t>
            </w:r>
            <w:r w:rsidRPr="00F94EC9">
              <w:t>vidence</w:t>
            </w:r>
            <w:r>
              <w:t>-</w:t>
            </w:r>
            <w:proofErr w:type="spellStart"/>
            <w:r w:rsidRPr="00F94EC9">
              <w:t>base</w:t>
            </w:r>
            <w:r>
              <w:rPr>
                <w:vertAlign w:val="superscript"/>
              </w:rPr>
              <w:t>a</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A45240" w:rsidRDefault="00A45240" w:rsidP="002A0B37">
            <w:pPr>
              <w:pStyle w:val="Tabletext1"/>
              <w:keepNext w:val="0"/>
              <w:jc w:val="left"/>
            </w:pPr>
            <w:r>
              <w:t>B – Good</w:t>
            </w:r>
          </w:p>
          <w:p w:rsidR="00A45240" w:rsidRDefault="00A45240" w:rsidP="002A0B37">
            <w:pPr>
              <w:pStyle w:val="Tabletext1"/>
              <w:keepNext w:val="0"/>
              <w:jc w:val="left"/>
            </w:pPr>
            <w:r>
              <w:t>O</w:t>
            </w:r>
            <w:r w:rsidRPr="00EF1A55">
              <w:t>ne or two level II studies with low risk of bias or a SR/multiple level III studies with low risk of bias</w:t>
            </w:r>
          </w:p>
          <w:p w:rsidR="00A45240" w:rsidRDefault="00A45240" w:rsidP="00A45240">
            <w:pPr>
              <w:pStyle w:val="Tabletext1"/>
              <w:keepNext w:val="0"/>
              <w:jc w:val="left"/>
            </w:pPr>
            <w:r>
              <w:t>The trial, level II; had a low risk of bias.</w:t>
            </w:r>
          </w:p>
        </w:tc>
      </w:tr>
      <w:tr w:rsidR="00A45240" w:rsidRPr="00F94EC9" w:rsidTr="002A0B37">
        <w:tc>
          <w:tcPr>
            <w:tcW w:w="2126" w:type="dxa"/>
            <w:tcBorders>
              <w:top w:val="single" w:sz="4" w:space="0" w:color="000000"/>
              <w:left w:val="single" w:sz="4" w:space="0" w:color="000000"/>
              <w:bottom w:val="single" w:sz="4" w:space="0" w:color="000000"/>
              <w:right w:val="single" w:sz="4" w:space="0" w:color="000000"/>
            </w:tcBorders>
          </w:tcPr>
          <w:p w:rsidR="00A45240" w:rsidRPr="00F94EC9" w:rsidRDefault="00A45240" w:rsidP="002A0B37">
            <w:pPr>
              <w:pStyle w:val="Tabletext1"/>
              <w:keepNext w:val="0"/>
            </w:pPr>
            <w:r w:rsidRPr="00F94EC9">
              <w:t>Consisten</w:t>
            </w:r>
            <w:r w:rsidRPr="00F94EC9">
              <w:rPr>
                <w:spacing w:val="-1"/>
              </w:rPr>
              <w:t>c</w:t>
            </w:r>
            <w:r w:rsidRPr="00F94EC9">
              <w:t>y</w:t>
            </w:r>
          </w:p>
        </w:tc>
        <w:tc>
          <w:tcPr>
            <w:tcW w:w="6237" w:type="dxa"/>
            <w:tcBorders>
              <w:top w:val="single" w:sz="4" w:space="0" w:color="000000"/>
              <w:left w:val="single" w:sz="4" w:space="0" w:color="000000"/>
              <w:bottom w:val="single" w:sz="4" w:space="0" w:color="000000"/>
              <w:right w:val="single" w:sz="4" w:space="0" w:color="000000"/>
            </w:tcBorders>
          </w:tcPr>
          <w:p w:rsidR="00A45240" w:rsidRDefault="00A45240" w:rsidP="002A0B37">
            <w:pPr>
              <w:pStyle w:val="Tabletext1"/>
              <w:keepNext w:val="0"/>
              <w:jc w:val="left"/>
            </w:pPr>
            <w:r>
              <w:t>Not applicable as there was only one trial</w:t>
            </w:r>
          </w:p>
        </w:tc>
      </w:tr>
      <w:tr w:rsidR="00A45240" w:rsidRPr="00F94EC9" w:rsidTr="002A0B37">
        <w:tc>
          <w:tcPr>
            <w:tcW w:w="2126" w:type="dxa"/>
            <w:tcBorders>
              <w:top w:val="single" w:sz="4" w:space="0" w:color="000000"/>
              <w:left w:val="single" w:sz="4" w:space="0" w:color="000000"/>
              <w:bottom w:val="single" w:sz="4" w:space="0" w:color="000000"/>
              <w:right w:val="single" w:sz="4" w:space="0" w:color="000000"/>
            </w:tcBorders>
          </w:tcPr>
          <w:p w:rsidR="00A45240" w:rsidRPr="00F94EC9" w:rsidRDefault="00A45240" w:rsidP="002A0B37">
            <w:pPr>
              <w:pStyle w:val="Tabletext1"/>
              <w:keepNext w:val="0"/>
            </w:pPr>
            <w:proofErr w:type="spellStart"/>
            <w:r w:rsidRPr="00F94EC9">
              <w:t>Gener</w:t>
            </w:r>
            <w:r w:rsidRPr="00F94EC9">
              <w:rPr>
                <w:spacing w:val="1"/>
              </w:rPr>
              <w:t>a</w:t>
            </w:r>
            <w:r w:rsidRPr="00F94EC9">
              <w:t>lis</w:t>
            </w:r>
            <w:r w:rsidRPr="00F94EC9">
              <w:rPr>
                <w:spacing w:val="1"/>
              </w:rPr>
              <w:t>a</w:t>
            </w:r>
            <w:r w:rsidRPr="00F94EC9">
              <w:t>bility</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A45240" w:rsidRDefault="00A45240" w:rsidP="002A0B37">
            <w:pPr>
              <w:pStyle w:val="Tabletext1"/>
              <w:keepNext w:val="0"/>
              <w:jc w:val="left"/>
            </w:pPr>
            <w:r>
              <w:t>A – Excellent</w:t>
            </w:r>
          </w:p>
          <w:p w:rsidR="00A45240" w:rsidRDefault="00A45240" w:rsidP="002A0B37">
            <w:pPr>
              <w:pStyle w:val="Tabletext1"/>
              <w:keepNext w:val="0"/>
              <w:jc w:val="left"/>
              <w:rPr>
                <w:vertAlign w:val="superscript"/>
              </w:rPr>
            </w:pPr>
            <w:r>
              <w:t>P</w:t>
            </w:r>
            <w:r w:rsidRPr="00EF1A55">
              <w:t>opulation/s studied in body of evidence are the same as the target population</w:t>
            </w:r>
          </w:p>
          <w:p w:rsidR="00A45240" w:rsidRDefault="00A45240" w:rsidP="00B87977">
            <w:pPr>
              <w:pStyle w:val="Tabletext1"/>
              <w:keepNext w:val="0"/>
              <w:jc w:val="left"/>
            </w:pPr>
            <w:r>
              <w:t xml:space="preserve">The populations included in the studies are directly applicable to those for whom listing is </w:t>
            </w:r>
            <w:r w:rsidRPr="00B87977">
              <w:t xml:space="preserve">sought – Australian MSM residing in Melbourne who attended </w:t>
            </w:r>
            <w:r w:rsidR="00B87977" w:rsidRPr="00B87977">
              <w:t>a sexual health clinic</w:t>
            </w:r>
            <w:r w:rsidRPr="00B87977">
              <w:t xml:space="preserve"> for HIV testing.  While</w:t>
            </w:r>
            <w:r>
              <w:t xml:space="preserve"> including directly applicable populations, the populations were not entirely representative as they presented results only for MSM, where the test is intended for a wider population, such as injecting drug users.</w:t>
            </w:r>
          </w:p>
        </w:tc>
      </w:tr>
      <w:tr w:rsidR="00A45240" w:rsidRPr="00F94EC9" w:rsidTr="002A0B37">
        <w:tc>
          <w:tcPr>
            <w:tcW w:w="2126" w:type="dxa"/>
            <w:tcBorders>
              <w:top w:val="single" w:sz="4" w:space="0" w:color="000000"/>
              <w:left w:val="single" w:sz="4" w:space="0" w:color="000000"/>
              <w:bottom w:val="single" w:sz="4" w:space="0" w:color="000000"/>
              <w:right w:val="single" w:sz="4" w:space="0" w:color="000000"/>
            </w:tcBorders>
          </w:tcPr>
          <w:p w:rsidR="00A45240" w:rsidRPr="00F94EC9" w:rsidRDefault="00A45240" w:rsidP="002A0B37">
            <w:pPr>
              <w:pStyle w:val="Tabletext1"/>
            </w:pPr>
            <w:r w:rsidRPr="00F94EC9">
              <w:t>Applicability</w:t>
            </w:r>
          </w:p>
        </w:tc>
        <w:tc>
          <w:tcPr>
            <w:tcW w:w="6237" w:type="dxa"/>
            <w:tcBorders>
              <w:top w:val="single" w:sz="4" w:space="0" w:color="000000"/>
              <w:left w:val="single" w:sz="4" w:space="0" w:color="000000"/>
              <w:bottom w:val="single" w:sz="4" w:space="0" w:color="000000"/>
              <w:right w:val="single" w:sz="4" w:space="0" w:color="000000"/>
            </w:tcBorders>
          </w:tcPr>
          <w:p w:rsidR="00A45240" w:rsidRDefault="00A45240" w:rsidP="002A0B37">
            <w:pPr>
              <w:pStyle w:val="Tabletext1"/>
              <w:jc w:val="left"/>
            </w:pPr>
            <w:r>
              <w:t>A – Excellent</w:t>
            </w:r>
          </w:p>
          <w:p w:rsidR="00A45240" w:rsidRDefault="00A45240" w:rsidP="002A0B37">
            <w:pPr>
              <w:pStyle w:val="Tabletext1"/>
              <w:jc w:val="left"/>
            </w:pPr>
            <w:r>
              <w:t>D</w:t>
            </w:r>
            <w:r w:rsidRPr="00EF1A55">
              <w:t>irectly applicable to Australian healthcare context</w:t>
            </w:r>
            <w:r>
              <w:t xml:space="preserve"> </w:t>
            </w:r>
          </w:p>
          <w:p w:rsidR="00A45240" w:rsidRDefault="00A45240" w:rsidP="002A0B37">
            <w:pPr>
              <w:pStyle w:val="Tabletext1"/>
              <w:jc w:val="left"/>
            </w:pPr>
            <w:r>
              <w:t>Study settings and testing methodologies were consistent with current standard of care in Australia.</w:t>
            </w:r>
          </w:p>
        </w:tc>
      </w:tr>
    </w:tbl>
    <w:p w:rsidR="00A45240" w:rsidRPr="00B60189" w:rsidRDefault="00A45240" w:rsidP="00A45240">
      <w:pPr>
        <w:pStyle w:val="TableNotes"/>
      </w:pPr>
      <w:r>
        <w:t>Source: adapted from</w:t>
      </w:r>
      <w:r w:rsidRPr="00B60189">
        <w:fldChar w:fldCharType="begin"/>
      </w:r>
      <w:r>
        <w:instrText xml:space="preserve"> ADDIN EN.CITE &lt;EndNote&gt;&lt;Cite&gt;&lt;Author&gt;NHMRC&lt;/Author&gt;&lt;Year&gt;2008&lt;/Year&gt;&lt;RecNum&gt;132&lt;/RecNum&gt;&lt;DisplayText&gt;(NHMRC 2008)&lt;/DisplayText&gt;&lt;record&gt;&lt;rec-number&gt;132&lt;/rec-number&gt;&lt;ref-type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Pr="00B60189">
        <w:fldChar w:fldCharType="separate"/>
      </w:r>
      <w:r>
        <w:rPr>
          <w:noProof/>
        </w:rPr>
        <w:t>(</w:t>
      </w:r>
      <w:hyperlink w:anchor="_ENREF_117" w:tooltip="NHMRC, 2008 #132" w:history="1">
        <w:r>
          <w:rPr>
            <w:noProof/>
          </w:rPr>
          <w:t>NHMRC 2008</w:t>
        </w:r>
      </w:hyperlink>
      <w:r>
        <w:rPr>
          <w:noProof/>
        </w:rPr>
        <w:t>)</w:t>
      </w:r>
      <w:r w:rsidRPr="00B60189">
        <w:fldChar w:fldCharType="end"/>
      </w:r>
    </w:p>
    <w:p w:rsidR="00A45240" w:rsidRDefault="00A45240" w:rsidP="00A45240">
      <w:pPr>
        <w:pStyle w:val="TableNotes"/>
        <w:tabs>
          <w:tab w:val="left" w:pos="993"/>
        </w:tabs>
      </w:pPr>
      <w:proofErr w:type="gramStart"/>
      <w:r>
        <w:rPr>
          <w:vertAlign w:val="superscript"/>
        </w:rPr>
        <w:t>a</w:t>
      </w:r>
      <w:proofErr w:type="gramEnd"/>
      <w:r>
        <w:tab/>
      </w:r>
      <w:r w:rsidRPr="00193B87">
        <w:t xml:space="preserve">Level of evidence determined from the NHMRC evidence hierarchy </w:t>
      </w:r>
    </w:p>
    <w:p w:rsidR="00AF4C8D" w:rsidRDefault="00AF4C8D" w:rsidP="00AF4C8D">
      <w:r>
        <w:t>The results of the trial indicate that there was no statistically significant difference between groups for the primary outcome of “HIV tests over 18 months” or the secondary outcomes of syphilis, chlamydia and gonorrhoea testing over 18 months.  Hence, the possibility of having HIV tests by rapid point-of-care testing did not result in higher testing frequency over the study period of 18 months.</w:t>
      </w:r>
    </w:p>
    <w:p w:rsidR="00334595" w:rsidRDefault="00AF4C8D" w:rsidP="00AF4C8D">
      <w:r>
        <w:t xml:space="preserve">The authors also undertook </w:t>
      </w:r>
      <w:r>
        <w:rPr>
          <w:i/>
          <w:iCs/>
        </w:rPr>
        <w:t xml:space="preserve">post-hoc </w:t>
      </w:r>
      <w:r>
        <w:t>analyses considering only the first HIV test after enrolment and considering only subsequent HIV tests (excluding first tests).  A statistically significantly greater number of first HIV tests/year after the enrolment test was observed in those randomised to the HIV testing by the rapid point-of-care test compared with conventional testing, however no differences were observed in the number of HIV tests/year when only considering subsequent tests.  Based on these results, the authors conclude that “Post hoc analysis showed an initial increase in their rate of testing that was not sustained”.</w:t>
      </w:r>
    </w:p>
    <w:p w:rsidR="00BC6BEB" w:rsidRDefault="00BC6BEB" w:rsidP="00AF4C8D">
      <w:r>
        <w:t xml:space="preserve">While the population in the trial is applicable to those for whom listing is sought, the population was limited in that enrolment was restricted to men who had a history of testing, which is not entirely applicable for the Australian population for whom listing is </w:t>
      </w:r>
      <w:r>
        <w:lastRenderedPageBreak/>
        <w:t>sought.  The MBS listing would also extend to individuals who have never tested for HIV.</w:t>
      </w:r>
    </w:p>
    <w:p w:rsidR="00AF4C8D" w:rsidRDefault="00AF4C8D" w:rsidP="00AF4C8D">
      <w:r>
        <w:t>A potential overall limitation of the intention of the proposed MBS listing is the restriction of the use of the DHC test in GP and sexual health clinics</w:t>
      </w:r>
      <w:r w:rsidR="00481886">
        <w:t xml:space="preserve">.  The use of the DHC test in such clinics </w:t>
      </w:r>
      <w:r>
        <w:t>requires individual</w:t>
      </w:r>
      <w:r w:rsidR="00481886">
        <w:t>s</w:t>
      </w:r>
      <w:r>
        <w:t xml:space="preserve"> to </w:t>
      </w:r>
      <w:r w:rsidR="00481886">
        <w:t xml:space="preserve">attend </w:t>
      </w:r>
      <w:r w:rsidR="00C536C4">
        <w:t>the</w:t>
      </w:r>
      <w:r w:rsidR="00481886">
        <w:t xml:space="preserve"> clinics for HIV testing, which is also the case for current laboratory-based testing for HIV.  This requires that at-risk individuals recognise the need for HIV testing and actively seek it.  While data from </w:t>
      </w:r>
      <w:proofErr w:type="spellStart"/>
      <w:r w:rsidR="00481886">
        <w:t>Eu</w:t>
      </w:r>
      <w:proofErr w:type="spellEnd"/>
      <w:r w:rsidR="00481886">
        <w:t xml:space="preserve"> (2014) suggests that one in five attendees to their clinic would not have tested if the DHC test were unavailable, data from </w:t>
      </w:r>
      <w:proofErr w:type="spellStart"/>
      <w:r w:rsidR="00481886">
        <w:t>Prestage</w:t>
      </w:r>
      <w:proofErr w:type="spellEnd"/>
      <w:r w:rsidR="00481886">
        <w:t xml:space="preserve"> (2012) indicates that a substantial proportion of men cite “I haven’t done anything risky” as a reason for avoiding or delaying HIV testing, something that the availability of the DHC test would not address.</w:t>
      </w:r>
    </w:p>
    <w:p w:rsidR="00481886" w:rsidRPr="00334595" w:rsidRDefault="00AE3BE4" w:rsidP="00AF4C8D">
      <w:r>
        <w:t xml:space="preserve">Knight (2014) report the use of the DHC test in a pop-up caravan.  </w:t>
      </w:r>
      <w:r w:rsidR="006B4ACF">
        <w:t>Of the 182 tests conducted</w:t>
      </w:r>
      <w:r w:rsidR="00F943B7">
        <w:t xml:space="preserve"> over the period of five days that the caravan was open</w:t>
      </w:r>
      <w:r w:rsidR="006B4ACF">
        <w:t xml:space="preserve">, </w:t>
      </w:r>
      <w:r w:rsidR="00F943B7">
        <w:t>no</w:t>
      </w:r>
      <w:r w:rsidR="006B4ACF">
        <w:t xml:space="preserve"> newly reactive </w:t>
      </w:r>
      <w:r w:rsidR="00F943B7">
        <w:t xml:space="preserve">individuals were identified and </w:t>
      </w:r>
      <w:r w:rsidR="006B4ACF">
        <w:t xml:space="preserve">most received their results by SMS, while some chose to return to the caravan for their results.  </w:t>
      </w:r>
      <w:r w:rsidR="00C536C4">
        <w:t xml:space="preserve">The relative success of the caravan in engaging GBM for testing (36.4 individuals or 36.4 tests per day) compared with attendance to a GP or sexual health clinic (1.3 individuals or 1.8 tests per day in </w:t>
      </w:r>
      <w:proofErr w:type="spellStart"/>
      <w:r w:rsidR="00C536C4">
        <w:t>Eu</w:t>
      </w:r>
      <w:proofErr w:type="spellEnd"/>
      <w:r w:rsidR="00C536C4">
        <w:t xml:space="preserve"> 2014 or 3.7 individuals or 4.8 tests per day in Conway 2014) may support the use of the DHC test in more of an outreach capacity.</w:t>
      </w:r>
    </w:p>
    <w:p w:rsidR="00A135D9" w:rsidRPr="000A3AAF" w:rsidRDefault="00A135D9" w:rsidP="000A3AAF">
      <w:pPr>
        <w:pStyle w:val="Heading3"/>
      </w:pPr>
      <w:bookmarkStart w:id="190" w:name="_Toc188861209"/>
      <w:r w:rsidRPr="000A3AAF">
        <w:t>Impact on health outcomes</w:t>
      </w:r>
      <w:bookmarkEnd w:id="190"/>
    </w:p>
    <w:p w:rsidR="00913510" w:rsidRPr="00CA14A0" w:rsidRDefault="00913510" w:rsidP="00913510">
      <w:r>
        <w:t>Once a diagnosis of HIV infection is made there would be no difference in the time taken to commence treatment and alter high-risk behaviour.</w:t>
      </w:r>
    </w:p>
    <w:p w:rsidR="0078351D" w:rsidRDefault="00957FC8">
      <w:pPr>
        <w:pStyle w:val="Heading2"/>
      </w:pPr>
      <w:bookmarkStart w:id="191" w:name="_Toc418224881"/>
      <w:r>
        <w:t>Economic considerations</w:t>
      </w:r>
      <w:bookmarkEnd w:id="191"/>
    </w:p>
    <w:p w:rsidR="00C536C4" w:rsidRDefault="00C536C4" w:rsidP="00C536C4">
      <w:r>
        <w:t xml:space="preserve">The data reported in Conway (2014) and </w:t>
      </w:r>
      <w:proofErr w:type="spellStart"/>
      <w:r>
        <w:t>Eu</w:t>
      </w:r>
      <w:proofErr w:type="spellEnd"/>
      <w:r>
        <w:t xml:space="preserve"> (2014) indicates that DHC has inferior diagnostic accuracy for detecting HIV compared to serology testing; whereas data reported in Read (2013) indicates that there was no statistically significant difference between the groups randomised to rapid point-of-care testing and serology testing in terms of number of tests/year for HIV.  To account for the differential diagnostic accuracy, a cost-effectiveness analysis is appropriate. </w:t>
      </w:r>
    </w:p>
    <w:p w:rsidR="0035262C" w:rsidRDefault="00C536C4" w:rsidP="00C536C4">
      <w:r>
        <w:t xml:space="preserve">The base case of the model assumes no differences in testing frequency between the two arms of the model.  Sensitivity analyses are conducted modifying some assumptions to attempt to capture other reasonable scenarios, including the qualitative patient satisfaction evidence in </w:t>
      </w:r>
      <w:proofErr w:type="spellStart"/>
      <w:r>
        <w:t>Eu</w:t>
      </w:r>
      <w:proofErr w:type="spellEnd"/>
      <w:r>
        <w:t xml:space="preserve"> (2014) and the </w:t>
      </w:r>
      <w:r w:rsidRPr="00A82411">
        <w:rPr>
          <w:i/>
        </w:rPr>
        <w:t>post-hoc</w:t>
      </w:r>
      <w:r>
        <w:t xml:space="preserve"> analysis in Read (2013).</w:t>
      </w:r>
    </w:p>
    <w:p w:rsidR="00F568FA" w:rsidRDefault="0035262C" w:rsidP="009D3FA2">
      <w:r w:rsidRPr="0022302B">
        <w:t xml:space="preserve">The type of economic evaluation presented is a </w:t>
      </w:r>
      <w:r>
        <w:t xml:space="preserve">novel static </w:t>
      </w:r>
      <w:r w:rsidRPr="0022302B">
        <w:t>cost-consequences analysis which estimates cost per various test outcomes associated with the DHC test and conventional testing (</w:t>
      </w:r>
      <w:r>
        <w:t>four</w:t>
      </w:r>
      <w:r w:rsidRPr="0022302B">
        <w:t>th generation EIA) over one year.</w:t>
      </w:r>
      <w:r>
        <w:t xml:space="preserve">  </w:t>
      </w:r>
      <w:r w:rsidRPr="00AC00C9">
        <w:t xml:space="preserve">The population in the model is assumed to be all Australian MSMs without diagnosed HIV, and includes </w:t>
      </w:r>
      <w:r w:rsidR="00237AF7">
        <w:t>individuals</w:t>
      </w:r>
      <w:r w:rsidRPr="00AC00C9">
        <w:t xml:space="preserve"> who are seropositive, seroconverting and seronegative.  </w:t>
      </w:r>
    </w:p>
    <w:p w:rsidR="0035262C" w:rsidRDefault="0035262C" w:rsidP="0035262C">
      <w:pPr>
        <w:spacing w:after="120"/>
      </w:pPr>
      <w:r>
        <w:t xml:space="preserve">A decision analytic Markov model is used to estimate the cost per various test outcomes over a one year time horizon with three-monthly cycles, of a scenario where the DHC test is available for screening HIV in high-risk </w:t>
      </w:r>
      <w:r w:rsidR="00543DDC">
        <w:rPr>
          <w:bCs/>
        </w:rPr>
        <w:t>individual</w:t>
      </w:r>
      <w:r w:rsidR="00543DDC" w:rsidRPr="00102204">
        <w:rPr>
          <w:bCs/>
        </w:rPr>
        <w:t>s</w:t>
      </w:r>
      <w:r>
        <w:t xml:space="preserve">.  </w:t>
      </w:r>
      <w:r w:rsidRPr="005C55AB">
        <w:t>MSMs without a diagnosis of HIV are assumed to commence each cycle in one of four health states</w:t>
      </w:r>
      <w:r>
        <w:t xml:space="preserve"> (</w:t>
      </w:r>
      <w:proofErr w:type="spellStart"/>
      <w:r>
        <w:t>i</w:t>
      </w:r>
      <w:proofErr w:type="spellEnd"/>
      <w:r>
        <w:t xml:space="preserve">) “Seropositive”, (ii) “Seroconverting”, (iii) “Seronegative” , (iv) “HIV diagnosed”.  The population enters </w:t>
      </w:r>
      <w:r>
        <w:lastRenderedPageBreak/>
        <w:t>the model in one of the three non-HIV diagnosed health states, and only transitions to the absorbing health state “HIV diagnosed” after a confirmed HIV diagnosis is made either through HIV screening or the development of AIDS complications and symptom-based testing.  The population who are “seronegative” may become infected with HIV during a cycle and transition to “seroconverting” or remain “seronegative”.  The population only remains in the “seroconverting” health state for one cycle.  They may be screened for HIV within the cycle and if diagnosed transition to “HIV diagnosed”, otherwise they will transition to “seropositive”.  Those with undiagnosed “seropositive” disease can transition to “HIV diagnosed” either via HIV screening, or due to development of AIDS symptoms via HIV symptom-based testing.</w:t>
      </w:r>
    </w:p>
    <w:p w:rsidR="00F568FA" w:rsidRDefault="0035262C" w:rsidP="0035262C">
      <w:pPr>
        <w:spacing w:after="120"/>
      </w:pPr>
      <w:r>
        <w:t>Monte Carlo simulation is used to accommodate the heterogeneous population, conditional transition state probabilities, and incorporates a tracker variable for number of tests required by the clinical evidence available.  Therefore at the start of the model, individuals are assigned to one category for each of the following variables (</w:t>
      </w:r>
      <w:proofErr w:type="spellStart"/>
      <w:r>
        <w:t>i</w:t>
      </w:r>
      <w:proofErr w:type="spellEnd"/>
      <w:r>
        <w:t>) Initial non-HIV diagnosed health state (“seronegative”, “seroconverting”, “seropositive”); (ii) If “seropositive”, number of year seropositive (1 to 20); (iii) Undertakes routine HIV screening (yes or no); or (iv) Days since HIV infection (1 to 90).</w:t>
      </w:r>
    </w:p>
    <w:p w:rsidR="00EC53AC" w:rsidRDefault="00EC53AC" w:rsidP="0035262C">
      <w:pPr>
        <w:spacing w:after="120"/>
      </w:pPr>
      <w:r w:rsidRPr="00F4019F">
        <w:t>There is no precise “window period” at which time a HIV test will detect an infection that it would not have detected prior to this time.  Therefore, in the seroconverting health state, the probability of a positive diagnosis is assumed to increase over time (Owen 2008).  Wilson (2011) model</w:t>
      </w:r>
      <w:r w:rsidR="00C536C4">
        <w:t>led</w:t>
      </w:r>
      <w:r w:rsidRPr="00F4019F">
        <w:t xml:space="preserve"> the window periods of the third and fourth generation EIA and point-of-care tests using a logistic growth curves.  The medians are set equal to the defined window periods for each test after the detection of HIV RNA with the Nucleic Acid Test, 10 days for the DHC test and five days for fourth generation EIA.  However, there is an eclipse period between the day of infection and day when HIV markers are detectable.  The eclipse period is approximately 2 weeks from infection to p24 antigen, suggesting the median window periods for fourth generation EIA and the DHC test are approximately 20 and 25 days respectively</w:t>
      </w:r>
      <w:r>
        <w:t xml:space="preserve"> </w:t>
      </w:r>
      <w:r w:rsidRPr="00F4019F">
        <w:t>(Cohen 2010)</w:t>
      </w:r>
      <w:r>
        <w:t>.</w:t>
      </w:r>
    </w:p>
    <w:p w:rsidR="0035262C" w:rsidRDefault="0035262C" w:rsidP="0035262C">
      <w:pPr>
        <w:spacing w:after="120"/>
      </w:pPr>
      <w:r>
        <w:t>The base case of the modelled economic evaluation predicts 10 fewer cases of HIV will be detected via screening with the DHC test compared to standard laboratory testing, largely due to the window periods assumed for the tests.  Of those not diagnosed, all commenced in the seronegative health state and were infected within the year.  The incremental cost of the DHC test is $</w:t>
      </w:r>
      <w:r w:rsidR="00237AF7">
        <w:t>941,454</w:t>
      </w:r>
      <w:r>
        <w:t>, therefore the strategy is dominated.  This result is consistent with the assumption of no differences in testing frequency, and with the increased cost/test for the DHC test compared with serology</w:t>
      </w:r>
      <w:r w:rsidR="00EC53AC">
        <w:t xml:space="preserve"> testing</w:t>
      </w:r>
      <w:r>
        <w:t>.</w:t>
      </w:r>
    </w:p>
    <w:p w:rsidR="00EC53AC" w:rsidRDefault="00EC53AC" w:rsidP="0035262C">
      <w:pPr>
        <w:spacing w:after="120"/>
      </w:pPr>
      <w:r>
        <w:t>The results of the sensitivity analyses demonstrate that the ICER is most sensitive to the assumption that the availability of the DHC test would encourage a greater proportion of MSM to be tested (ICER=$</w:t>
      </w:r>
      <w:r w:rsidR="00A4593A">
        <w:t>46,689</w:t>
      </w:r>
      <w:r>
        <w:t xml:space="preserve">/additional HIV detection; assuming an increase from 55% to </w:t>
      </w:r>
      <w:r w:rsidR="00A4593A">
        <w:t>58</w:t>
      </w:r>
      <w:r>
        <w:t>% of MSM are tested) and assumed increases in testing frequency with the DHC test compared with serology testing (ICER=$</w:t>
      </w:r>
      <w:r w:rsidR="00A4593A">
        <w:t>32,217</w:t>
      </w:r>
      <w:r>
        <w:t>/additional HIV detection).</w:t>
      </w:r>
    </w:p>
    <w:p w:rsidR="00F519A7" w:rsidRPr="000A3AAF" w:rsidRDefault="00F519A7" w:rsidP="000A3AAF">
      <w:pPr>
        <w:pStyle w:val="Heading3"/>
      </w:pPr>
      <w:r w:rsidRPr="000A3AAF">
        <w:t>Costing</w:t>
      </w:r>
    </w:p>
    <w:p w:rsidR="00237AF7" w:rsidRDefault="00237AF7" w:rsidP="009E5C5B">
      <w:r>
        <w:t xml:space="preserve">The number of tests that are likely to be undertaken amongst high risk individuals is unknown.  </w:t>
      </w:r>
    </w:p>
    <w:p w:rsidR="00C536C4" w:rsidRDefault="00C536C4" w:rsidP="00C536C4">
      <w:r>
        <w:t xml:space="preserve">Assuming direct substitution and 45,000 rapid tests per year (MSAC 1391 Final Protocol p5), the total cost to the Australian healthcare system is approximately $249,300, where this additional cost is associated with fewer HIV diagnoses.  Assuming sequential use and </w:t>
      </w:r>
      <w:r>
        <w:lastRenderedPageBreak/>
        <w:t xml:space="preserve">45,000 tests per year, the total cost is approximately $1,175,850, where this additional cost is associated with no differences in the number of HIV diagnoses.  </w:t>
      </w:r>
    </w:p>
    <w:p w:rsidR="008F59A8" w:rsidRPr="00776777" w:rsidRDefault="00C536C4" w:rsidP="00C536C4">
      <w:pPr>
        <w:rPr>
          <w:bCs/>
        </w:rPr>
      </w:pPr>
      <w:r>
        <w:t>Based on the number of tests estimated in the base case of the modelled economic evaluation of 119,889 tests per year, assuming direct substitution, the total cost to the Australian healthcare system is approximately $664,185 (additional cost with fewer HIV diagnoses); assuming sequential use, the total cost is approximately $3,132,700 (additional cost is associated with no differences in the number of HIV diagnoses).</w:t>
      </w:r>
    </w:p>
    <w:p w:rsidR="00B40206" w:rsidRPr="00A4593A" w:rsidRDefault="00A4593A" w:rsidP="00A4593A">
      <w:pPr>
        <w:pStyle w:val="Heading1"/>
        <w:rPr>
          <w:bCs/>
        </w:rPr>
      </w:pPr>
      <w:bookmarkStart w:id="192" w:name="_Toc418224882"/>
      <w:r w:rsidRPr="004C6B15">
        <w:rPr>
          <w:bCs/>
        </w:rPr>
        <w:lastRenderedPageBreak/>
        <w:t xml:space="preserve">Appendix </w:t>
      </w:r>
      <w:r>
        <w:rPr>
          <w:bCs/>
        </w:rPr>
        <w:t>A</w:t>
      </w:r>
      <w:r w:rsidRPr="004C6B15">
        <w:rPr>
          <w:bCs/>
        </w:rPr>
        <w:tab/>
      </w:r>
      <w:r w:rsidR="0003725D" w:rsidRPr="00A4593A">
        <w:rPr>
          <w:bCs/>
        </w:rPr>
        <w:t>Rapid point-of-care combined Antigen/antibody HIV test to aid in the diagnosis of HIV infection, MSAC Application 1391</w:t>
      </w:r>
      <w:bookmarkEnd w:id="192"/>
    </w:p>
    <w:p w:rsidR="00867543" w:rsidRPr="001550E8" w:rsidRDefault="00222570" w:rsidP="001550E8">
      <w:pPr>
        <w:pStyle w:val="Heading2"/>
      </w:pPr>
      <w:bookmarkStart w:id="193" w:name="_Toc418224883"/>
      <w:r>
        <w:t>Evaluators</w:t>
      </w:r>
      <w:bookmarkEnd w:id="193"/>
    </w:p>
    <w:tbl>
      <w:tblPr>
        <w:tblW w:w="0" w:type="auto"/>
        <w:tblInd w:w="816" w:type="dxa"/>
        <w:tblLayout w:type="fixed"/>
        <w:tblLook w:val="0000" w:firstRow="0" w:lastRow="0" w:firstColumn="0" w:lastColumn="0" w:noHBand="0" w:noVBand="0"/>
        <w:tblDescription w:val="Evaluators"/>
      </w:tblPr>
      <w:tblGrid>
        <w:gridCol w:w="3545"/>
        <w:gridCol w:w="4819"/>
      </w:tblGrid>
      <w:tr w:rsidR="005A125C" w:rsidRPr="005A125C" w:rsidTr="0003725D">
        <w:trPr>
          <w:cantSplit/>
        </w:trPr>
        <w:tc>
          <w:tcPr>
            <w:tcW w:w="3545" w:type="dxa"/>
            <w:tcBorders>
              <w:top w:val="single" w:sz="4" w:space="0" w:color="auto"/>
            </w:tcBorders>
          </w:tcPr>
          <w:p w:rsidR="005A125C" w:rsidRPr="0032213E" w:rsidRDefault="005A125C" w:rsidP="0032213E">
            <w:pPr>
              <w:autoSpaceDE w:val="0"/>
              <w:autoSpaceDN w:val="0"/>
              <w:adjustRightInd w:val="0"/>
              <w:spacing w:after="120"/>
              <w:ind w:left="11" w:hanging="11"/>
              <w:rPr>
                <w:b/>
                <w:sz w:val="22"/>
                <w:szCs w:val="22"/>
              </w:rPr>
            </w:pPr>
            <w:r w:rsidRPr="0032213E">
              <w:rPr>
                <w:b/>
                <w:sz w:val="22"/>
                <w:szCs w:val="22"/>
              </w:rPr>
              <w:t>Name</w:t>
            </w:r>
          </w:p>
        </w:tc>
        <w:tc>
          <w:tcPr>
            <w:tcW w:w="4819" w:type="dxa"/>
            <w:tcBorders>
              <w:top w:val="single" w:sz="4" w:space="0" w:color="auto"/>
            </w:tcBorders>
          </w:tcPr>
          <w:p w:rsidR="005A125C" w:rsidRPr="006A5814" w:rsidRDefault="00986B15" w:rsidP="0038436D">
            <w:pPr>
              <w:autoSpaceDE w:val="0"/>
              <w:autoSpaceDN w:val="0"/>
              <w:adjustRightInd w:val="0"/>
              <w:spacing w:after="120"/>
              <w:ind w:left="11" w:hanging="11"/>
              <w:rPr>
                <w:b/>
                <w:sz w:val="22"/>
                <w:szCs w:val="22"/>
              </w:rPr>
            </w:pPr>
            <w:r w:rsidRPr="0038436D">
              <w:rPr>
                <w:b/>
                <w:sz w:val="22"/>
                <w:szCs w:val="22"/>
              </w:rPr>
              <w:t>Organisation</w:t>
            </w:r>
          </w:p>
        </w:tc>
      </w:tr>
      <w:tr w:rsidR="005A125C" w:rsidRPr="00986B15" w:rsidTr="0003725D">
        <w:trPr>
          <w:cantSplit/>
        </w:trPr>
        <w:tc>
          <w:tcPr>
            <w:tcW w:w="3545" w:type="dxa"/>
            <w:tcBorders>
              <w:top w:val="single" w:sz="4" w:space="0" w:color="auto"/>
              <w:bottom w:val="single" w:sz="4" w:space="0" w:color="auto"/>
            </w:tcBorders>
          </w:tcPr>
          <w:p w:rsidR="005A125C" w:rsidRPr="00986B15" w:rsidRDefault="0003725D" w:rsidP="00986B15">
            <w:pPr>
              <w:autoSpaceDE w:val="0"/>
              <w:autoSpaceDN w:val="0"/>
              <w:adjustRightInd w:val="0"/>
              <w:spacing w:after="0"/>
              <w:ind w:left="34" w:hanging="34"/>
              <w:rPr>
                <w:sz w:val="22"/>
                <w:szCs w:val="22"/>
              </w:rPr>
            </w:pPr>
            <w:r>
              <w:rPr>
                <w:sz w:val="22"/>
                <w:szCs w:val="22"/>
              </w:rPr>
              <w:t xml:space="preserve">Mr Peter </w:t>
            </w:r>
            <w:proofErr w:type="spellStart"/>
            <w:r>
              <w:rPr>
                <w:sz w:val="22"/>
                <w:szCs w:val="22"/>
              </w:rPr>
              <w:t>Ghijben</w:t>
            </w:r>
            <w:proofErr w:type="spellEnd"/>
          </w:p>
        </w:tc>
        <w:tc>
          <w:tcPr>
            <w:tcW w:w="4819" w:type="dxa"/>
            <w:tcBorders>
              <w:top w:val="single" w:sz="4" w:space="0" w:color="auto"/>
              <w:bottom w:val="single" w:sz="4" w:space="0" w:color="auto"/>
            </w:tcBorders>
          </w:tcPr>
          <w:p w:rsidR="005A125C" w:rsidRPr="007E745E" w:rsidRDefault="0003725D" w:rsidP="00986B15">
            <w:pPr>
              <w:autoSpaceDE w:val="0"/>
              <w:autoSpaceDN w:val="0"/>
              <w:adjustRightInd w:val="0"/>
              <w:spacing w:after="0"/>
              <w:ind w:left="34" w:hanging="34"/>
              <w:rPr>
                <w:sz w:val="22"/>
                <w:szCs w:val="22"/>
              </w:rPr>
            </w:pPr>
            <w:r>
              <w:rPr>
                <w:sz w:val="22"/>
                <w:szCs w:val="22"/>
              </w:rPr>
              <w:t>Monash University</w:t>
            </w:r>
          </w:p>
        </w:tc>
      </w:tr>
      <w:tr w:rsidR="0003725D" w:rsidRPr="00986B15" w:rsidTr="0003725D">
        <w:trPr>
          <w:cantSplit/>
        </w:trPr>
        <w:tc>
          <w:tcPr>
            <w:tcW w:w="3545" w:type="dxa"/>
            <w:tcBorders>
              <w:top w:val="single" w:sz="4" w:space="0" w:color="auto"/>
              <w:bottom w:val="single" w:sz="4" w:space="0" w:color="auto"/>
            </w:tcBorders>
          </w:tcPr>
          <w:p w:rsidR="0003725D" w:rsidRDefault="0003725D" w:rsidP="00986B15">
            <w:pPr>
              <w:autoSpaceDE w:val="0"/>
              <w:autoSpaceDN w:val="0"/>
              <w:adjustRightInd w:val="0"/>
              <w:spacing w:after="0"/>
              <w:ind w:left="34" w:hanging="34"/>
              <w:rPr>
                <w:sz w:val="22"/>
                <w:szCs w:val="22"/>
              </w:rPr>
            </w:pPr>
            <w:r>
              <w:rPr>
                <w:sz w:val="22"/>
                <w:szCs w:val="22"/>
              </w:rPr>
              <w:t xml:space="preserve">Associate Professor Silva </w:t>
            </w:r>
            <w:proofErr w:type="spellStart"/>
            <w:r>
              <w:rPr>
                <w:sz w:val="22"/>
                <w:szCs w:val="22"/>
              </w:rPr>
              <w:t>Zavarsek</w:t>
            </w:r>
            <w:proofErr w:type="spellEnd"/>
          </w:p>
        </w:tc>
        <w:tc>
          <w:tcPr>
            <w:tcW w:w="4819" w:type="dxa"/>
            <w:tcBorders>
              <w:top w:val="single" w:sz="4" w:space="0" w:color="auto"/>
              <w:bottom w:val="single" w:sz="4" w:space="0" w:color="auto"/>
            </w:tcBorders>
          </w:tcPr>
          <w:p w:rsidR="0003725D" w:rsidRPr="007E745E" w:rsidRDefault="0003725D" w:rsidP="00986B15">
            <w:pPr>
              <w:autoSpaceDE w:val="0"/>
              <w:autoSpaceDN w:val="0"/>
              <w:adjustRightInd w:val="0"/>
              <w:spacing w:after="0"/>
              <w:ind w:left="34" w:hanging="34"/>
              <w:rPr>
                <w:sz w:val="22"/>
                <w:szCs w:val="22"/>
              </w:rPr>
            </w:pPr>
            <w:r>
              <w:rPr>
                <w:sz w:val="22"/>
                <w:szCs w:val="22"/>
              </w:rPr>
              <w:t>Monash University</w:t>
            </w:r>
          </w:p>
        </w:tc>
      </w:tr>
      <w:tr w:rsidR="0003725D" w:rsidRPr="00986B15" w:rsidTr="0003725D">
        <w:trPr>
          <w:cantSplit/>
        </w:trPr>
        <w:tc>
          <w:tcPr>
            <w:tcW w:w="3545" w:type="dxa"/>
            <w:tcBorders>
              <w:top w:val="single" w:sz="4" w:space="0" w:color="auto"/>
              <w:bottom w:val="single" w:sz="4" w:space="0" w:color="auto"/>
            </w:tcBorders>
          </w:tcPr>
          <w:p w:rsidR="0003725D" w:rsidRDefault="0003725D" w:rsidP="00986B15">
            <w:pPr>
              <w:autoSpaceDE w:val="0"/>
              <w:autoSpaceDN w:val="0"/>
              <w:adjustRightInd w:val="0"/>
              <w:spacing w:after="0"/>
              <w:ind w:left="34" w:hanging="34"/>
              <w:rPr>
                <w:sz w:val="22"/>
                <w:szCs w:val="22"/>
              </w:rPr>
            </w:pPr>
            <w:r>
              <w:rPr>
                <w:sz w:val="22"/>
                <w:szCs w:val="22"/>
              </w:rPr>
              <w:t>Ms Karen Yong</w:t>
            </w:r>
          </w:p>
        </w:tc>
        <w:tc>
          <w:tcPr>
            <w:tcW w:w="4819" w:type="dxa"/>
            <w:tcBorders>
              <w:top w:val="single" w:sz="4" w:space="0" w:color="auto"/>
              <w:bottom w:val="single" w:sz="4" w:space="0" w:color="auto"/>
            </w:tcBorders>
          </w:tcPr>
          <w:p w:rsidR="0003725D" w:rsidRPr="007E745E" w:rsidRDefault="0003725D" w:rsidP="00986B15">
            <w:pPr>
              <w:autoSpaceDE w:val="0"/>
              <w:autoSpaceDN w:val="0"/>
              <w:adjustRightInd w:val="0"/>
              <w:spacing w:after="0"/>
              <w:ind w:left="34" w:hanging="34"/>
              <w:rPr>
                <w:sz w:val="22"/>
                <w:szCs w:val="22"/>
              </w:rPr>
            </w:pPr>
            <w:r>
              <w:rPr>
                <w:sz w:val="22"/>
                <w:szCs w:val="22"/>
              </w:rPr>
              <w:t>Monash University</w:t>
            </w:r>
          </w:p>
        </w:tc>
      </w:tr>
      <w:tr w:rsidR="0003725D" w:rsidRPr="00986B15" w:rsidTr="0003725D">
        <w:trPr>
          <w:cantSplit/>
        </w:trPr>
        <w:tc>
          <w:tcPr>
            <w:tcW w:w="3545" w:type="dxa"/>
            <w:tcBorders>
              <w:top w:val="single" w:sz="4" w:space="0" w:color="auto"/>
              <w:bottom w:val="single" w:sz="4" w:space="0" w:color="auto"/>
            </w:tcBorders>
          </w:tcPr>
          <w:p w:rsidR="0003725D" w:rsidRDefault="0003725D" w:rsidP="00986B15">
            <w:pPr>
              <w:autoSpaceDE w:val="0"/>
              <w:autoSpaceDN w:val="0"/>
              <w:adjustRightInd w:val="0"/>
              <w:spacing w:after="0"/>
              <w:ind w:left="34" w:hanging="34"/>
              <w:rPr>
                <w:sz w:val="22"/>
                <w:szCs w:val="22"/>
              </w:rPr>
            </w:pPr>
            <w:r>
              <w:rPr>
                <w:sz w:val="22"/>
                <w:szCs w:val="22"/>
              </w:rPr>
              <w:t xml:space="preserve">Mr Francis </w:t>
            </w:r>
            <w:proofErr w:type="spellStart"/>
            <w:r>
              <w:rPr>
                <w:sz w:val="22"/>
                <w:szCs w:val="22"/>
              </w:rPr>
              <w:t>Ip</w:t>
            </w:r>
            <w:proofErr w:type="spellEnd"/>
          </w:p>
        </w:tc>
        <w:tc>
          <w:tcPr>
            <w:tcW w:w="4819" w:type="dxa"/>
            <w:tcBorders>
              <w:top w:val="single" w:sz="4" w:space="0" w:color="auto"/>
              <w:bottom w:val="single" w:sz="4" w:space="0" w:color="auto"/>
            </w:tcBorders>
          </w:tcPr>
          <w:p w:rsidR="0003725D" w:rsidRPr="007E745E" w:rsidRDefault="0003725D" w:rsidP="00986B15">
            <w:pPr>
              <w:autoSpaceDE w:val="0"/>
              <w:autoSpaceDN w:val="0"/>
              <w:adjustRightInd w:val="0"/>
              <w:spacing w:after="0"/>
              <w:ind w:left="34" w:hanging="34"/>
              <w:rPr>
                <w:sz w:val="22"/>
                <w:szCs w:val="22"/>
              </w:rPr>
            </w:pPr>
            <w:r>
              <w:rPr>
                <w:sz w:val="22"/>
                <w:szCs w:val="22"/>
              </w:rPr>
              <w:t>Monash University</w:t>
            </w:r>
          </w:p>
        </w:tc>
      </w:tr>
      <w:tr w:rsidR="005A125C" w:rsidRPr="00986B15" w:rsidTr="0003725D">
        <w:trPr>
          <w:cantSplit/>
        </w:trPr>
        <w:tc>
          <w:tcPr>
            <w:tcW w:w="3545" w:type="dxa"/>
            <w:tcBorders>
              <w:top w:val="single" w:sz="4" w:space="0" w:color="auto"/>
            </w:tcBorders>
          </w:tcPr>
          <w:p w:rsidR="005A125C" w:rsidRPr="00986B15" w:rsidRDefault="005A125C" w:rsidP="00986B15">
            <w:pPr>
              <w:autoSpaceDE w:val="0"/>
              <w:autoSpaceDN w:val="0"/>
              <w:adjustRightInd w:val="0"/>
              <w:spacing w:after="0"/>
              <w:ind w:left="34" w:hanging="34"/>
              <w:rPr>
                <w:sz w:val="22"/>
                <w:szCs w:val="22"/>
              </w:rPr>
            </w:pPr>
          </w:p>
        </w:tc>
        <w:tc>
          <w:tcPr>
            <w:tcW w:w="4819" w:type="dxa"/>
            <w:tcBorders>
              <w:top w:val="single" w:sz="4" w:space="0" w:color="auto"/>
            </w:tcBorders>
          </w:tcPr>
          <w:p w:rsidR="005A125C" w:rsidRPr="007E745E" w:rsidRDefault="005A125C" w:rsidP="00986B15">
            <w:pPr>
              <w:autoSpaceDE w:val="0"/>
              <w:autoSpaceDN w:val="0"/>
              <w:adjustRightInd w:val="0"/>
              <w:spacing w:after="0"/>
              <w:ind w:left="34" w:hanging="34"/>
              <w:rPr>
                <w:sz w:val="22"/>
                <w:szCs w:val="22"/>
              </w:rPr>
            </w:pPr>
          </w:p>
        </w:tc>
      </w:tr>
    </w:tbl>
    <w:p w:rsidR="005A125C" w:rsidRPr="00867543" w:rsidRDefault="005A125C" w:rsidP="009E5C5B"/>
    <w:p w:rsidR="00AC0EA5" w:rsidRDefault="00AC0EA5" w:rsidP="006F6E93">
      <w:pPr>
        <w:pStyle w:val="Heading1"/>
        <w:rPr>
          <w:bCs/>
        </w:rPr>
      </w:pPr>
      <w:bookmarkStart w:id="194" w:name="_Toc418224884"/>
      <w:r w:rsidRPr="004C6B15">
        <w:rPr>
          <w:bCs/>
        </w:rPr>
        <w:lastRenderedPageBreak/>
        <w:t xml:space="preserve">Appendix </w:t>
      </w:r>
      <w:r w:rsidR="006F6E93">
        <w:rPr>
          <w:bCs/>
        </w:rPr>
        <w:t>B</w:t>
      </w:r>
      <w:r w:rsidRPr="004C6B15">
        <w:rPr>
          <w:bCs/>
        </w:rPr>
        <w:tab/>
      </w:r>
      <w:r>
        <w:rPr>
          <w:bCs/>
        </w:rPr>
        <w:t>TGA conditions on the use of DHC</w:t>
      </w:r>
      <w:bookmarkEnd w:id="194"/>
    </w:p>
    <w:p w:rsidR="00214C6A" w:rsidRPr="003919BF" w:rsidRDefault="00AC0EA5" w:rsidP="00F737A4">
      <w:pPr>
        <w:numPr>
          <w:ilvl w:val="0"/>
          <w:numId w:val="26"/>
        </w:numPr>
        <w:spacing w:after="120"/>
        <w:ind w:left="1077" w:hanging="357"/>
      </w:pPr>
      <w:r w:rsidRPr="003919BF">
        <w:t xml:space="preserve">The person (the sponsor) in relation to whom the </w:t>
      </w:r>
      <w:proofErr w:type="spellStart"/>
      <w:r w:rsidRPr="003919BF">
        <w:t>Alere</w:t>
      </w:r>
      <w:proofErr w:type="spellEnd"/>
      <w:r w:rsidRPr="003919BF">
        <w:t xml:space="preserve"> Determine HIV 1/2 Ag/Ab Combo (the device) is included on the Australian Register of Therapeutic Goods (the ARTG) must ensure that the device is only supplied for use by</w:t>
      </w:r>
    </w:p>
    <w:p w:rsidR="00AC0EA5" w:rsidRPr="003919BF" w:rsidRDefault="00AC0EA5" w:rsidP="00F737A4">
      <w:pPr>
        <w:numPr>
          <w:ilvl w:val="0"/>
          <w:numId w:val="7"/>
        </w:numPr>
        <w:spacing w:after="120"/>
        <w:ind w:left="1434" w:hanging="357"/>
      </w:pPr>
      <w:r w:rsidRPr="003919BF">
        <w:t>laboratories that are accredited by the National Association of Testing Authorities (NATA) as medical testing laboratories and that participate in an HIV point of care quality assurance program; or</w:t>
      </w:r>
    </w:p>
    <w:p w:rsidR="00AC0EA5" w:rsidRPr="003919BF" w:rsidRDefault="00AC0EA5" w:rsidP="00F737A4">
      <w:pPr>
        <w:numPr>
          <w:ilvl w:val="0"/>
          <w:numId w:val="7"/>
        </w:numPr>
        <w:spacing w:after="0"/>
        <w:ind w:left="1434" w:hanging="357"/>
      </w:pPr>
      <w:r w:rsidRPr="003919BF">
        <w:t>organisations that:</w:t>
      </w:r>
    </w:p>
    <w:p w:rsidR="00AC0EA5" w:rsidRPr="003919BF" w:rsidRDefault="00AC0EA5" w:rsidP="00F737A4">
      <w:pPr>
        <w:numPr>
          <w:ilvl w:val="0"/>
          <w:numId w:val="8"/>
        </w:numPr>
        <w:tabs>
          <w:tab w:val="left" w:pos="1985"/>
        </w:tabs>
        <w:spacing w:after="0"/>
        <w:ind w:left="1985" w:hanging="567"/>
      </w:pPr>
      <w:r w:rsidRPr="003919BF">
        <w:t>employ health professionals who will perform, or supervise the performance of, HIV testing using the device, and</w:t>
      </w:r>
    </w:p>
    <w:p w:rsidR="00AC0EA5" w:rsidRPr="003919BF" w:rsidRDefault="00AC0EA5" w:rsidP="00F737A4">
      <w:pPr>
        <w:numPr>
          <w:ilvl w:val="0"/>
          <w:numId w:val="8"/>
        </w:numPr>
        <w:tabs>
          <w:tab w:val="left" w:pos="1985"/>
        </w:tabs>
        <w:spacing w:after="0"/>
        <w:ind w:left="1985" w:hanging="545"/>
      </w:pPr>
      <w:r w:rsidRPr="003919BF">
        <w:t>have an established relationship (in relation to the referral and testing of specimens) with a NATA accredited medical testing laboratory, and</w:t>
      </w:r>
    </w:p>
    <w:p w:rsidR="00AC0EA5" w:rsidRPr="003919BF" w:rsidRDefault="00AC0EA5" w:rsidP="00F737A4">
      <w:pPr>
        <w:numPr>
          <w:ilvl w:val="0"/>
          <w:numId w:val="8"/>
        </w:numPr>
        <w:tabs>
          <w:tab w:val="left" w:pos="1985"/>
        </w:tabs>
        <w:spacing w:after="0"/>
      </w:pPr>
      <w:r w:rsidRPr="003919BF">
        <w:t>participate in an HIV point of care quality assurance program, and</w:t>
      </w:r>
    </w:p>
    <w:p w:rsidR="00AC0EA5" w:rsidRPr="003919BF" w:rsidRDefault="00AC0EA5" w:rsidP="00F737A4">
      <w:pPr>
        <w:numPr>
          <w:ilvl w:val="0"/>
          <w:numId w:val="8"/>
        </w:numPr>
        <w:tabs>
          <w:tab w:val="left" w:pos="1985"/>
        </w:tabs>
        <w:ind w:left="1985" w:hanging="545"/>
      </w:pPr>
      <w:proofErr w:type="gramStart"/>
      <w:r w:rsidRPr="003919BF">
        <w:t>provide</w:t>
      </w:r>
      <w:proofErr w:type="gramEnd"/>
      <w:r w:rsidRPr="003919BF">
        <w:t xml:space="preserve"> a declaration to the sponsor every 12 months that all personnel using the device have received training in the delivery and administration of HIV point of care devices in accordance with the requirements of the National HIV Testing Policy.</w:t>
      </w:r>
    </w:p>
    <w:p w:rsidR="00AC0EA5" w:rsidRPr="003919BF" w:rsidRDefault="00AC0EA5" w:rsidP="00F737A4">
      <w:pPr>
        <w:numPr>
          <w:ilvl w:val="0"/>
          <w:numId w:val="26"/>
        </w:numPr>
      </w:pPr>
      <w:r w:rsidRPr="003919BF">
        <w:t>The sponsor of the device (</w:t>
      </w:r>
      <w:proofErr w:type="spellStart"/>
      <w:r w:rsidRPr="003919BF">
        <w:t>Alere</w:t>
      </w:r>
      <w:proofErr w:type="spellEnd"/>
      <w:r w:rsidRPr="003919BF">
        <w:t xml:space="preserve"> Determine HIV 1/2 Ag/Ab Combo) must make available training in the correct use of the device and interpretation of results.</w:t>
      </w:r>
    </w:p>
    <w:p w:rsidR="004467D9" w:rsidRPr="003919BF" w:rsidRDefault="004467D9" w:rsidP="00F737A4">
      <w:pPr>
        <w:numPr>
          <w:ilvl w:val="0"/>
          <w:numId w:val="26"/>
        </w:numPr>
      </w:pPr>
      <w:r w:rsidRPr="003919BF">
        <w:t>The sponsor must maintain records that demonstrate that the device has been supplied in compliance with condition 1 and that it has complied with condition 2.</w:t>
      </w:r>
    </w:p>
    <w:p w:rsidR="004467D9" w:rsidRPr="003919BF" w:rsidRDefault="004467D9" w:rsidP="00F737A4">
      <w:pPr>
        <w:numPr>
          <w:ilvl w:val="0"/>
          <w:numId w:val="26"/>
        </w:numPr>
      </w:pPr>
      <w:r w:rsidRPr="003919BF">
        <w:t>The sponsor must provide to the Post-market Surveillance Branch (PSB) of the Therapeutic Goods Administration (TGA), a post market surveillance report for each period of six (6) months commencing on the date of inclusion of the device in the ARTG identifying any adverse events, problems or complaints relating to the use or application of the device. The first report must be provided at the end of eight (8) months from the date of inclusion of the device in the ARTG and each six (6) months thereafter, for a period of three years.</w:t>
      </w:r>
    </w:p>
    <w:p w:rsidR="004467D9" w:rsidRPr="003919BF" w:rsidRDefault="004467D9" w:rsidP="00F737A4">
      <w:pPr>
        <w:numPr>
          <w:ilvl w:val="0"/>
          <w:numId w:val="26"/>
        </w:numPr>
        <w:spacing w:after="120"/>
        <w:ind w:hanging="357"/>
      </w:pPr>
      <w:r w:rsidRPr="003919BF">
        <w:t>The sponsor must provide to the TGA a report and documents for each period of twelve (12) months commencing on the date of inclusion of the device on the ARTG. The first report must be provided at the end of fourteen (14) months from the date of inclusion of the device on the ARTG and each twelve (12) months thereafter. Information about the distribution of the device and evidence of compliance with the conditions of ARTG inclusion for that twelve months (the period) must be provided, including:</w:t>
      </w:r>
    </w:p>
    <w:p w:rsidR="004467D9" w:rsidRPr="003919BF" w:rsidRDefault="004467D9" w:rsidP="00F737A4">
      <w:pPr>
        <w:numPr>
          <w:ilvl w:val="0"/>
          <w:numId w:val="9"/>
        </w:numPr>
        <w:spacing w:after="120"/>
        <w:ind w:hanging="357"/>
      </w:pPr>
      <w:proofErr w:type="gramStart"/>
      <w:r w:rsidRPr="003919BF">
        <w:t>copies</w:t>
      </w:r>
      <w:proofErr w:type="gramEnd"/>
      <w:r w:rsidRPr="003919BF">
        <w:t xml:space="preserve"> of the current NATA accreditation certificate for each laboratory to which the device has been supplied during the period and documented evidence of participation of the laboratory in a HIV point of care quality assurance program.</w:t>
      </w:r>
    </w:p>
    <w:p w:rsidR="004467D9" w:rsidRPr="003919BF" w:rsidRDefault="004467D9" w:rsidP="00F737A4">
      <w:pPr>
        <w:numPr>
          <w:ilvl w:val="0"/>
          <w:numId w:val="9"/>
        </w:numPr>
        <w:spacing w:after="0"/>
        <w:ind w:left="1434" w:hanging="357"/>
      </w:pPr>
      <w:r w:rsidRPr="003919BF">
        <w:t>in relation to each organisation that is not an accredited medical testing laboratory:</w:t>
      </w:r>
    </w:p>
    <w:p w:rsidR="004467D9" w:rsidRPr="003919BF" w:rsidRDefault="004467D9" w:rsidP="00F737A4">
      <w:pPr>
        <w:numPr>
          <w:ilvl w:val="0"/>
          <w:numId w:val="27"/>
        </w:numPr>
        <w:tabs>
          <w:tab w:val="left" w:pos="1985"/>
        </w:tabs>
        <w:spacing w:after="0"/>
        <w:ind w:left="1985" w:hanging="545"/>
      </w:pPr>
      <w:proofErr w:type="gramStart"/>
      <w:r w:rsidRPr="003919BF">
        <w:lastRenderedPageBreak/>
        <w:t>documented</w:t>
      </w:r>
      <w:proofErr w:type="gramEnd"/>
      <w:r w:rsidRPr="003919BF">
        <w:t xml:space="preserve"> evidence of a relationship of the kind referred to in condition 1b. above with a NATA accredited laboratory, and</w:t>
      </w:r>
    </w:p>
    <w:p w:rsidR="004467D9" w:rsidRPr="003919BF" w:rsidRDefault="004467D9" w:rsidP="00F737A4">
      <w:pPr>
        <w:numPr>
          <w:ilvl w:val="0"/>
          <w:numId w:val="27"/>
        </w:numPr>
        <w:tabs>
          <w:tab w:val="left" w:pos="1985"/>
        </w:tabs>
        <w:spacing w:after="120"/>
        <w:ind w:left="1985" w:hanging="545"/>
      </w:pPr>
      <w:r w:rsidRPr="003919BF">
        <w:t>documented evidence of the participation by the organisation in a HIV point of care quality assurance program, and</w:t>
      </w:r>
    </w:p>
    <w:p w:rsidR="004467D9" w:rsidRPr="003919BF" w:rsidRDefault="004467D9" w:rsidP="00F737A4">
      <w:pPr>
        <w:numPr>
          <w:ilvl w:val="0"/>
          <w:numId w:val="9"/>
        </w:numPr>
        <w:spacing w:after="120"/>
        <w:ind w:left="1434" w:hanging="357"/>
      </w:pPr>
      <w:r w:rsidRPr="003919BF">
        <w:t>documented evidence that condition 2 has been complied with by the sponsor during the period, and</w:t>
      </w:r>
    </w:p>
    <w:p w:rsidR="004467D9" w:rsidRPr="003919BF" w:rsidRDefault="004467D9" w:rsidP="00F737A4">
      <w:pPr>
        <w:numPr>
          <w:ilvl w:val="0"/>
          <w:numId w:val="9"/>
        </w:numPr>
        <w:spacing w:after="0"/>
        <w:ind w:left="1434" w:hanging="357"/>
      </w:pPr>
      <w:r w:rsidRPr="003919BF">
        <w:t>documented evidence that each person using the device during the period has satisfactorily completed training in the correct use of the device and interpretation of results being evidence that:</w:t>
      </w:r>
    </w:p>
    <w:p w:rsidR="004467D9" w:rsidRPr="003919BF" w:rsidRDefault="004467D9" w:rsidP="00F737A4">
      <w:pPr>
        <w:numPr>
          <w:ilvl w:val="0"/>
          <w:numId w:val="10"/>
        </w:numPr>
        <w:tabs>
          <w:tab w:val="left" w:pos="1985"/>
        </w:tabs>
        <w:spacing w:after="0"/>
        <w:ind w:left="1984" w:hanging="544"/>
      </w:pPr>
      <w:r w:rsidRPr="003919BF">
        <w:t>identifies the name and qualifications of health professionals who use or supervise the use of the device, the date of their training and provider of the training,</w:t>
      </w:r>
    </w:p>
    <w:p w:rsidR="004467D9" w:rsidRPr="00A1578E" w:rsidRDefault="004467D9" w:rsidP="00F737A4">
      <w:pPr>
        <w:numPr>
          <w:ilvl w:val="0"/>
          <w:numId w:val="10"/>
        </w:numPr>
        <w:tabs>
          <w:tab w:val="left" w:pos="1985"/>
        </w:tabs>
        <w:spacing w:after="0"/>
        <w:ind w:left="1984" w:hanging="544"/>
      </w:pPr>
      <w:r w:rsidRPr="00A1578E">
        <w:t>identifies the names of all other users of the device, the date of their training and provider of the training,</w:t>
      </w:r>
    </w:p>
    <w:p w:rsidR="004467D9" w:rsidRPr="00A1578E" w:rsidRDefault="004467D9" w:rsidP="00F737A4">
      <w:pPr>
        <w:numPr>
          <w:ilvl w:val="0"/>
          <w:numId w:val="10"/>
        </w:numPr>
        <w:tabs>
          <w:tab w:val="left" w:pos="1985"/>
        </w:tabs>
      </w:pPr>
      <w:r w:rsidRPr="00A1578E">
        <w:t>lists the specific skills and knowledge evaluated in the training, and</w:t>
      </w:r>
    </w:p>
    <w:p w:rsidR="004467D9" w:rsidRPr="00A1578E" w:rsidRDefault="004467D9" w:rsidP="00F737A4">
      <w:pPr>
        <w:numPr>
          <w:ilvl w:val="0"/>
          <w:numId w:val="9"/>
        </w:numPr>
      </w:pPr>
      <w:proofErr w:type="gramStart"/>
      <w:r w:rsidRPr="00A1578E">
        <w:t>declarations</w:t>
      </w:r>
      <w:proofErr w:type="gramEnd"/>
      <w:r w:rsidRPr="00A1578E">
        <w:t>, including certificates or other evidence, that each person using the device has received training in the delivery and administration of HIV point of care devices in accordance with the requirements of the National HIV Testing Policy.</w:t>
      </w:r>
    </w:p>
    <w:p w:rsidR="00A4593A" w:rsidRDefault="004467D9" w:rsidP="00F737A4">
      <w:pPr>
        <w:numPr>
          <w:ilvl w:val="0"/>
          <w:numId w:val="26"/>
        </w:numPr>
        <w:spacing w:after="120"/>
        <w:ind w:hanging="357"/>
      </w:pPr>
      <w:r w:rsidRPr="00A4593A">
        <w:t xml:space="preserve">Post market reports must be sent to the PSB at the following email address, </w:t>
      </w:r>
      <w:hyperlink r:id="rId38" w:history="1">
        <w:r w:rsidRPr="00A4593A">
          <w:t>postmarketdevices@tga.gov.au</w:t>
        </w:r>
      </w:hyperlink>
    </w:p>
    <w:p w:rsidR="006F6E93" w:rsidRDefault="006F6E93" w:rsidP="00A4593A">
      <w:pPr>
        <w:pStyle w:val="Heading1"/>
      </w:pPr>
      <w:bookmarkStart w:id="195" w:name="_Toc418224885"/>
      <w:r w:rsidRPr="004C6B15">
        <w:lastRenderedPageBreak/>
        <w:t xml:space="preserve">Appendix </w:t>
      </w:r>
      <w:r>
        <w:t>C</w:t>
      </w:r>
      <w:r w:rsidRPr="004C6B15">
        <w:tab/>
        <w:t>Search strategies</w:t>
      </w:r>
      <w:bookmarkEnd w:id="195"/>
    </w:p>
    <w:p w:rsidR="006F6E93" w:rsidRPr="003919BF" w:rsidRDefault="008C491E" w:rsidP="003919BF">
      <w:r w:rsidRPr="003919BF">
        <w:t>Search strategy employed to identify relevant studies to assess the diagnostic characteristics and effectiveness of rapid point-of-care Antigen/Antibody HIV tests compared with serology testing for HIV.</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Search strategy employed to identify relevant studies to assess the diagnostic characteristics and effectiveness of rapid point-of-care Antigen/Antibody HIV tests compared with serology testing for HIV."/>
      </w:tblPr>
      <w:tblGrid>
        <w:gridCol w:w="425"/>
        <w:gridCol w:w="3877"/>
        <w:gridCol w:w="1403"/>
        <w:gridCol w:w="1384"/>
        <w:gridCol w:w="1233"/>
      </w:tblGrid>
      <w:tr w:rsidR="00812161" w:rsidTr="00812161">
        <w:tc>
          <w:tcPr>
            <w:tcW w:w="425" w:type="dxa"/>
            <w:shd w:val="clear" w:color="auto" w:fill="auto"/>
          </w:tcPr>
          <w:p w:rsidR="006F6E93" w:rsidRDefault="006F6E93" w:rsidP="006F6E93">
            <w:pPr>
              <w:pStyle w:val="TableText"/>
            </w:pPr>
          </w:p>
        </w:tc>
        <w:tc>
          <w:tcPr>
            <w:tcW w:w="3877" w:type="dxa"/>
            <w:shd w:val="clear" w:color="auto" w:fill="auto"/>
          </w:tcPr>
          <w:p w:rsidR="006F6E93" w:rsidRDefault="006F6E93" w:rsidP="006F6E93">
            <w:pPr>
              <w:pStyle w:val="TableText"/>
            </w:pPr>
          </w:p>
        </w:tc>
        <w:tc>
          <w:tcPr>
            <w:tcW w:w="1403" w:type="dxa"/>
            <w:shd w:val="clear" w:color="auto" w:fill="auto"/>
            <w:vAlign w:val="center"/>
          </w:tcPr>
          <w:p w:rsidR="006F6E93" w:rsidRPr="00812161" w:rsidRDefault="006F6E93" w:rsidP="00812161">
            <w:pPr>
              <w:pStyle w:val="TableText"/>
              <w:jc w:val="center"/>
              <w:rPr>
                <w:b/>
                <w:bCs/>
              </w:rPr>
            </w:pPr>
            <w:proofErr w:type="spellStart"/>
            <w:r w:rsidRPr="00812161">
              <w:rPr>
                <w:b/>
                <w:bCs/>
              </w:rPr>
              <w:t>Embase</w:t>
            </w:r>
            <w:proofErr w:type="spellEnd"/>
          </w:p>
        </w:tc>
        <w:tc>
          <w:tcPr>
            <w:tcW w:w="1384" w:type="dxa"/>
            <w:shd w:val="clear" w:color="auto" w:fill="auto"/>
            <w:vAlign w:val="center"/>
          </w:tcPr>
          <w:p w:rsidR="006F6E93" w:rsidRPr="00812161" w:rsidRDefault="006F6E93" w:rsidP="00812161">
            <w:pPr>
              <w:pStyle w:val="TableText"/>
              <w:jc w:val="center"/>
              <w:rPr>
                <w:b/>
                <w:bCs/>
              </w:rPr>
            </w:pPr>
            <w:r w:rsidRPr="00812161">
              <w:rPr>
                <w:b/>
                <w:bCs/>
              </w:rPr>
              <w:t>Medline</w:t>
            </w:r>
          </w:p>
        </w:tc>
        <w:tc>
          <w:tcPr>
            <w:tcW w:w="1233" w:type="dxa"/>
            <w:shd w:val="clear" w:color="auto" w:fill="auto"/>
            <w:vAlign w:val="center"/>
          </w:tcPr>
          <w:p w:rsidR="006F6E93" w:rsidRPr="00812161" w:rsidRDefault="006F6E93" w:rsidP="00812161">
            <w:pPr>
              <w:pStyle w:val="TableText"/>
              <w:jc w:val="center"/>
              <w:rPr>
                <w:b/>
                <w:bCs/>
              </w:rPr>
            </w:pPr>
            <w:r w:rsidRPr="00812161">
              <w:rPr>
                <w:b/>
                <w:bCs/>
              </w:rPr>
              <w:t>EBM</w:t>
            </w:r>
          </w:p>
        </w:tc>
      </w:tr>
      <w:tr w:rsidR="00812161" w:rsidTr="00812161">
        <w:tc>
          <w:tcPr>
            <w:tcW w:w="425" w:type="dxa"/>
            <w:shd w:val="clear" w:color="auto" w:fill="auto"/>
          </w:tcPr>
          <w:p w:rsidR="006F6E93" w:rsidRDefault="006F6E93" w:rsidP="006F6E93">
            <w:pPr>
              <w:pStyle w:val="TableText"/>
            </w:pPr>
            <w:r>
              <w:t>1</w:t>
            </w:r>
          </w:p>
        </w:tc>
        <w:tc>
          <w:tcPr>
            <w:tcW w:w="3877" w:type="dxa"/>
            <w:shd w:val="clear" w:color="auto" w:fill="auto"/>
          </w:tcPr>
          <w:p w:rsidR="006F6E93" w:rsidRDefault="006F6E93" w:rsidP="006F6E93">
            <w:pPr>
              <w:pStyle w:val="TableText"/>
            </w:pPr>
            <w:proofErr w:type="spellStart"/>
            <w:r w:rsidRPr="004B6A94">
              <w:t>exp</w:t>
            </w:r>
            <w:proofErr w:type="spellEnd"/>
            <w:r w:rsidRPr="004B6A94">
              <w:t xml:space="preserve"> Human immunodeficiency virus infection/di [Diagnosis]</w:t>
            </w:r>
          </w:p>
        </w:tc>
        <w:tc>
          <w:tcPr>
            <w:tcW w:w="1403" w:type="dxa"/>
            <w:shd w:val="clear" w:color="auto" w:fill="auto"/>
            <w:vAlign w:val="center"/>
          </w:tcPr>
          <w:p w:rsidR="006F6E93" w:rsidRDefault="006F6E93" w:rsidP="00812161">
            <w:pPr>
              <w:pStyle w:val="TableText"/>
              <w:jc w:val="center"/>
            </w:pPr>
            <w:r>
              <w:t>27783</w:t>
            </w:r>
          </w:p>
        </w:tc>
        <w:tc>
          <w:tcPr>
            <w:tcW w:w="1384" w:type="dxa"/>
            <w:shd w:val="clear" w:color="auto" w:fill="auto"/>
            <w:vAlign w:val="center"/>
          </w:tcPr>
          <w:p w:rsidR="006F6E93" w:rsidRDefault="006F6E93" w:rsidP="00812161">
            <w:pPr>
              <w:pStyle w:val="TableText"/>
              <w:jc w:val="center"/>
            </w:pPr>
            <w:r>
              <w:t>0</w:t>
            </w:r>
          </w:p>
        </w:tc>
        <w:tc>
          <w:tcPr>
            <w:tcW w:w="1233" w:type="dxa"/>
            <w:shd w:val="clear" w:color="auto" w:fill="auto"/>
            <w:vAlign w:val="center"/>
          </w:tcPr>
          <w:p w:rsidR="006F6E93" w:rsidRDefault="006F6E93" w:rsidP="00812161">
            <w:pPr>
              <w:pStyle w:val="TableText"/>
              <w:jc w:val="center"/>
            </w:pPr>
            <w:r>
              <w:t>0</w:t>
            </w:r>
          </w:p>
        </w:tc>
      </w:tr>
      <w:tr w:rsidR="00812161" w:rsidTr="00812161">
        <w:tc>
          <w:tcPr>
            <w:tcW w:w="425" w:type="dxa"/>
            <w:shd w:val="clear" w:color="auto" w:fill="auto"/>
          </w:tcPr>
          <w:p w:rsidR="006F6E93" w:rsidRDefault="006F6E93" w:rsidP="006F6E93">
            <w:pPr>
              <w:pStyle w:val="TableText"/>
            </w:pPr>
            <w:r>
              <w:t>2</w:t>
            </w:r>
          </w:p>
        </w:tc>
        <w:tc>
          <w:tcPr>
            <w:tcW w:w="3877" w:type="dxa"/>
            <w:shd w:val="clear" w:color="auto" w:fill="auto"/>
          </w:tcPr>
          <w:p w:rsidR="006F6E93" w:rsidRDefault="006F6E93" w:rsidP="006F6E93">
            <w:pPr>
              <w:pStyle w:val="TableText"/>
            </w:pPr>
            <w:proofErr w:type="spellStart"/>
            <w:r w:rsidRPr="004B6A94">
              <w:t>exp</w:t>
            </w:r>
            <w:proofErr w:type="spellEnd"/>
            <w:r w:rsidRPr="004B6A94">
              <w:t xml:space="preserve"> </w:t>
            </w:r>
            <w:r>
              <w:t>HIV</w:t>
            </w:r>
            <w:r w:rsidRPr="004B6A94">
              <w:t xml:space="preserve"> infection/di [Diagnosis]</w:t>
            </w:r>
          </w:p>
        </w:tc>
        <w:tc>
          <w:tcPr>
            <w:tcW w:w="1403" w:type="dxa"/>
            <w:shd w:val="clear" w:color="auto" w:fill="auto"/>
            <w:vAlign w:val="center"/>
          </w:tcPr>
          <w:p w:rsidR="006F6E93" w:rsidRDefault="006F6E93" w:rsidP="00812161">
            <w:pPr>
              <w:pStyle w:val="TableText"/>
              <w:jc w:val="center"/>
            </w:pPr>
            <w:r>
              <w:t>277863</w:t>
            </w:r>
          </w:p>
        </w:tc>
        <w:tc>
          <w:tcPr>
            <w:tcW w:w="1384" w:type="dxa"/>
            <w:shd w:val="clear" w:color="auto" w:fill="auto"/>
            <w:vAlign w:val="center"/>
          </w:tcPr>
          <w:p w:rsidR="006F6E93" w:rsidRDefault="006F6E93" w:rsidP="00812161">
            <w:pPr>
              <w:pStyle w:val="TableText"/>
              <w:jc w:val="center"/>
            </w:pPr>
            <w:r>
              <w:t>23694</w:t>
            </w:r>
          </w:p>
        </w:tc>
        <w:tc>
          <w:tcPr>
            <w:tcW w:w="1233" w:type="dxa"/>
            <w:shd w:val="clear" w:color="auto" w:fill="auto"/>
            <w:vAlign w:val="center"/>
          </w:tcPr>
          <w:p w:rsidR="006F6E93" w:rsidRDefault="006F6E93" w:rsidP="00812161">
            <w:pPr>
              <w:pStyle w:val="TableText"/>
              <w:jc w:val="center"/>
            </w:pPr>
            <w:r>
              <w:t>141</w:t>
            </w:r>
          </w:p>
        </w:tc>
      </w:tr>
      <w:tr w:rsidR="00812161" w:rsidTr="00812161">
        <w:tc>
          <w:tcPr>
            <w:tcW w:w="425" w:type="dxa"/>
            <w:shd w:val="clear" w:color="auto" w:fill="auto"/>
          </w:tcPr>
          <w:p w:rsidR="006F6E93" w:rsidRDefault="006F6E93" w:rsidP="006F6E93">
            <w:pPr>
              <w:pStyle w:val="TableText"/>
            </w:pPr>
            <w:r>
              <w:t>3</w:t>
            </w:r>
          </w:p>
        </w:tc>
        <w:tc>
          <w:tcPr>
            <w:tcW w:w="3877" w:type="dxa"/>
            <w:shd w:val="clear" w:color="auto" w:fill="auto"/>
          </w:tcPr>
          <w:p w:rsidR="006F6E93" w:rsidRDefault="006F6E93" w:rsidP="006F6E93">
            <w:pPr>
              <w:pStyle w:val="TableText"/>
            </w:pPr>
            <w:proofErr w:type="spellStart"/>
            <w:r w:rsidRPr="004B6A94">
              <w:t>exp</w:t>
            </w:r>
            <w:proofErr w:type="spellEnd"/>
            <w:r w:rsidRPr="004B6A94">
              <w:t xml:space="preserve"> Human immunodeficiency virus test/</w:t>
            </w:r>
          </w:p>
        </w:tc>
        <w:tc>
          <w:tcPr>
            <w:tcW w:w="1403" w:type="dxa"/>
            <w:shd w:val="clear" w:color="auto" w:fill="auto"/>
            <w:vAlign w:val="center"/>
          </w:tcPr>
          <w:p w:rsidR="006F6E93" w:rsidRDefault="006F6E93" w:rsidP="00812161">
            <w:pPr>
              <w:pStyle w:val="TableText"/>
              <w:jc w:val="center"/>
            </w:pPr>
            <w:r>
              <w:t>4479</w:t>
            </w:r>
          </w:p>
        </w:tc>
        <w:tc>
          <w:tcPr>
            <w:tcW w:w="1384" w:type="dxa"/>
            <w:shd w:val="clear" w:color="auto" w:fill="auto"/>
            <w:vAlign w:val="center"/>
          </w:tcPr>
          <w:p w:rsidR="006F6E93" w:rsidRDefault="006F6E93" w:rsidP="00812161">
            <w:pPr>
              <w:pStyle w:val="TableText"/>
              <w:jc w:val="center"/>
            </w:pPr>
            <w:r>
              <w:t>0</w:t>
            </w:r>
          </w:p>
        </w:tc>
        <w:tc>
          <w:tcPr>
            <w:tcW w:w="1233" w:type="dxa"/>
            <w:shd w:val="clear" w:color="auto" w:fill="auto"/>
            <w:vAlign w:val="center"/>
          </w:tcPr>
          <w:p w:rsidR="006F6E93" w:rsidRDefault="006F6E93" w:rsidP="00812161">
            <w:pPr>
              <w:pStyle w:val="TableText"/>
              <w:jc w:val="center"/>
            </w:pPr>
            <w:r>
              <w:t>0</w:t>
            </w:r>
          </w:p>
        </w:tc>
      </w:tr>
      <w:tr w:rsidR="00812161" w:rsidTr="00812161">
        <w:tc>
          <w:tcPr>
            <w:tcW w:w="425" w:type="dxa"/>
            <w:shd w:val="clear" w:color="auto" w:fill="auto"/>
          </w:tcPr>
          <w:p w:rsidR="006F6E93" w:rsidRDefault="006F6E93" w:rsidP="006F6E93">
            <w:pPr>
              <w:pStyle w:val="TableText"/>
            </w:pPr>
            <w:r>
              <w:t>4</w:t>
            </w:r>
          </w:p>
        </w:tc>
        <w:tc>
          <w:tcPr>
            <w:tcW w:w="3877" w:type="dxa"/>
            <w:shd w:val="clear" w:color="auto" w:fill="auto"/>
          </w:tcPr>
          <w:p w:rsidR="006F6E93" w:rsidRDefault="006F6E93" w:rsidP="006F6E93">
            <w:pPr>
              <w:pStyle w:val="TableText"/>
            </w:pPr>
            <w:proofErr w:type="spellStart"/>
            <w:r w:rsidRPr="004B6A94">
              <w:t>exp</w:t>
            </w:r>
            <w:proofErr w:type="spellEnd"/>
            <w:r w:rsidRPr="004B6A94">
              <w:t xml:space="preserve"> HIV test/</w:t>
            </w:r>
          </w:p>
        </w:tc>
        <w:tc>
          <w:tcPr>
            <w:tcW w:w="1403" w:type="dxa"/>
            <w:shd w:val="clear" w:color="auto" w:fill="auto"/>
            <w:vAlign w:val="center"/>
          </w:tcPr>
          <w:p w:rsidR="006F6E93" w:rsidRDefault="006F6E93" w:rsidP="00812161">
            <w:pPr>
              <w:pStyle w:val="TableText"/>
              <w:jc w:val="center"/>
            </w:pPr>
            <w:r>
              <w:t>4479</w:t>
            </w:r>
          </w:p>
        </w:tc>
        <w:tc>
          <w:tcPr>
            <w:tcW w:w="1384" w:type="dxa"/>
            <w:shd w:val="clear" w:color="auto" w:fill="auto"/>
            <w:vAlign w:val="center"/>
          </w:tcPr>
          <w:p w:rsidR="006F6E93" w:rsidRDefault="006F6E93" w:rsidP="00812161">
            <w:pPr>
              <w:pStyle w:val="TableText"/>
              <w:jc w:val="center"/>
            </w:pPr>
            <w:r>
              <w:t>0</w:t>
            </w:r>
          </w:p>
        </w:tc>
        <w:tc>
          <w:tcPr>
            <w:tcW w:w="1233" w:type="dxa"/>
            <w:shd w:val="clear" w:color="auto" w:fill="auto"/>
            <w:vAlign w:val="center"/>
          </w:tcPr>
          <w:p w:rsidR="006F6E93" w:rsidRDefault="006F6E93" w:rsidP="00812161">
            <w:pPr>
              <w:pStyle w:val="TableText"/>
              <w:jc w:val="center"/>
            </w:pPr>
            <w:r>
              <w:t>0</w:t>
            </w:r>
          </w:p>
        </w:tc>
      </w:tr>
      <w:tr w:rsidR="00812161" w:rsidTr="00812161">
        <w:tc>
          <w:tcPr>
            <w:tcW w:w="425" w:type="dxa"/>
            <w:shd w:val="clear" w:color="auto" w:fill="auto"/>
          </w:tcPr>
          <w:p w:rsidR="006F6E93" w:rsidRDefault="006F6E93" w:rsidP="006F6E93">
            <w:pPr>
              <w:pStyle w:val="TableText"/>
            </w:pPr>
            <w:r>
              <w:t>5</w:t>
            </w:r>
          </w:p>
        </w:tc>
        <w:tc>
          <w:tcPr>
            <w:tcW w:w="3877" w:type="dxa"/>
            <w:shd w:val="clear" w:color="auto" w:fill="auto"/>
          </w:tcPr>
          <w:p w:rsidR="006F6E93" w:rsidRDefault="006F6E93" w:rsidP="006F6E93">
            <w:pPr>
              <w:pStyle w:val="TableText"/>
            </w:pPr>
            <w:r w:rsidRPr="004B6A94">
              <w:t>rapid.mp.</w:t>
            </w:r>
          </w:p>
        </w:tc>
        <w:tc>
          <w:tcPr>
            <w:tcW w:w="1403" w:type="dxa"/>
            <w:shd w:val="clear" w:color="auto" w:fill="auto"/>
            <w:vAlign w:val="center"/>
          </w:tcPr>
          <w:p w:rsidR="006F6E93" w:rsidRDefault="006F6E93" w:rsidP="00812161">
            <w:pPr>
              <w:pStyle w:val="TableText"/>
              <w:jc w:val="center"/>
            </w:pPr>
            <w:r>
              <w:t>572901</w:t>
            </w:r>
          </w:p>
        </w:tc>
        <w:tc>
          <w:tcPr>
            <w:tcW w:w="1384" w:type="dxa"/>
            <w:shd w:val="clear" w:color="auto" w:fill="auto"/>
            <w:vAlign w:val="center"/>
          </w:tcPr>
          <w:p w:rsidR="006F6E93" w:rsidRDefault="006F6E93" w:rsidP="00812161">
            <w:pPr>
              <w:pStyle w:val="TableText"/>
              <w:jc w:val="center"/>
            </w:pPr>
            <w:r>
              <w:t>479065</w:t>
            </w:r>
          </w:p>
        </w:tc>
        <w:tc>
          <w:tcPr>
            <w:tcW w:w="1233" w:type="dxa"/>
            <w:shd w:val="clear" w:color="auto" w:fill="auto"/>
            <w:vAlign w:val="center"/>
          </w:tcPr>
          <w:p w:rsidR="006F6E93" w:rsidRDefault="006F6E93" w:rsidP="00812161">
            <w:pPr>
              <w:pStyle w:val="TableText"/>
              <w:jc w:val="center"/>
            </w:pPr>
            <w:r>
              <w:t>18278</w:t>
            </w:r>
          </w:p>
        </w:tc>
      </w:tr>
      <w:tr w:rsidR="00812161" w:rsidTr="00812161">
        <w:tc>
          <w:tcPr>
            <w:tcW w:w="425" w:type="dxa"/>
            <w:shd w:val="clear" w:color="auto" w:fill="auto"/>
          </w:tcPr>
          <w:p w:rsidR="006F6E93" w:rsidRDefault="006F6E93" w:rsidP="006F6E93">
            <w:pPr>
              <w:pStyle w:val="TableText"/>
            </w:pPr>
            <w:r>
              <w:t>6</w:t>
            </w:r>
          </w:p>
        </w:tc>
        <w:tc>
          <w:tcPr>
            <w:tcW w:w="3877" w:type="dxa"/>
            <w:shd w:val="clear" w:color="auto" w:fill="auto"/>
          </w:tcPr>
          <w:p w:rsidR="006F6E93" w:rsidRDefault="006F6E93" w:rsidP="006F6E93">
            <w:pPr>
              <w:pStyle w:val="TableText"/>
            </w:pPr>
            <w:proofErr w:type="spellStart"/>
            <w:r w:rsidRPr="004B6A94">
              <w:t>exp</w:t>
            </w:r>
            <w:proofErr w:type="spellEnd"/>
            <w:r w:rsidRPr="004B6A94">
              <w:t xml:space="preserve"> "point of care testing"/</w:t>
            </w:r>
          </w:p>
        </w:tc>
        <w:tc>
          <w:tcPr>
            <w:tcW w:w="1403" w:type="dxa"/>
            <w:shd w:val="clear" w:color="auto" w:fill="auto"/>
            <w:vAlign w:val="center"/>
          </w:tcPr>
          <w:p w:rsidR="006F6E93" w:rsidRDefault="006F6E93" w:rsidP="00812161">
            <w:pPr>
              <w:pStyle w:val="TableText"/>
              <w:jc w:val="center"/>
            </w:pPr>
            <w:r>
              <w:t>5373</w:t>
            </w:r>
          </w:p>
        </w:tc>
        <w:tc>
          <w:tcPr>
            <w:tcW w:w="1384" w:type="dxa"/>
            <w:shd w:val="clear" w:color="auto" w:fill="auto"/>
            <w:vAlign w:val="center"/>
          </w:tcPr>
          <w:p w:rsidR="006F6E93" w:rsidRDefault="006F6E93" w:rsidP="00812161">
            <w:pPr>
              <w:pStyle w:val="TableText"/>
              <w:jc w:val="center"/>
            </w:pPr>
            <w:r>
              <w:t>0</w:t>
            </w:r>
          </w:p>
        </w:tc>
        <w:tc>
          <w:tcPr>
            <w:tcW w:w="1233" w:type="dxa"/>
            <w:shd w:val="clear" w:color="auto" w:fill="auto"/>
            <w:vAlign w:val="center"/>
          </w:tcPr>
          <w:p w:rsidR="006F6E93" w:rsidRDefault="006F6E93" w:rsidP="00812161">
            <w:pPr>
              <w:pStyle w:val="TableText"/>
              <w:jc w:val="center"/>
            </w:pPr>
            <w:r>
              <w:t>0</w:t>
            </w:r>
          </w:p>
        </w:tc>
      </w:tr>
      <w:tr w:rsidR="00812161" w:rsidTr="00812161">
        <w:tc>
          <w:tcPr>
            <w:tcW w:w="425" w:type="dxa"/>
            <w:shd w:val="clear" w:color="auto" w:fill="auto"/>
          </w:tcPr>
          <w:p w:rsidR="006F6E93" w:rsidRDefault="006F6E93" w:rsidP="006F6E93">
            <w:pPr>
              <w:pStyle w:val="TableText"/>
            </w:pPr>
            <w:r>
              <w:t>7</w:t>
            </w:r>
          </w:p>
        </w:tc>
        <w:tc>
          <w:tcPr>
            <w:tcW w:w="3877" w:type="dxa"/>
            <w:shd w:val="clear" w:color="auto" w:fill="auto"/>
          </w:tcPr>
          <w:p w:rsidR="006F6E93" w:rsidRDefault="006F6E93" w:rsidP="006F6E93">
            <w:pPr>
              <w:pStyle w:val="TableText"/>
            </w:pPr>
            <w:r w:rsidRPr="004B6A94">
              <w:t>(</w:t>
            </w:r>
            <w:proofErr w:type="gramStart"/>
            <w:r w:rsidRPr="004B6A94">
              <w:t>point</w:t>
            </w:r>
            <w:proofErr w:type="gramEnd"/>
            <w:r w:rsidRPr="004B6A94">
              <w:t xml:space="preserve"> of care or POC or point of care test* or POCT).</w:t>
            </w:r>
            <w:proofErr w:type="spellStart"/>
            <w:r w:rsidRPr="004B6A94">
              <w:t>mp</w:t>
            </w:r>
            <w:proofErr w:type="spellEnd"/>
            <w:r w:rsidRPr="004B6A94">
              <w:t>. [</w:t>
            </w:r>
            <w:proofErr w:type="spellStart"/>
            <w:r w:rsidRPr="004B6A94">
              <w:t>mp</w:t>
            </w:r>
            <w:proofErr w:type="spellEnd"/>
            <w:r w:rsidRPr="004B6A94">
              <w:t>=title, abstract, subject headings, heading word, drug trade name, original title, device manufacturer, drug manufacturer, device trade name, keyword]</w:t>
            </w:r>
          </w:p>
        </w:tc>
        <w:tc>
          <w:tcPr>
            <w:tcW w:w="1403" w:type="dxa"/>
            <w:shd w:val="clear" w:color="auto" w:fill="auto"/>
            <w:vAlign w:val="center"/>
          </w:tcPr>
          <w:p w:rsidR="006F6E93" w:rsidRDefault="006F6E93" w:rsidP="00812161">
            <w:pPr>
              <w:pStyle w:val="TableText"/>
              <w:jc w:val="center"/>
            </w:pPr>
            <w:r>
              <w:t>15211</w:t>
            </w:r>
          </w:p>
        </w:tc>
        <w:tc>
          <w:tcPr>
            <w:tcW w:w="1384" w:type="dxa"/>
            <w:shd w:val="clear" w:color="auto" w:fill="auto"/>
            <w:vAlign w:val="center"/>
          </w:tcPr>
          <w:p w:rsidR="006F6E93" w:rsidRDefault="006F6E93" w:rsidP="00812161">
            <w:pPr>
              <w:pStyle w:val="TableText"/>
              <w:jc w:val="center"/>
            </w:pPr>
            <w:r>
              <w:t>13403</w:t>
            </w:r>
          </w:p>
        </w:tc>
        <w:tc>
          <w:tcPr>
            <w:tcW w:w="1233" w:type="dxa"/>
            <w:shd w:val="clear" w:color="auto" w:fill="auto"/>
            <w:vAlign w:val="center"/>
          </w:tcPr>
          <w:p w:rsidR="006F6E93" w:rsidRDefault="006F6E93" w:rsidP="00812161">
            <w:pPr>
              <w:pStyle w:val="TableText"/>
              <w:jc w:val="center"/>
            </w:pPr>
            <w:r>
              <w:t>900</w:t>
            </w:r>
          </w:p>
        </w:tc>
      </w:tr>
      <w:tr w:rsidR="00812161" w:rsidTr="00812161">
        <w:tc>
          <w:tcPr>
            <w:tcW w:w="425" w:type="dxa"/>
            <w:shd w:val="clear" w:color="auto" w:fill="auto"/>
          </w:tcPr>
          <w:p w:rsidR="006F6E93" w:rsidRDefault="006F6E93" w:rsidP="006F6E93">
            <w:pPr>
              <w:pStyle w:val="TableText"/>
            </w:pPr>
            <w:r>
              <w:t>8</w:t>
            </w:r>
          </w:p>
        </w:tc>
        <w:tc>
          <w:tcPr>
            <w:tcW w:w="3877" w:type="dxa"/>
            <w:shd w:val="clear" w:color="auto" w:fill="auto"/>
          </w:tcPr>
          <w:p w:rsidR="006F6E93" w:rsidRDefault="006F6E93" w:rsidP="006F6E93">
            <w:pPr>
              <w:pStyle w:val="TableText"/>
            </w:pPr>
            <w:r w:rsidRPr="004B6A94">
              <w:t>((</w:t>
            </w:r>
            <w:proofErr w:type="gramStart"/>
            <w:r w:rsidRPr="004B6A94">
              <w:t>fourth</w:t>
            </w:r>
            <w:proofErr w:type="gramEnd"/>
            <w:r w:rsidRPr="004B6A94">
              <w:t xml:space="preserve"> or 4th) </w:t>
            </w:r>
            <w:proofErr w:type="spellStart"/>
            <w:r w:rsidRPr="004B6A94">
              <w:t>adj</w:t>
            </w:r>
            <w:proofErr w:type="spellEnd"/>
            <w:r w:rsidRPr="004B6A94">
              <w:t xml:space="preserve"> generation).</w:t>
            </w:r>
            <w:proofErr w:type="spellStart"/>
            <w:r w:rsidRPr="004B6A94">
              <w:t>mp</w:t>
            </w:r>
            <w:proofErr w:type="spellEnd"/>
            <w:r w:rsidRPr="004B6A94">
              <w:t>. [</w:t>
            </w:r>
            <w:proofErr w:type="spellStart"/>
            <w:r w:rsidRPr="004B6A94">
              <w:t>mp</w:t>
            </w:r>
            <w:proofErr w:type="spellEnd"/>
            <w:r w:rsidRPr="004B6A94">
              <w:t>=title, abstract, subject headings, heading word, drug trade name, original title, device manufacturer, drug manufacturer, device trade name, keyword]</w:t>
            </w:r>
          </w:p>
        </w:tc>
        <w:tc>
          <w:tcPr>
            <w:tcW w:w="1403" w:type="dxa"/>
            <w:shd w:val="clear" w:color="auto" w:fill="auto"/>
            <w:vAlign w:val="center"/>
          </w:tcPr>
          <w:p w:rsidR="006F6E93" w:rsidRDefault="006F6E93" w:rsidP="00812161">
            <w:pPr>
              <w:pStyle w:val="TableText"/>
              <w:jc w:val="center"/>
            </w:pPr>
            <w:r>
              <w:t>2650</w:t>
            </w:r>
          </w:p>
        </w:tc>
        <w:tc>
          <w:tcPr>
            <w:tcW w:w="1384" w:type="dxa"/>
            <w:shd w:val="clear" w:color="auto" w:fill="auto"/>
            <w:vAlign w:val="center"/>
          </w:tcPr>
          <w:p w:rsidR="006F6E93" w:rsidRDefault="006F6E93" w:rsidP="00812161">
            <w:pPr>
              <w:pStyle w:val="TableText"/>
              <w:jc w:val="center"/>
            </w:pPr>
            <w:r>
              <w:t>1992</w:t>
            </w:r>
          </w:p>
        </w:tc>
        <w:tc>
          <w:tcPr>
            <w:tcW w:w="1233" w:type="dxa"/>
            <w:shd w:val="clear" w:color="auto" w:fill="auto"/>
            <w:vAlign w:val="center"/>
          </w:tcPr>
          <w:p w:rsidR="006F6E93" w:rsidRDefault="006F6E93" w:rsidP="00812161">
            <w:pPr>
              <w:pStyle w:val="TableText"/>
              <w:jc w:val="center"/>
            </w:pPr>
            <w:r>
              <w:t>123</w:t>
            </w:r>
          </w:p>
        </w:tc>
      </w:tr>
      <w:tr w:rsidR="00812161" w:rsidTr="00812161">
        <w:tc>
          <w:tcPr>
            <w:tcW w:w="425" w:type="dxa"/>
            <w:shd w:val="clear" w:color="auto" w:fill="auto"/>
          </w:tcPr>
          <w:p w:rsidR="006F6E93" w:rsidRDefault="006F6E93" w:rsidP="006F6E93">
            <w:pPr>
              <w:pStyle w:val="TableText"/>
            </w:pPr>
            <w:r>
              <w:t>9</w:t>
            </w:r>
          </w:p>
        </w:tc>
        <w:tc>
          <w:tcPr>
            <w:tcW w:w="3877" w:type="dxa"/>
            <w:shd w:val="clear" w:color="auto" w:fill="auto"/>
          </w:tcPr>
          <w:p w:rsidR="006F6E93" w:rsidRDefault="006F6E93" w:rsidP="006F6E93">
            <w:pPr>
              <w:pStyle w:val="TableText"/>
            </w:pPr>
            <w:r w:rsidRPr="004B6A94">
              <w:t>(</w:t>
            </w:r>
            <w:proofErr w:type="gramStart"/>
            <w:r w:rsidRPr="004B6A94">
              <w:t>determine</w:t>
            </w:r>
            <w:proofErr w:type="gramEnd"/>
            <w:r w:rsidRPr="004B6A94">
              <w:t xml:space="preserve"> and </w:t>
            </w:r>
            <w:proofErr w:type="spellStart"/>
            <w:r w:rsidRPr="004B6A94">
              <w:t>alere</w:t>
            </w:r>
            <w:proofErr w:type="spellEnd"/>
            <w:r w:rsidRPr="004B6A94">
              <w:t>).</w:t>
            </w:r>
            <w:proofErr w:type="spellStart"/>
            <w:r w:rsidRPr="004B6A94">
              <w:t>mp</w:t>
            </w:r>
            <w:proofErr w:type="spellEnd"/>
            <w:r w:rsidRPr="004B6A94">
              <w:t>. [</w:t>
            </w:r>
            <w:proofErr w:type="spellStart"/>
            <w:r w:rsidRPr="004B6A94">
              <w:t>mp</w:t>
            </w:r>
            <w:proofErr w:type="spellEnd"/>
            <w:r w:rsidRPr="004B6A94">
              <w:t>=title, abstract, subject headings, heading word, drug trade name, original title, device manufacturer, drug manufacturer, device trade name, keyword]</w:t>
            </w:r>
          </w:p>
        </w:tc>
        <w:tc>
          <w:tcPr>
            <w:tcW w:w="1403" w:type="dxa"/>
            <w:shd w:val="clear" w:color="auto" w:fill="auto"/>
            <w:vAlign w:val="center"/>
          </w:tcPr>
          <w:p w:rsidR="006F6E93" w:rsidRDefault="006F6E93" w:rsidP="00812161">
            <w:pPr>
              <w:pStyle w:val="TableText"/>
              <w:jc w:val="center"/>
            </w:pPr>
            <w:r>
              <w:t>94</w:t>
            </w:r>
          </w:p>
        </w:tc>
        <w:tc>
          <w:tcPr>
            <w:tcW w:w="1384" w:type="dxa"/>
            <w:shd w:val="clear" w:color="auto" w:fill="auto"/>
            <w:vAlign w:val="center"/>
          </w:tcPr>
          <w:p w:rsidR="006F6E93" w:rsidRDefault="006F6E93" w:rsidP="00812161">
            <w:pPr>
              <w:pStyle w:val="TableText"/>
              <w:jc w:val="center"/>
            </w:pPr>
            <w:r>
              <w:t>15</w:t>
            </w:r>
          </w:p>
        </w:tc>
        <w:tc>
          <w:tcPr>
            <w:tcW w:w="1233" w:type="dxa"/>
            <w:shd w:val="clear" w:color="auto" w:fill="auto"/>
            <w:vAlign w:val="center"/>
          </w:tcPr>
          <w:p w:rsidR="006F6E93" w:rsidRDefault="006F6E93" w:rsidP="00812161">
            <w:pPr>
              <w:pStyle w:val="TableText"/>
              <w:jc w:val="center"/>
            </w:pPr>
            <w:r>
              <w:t>6</w:t>
            </w:r>
          </w:p>
        </w:tc>
      </w:tr>
      <w:tr w:rsidR="00812161" w:rsidTr="00812161">
        <w:tc>
          <w:tcPr>
            <w:tcW w:w="425" w:type="dxa"/>
            <w:shd w:val="clear" w:color="auto" w:fill="auto"/>
          </w:tcPr>
          <w:p w:rsidR="006F6E93" w:rsidRDefault="006F6E93" w:rsidP="006F6E93">
            <w:pPr>
              <w:pStyle w:val="TableText"/>
            </w:pPr>
            <w:r>
              <w:t>10</w:t>
            </w:r>
          </w:p>
        </w:tc>
        <w:tc>
          <w:tcPr>
            <w:tcW w:w="3877" w:type="dxa"/>
            <w:shd w:val="clear" w:color="auto" w:fill="auto"/>
          </w:tcPr>
          <w:p w:rsidR="006F6E93" w:rsidRDefault="006F6E93" w:rsidP="006F6E93">
            <w:pPr>
              <w:pStyle w:val="TableText"/>
            </w:pPr>
            <w:r w:rsidRPr="004B6A94">
              <w:t>1 or 2 or 3 or 4</w:t>
            </w:r>
          </w:p>
        </w:tc>
        <w:tc>
          <w:tcPr>
            <w:tcW w:w="1403" w:type="dxa"/>
            <w:shd w:val="clear" w:color="auto" w:fill="auto"/>
            <w:vAlign w:val="center"/>
          </w:tcPr>
          <w:p w:rsidR="006F6E93" w:rsidRDefault="006F6E93" w:rsidP="00812161">
            <w:pPr>
              <w:pStyle w:val="TableText"/>
              <w:jc w:val="center"/>
            </w:pPr>
            <w:r>
              <w:t>31436</w:t>
            </w:r>
          </w:p>
        </w:tc>
        <w:tc>
          <w:tcPr>
            <w:tcW w:w="1384" w:type="dxa"/>
            <w:shd w:val="clear" w:color="auto" w:fill="auto"/>
            <w:vAlign w:val="center"/>
          </w:tcPr>
          <w:p w:rsidR="006F6E93" w:rsidRDefault="006F6E93" w:rsidP="00812161">
            <w:pPr>
              <w:pStyle w:val="TableText"/>
              <w:jc w:val="center"/>
            </w:pPr>
            <w:r>
              <w:t>23694</w:t>
            </w:r>
          </w:p>
        </w:tc>
        <w:tc>
          <w:tcPr>
            <w:tcW w:w="1233" w:type="dxa"/>
            <w:shd w:val="clear" w:color="auto" w:fill="auto"/>
            <w:vAlign w:val="center"/>
          </w:tcPr>
          <w:p w:rsidR="006F6E93" w:rsidRDefault="006F6E93" w:rsidP="00812161">
            <w:pPr>
              <w:pStyle w:val="TableText"/>
              <w:jc w:val="center"/>
            </w:pPr>
            <w:r>
              <w:t>141</w:t>
            </w:r>
          </w:p>
        </w:tc>
      </w:tr>
      <w:tr w:rsidR="00812161" w:rsidTr="00812161">
        <w:tc>
          <w:tcPr>
            <w:tcW w:w="425" w:type="dxa"/>
            <w:shd w:val="clear" w:color="auto" w:fill="auto"/>
          </w:tcPr>
          <w:p w:rsidR="006F6E93" w:rsidRDefault="006F6E93" w:rsidP="006F6E93">
            <w:pPr>
              <w:pStyle w:val="TableText"/>
            </w:pPr>
            <w:r>
              <w:t>11</w:t>
            </w:r>
          </w:p>
        </w:tc>
        <w:tc>
          <w:tcPr>
            <w:tcW w:w="3877" w:type="dxa"/>
            <w:shd w:val="clear" w:color="auto" w:fill="auto"/>
          </w:tcPr>
          <w:p w:rsidR="006F6E93" w:rsidRDefault="006F6E93" w:rsidP="006F6E93">
            <w:pPr>
              <w:pStyle w:val="TableText"/>
            </w:pPr>
            <w:r>
              <w:t>5 or 6 or 7</w:t>
            </w:r>
          </w:p>
        </w:tc>
        <w:tc>
          <w:tcPr>
            <w:tcW w:w="1403" w:type="dxa"/>
            <w:shd w:val="clear" w:color="auto" w:fill="auto"/>
            <w:vAlign w:val="center"/>
          </w:tcPr>
          <w:p w:rsidR="006F6E93" w:rsidRDefault="006F6E93" w:rsidP="00812161">
            <w:pPr>
              <w:pStyle w:val="TableText"/>
              <w:jc w:val="center"/>
            </w:pPr>
            <w:r>
              <w:t>585350</w:t>
            </w:r>
          </w:p>
        </w:tc>
        <w:tc>
          <w:tcPr>
            <w:tcW w:w="1384" w:type="dxa"/>
            <w:shd w:val="clear" w:color="auto" w:fill="auto"/>
            <w:vAlign w:val="center"/>
          </w:tcPr>
          <w:p w:rsidR="006F6E93" w:rsidRDefault="006F6E93" w:rsidP="00812161">
            <w:pPr>
              <w:pStyle w:val="TableText"/>
              <w:jc w:val="center"/>
            </w:pPr>
            <w:r>
              <w:t>490301</w:t>
            </w:r>
          </w:p>
        </w:tc>
        <w:tc>
          <w:tcPr>
            <w:tcW w:w="1233" w:type="dxa"/>
            <w:shd w:val="clear" w:color="auto" w:fill="auto"/>
            <w:vAlign w:val="center"/>
          </w:tcPr>
          <w:p w:rsidR="006F6E93" w:rsidRDefault="006F6E93" w:rsidP="00812161">
            <w:pPr>
              <w:pStyle w:val="TableText"/>
              <w:jc w:val="center"/>
            </w:pPr>
            <w:r>
              <w:t>19019</w:t>
            </w:r>
          </w:p>
        </w:tc>
      </w:tr>
      <w:tr w:rsidR="00812161" w:rsidTr="00812161">
        <w:tc>
          <w:tcPr>
            <w:tcW w:w="425" w:type="dxa"/>
            <w:shd w:val="clear" w:color="auto" w:fill="auto"/>
          </w:tcPr>
          <w:p w:rsidR="006F6E93" w:rsidRDefault="006F6E93" w:rsidP="006F6E93">
            <w:pPr>
              <w:pStyle w:val="TableText"/>
            </w:pPr>
            <w:r>
              <w:t>12</w:t>
            </w:r>
          </w:p>
        </w:tc>
        <w:tc>
          <w:tcPr>
            <w:tcW w:w="3877" w:type="dxa"/>
            <w:shd w:val="clear" w:color="auto" w:fill="auto"/>
          </w:tcPr>
          <w:p w:rsidR="006F6E93" w:rsidRDefault="006F6E93" w:rsidP="006F6E93">
            <w:pPr>
              <w:pStyle w:val="TableText"/>
            </w:pPr>
            <w:r>
              <w:t>8 or 9</w:t>
            </w:r>
          </w:p>
        </w:tc>
        <w:tc>
          <w:tcPr>
            <w:tcW w:w="1403" w:type="dxa"/>
            <w:shd w:val="clear" w:color="auto" w:fill="auto"/>
            <w:vAlign w:val="center"/>
          </w:tcPr>
          <w:p w:rsidR="006F6E93" w:rsidRDefault="006F6E93" w:rsidP="00812161">
            <w:pPr>
              <w:pStyle w:val="TableText"/>
              <w:jc w:val="center"/>
            </w:pPr>
            <w:r>
              <w:t>2735</w:t>
            </w:r>
          </w:p>
        </w:tc>
        <w:tc>
          <w:tcPr>
            <w:tcW w:w="1384" w:type="dxa"/>
            <w:shd w:val="clear" w:color="auto" w:fill="auto"/>
            <w:vAlign w:val="center"/>
          </w:tcPr>
          <w:p w:rsidR="006F6E93" w:rsidRDefault="006F6E93" w:rsidP="00812161">
            <w:pPr>
              <w:pStyle w:val="TableText"/>
              <w:jc w:val="center"/>
            </w:pPr>
            <w:r>
              <w:t>2004</w:t>
            </w:r>
          </w:p>
        </w:tc>
        <w:tc>
          <w:tcPr>
            <w:tcW w:w="1233" w:type="dxa"/>
            <w:shd w:val="clear" w:color="auto" w:fill="auto"/>
            <w:vAlign w:val="center"/>
          </w:tcPr>
          <w:p w:rsidR="006F6E93" w:rsidRDefault="006F6E93" w:rsidP="00812161">
            <w:pPr>
              <w:pStyle w:val="TableText"/>
              <w:jc w:val="center"/>
            </w:pPr>
            <w:r>
              <w:t>129</w:t>
            </w:r>
          </w:p>
        </w:tc>
      </w:tr>
      <w:tr w:rsidR="00812161" w:rsidTr="00812161">
        <w:tc>
          <w:tcPr>
            <w:tcW w:w="425" w:type="dxa"/>
            <w:shd w:val="clear" w:color="auto" w:fill="auto"/>
          </w:tcPr>
          <w:p w:rsidR="006F6E93" w:rsidRDefault="006F6E93" w:rsidP="006F6E93">
            <w:pPr>
              <w:pStyle w:val="TableText"/>
            </w:pPr>
            <w:r>
              <w:t>13</w:t>
            </w:r>
          </w:p>
        </w:tc>
        <w:tc>
          <w:tcPr>
            <w:tcW w:w="3877" w:type="dxa"/>
            <w:shd w:val="clear" w:color="auto" w:fill="auto"/>
          </w:tcPr>
          <w:p w:rsidR="006F6E93" w:rsidRDefault="006F6E93" w:rsidP="006F6E93">
            <w:pPr>
              <w:pStyle w:val="TableText"/>
            </w:pPr>
            <w:r>
              <w:t>11 and 12</w:t>
            </w:r>
          </w:p>
        </w:tc>
        <w:tc>
          <w:tcPr>
            <w:tcW w:w="1403" w:type="dxa"/>
            <w:shd w:val="clear" w:color="auto" w:fill="auto"/>
            <w:vAlign w:val="center"/>
          </w:tcPr>
          <w:p w:rsidR="006F6E93" w:rsidRDefault="006F6E93" w:rsidP="00812161">
            <w:pPr>
              <w:pStyle w:val="TableText"/>
              <w:jc w:val="center"/>
            </w:pPr>
            <w:r>
              <w:t>249</w:t>
            </w:r>
          </w:p>
        </w:tc>
        <w:tc>
          <w:tcPr>
            <w:tcW w:w="1384" w:type="dxa"/>
            <w:shd w:val="clear" w:color="auto" w:fill="auto"/>
            <w:vAlign w:val="center"/>
          </w:tcPr>
          <w:p w:rsidR="006F6E93" w:rsidRDefault="006F6E93" w:rsidP="00812161">
            <w:pPr>
              <w:pStyle w:val="TableText"/>
              <w:jc w:val="center"/>
            </w:pPr>
            <w:r>
              <w:t>121</w:t>
            </w:r>
          </w:p>
        </w:tc>
        <w:tc>
          <w:tcPr>
            <w:tcW w:w="1233" w:type="dxa"/>
            <w:shd w:val="clear" w:color="auto" w:fill="auto"/>
            <w:vAlign w:val="center"/>
          </w:tcPr>
          <w:p w:rsidR="006F6E93" w:rsidRDefault="006F6E93" w:rsidP="00812161">
            <w:pPr>
              <w:pStyle w:val="TableText"/>
              <w:jc w:val="center"/>
            </w:pPr>
            <w:r>
              <w:t>14</w:t>
            </w:r>
          </w:p>
        </w:tc>
      </w:tr>
      <w:tr w:rsidR="00812161" w:rsidTr="00812161">
        <w:tc>
          <w:tcPr>
            <w:tcW w:w="425" w:type="dxa"/>
            <w:shd w:val="clear" w:color="auto" w:fill="auto"/>
          </w:tcPr>
          <w:p w:rsidR="006F6E93" w:rsidRPr="00812161" w:rsidRDefault="006F6E93" w:rsidP="006F6E93">
            <w:pPr>
              <w:pStyle w:val="TableText"/>
              <w:rPr>
                <w:b/>
                <w:bCs/>
              </w:rPr>
            </w:pPr>
            <w:r w:rsidRPr="00812161">
              <w:rPr>
                <w:b/>
                <w:bCs/>
              </w:rPr>
              <w:t>14</w:t>
            </w:r>
          </w:p>
        </w:tc>
        <w:tc>
          <w:tcPr>
            <w:tcW w:w="3877" w:type="dxa"/>
            <w:shd w:val="clear" w:color="auto" w:fill="auto"/>
          </w:tcPr>
          <w:p w:rsidR="006F6E93" w:rsidRPr="00812161" w:rsidRDefault="006F6E93" w:rsidP="006F6E93">
            <w:pPr>
              <w:pStyle w:val="TableText"/>
              <w:rPr>
                <w:b/>
                <w:bCs/>
              </w:rPr>
            </w:pPr>
            <w:r w:rsidRPr="00812161">
              <w:rPr>
                <w:b/>
                <w:bCs/>
              </w:rPr>
              <w:t>10 and 13</w:t>
            </w:r>
          </w:p>
        </w:tc>
        <w:tc>
          <w:tcPr>
            <w:tcW w:w="1403" w:type="dxa"/>
            <w:shd w:val="clear" w:color="auto" w:fill="auto"/>
            <w:vAlign w:val="center"/>
          </w:tcPr>
          <w:p w:rsidR="006F6E93" w:rsidRDefault="006F6E93" w:rsidP="00812161">
            <w:pPr>
              <w:pStyle w:val="TableText"/>
              <w:jc w:val="center"/>
            </w:pPr>
            <w:r>
              <w:t>89</w:t>
            </w:r>
          </w:p>
        </w:tc>
        <w:tc>
          <w:tcPr>
            <w:tcW w:w="1384" w:type="dxa"/>
            <w:shd w:val="clear" w:color="auto" w:fill="auto"/>
            <w:vAlign w:val="center"/>
          </w:tcPr>
          <w:p w:rsidR="006F6E93" w:rsidRDefault="006F6E93" w:rsidP="00812161">
            <w:pPr>
              <w:pStyle w:val="TableText"/>
              <w:jc w:val="center"/>
            </w:pPr>
            <w:r>
              <w:t>44</w:t>
            </w:r>
          </w:p>
        </w:tc>
        <w:tc>
          <w:tcPr>
            <w:tcW w:w="1233" w:type="dxa"/>
            <w:shd w:val="clear" w:color="auto" w:fill="auto"/>
            <w:vAlign w:val="center"/>
          </w:tcPr>
          <w:p w:rsidR="006F6E93" w:rsidRDefault="006F6E93" w:rsidP="00812161">
            <w:pPr>
              <w:pStyle w:val="TableText"/>
              <w:jc w:val="center"/>
            </w:pPr>
            <w:r>
              <w:t>0</w:t>
            </w:r>
          </w:p>
        </w:tc>
      </w:tr>
      <w:tr w:rsidR="00812161" w:rsidTr="00812161">
        <w:tc>
          <w:tcPr>
            <w:tcW w:w="425" w:type="dxa"/>
            <w:shd w:val="clear" w:color="auto" w:fill="auto"/>
          </w:tcPr>
          <w:p w:rsidR="006F6E93" w:rsidRDefault="006F6E93" w:rsidP="006F6E93">
            <w:pPr>
              <w:pStyle w:val="TableText"/>
            </w:pPr>
            <w:r>
              <w:t>15</w:t>
            </w:r>
          </w:p>
        </w:tc>
        <w:tc>
          <w:tcPr>
            <w:tcW w:w="3877" w:type="dxa"/>
            <w:shd w:val="clear" w:color="auto" w:fill="auto"/>
          </w:tcPr>
          <w:p w:rsidR="006F6E93" w:rsidRDefault="006F6E93" w:rsidP="006F6E93">
            <w:pPr>
              <w:pStyle w:val="TableText"/>
            </w:pPr>
            <w:r w:rsidRPr="004B6A94">
              <w:t>(</w:t>
            </w:r>
            <w:proofErr w:type="gramStart"/>
            <w:r w:rsidRPr="004B6A94">
              <w:t>rapid</w:t>
            </w:r>
            <w:proofErr w:type="gramEnd"/>
            <w:r w:rsidRPr="004B6A94">
              <w:t xml:space="preserve"> </w:t>
            </w:r>
            <w:proofErr w:type="spellStart"/>
            <w:r w:rsidRPr="004B6A94">
              <w:t>adj</w:t>
            </w:r>
            <w:proofErr w:type="spellEnd"/>
            <w:r w:rsidRPr="004B6A94">
              <w:t xml:space="preserve"> human immunodeficiency virus </w:t>
            </w:r>
            <w:proofErr w:type="spellStart"/>
            <w:r w:rsidRPr="004B6A94">
              <w:t>adj</w:t>
            </w:r>
            <w:proofErr w:type="spellEnd"/>
            <w:r w:rsidRPr="004B6A94">
              <w:t xml:space="preserve"> test*).</w:t>
            </w:r>
            <w:proofErr w:type="spellStart"/>
            <w:r w:rsidRPr="004B6A94">
              <w:t>mp</w:t>
            </w:r>
            <w:proofErr w:type="spellEnd"/>
            <w:r w:rsidRPr="004B6A94">
              <w:t>. [</w:t>
            </w:r>
            <w:proofErr w:type="spellStart"/>
            <w:r w:rsidRPr="004B6A94">
              <w:t>mp</w:t>
            </w:r>
            <w:proofErr w:type="spellEnd"/>
            <w:r w:rsidRPr="004B6A94">
              <w:t>=title, abstract, subject headings, heading word, drug trade name, original title, device manufacturer, drug manufacturer, device trade name, keyword]</w:t>
            </w:r>
          </w:p>
        </w:tc>
        <w:tc>
          <w:tcPr>
            <w:tcW w:w="1403" w:type="dxa"/>
            <w:shd w:val="clear" w:color="auto" w:fill="auto"/>
            <w:vAlign w:val="center"/>
          </w:tcPr>
          <w:p w:rsidR="006F6E93" w:rsidRDefault="006F6E93" w:rsidP="00812161">
            <w:pPr>
              <w:pStyle w:val="TableText"/>
              <w:jc w:val="center"/>
            </w:pPr>
            <w:r>
              <w:t>24</w:t>
            </w:r>
          </w:p>
        </w:tc>
        <w:tc>
          <w:tcPr>
            <w:tcW w:w="1384" w:type="dxa"/>
            <w:shd w:val="clear" w:color="auto" w:fill="auto"/>
            <w:vAlign w:val="center"/>
          </w:tcPr>
          <w:p w:rsidR="006F6E93" w:rsidRDefault="006F6E93" w:rsidP="00812161">
            <w:pPr>
              <w:pStyle w:val="TableText"/>
              <w:jc w:val="center"/>
            </w:pPr>
            <w:r>
              <w:t>17</w:t>
            </w:r>
          </w:p>
        </w:tc>
        <w:tc>
          <w:tcPr>
            <w:tcW w:w="1233" w:type="dxa"/>
            <w:shd w:val="clear" w:color="auto" w:fill="auto"/>
            <w:vAlign w:val="center"/>
          </w:tcPr>
          <w:p w:rsidR="006F6E93" w:rsidRDefault="006F6E93" w:rsidP="00812161">
            <w:pPr>
              <w:pStyle w:val="TableText"/>
              <w:jc w:val="center"/>
            </w:pPr>
            <w:r>
              <w:t>1</w:t>
            </w:r>
          </w:p>
        </w:tc>
      </w:tr>
      <w:tr w:rsidR="00812161" w:rsidTr="00812161">
        <w:tc>
          <w:tcPr>
            <w:tcW w:w="425" w:type="dxa"/>
            <w:shd w:val="clear" w:color="auto" w:fill="auto"/>
          </w:tcPr>
          <w:p w:rsidR="006F6E93" w:rsidRDefault="006F6E93" w:rsidP="006F6E93">
            <w:pPr>
              <w:pStyle w:val="TableText"/>
            </w:pPr>
            <w:r>
              <w:t>16</w:t>
            </w:r>
          </w:p>
        </w:tc>
        <w:tc>
          <w:tcPr>
            <w:tcW w:w="3877" w:type="dxa"/>
            <w:shd w:val="clear" w:color="auto" w:fill="auto"/>
          </w:tcPr>
          <w:p w:rsidR="006F6E93" w:rsidRDefault="006F6E93" w:rsidP="006F6E93">
            <w:pPr>
              <w:pStyle w:val="TableText"/>
            </w:pPr>
            <w:r w:rsidRPr="008D7462">
              <w:t>(</w:t>
            </w:r>
            <w:proofErr w:type="gramStart"/>
            <w:r w:rsidRPr="008D7462">
              <w:t>rapid</w:t>
            </w:r>
            <w:proofErr w:type="gramEnd"/>
            <w:r w:rsidRPr="008D7462">
              <w:t xml:space="preserve"> </w:t>
            </w:r>
            <w:proofErr w:type="spellStart"/>
            <w:r w:rsidRPr="008D7462">
              <w:t>adj</w:t>
            </w:r>
            <w:proofErr w:type="spellEnd"/>
            <w:r w:rsidRPr="008D7462">
              <w:t xml:space="preserve"> HIV </w:t>
            </w:r>
            <w:proofErr w:type="spellStart"/>
            <w:r w:rsidRPr="008D7462">
              <w:t>adj</w:t>
            </w:r>
            <w:proofErr w:type="spellEnd"/>
            <w:r w:rsidRPr="008D7462">
              <w:t xml:space="preserve"> test*).</w:t>
            </w:r>
            <w:proofErr w:type="spellStart"/>
            <w:r w:rsidRPr="008D7462">
              <w:t>mp</w:t>
            </w:r>
            <w:proofErr w:type="spellEnd"/>
            <w:r w:rsidRPr="008D7462">
              <w:t>. [</w:t>
            </w:r>
            <w:proofErr w:type="spellStart"/>
            <w:r w:rsidRPr="008D7462">
              <w:t>mp</w:t>
            </w:r>
            <w:proofErr w:type="spellEnd"/>
            <w:r w:rsidRPr="008D7462">
              <w:t>=title, abstract, subject headings, heading word, drug trade name, original title, device manufacturer, drug manufacturer, device trade name, keyword]</w:t>
            </w:r>
          </w:p>
        </w:tc>
        <w:tc>
          <w:tcPr>
            <w:tcW w:w="1403" w:type="dxa"/>
            <w:shd w:val="clear" w:color="auto" w:fill="auto"/>
            <w:vAlign w:val="center"/>
          </w:tcPr>
          <w:p w:rsidR="006F6E93" w:rsidRDefault="006F6E93" w:rsidP="00812161">
            <w:pPr>
              <w:pStyle w:val="TableText"/>
              <w:jc w:val="center"/>
            </w:pPr>
            <w:r>
              <w:t>707</w:t>
            </w:r>
          </w:p>
        </w:tc>
        <w:tc>
          <w:tcPr>
            <w:tcW w:w="1384" w:type="dxa"/>
            <w:shd w:val="clear" w:color="auto" w:fill="auto"/>
            <w:vAlign w:val="center"/>
          </w:tcPr>
          <w:p w:rsidR="006F6E93" w:rsidRDefault="006F6E93" w:rsidP="00812161">
            <w:pPr>
              <w:pStyle w:val="TableText"/>
              <w:jc w:val="center"/>
            </w:pPr>
            <w:r>
              <w:t>540</w:t>
            </w:r>
          </w:p>
        </w:tc>
        <w:tc>
          <w:tcPr>
            <w:tcW w:w="1233" w:type="dxa"/>
            <w:shd w:val="clear" w:color="auto" w:fill="auto"/>
            <w:vAlign w:val="center"/>
          </w:tcPr>
          <w:p w:rsidR="006F6E93" w:rsidRDefault="006F6E93" w:rsidP="00812161">
            <w:pPr>
              <w:pStyle w:val="TableText"/>
              <w:jc w:val="center"/>
            </w:pPr>
            <w:r>
              <w:t>53</w:t>
            </w:r>
          </w:p>
        </w:tc>
      </w:tr>
      <w:tr w:rsidR="00812161" w:rsidTr="00812161">
        <w:tc>
          <w:tcPr>
            <w:tcW w:w="425" w:type="dxa"/>
            <w:shd w:val="clear" w:color="auto" w:fill="auto"/>
          </w:tcPr>
          <w:p w:rsidR="006F6E93" w:rsidRDefault="006F6E93" w:rsidP="006F6E93">
            <w:pPr>
              <w:pStyle w:val="TableText"/>
            </w:pPr>
            <w:r>
              <w:t>17</w:t>
            </w:r>
          </w:p>
        </w:tc>
        <w:tc>
          <w:tcPr>
            <w:tcW w:w="3877" w:type="dxa"/>
            <w:shd w:val="clear" w:color="auto" w:fill="auto"/>
          </w:tcPr>
          <w:p w:rsidR="006F6E93" w:rsidRDefault="006F6E93" w:rsidP="006F6E93">
            <w:pPr>
              <w:pStyle w:val="TableText"/>
            </w:pPr>
            <w:r w:rsidRPr="008D7462">
              <w:t xml:space="preserve">((point of care or POC) </w:t>
            </w:r>
            <w:proofErr w:type="spellStart"/>
            <w:r w:rsidRPr="008D7462">
              <w:t>adj</w:t>
            </w:r>
            <w:proofErr w:type="spellEnd"/>
            <w:r w:rsidRPr="008D7462">
              <w:t xml:space="preserve"> human immunodeficiency virus </w:t>
            </w:r>
            <w:proofErr w:type="spellStart"/>
            <w:r w:rsidRPr="008D7462">
              <w:t>adj</w:t>
            </w:r>
            <w:proofErr w:type="spellEnd"/>
            <w:r w:rsidRPr="008D7462">
              <w:t xml:space="preserve"> test*).</w:t>
            </w:r>
            <w:proofErr w:type="spellStart"/>
            <w:r w:rsidRPr="008D7462">
              <w:t>mp</w:t>
            </w:r>
            <w:proofErr w:type="spellEnd"/>
            <w:r w:rsidRPr="008D7462">
              <w:t>. [</w:t>
            </w:r>
            <w:proofErr w:type="spellStart"/>
            <w:r w:rsidRPr="008D7462">
              <w:t>mp</w:t>
            </w:r>
            <w:proofErr w:type="spellEnd"/>
            <w:r w:rsidRPr="008D7462">
              <w:t>=title, abstract, subject headings, heading word, drug trade name, original title, device manufacturer, drug manufacturer, device trade name, keyword]</w:t>
            </w:r>
          </w:p>
        </w:tc>
        <w:tc>
          <w:tcPr>
            <w:tcW w:w="1403" w:type="dxa"/>
            <w:shd w:val="clear" w:color="auto" w:fill="auto"/>
            <w:vAlign w:val="center"/>
          </w:tcPr>
          <w:p w:rsidR="006F6E93" w:rsidRDefault="006F6E93" w:rsidP="00812161">
            <w:pPr>
              <w:pStyle w:val="TableText"/>
              <w:jc w:val="center"/>
            </w:pPr>
            <w:r>
              <w:t>0</w:t>
            </w:r>
          </w:p>
        </w:tc>
        <w:tc>
          <w:tcPr>
            <w:tcW w:w="1384" w:type="dxa"/>
            <w:shd w:val="clear" w:color="auto" w:fill="auto"/>
            <w:vAlign w:val="center"/>
          </w:tcPr>
          <w:p w:rsidR="006F6E93" w:rsidRDefault="006F6E93" w:rsidP="00812161">
            <w:pPr>
              <w:pStyle w:val="TableText"/>
              <w:jc w:val="center"/>
            </w:pPr>
            <w:r>
              <w:t>0</w:t>
            </w:r>
          </w:p>
        </w:tc>
        <w:tc>
          <w:tcPr>
            <w:tcW w:w="1233" w:type="dxa"/>
            <w:shd w:val="clear" w:color="auto" w:fill="auto"/>
            <w:vAlign w:val="center"/>
          </w:tcPr>
          <w:p w:rsidR="006F6E93" w:rsidRDefault="006F6E93" w:rsidP="00812161">
            <w:pPr>
              <w:pStyle w:val="TableText"/>
              <w:jc w:val="center"/>
            </w:pPr>
            <w:r>
              <w:t>0</w:t>
            </w:r>
          </w:p>
        </w:tc>
      </w:tr>
      <w:tr w:rsidR="00812161" w:rsidTr="00812161">
        <w:tc>
          <w:tcPr>
            <w:tcW w:w="425" w:type="dxa"/>
            <w:shd w:val="clear" w:color="auto" w:fill="auto"/>
          </w:tcPr>
          <w:p w:rsidR="006F6E93" w:rsidRDefault="006F6E93" w:rsidP="006F6E93">
            <w:pPr>
              <w:pStyle w:val="TableText"/>
            </w:pPr>
            <w:r>
              <w:t>18</w:t>
            </w:r>
          </w:p>
        </w:tc>
        <w:tc>
          <w:tcPr>
            <w:tcW w:w="3877" w:type="dxa"/>
            <w:shd w:val="clear" w:color="auto" w:fill="auto"/>
          </w:tcPr>
          <w:p w:rsidR="006F6E93" w:rsidRDefault="006F6E93" w:rsidP="006F6E93">
            <w:pPr>
              <w:pStyle w:val="TableText"/>
            </w:pPr>
            <w:r w:rsidRPr="008D7462">
              <w:t xml:space="preserve">((point of care or POC) </w:t>
            </w:r>
            <w:proofErr w:type="spellStart"/>
            <w:r w:rsidRPr="008D7462">
              <w:t>adj</w:t>
            </w:r>
            <w:proofErr w:type="spellEnd"/>
            <w:r w:rsidRPr="008D7462">
              <w:t xml:space="preserve"> </w:t>
            </w:r>
            <w:r>
              <w:t>HIV</w:t>
            </w:r>
            <w:r w:rsidRPr="008D7462">
              <w:t xml:space="preserve"> </w:t>
            </w:r>
            <w:proofErr w:type="spellStart"/>
            <w:r w:rsidRPr="008D7462">
              <w:t>adj</w:t>
            </w:r>
            <w:proofErr w:type="spellEnd"/>
            <w:r w:rsidRPr="008D7462">
              <w:t xml:space="preserve"> test*).</w:t>
            </w:r>
            <w:proofErr w:type="spellStart"/>
            <w:r w:rsidRPr="008D7462">
              <w:t>mp</w:t>
            </w:r>
            <w:proofErr w:type="spellEnd"/>
            <w:r w:rsidRPr="008D7462">
              <w:t>. [</w:t>
            </w:r>
            <w:proofErr w:type="spellStart"/>
            <w:r w:rsidRPr="008D7462">
              <w:t>mp</w:t>
            </w:r>
            <w:proofErr w:type="spellEnd"/>
            <w:r w:rsidRPr="008D7462">
              <w:t>=title, abstract, subject headings, heading word, drug trade name, original title, device manufacturer, drug manufacturer, device trade name, keyword]</w:t>
            </w:r>
          </w:p>
        </w:tc>
        <w:tc>
          <w:tcPr>
            <w:tcW w:w="1403" w:type="dxa"/>
            <w:shd w:val="clear" w:color="auto" w:fill="auto"/>
            <w:vAlign w:val="center"/>
          </w:tcPr>
          <w:p w:rsidR="006F6E93" w:rsidRDefault="006F6E93" w:rsidP="00812161">
            <w:pPr>
              <w:pStyle w:val="TableText"/>
              <w:jc w:val="center"/>
            </w:pPr>
            <w:r>
              <w:t>56</w:t>
            </w:r>
          </w:p>
        </w:tc>
        <w:tc>
          <w:tcPr>
            <w:tcW w:w="1384" w:type="dxa"/>
            <w:shd w:val="clear" w:color="auto" w:fill="auto"/>
            <w:vAlign w:val="center"/>
          </w:tcPr>
          <w:p w:rsidR="006F6E93" w:rsidRDefault="006F6E93" w:rsidP="00812161">
            <w:pPr>
              <w:pStyle w:val="TableText"/>
              <w:jc w:val="center"/>
            </w:pPr>
            <w:r>
              <w:t>32</w:t>
            </w:r>
          </w:p>
        </w:tc>
        <w:tc>
          <w:tcPr>
            <w:tcW w:w="1233" w:type="dxa"/>
            <w:shd w:val="clear" w:color="auto" w:fill="auto"/>
            <w:vAlign w:val="center"/>
          </w:tcPr>
          <w:p w:rsidR="006F6E93" w:rsidRDefault="006F6E93" w:rsidP="00812161">
            <w:pPr>
              <w:pStyle w:val="TableText"/>
              <w:jc w:val="center"/>
            </w:pPr>
            <w:r>
              <w:t>5</w:t>
            </w:r>
          </w:p>
        </w:tc>
      </w:tr>
      <w:tr w:rsidR="00812161" w:rsidTr="00812161">
        <w:tc>
          <w:tcPr>
            <w:tcW w:w="425" w:type="dxa"/>
            <w:shd w:val="clear" w:color="auto" w:fill="auto"/>
          </w:tcPr>
          <w:p w:rsidR="006F6E93" w:rsidRDefault="006F6E93" w:rsidP="006F6E93">
            <w:pPr>
              <w:pStyle w:val="TableText"/>
            </w:pPr>
            <w:r>
              <w:t>19</w:t>
            </w:r>
          </w:p>
        </w:tc>
        <w:tc>
          <w:tcPr>
            <w:tcW w:w="3877" w:type="dxa"/>
            <w:shd w:val="clear" w:color="auto" w:fill="auto"/>
          </w:tcPr>
          <w:p w:rsidR="006F6E93" w:rsidRDefault="006F6E93" w:rsidP="006F6E93">
            <w:pPr>
              <w:pStyle w:val="TableText"/>
            </w:pPr>
            <w:proofErr w:type="spellStart"/>
            <w:r w:rsidRPr="008D7462">
              <w:t>exp</w:t>
            </w:r>
            <w:proofErr w:type="spellEnd"/>
            <w:r w:rsidRPr="008D7462">
              <w:t xml:space="preserve"> HIV rapid test/</w:t>
            </w:r>
          </w:p>
        </w:tc>
        <w:tc>
          <w:tcPr>
            <w:tcW w:w="1403" w:type="dxa"/>
            <w:shd w:val="clear" w:color="auto" w:fill="auto"/>
            <w:vAlign w:val="center"/>
          </w:tcPr>
          <w:p w:rsidR="006F6E93" w:rsidRDefault="006F6E93" w:rsidP="00812161">
            <w:pPr>
              <w:pStyle w:val="TableText"/>
              <w:jc w:val="center"/>
            </w:pPr>
            <w:r>
              <w:t>162</w:t>
            </w:r>
          </w:p>
        </w:tc>
        <w:tc>
          <w:tcPr>
            <w:tcW w:w="1384" w:type="dxa"/>
            <w:shd w:val="clear" w:color="auto" w:fill="auto"/>
            <w:vAlign w:val="center"/>
          </w:tcPr>
          <w:p w:rsidR="006F6E93" w:rsidRDefault="006F6E93" w:rsidP="00812161">
            <w:pPr>
              <w:pStyle w:val="TableText"/>
              <w:jc w:val="center"/>
            </w:pPr>
            <w:r>
              <w:t>0</w:t>
            </w:r>
          </w:p>
        </w:tc>
        <w:tc>
          <w:tcPr>
            <w:tcW w:w="1233" w:type="dxa"/>
            <w:shd w:val="clear" w:color="auto" w:fill="auto"/>
            <w:vAlign w:val="center"/>
          </w:tcPr>
          <w:p w:rsidR="006F6E93" w:rsidRDefault="006F6E93" w:rsidP="00812161">
            <w:pPr>
              <w:pStyle w:val="TableText"/>
              <w:jc w:val="center"/>
            </w:pPr>
            <w:r>
              <w:t>0</w:t>
            </w:r>
          </w:p>
        </w:tc>
      </w:tr>
      <w:tr w:rsidR="00812161" w:rsidTr="00812161">
        <w:tc>
          <w:tcPr>
            <w:tcW w:w="425" w:type="dxa"/>
            <w:shd w:val="clear" w:color="auto" w:fill="auto"/>
          </w:tcPr>
          <w:p w:rsidR="006F6E93" w:rsidRPr="00812161" w:rsidRDefault="006F6E93" w:rsidP="006F6E93">
            <w:pPr>
              <w:pStyle w:val="TableText"/>
              <w:rPr>
                <w:b/>
                <w:bCs/>
              </w:rPr>
            </w:pPr>
            <w:r w:rsidRPr="00812161">
              <w:rPr>
                <w:b/>
                <w:bCs/>
              </w:rPr>
              <w:t>20</w:t>
            </w:r>
          </w:p>
        </w:tc>
        <w:tc>
          <w:tcPr>
            <w:tcW w:w="3877" w:type="dxa"/>
            <w:shd w:val="clear" w:color="auto" w:fill="auto"/>
          </w:tcPr>
          <w:p w:rsidR="006F6E93" w:rsidRPr="00812161" w:rsidRDefault="006F6E93" w:rsidP="006F6E93">
            <w:pPr>
              <w:pStyle w:val="TableText"/>
              <w:rPr>
                <w:b/>
                <w:bCs/>
              </w:rPr>
            </w:pPr>
            <w:r w:rsidRPr="00812161">
              <w:rPr>
                <w:b/>
                <w:bCs/>
              </w:rPr>
              <w:t>15 or 16 or 17 or 18 or 19</w:t>
            </w:r>
          </w:p>
        </w:tc>
        <w:tc>
          <w:tcPr>
            <w:tcW w:w="1403" w:type="dxa"/>
            <w:shd w:val="clear" w:color="auto" w:fill="auto"/>
            <w:vAlign w:val="center"/>
          </w:tcPr>
          <w:p w:rsidR="006F6E93" w:rsidRDefault="006F6E93" w:rsidP="00812161">
            <w:pPr>
              <w:pStyle w:val="TableText"/>
              <w:jc w:val="center"/>
            </w:pPr>
            <w:r>
              <w:t>878</w:t>
            </w:r>
          </w:p>
        </w:tc>
        <w:tc>
          <w:tcPr>
            <w:tcW w:w="1384" w:type="dxa"/>
            <w:shd w:val="clear" w:color="auto" w:fill="auto"/>
            <w:vAlign w:val="center"/>
          </w:tcPr>
          <w:p w:rsidR="006F6E93" w:rsidRDefault="006F6E93" w:rsidP="00812161">
            <w:pPr>
              <w:pStyle w:val="TableText"/>
              <w:jc w:val="center"/>
            </w:pPr>
            <w:r>
              <w:t>570</w:t>
            </w:r>
          </w:p>
        </w:tc>
        <w:tc>
          <w:tcPr>
            <w:tcW w:w="1233" w:type="dxa"/>
            <w:shd w:val="clear" w:color="auto" w:fill="auto"/>
            <w:vAlign w:val="center"/>
          </w:tcPr>
          <w:p w:rsidR="006F6E93" w:rsidRDefault="006F6E93" w:rsidP="00812161">
            <w:pPr>
              <w:pStyle w:val="TableText"/>
              <w:jc w:val="center"/>
            </w:pPr>
            <w:r>
              <w:t>55</w:t>
            </w:r>
          </w:p>
        </w:tc>
      </w:tr>
      <w:tr w:rsidR="00812161" w:rsidTr="00812161">
        <w:tc>
          <w:tcPr>
            <w:tcW w:w="425" w:type="dxa"/>
            <w:shd w:val="clear" w:color="auto" w:fill="auto"/>
          </w:tcPr>
          <w:p w:rsidR="006F6E93" w:rsidRPr="00812161" w:rsidRDefault="006F6E93" w:rsidP="006F6E93">
            <w:pPr>
              <w:pStyle w:val="TableText"/>
              <w:rPr>
                <w:b/>
                <w:bCs/>
              </w:rPr>
            </w:pPr>
            <w:r w:rsidRPr="00812161">
              <w:rPr>
                <w:b/>
                <w:bCs/>
              </w:rPr>
              <w:t>21</w:t>
            </w:r>
          </w:p>
        </w:tc>
        <w:tc>
          <w:tcPr>
            <w:tcW w:w="3877" w:type="dxa"/>
            <w:shd w:val="clear" w:color="auto" w:fill="auto"/>
          </w:tcPr>
          <w:p w:rsidR="006F6E93" w:rsidRPr="00812161" w:rsidRDefault="006F6E93" w:rsidP="006F6E93">
            <w:pPr>
              <w:pStyle w:val="TableText"/>
              <w:rPr>
                <w:b/>
                <w:bCs/>
              </w:rPr>
            </w:pPr>
            <w:r w:rsidRPr="00812161">
              <w:rPr>
                <w:b/>
                <w:bCs/>
              </w:rPr>
              <w:t>14 or 20</w:t>
            </w:r>
          </w:p>
        </w:tc>
        <w:tc>
          <w:tcPr>
            <w:tcW w:w="1403" w:type="dxa"/>
            <w:shd w:val="clear" w:color="auto" w:fill="auto"/>
            <w:vAlign w:val="center"/>
          </w:tcPr>
          <w:p w:rsidR="006F6E93" w:rsidRPr="00812161" w:rsidRDefault="006F6E93" w:rsidP="00812161">
            <w:pPr>
              <w:pStyle w:val="TableText"/>
              <w:jc w:val="center"/>
              <w:rPr>
                <w:b/>
                <w:bCs/>
              </w:rPr>
            </w:pPr>
            <w:r w:rsidRPr="00812161">
              <w:rPr>
                <w:b/>
                <w:bCs/>
              </w:rPr>
              <w:t>920</w:t>
            </w:r>
          </w:p>
        </w:tc>
        <w:tc>
          <w:tcPr>
            <w:tcW w:w="1384" w:type="dxa"/>
            <w:shd w:val="clear" w:color="auto" w:fill="auto"/>
            <w:vAlign w:val="center"/>
          </w:tcPr>
          <w:p w:rsidR="006F6E93" w:rsidRPr="00812161" w:rsidRDefault="006F6E93" w:rsidP="00812161">
            <w:pPr>
              <w:pStyle w:val="TableText"/>
              <w:jc w:val="center"/>
              <w:rPr>
                <w:b/>
                <w:bCs/>
              </w:rPr>
            </w:pPr>
            <w:r w:rsidRPr="00812161">
              <w:rPr>
                <w:b/>
                <w:bCs/>
              </w:rPr>
              <w:t>603</w:t>
            </w:r>
          </w:p>
        </w:tc>
        <w:tc>
          <w:tcPr>
            <w:tcW w:w="1233" w:type="dxa"/>
            <w:shd w:val="clear" w:color="auto" w:fill="auto"/>
            <w:vAlign w:val="center"/>
          </w:tcPr>
          <w:p w:rsidR="006F6E93" w:rsidRPr="00812161" w:rsidRDefault="006F6E93" w:rsidP="00812161">
            <w:pPr>
              <w:pStyle w:val="TableText"/>
              <w:jc w:val="center"/>
              <w:rPr>
                <w:b/>
                <w:bCs/>
              </w:rPr>
            </w:pPr>
            <w:r w:rsidRPr="00812161">
              <w:rPr>
                <w:b/>
                <w:bCs/>
              </w:rPr>
              <w:t>55</w:t>
            </w:r>
          </w:p>
        </w:tc>
      </w:tr>
    </w:tbl>
    <w:p w:rsidR="00AC0EA5" w:rsidRDefault="00AC0EA5" w:rsidP="00AC0EA5">
      <w:pPr>
        <w:tabs>
          <w:tab w:val="left" w:pos="1985"/>
        </w:tabs>
        <w:rPr>
          <w:vanish/>
          <w:color w:val="0000FF"/>
        </w:rPr>
      </w:pPr>
    </w:p>
    <w:p w:rsidR="00A4593A" w:rsidRDefault="00A4593A" w:rsidP="00A4593A">
      <w:r>
        <w:lastRenderedPageBreak/>
        <w:t>The following Health Technology Assessment (HTA) websites were also searched for relevant reviews.</w:t>
      </w:r>
    </w:p>
    <w:tbl>
      <w:tblPr>
        <w:tblW w:w="84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HTA websites searched for relevant reviews"/>
      </w:tblPr>
      <w:tblGrid>
        <w:gridCol w:w="3583"/>
        <w:gridCol w:w="4819"/>
      </w:tblGrid>
      <w:tr w:rsidR="00A4593A" w:rsidRPr="009707B9" w:rsidTr="006A5E18">
        <w:tc>
          <w:tcPr>
            <w:tcW w:w="3583" w:type="dxa"/>
            <w:shd w:val="clear" w:color="auto" w:fill="auto"/>
            <w:vAlign w:val="center"/>
          </w:tcPr>
          <w:p w:rsidR="00A4593A" w:rsidRPr="009707B9" w:rsidRDefault="00A4593A" w:rsidP="006A5E18">
            <w:pPr>
              <w:spacing w:after="0"/>
              <w:ind w:left="0"/>
              <w:rPr>
                <w:rFonts w:ascii="Arial Narrow" w:hAnsi="Arial Narrow"/>
                <w:b/>
                <w:bCs/>
                <w:sz w:val="18"/>
                <w:szCs w:val="18"/>
              </w:rPr>
            </w:pPr>
            <w:r w:rsidRPr="009707B9">
              <w:rPr>
                <w:rFonts w:ascii="Arial Narrow" w:hAnsi="Arial Narrow"/>
                <w:b/>
                <w:bCs/>
                <w:sz w:val="18"/>
                <w:szCs w:val="18"/>
              </w:rPr>
              <w:t>HTA organisation</w:t>
            </w:r>
          </w:p>
        </w:tc>
        <w:tc>
          <w:tcPr>
            <w:tcW w:w="4819" w:type="dxa"/>
            <w:shd w:val="clear" w:color="auto" w:fill="auto"/>
            <w:vAlign w:val="center"/>
          </w:tcPr>
          <w:p w:rsidR="00A4593A" w:rsidRPr="009707B9" w:rsidRDefault="00A4593A" w:rsidP="006A5E18">
            <w:pPr>
              <w:spacing w:after="0"/>
              <w:ind w:left="0"/>
              <w:rPr>
                <w:rFonts w:ascii="Arial Narrow" w:hAnsi="Arial Narrow"/>
                <w:b/>
                <w:bCs/>
                <w:sz w:val="18"/>
                <w:szCs w:val="18"/>
              </w:rPr>
            </w:pPr>
            <w:r w:rsidRPr="009707B9">
              <w:rPr>
                <w:rFonts w:ascii="Arial Narrow" w:hAnsi="Arial Narrow"/>
                <w:b/>
                <w:bCs/>
                <w:sz w:val="18"/>
                <w:szCs w:val="18"/>
              </w:rPr>
              <w:t>Website</w:t>
            </w:r>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Australian Safety and Efficacy Register of New Interventional Procedures – Surgical (ASERNIP-S)</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39" w:tooltip="takes you to the Australian Safety and Efficacy Register of New Interventional Procedures – Surgical (ASERNIP-S) website" w:history="1">
              <w:r w:rsidR="00A4593A" w:rsidRPr="00E95A4F">
                <w:rPr>
                  <w:rStyle w:val="Hyperlink"/>
                  <w:rFonts w:ascii="Arial Narrow" w:hAnsi="Arial Narrow"/>
                  <w:sz w:val="18"/>
                  <w:szCs w:val="18"/>
                </w:rPr>
                <w:t>http://www.surgeons.org/for-health-professionals/audits-and-surgical-research/asernip-s/</w:t>
              </w:r>
            </w:hyperlink>
          </w:p>
        </w:tc>
      </w:tr>
      <w:tr w:rsidR="00A4593A" w:rsidRPr="00CA4FBA"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Centre for Clinical Effectiveness, Monash University</w:t>
            </w:r>
          </w:p>
        </w:tc>
        <w:tc>
          <w:tcPr>
            <w:tcW w:w="4819" w:type="dxa"/>
            <w:shd w:val="clear" w:color="auto" w:fill="auto"/>
            <w:vAlign w:val="center"/>
          </w:tcPr>
          <w:p w:rsidR="00A4593A" w:rsidRPr="00BE323F" w:rsidRDefault="00D26B32" w:rsidP="006A5E18">
            <w:pPr>
              <w:spacing w:after="0"/>
              <w:ind w:left="0"/>
              <w:rPr>
                <w:rFonts w:ascii="Arial Narrow" w:hAnsi="Arial Narrow"/>
                <w:sz w:val="18"/>
                <w:szCs w:val="18"/>
              </w:rPr>
            </w:pPr>
            <w:hyperlink r:id="rId40" w:tooltip="takes you to the Centre for Clinical Effectiveness, Monash University website" w:history="1">
              <w:r w:rsidR="00A4593A" w:rsidRPr="00BE323F">
                <w:rPr>
                  <w:rStyle w:val="Hyperlink"/>
                  <w:rFonts w:ascii="Arial Narrow" w:hAnsi="Arial Narrow"/>
                  <w:sz w:val="18"/>
                  <w:szCs w:val="18"/>
                </w:rPr>
                <w:t>http://www.southernhealth.org.au/page/Health_Professionals/CCE/</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Centre for Health Economics, Monash University</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41" w:tooltip="takes you to the Centre for Health Economics, Monash University website" w:history="1">
              <w:r w:rsidR="00A4593A" w:rsidRPr="00E95A4F">
                <w:rPr>
                  <w:rStyle w:val="Hyperlink"/>
                  <w:rFonts w:ascii="Arial Narrow" w:hAnsi="Arial Narrow"/>
                  <w:sz w:val="18"/>
                  <w:szCs w:val="18"/>
                </w:rPr>
                <w:t>http://www.buseco.monash.edu.au/centres/che/</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Institute of Technology Assessment / HTA unit</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42" w:tooltip="takes you to the Institute of Technology Assessment / HTA unit website" w:history="1">
              <w:r w:rsidR="00A4593A" w:rsidRPr="00E95A4F">
                <w:rPr>
                  <w:rStyle w:val="Hyperlink"/>
                  <w:rFonts w:ascii="Arial Narrow" w:hAnsi="Arial Narrow"/>
                  <w:sz w:val="18"/>
                  <w:szCs w:val="18"/>
                </w:rPr>
                <w:t>http://www.oeaw.ac.at/ita</w:t>
              </w:r>
            </w:hyperlink>
          </w:p>
        </w:tc>
      </w:tr>
      <w:tr w:rsidR="00A4593A" w:rsidRPr="00BA1043" w:rsidTr="006A5E18">
        <w:tc>
          <w:tcPr>
            <w:tcW w:w="3583" w:type="dxa"/>
            <w:shd w:val="clear" w:color="auto" w:fill="auto"/>
          </w:tcPr>
          <w:p w:rsidR="00A4593A" w:rsidRPr="00CA4FBA" w:rsidRDefault="00A4593A" w:rsidP="006A5E18">
            <w:pPr>
              <w:spacing w:after="0"/>
              <w:ind w:left="0"/>
              <w:rPr>
                <w:rFonts w:ascii="Arial Narrow" w:hAnsi="Arial Narrow"/>
                <w:sz w:val="18"/>
                <w:szCs w:val="18"/>
                <w:lang w:val="fr-FR"/>
              </w:rPr>
            </w:pPr>
            <w:r w:rsidRPr="00CA4FBA">
              <w:rPr>
                <w:rFonts w:ascii="Arial Narrow" w:hAnsi="Arial Narrow"/>
                <w:sz w:val="18"/>
                <w:szCs w:val="18"/>
                <w:lang w:val="fr-FR"/>
              </w:rPr>
              <w:t>Agence d’Evaluation des Technologies et des Modes d’Intervention en Santé (AETMIS)</w:t>
            </w:r>
          </w:p>
        </w:tc>
        <w:tc>
          <w:tcPr>
            <w:tcW w:w="4819" w:type="dxa"/>
            <w:shd w:val="clear" w:color="auto" w:fill="auto"/>
            <w:vAlign w:val="center"/>
          </w:tcPr>
          <w:p w:rsidR="00A4593A" w:rsidRPr="00CA4FBA" w:rsidRDefault="00D26B32" w:rsidP="006A5E18">
            <w:pPr>
              <w:spacing w:after="0"/>
              <w:ind w:left="0"/>
              <w:rPr>
                <w:rFonts w:ascii="Arial Narrow" w:hAnsi="Arial Narrow"/>
                <w:sz w:val="18"/>
                <w:szCs w:val="18"/>
                <w:lang w:val="fr-FR"/>
              </w:rPr>
            </w:pPr>
            <w:hyperlink r:id="rId43" w:tooltip="Agence d’Evaluation des Technologies et des Modes d’Intervention en Santé (AETMIS)" w:history="1">
              <w:r w:rsidR="00796ABA" w:rsidRPr="008B3587">
                <w:rPr>
                  <w:rStyle w:val="Hyperlink"/>
                  <w:rFonts w:ascii="Arial Narrow" w:hAnsi="Arial Narrow"/>
                  <w:sz w:val="18"/>
                  <w:szCs w:val="18"/>
                  <w:lang w:val="fr-FR"/>
                </w:rPr>
                <w:t>http://www.aetmis.gouv.qc.ca/site/home.phtml</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Alberta Heritage Foundation for Medical Research (AHFMR)</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44" w:tooltip="takes you to the Alberta Heritage Foundation for Medical Research (AHFMR) website" w:history="1">
              <w:r w:rsidR="00A4593A" w:rsidRPr="00E95A4F">
                <w:rPr>
                  <w:rStyle w:val="Hyperlink"/>
                  <w:rFonts w:ascii="Arial Narrow" w:hAnsi="Arial Narrow"/>
                  <w:sz w:val="18"/>
                  <w:szCs w:val="18"/>
                </w:rPr>
                <w:t>http://www.ahfmr.ab.ca</w:t>
              </w:r>
            </w:hyperlink>
          </w:p>
        </w:tc>
      </w:tr>
      <w:tr w:rsidR="00A4593A" w:rsidRPr="009707B9" w:rsidTr="006A5E18">
        <w:trPr>
          <w:trHeight w:val="105"/>
        </w:trPr>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Alberta Institute of Health Economics</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45" w:tooltip="takes you to the Alberta Institute of Health Economics website" w:history="1">
              <w:r w:rsidR="00A4593A" w:rsidRPr="00E95A4F">
                <w:rPr>
                  <w:rStyle w:val="Hyperlink"/>
                  <w:rFonts w:ascii="Arial Narrow" w:hAnsi="Arial Narrow"/>
                  <w:sz w:val="18"/>
                  <w:szCs w:val="18"/>
                </w:rPr>
                <w:t>http://www.ihe.ca/</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The Canadian Agency for Drugs And Technologies in Health (CADTH)</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46" w:tooltip="takes you to The Canadian Agency for Drugs And Technologies in Health (CADTH) website" w:history="1">
              <w:r w:rsidR="00A4593A" w:rsidRPr="00E95A4F">
                <w:rPr>
                  <w:rStyle w:val="Hyperlink"/>
                  <w:rFonts w:ascii="Arial Narrow" w:hAnsi="Arial Narrow"/>
                  <w:sz w:val="18"/>
                  <w:szCs w:val="18"/>
                </w:rPr>
                <w:t>http://www.cadth.ca/index.php/en/</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Canadian Health Economics Research Association (CHERA/ACRES) – Cabot database</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47" w:tooltip="takes you to the Canadian Health Economics Research Association website" w:history="1">
              <w:r w:rsidR="00A4593A" w:rsidRPr="00E95A4F">
                <w:rPr>
                  <w:rStyle w:val="Hyperlink"/>
                  <w:rFonts w:ascii="Arial Narrow" w:hAnsi="Arial Narrow"/>
                  <w:sz w:val="18"/>
                  <w:szCs w:val="18"/>
                </w:rPr>
                <w:t>http://www.ryerson.ca/library/info/databases/cabot.html</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Centre for Health Economics and Policy Analysis (CHEPA), McMaster University</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48" w:tooltip="takes you to the Centre for Health Economics and Policy Analysis (CHEPA), McMaster University" w:history="1">
              <w:r w:rsidR="00A4593A" w:rsidRPr="00E95A4F">
                <w:rPr>
                  <w:rStyle w:val="Hyperlink"/>
                  <w:rFonts w:ascii="Arial Narrow" w:hAnsi="Arial Narrow"/>
                  <w:sz w:val="18"/>
                  <w:szCs w:val="18"/>
                </w:rPr>
                <w:t>http://www.chepa.org</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Centre for Health Services and Policy Research (CHSPR), University of British Columbia</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49" w:tooltip="take s you to the Centre for Health Services and Policy Research (CHSPR), University of British Columbia website" w:history="1">
              <w:r w:rsidR="00A4593A" w:rsidRPr="00E95A4F">
                <w:rPr>
                  <w:rStyle w:val="Hyperlink"/>
                  <w:rFonts w:ascii="Arial Narrow" w:hAnsi="Arial Narrow"/>
                  <w:sz w:val="18"/>
                  <w:szCs w:val="18"/>
                </w:rPr>
                <w:t>http://www.chspr.ubc.ca</w:t>
              </w:r>
            </w:hyperlink>
            <w:r w:rsidR="00A4593A" w:rsidRPr="009707B9">
              <w:rPr>
                <w:rFonts w:ascii="Arial Narrow" w:hAnsi="Arial Narrow"/>
                <w:sz w:val="18"/>
                <w:szCs w:val="18"/>
              </w:rPr>
              <w:t xml:space="preserve"> </w:t>
            </w:r>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 xml:space="preserve">Health Utilities Index (HUI) </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50" w:tooltip="takes you to the Health Utilities Index (HUI) website" w:history="1">
              <w:r w:rsidR="00A4593A" w:rsidRPr="00E95A4F">
                <w:rPr>
                  <w:rStyle w:val="Hyperlink"/>
                  <w:rFonts w:ascii="Arial Narrow" w:hAnsi="Arial Narrow"/>
                  <w:sz w:val="18"/>
                  <w:szCs w:val="18"/>
                </w:rPr>
                <w:t>http://www.fhs.mcmaster.ca/hug/index.htm</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Institute for Clinical and Evaluative Studies (ICES)</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51" w:tooltip="takes you to the Institute for Clinical and Evaluative Studies (ICES) website" w:history="1">
              <w:r w:rsidR="00A4593A" w:rsidRPr="00E95A4F">
                <w:rPr>
                  <w:rStyle w:val="Hyperlink"/>
                  <w:rFonts w:ascii="Arial Narrow" w:hAnsi="Arial Narrow"/>
                  <w:sz w:val="18"/>
                  <w:szCs w:val="18"/>
                </w:rPr>
                <w:t>http://www.ices.on.ca</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 xml:space="preserve">Saskatchewan Health Quality Council (Canada)  </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52" w:tooltip="takes you to the Saskatchewan Health Quality Council (Canada) website" w:history="1">
              <w:r w:rsidR="00A4593A" w:rsidRPr="00E95A4F">
                <w:rPr>
                  <w:rStyle w:val="Hyperlink"/>
                  <w:rFonts w:ascii="Arial Narrow" w:hAnsi="Arial Narrow"/>
                  <w:sz w:val="18"/>
                  <w:szCs w:val="18"/>
                </w:rPr>
                <w:t>http://www.hqc.sk.ca</w:t>
              </w:r>
            </w:hyperlink>
            <w:r w:rsidR="00A4593A" w:rsidRPr="009707B9">
              <w:rPr>
                <w:rFonts w:ascii="Arial Narrow" w:hAnsi="Arial Narrow"/>
                <w:sz w:val="18"/>
                <w:szCs w:val="18"/>
              </w:rPr>
              <w:t xml:space="preserve"> </w:t>
            </w:r>
          </w:p>
        </w:tc>
      </w:tr>
      <w:tr w:rsidR="00A4593A" w:rsidRPr="009707B9" w:rsidTr="006A5E18">
        <w:trPr>
          <w:trHeight w:val="423"/>
        </w:trPr>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Danish Centre for Evaluation and Health</w:t>
            </w:r>
          </w:p>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Technology Assessment (DACEHTA)</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53" w:tooltip="takes you to the Danish Centre for Evaluation and Health website" w:history="1">
              <w:r w:rsidR="00A4593A" w:rsidRPr="00E95A4F">
                <w:rPr>
                  <w:rStyle w:val="Hyperlink"/>
                  <w:rFonts w:ascii="Arial Narrow" w:hAnsi="Arial Narrow"/>
                  <w:sz w:val="18"/>
                  <w:szCs w:val="18"/>
                </w:rPr>
                <w:t>http://www.sst.dk/english/dacehta</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Danish Institute for Health Services Research (DSI)</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54" w:tooltip="takes you to the Danish Institute for Health Services Research (DSI) website" w:history="1">
              <w:r w:rsidR="00A4593A" w:rsidRPr="00E95A4F">
                <w:rPr>
                  <w:rStyle w:val="Hyperlink"/>
                  <w:rFonts w:ascii="Arial Narrow" w:hAnsi="Arial Narrow"/>
                  <w:sz w:val="18"/>
                  <w:szCs w:val="18"/>
                </w:rPr>
                <w:t>http://dsi.dk/</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Finnish Office for Health Technology Assessment (FINOHTA)</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55" w:history="1">
              <w:r w:rsidR="00A4593A" w:rsidRPr="00E95A4F">
                <w:rPr>
                  <w:rStyle w:val="Hyperlink"/>
                  <w:rFonts w:ascii="Arial Narrow" w:hAnsi="Arial Narrow"/>
                  <w:sz w:val="18"/>
                  <w:szCs w:val="18"/>
                </w:rPr>
                <w:t>http://www.thl.fi/en_US/web/en/aboutus/organisation/units/technologies</w:t>
              </w:r>
              <w:r w:rsidR="00A4593A" w:rsidRPr="00E95A4F">
                <w:rPr>
                  <w:rStyle w:val="Hyperlink"/>
                  <w:rFonts w:ascii="Arial Narrow" w:hAnsi="Arial Narrow"/>
                  <w:sz w:val="18"/>
                  <w:szCs w:val="18"/>
                </w:rPr>
                <w:br/>
                <w:t>_</w:t>
              </w:r>
              <w:proofErr w:type="spellStart"/>
              <w:r w:rsidR="00A4593A" w:rsidRPr="00E95A4F">
                <w:rPr>
                  <w:rStyle w:val="Hyperlink"/>
                  <w:rFonts w:ascii="Arial Narrow" w:hAnsi="Arial Narrow"/>
                  <w:sz w:val="18"/>
                  <w:szCs w:val="18"/>
                </w:rPr>
                <w:t>and_practices_assessment</w:t>
              </w:r>
              <w:proofErr w:type="spellEnd"/>
            </w:hyperlink>
          </w:p>
        </w:tc>
      </w:tr>
      <w:tr w:rsidR="00A4593A" w:rsidRPr="009707B9" w:rsidTr="006A5E18">
        <w:tc>
          <w:tcPr>
            <w:tcW w:w="3583" w:type="dxa"/>
            <w:shd w:val="clear" w:color="auto" w:fill="auto"/>
          </w:tcPr>
          <w:p w:rsidR="00A4593A" w:rsidRPr="00CA4FBA" w:rsidRDefault="00A4593A" w:rsidP="006A5E18">
            <w:pPr>
              <w:spacing w:after="0"/>
              <w:ind w:left="0"/>
              <w:rPr>
                <w:rFonts w:ascii="Arial Narrow" w:hAnsi="Arial Narrow"/>
                <w:sz w:val="18"/>
                <w:szCs w:val="18"/>
                <w:lang w:val="fr-FR"/>
              </w:rPr>
            </w:pPr>
            <w:r w:rsidRPr="00CA4FBA">
              <w:rPr>
                <w:rFonts w:ascii="Arial Narrow" w:hAnsi="Arial Narrow"/>
                <w:sz w:val="18"/>
                <w:szCs w:val="18"/>
                <w:lang w:val="fr-FR"/>
              </w:rPr>
              <w:t>L’Agence Nationale d’Accréditation et d’Evaluation en Santé (ANAES)</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56" w:tooltip="takes you to  L’Agence Nationale d’Accréditation et d’Evaluation en Santé (ANAES) website" w:history="1">
              <w:r w:rsidR="00A4593A" w:rsidRPr="00E95A4F">
                <w:rPr>
                  <w:rStyle w:val="Hyperlink"/>
                  <w:rFonts w:ascii="Arial Narrow" w:hAnsi="Arial Narrow"/>
                  <w:sz w:val="18"/>
                  <w:szCs w:val="18"/>
                </w:rPr>
                <w:t>http://www.anaes.fr/</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German Institute for Medical  Documentation and Information (DIMDI) / HTA</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57" w:tooltip="takes you to the German Institute for Medical  Documentation and Information (DIMDI) / HTA website" w:history="1">
              <w:r w:rsidR="00A4593A" w:rsidRPr="00E95A4F">
                <w:rPr>
                  <w:rStyle w:val="Hyperlink"/>
                  <w:rFonts w:ascii="Arial Narrow" w:hAnsi="Arial Narrow"/>
                  <w:sz w:val="18"/>
                  <w:szCs w:val="18"/>
                </w:rPr>
                <w:t>http://www.dimdi.de/static/en/index.html</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Institute for Quality and Efficiency in Health Care (</w:t>
            </w:r>
            <w:proofErr w:type="spellStart"/>
            <w:r w:rsidRPr="009707B9">
              <w:rPr>
                <w:rFonts w:ascii="Arial Narrow" w:hAnsi="Arial Narrow"/>
                <w:sz w:val="18"/>
                <w:szCs w:val="18"/>
              </w:rPr>
              <w:t>IQWiG</w:t>
            </w:r>
            <w:proofErr w:type="spellEnd"/>
            <w:r w:rsidRPr="009707B9">
              <w:rPr>
                <w:rFonts w:ascii="Arial Narrow" w:hAnsi="Arial Narrow"/>
                <w:sz w:val="18"/>
                <w:szCs w:val="18"/>
              </w:rPr>
              <w:t>)</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58" w:tooltip="takes you to the Institute for Quality and Efficiency in Health Care (IQWiG) website" w:history="1">
              <w:r w:rsidR="00A4593A" w:rsidRPr="00E95A4F">
                <w:rPr>
                  <w:rStyle w:val="Hyperlink"/>
                  <w:rFonts w:ascii="Arial Narrow" w:hAnsi="Arial Narrow"/>
                  <w:sz w:val="18"/>
                  <w:szCs w:val="18"/>
                </w:rPr>
                <w:t>http://www.iqwig.de</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 xml:space="preserve">Health Council of the Netherlands </w:t>
            </w:r>
            <w:proofErr w:type="spellStart"/>
            <w:r w:rsidRPr="009707B9">
              <w:rPr>
                <w:rFonts w:ascii="Arial Narrow" w:hAnsi="Arial Narrow"/>
                <w:sz w:val="18"/>
                <w:szCs w:val="18"/>
              </w:rPr>
              <w:t>Gezondheidsraad</w:t>
            </w:r>
            <w:proofErr w:type="spellEnd"/>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59" w:tooltip="takes you to the Health Council of the Netherlands Gezondheidsraad website" w:history="1">
              <w:r w:rsidR="00A4593A" w:rsidRPr="00E95A4F">
                <w:rPr>
                  <w:rStyle w:val="Hyperlink"/>
                  <w:rFonts w:ascii="Arial Narrow" w:hAnsi="Arial Narrow"/>
                  <w:sz w:val="18"/>
                  <w:szCs w:val="18"/>
                </w:rPr>
                <w:t>http://www.gezondheidsraad.nl/en/</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New Zealand Health Technology Assessment (NZHTA)</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60" w:tooltip="takes you to the New Zealand Health Technology Assessment (NZHTA) website" w:history="1">
              <w:r w:rsidR="00A4593A" w:rsidRPr="00E95A4F">
                <w:rPr>
                  <w:rStyle w:val="Hyperlink"/>
                  <w:rFonts w:ascii="Arial Narrow" w:hAnsi="Arial Narrow"/>
                  <w:sz w:val="18"/>
                  <w:szCs w:val="18"/>
                </w:rPr>
                <w:t>http://nzhta.chmeds.ac.nz/</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Norwegian Knowledge Centre for the Health Services</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61" w:tooltip="takes you to the Norwegian Knowledge Centre for the Health Services website" w:history="1">
              <w:r w:rsidR="00A4593A" w:rsidRPr="00E95A4F">
                <w:rPr>
                  <w:rStyle w:val="Hyperlink"/>
                  <w:rFonts w:ascii="Arial Narrow" w:hAnsi="Arial Narrow"/>
                  <w:sz w:val="18"/>
                  <w:szCs w:val="18"/>
                </w:rPr>
                <w:t>http://www.kunnskapssenteret.no</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proofErr w:type="spellStart"/>
            <w:r w:rsidRPr="009707B9">
              <w:rPr>
                <w:rFonts w:ascii="Arial Narrow" w:hAnsi="Arial Narrow"/>
                <w:sz w:val="18"/>
                <w:szCs w:val="18"/>
              </w:rPr>
              <w:t>Agencia</w:t>
            </w:r>
            <w:proofErr w:type="spellEnd"/>
            <w:r w:rsidRPr="009707B9">
              <w:rPr>
                <w:rFonts w:ascii="Arial Narrow" w:hAnsi="Arial Narrow"/>
                <w:sz w:val="18"/>
                <w:szCs w:val="18"/>
              </w:rPr>
              <w:t xml:space="preserve"> de </w:t>
            </w:r>
            <w:proofErr w:type="spellStart"/>
            <w:r w:rsidRPr="009707B9">
              <w:rPr>
                <w:rFonts w:ascii="Arial Narrow" w:hAnsi="Arial Narrow"/>
                <w:sz w:val="18"/>
                <w:szCs w:val="18"/>
              </w:rPr>
              <w:t>Evaluación</w:t>
            </w:r>
            <w:proofErr w:type="spellEnd"/>
            <w:r w:rsidRPr="009707B9">
              <w:rPr>
                <w:rFonts w:ascii="Arial Narrow" w:hAnsi="Arial Narrow"/>
                <w:sz w:val="18"/>
                <w:szCs w:val="18"/>
              </w:rPr>
              <w:t xml:space="preserve"> de </w:t>
            </w:r>
            <w:proofErr w:type="spellStart"/>
            <w:r w:rsidRPr="009707B9">
              <w:rPr>
                <w:rFonts w:ascii="Arial Narrow" w:hAnsi="Arial Narrow"/>
                <w:sz w:val="18"/>
                <w:szCs w:val="18"/>
              </w:rPr>
              <w:t>Tecnologias</w:t>
            </w:r>
            <w:proofErr w:type="spellEnd"/>
            <w:r w:rsidRPr="009707B9">
              <w:rPr>
                <w:rFonts w:ascii="Arial Narrow" w:hAnsi="Arial Narrow"/>
                <w:sz w:val="18"/>
                <w:szCs w:val="18"/>
              </w:rPr>
              <w:t xml:space="preserve"> </w:t>
            </w:r>
            <w:proofErr w:type="spellStart"/>
            <w:r w:rsidRPr="009707B9">
              <w:rPr>
                <w:rFonts w:ascii="Arial Narrow" w:hAnsi="Arial Narrow"/>
                <w:sz w:val="18"/>
                <w:szCs w:val="18"/>
              </w:rPr>
              <w:t>Sanitarias</w:t>
            </w:r>
            <w:proofErr w:type="spellEnd"/>
            <w:r w:rsidRPr="009707B9">
              <w:rPr>
                <w:rFonts w:ascii="Arial Narrow" w:hAnsi="Arial Narrow"/>
                <w:sz w:val="18"/>
                <w:szCs w:val="18"/>
              </w:rPr>
              <w:t xml:space="preserve">, </w:t>
            </w:r>
            <w:proofErr w:type="spellStart"/>
            <w:r w:rsidRPr="009707B9">
              <w:rPr>
                <w:rFonts w:ascii="Arial Narrow" w:hAnsi="Arial Narrow"/>
                <w:sz w:val="18"/>
                <w:szCs w:val="18"/>
              </w:rPr>
              <w:t>Instituto</w:t>
            </w:r>
            <w:proofErr w:type="spellEnd"/>
            <w:r w:rsidRPr="009707B9">
              <w:rPr>
                <w:rFonts w:ascii="Arial Narrow" w:hAnsi="Arial Narrow"/>
                <w:sz w:val="18"/>
                <w:szCs w:val="18"/>
              </w:rPr>
              <w:t xml:space="preserve"> de </w:t>
            </w:r>
            <w:proofErr w:type="spellStart"/>
            <w:r w:rsidRPr="009707B9">
              <w:rPr>
                <w:rFonts w:ascii="Arial Narrow" w:hAnsi="Arial Narrow"/>
                <w:sz w:val="18"/>
                <w:szCs w:val="18"/>
              </w:rPr>
              <w:t>Salud</w:t>
            </w:r>
            <w:proofErr w:type="spellEnd"/>
            <w:r w:rsidRPr="009707B9">
              <w:rPr>
                <w:rFonts w:ascii="Arial Narrow" w:hAnsi="Arial Narrow"/>
                <w:sz w:val="18"/>
                <w:szCs w:val="18"/>
              </w:rPr>
              <w:t xml:space="preserve"> “Carlos III”I/Health Technology Assessment Agency (AETS)</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62" w:tooltip="takes you to the Agencia de Evaluación de Tecnologias Sanitarias, Instituto de Salud " w:history="1">
              <w:r w:rsidR="00A4593A" w:rsidRPr="00E95A4F">
                <w:rPr>
                  <w:rStyle w:val="Hyperlink"/>
                  <w:rFonts w:ascii="Arial Narrow" w:hAnsi="Arial Narrow"/>
                  <w:sz w:val="18"/>
                  <w:szCs w:val="18"/>
                </w:rPr>
                <w:t>http://www.isciii.es/</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Andalusian Agency for Health Technology Assessment (Spain)</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63" w:tooltip="takes you to the Andalusian Agency for Health Technology Assessment (Spain) website" w:history="1">
              <w:r w:rsidR="00A4593A" w:rsidRPr="00E95A4F">
                <w:rPr>
                  <w:rStyle w:val="Hyperlink"/>
                  <w:rFonts w:ascii="Arial Narrow" w:hAnsi="Arial Narrow"/>
                  <w:sz w:val="18"/>
                  <w:szCs w:val="18"/>
                </w:rPr>
                <w:t>http://www.juntadeandalucia.es/</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Catalan Agency for Health Technology Assessment (CAHTA)</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64" w:tooltip="takes you to the Catalan Agency for Health Technology Assessment (CAHTA) website" w:history="1">
              <w:r w:rsidR="00A4593A" w:rsidRPr="00E95A4F">
                <w:rPr>
                  <w:rStyle w:val="Hyperlink"/>
                  <w:rFonts w:ascii="Arial Narrow" w:hAnsi="Arial Narrow"/>
                  <w:sz w:val="18"/>
                  <w:szCs w:val="18"/>
                </w:rPr>
                <w:t>http://www.gencat.cat</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proofErr w:type="spellStart"/>
            <w:r w:rsidRPr="009707B9">
              <w:rPr>
                <w:rFonts w:ascii="Arial Narrow" w:hAnsi="Arial Narrow"/>
                <w:sz w:val="18"/>
                <w:szCs w:val="18"/>
              </w:rPr>
              <w:t>Center</w:t>
            </w:r>
            <w:proofErr w:type="spellEnd"/>
            <w:r w:rsidRPr="009707B9">
              <w:rPr>
                <w:rFonts w:ascii="Arial Narrow" w:hAnsi="Arial Narrow"/>
                <w:sz w:val="18"/>
                <w:szCs w:val="18"/>
              </w:rPr>
              <w:t xml:space="preserve"> for Medical Health Technology Assessment</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65" w:tooltip="takes you to the Center for Medical Health Technology Assessment website" w:history="1">
              <w:r w:rsidR="00A4593A" w:rsidRPr="00E95A4F">
                <w:rPr>
                  <w:rStyle w:val="Hyperlink"/>
                  <w:rFonts w:ascii="Arial Narrow" w:hAnsi="Arial Narrow"/>
                  <w:sz w:val="18"/>
                  <w:szCs w:val="18"/>
                </w:rPr>
                <w:t>http://www.cmt.liu.se/?l=en&amp;sc=true</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Swedish Council on Technology Assessment in Health Care (SBU)</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66" w:tooltip="takes you to the Swedish Council on Technology Assessment in Health Care (SBU) website" w:history="1">
              <w:r w:rsidR="00A4593A" w:rsidRPr="00E95A4F">
                <w:rPr>
                  <w:rStyle w:val="Hyperlink"/>
                  <w:rFonts w:ascii="Arial Narrow" w:hAnsi="Arial Narrow"/>
                  <w:sz w:val="18"/>
                  <w:szCs w:val="18"/>
                </w:rPr>
                <w:t>http://www.sbu.se/en/</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Swiss Network on Health Technology Assessment (SNHTA)</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67" w:tooltip="takes you to the Swiss Network on Health Technology Assessment (SNHTA) website" w:history="1">
              <w:r w:rsidR="00A4593A" w:rsidRPr="00E95A4F">
                <w:rPr>
                  <w:rStyle w:val="Hyperlink"/>
                  <w:rFonts w:ascii="Arial Narrow" w:hAnsi="Arial Narrow"/>
                  <w:sz w:val="18"/>
                  <w:szCs w:val="18"/>
                </w:rPr>
                <w:t>http://www.snhta.ch/</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National Health Service Health Technology Assessment (UK) / National Coordinating Centre for Health Technology Assessment (NCCHTA)</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68" w:tooltip="takes you to the National Health Service Health Technology Assessment (UK) / National Coordinating Centre for Health Technology Assessment (NCCHTA) website" w:history="1">
              <w:r w:rsidR="00A4593A" w:rsidRPr="00E95A4F">
                <w:rPr>
                  <w:rStyle w:val="Hyperlink"/>
                  <w:rFonts w:ascii="Arial Narrow" w:hAnsi="Arial Narrow"/>
                  <w:sz w:val="18"/>
                  <w:szCs w:val="18"/>
                </w:rPr>
                <w:t>http://www.hta.ac.uk/</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NHS Quality Improvement Scotland</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69" w:tooltip="takes you to the NHS Quality Improvement Scotland website" w:history="1">
              <w:r w:rsidR="00A4593A" w:rsidRPr="00E95A4F">
                <w:rPr>
                  <w:rStyle w:val="Hyperlink"/>
                  <w:rFonts w:ascii="Arial Narrow" w:hAnsi="Arial Narrow"/>
                  <w:sz w:val="18"/>
                  <w:szCs w:val="18"/>
                </w:rPr>
                <w:t>http://www.nhshealthquality.org/</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National Institute for Clinical Excellence (NICE)</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70" w:tooltip="takes you to the National Institute for Clinical Excellence (NICE) website" w:history="1">
              <w:r w:rsidR="00A4593A" w:rsidRPr="00E95A4F">
                <w:rPr>
                  <w:rStyle w:val="Hyperlink"/>
                  <w:rFonts w:ascii="Arial Narrow" w:hAnsi="Arial Narrow"/>
                  <w:sz w:val="18"/>
                  <w:szCs w:val="18"/>
                </w:rPr>
                <w:t>http://www.nice.org.uk/</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University of York NHS Centre for Reviews and Dissemination (NHS CRD)</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71" w:tooltip="takes you to the University of York NHS Centre for Reviews and Dissemination (NHS CRD) website" w:history="1">
              <w:r w:rsidR="00A4593A" w:rsidRPr="00E95A4F">
                <w:rPr>
                  <w:rStyle w:val="Hyperlink"/>
                  <w:rFonts w:ascii="Arial Narrow" w:hAnsi="Arial Narrow"/>
                  <w:sz w:val="18"/>
                  <w:szCs w:val="18"/>
                </w:rPr>
                <w:t>http://www.york.ac.uk/inst/crd/</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Agency for Healthcare Research and Quality (AHRQ)</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72" w:tooltip="takes you to the Agency for Healthcare Research and Quality (AHRQ) website" w:history="1">
              <w:r w:rsidR="00A4593A" w:rsidRPr="00E95A4F">
                <w:rPr>
                  <w:rStyle w:val="Hyperlink"/>
                  <w:rFonts w:ascii="Arial Narrow" w:hAnsi="Arial Narrow"/>
                  <w:sz w:val="18"/>
                  <w:szCs w:val="18"/>
                </w:rPr>
                <w:t>http://www.ahrq.gov/clinic/techix.htm</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Institute for Clinical and Economic Review (ICER)</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73" w:tooltip="takes you to the Institute for Clinical and Economic Review (ICER) website" w:history="1">
              <w:r w:rsidR="00A4593A" w:rsidRPr="009707B9">
                <w:rPr>
                  <w:rFonts w:ascii="Arial Narrow" w:hAnsi="Arial Narrow"/>
                  <w:sz w:val="18"/>
                  <w:szCs w:val="18"/>
                </w:rPr>
                <w:t xml:space="preserve">http://www.icer-review.org/ </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Institute for Clinical Systems Improvement (ICSI)</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74" w:tooltip="takes you to the Institute for Clinical Systems Improvement website" w:history="1">
              <w:r w:rsidR="00A4593A" w:rsidRPr="009707B9">
                <w:rPr>
                  <w:rFonts w:ascii="Arial Narrow" w:hAnsi="Arial Narrow"/>
                  <w:sz w:val="18"/>
                  <w:szCs w:val="18"/>
                </w:rPr>
                <w:t>http://www.icsi.org</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National Information Centre of Health Services</w:t>
            </w:r>
          </w:p>
        </w:tc>
        <w:tc>
          <w:tcPr>
            <w:tcW w:w="4819" w:type="dxa"/>
            <w:shd w:val="clear" w:color="auto" w:fill="auto"/>
            <w:vAlign w:val="center"/>
          </w:tcPr>
          <w:p w:rsidR="00A4593A" w:rsidRPr="009707B9" w:rsidRDefault="00D26B32" w:rsidP="006A5E18">
            <w:pPr>
              <w:pStyle w:val="Default"/>
              <w:rPr>
                <w:rFonts w:ascii="Arial Narrow" w:hAnsi="Arial Narrow"/>
                <w:sz w:val="18"/>
                <w:szCs w:val="18"/>
              </w:rPr>
            </w:pPr>
            <w:hyperlink r:id="rId75" w:tooltip="takes you to the National Information Centre of Health Services website" w:history="1">
              <w:r w:rsidR="00A4593A" w:rsidRPr="009707B9">
                <w:rPr>
                  <w:rFonts w:ascii="Arial Narrow" w:hAnsi="Arial Narrow"/>
                  <w:color w:val="auto"/>
                  <w:sz w:val="18"/>
                  <w:szCs w:val="18"/>
                </w:rPr>
                <w:t xml:space="preserve">http://www.nlm.nih.gov/hsrph.html </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Research and Health Care Technology (US)</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76" w:tooltip="Oregon Health Resources Commission" w:history="1">
              <w:r w:rsidR="00A4593A" w:rsidRPr="009707B9">
                <w:rPr>
                  <w:rFonts w:ascii="Arial Narrow" w:hAnsi="Arial Narrow"/>
                  <w:sz w:val="18"/>
                  <w:szCs w:val="18"/>
                </w:rPr>
                <w:t>http://egov.oregon.gov/DAS/OHPPR/HRC/about_us</w:t>
              </w:r>
            </w:hyperlink>
            <w:hyperlink r:id="rId77" w:history="1">
              <w:r w:rsidR="00A4593A" w:rsidRPr="009707B9">
                <w:rPr>
                  <w:rFonts w:ascii="Arial Narrow" w:hAnsi="Arial Narrow"/>
                  <w:sz w:val="18"/>
                  <w:szCs w:val="18"/>
                </w:rPr>
                <w:t>.shtml</w:t>
              </w:r>
            </w:hyperlink>
            <w:r w:rsidR="00A4593A" w:rsidRPr="009707B9">
              <w:rPr>
                <w:rFonts w:ascii="Arial Narrow" w:hAnsi="Arial Narrow"/>
                <w:sz w:val="18"/>
                <w:szCs w:val="18"/>
              </w:rPr>
              <w:t xml:space="preserve"> </w:t>
            </w:r>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lastRenderedPageBreak/>
              <w:t>Oregon Health Resources Commission (US)</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78" w:tooltip="National Information Centre of Health Services" w:history="1">
              <w:r w:rsidR="00A4593A" w:rsidRPr="009707B9">
                <w:rPr>
                  <w:rFonts w:ascii="Arial Narrow" w:hAnsi="Arial Narrow"/>
                  <w:sz w:val="18"/>
                  <w:szCs w:val="18"/>
                </w:rPr>
                <w:t>http://www.nlm.nih.gov/hsrph.html</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Office of Health Technology Assessment Archive (US)</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79" w:tooltip="Office of Health Technology Assessment Archive (US)" w:history="1">
              <w:r w:rsidR="00A4593A" w:rsidRPr="00E95A4F">
                <w:rPr>
                  <w:rStyle w:val="Hyperlink"/>
                  <w:rFonts w:ascii="Arial Narrow" w:hAnsi="Arial Narrow"/>
                  <w:sz w:val="18"/>
                  <w:szCs w:val="18"/>
                </w:rPr>
                <w:t>http://fas.org/ota</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U.S. Blue Cross/ Blue Shield Association</w:t>
            </w:r>
          </w:p>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 xml:space="preserve">Technology Evaluation </w:t>
            </w:r>
            <w:proofErr w:type="spellStart"/>
            <w:r w:rsidRPr="009707B9">
              <w:rPr>
                <w:rFonts w:ascii="Arial Narrow" w:hAnsi="Arial Narrow"/>
                <w:sz w:val="18"/>
                <w:szCs w:val="18"/>
              </w:rPr>
              <w:t>Center</w:t>
            </w:r>
            <w:proofErr w:type="spellEnd"/>
            <w:r w:rsidRPr="009707B9">
              <w:rPr>
                <w:rFonts w:ascii="Arial Narrow" w:hAnsi="Arial Narrow"/>
                <w:sz w:val="18"/>
                <w:szCs w:val="18"/>
              </w:rPr>
              <w:t xml:space="preserve"> (Tec)</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80" w:tooltip="U.S. Blue Cross/ Blue Shield Association" w:history="1">
              <w:r w:rsidR="00A4593A" w:rsidRPr="009707B9">
                <w:rPr>
                  <w:rFonts w:ascii="Arial Narrow" w:hAnsi="Arial Narrow"/>
                  <w:sz w:val="18"/>
                  <w:szCs w:val="18"/>
                </w:rPr>
                <w:t xml:space="preserve">http://www.bcbs.com/blueresources/tec/ </w:t>
              </w:r>
            </w:hyperlink>
          </w:p>
        </w:tc>
      </w:tr>
      <w:tr w:rsidR="00A4593A" w:rsidRPr="009707B9" w:rsidTr="006A5E18">
        <w:tc>
          <w:tcPr>
            <w:tcW w:w="3583" w:type="dxa"/>
            <w:shd w:val="clear" w:color="auto" w:fill="auto"/>
          </w:tcPr>
          <w:p w:rsidR="00A4593A" w:rsidRPr="009707B9" w:rsidRDefault="00A4593A" w:rsidP="006A5E18">
            <w:pPr>
              <w:spacing w:after="0"/>
              <w:ind w:left="0"/>
              <w:rPr>
                <w:rFonts w:ascii="Arial Narrow" w:hAnsi="Arial Narrow"/>
                <w:sz w:val="18"/>
                <w:szCs w:val="18"/>
              </w:rPr>
            </w:pPr>
            <w:r w:rsidRPr="009707B9">
              <w:rPr>
                <w:rFonts w:ascii="Arial Narrow" w:hAnsi="Arial Narrow"/>
                <w:sz w:val="18"/>
                <w:szCs w:val="18"/>
              </w:rPr>
              <w:t>U.S. Blue Cross/ Blue Shield of Alabama</w:t>
            </w:r>
          </w:p>
        </w:tc>
        <w:tc>
          <w:tcPr>
            <w:tcW w:w="4819" w:type="dxa"/>
            <w:shd w:val="clear" w:color="auto" w:fill="auto"/>
            <w:vAlign w:val="center"/>
          </w:tcPr>
          <w:p w:rsidR="00A4593A" w:rsidRPr="009707B9" w:rsidRDefault="00D26B32" w:rsidP="006A5E18">
            <w:pPr>
              <w:spacing w:after="0"/>
              <w:ind w:left="0"/>
              <w:rPr>
                <w:rFonts w:ascii="Arial Narrow" w:hAnsi="Arial Narrow"/>
                <w:sz w:val="18"/>
                <w:szCs w:val="18"/>
              </w:rPr>
            </w:pPr>
            <w:hyperlink r:id="rId81" w:tooltip="U.S. Blue Cross/ Blue Shield of Alabama" w:history="1">
              <w:r w:rsidR="00A4593A" w:rsidRPr="00E95A4F">
                <w:rPr>
                  <w:rStyle w:val="Hyperlink"/>
                  <w:rFonts w:ascii="Arial Narrow" w:hAnsi="Arial Narrow"/>
                  <w:sz w:val="18"/>
                  <w:szCs w:val="18"/>
                </w:rPr>
                <w:t>https://www.bcbsal.org/web/index.html</w:t>
              </w:r>
            </w:hyperlink>
          </w:p>
        </w:tc>
      </w:tr>
    </w:tbl>
    <w:p w:rsidR="00A4593A" w:rsidRPr="00D63B4F" w:rsidRDefault="00A4593A" w:rsidP="00A4593A">
      <w:pPr>
        <w:spacing w:before="40" w:after="40"/>
        <w:rPr>
          <w:rFonts w:ascii="Arial Narrow" w:hAnsi="Arial Narrow"/>
          <w:sz w:val="20"/>
        </w:rPr>
      </w:pPr>
    </w:p>
    <w:p w:rsidR="00A4593A" w:rsidRPr="00A4593A" w:rsidRDefault="00A4593A" w:rsidP="00AC0EA5">
      <w:pPr>
        <w:tabs>
          <w:tab w:val="left" w:pos="1985"/>
        </w:tabs>
        <w:rPr>
          <w:vanish/>
        </w:rPr>
      </w:pPr>
    </w:p>
    <w:p w:rsidR="009A3655" w:rsidRPr="00A4593A" w:rsidRDefault="009A3655" w:rsidP="00060B82">
      <w:pPr>
        <w:pStyle w:val="Heading1"/>
        <w:rPr>
          <w:bCs/>
        </w:rPr>
        <w:sectPr w:rsidR="009A3655" w:rsidRPr="00A4593A" w:rsidSect="00720A65">
          <w:pgSz w:w="11906" w:h="16838"/>
          <w:pgMar w:top="1440" w:right="1440" w:bottom="1440" w:left="1440" w:header="720" w:footer="720" w:gutter="0"/>
          <w:paperSrc w:first="7" w:other="7"/>
          <w:cols w:space="720"/>
        </w:sectPr>
      </w:pPr>
      <w:bookmarkStart w:id="196" w:name="_Ref170808567"/>
      <w:bookmarkStart w:id="197" w:name="_Toc460813781"/>
      <w:bookmarkStart w:id="198" w:name="_Ref170792604"/>
    </w:p>
    <w:p w:rsidR="008F59A8" w:rsidRPr="004C6B15" w:rsidRDefault="00214C6A" w:rsidP="00060B82">
      <w:pPr>
        <w:pStyle w:val="Heading1"/>
        <w:rPr>
          <w:bCs/>
        </w:rPr>
      </w:pPr>
      <w:bookmarkStart w:id="199" w:name="_Ref190841600"/>
      <w:bookmarkStart w:id="200" w:name="_Toc418224886"/>
      <w:bookmarkEnd w:id="196"/>
      <w:r w:rsidRPr="004C6B15">
        <w:rPr>
          <w:bCs/>
        </w:rPr>
        <w:lastRenderedPageBreak/>
        <w:t xml:space="preserve">Appendix </w:t>
      </w:r>
      <w:r w:rsidR="006F6E93">
        <w:rPr>
          <w:bCs/>
        </w:rPr>
        <w:t>D</w:t>
      </w:r>
      <w:r w:rsidR="008F59A8" w:rsidRPr="004C6B15">
        <w:rPr>
          <w:bCs/>
        </w:rPr>
        <w:tab/>
        <w:t>Studies included in the review</w:t>
      </w:r>
      <w:bookmarkEnd w:id="197"/>
      <w:bookmarkEnd w:id="198"/>
      <w:bookmarkEnd w:id="199"/>
      <w:bookmarkEnd w:id="200"/>
      <w:r w:rsidR="008F59A8" w:rsidRPr="004C6B15">
        <w:rPr>
          <w:bCs/>
        </w:rPr>
        <w:t xml:space="preserve"> </w:t>
      </w:r>
    </w:p>
    <w:p w:rsidR="00D94764" w:rsidRPr="004C6B15" w:rsidRDefault="00D94764" w:rsidP="00A55B1B">
      <w:pPr>
        <w:pStyle w:val="Heading2"/>
        <w:rPr>
          <w:bCs/>
        </w:rPr>
      </w:pPr>
      <w:bookmarkStart w:id="201" w:name="_Toc418224887"/>
      <w:r w:rsidRPr="004C6B15">
        <w:rPr>
          <w:bCs/>
        </w:rPr>
        <w:t xml:space="preserve">Study profiles of included studies on </w:t>
      </w:r>
      <w:r w:rsidR="00A55B1B">
        <w:rPr>
          <w:bCs/>
        </w:rPr>
        <w:t>diagnostic accuracy</w:t>
      </w:r>
      <w:bookmarkEnd w:id="201"/>
    </w:p>
    <w:p w:rsidR="00A55B1B" w:rsidRPr="00DD77EB" w:rsidRDefault="00A55B1B" w:rsidP="00A55B1B">
      <w:pPr>
        <w:pStyle w:val="TableName"/>
        <w:ind w:left="1134" w:hanging="1134"/>
      </w:pPr>
      <w:bookmarkStart w:id="202" w:name="_Toc381269814"/>
      <w:r>
        <w:t>Table</w:t>
      </w:r>
      <w:r w:rsidR="00050BE7">
        <w:t xml:space="preserve"> </w:t>
      </w:r>
      <w:r w:rsidR="00F25CF7">
        <w:t>D1</w:t>
      </w:r>
      <w:r>
        <w:tab/>
      </w:r>
      <w:r w:rsidRPr="004C6B15">
        <w:t xml:space="preserve">Study profiles of included studies on </w:t>
      </w:r>
      <w:r>
        <w:t xml:space="preserve">diagnostic accuracy of </w:t>
      </w:r>
      <w:r w:rsidR="00F25CF7">
        <w:t>rapid point-of-care</w:t>
      </w:r>
      <w:r>
        <w:t xml:space="preserve"> testing for diagnosing </w:t>
      </w:r>
      <w:r w:rsidR="00F25CF7">
        <w:t>HIV compared with serology testing</w:t>
      </w:r>
      <w:bookmarkEnd w:id="202"/>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Study profiles of included studies on diagnostic accuracy of rapid point-of-care testing for diagnosing HIV compared with serology testing"/>
      </w:tblPr>
      <w:tblGrid>
        <w:gridCol w:w="1304"/>
        <w:gridCol w:w="1356"/>
        <w:gridCol w:w="1276"/>
        <w:gridCol w:w="2268"/>
        <w:gridCol w:w="2188"/>
        <w:gridCol w:w="1275"/>
        <w:gridCol w:w="2915"/>
        <w:gridCol w:w="1480"/>
      </w:tblGrid>
      <w:tr w:rsidR="00B164D2" w:rsidRPr="007D2E85" w:rsidTr="007D2E85">
        <w:trPr>
          <w:tblHeader/>
        </w:trPr>
        <w:tc>
          <w:tcPr>
            <w:tcW w:w="1304" w:type="dxa"/>
            <w:shd w:val="clear" w:color="auto" w:fill="auto"/>
            <w:vAlign w:val="center"/>
          </w:tcPr>
          <w:p w:rsidR="00B164D2" w:rsidRPr="007D2E85" w:rsidRDefault="00B164D2" w:rsidP="00B164D2">
            <w:pPr>
              <w:spacing w:before="40" w:after="40"/>
              <w:ind w:left="0"/>
              <w:rPr>
                <w:rFonts w:ascii="Arial Narrow" w:eastAsia="Calibri" w:hAnsi="Arial Narrow"/>
                <w:b/>
                <w:sz w:val="19"/>
                <w:szCs w:val="19"/>
                <w:lang w:eastAsia="en-US"/>
              </w:rPr>
            </w:pPr>
            <w:r w:rsidRPr="007D2E85">
              <w:rPr>
                <w:rFonts w:ascii="Arial Narrow" w:eastAsia="Calibri" w:hAnsi="Arial Narrow"/>
                <w:b/>
                <w:sz w:val="19"/>
                <w:szCs w:val="19"/>
                <w:lang w:eastAsia="en-US"/>
              </w:rPr>
              <w:t>Study and location</w:t>
            </w:r>
          </w:p>
          <w:p w:rsidR="001800FD" w:rsidRPr="007D2E85" w:rsidRDefault="001800FD" w:rsidP="00B164D2">
            <w:pPr>
              <w:spacing w:before="40" w:after="40"/>
              <w:ind w:left="0"/>
              <w:rPr>
                <w:rFonts w:ascii="Arial Narrow" w:eastAsia="Calibri" w:hAnsi="Arial Narrow"/>
                <w:b/>
                <w:sz w:val="19"/>
                <w:szCs w:val="19"/>
                <w:lang w:eastAsia="en-US"/>
              </w:rPr>
            </w:pPr>
            <w:r w:rsidRPr="007D2E85">
              <w:rPr>
                <w:rFonts w:ascii="Arial Narrow" w:eastAsia="Calibri" w:hAnsi="Arial Narrow"/>
                <w:b/>
                <w:sz w:val="19"/>
                <w:szCs w:val="19"/>
                <w:lang w:eastAsia="en-US"/>
              </w:rPr>
              <w:t>Grade</w:t>
            </w:r>
          </w:p>
        </w:tc>
        <w:tc>
          <w:tcPr>
            <w:tcW w:w="1356" w:type="dxa"/>
            <w:shd w:val="clear" w:color="auto" w:fill="auto"/>
            <w:vAlign w:val="center"/>
          </w:tcPr>
          <w:p w:rsidR="00B164D2" w:rsidRPr="007D2E85" w:rsidRDefault="00B164D2" w:rsidP="00B164D2">
            <w:pPr>
              <w:spacing w:before="40" w:after="40"/>
              <w:ind w:left="42"/>
              <w:jc w:val="center"/>
              <w:rPr>
                <w:rFonts w:ascii="Arial Narrow" w:eastAsia="Calibri" w:hAnsi="Arial Narrow"/>
                <w:b/>
                <w:sz w:val="19"/>
                <w:szCs w:val="19"/>
                <w:lang w:eastAsia="en-US"/>
              </w:rPr>
            </w:pPr>
            <w:r w:rsidRPr="007D2E85">
              <w:rPr>
                <w:rFonts w:ascii="Arial Narrow" w:eastAsia="Calibri" w:hAnsi="Arial Narrow"/>
                <w:b/>
                <w:sz w:val="19"/>
                <w:szCs w:val="19"/>
                <w:lang w:eastAsia="en-US"/>
              </w:rPr>
              <w:t>Diagnostic level of evidence and study design</w:t>
            </w:r>
          </w:p>
        </w:tc>
        <w:tc>
          <w:tcPr>
            <w:tcW w:w="1276" w:type="dxa"/>
            <w:shd w:val="clear" w:color="auto" w:fill="auto"/>
            <w:vAlign w:val="center"/>
          </w:tcPr>
          <w:p w:rsidR="00B164D2" w:rsidRPr="007D2E85" w:rsidRDefault="00B164D2" w:rsidP="00B164D2">
            <w:pPr>
              <w:spacing w:before="40" w:after="40"/>
              <w:ind w:left="34"/>
              <w:jc w:val="center"/>
              <w:rPr>
                <w:rFonts w:ascii="Arial Narrow" w:eastAsia="Calibri" w:hAnsi="Arial Narrow"/>
                <w:b/>
                <w:sz w:val="19"/>
                <w:szCs w:val="19"/>
                <w:lang w:eastAsia="en-US"/>
              </w:rPr>
            </w:pPr>
            <w:r w:rsidRPr="007D2E85">
              <w:rPr>
                <w:rFonts w:ascii="Arial Narrow" w:eastAsia="Calibri" w:hAnsi="Arial Narrow"/>
                <w:b/>
                <w:sz w:val="19"/>
                <w:szCs w:val="19"/>
                <w:lang w:eastAsia="en-US"/>
              </w:rPr>
              <w:t>Quality assessment</w:t>
            </w:r>
          </w:p>
        </w:tc>
        <w:tc>
          <w:tcPr>
            <w:tcW w:w="2268" w:type="dxa"/>
            <w:shd w:val="clear" w:color="auto" w:fill="auto"/>
            <w:vAlign w:val="center"/>
          </w:tcPr>
          <w:p w:rsidR="00B164D2" w:rsidRPr="007D2E85" w:rsidRDefault="00B164D2" w:rsidP="00B164D2">
            <w:pPr>
              <w:spacing w:before="40" w:after="40"/>
              <w:ind w:left="33"/>
              <w:jc w:val="center"/>
              <w:rPr>
                <w:rFonts w:ascii="Arial Narrow" w:eastAsia="Calibri" w:hAnsi="Arial Narrow"/>
                <w:b/>
                <w:sz w:val="19"/>
                <w:szCs w:val="19"/>
                <w:lang w:eastAsia="en-US"/>
              </w:rPr>
            </w:pPr>
            <w:r w:rsidRPr="007D2E85">
              <w:rPr>
                <w:rFonts w:ascii="Arial Narrow" w:eastAsia="Calibri" w:hAnsi="Arial Narrow"/>
                <w:b/>
                <w:sz w:val="19"/>
                <w:szCs w:val="19"/>
                <w:lang w:eastAsia="en-US"/>
              </w:rPr>
              <w:t>Study population</w:t>
            </w:r>
          </w:p>
          <w:p w:rsidR="00B164D2" w:rsidRPr="007D2E85" w:rsidRDefault="00B164D2" w:rsidP="00B164D2">
            <w:pPr>
              <w:spacing w:before="40" w:after="40"/>
              <w:ind w:left="33"/>
              <w:jc w:val="center"/>
              <w:rPr>
                <w:rFonts w:ascii="Arial Narrow" w:eastAsia="Calibri" w:hAnsi="Arial Narrow"/>
                <w:b/>
                <w:sz w:val="19"/>
                <w:szCs w:val="19"/>
                <w:lang w:eastAsia="en-US"/>
              </w:rPr>
            </w:pPr>
            <w:r w:rsidRPr="007D2E85">
              <w:rPr>
                <w:rFonts w:ascii="Arial Narrow" w:eastAsia="Calibri" w:hAnsi="Arial Narrow"/>
                <w:b/>
                <w:sz w:val="19"/>
                <w:szCs w:val="19"/>
                <w:lang w:eastAsia="en-US"/>
              </w:rPr>
              <w:t>Inclusion/exclusion criteria</w:t>
            </w:r>
          </w:p>
        </w:tc>
        <w:tc>
          <w:tcPr>
            <w:tcW w:w="2188" w:type="dxa"/>
            <w:shd w:val="clear" w:color="auto" w:fill="auto"/>
            <w:vAlign w:val="center"/>
          </w:tcPr>
          <w:p w:rsidR="00B164D2" w:rsidRPr="007D2E85" w:rsidRDefault="00B164D2" w:rsidP="00B164D2">
            <w:pPr>
              <w:spacing w:before="40" w:after="40"/>
              <w:ind w:left="34"/>
              <w:jc w:val="center"/>
              <w:rPr>
                <w:rFonts w:ascii="Arial Narrow" w:eastAsia="Calibri" w:hAnsi="Arial Narrow"/>
                <w:b/>
                <w:sz w:val="19"/>
                <w:szCs w:val="19"/>
                <w:lang w:eastAsia="en-US"/>
              </w:rPr>
            </w:pPr>
            <w:r w:rsidRPr="007D2E85">
              <w:rPr>
                <w:rFonts w:ascii="Arial Narrow" w:eastAsia="Calibri" w:hAnsi="Arial Narrow"/>
                <w:b/>
                <w:sz w:val="19"/>
                <w:szCs w:val="19"/>
                <w:lang w:eastAsia="en-US"/>
              </w:rPr>
              <w:t>Reference standard</w:t>
            </w:r>
          </w:p>
        </w:tc>
        <w:tc>
          <w:tcPr>
            <w:tcW w:w="1275" w:type="dxa"/>
            <w:shd w:val="clear" w:color="auto" w:fill="auto"/>
            <w:vAlign w:val="center"/>
          </w:tcPr>
          <w:p w:rsidR="00B164D2" w:rsidRPr="007D2E85" w:rsidRDefault="00B164D2" w:rsidP="00B164D2">
            <w:pPr>
              <w:spacing w:before="40" w:after="40"/>
              <w:ind w:left="34"/>
              <w:jc w:val="center"/>
              <w:rPr>
                <w:rFonts w:ascii="Arial Narrow" w:eastAsia="Calibri" w:hAnsi="Arial Narrow"/>
                <w:b/>
                <w:sz w:val="19"/>
                <w:szCs w:val="19"/>
                <w:lang w:eastAsia="en-US"/>
              </w:rPr>
            </w:pPr>
            <w:r w:rsidRPr="007D2E85">
              <w:rPr>
                <w:rFonts w:ascii="Arial Narrow" w:eastAsia="Calibri" w:hAnsi="Arial Narrow"/>
                <w:b/>
                <w:sz w:val="19"/>
                <w:szCs w:val="19"/>
                <w:lang w:eastAsia="en-US"/>
              </w:rPr>
              <w:t>Index test</w:t>
            </w:r>
          </w:p>
        </w:tc>
        <w:tc>
          <w:tcPr>
            <w:tcW w:w="2915" w:type="dxa"/>
            <w:shd w:val="clear" w:color="auto" w:fill="auto"/>
            <w:vAlign w:val="center"/>
          </w:tcPr>
          <w:p w:rsidR="00B164D2" w:rsidRPr="007D2E85" w:rsidRDefault="00B164D2" w:rsidP="00B164D2">
            <w:pPr>
              <w:spacing w:before="40" w:after="40"/>
              <w:ind w:left="34"/>
              <w:jc w:val="center"/>
              <w:rPr>
                <w:rFonts w:ascii="Arial Narrow" w:eastAsia="Calibri" w:hAnsi="Arial Narrow"/>
                <w:b/>
                <w:sz w:val="19"/>
                <w:szCs w:val="19"/>
                <w:lang w:eastAsia="en-US"/>
              </w:rPr>
            </w:pPr>
            <w:r w:rsidRPr="007D2E85">
              <w:rPr>
                <w:rFonts w:ascii="Arial Narrow" w:eastAsia="Calibri" w:hAnsi="Arial Narrow"/>
                <w:b/>
                <w:sz w:val="19"/>
                <w:szCs w:val="19"/>
                <w:lang w:eastAsia="en-US"/>
              </w:rPr>
              <w:t>Comparator(s)</w:t>
            </w:r>
          </w:p>
        </w:tc>
        <w:tc>
          <w:tcPr>
            <w:tcW w:w="1480" w:type="dxa"/>
            <w:shd w:val="clear" w:color="auto" w:fill="auto"/>
            <w:vAlign w:val="center"/>
          </w:tcPr>
          <w:p w:rsidR="00B164D2" w:rsidRPr="007D2E85" w:rsidRDefault="00B164D2" w:rsidP="00B164D2">
            <w:pPr>
              <w:spacing w:before="40" w:after="40"/>
              <w:ind w:left="34"/>
              <w:jc w:val="center"/>
              <w:rPr>
                <w:rFonts w:ascii="Arial Narrow" w:eastAsia="Calibri" w:hAnsi="Arial Narrow"/>
                <w:b/>
                <w:sz w:val="19"/>
                <w:szCs w:val="19"/>
                <w:lang w:eastAsia="en-US"/>
              </w:rPr>
            </w:pPr>
            <w:r w:rsidRPr="007D2E85">
              <w:rPr>
                <w:rFonts w:ascii="Arial Narrow" w:eastAsia="Calibri" w:hAnsi="Arial Narrow"/>
                <w:b/>
                <w:sz w:val="19"/>
                <w:szCs w:val="19"/>
                <w:lang w:eastAsia="en-US"/>
              </w:rPr>
              <w:t>Outcomes</w:t>
            </w:r>
          </w:p>
        </w:tc>
      </w:tr>
      <w:tr w:rsidR="00B164D2" w:rsidRPr="007D2E85" w:rsidTr="00050BE7">
        <w:tc>
          <w:tcPr>
            <w:tcW w:w="1304" w:type="dxa"/>
            <w:shd w:val="clear" w:color="auto" w:fill="auto"/>
          </w:tcPr>
          <w:p w:rsidR="00B164D2" w:rsidRPr="007D2E85" w:rsidRDefault="00B164D2" w:rsidP="00A55B1B">
            <w:pPr>
              <w:spacing w:before="40" w:after="40"/>
              <w:ind w:left="0"/>
              <w:rPr>
                <w:rFonts w:ascii="Arial Narrow" w:eastAsia="Calibri" w:hAnsi="Arial Narrow"/>
                <w:sz w:val="19"/>
                <w:szCs w:val="19"/>
                <w:lang w:eastAsia="en-US"/>
              </w:rPr>
            </w:pPr>
            <w:r w:rsidRPr="007D2E85">
              <w:rPr>
                <w:rFonts w:ascii="Arial Narrow" w:eastAsia="Calibri" w:hAnsi="Arial Narrow"/>
                <w:sz w:val="19"/>
                <w:szCs w:val="19"/>
                <w:lang w:eastAsia="en-US"/>
              </w:rPr>
              <w:t>Conway (2014)</w:t>
            </w:r>
          </w:p>
          <w:p w:rsidR="00B164D2" w:rsidRPr="007D2E85" w:rsidRDefault="00B164D2" w:rsidP="00A55B1B">
            <w:pPr>
              <w:spacing w:before="40" w:after="40"/>
              <w:ind w:left="0"/>
              <w:rPr>
                <w:rFonts w:ascii="Arial Narrow" w:eastAsia="Calibri" w:hAnsi="Arial Narrow"/>
                <w:sz w:val="19"/>
                <w:szCs w:val="19"/>
                <w:lang w:eastAsia="en-US"/>
              </w:rPr>
            </w:pPr>
            <w:r w:rsidRPr="007D2E85">
              <w:rPr>
                <w:rFonts w:ascii="Arial Narrow" w:eastAsia="Calibri" w:hAnsi="Arial Narrow"/>
                <w:sz w:val="19"/>
                <w:szCs w:val="19"/>
                <w:lang w:eastAsia="en-US"/>
              </w:rPr>
              <w:t>Australia</w:t>
            </w:r>
          </w:p>
          <w:p w:rsidR="001800FD" w:rsidRPr="007D2E85" w:rsidRDefault="001800FD" w:rsidP="001800FD">
            <w:pPr>
              <w:spacing w:before="40" w:after="40"/>
              <w:ind w:left="0"/>
              <w:rPr>
                <w:rFonts w:ascii="Arial Narrow" w:eastAsia="Calibri" w:hAnsi="Arial Narrow"/>
                <w:sz w:val="19"/>
                <w:szCs w:val="19"/>
                <w:lang w:eastAsia="en-US"/>
              </w:rPr>
            </w:pPr>
            <w:r w:rsidRPr="007D2E85">
              <w:rPr>
                <w:rFonts w:ascii="Arial Narrow" w:eastAsia="Calibri" w:hAnsi="Arial Narrow"/>
                <w:sz w:val="19"/>
                <w:szCs w:val="19"/>
                <w:lang w:eastAsia="en-US"/>
              </w:rPr>
              <w:t>C1, P1, Q1</w:t>
            </w:r>
          </w:p>
        </w:tc>
        <w:tc>
          <w:tcPr>
            <w:tcW w:w="1356" w:type="dxa"/>
            <w:shd w:val="clear" w:color="auto" w:fill="auto"/>
          </w:tcPr>
          <w:p w:rsidR="00B164D2" w:rsidRPr="007D2E85" w:rsidRDefault="00F95213" w:rsidP="00A55B1B">
            <w:pPr>
              <w:spacing w:before="40" w:after="40"/>
              <w:ind w:left="42"/>
              <w:rPr>
                <w:rFonts w:ascii="Arial Narrow" w:eastAsia="Calibri" w:hAnsi="Arial Narrow"/>
                <w:sz w:val="19"/>
                <w:szCs w:val="19"/>
                <w:lang w:eastAsia="en-US"/>
              </w:rPr>
            </w:pPr>
            <w:r w:rsidRPr="007D2E85">
              <w:rPr>
                <w:rFonts w:ascii="Arial Narrow" w:eastAsia="Calibri" w:hAnsi="Arial Narrow"/>
                <w:sz w:val="19"/>
                <w:szCs w:val="19"/>
                <w:lang w:eastAsia="en-US"/>
              </w:rPr>
              <w:t xml:space="preserve">Level </w:t>
            </w:r>
            <w:r w:rsidR="007564B6" w:rsidRPr="007D2E85">
              <w:rPr>
                <w:rFonts w:ascii="Arial Narrow" w:eastAsia="Calibri" w:hAnsi="Arial Narrow"/>
                <w:sz w:val="19"/>
                <w:szCs w:val="19"/>
                <w:lang w:eastAsia="en-US"/>
              </w:rPr>
              <w:t>III-1</w:t>
            </w:r>
          </w:p>
          <w:p w:rsidR="00D250A3" w:rsidRPr="007D2E85" w:rsidRDefault="00B164D2" w:rsidP="00A55B1B">
            <w:pPr>
              <w:spacing w:before="40" w:after="40"/>
              <w:ind w:left="42"/>
              <w:rPr>
                <w:rFonts w:ascii="Arial Narrow" w:eastAsia="Calibri" w:hAnsi="Arial Narrow"/>
                <w:sz w:val="19"/>
                <w:szCs w:val="19"/>
                <w:lang w:eastAsia="en-US"/>
              </w:rPr>
            </w:pPr>
            <w:r w:rsidRPr="007D2E85">
              <w:rPr>
                <w:rFonts w:ascii="Arial Narrow" w:eastAsia="Calibri" w:hAnsi="Arial Narrow"/>
                <w:sz w:val="19"/>
                <w:szCs w:val="19"/>
                <w:lang w:eastAsia="en-US"/>
              </w:rPr>
              <w:t>Prospective, cross-sectional</w:t>
            </w:r>
            <w:r w:rsidR="00D250A3" w:rsidRPr="007D2E85">
              <w:rPr>
                <w:rFonts w:ascii="Arial Narrow" w:eastAsia="Calibri" w:hAnsi="Arial Narrow"/>
                <w:sz w:val="19"/>
                <w:szCs w:val="19"/>
                <w:lang w:eastAsia="en-US"/>
              </w:rPr>
              <w:t>.</w:t>
            </w:r>
          </w:p>
          <w:p w:rsidR="00B164D2" w:rsidRPr="007D2E85" w:rsidRDefault="00B164D2" w:rsidP="00A55B1B">
            <w:pPr>
              <w:spacing w:before="40" w:after="40"/>
              <w:ind w:left="42"/>
              <w:rPr>
                <w:rFonts w:ascii="Arial Narrow" w:eastAsia="Calibri" w:hAnsi="Arial Narrow"/>
                <w:sz w:val="19"/>
                <w:szCs w:val="19"/>
                <w:lang w:eastAsia="en-US"/>
              </w:rPr>
            </w:pPr>
          </w:p>
        </w:tc>
        <w:tc>
          <w:tcPr>
            <w:tcW w:w="1276" w:type="dxa"/>
            <w:shd w:val="clear" w:color="auto" w:fill="auto"/>
          </w:tcPr>
          <w:p w:rsidR="00B164D2" w:rsidRPr="007D2E85" w:rsidRDefault="00B164D2" w:rsidP="00B164D2">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 xml:space="preserve">Low risk of bias as all </w:t>
            </w:r>
            <w:r w:rsidR="00543DDC">
              <w:rPr>
                <w:rFonts w:ascii="Arial Narrow" w:eastAsia="Calibri" w:hAnsi="Arial Narrow"/>
                <w:sz w:val="19"/>
                <w:szCs w:val="19"/>
                <w:lang w:eastAsia="en-US"/>
              </w:rPr>
              <w:t>participants</w:t>
            </w:r>
            <w:r w:rsidRPr="007D2E85">
              <w:rPr>
                <w:rFonts w:ascii="Arial Narrow" w:eastAsia="Calibri" w:hAnsi="Arial Narrow"/>
                <w:sz w:val="19"/>
                <w:szCs w:val="19"/>
                <w:lang w:eastAsia="en-US"/>
              </w:rPr>
              <w:t xml:space="preserve"> had POC and serology tests.</w:t>
            </w:r>
          </w:p>
          <w:p w:rsidR="00B164D2" w:rsidRPr="007D2E85" w:rsidRDefault="00B164D2" w:rsidP="00A55B1B">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No applicability concerns in terms of setting or population.</w:t>
            </w:r>
          </w:p>
        </w:tc>
        <w:tc>
          <w:tcPr>
            <w:tcW w:w="2268" w:type="dxa"/>
            <w:shd w:val="clear" w:color="auto" w:fill="auto"/>
          </w:tcPr>
          <w:p w:rsidR="00B164D2" w:rsidRPr="007D2E85" w:rsidRDefault="00B164D2" w:rsidP="00D250A3">
            <w:pPr>
              <w:spacing w:before="40" w:after="40"/>
              <w:ind w:left="33"/>
              <w:rPr>
                <w:rFonts w:ascii="Arial Narrow" w:eastAsia="Calibri" w:hAnsi="Arial Narrow"/>
                <w:sz w:val="19"/>
                <w:szCs w:val="19"/>
                <w:lang w:eastAsia="en-US"/>
              </w:rPr>
            </w:pPr>
            <w:r w:rsidRPr="007D2E85">
              <w:rPr>
                <w:rFonts w:ascii="Arial Narrow" w:eastAsia="Calibri" w:hAnsi="Arial Narrow"/>
                <w:sz w:val="19"/>
                <w:szCs w:val="19"/>
                <w:lang w:eastAsia="en-US"/>
              </w:rPr>
              <w:t>N=2,468 men who have sex with men (MSM) aged over 18 years were offered rapid HIV testing with the Determine HIV Combo (DHC). Testing was conducted at four free access publically funded sexual health clinics in Sydney. A total of 3,195 tests were performed.</w:t>
            </w:r>
          </w:p>
          <w:p w:rsidR="00D250A3" w:rsidRPr="007D2E85" w:rsidRDefault="00D250A3" w:rsidP="00255C22">
            <w:pPr>
              <w:spacing w:before="40" w:after="40"/>
              <w:ind w:left="33"/>
              <w:rPr>
                <w:rFonts w:ascii="Arial Narrow" w:eastAsia="Calibri" w:hAnsi="Arial Narrow"/>
                <w:sz w:val="19"/>
                <w:szCs w:val="19"/>
                <w:lang w:eastAsia="en-US"/>
              </w:rPr>
            </w:pPr>
            <w:r w:rsidRPr="007D2E85">
              <w:rPr>
                <w:rFonts w:ascii="Arial Narrow" w:eastAsia="Calibri" w:hAnsi="Arial Narrow"/>
                <w:sz w:val="19"/>
                <w:szCs w:val="19"/>
                <w:lang w:eastAsia="en-US"/>
              </w:rPr>
              <w:t xml:space="preserve">Participants enrolled between October 2011 and July 2013.  </w:t>
            </w:r>
          </w:p>
          <w:p w:rsidR="00B164D2" w:rsidRPr="007D2E85" w:rsidRDefault="00B164D2" w:rsidP="00255C22">
            <w:pPr>
              <w:spacing w:before="40" w:after="40"/>
              <w:ind w:left="33"/>
              <w:rPr>
                <w:rFonts w:ascii="Arial Narrow" w:eastAsia="Calibri" w:hAnsi="Arial Narrow"/>
                <w:sz w:val="19"/>
                <w:szCs w:val="19"/>
                <w:lang w:eastAsia="en-US"/>
              </w:rPr>
            </w:pPr>
            <w:r w:rsidRPr="007D2E85">
              <w:rPr>
                <w:rFonts w:ascii="Arial Narrow" w:eastAsia="Calibri" w:hAnsi="Arial Narrow"/>
                <w:sz w:val="19"/>
                <w:szCs w:val="19"/>
                <w:lang w:eastAsia="en-US"/>
              </w:rPr>
              <w:t>N=5 invalid rapid tests were excluded.</w:t>
            </w:r>
          </w:p>
        </w:tc>
        <w:tc>
          <w:tcPr>
            <w:tcW w:w="2188" w:type="dxa"/>
            <w:shd w:val="clear" w:color="auto" w:fill="auto"/>
          </w:tcPr>
          <w:p w:rsidR="00B164D2" w:rsidRPr="007D2E85" w:rsidRDefault="00B164D2" w:rsidP="00A55B1B">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Laboratory assays which are standard of care in this setting:</w:t>
            </w:r>
          </w:p>
          <w:p w:rsidR="00B164D2" w:rsidRPr="007D2E85" w:rsidRDefault="00B164D2" w:rsidP="00F737A4">
            <w:pPr>
              <w:numPr>
                <w:ilvl w:val="0"/>
                <w:numId w:val="3"/>
              </w:numPr>
              <w:spacing w:before="40" w:after="40"/>
              <w:ind w:left="176" w:hanging="142"/>
              <w:rPr>
                <w:rFonts w:ascii="Arial Narrow" w:eastAsia="Calibri" w:hAnsi="Arial Narrow"/>
                <w:sz w:val="19"/>
                <w:szCs w:val="19"/>
                <w:lang w:eastAsia="en-US"/>
              </w:rPr>
            </w:pPr>
            <w:r w:rsidRPr="007D2E85">
              <w:rPr>
                <w:rFonts w:ascii="Arial Narrow" w:eastAsia="Calibri" w:hAnsi="Arial Narrow"/>
                <w:sz w:val="19"/>
                <w:szCs w:val="19"/>
                <w:lang w:eastAsia="en-US"/>
              </w:rPr>
              <w:t>4</w:t>
            </w:r>
            <w:r w:rsidRPr="007D2E85">
              <w:rPr>
                <w:rFonts w:ascii="Arial Narrow" w:eastAsia="Calibri" w:hAnsi="Arial Narrow"/>
                <w:sz w:val="19"/>
                <w:szCs w:val="19"/>
                <w:vertAlign w:val="superscript"/>
                <w:lang w:eastAsia="en-US"/>
              </w:rPr>
              <w:t>th</w:t>
            </w:r>
            <w:r w:rsidRPr="007D2E85">
              <w:rPr>
                <w:rFonts w:ascii="Arial Narrow" w:eastAsia="Calibri" w:hAnsi="Arial Narrow"/>
                <w:sz w:val="19"/>
                <w:szCs w:val="19"/>
                <w:lang w:eastAsia="en-US"/>
              </w:rPr>
              <w:t xml:space="preserve"> generation screening immunoassay</w:t>
            </w:r>
          </w:p>
          <w:p w:rsidR="00B164D2" w:rsidRPr="007D2E85" w:rsidRDefault="00B164D2" w:rsidP="00F737A4">
            <w:pPr>
              <w:numPr>
                <w:ilvl w:val="0"/>
                <w:numId w:val="3"/>
              </w:numPr>
              <w:spacing w:before="40" w:after="40"/>
              <w:ind w:left="176" w:hanging="142"/>
              <w:rPr>
                <w:rFonts w:ascii="Arial Narrow" w:eastAsia="Calibri" w:hAnsi="Arial Narrow"/>
                <w:sz w:val="19"/>
                <w:szCs w:val="19"/>
                <w:lang w:eastAsia="en-US"/>
              </w:rPr>
            </w:pPr>
            <w:r w:rsidRPr="007D2E85">
              <w:rPr>
                <w:rFonts w:ascii="Arial Narrow" w:eastAsia="Calibri" w:hAnsi="Arial Narrow"/>
                <w:sz w:val="19"/>
                <w:szCs w:val="19"/>
                <w:lang w:eastAsia="en-US"/>
              </w:rPr>
              <w:t>Supplementary HIV antibody</w:t>
            </w:r>
          </w:p>
          <w:p w:rsidR="00B164D2" w:rsidRPr="007D2E85" w:rsidRDefault="00B164D2" w:rsidP="00F737A4">
            <w:pPr>
              <w:numPr>
                <w:ilvl w:val="0"/>
                <w:numId w:val="3"/>
              </w:numPr>
              <w:spacing w:before="40" w:after="40"/>
              <w:ind w:left="176" w:hanging="142"/>
              <w:rPr>
                <w:rFonts w:ascii="Arial Narrow" w:eastAsia="Calibri" w:hAnsi="Arial Narrow"/>
                <w:sz w:val="19"/>
                <w:szCs w:val="19"/>
                <w:lang w:eastAsia="en-US"/>
              </w:rPr>
            </w:pPr>
            <w:r w:rsidRPr="007D2E85">
              <w:rPr>
                <w:rFonts w:ascii="Arial Narrow" w:eastAsia="Calibri" w:hAnsi="Arial Narrow"/>
                <w:sz w:val="19"/>
                <w:szCs w:val="19"/>
                <w:lang w:eastAsia="en-US"/>
              </w:rPr>
              <w:t>HIV p24 antigen immunoassay</w:t>
            </w:r>
          </w:p>
          <w:p w:rsidR="00B164D2" w:rsidRPr="007D2E85" w:rsidRDefault="00C536C4" w:rsidP="00F737A4">
            <w:pPr>
              <w:numPr>
                <w:ilvl w:val="0"/>
                <w:numId w:val="3"/>
              </w:numPr>
              <w:spacing w:before="40" w:after="40"/>
              <w:ind w:left="176" w:hanging="142"/>
              <w:rPr>
                <w:rFonts w:ascii="Arial Narrow" w:eastAsia="Calibri" w:hAnsi="Arial Narrow"/>
                <w:sz w:val="19"/>
                <w:szCs w:val="19"/>
                <w:lang w:eastAsia="en-US"/>
              </w:rPr>
            </w:pPr>
            <w:r>
              <w:rPr>
                <w:rFonts w:ascii="Arial Narrow" w:eastAsia="Calibri" w:hAnsi="Arial Narrow"/>
                <w:sz w:val="19"/>
                <w:szCs w:val="19"/>
                <w:lang w:eastAsia="en-US"/>
              </w:rPr>
              <w:t>HIV Western B</w:t>
            </w:r>
            <w:r w:rsidR="00B164D2" w:rsidRPr="007D2E85">
              <w:rPr>
                <w:rFonts w:ascii="Arial Narrow" w:eastAsia="Calibri" w:hAnsi="Arial Narrow"/>
                <w:sz w:val="19"/>
                <w:szCs w:val="19"/>
                <w:lang w:eastAsia="en-US"/>
              </w:rPr>
              <w:t>lot</w:t>
            </w:r>
          </w:p>
        </w:tc>
        <w:tc>
          <w:tcPr>
            <w:tcW w:w="1275" w:type="dxa"/>
            <w:shd w:val="clear" w:color="auto" w:fill="auto"/>
          </w:tcPr>
          <w:p w:rsidR="00B164D2" w:rsidRPr="007D2E85" w:rsidRDefault="00D250A3" w:rsidP="00D250A3">
            <w:pPr>
              <w:spacing w:before="40" w:after="40"/>
              <w:ind w:left="34"/>
              <w:rPr>
                <w:rFonts w:ascii="Arial Narrow" w:eastAsia="Calibri" w:hAnsi="Arial Narrow"/>
                <w:sz w:val="19"/>
                <w:szCs w:val="19"/>
                <w:lang w:eastAsia="en-US"/>
              </w:rPr>
            </w:pPr>
            <w:proofErr w:type="spellStart"/>
            <w:r w:rsidRPr="007D2E85">
              <w:rPr>
                <w:rFonts w:ascii="Arial Narrow" w:eastAsia="Calibri" w:hAnsi="Arial Narrow"/>
                <w:sz w:val="19"/>
                <w:szCs w:val="19"/>
                <w:lang w:eastAsia="en-US"/>
              </w:rPr>
              <w:t>Alere</w:t>
            </w:r>
            <w:proofErr w:type="spellEnd"/>
            <w:r w:rsidRPr="007D2E85">
              <w:rPr>
                <w:rFonts w:ascii="Arial Narrow" w:eastAsia="Calibri" w:hAnsi="Arial Narrow"/>
                <w:sz w:val="19"/>
                <w:szCs w:val="19"/>
                <w:lang w:eastAsia="en-US"/>
              </w:rPr>
              <w:t xml:space="preserve"> </w:t>
            </w:r>
            <w:r w:rsidR="00B164D2" w:rsidRPr="007D2E85">
              <w:rPr>
                <w:rFonts w:ascii="Arial Narrow" w:eastAsia="Calibri" w:hAnsi="Arial Narrow"/>
                <w:sz w:val="19"/>
                <w:szCs w:val="19"/>
                <w:lang w:eastAsia="en-US"/>
              </w:rPr>
              <w:t>Determine Combo</w:t>
            </w:r>
            <w:r w:rsidRPr="007D2E85">
              <w:rPr>
                <w:rFonts w:ascii="Arial Narrow" w:eastAsia="Calibri" w:hAnsi="Arial Narrow"/>
                <w:sz w:val="19"/>
                <w:szCs w:val="19"/>
                <w:lang w:eastAsia="en-US"/>
              </w:rPr>
              <w:t xml:space="preserve"> HIV Ab/Ag test</w:t>
            </w:r>
          </w:p>
        </w:tc>
        <w:tc>
          <w:tcPr>
            <w:tcW w:w="2915" w:type="dxa"/>
            <w:shd w:val="clear" w:color="auto" w:fill="auto"/>
          </w:tcPr>
          <w:p w:rsidR="00B164D2" w:rsidRPr="007D2E85" w:rsidRDefault="00B164D2" w:rsidP="00A55B1B">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All participant samples were tested using a laboratory 4</w:t>
            </w:r>
            <w:r w:rsidRPr="007D2E85">
              <w:rPr>
                <w:rFonts w:ascii="Arial Narrow" w:eastAsia="Calibri" w:hAnsi="Arial Narrow"/>
                <w:sz w:val="19"/>
                <w:szCs w:val="19"/>
                <w:vertAlign w:val="superscript"/>
                <w:lang w:eastAsia="en-US"/>
              </w:rPr>
              <w:t>th</w:t>
            </w:r>
            <w:r w:rsidRPr="007D2E85">
              <w:rPr>
                <w:rFonts w:ascii="Arial Narrow" w:eastAsia="Calibri" w:hAnsi="Arial Narrow"/>
                <w:sz w:val="19"/>
                <w:szCs w:val="19"/>
                <w:lang w:eastAsia="en-US"/>
              </w:rPr>
              <w:t xml:space="preserve"> generation screening immunoassay.</w:t>
            </w:r>
          </w:p>
          <w:p w:rsidR="00B164D2" w:rsidRPr="007D2E85" w:rsidRDefault="00B164D2" w:rsidP="00577A4D">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If this test was negative, the participant’s true status was deemed negative.</w:t>
            </w:r>
          </w:p>
          <w:p w:rsidR="00B164D2" w:rsidRPr="007D2E85" w:rsidRDefault="00B164D2" w:rsidP="00B164D2">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Supplementary HIV antibody, HIV p24 antigen and Western blot testing were performed on all specimens positive by the 4</w:t>
            </w:r>
            <w:r w:rsidRPr="007D2E85">
              <w:rPr>
                <w:rFonts w:ascii="Arial Narrow" w:eastAsia="Calibri" w:hAnsi="Arial Narrow"/>
                <w:sz w:val="19"/>
                <w:szCs w:val="19"/>
                <w:vertAlign w:val="superscript"/>
                <w:lang w:eastAsia="en-US"/>
              </w:rPr>
              <w:t>th</w:t>
            </w:r>
            <w:r w:rsidRPr="007D2E85">
              <w:rPr>
                <w:rFonts w:ascii="Arial Narrow" w:eastAsia="Calibri" w:hAnsi="Arial Narrow"/>
                <w:sz w:val="19"/>
                <w:szCs w:val="19"/>
                <w:lang w:eastAsia="en-US"/>
              </w:rPr>
              <w:t xml:space="preserve"> generation HIV screening immunoassay with true HIV status deemed positive if consistent with the national case </w:t>
            </w:r>
            <w:proofErr w:type="spellStart"/>
            <w:r w:rsidRPr="007D2E85">
              <w:rPr>
                <w:rFonts w:ascii="Arial Narrow" w:eastAsia="Calibri" w:hAnsi="Arial Narrow"/>
                <w:sz w:val="19"/>
                <w:szCs w:val="19"/>
                <w:lang w:eastAsia="en-US"/>
              </w:rPr>
              <w:t>definition</w:t>
            </w:r>
            <w:r w:rsidRPr="007D2E85">
              <w:rPr>
                <w:rFonts w:ascii="Arial Narrow" w:eastAsia="Calibri" w:hAnsi="Arial Narrow"/>
                <w:sz w:val="19"/>
                <w:szCs w:val="19"/>
                <w:vertAlign w:val="superscript"/>
                <w:lang w:eastAsia="en-US"/>
              </w:rPr>
              <w:t>a</w:t>
            </w:r>
            <w:proofErr w:type="spellEnd"/>
            <w:r w:rsidRPr="007D2E85">
              <w:rPr>
                <w:rFonts w:ascii="Arial Narrow" w:eastAsia="Calibri" w:hAnsi="Arial Narrow"/>
                <w:sz w:val="19"/>
                <w:szCs w:val="19"/>
                <w:lang w:eastAsia="en-US"/>
              </w:rPr>
              <w:t>.</w:t>
            </w:r>
          </w:p>
        </w:tc>
        <w:tc>
          <w:tcPr>
            <w:tcW w:w="1480" w:type="dxa"/>
            <w:shd w:val="clear" w:color="auto" w:fill="auto"/>
          </w:tcPr>
          <w:p w:rsidR="00B164D2" w:rsidRPr="007D2E85" w:rsidRDefault="00B164D2" w:rsidP="00050BE7">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Sensitivity</w:t>
            </w:r>
            <w:r w:rsidR="00050BE7" w:rsidRPr="007D2E85">
              <w:rPr>
                <w:rFonts w:ascii="Arial Narrow" w:eastAsia="Calibri" w:hAnsi="Arial Narrow"/>
                <w:sz w:val="19"/>
                <w:szCs w:val="19"/>
                <w:lang w:eastAsia="en-US"/>
              </w:rPr>
              <w:t xml:space="preserve"> for the test overall (antibody and antigen) and the antibody and antigen components separately and amongst those with acute/early infection; </w:t>
            </w:r>
            <w:r w:rsidRPr="007D2E85">
              <w:rPr>
                <w:rFonts w:ascii="Arial Narrow" w:eastAsia="Calibri" w:hAnsi="Arial Narrow"/>
                <w:sz w:val="19"/>
                <w:szCs w:val="19"/>
                <w:lang w:eastAsia="en-US"/>
              </w:rPr>
              <w:t>specificity</w:t>
            </w:r>
            <w:r w:rsidR="00050BE7" w:rsidRPr="007D2E85">
              <w:rPr>
                <w:rFonts w:ascii="Arial Narrow" w:eastAsia="Calibri" w:hAnsi="Arial Narrow"/>
                <w:sz w:val="19"/>
                <w:szCs w:val="19"/>
                <w:lang w:eastAsia="en-US"/>
              </w:rPr>
              <w:t xml:space="preserve"> and positive predictive value of the test overall</w:t>
            </w:r>
          </w:p>
        </w:tc>
      </w:tr>
      <w:tr w:rsidR="00B164D2" w:rsidRPr="007D2E85" w:rsidTr="00050BE7">
        <w:tc>
          <w:tcPr>
            <w:tcW w:w="1304" w:type="dxa"/>
            <w:shd w:val="clear" w:color="auto" w:fill="auto"/>
          </w:tcPr>
          <w:p w:rsidR="00B164D2" w:rsidRPr="007D2E85" w:rsidRDefault="00B164D2" w:rsidP="00A55B1B">
            <w:pPr>
              <w:spacing w:before="40" w:after="40"/>
              <w:ind w:left="0"/>
              <w:rPr>
                <w:rFonts w:ascii="Arial Narrow" w:eastAsia="Calibri" w:hAnsi="Arial Narrow"/>
                <w:sz w:val="19"/>
                <w:szCs w:val="19"/>
                <w:lang w:val="pt-PT" w:eastAsia="en-US"/>
              </w:rPr>
            </w:pPr>
            <w:r w:rsidRPr="007D2E85">
              <w:rPr>
                <w:rFonts w:ascii="Arial Narrow" w:eastAsia="Calibri" w:hAnsi="Arial Narrow"/>
                <w:sz w:val="19"/>
                <w:szCs w:val="19"/>
                <w:lang w:val="pt-PT" w:eastAsia="en-US"/>
              </w:rPr>
              <w:t>Eu (2014)</w:t>
            </w:r>
          </w:p>
          <w:p w:rsidR="00B164D2" w:rsidRPr="007D2E85" w:rsidRDefault="00B164D2" w:rsidP="00A55B1B">
            <w:pPr>
              <w:spacing w:before="40" w:after="40"/>
              <w:ind w:left="0"/>
              <w:rPr>
                <w:rFonts w:ascii="Arial Narrow" w:eastAsia="Calibri" w:hAnsi="Arial Narrow"/>
                <w:sz w:val="19"/>
                <w:szCs w:val="19"/>
                <w:lang w:val="pt-PT" w:eastAsia="en-US"/>
              </w:rPr>
            </w:pPr>
            <w:r w:rsidRPr="007D2E85">
              <w:rPr>
                <w:rFonts w:ascii="Arial Narrow" w:eastAsia="Calibri" w:hAnsi="Arial Narrow"/>
                <w:sz w:val="19"/>
                <w:szCs w:val="19"/>
                <w:lang w:val="pt-PT" w:eastAsia="en-US"/>
              </w:rPr>
              <w:t>Australia</w:t>
            </w:r>
          </w:p>
          <w:p w:rsidR="001800FD" w:rsidRPr="007D2E85" w:rsidRDefault="001800FD" w:rsidP="00A55B1B">
            <w:pPr>
              <w:spacing w:before="40" w:after="40"/>
              <w:ind w:left="0"/>
              <w:rPr>
                <w:rFonts w:ascii="Arial Narrow" w:eastAsia="Calibri" w:hAnsi="Arial Narrow"/>
                <w:sz w:val="19"/>
                <w:szCs w:val="19"/>
                <w:lang w:val="pt-PT" w:eastAsia="en-US"/>
              </w:rPr>
            </w:pPr>
            <w:r w:rsidRPr="007D2E85">
              <w:rPr>
                <w:rFonts w:ascii="Arial Narrow" w:eastAsia="Calibri" w:hAnsi="Arial Narrow"/>
                <w:sz w:val="19"/>
                <w:szCs w:val="19"/>
                <w:lang w:val="pt-PT" w:eastAsia="en-US"/>
              </w:rPr>
              <w:t>C1, P1, Q1</w:t>
            </w:r>
          </w:p>
        </w:tc>
        <w:tc>
          <w:tcPr>
            <w:tcW w:w="1356" w:type="dxa"/>
            <w:shd w:val="clear" w:color="auto" w:fill="auto"/>
          </w:tcPr>
          <w:p w:rsidR="00B164D2" w:rsidRPr="007D2E85" w:rsidRDefault="00F95213" w:rsidP="00A55B1B">
            <w:pPr>
              <w:spacing w:before="40" w:after="40"/>
              <w:ind w:left="42"/>
              <w:rPr>
                <w:rFonts w:ascii="Arial Narrow" w:eastAsia="Calibri" w:hAnsi="Arial Narrow"/>
                <w:b/>
                <w:i/>
                <w:snapToGrid w:val="0"/>
                <w:color w:val="000000"/>
                <w:sz w:val="19"/>
                <w:szCs w:val="19"/>
                <w:lang w:eastAsia="en-US"/>
              </w:rPr>
            </w:pPr>
            <w:r w:rsidRPr="007D2E85">
              <w:rPr>
                <w:rFonts w:ascii="Arial Narrow" w:eastAsia="Calibri" w:hAnsi="Arial Narrow"/>
                <w:sz w:val="19"/>
                <w:szCs w:val="19"/>
                <w:lang w:eastAsia="en-US"/>
              </w:rPr>
              <w:t xml:space="preserve">Level </w:t>
            </w:r>
            <w:r w:rsidR="007564B6" w:rsidRPr="007D2E85">
              <w:rPr>
                <w:rFonts w:ascii="Arial Narrow" w:eastAsia="Calibri" w:hAnsi="Arial Narrow"/>
                <w:sz w:val="19"/>
                <w:szCs w:val="19"/>
                <w:lang w:eastAsia="en-US"/>
              </w:rPr>
              <w:t>III-1</w:t>
            </w:r>
          </w:p>
          <w:p w:rsidR="00B164D2" w:rsidRPr="007D2E85" w:rsidRDefault="00841C01" w:rsidP="00A55B1B">
            <w:pPr>
              <w:spacing w:before="40" w:after="40"/>
              <w:ind w:left="42"/>
              <w:rPr>
                <w:rFonts w:ascii="Arial Narrow" w:eastAsia="Calibri" w:hAnsi="Arial Narrow"/>
                <w:sz w:val="19"/>
                <w:szCs w:val="19"/>
                <w:lang w:eastAsia="en-US"/>
              </w:rPr>
            </w:pPr>
            <w:r w:rsidRPr="007D2E85">
              <w:rPr>
                <w:rFonts w:ascii="Arial Narrow" w:eastAsia="Calibri" w:hAnsi="Arial Narrow"/>
                <w:sz w:val="19"/>
                <w:szCs w:val="19"/>
                <w:lang w:eastAsia="en-US"/>
              </w:rPr>
              <w:t>Prospective, cross-sectional</w:t>
            </w:r>
          </w:p>
        </w:tc>
        <w:tc>
          <w:tcPr>
            <w:tcW w:w="1276" w:type="dxa"/>
            <w:shd w:val="clear" w:color="auto" w:fill="auto"/>
          </w:tcPr>
          <w:p w:rsidR="00D250A3" w:rsidRPr="007D2E85" w:rsidRDefault="00D250A3" w:rsidP="00D250A3">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 xml:space="preserve">Low risk of bias as all </w:t>
            </w:r>
            <w:r w:rsidR="00543DDC">
              <w:rPr>
                <w:rFonts w:ascii="Arial Narrow" w:eastAsia="Calibri" w:hAnsi="Arial Narrow"/>
                <w:sz w:val="19"/>
                <w:szCs w:val="19"/>
                <w:lang w:eastAsia="en-US"/>
              </w:rPr>
              <w:t>participants</w:t>
            </w:r>
            <w:r w:rsidRPr="007D2E85">
              <w:rPr>
                <w:rFonts w:ascii="Arial Narrow" w:eastAsia="Calibri" w:hAnsi="Arial Narrow"/>
                <w:sz w:val="19"/>
                <w:szCs w:val="19"/>
                <w:lang w:eastAsia="en-US"/>
              </w:rPr>
              <w:t xml:space="preserve"> had POC and serology tests.</w:t>
            </w:r>
          </w:p>
          <w:p w:rsidR="00B164D2" w:rsidRPr="007D2E85" w:rsidRDefault="00D250A3" w:rsidP="00D250A3">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No applicability concerns in terms of setting or population.</w:t>
            </w:r>
          </w:p>
        </w:tc>
        <w:tc>
          <w:tcPr>
            <w:tcW w:w="2268" w:type="dxa"/>
            <w:shd w:val="clear" w:color="auto" w:fill="auto"/>
          </w:tcPr>
          <w:p w:rsidR="00B164D2" w:rsidRPr="007D2E85" w:rsidRDefault="00D250A3" w:rsidP="00A55B1B">
            <w:pPr>
              <w:spacing w:before="40" w:after="40"/>
              <w:ind w:left="33"/>
              <w:rPr>
                <w:rFonts w:ascii="Arial Narrow" w:eastAsia="Calibri" w:hAnsi="Arial Narrow"/>
                <w:sz w:val="19"/>
                <w:szCs w:val="19"/>
                <w:lang w:eastAsia="en-US"/>
              </w:rPr>
            </w:pPr>
            <w:r w:rsidRPr="007D2E85">
              <w:rPr>
                <w:rFonts w:ascii="Arial Narrow" w:eastAsia="Calibri" w:hAnsi="Arial Narrow"/>
                <w:sz w:val="19"/>
                <w:szCs w:val="19"/>
                <w:lang w:eastAsia="en-US"/>
              </w:rPr>
              <w:t xml:space="preserve">All persons of consenting age requesting rapid POC testing were included. </w:t>
            </w:r>
          </w:p>
          <w:p w:rsidR="00D250A3" w:rsidRPr="007D2E85" w:rsidRDefault="00D250A3" w:rsidP="008628E5">
            <w:pPr>
              <w:spacing w:before="40" w:after="40"/>
              <w:ind w:left="33"/>
              <w:rPr>
                <w:rFonts w:ascii="Arial Narrow" w:eastAsia="Calibri" w:hAnsi="Arial Narrow"/>
                <w:sz w:val="19"/>
                <w:szCs w:val="19"/>
                <w:lang w:eastAsia="en-US"/>
              </w:rPr>
            </w:pPr>
            <w:r w:rsidRPr="007D2E85">
              <w:rPr>
                <w:rFonts w:ascii="Arial Narrow" w:eastAsia="Calibri" w:hAnsi="Arial Narrow"/>
                <w:sz w:val="19"/>
                <w:szCs w:val="19"/>
                <w:lang w:eastAsia="en-US"/>
              </w:rPr>
              <w:t xml:space="preserve">N=219 MSM (of 1,527 </w:t>
            </w:r>
            <w:r w:rsidR="008628E5" w:rsidRPr="007D2E85">
              <w:rPr>
                <w:rFonts w:ascii="Arial Narrow" w:eastAsia="Calibri" w:hAnsi="Arial Narrow"/>
                <w:sz w:val="19"/>
                <w:szCs w:val="19"/>
                <w:lang w:eastAsia="en-US"/>
              </w:rPr>
              <w:t>who chose</w:t>
            </w:r>
            <w:r w:rsidRPr="007D2E85">
              <w:rPr>
                <w:rFonts w:ascii="Arial Narrow" w:eastAsia="Calibri" w:hAnsi="Arial Narrow"/>
                <w:sz w:val="19"/>
                <w:szCs w:val="19"/>
                <w:lang w:eastAsia="en-US"/>
              </w:rPr>
              <w:t xml:space="preserve"> to have POC testing). A total of 302 tests were conducted.</w:t>
            </w:r>
          </w:p>
          <w:p w:rsidR="00D250A3" w:rsidRPr="007D2E85" w:rsidRDefault="00D250A3" w:rsidP="004315A2">
            <w:pPr>
              <w:spacing w:before="40" w:after="40"/>
              <w:ind w:left="33"/>
              <w:rPr>
                <w:rFonts w:ascii="Arial Narrow" w:eastAsia="Calibri" w:hAnsi="Arial Narrow"/>
                <w:sz w:val="19"/>
                <w:szCs w:val="19"/>
                <w:lang w:eastAsia="en-US"/>
              </w:rPr>
            </w:pPr>
            <w:r w:rsidRPr="007D2E85">
              <w:rPr>
                <w:rFonts w:ascii="Arial Narrow" w:eastAsia="Calibri" w:hAnsi="Arial Narrow"/>
                <w:sz w:val="19"/>
                <w:szCs w:val="19"/>
                <w:lang w:eastAsia="en-US"/>
              </w:rPr>
              <w:t xml:space="preserve">Participants enrolled between March and August 2013.  </w:t>
            </w:r>
          </w:p>
        </w:tc>
        <w:tc>
          <w:tcPr>
            <w:tcW w:w="2188" w:type="dxa"/>
            <w:shd w:val="clear" w:color="auto" w:fill="auto"/>
          </w:tcPr>
          <w:p w:rsidR="00B164D2" w:rsidRPr="007D2E85" w:rsidRDefault="00B164D2" w:rsidP="00A55B1B">
            <w:pPr>
              <w:spacing w:before="40" w:after="40"/>
              <w:ind w:left="34"/>
              <w:rPr>
                <w:rFonts w:ascii="Arial Narrow" w:eastAsia="Calibri" w:hAnsi="Arial Narrow"/>
                <w:sz w:val="19"/>
                <w:szCs w:val="19"/>
                <w:lang w:eastAsia="en-US"/>
              </w:rPr>
            </w:pPr>
          </w:p>
        </w:tc>
        <w:tc>
          <w:tcPr>
            <w:tcW w:w="1275" w:type="dxa"/>
            <w:shd w:val="clear" w:color="auto" w:fill="auto"/>
          </w:tcPr>
          <w:p w:rsidR="00B164D2" w:rsidRPr="007D2E85" w:rsidRDefault="00D250A3" w:rsidP="00A55B1B">
            <w:pPr>
              <w:spacing w:before="40" w:after="40"/>
              <w:ind w:left="34"/>
              <w:rPr>
                <w:rFonts w:ascii="Arial Narrow" w:eastAsia="Calibri" w:hAnsi="Arial Narrow"/>
                <w:sz w:val="19"/>
                <w:szCs w:val="19"/>
                <w:lang w:eastAsia="en-US"/>
              </w:rPr>
            </w:pPr>
            <w:proofErr w:type="spellStart"/>
            <w:r w:rsidRPr="007D2E85">
              <w:rPr>
                <w:rFonts w:ascii="Arial Narrow" w:eastAsia="Calibri" w:hAnsi="Arial Narrow"/>
                <w:sz w:val="19"/>
                <w:szCs w:val="19"/>
                <w:lang w:eastAsia="en-US"/>
              </w:rPr>
              <w:t>Alere</w:t>
            </w:r>
            <w:proofErr w:type="spellEnd"/>
            <w:r w:rsidRPr="007D2E85">
              <w:rPr>
                <w:rFonts w:ascii="Arial Narrow" w:eastAsia="Calibri" w:hAnsi="Arial Narrow"/>
                <w:sz w:val="19"/>
                <w:szCs w:val="19"/>
                <w:lang w:eastAsia="en-US"/>
              </w:rPr>
              <w:t xml:space="preserve"> Determine Combo HIV Ab/Ag test</w:t>
            </w:r>
          </w:p>
        </w:tc>
        <w:tc>
          <w:tcPr>
            <w:tcW w:w="2915" w:type="dxa"/>
            <w:shd w:val="clear" w:color="auto" w:fill="auto"/>
          </w:tcPr>
          <w:p w:rsidR="00B164D2" w:rsidRPr="007D2E85" w:rsidRDefault="00D250A3" w:rsidP="004315A2">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All participant samples were tested using a laboratory 4</w:t>
            </w:r>
            <w:r w:rsidRPr="007D2E85">
              <w:rPr>
                <w:rFonts w:ascii="Arial Narrow" w:eastAsia="Calibri" w:hAnsi="Arial Narrow"/>
                <w:sz w:val="19"/>
                <w:szCs w:val="19"/>
                <w:vertAlign w:val="superscript"/>
                <w:lang w:eastAsia="en-US"/>
              </w:rPr>
              <w:t>th</w:t>
            </w:r>
            <w:r w:rsidRPr="007D2E85">
              <w:rPr>
                <w:rFonts w:ascii="Arial Narrow" w:eastAsia="Calibri" w:hAnsi="Arial Narrow"/>
                <w:sz w:val="19"/>
                <w:szCs w:val="19"/>
                <w:lang w:eastAsia="en-US"/>
              </w:rPr>
              <w:t xml:space="preserve"> generation enzyme immunoassay antibody test.</w:t>
            </w:r>
          </w:p>
          <w:p w:rsidR="00841C01" w:rsidRPr="007D2E85" w:rsidRDefault="00841C01" w:rsidP="00841C01">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Western blot testing was performed on all specimens positive by a 4</w:t>
            </w:r>
            <w:r w:rsidRPr="007D2E85">
              <w:rPr>
                <w:rFonts w:ascii="Arial Narrow" w:eastAsia="Calibri" w:hAnsi="Arial Narrow"/>
                <w:sz w:val="19"/>
                <w:szCs w:val="19"/>
                <w:vertAlign w:val="superscript"/>
                <w:lang w:eastAsia="en-US"/>
              </w:rPr>
              <w:t>th</w:t>
            </w:r>
            <w:r w:rsidRPr="007D2E85">
              <w:rPr>
                <w:rFonts w:ascii="Arial Narrow" w:eastAsia="Calibri" w:hAnsi="Arial Narrow"/>
                <w:sz w:val="19"/>
                <w:szCs w:val="19"/>
                <w:lang w:eastAsia="en-US"/>
              </w:rPr>
              <w:t xml:space="preserve"> generation HIV screening immunoassay (POC or laboratory), according to Figure 1, p90 of the publication.</w:t>
            </w:r>
          </w:p>
        </w:tc>
        <w:tc>
          <w:tcPr>
            <w:tcW w:w="1480" w:type="dxa"/>
            <w:shd w:val="clear" w:color="auto" w:fill="auto"/>
          </w:tcPr>
          <w:p w:rsidR="00B164D2" w:rsidRPr="007D2E85" w:rsidRDefault="004315A2" w:rsidP="00A55B1B">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Sensitivity, specificity and positive and negative predictive values.</w:t>
            </w:r>
          </w:p>
          <w:p w:rsidR="004315A2" w:rsidRPr="007D2E85" w:rsidRDefault="004315A2" w:rsidP="00A55B1B">
            <w:pPr>
              <w:spacing w:before="40" w:after="40"/>
              <w:ind w:left="34"/>
              <w:rPr>
                <w:rFonts w:ascii="Arial Narrow" w:eastAsia="Calibri" w:hAnsi="Arial Narrow"/>
                <w:sz w:val="19"/>
                <w:szCs w:val="19"/>
                <w:lang w:eastAsia="en-US"/>
              </w:rPr>
            </w:pPr>
            <w:r w:rsidRPr="007D2E85">
              <w:rPr>
                <w:rFonts w:ascii="Arial Narrow" w:eastAsia="Calibri" w:hAnsi="Arial Narrow"/>
                <w:sz w:val="19"/>
                <w:szCs w:val="19"/>
                <w:lang w:eastAsia="en-US"/>
              </w:rPr>
              <w:t>Patient satisfaction survey</w:t>
            </w:r>
          </w:p>
        </w:tc>
      </w:tr>
    </w:tbl>
    <w:p w:rsidR="00B164D2" w:rsidRPr="007D2E85" w:rsidRDefault="00B164D2" w:rsidP="00B164D2">
      <w:pPr>
        <w:ind w:left="284" w:hanging="284"/>
        <w:rPr>
          <w:rFonts w:ascii="Arial Narrow" w:hAnsi="Arial Narrow"/>
          <w:sz w:val="18"/>
          <w:lang w:val="fr-FR"/>
        </w:rPr>
      </w:pPr>
      <w:proofErr w:type="spellStart"/>
      <w:proofErr w:type="gramStart"/>
      <w:r w:rsidRPr="007D2E85">
        <w:rPr>
          <w:rFonts w:ascii="Arial Narrow" w:hAnsi="Arial Narrow"/>
          <w:sz w:val="18"/>
          <w:vertAlign w:val="superscript"/>
        </w:rPr>
        <w:t>a</w:t>
      </w:r>
      <w:proofErr w:type="spellEnd"/>
      <w:proofErr w:type="gramEnd"/>
      <w:r w:rsidRPr="007D2E85">
        <w:rPr>
          <w:rFonts w:ascii="Arial Narrow" w:hAnsi="Arial Narrow"/>
          <w:sz w:val="18"/>
        </w:rPr>
        <w:tab/>
      </w:r>
      <w:proofErr w:type="spellStart"/>
      <w:r w:rsidRPr="007D2E85">
        <w:rPr>
          <w:rFonts w:ascii="Arial Narrow" w:hAnsi="Arial Narrow"/>
          <w:sz w:val="18"/>
        </w:rPr>
        <w:t>A</w:t>
      </w:r>
      <w:proofErr w:type="spellEnd"/>
      <w:r w:rsidRPr="007D2E85">
        <w:rPr>
          <w:rFonts w:ascii="Arial Narrow" w:hAnsi="Arial Narrow"/>
          <w:sz w:val="18"/>
        </w:rPr>
        <w:t xml:space="preserve"> confirmed case requires laboratory definitive evidence only AND that the case does not meet any of the criteria for a newly acquired case. Laboratory definitive evidence is defined as (1) </w:t>
      </w:r>
      <w:proofErr w:type="gramStart"/>
      <w:r w:rsidRPr="007D2E85">
        <w:rPr>
          <w:rFonts w:ascii="Arial Narrow" w:hAnsi="Arial Narrow"/>
          <w:sz w:val="18"/>
        </w:rPr>
        <w:t>Repeatedly</w:t>
      </w:r>
      <w:proofErr w:type="gramEnd"/>
      <w:r w:rsidRPr="007D2E85">
        <w:rPr>
          <w:rFonts w:ascii="Arial Narrow" w:hAnsi="Arial Narrow"/>
          <w:sz w:val="18"/>
        </w:rPr>
        <w:t xml:space="preserve"> reactive result on a screening test for HIV antibody foll</w:t>
      </w:r>
      <w:r w:rsidR="00C536C4">
        <w:rPr>
          <w:rFonts w:ascii="Arial Narrow" w:hAnsi="Arial Narrow"/>
          <w:sz w:val="18"/>
        </w:rPr>
        <w:t>owed by a positive result on a W</w:t>
      </w:r>
      <w:r w:rsidRPr="007D2E85">
        <w:rPr>
          <w:rFonts w:ascii="Arial Narrow" w:hAnsi="Arial Narrow"/>
          <w:sz w:val="18"/>
        </w:rPr>
        <w:t xml:space="preserve">estern </w:t>
      </w:r>
      <w:r w:rsidR="00C536C4">
        <w:rPr>
          <w:rFonts w:ascii="Arial Narrow" w:hAnsi="Arial Narrow"/>
          <w:sz w:val="18"/>
        </w:rPr>
        <w:t>B</w:t>
      </w:r>
      <w:r w:rsidRPr="007D2E85">
        <w:rPr>
          <w:rFonts w:ascii="Arial Narrow" w:hAnsi="Arial Narrow"/>
          <w:sz w:val="18"/>
        </w:rPr>
        <w:t xml:space="preserve">lot. A positive result on a </w:t>
      </w:r>
      <w:r w:rsidR="00C536C4">
        <w:rPr>
          <w:rFonts w:ascii="Arial Narrow" w:hAnsi="Arial Narrow"/>
          <w:sz w:val="18"/>
        </w:rPr>
        <w:t>W</w:t>
      </w:r>
      <w:r w:rsidRPr="007D2E85">
        <w:rPr>
          <w:rFonts w:ascii="Arial Narrow" w:hAnsi="Arial Narrow"/>
          <w:sz w:val="18"/>
        </w:rPr>
        <w:t xml:space="preserve">estern </w:t>
      </w:r>
      <w:r w:rsidR="00C536C4">
        <w:rPr>
          <w:rFonts w:ascii="Arial Narrow" w:hAnsi="Arial Narrow"/>
          <w:sz w:val="18"/>
        </w:rPr>
        <w:t>B</w:t>
      </w:r>
      <w:r w:rsidRPr="007D2E85">
        <w:rPr>
          <w:rFonts w:ascii="Arial Narrow" w:hAnsi="Arial Narrow"/>
          <w:sz w:val="18"/>
        </w:rPr>
        <w:t xml:space="preserve">lot is defined by the presence of a glycoprotein band (gp41, gp120 or gp160) and at least three other HIV-specific bands OR (2) Detection of HIV by at least two </w:t>
      </w:r>
      <w:proofErr w:type="spellStart"/>
      <w:r w:rsidRPr="007D2E85">
        <w:rPr>
          <w:rFonts w:ascii="Arial Narrow" w:hAnsi="Arial Narrow"/>
          <w:sz w:val="18"/>
        </w:rPr>
        <w:t>virologic</w:t>
      </w:r>
      <w:proofErr w:type="spellEnd"/>
      <w:r w:rsidRPr="007D2E85">
        <w:rPr>
          <w:rFonts w:ascii="Arial Narrow" w:hAnsi="Arial Narrow"/>
          <w:sz w:val="18"/>
        </w:rPr>
        <w:t xml:space="preserve"> assays (nucleic acid testing for </w:t>
      </w:r>
      <w:proofErr w:type="spellStart"/>
      <w:r w:rsidRPr="007D2E85">
        <w:rPr>
          <w:rFonts w:ascii="Arial Narrow" w:hAnsi="Arial Narrow"/>
          <w:sz w:val="18"/>
        </w:rPr>
        <w:t>proviral</w:t>
      </w:r>
      <w:proofErr w:type="spellEnd"/>
      <w:r w:rsidRPr="007D2E85">
        <w:rPr>
          <w:rFonts w:ascii="Arial Narrow" w:hAnsi="Arial Narrow"/>
          <w:sz w:val="18"/>
        </w:rPr>
        <w:t xml:space="preserve"> DNA; HIV p24 antigen, with neutralisation; virus isolation) performed on at least two separate blood samples. </w:t>
      </w:r>
      <w:r w:rsidRPr="007D2E85">
        <w:rPr>
          <w:rFonts w:ascii="Arial Narrow" w:hAnsi="Arial Narrow"/>
          <w:sz w:val="18"/>
          <w:lang w:val="fr-FR"/>
        </w:rPr>
        <w:t xml:space="preserve">Source: </w:t>
      </w:r>
      <w:hyperlink r:id="rId82" w:tooltip="case definitions for Human immunodeficiency virus " w:history="1">
        <w:r w:rsidR="00073D1A" w:rsidRPr="00E42111">
          <w:rPr>
            <w:rStyle w:val="Hyperlink"/>
            <w:rFonts w:ascii="Arial Narrow" w:hAnsi="Arial Narrow"/>
            <w:sz w:val="18"/>
            <w:lang w:val="fr-FR"/>
          </w:rPr>
          <w:t>http://www.health.gov.au/internet/main/publishing.nsf/Content/cda-surveil-nndss-casedefs-cd_hivuns.htm</w:t>
        </w:r>
      </w:hyperlink>
    </w:p>
    <w:p w:rsidR="00CC75A4" w:rsidRDefault="00A61327" w:rsidP="00577A4D">
      <w:pPr>
        <w:pStyle w:val="Heading2"/>
        <w:rPr>
          <w:bCs/>
        </w:rPr>
      </w:pPr>
      <w:r w:rsidRPr="00BA1043">
        <w:rPr>
          <w:bCs/>
        </w:rPr>
        <w:br w:type="page"/>
      </w:r>
      <w:bookmarkStart w:id="203" w:name="_Toc418224888"/>
      <w:r w:rsidR="00577A4D" w:rsidRPr="004C6B15">
        <w:rPr>
          <w:bCs/>
        </w:rPr>
        <w:lastRenderedPageBreak/>
        <w:t xml:space="preserve">Study profiles of included studies on </w:t>
      </w:r>
      <w:r w:rsidR="00577A4D">
        <w:rPr>
          <w:bCs/>
        </w:rPr>
        <w:t>changes in patient management</w:t>
      </w:r>
      <w:bookmarkEnd w:id="203"/>
    </w:p>
    <w:p w:rsidR="00F25CF7" w:rsidRPr="00DD77EB" w:rsidRDefault="00F25CF7" w:rsidP="00F25CF7">
      <w:pPr>
        <w:pStyle w:val="TableName"/>
        <w:ind w:left="1134" w:hanging="1134"/>
      </w:pPr>
      <w:r>
        <w:t>Table D2</w:t>
      </w:r>
      <w:r>
        <w:tab/>
      </w:r>
      <w:r w:rsidRPr="004C6B15">
        <w:t xml:space="preserve">Study profiles of included studies on </w:t>
      </w:r>
      <w:r>
        <w:t>effectiveness of rapid point-of-care testing for diagnosing HIV compared with serology testing</w:t>
      </w:r>
    </w:p>
    <w:tbl>
      <w:tblPr>
        <w:tblW w:w="14062" w:type="dxa"/>
        <w:tblLayout w:type="fixed"/>
        <w:tblCellMar>
          <w:left w:w="28" w:type="dxa"/>
          <w:right w:w="28" w:type="dxa"/>
        </w:tblCellMar>
        <w:tblLook w:val="01E0" w:firstRow="1" w:lastRow="1" w:firstColumn="1" w:lastColumn="1" w:noHBand="0" w:noVBand="0"/>
        <w:tblDescription w:val="Study profiles of included studies on effectiveness of rapid point-of-care testing for diagnosing HIV compared with serology testing"/>
      </w:tblPr>
      <w:tblGrid>
        <w:gridCol w:w="1101"/>
        <w:gridCol w:w="1015"/>
        <w:gridCol w:w="1740"/>
        <w:gridCol w:w="1417"/>
        <w:gridCol w:w="2938"/>
        <w:gridCol w:w="3583"/>
        <w:gridCol w:w="2268"/>
      </w:tblGrid>
      <w:tr w:rsidR="006B4EAE" w:rsidRPr="007D2E85" w:rsidTr="007D2E85">
        <w:trPr>
          <w:tblHead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6B4EAE" w:rsidRPr="007D2E85" w:rsidRDefault="006B4EAE" w:rsidP="006B4EAE">
            <w:pPr>
              <w:pStyle w:val="TableHeading"/>
              <w:rPr>
                <w:sz w:val="19"/>
                <w:szCs w:val="19"/>
              </w:rPr>
            </w:pPr>
            <w:r w:rsidRPr="007D2E85">
              <w:rPr>
                <w:sz w:val="19"/>
                <w:szCs w:val="19"/>
              </w:rPr>
              <w:t>Study</w:t>
            </w:r>
          </w:p>
          <w:p w:rsidR="001800FD" w:rsidRPr="007D2E85" w:rsidRDefault="001800FD" w:rsidP="006B4EAE">
            <w:pPr>
              <w:pStyle w:val="TableHeading"/>
              <w:rPr>
                <w:sz w:val="19"/>
                <w:szCs w:val="19"/>
              </w:rPr>
            </w:pPr>
            <w:r w:rsidRPr="007D2E85">
              <w:rPr>
                <w:sz w:val="19"/>
                <w:szCs w:val="19"/>
              </w:rPr>
              <w:t xml:space="preserve">Grade </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6B4EAE" w:rsidRPr="007D2E85" w:rsidRDefault="006B4EAE" w:rsidP="006B4EAE">
            <w:pPr>
              <w:pStyle w:val="TableHeading"/>
              <w:jc w:val="center"/>
              <w:rPr>
                <w:sz w:val="19"/>
                <w:szCs w:val="19"/>
              </w:rPr>
            </w:pPr>
            <w:r w:rsidRPr="007D2E85">
              <w:rPr>
                <w:sz w:val="19"/>
                <w:szCs w:val="19"/>
              </w:rPr>
              <w:t>Level of evidence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6B4EAE" w:rsidRPr="007D2E85" w:rsidRDefault="006B4EAE" w:rsidP="006B4EAE">
            <w:pPr>
              <w:pStyle w:val="TableHeading"/>
              <w:jc w:val="center"/>
              <w:rPr>
                <w:sz w:val="19"/>
                <w:szCs w:val="19"/>
              </w:rPr>
            </w:pPr>
            <w:r w:rsidRPr="007D2E85">
              <w:rPr>
                <w:sz w:val="19"/>
                <w:szCs w:val="19"/>
              </w:rPr>
              <w:t xml:space="preserve">Location </w:t>
            </w:r>
          </w:p>
          <w:p w:rsidR="006B4EAE" w:rsidRPr="007D2E85" w:rsidRDefault="006B4EAE" w:rsidP="006B4EAE">
            <w:pPr>
              <w:pStyle w:val="TableHeading"/>
              <w:jc w:val="center"/>
              <w:rPr>
                <w:sz w:val="19"/>
                <w:szCs w:val="19"/>
              </w:rPr>
            </w:pPr>
            <w:r w:rsidRPr="007D2E85">
              <w:rPr>
                <w:sz w:val="19"/>
                <w:szCs w:val="19"/>
              </w:rPr>
              <w:t>Duration of follow-up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4EAE" w:rsidRPr="007D2E85" w:rsidRDefault="006B4EAE" w:rsidP="006B4EAE">
            <w:pPr>
              <w:pStyle w:val="TableHeading"/>
              <w:jc w:val="center"/>
              <w:rPr>
                <w:sz w:val="19"/>
                <w:szCs w:val="19"/>
              </w:rPr>
            </w:pPr>
            <w:r w:rsidRPr="007D2E85">
              <w:rPr>
                <w:sz w:val="19"/>
                <w:szCs w:val="19"/>
              </w:rPr>
              <w:t>Study design</w:t>
            </w:r>
          </w:p>
        </w:tc>
        <w:tc>
          <w:tcPr>
            <w:tcW w:w="2938" w:type="dxa"/>
            <w:tcBorders>
              <w:top w:val="single" w:sz="4" w:space="0" w:color="auto"/>
              <w:left w:val="single" w:sz="4" w:space="0" w:color="auto"/>
              <w:bottom w:val="single" w:sz="4" w:space="0" w:color="auto"/>
              <w:right w:val="single" w:sz="4" w:space="0" w:color="auto"/>
            </w:tcBorders>
            <w:shd w:val="clear" w:color="auto" w:fill="auto"/>
            <w:vAlign w:val="center"/>
          </w:tcPr>
          <w:p w:rsidR="006B4EAE" w:rsidRPr="007D2E85" w:rsidRDefault="006B4EAE" w:rsidP="006B4EAE">
            <w:pPr>
              <w:pStyle w:val="TableHeading"/>
              <w:jc w:val="center"/>
              <w:rPr>
                <w:sz w:val="19"/>
                <w:szCs w:val="19"/>
              </w:rPr>
            </w:pPr>
            <w:r w:rsidRPr="007D2E85">
              <w:rPr>
                <w:sz w:val="19"/>
                <w:szCs w:val="19"/>
              </w:rPr>
              <w:t>Study participants</w:t>
            </w:r>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tcPr>
          <w:p w:rsidR="006B4EAE" w:rsidRPr="007D2E85" w:rsidRDefault="006B4EAE" w:rsidP="006B4EAE">
            <w:pPr>
              <w:pStyle w:val="TableHeading"/>
              <w:jc w:val="center"/>
              <w:rPr>
                <w:sz w:val="19"/>
                <w:szCs w:val="19"/>
              </w:rPr>
            </w:pPr>
            <w:r w:rsidRPr="007D2E85">
              <w:rPr>
                <w:sz w:val="19"/>
                <w:szCs w:val="19"/>
              </w:rPr>
              <w:t>Interventions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4EAE" w:rsidRPr="007D2E85" w:rsidRDefault="006B4EAE" w:rsidP="006B4EAE">
            <w:pPr>
              <w:pStyle w:val="TableHeading"/>
              <w:jc w:val="center"/>
              <w:rPr>
                <w:sz w:val="19"/>
                <w:szCs w:val="19"/>
              </w:rPr>
            </w:pPr>
            <w:r w:rsidRPr="007D2E85">
              <w:rPr>
                <w:sz w:val="19"/>
                <w:szCs w:val="19"/>
              </w:rPr>
              <w:t>Outcomes assessed</w:t>
            </w:r>
          </w:p>
        </w:tc>
      </w:tr>
      <w:tr w:rsidR="006B4EAE" w:rsidRPr="007D2E85" w:rsidTr="006B4EAE">
        <w:tc>
          <w:tcPr>
            <w:tcW w:w="1101" w:type="dxa"/>
            <w:tcBorders>
              <w:left w:val="single" w:sz="4" w:space="0" w:color="auto"/>
              <w:bottom w:val="single" w:sz="4" w:space="0" w:color="auto"/>
              <w:right w:val="single" w:sz="4" w:space="0" w:color="auto"/>
            </w:tcBorders>
            <w:shd w:val="clear" w:color="auto" w:fill="auto"/>
          </w:tcPr>
          <w:p w:rsidR="006B4EAE" w:rsidRPr="007D2E85" w:rsidRDefault="006B4EAE" w:rsidP="00347EC2">
            <w:pPr>
              <w:pStyle w:val="TableHeading0"/>
              <w:rPr>
                <w:rFonts w:ascii="Arial Narrow" w:hAnsi="Arial Narrow"/>
                <w:b w:val="0"/>
                <w:sz w:val="19"/>
                <w:szCs w:val="19"/>
              </w:rPr>
            </w:pPr>
            <w:r w:rsidRPr="007D2E85">
              <w:rPr>
                <w:rFonts w:ascii="Arial Narrow" w:hAnsi="Arial Narrow"/>
                <w:b w:val="0"/>
                <w:sz w:val="19"/>
                <w:szCs w:val="19"/>
              </w:rPr>
              <w:t>Read (2013)</w:t>
            </w:r>
          </w:p>
          <w:p w:rsidR="001800FD" w:rsidRPr="007D2E85" w:rsidRDefault="001800FD" w:rsidP="001800FD">
            <w:pPr>
              <w:pStyle w:val="TableHeading0"/>
              <w:rPr>
                <w:b w:val="0"/>
                <w:sz w:val="19"/>
                <w:szCs w:val="19"/>
              </w:rPr>
            </w:pPr>
            <w:r w:rsidRPr="007D2E85">
              <w:rPr>
                <w:rFonts w:ascii="Arial Narrow" w:eastAsia="Calibri" w:hAnsi="Arial Narrow"/>
                <w:b w:val="0"/>
                <w:sz w:val="19"/>
                <w:szCs w:val="19"/>
              </w:rPr>
              <w:t>C1, P1, Q1</w:t>
            </w:r>
          </w:p>
        </w:tc>
        <w:tc>
          <w:tcPr>
            <w:tcW w:w="1015" w:type="dxa"/>
            <w:tcBorders>
              <w:left w:val="single" w:sz="4" w:space="0" w:color="auto"/>
              <w:bottom w:val="single" w:sz="4" w:space="0" w:color="auto"/>
              <w:right w:val="single" w:sz="4" w:space="0" w:color="auto"/>
            </w:tcBorders>
            <w:shd w:val="clear" w:color="auto" w:fill="auto"/>
          </w:tcPr>
          <w:p w:rsidR="006B4EAE" w:rsidRPr="007D2E85" w:rsidRDefault="006B4EAE" w:rsidP="00A61327">
            <w:pPr>
              <w:pStyle w:val="TableHeading0"/>
              <w:rPr>
                <w:sz w:val="19"/>
                <w:szCs w:val="19"/>
              </w:rPr>
            </w:pPr>
            <w:r w:rsidRPr="007D2E85">
              <w:rPr>
                <w:rFonts w:ascii="Arial Narrow" w:hAnsi="Arial Narrow"/>
                <w:b w:val="0"/>
                <w:sz w:val="19"/>
                <w:szCs w:val="19"/>
              </w:rPr>
              <w:t>Level II</w:t>
            </w:r>
          </w:p>
        </w:tc>
        <w:tc>
          <w:tcPr>
            <w:tcW w:w="1740" w:type="dxa"/>
            <w:tcBorders>
              <w:left w:val="single" w:sz="4" w:space="0" w:color="auto"/>
              <w:bottom w:val="single" w:sz="4" w:space="0" w:color="auto"/>
              <w:right w:val="single" w:sz="4" w:space="0" w:color="auto"/>
            </w:tcBorders>
            <w:shd w:val="clear" w:color="auto" w:fill="auto"/>
          </w:tcPr>
          <w:p w:rsidR="006B4EAE" w:rsidRPr="007D2E85" w:rsidRDefault="006B4EAE" w:rsidP="00FD5099">
            <w:pPr>
              <w:pStyle w:val="TableHeading0"/>
              <w:rPr>
                <w:rFonts w:ascii="Arial Narrow" w:hAnsi="Arial Narrow"/>
                <w:b w:val="0"/>
                <w:sz w:val="19"/>
                <w:szCs w:val="19"/>
              </w:rPr>
            </w:pPr>
            <w:r w:rsidRPr="007D2E85">
              <w:rPr>
                <w:rFonts w:ascii="Arial Narrow" w:hAnsi="Arial Narrow"/>
                <w:b w:val="0"/>
                <w:sz w:val="19"/>
                <w:szCs w:val="19"/>
              </w:rPr>
              <w:t xml:space="preserve">Australia.  </w:t>
            </w:r>
          </w:p>
          <w:p w:rsidR="006B4EAE" w:rsidRPr="007D2E85" w:rsidRDefault="006B4EAE" w:rsidP="00FD5099">
            <w:pPr>
              <w:pStyle w:val="TableHeading0"/>
              <w:rPr>
                <w:rFonts w:ascii="Arial Narrow" w:hAnsi="Arial Narrow"/>
                <w:b w:val="0"/>
                <w:sz w:val="19"/>
                <w:szCs w:val="19"/>
              </w:rPr>
            </w:pPr>
            <w:r w:rsidRPr="007D2E85">
              <w:rPr>
                <w:rFonts w:ascii="Arial Narrow" w:hAnsi="Arial Narrow"/>
                <w:b w:val="0"/>
                <w:sz w:val="19"/>
                <w:szCs w:val="19"/>
              </w:rPr>
              <w:t>The Melbourne Sexual Health Centre – the major public clinic for sexually transmitted infections in Victoria.</w:t>
            </w:r>
          </w:p>
          <w:p w:rsidR="006B4EAE" w:rsidRPr="007D2E85" w:rsidRDefault="006B4EAE" w:rsidP="006B4EAE">
            <w:pPr>
              <w:spacing w:after="0"/>
              <w:rPr>
                <w:rFonts w:ascii="Arial Narrow" w:hAnsi="Arial Narrow"/>
                <w:sz w:val="19"/>
                <w:szCs w:val="19"/>
                <w:lang w:val="en-GB" w:eastAsia="en-US"/>
              </w:rPr>
            </w:pPr>
          </w:p>
          <w:p w:rsidR="006B4EAE" w:rsidRPr="007D2E85" w:rsidRDefault="006B4EAE" w:rsidP="006B4EAE">
            <w:pPr>
              <w:ind w:left="0"/>
              <w:rPr>
                <w:sz w:val="19"/>
                <w:szCs w:val="19"/>
                <w:lang w:val="en-GB" w:eastAsia="en-US"/>
              </w:rPr>
            </w:pPr>
            <w:r w:rsidRPr="007D2E85">
              <w:rPr>
                <w:rFonts w:ascii="Arial Narrow" w:hAnsi="Arial Narrow"/>
                <w:sz w:val="19"/>
                <w:szCs w:val="19"/>
              </w:rPr>
              <w:t>18 months</w:t>
            </w:r>
          </w:p>
        </w:tc>
        <w:tc>
          <w:tcPr>
            <w:tcW w:w="1417" w:type="dxa"/>
            <w:tcBorders>
              <w:left w:val="single" w:sz="4" w:space="0" w:color="auto"/>
              <w:bottom w:val="single" w:sz="4" w:space="0" w:color="auto"/>
              <w:right w:val="single" w:sz="4" w:space="0" w:color="auto"/>
            </w:tcBorders>
            <w:shd w:val="clear" w:color="auto" w:fill="auto"/>
          </w:tcPr>
          <w:p w:rsidR="006B4EAE" w:rsidRPr="007D2E85" w:rsidRDefault="006B4EAE" w:rsidP="00347EC2">
            <w:pPr>
              <w:pStyle w:val="TableHeading0"/>
              <w:rPr>
                <w:rFonts w:ascii="Arial Narrow" w:hAnsi="Arial Narrow"/>
                <w:b w:val="0"/>
                <w:sz w:val="19"/>
                <w:szCs w:val="19"/>
              </w:rPr>
            </w:pPr>
            <w:r w:rsidRPr="007D2E85">
              <w:rPr>
                <w:rFonts w:ascii="Arial Narrow" w:hAnsi="Arial Narrow"/>
                <w:b w:val="0"/>
                <w:sz w:val="19"/>
                <w:szCs w:val="19"/>
              </w:rPr>
              <w:t xml:space="preserve">Randomised controlled trial, not blinded.  </w:t>
            </w:r>
          </w:p>
          <w:p w:rsidR="006B4EAE" w:rsidRPr="007D2E85" w:rsidRDefault="006B4EAE" w:rsidP="00FD5099">
            <w:pPr>
              <w:pStyle w:val="TableHeading0"/>
              <w:rPr>
                <w:rFonts w:ascii="Arial Narrow" w:hAnsi="Arial Narrow"/>
                <w:sz w:val="19"/>
                <w:szCs w:val="19"/>
              </w:rPr>
            </w:pPr>
            <w:r w:rsidRPr="007D2E85">
              <w:rPr>
                <w:rFonts w:ascii="Arial Narrow" w:hAnsi="Arial Narrow"/>
                <w:b w:val="0"/>
                <w:sz w:val="19"/>
                <w:szCs w:val="19"/>
              </w:rPr>
              <w:t>Men were randomised 1:1 with a randomised block design</w:t>
            </w:r>
            <w:r w:rsidRPr="007D2E85">
              <w:rPr>
                <w:rFonts w:ascii="Arial Narrow" w:hAnsi="Arial Narrow"/>
                <w:sz w:val="19"/>
                <w:szCs w:val="19"/>
              </w:rPr>
              <w:t xml:space="preserve"> </w:t>
            </w:r>
            <w:r w:rsidRPr="007D2E85">
              <w:rPr>
                <w:rFonts w:ascii="Arial Narrow" w:hAnsi="Arial Narrow"/>
                <w:b w:val="0"/>
                <w:sz w:val="19"/>
                <w:szCs w:val="19"/>
              </w:rPr>
              <w:t>using two computer generated random sequences per block to each study arm.</w:t>
            </w:r>
            <w:r w:rsidRPr="007D2E85">
              <w:rPr>
                <w:rFonts w:ascii="Arial Narrow" w:hAnsi="Arial Narrow"/>
                <w:sz w:val="19"/>
                <w:szCs w:val="19"/>
              </w:rPr>
              <w:t xml:space="preserve"> </w:t>
            </w:r>
          </w:p>
        </w:tc>
        <w:tc>
          <w:tcPr>
            <w:tcW w:w="2938" w:type="dxa"/>
            <w:tcBorders>
              <w:left w:val="single" w:sz="4" w:space="0" w:color="auto"/>
              <w:bottom w:val="single" w:sz="4" w:space="0" w:color="auto"/>
              <w:right w:val="single" w:sz="4" w:space="0" w:color="auto"/>
            </w:tcBorders>
            <w:shd w:val="clear" w:color="auto" w:fill="auto"/>
          </w:tcPr>
          <w:p w:rsidR="006B4EAE" w:rsidRPr="007D2E85" w:rsidRDefault="006B4EAE" w:rsidP="006B6461">
            <w:pPr>
              <w:pStyle w:val="TableHeading0"/>
              <w:rPr>
                <w:rFonts w:ascii="Arial Narrow" w:hAnsi="Arial Narrow"/>
                <w:b w:val="0"/>
                <w:sz w:val="19"/>
                <w:szCs w:val="19"/>
              </w:rPr>
            </w:pPr>
            <w:r w:rsidRPr="007D2E85">
              <w:rPr>
                <w:rFonts w:ascii="Arial Narrow" w:hAnsi="Arial Narrow"/>
                <w:b w:val="0"/>
                <w:sz w:val="19"/>
                <w:szCs w:val="19"/>
              </w:rPr>
              <w:t xml:space="preserve">Men </w:t>
            </w:r>
            <w:r w:rsidR="00CB10E0" w:rsidRPr="007D2E85">
              <w:rPr>
                <w:rFonts w:ascii="Arial Narrow" w:hAnsi="Arial Narrow"/>
                <w:b w:val="0"/>
                <w:sz w:val="19"/>
                <w:szCs w:val="19"/>
              </w:rPr>
              <w:t xml:space="preserve">(n=400) </w:t>
            </w:r>
            <w:r w:rsidRPr="007D2E85">
              <w:rPr>
                <w:rFonts w:ascii="Arial Narrow" w:hAnsi="Arial Narrow"/>
                <w:b w:val="0"/>
                <w:sz w:val="19"/>
                <w:szCs w:val="19"/>
              </w:rPr>
              <w:t xml:space="preserve">aged ≥18 years attending for medical care who reported having sex with a man within the previous year and who had a negative HV test within the previous two years.  </w:t>
            </w:r>
            <w:r w:rsidRPr="007D2E85">
              <w:rPr>
                <w:rFonts w:ascii="Arial Narrow" w:hAnsi="Arial Narrow"/>
                <w:b w:val="0"/>
                <w:sz w:val="19"/>
                <w:szCs w:val="19"/>
                <w:u w:val="single"/>
              </w:rPr>
              <w:t>Those who had previously been tested were specifically sought to increase the likelihood that men would re-test within the study period.</w:t>
            </w:r>
          </w:p>
          <w:p w:rsidR="006B4EAE" w:rsidRPr="007D2E85" w:rsidRDefault="006B4EAE" w:rsidP="006B6461">
            <w:pPr>
              <w:pStyle w:val="TableHeading0"/>
              <w:rPr>
                <w:rFonts w:ascii="Arial Narrow" w:hAnsi="Arial Narrow"/>
                <w:b w:val="0"/>
                <w:sz w:val="19"/>
                <w:szCs w:val="19"/>
              </w:rPr>
            </w:pPr>
          </w:p>
          <w:p w:rsidR="006B4EAE" w:rsidRPr="007D2E85" w:rsidRDefault="006B4EAE" w:rsidP="006B6461">
            <w:pPr>
              <w:pStyle w:val="TableHeading0"/>
              <w:rPr>
                <w:sz w:val="19"/>
                <w:szCs w:val="19"/>
              </w:rPr>
            </w:pPr>
            <w:r w:rsidRPr="007D2E85">
              <w:rPr>
                <w:rFonts w:ascii="Arial Narrow" w:hAnsi="Arial Narrow"/>
                <w:b w:val="0"/>
                <w:sz w:val="19"/>
                <w:szCs w:val="19"/>
              </w:rPr>
              <w:t>Men were excluded if they were seeking post-exposure prophylaxis as were those planning to live outside of Victoria for greater than six months.</w:t>
            </w:r>
            <w:r w:rsidRPr="007D2E85">
              <w:rPr>
                <w:sz w:val="19"/>
                <w:szCs w:val="19"/>
              </w:rPr>
              <w:t xml:space="preserve"> </w:t>
            </w:r>
          </w:p>
        </w:tc>
        <w:tc>
          <w:tcPr>
            <w:tcW w:w="3583" w:type="dxa"/>
            <w:tcBorders>
              <w:left w:val="single" w:sz="4" w:space="0" w:color="auto"/>
              <w:bottom w:val="single" w:sz="4" w:space="0" w:color="auto"/>
              <w:right w:val="single" w:sz="4" w:space="0" w:color="auto"/>
            </w:tcBorders>
            <w:shd w:val="clear" w:color="auto" w:fill="auto"/>
          </w:tcPr>
          <w:p w:rsidR="006B4EAE" w:rsidRPr="007D2E85" w:rsidRDefault="006B4EAE" w:rsidP="00347EC2">
            <w:pPr>
              <w:pStyle w:val="TableHeading0"/>
              <w:rPr>
                <w:rFonts w:ascii="Arial Narrow" w:hAnsi="Arial Narrow"/>
                <w:b w:val="0"/>
                <w:sz w:val="19"/>
                <w:szCs w:val="19"/>
              </w:rPr>
            </w:pPr>
            <w:r w:rsidRPr="007D2E85">
              <w:rPr>
                <w:rFonts w:ascii="Arial Narrow" w:hAnsi="Arial Narrow"/>
                <w:b w:val="0"/>
                <w:sz w:val="19"/>
                <w:szCs w:val="19"/>
              </w:rPr>
              <w:t>Men were randomised to:</w:t>
            </w:r>
          </w:p>
          <w:p w:rsidR="006B4EAE" w:rsidRPr="007D2E85" w:rsidRDefault="006B4EAE" w:rsidP="00F737A4">
            <w:pPr>
              <w:pStyle w:val="TableHeading0"/>
              <w:numPr>
                <w:ilvl w:val="0"/>
                <w:numId w:val="5"/>
              </w:numPr>
              <w:ind w:left="153" w:hanging="142"/>
              <w:rPr>
                <w:rFonts w:ascii="Arial Narrow" w:hAnsi="Arial Narrow"/>
                <w:b w:val="0"/>
                <w:sz w:val="19"/>
                <w:szCs w:val="19"/>
              </w:rPr>
            </w:pPr>
            <w:r w:rsidRPr="007D2E85">
              <w:rPr>
                <w:rFonts w:ascii="Arial Narrow" w:hAnsi="Arial Narrow"/>
                <w:b w:val="0"/>
                <w:sz w:val="19"/>
                <w:szCs w:val="19"/>
              </w:rPr>
              <w:t>Testing with the DHC test with whole blood obtained from finger pricks.  These men were advised that could return to the clinic at any time over the study period and would be tested with the DHC test.  Test results were received 20 minutes after the finger prick.</w:t>
            </w:r>
            <w:r w:rsidR="008158E2" w:rsidRPr="007D2E85">
              <w:rPr>
                <w:rFonts w:ascii="Arial Narrow" w:hAnsi="Arial Narrow"/>
                <w:b w:val="0"/>
                <w:sz w:val="19"/>
                <w:szCs w:val="19"/>
              </w:rPr>
              <w:t xml:space="preserve">  Men in this arm were allowed to have conventional testing if desired.</w:t>
            </w:r>
          </w:p>
          <w:p w:rsidR="006B4EAE" w:rsidRPr="007D2E85" w:rsidRDefault="006B4EAE" w:rsidP="006B4EAE">
            <w:pPr>
              <w:spacing w:after="0"/>
              <w:ind w:left="11" w:hanging="11"/>
              <w:jc w:val="center"/>
              <w:rPr>
                <w:rFonts w:ascii="Arial Narrow" w:hAnsi="Arial Narrow"/>
                <w:sz w:val="19"/>
                <w:szCs w:val="19"/>
                <w:lang w:val="en-GB" w:eastAsia="en-US"/>
              </w:rPr>
            </w:pPr>
            <w:r w:rsidRPr="007D2E85">
              <w:rPr>
                <w:rFonts w:ascii="Arial Narrow" w:hAnsi="Arial Narrow"/>
                <w:sz w:val="19"/>
                <w:szCs w:val="19"/>
                <w:lang w:val="en-GB" w:eastAsia="en-US"/>
              </w:rPr>
              <w:t>OR</w:t>
            </w:r>
          </w:p>
          <w:p w:rsidR="006B4EAE" w:rsidRPr="007D2E85" w:rsidRDefault="006B4EAE" w:rsidP="00F737A4">
            <w:pPr>
              <w:pStyle w:val="TableHeading0"/>
              <w:numPr>
                <w:ilvl w:val="0"/>
                <w:numId w:val="5"/>
              </w:numPr>
              <w:ind w:left="153" w:hanging="142"/>
              <w:rPr>
                <w:rFonts w:ascii="Arial Narrow" w:hAnsi="Arial Narrow"/>
                <w:b w:val="0"/>
                <w:sz w:val="19"/>
                <w:szCs w:val="19"/>
              </w:rPr>
            </w:pPr>
            <w:r w:rsidRPr="007D2E85">
              <w:rPr>
                <w:rFonts w:ascii="Arial Narrow" w:hAnsi="Arial Narrow"/>
                <w:b w:val="0"/>
                <w:sz w:val="19"/>
                <w:szCs w:val="19"/>
              </w:rPr>
              <w:t xml:space="preserve">Testing with the clinic’s standard HIV test: venepuncture with serum forwarded to the Victorian Infectious Diseases Reference Laboratory for testing by third generation enzyme immunoassay.  Subsequent HIV tests were also conducted using serology.  </w:t>
            </w:r>
            <w:r w:rsidRPr="007D2E85">
              <w:rPr>
                <w:rFonts w:ascii="Arial Narrow" w:hAnsi="Arial Narrow"/>
                <w:b w:val="0"/>
                <w:sz w:val="19"/>
                <w:szCs w:val="19"/>
                <w:u w:val="single"/>
              </w:rPr>
              <w:t>Men were required to return to the clinic one week after the test to be given their results in person.</w:t>
            </w:r>
          </w:p>
          <w:p w:rsidR="00C56B5A" w:rsidRPr="007D2E85" w:rsidRDefault="00CB10E0" w:rsidP="00CB10E0">
            <w:pPr>
              <w:pStyle w:val="TableHeading0"/>
              <w:rPr>
                <w:rFonts w:ascii="Arial Narrow" w:hAnsi="Arial Narrow"/>
                <w:b w:val="0"/>
                <w:sz w:val="19"/>
                <w:szCs w:val="19"/>
              </w:rPr>
            </w:pPr>
            <w:r w:rsidRPr="007D2E85">
              <w:rPr>
                <w:rFonts w:ascii="Arial Narrow" w:hAnsi="Arial Narrow"/>
                <w:b w:val="0"/>
                <w:sz w:val="19"/>
                <w:szCs w:val="19"/>
              </w:rPr>
              <w:t xml:space="preserve">Testing for HIV and other STIs was according to national guidelines – annual screening for HIV, syphilis, pharyngeal and rectal gonorrhoea, and urethral and rectal chlamydia, with three to six monthly screening of men at higher risk </w:t>
            </w:r>
          </w:p>
        </w:tc>
        <w:tc>
          <w:tcPr>
            <w:tcW w:w="2268" w:type="dxa"/>
            <w:tcBorders>
              <w:left w:val="single" w:sz="4" w:space="0" w:color="auto"/>
              <w:bottom w:val="single" w:sz="4" w:space="0" w:color="auto"/>
              <w:right w:val="single" w:sz="4" w:space="0" w:color="auto"/>
            </w:tcBorders>
            <w:shd w:val="clear" w:color="auto" w:fill="auto"/>
          </w:tcPr>
          <w:p w:rsidR="006B4EAE" w:rsidRPr="007D2E85" w:rsidRDefault="006B4EAE" w:rsidP="00347EC2">
            <w:pPr>
              <w:pStyle w:val="TableHeading0"/>
              <w:rPr>
                <w:rFonts w:ascii="Arial Narrow" w:hAnsi="Arial Narrow"/>
                <w:b w:val="0"/>
                <w:sz w:val="19"/>
                <w:szCs w:val="19"/>
              </w:rPr>
            </w:pPr>
            <w:r w:rsidRPr="007D2E85">
              <w:rPr>
                <w:rFonts w:ascii="Arial Narrow" w:hAnsi="Arial Narrow"/>
                <w:b w:val="0"/>
                <w:sz w:val="19"/>
                <w:szCs w:val="19"/>
                <w:u w:val="single"/>
              </w:rPr>
              <w:t>Primary</w:t>
            </w:r>
            <w:r w:rsidRPr="007D2E85">
              <w:rPr>
                <w:rFonts w:ascii="Arial Narrow" w:hAnsi="Arial Narrow"/>
                <w:b w:val="0"/>
                <w:sz w:val="19"/>
                <w:szCs w:val="19"/>
              </w:rPr>
              <w:t xml:space="preserve">: </w:t>
            </w:r>
          </w:p>
          <w:p w:rsidR="006B4EAE" w:rsidRPr="007D2E85" w:rsidRDefault="006B4EAE" w:rsidP="00FD5099">
            <w:pPr>
              <w:ind w:left="11"/>
              <w:rPr>
                <w:rFonts w:ascii="Arial Narrow" w:hAnsi="Arial Narrow"/>
                <w:sz w:val="19"/>
                <w:szCs w:val="19"/>
                <w:lang w:val="en-GB" w:eastAsia="en-US"/>
              </w:rPr>
            </w:pPr>
            <w:r w:rsidRPr="007D2E85">
              <w:rPr>
                <w:rFonts w:ascii="Arial Narrow" w:hAnsi="Arial Narrow"/>
                <w:sz w:val="19"/>
                <w:szCs w:val="19"/>
                <w:lang w:val="en-GB" w:eastAsia="en-US"/>
              </w:rPr>
              <w:t>The frequency (incidence rate) of HIV testing over 18 months, expressed as the number of tests per person year.  HIV testing included those performed at the study clinic (rapid or conventional), and including tests conducted at other sites (given rapid testing was not approved at that time, all testing at other clinics would have been conventional).</w:t>
            </w:r>
          </w:p>
          <w:p w:rsidR="006B4EAE" w:rsidRPr="007D2E85" w:rsidRDefault="006B4EAE" w:rsidP="006B6461">
            <w:pPr>
              <w:spacing w:after="0"/>
              <w:ind w:left="11"/>
              <w:rPr>
                <w:rFonts w:ascii="Arial Narrow" w:hAnsi="Arial Narrow"/>
                <w:sz w:val="19"/>
                <w:szCs w:val="19"/>
                <w:lang w:val="en-GB" w:eastAsia="en-US"/>
              </w:rPr>
            </w:pPr>
            <w:r w:rsidRPr="007D2E85">
              <w:rPr>
                <w:rFonts w:ascii="Arial Narrow" w:hAnsi="Arial Narrow"/>
                <w:sz w:val="19"/>
                <w:szCs w:val="19"/>
                <w:u w:val="single"/>
                <w:lang w:val="en-GB" w:eastAsia="en-US"/>
              </w:rPr>
              <w:t>Secondary</w:t>
            </w:r>
            <w:r w:rsidRPr="007D2E85">
              <w:rPr>
                <w:rFonts w:ascii="Arial Narrow" w:hAnsi="Arial Narrow"/>
                <w:sz w:val="19"/>
                <w:szCs w:val="19"/>
                <w:lang w:val="en-GB" w:eastAsia="en-US"/>
              </w:rPr>
              <w:t>:</w:t>
            </w:r>
          </w:p>
          <w:p w:rsidR="006B4EAE" w:rsidRPr="007D2E85" w:rsidRDefault="006B4EAE" w:rsidP="006B6461">
            <w:pPr>
              <w:spacing w:after="0"/>
              <w:ind w:left="11"/>
              <w:rPr>
                <w:rFonts w:ascii="Arial Narrow" w:hAnsi="Arial Narrow"/>
                <w:sz w:val="19"/>
                <w:szCs w:val="19"/>
                <w:lang w:val="en-GB" w:eastAsia="en-US"/>
              </w:rPr>
            </w:pPr>
            <w:r w:rsidRPr="007D2E85">
              <w:rPr>
                <w:rFonts w:ascii="Arial Narrow" w:hAnsi="Arial Narrow"/>
                <w:sz w:val="19"/>
                <w:szCs w:val="19"/>
                <w:lang w:val="en-GB" w:eastAsia="en-US"/>
              </w:rPr>
              <w:t>The frequency (incidence rate of testing for syphilis, gonorrhoea and chlamydia to determine if rapid HIV testing would result in a fall in testing for other STIs.</w:t>
            </w:r>
          </w:p>
        </w:tc>
      </w:tr>
    </w:tbl>
    <w:p w:rsidR="00347EC2" w:rsidRDefault="00347EC2" w:rsidP="006B590A">
      <w:pPr>
        <w:pStyle w:val="Heading1"/>
        <w:sectPr w:rsidR="00347EC2" w:rsidSect="00863AD3">
          <w:pgSz w:w="16838" w:h="11906" w:orient="landscape"/>
          <w:pgMar w:top="1440" w:right="1440" w:bottom="1440" w:left="1440" w:header="720" w:footer="720" w:gutter="0"/>
          <w:paperSrc w:first="7" w:other="7"/>
          <w:cols w:space="720"/>
        </w:sectPr>
      </w:pPr>
      <w:bookmarkStart w:id="204" w:name="_Ref192056948"/>
      <w:bookmarkStart w:id="205" w:name="_Ref169423889"/>
    </w:p>
    <w:p w:rsidR="00A40011" w:rsidRPr="004C6B15" w:rsidRDefault="00A40011" w:rsidP="006B590A">
      <w:pPr>
        <w:pStyle w:val="Heading1"/>
      </w:pPr>
      <w:bookmarkStart w:id="206" w:name="_Toc418224889"/>
      <w:r w:rsidRPr="004C6B15">
        <w:lastRenderedPageBreak/>
        <w:t xml:space="preserve">Appendix </w:t>
      </w:r>
      <w:r w:rsidR="00F25CF7">
        <w:t>E</w:t>
      </w:r>
      <w:r w:rsidRPr="004C6B15">
        <w:tab/>
        <w:t>Excluded studies</w:t>
      </w:r>
      <w:bookmarkEnd w:id="204"/>
      <w:bookmarkEnd w:id="206"/>
    </w:p>
    <w:p w:rsidR="009B2072" w:rsidRDefault="009B2072" w:rsidP="00D90536">
      <w:pPr>
        <w:pStyle w:val="Heading2"/>
      </w:pPr>
      <w:r w:rsidRPr="004C6B15">
        <w:t>Incorrect intervention</w:t>
      </w:r>
      <w:r w:rsidR="00544751">
        <w:t xml:space="preserve"> </w:t>
      </w:r>
    </w:p>
    <w:p w:rsidR="00544751" w:rsidRDefault="00544751" w:rsidP="00544751">
      <w:pPr>
        <w:rPr>
          <w:rFonts w:ascii="Tahoma" w:hAnsi="Tahoma" w:cs="Tahoma"/>
          <w:sz w:val="20"/>
        </w:rPr>
      </w:pPr>
      <w:r w:rsidRPr="00544751">
        <w:rPr>
          <w:rFonts w:ascii="Tahoma" w:hAnsi="Tahoma" w:cs="Tahoma"/>
          <w:sz w:val="20"/>
        </w:rPr>
        <w:t>(Not a fourth generation Ag/Ab combo test or not conducted POC)</w:t>
      </w:r>
    </w:p>
    <w:p w:rsidR="00CA5138" w:rsidRDefault="00CA5138" w:rsidP="00CA5138">
      <w:r w:rsidRPr="0003725D">
        <w:rPr>
          <w:lang w:val="it-IT"/>
        </w:rPr>
        <w:t xml:space="preserve">Abbate, I., Pergola, C., Pisciotta, M., et al. </w:t>
      </w:r>
      <w:proofErr w:type="gramStart"/>
      <w:r>
        <w:t xml:space="preserve">(2014). Evaluation in a clinical setting of the performances of a new rapid confirmatory assay for HIV1/2 </w:t>
      </w:r>
      <w:proofErr w:type="spellStart"/>
      <w:r>
        <w:t>serodiagnosis</w:t>
      </w:r>
      <w:proofErr w:type="spellEnd"/>
      <w:r>
        <w:t>.</w:t>
      </w:r>
      <w:proofErr w:type="gramEnd"/>
      <w:r>
        <w:t xml:space="preserve"> </w:t>
      </w:r>
      <w:r>
        <w:rPr>
          <w:i/>
          <w:iCs/>
        </w:rPr>
        <w:t>Journal of Clinical Virology, 61</w:t>
      </w:r>
      <w:r>
        <w:t xml:space="preserve">(1), 166-169. </w:t>
      </w:r>
    </w:p>
    <w:p w:rsidR="00CA5138" w:rsidRDefault="00CA5138" w:rsidP="00CA5138">
      <w:proofErr w:type="spellStart"/>
      <w:proofErr w:type="gramStart"/>
      <w:r w:rsidRPr="00093CD9">
        <w:t>Aghokeng</w:t>
      </w:r>
      <w:proofErr w:type="spellEnd"/>
      <w:r w:rsidRPr="00093CD9">
        <w:t xml:space="preserve">, A. F., </w:t>
      </w:r>
      <w:proofErr w:type="spellStart"/>
      <w:r w:rsidRPr="00093CD9">
        <w:t>Mpoudi-Ngole</w:t>
      </w:r>
      <w:proofErr w:type="spellEnd"/>
      <w:r w:rsidRPr="00093CD9">
        <w:t xml:space="preserve">, E., </w:t>
      </w:r>
      <w:proofErr w:type="spellStart"/>
      <w:r w:rsidRPr="00093CD9">
        <w:t>Dimodi</w:t>
      </w:r>
      <w:proofErr w:type="spellEnd"/>
      <w:r w:rsidRPr="00093CD9">
        <w:t xml:space="preserve">, H., et al. </w:t>
      </w:r>
      <w:r>
        <w:t>(2009).</w:t>
      </w:r>
      <w:proofErr w:type="gramEnd"/>
      <w:r>
        <w:t xml:space="preserve"> Inaccurate diagnosis of HIV-1 group M and O is a key challenge for ongoing universal access to antiretroviral treatment and HIV prevention in Cameroon. </w:t>
      </w:r>
      <w:proofErr w:type="spellStart"/>
      <w:proofErr w:type="gramStart"/>
      <w:r>
        <w:rPr>
          <w:i/>
          <w:iCs/>
        </w:rPr>
        <w:t>PLoS</w:t>
      </w:r>
      <w:proofErr w:type="spellEnd"/>
      <w:r>
        <w:rPr>
          <w:i/>
          <w:iCs/>
        </w:rPr>
        <w:t xml:space="preserve"> ONE [Electronic Resource], 4</w:t>
      </w:r>
      <w:r>
        <w:t>(11), e7702.</w:t>
      </w:r>
      <w:proofErr w:type="gramEnd"/>
      <w:r>
        <w:t xml:space="preserve"> </w:t>
      </w:r>
    </w:p>
    <w:p w:rsidR="00CA5138" w:rsidRDefault="00CA5138" w:rsidP="00CA5138">
      <w:proofErr w:type="gramStart"/>
      <w:r>
        <w:t>Aguirre, D., Mares-</w:t>
      </w:r>
      <w:proofErr w:type="spellStart"/>
      <w:r>
        <w:t>DelGrasso</w:t>
      </w:r>
      <w:proofErr w:type="spellEnd"/>
      <w:r>
        <w:t>, A., Emerson, C., et al. (2007).</w:t>
      </w:r>
      <w:proofErr w:type="gramEnd"/>
      <w:r>
        <w:t xml:space="preserve"> </w:t>
      </w:r>
      <w:proofErr w:type="gramStart"/>
      <w:r>
        <w:t>Rapid HIV testing in outreach and other community settings - United States, 2004-2006.</w:t>
      </w:r>
      <w:proofErr w:type="gramEnd"/>
      <w:r>
        <w:t xml:space="preserve"> </w:t>
      </w:r>
      <w:r>
        <w:rPr>
          <w:i/>
          <w:iCs/>
        </w:rPr>
        <w:t>Morbidity and Mortality Weekly Report, 56</w:t>
      </w:r>
      <w:r>
        <w:t xml:space="preserve">(47), 1233-1237. </w:t>
      </w:r>
    </w:p>
    <w:p w:rsidR="00CA5138" w:rsidRDefault="00CA5138" w:rsidP="00CA5138">
      <w:proofErr w:type="spellStart"/>
      <w:proofErr w:type="gramStart"/>
      <w:r>
        <w:t>Beelaert</w:t>
      </w:r>
      <w:proofErr w:type="spellEnd"/>
      <w:r>
        <w:t xml:space="preserve">, G., &amp; </w:t>
      </w:r>
      <w:proofErr w:type="spellStart"/>
      <w:r>
        <w:t>Fransen</w:t>
      </w:r>
      <w:proofErr w:type="spellEnd"/>
      <w:r>
        <w:t>, K. (2010).</w:t>
      </w:r>
      <w:proofErr w:type="gramEnd"/>
      <w:r>
        <w:t xml:space="preserve"> </w:t>
      </w:r>
      <w:proofErr w:type="gramStart"/>
      <w:r>
        <w:t>Evaluation of a rapid and simple fourth-generation HIV screening assay for qualitative detection of HIV p24 antigen and/or antibodies to HIV-1 and HIV-2.</w:t>
      </w:r>
      <w:proofErr w:type="gramEnd"/>
      <w:r>
        <w:t xml:space="preserve"> </w:t>
      </w:r>
      <w:r>
        <w:rPr>
          <w:i/>
          <w:iCs/>
        </w:rPr>
        <w:t>Journal of Virological Methods, 168</w:t>
      </w:r>
      <w:r>
        <w:t xml:space="preserve">(1-2), 218-222. </w:t>
      </w:r>
    </w:p>
    <w:p w:rsidR="00CA5138" w:rsidRDefault="00CA5138" w:rsidP="00CA5138">
      <w:proofErr w:type="gramStart"/>
      <w:r w:rsidRPr="00093CD9">
        <w:t xml:space="preserve">Bennett, B., Hardy, B., </w:t>
      </w:r>
      <w:proofErr w:type="spellStart"/>
      <w:r w:rsidRPr="00093CD9">
        <w:t>Fordan</w:t>
      </w:r>
      <w:proofErr w:type="spellEnd"/>
      <w:r w:rsidRPr="00093CD9">
        <w:t xml:space="preserve">, S., et al. </w:t>
      </w:r>
      <w:r>
        <w:t>(2013a).</w:t>
      </w:r>
      <w:proofErr w:type="gramEnd"/>
      <w:r>
        <w:t xml:space="preserve"> HIV single staging algorithm: Integration and maximization of resources by reducing time between HIV diagnosis and treatment. </w:t>
      </w:r>
      <w:proofErr w:type="gramStart"/>
      <w:r>
        <w:rPr>
          <w:i/>
          <w:iCs/>
        </w:rPr>
        <w:t>Journal of Clinical Virology, 58</w:t>
      </w:r>
      <w:r>
        <w:t>(SUPPL1), e34-e37.</w:t>
      </w:r>
      <w:proofErr w:type="gramEnd"/>
      <w:r>
        <w:t xml:space="preserve"> </w:t>
      </w:r>
    </w:p>
    <w:p w:rsidR="00CA5138" w:rsidRDefault="00CA5138" w:rsidP="00CA5138">
      <w:proofErr w:type="gramStart"/>
      <w:r>
        <w:t xml:space="preserve">Bennett, B., Neumann, D., </w:t>
      </w:r>
      <w:proofErr w:type="spellStart"/>
      <w:r>
        <w:t>Fordan</w:t>
      </w:r>
      <w:proofErr w:type="spellEnd"/>
      <w:r>
        <w:t>, S., et al. (2013b).</w:t>
      </w:r>
      <w:proofErr w:type="gramEnd"/>
      <w:r>
        <w:t xml:space="preserve"> Performance of the new HIV-1/2 diagnostic algorithm in Florida's public health testing population: a review of the first five months of utilization. </w:t>
      </w:r>
      <w:proofErr w:type="gramStart"/>
      <w:r>
        <w:rPr>
          <w:i/>
          <w:iCs/>
        </w:rPr>
        <w:t xml:space="preserve">Journal of Clinical Virology, 58 </w:t>
      </w:r>
      <w:proofErr w:type="spellStart"/>
      <w:r>
        <w:rPr>
          <w:i/>
          <w:iCs/>
        </w:rPr>
        <w:t>Suppl</w:t>
      </w:r>
      <w:proofErr w:type="spellEnd"/>
      <w:r>
        <w:rPr>
          <w:i/>
          <w:iCs/>
        </w:rPr>
        <w:t xml:space="preserve"> 1</w:t>
      </w:r>
      <w:r>
        <w:t>, e29-33.</w:t>
      </w:r>
      <w:proofErr w:type="gramEnd"/>
      <w:r>
        <w:t xml:space="preserve"> </w:t>
      </w:r>
    </w:p>
    <w:p w:rsidR="00CA5138" w:rsidRDefault="00CA5138" w:rsidP="00CA5138">
      <w:proofErr w:type="spellStart"/>
      <w:r>
        <w:t>Bischof</w:t>
      </w:r>
      <w:proofErr w:type="spellEnd"/>
      <w:r>
        <w:t xml:space="preserve">, J. J., Bell, L. L., Pierce, J. K., et al. (2015). </w:t>
      </w:r>
      <w:proofErr w:type="gramStart"/>
      <w:r>
        <w:t>Detecting HIV among persons accompanying patients to an infectious diseases clinic.</w:t>
      </w:r>
      <w:proofErr w:type="gramEnd"/>
      <w:r>
        <w:t xml:space="preserve"> </w:t>
      </w:r>
      <w:r>
        <w:rPr>
          <w:i/>
          <w:iCs/>
        </w:rPr>
        <w:t>Sexually Transmitted Diseases, 42</w:t>
      </w:r>
      <w:r>
        <w:t xml:space="preserve">(1), 54-56. </w:t>
      </w:r>
    </w:p>
    <w:p w:rsidR="00CA5138" w:rsidRDefault="00CA5138" w:rsidP="00CA5138">
      <w:proofErr w:type="spellStart"/>
      <w:r w:rsidRPr="00093CD9">
        <w:t>Brauer</w:t>
      </w:r>
      <w:proofErr w:type="spellEnd"/>
      <w:r w:rsidRPr="00093CD9">
        <w:t xml:space="preserve">, M., De Villiers, J. C., &amp; </w:t>
      </w:r>
      <w:proofErr w:type="spellStart"/>
      <w:r w:rsidRPr="00093CD9">
        <w:t>Mayaphi</w:t>
      </w:r>
      <w:proofErr w:type="spellEnd"/>
      <w:r w:rsidRPr="00093CD9">
        <w:t xml:space="preserve">, S. H. (2013). </w:t>
      </w:r>
      <w:proofErr w:type="gramStart"/>
      <w:r>
        <w:t>Evaluation of the Determine fourth generation HIV rapid assay.</w:t>
      </w:r>
      <w:proofErr w:type="gramEnd"/>
      <w:r>
        <w:t xml:space="preserve"> </w:t>
      </w:r>
      <w:r>
        <w:rPr>
          <w:i/>
          <w:iCs/>
        </w:rPr>
        <w:t>Journal of Virological Methods, 189</w:t>
      </w:r>
      <w:r>
        <w:t xml:space="preserve">(1), 180-183. </w:t>
      </w:r>
    </w:p>
    <w:p w:rsidR="00CA5138" w:rsidRDefault="00CA5138" w:rsidP="00CA5138">
      <w:proofErr w:type="spellStart"/>
      <w:proofErr w:type="gramStart"/>
      <w:r w:rsidRPr="00093CD9">
        <w:t>Brust</w:t>
      </w:r>
      <w:proofErr w:type="spellEnd"/>
      <w:r w:rsidRPr="00093CD9">
        <w:t xml:space="preserve">, S., </w:t>
      </w:r>
      <w:proofErr w:type="spellStart"/>
      <w:r w:rsidRPr="00093CD9">
        <w:t>Duttmann</w:t>
      </w:r>
      <w:proofErr w:type="spellEnd"/>
      <w:r w:rsidRPr="00093CD9">
        <w:t xml:space="preserve">, H., </w:t>
      </w:r>
      <w:proofErr w:type="spellStart"/>
      <w:r w:rsidRPr="00093CD9">
        <w:t>Feldner</w:t>
      </w:r>
      <w:proofErr w:type="spellEnd"/>
      <w:r w:rsidRPr="00093CD9">
        <w:t xml:space="preserve">, J., et al. </w:t>
      </w:r>
      <w:r>
        <w:t>(2000).</w:t>
      </w:r>
      <w:proofErr w:type="gramEnd"/>
      <w:r>
        <w:t xml:space="preserve"> Shortening of the diagnostic window with a new combined HIV p24 antigen and anti-HIV-1/2/O screening test. </w:t>
      </w:r>
      <w:r>
        <w:rPr>
          <w:i/>
          <w:iCs/>
        </w:rPr>
        <w:t>Journal of Virological Methods, 90</w:t>
      </w:r>
      <w:r>
        <w:t xml:space="preserve">(2), 153-165. </w:t>
      </w:r>
    </w:p>
    <w:p w:rsidR="00CA5138" w:rsidRDefault="00CA5138" w:rsidP="00CA5138">
      <w:proofErr w:type="gramStart"/>
      <w:r>
        <w:t xml:space="preserve">Cardenas, A. M., </w:t>
      </w:r>
      <w:proofErr w:type="spellStart"/>
      <w:r>
        <w:t>Baughan</w:t>
      </w:r>
      <w:proofErr w:type="spellEnd"/>
      <w:r>
        <w:t xml:space="preserve">, E., &amp; </w:t>
      </w:r>
      <w:proofErr w:type="spellStart"/>
      <w:r>
        <w:t>Hodinka</w:t>
      </w:r>
      <w:proofErr w:type="spellEnd"/>
      <w:r>
        <w:t>, R. L. (2013).</w:t>
      </w:r>
      <w:proofErr w:type="gramEnd"/>
      <w:r>
        <w:t xml:space="preserve"> </w:t>
      </w:r>
      <w:proofErr w:type="gramStart"/>
      <w:r>
        <w:t xml:space="preserve">Evaluation of the Bio-Rad </w:t>
      </w:r>
      <w:proofErr w:type="spellStart"/>
      <w:r>
        <w:t>Multispot</w:t>
      </w:r>
      <w:proofErr w:type="spellEnd"/>
      <w:r>
        <w:t xml:space="preserve"> HIV-1/HIV-2 Rapid Test as an alternative to Western blot for confirmation of HIV infection.</w:t>
      </w:r>
      <w:proofErr w:type="gramEnd"/>
      <w:r>
        <w:t xml:space="preserve"> </w:t>
      </w:r>
      <w:proofErr w:type="gramStart"/>
      <w:r>
        <w:rPr>
          <w:i/>
          <w:iCs/>
        </w:rPr>
        <w:t xml:space="preserve">Journal of Clinical Virology, 58 </w:t>
      </w:r>
      <w:proofErr w:type="spellStart"/>
      <w:r>
        <w:rPr>
          <w:i/>
          <w:iCs/>
        </w:rPr>
        <w:t>Suppl</w:t>
      </w:r>
      <w:proofErr w:type="spellEnd"/>
      <w:r>
        <w:rPr>
          <w:i/>
          <w:iCs/>
        </w:rPr>
        <w:t xml:space="preserve"> 1</w:t>
      </w:r>
      <w:r>
        <w:t>, e97-e103.</w:t>
      </w:r>
      <w:proofErr w:type="gramEnd"/>
      <w:r>
        <w:t xml:space="preserve"> </w:t>
      </w:r>
    </w:p>
    <w:p w:rsidR="00CA5138" w:rsidRPr="00CA5138" w:rsidRDefault="00CA5138" w:rsidP="00CA5138">
      <w:r w:rsidRPr="00CA5138">
        <w:t xml:space="preserve">Centre for Reviews and Dissemination. (2015). Cost-effectiveness of finding new HIV diagnoses using rapid HIV testing in community-based organizations (Provisional abstract). </w:t>
      </w:r>
    </w:p>
    <w:p w:rsidR="00CA5138" w:rsidRPr="00CA5138" w:rsidRDefault="00CA5138" w:rsidP="00CA5138">
      <w:r w:rsidRPr="00CA5138">
        <w:lastRenderedPageBreak/>
        <w:t xml:space="preserve">Centre for Reviews and Dissemination. (2015). Cost-effectiveness of HIV screening in STD clinics, emergency departments, and inpatient units: a model-based analysis (Structured abstract). </w:t>
      </w:r>
    </w:p>
    <w:p w:rsidR="00CA5138" w:rsidRPr="00CA5138" w:rsidRDefault="00CA5138" w:rsidP="00CA5138">
      <w:r w:rsidRPr="00CA5138">
        <w:t xml:space="preserve">Centre for Reviews and Dissemination. (2015). Point-of-care HIV testing: a review of the clinical and cost-effectiveness and diagnostic accuracy (Structured abstract). </w:t>
      </w:r>
    </w:p>
    <w:p w:rsidR="00CA5138" w:rsidRDefault="00CA5138" w:rsidP="00CA5138">
      <w:r w:rsidRPr="00CA5138">
        <w:t xml:space="preserve">Centre for Reviews and Dissemination. (2015). Rapid testing and </w:t>
      </w:r>
      <w:proofErr w:type="spellStart"/>
      <w:r w:rsidRPr="00CA5138">
        <w:t>zidovudine</w:t>
      </w:r>
      <w:proofErr w:type="spellEnd"/>
      <w:r w:rsidRPr="00CA5138">
        <w:t xml:space="preserve"> treatment to prevent vertical transmission of human immunodeficiency virus in unregistered </w:t>
      </w:r>
      <w:proofErr w:type="spellStart"/>
      <w:r w:rsidRPr="00CA5138">
        <w:t>parturients</w:t>
      </w:r>
      <w:proofErr w:type="spellEnd"/>
      <w:r w:rsidRPr="00CA5138">
        <w:t>: a cost-effectiveness analysis (Structured abstract)</w:t>
      </w:r>
      <w:r>
        <w:t>.</w:t>
      </w:r>
    </w:p>
    <w:p w:rsidR="00CA5138" w:rsidRDefault="00CA5138" w:rsidP="00CA5138">
      <w:r w:rsidRPr="00CA5138">
        <w:t xml:space="preserve">Centre for Reviews and Dissemination. </w:t>
      </w:r>
      <w:proofErr w:type="gramStart"/>
      <w:r w:rsidRPr="00CA5138">
        <w:t>(2015).</w:t>
      </w:r>
      <w:r>
        <w:t xml:space="preserve"> </w:t>
      </w:r>
      <w:r w:rsidRPr="00CA5138">
        <w:t xml:space="preserve">On-site, rapid HIV testing with same-day results and </w:t>
      </w:r>
      <w:proofErr w:type="spellStart"/>
      <w:r w:rsidRPr="00CA5138">
        <w:t>counseling</w:t>
      </w:r>
      <w:proofErr w:type="spellEnd"/>
      <w:r w:rsidRPr="00CA5138">
        <w:t xml:space="preserve"> (Structured abstract)</w:t>
      </w:r>
      <w:r>
        <w:t>.</w:t>
      </w:r>
      <w:proofErr w:type="gramEnd"/>
    </w:p>
    <w:p w:rsidR="00CA5138" w:rsidRDefault="00CA5138" w:rsidP="00CA5138">
      <w:r w:rsidRPr="0003725D">
        <w:rPr>
          <w:lang w:val="fr-FR"/>
        </w:rPr>
        <w:t xml:space="preserve">Champenois, K., Le Gall, J. M., Jacquemin, C., et al. </w:t>
      </w:r>
      <w:r>
        <w:t xml:space="preserve">(2012). ANRS-COM'TEST: description of a community-based HIV testing intervention in non-medical settings for men who have sex with men. </w:t>
      </w:r>
      <w:r>
        <w:rPr>
          <w:i/>
          <w:iCs/>
        </w:rPr>
        <w:t>BMJ Open, 2</w:t>
      </w:r>
      <w:r>
        <w:t xml:space="preserve">(2), e000693. </w:t>
      </w:r>
    </w:p>
    <w:p w:rsidR="00CA5138" w:rsidRDefault="00CA5138" w:rsidP="00CA5138">
      <w:proofErr w:type="gramStart"/>
      <w:r w:rsidRPr="00796ABA">
        <w:t xml:space="preserve">Chen, H. T., Liang, S., Liao, Q., et al. </w:t>
      </w:r>
      <w:r>
        <w:t>(2007).</w:t>
      </w:r>
      <w:proofErr w:type="gramEnd"/>
      <w:r>
        <w:t xml:space="preserve"> HIV voluntary </w:t>
      </w:r>
      <w:proofErr w:type="spellStart"/>
      <w:r>
        <w:t>counseling</w:t>
      </w:r>
      <w:proofErr w:type="spellEnd"/>
      <w:r>
        <w:t xml:space="preserve"> and testing among injection drug users in south China: a study of a non-government organization based program. </w:t>
      </w:r>
      <w:r>
        <w:rPr>
          <w:i/>
          <w:iCs/>
        </w:rPr>
        <w:t xml:space="preserve">AIDS &amp; </w:t>
      </w:r>
      <w:proofErr w:type="spellStart"/>
      <w:r>
        <w:rPr>
          <w:i/>
          <w:iCs/>
        </w:rPr>
        <w:t>Behavior</w:t>
      </w:r>
      <w:proofErr w:type="spellEnd"/>
      <w:r>
        <w:rPr>
          <w:i/>
          <w:iCs/>
        </w:rPr>
        <w:t>, 11</w:t>
      </w:r>
      <w:r>
        <w:t xml:space="preserve">(5), 778-788. </w:t>
      </w:r>
    </w:p>
    <w:p w:rsidR="00CA5138" w:rsidRDefault="00CA5138" w:rsidP="00CA5138">
      <w:proofErr w:type="spellStart"/>
      <w:proofErr w:type="gramStart"/>
      <w:r>
        <w:t>Chetty</w:t>
      </w:r>
      <w:proofErr w:type="spellEnd"/>
      <w:r>
        <w:t xml:space="preserve">, V., </w:t>
      </w:r>
      <w:proofErr w:type="spellStart"/>
      <w:r>
        <w:t>Moodley</w:t>
      </w:r>
      <w:proofErr w:type="spellEnd"/>
      <w:r>
        <w:t xml:space="preserve">, D., &amp; </w:t>
      </w:r>
      <w:proofErr w:type="spellStart"/>
      <w:r>
        <w:t>Chuturgoon</w:t>
      </w:r>
      <w:proofErr w:type="spellEnd"/>
      <w:r>
        <w:t>, A. (2012).</w:t>
      </w:r>
      <w:proofErr w:type="gramEnd"/>
      <w:r>
        <w:t xml:space="preserve"> </w:t>
      </w:r>
      <w:proofErr w:type="gramStart"/>
      <w:r>
        <w:t>Evaluation of a 4th generation rapid HIV test for earlier and reliable detection of HIV infection in pregnancy.</w:t>
      </w:r>
      <w:proofErr w:type="gramEnd"/>
      <w:r>
        <w:t xml:space="preserve"> </w:t>
      </w:r>
      <w:r>
        <w:rPr>
          <w:i/>
          <w:iCs/>
        </w:rPr>
        <w:t>Journal of Clinical Virology, 54</w:t>
      </w:r>
      <w:r>
        <w:t xml:space="preserve">(2), 180-184. </w:t>
      </w:r>
    </w:p>
    <w:p w:rsidR="00CA5138" w:rsidRDefault="00CA5138" w:rsidP="00CA5138">
      <w:proofErr w:type="spellStart"/>
      <w:r>
        <w:t>Christopoulos</w:t>
      </w:r>
      <w:proofErr w:type="spellEnd"/>
      <w:r>
        <w:t xml:space="preserve">, K. A., </w:t>
      </w:r>
      <w:proofErr w:type="spellStart"/>
      <w:r>
        <w:t>Zetola</w:t>
      </w:r>
      <w:proofErr w:type="spellEnd"/>
      <w:r>
        <w:t xml:space="preserve">, N. M., </w:t>
      </w:r>
      <w:proofErr w:type="spellStart"/>
      <w:r>
        <w:t>Klausner</w:t>
      </w:r>
      <w:proofErr w:type="spellEnd"/>
      <w:r>
        <w:t xml:space="preserve">, J. D., et al. (2013). </w:t>
      </w:r>
      <w:proofErr w:type="gramStart"/>
      <w:r>
        <w:t xml:space="preserve">Leveraging a rapid, round-the-clock HIV testing system to screen for acute HIV infection in a large urban public medical </w:t>
      </w:r>
      <w:proofErr w:type="spellStart"/>
      <w:r>
        <w:t>center</w:t>
      </w:r>
      <w:proofErr w:type="spellEnd"/>
      <w:r>
        <w:t>.</w:t>
      </w:r>
      <w:proofErr w:type="gramEnd"/>
      <w:r>
        <w:t xml:space="preserve"> </w:t>
      </w:r>
      <w:r>
        <w:rPr>
          <w:i/>
          <w:iCs/>
        </w:rPr>
        <w:t>Journal of Acquired Immune Deficiency Syndromes: JAIDS, 62</w:t>
      </w:r>
      <w:r>
        <w:t xml:space="preserve">(2), e30-38. </w:t>
      </w:r>
    </w:p>
    <w:p w:rsidR="00CA5138" w:rsidRDefault="00CA5138" w:rsidP="00CA5138">
      <w:proofErr w:type="spellStart"/>
      <w:r>
        <w:t>Criniti</w:t>
      </w:r>
      <w:proofErr w:type="spellEnd"/>
      <w:r>
        <w:t xml:space="preserve">, S. M., Aaron, E., </w:t>
      </w:r>
      <w:proofErr w:type="spellStart"/>
      <w:r>
        <w:t>Hilley</w:t>
      </w:r>
      <w:proofErr w:type="spellEnd"/>
      <w:r>
        <w:t xml:space="preserve">, A., &amp; Wolf, S. (2011). </w:t>
      </w:r>
      <w:proofErr w:type="gramStart"/>
      <w:r>
        <w:t>Integration of routine rapid HIV screening in an urban family planning clinic.</w:t>
      </w:r>
      <w:proofErr w:type="gramEnd"/>
      <w:r>
        <w:t xml:space="preserve"> </w:t>
      </w:r>
      <w:r>
        <w:rPr>
          <w:i/>
          <w:iCs/>
        </w:rPr>
        <w:t>Journal of Midwifery &amp; Women's Health, 56</w:t>
      </w:r>
      <w:r>
        <w:t xml:space="preserve">(4), 395-399. </w:t>
      </w:r>
    </w:p>
    <w:p w:rsidR="00CA5138" w:rsidRDefault="00CA5138" w:rsidP="00CA5138">
      <w:r>
        <w:t xml:space="preserve">Delaney, K. P., Branson, B. M., </w:t>
      </w:r>
      <w:proofErr w:type="spellStart"/>
      <w:r>
        <w:t>Uniyal</w:t>
      </w:r>
      <w:proofErr w:type="spellEnd"/>
      <w:r>
        <w:t xml:space="preserve">, A., et al. (2011). </w:t>
      </w:r>
      <w:proofErr w:type="gramStart"/>
      <w:r>
        <w:t>Evaluation of the performance characteristics of 6 rapid HIV antibody tests.</w:t>
      </w:r>
      <w:proofErr w:type="gramEnd"/>
      <w:r>
        <w:t xml:space="preserve"> </w:t>
      </w:r>
      <w:r>
        <w:rPr>
          <w:i/>
          <w:iCs/>
        </w:rPr>
        <w:t>Clinical Infectious Diseases, 52</w:t>
      </w:r>
      <w:r>
        <w:t xml:space="preserve">(2), 257-263. </w:t>
      </w:r>
    </w:p>
    <w:p w:rsidR="00CA5138" w:rsidRPr="00093CD9" w:rsidRDefault="00CA5138" w:rsidP="00CA5138">
      <w:pPr>
        <w:rPr>
          <w:lang w:val="it-IT"/>
        </w:rPr>
      </w:pPr>
      <w:proofErr w:type="spellStart"/>
      <w:r>
        <w:t>Dhairyawan</w:t>
      </w:r>
      <w:proofErr w:type="spellEnd"/>
      <w:r>
        <w:t xml:space="preserve">, R., Millett, D., &amp; Creighton, S. (2011). </w:t>
      </w:r>
      <w:proofErr w:type="gramStart"/>
      <w:r>
        <w:t>Routine HIV testing in colposcopy.</w:t>
      </w:r>
      <w:proofErr w:type="gramEnd"/>
      <w:r>
        <w:t xml:space="preserve"> </w:t>
      </w:r>
      <w:r w:rsidRPr="00093CD9">
        <w:rPr>
          <w:i/>
          <w:iCs/>
          <w:lang w:val="it-IT"/>
        </w:rPr>
        <w:t>HIV Medicine, 12</w:t>
      </w:r>
      <w:r w:rsidRPr="00093CD9">
        <w:rPr>
          <w:lang w:val="it-IT"/>
        </w:rPr>
        <w:t xml:space="preserve">, 60-61. </w:t>
      </w:r>
    </w:p>
    <w:p w:rsidR="00CA5138" w:rsidRDefault="00CA5138" w:rsidP="00CA5138">
      <w:r w:rsidRPr="00093CD9">
        <w:rPr>
          <w:lang w:val="it-IT"/>
        </w:rPr>
        <w:t xml:space="preserve">Duong, Y. T., Mavengere, Y., Patel, H., et al. </w:t>
      </w:r>
      <w:r>
        <w:t xml:space="preserve">(2014). Poor performance of the determine HIV-1/2 Ag/Ab combo fourth-generation rapid test for detection of acute infections in a national household survey in Swaziland. </w:t>
      </w:r>
      <w:r>
        <w:rPr>
          <w:i/>
          <w:iCs/>
        </w:rPr>
        <w:t>Journal of Clinical Microbiology, 52</w:t>
      </w:r>
      <w:r>
        <w:t xml:space="preserve">(10), 3743-3748. </w:t>
      </w:r>
    </w:p>
    <w:p w:rsidR="00CA5138" w:rsidRDefault="00CA5138" w:rsidP="00CA5138">
      <w:proofErr w:type="gramStart"/>
      <w:r w:rsidRPr="00093CD9">
        <w:t>Elias, M. J., Gomez-</w:t>
      </w:r>
      <w:proofErr w:type="spellStart"/>
      <w:r w:rsidRPr="00093CD9">
        <w:t>Ayerbe</w:t>
      </w:r>
      <w:proofErr w:type="spellEnd"/>
      <w:r w:rsidRPr="00093CD9">
        <w:t xml:space="preserve">, C., Muriel, A., et al. </w:t>
      </w:r>
      <w:r>
        <w:t>(2014).</w:t>
      </w:r>
      <w:proofErr w:type="gramEnd"/>
      <w:r>
        <w:t xml:space="preserve"> Comparison of routine versus targeted HIV testing strategies: coverage and estimated missed infections in emergency room and primary care centre. </w:t>
      </w:r>
      <w:proofErr w:type="gramStart"/>
      <w:r>
        <w:rPr>
          <w:i/>
          <w:iCs/>
        </w:rPr>
        <w:t>Journal of the International AIDS Society, 17</w:t>
      </w:r>
      <w:r>
        <w:t xml:space="preserve">(4 </w:t>
      </w:r>
      <w:proofErr w:type="spellStart"/>
      <w:r>
        <w:t>Suppl</w:t>
      </w:r>
      <w:proofErr w:type="spellEnd"/>
      <w:r>
        <w:t xml:space="preserve"> 3), 19671.</w:t>
      </w:r>
      <w:proofErr w:type="gramEnd"/>
      <w:r>
        <w:t xml:space="preserve"> </w:t>
      </w:r>
    </w:p>
    <w:p w:rsidR="00CA5138" w:rsidRDefault="00CA5138" w:rsidP="00CA5138">
      <w:proofErr w:type="spellStart"/>
      <w:r>
        <w:t>Faraoni</w:t>
      </w:r>
      <w:proofErr w:type="spellEnd"/>
      <w:r>
        <w:t xml:space="preserve">, S., </w:t>
      </w:r>
      <w:proofErr w:type="spellStart"/>
      <w:r>
        <w:t>Rocchetti</w:t>
      </w:r>
      <w:proofErr w:type="spellEnd"/>
      <w:r>
        <w:t xml:space="preserve">, A., </w:t>
      </w:r>
      <w:proofErr w:type="spellStart"/>
      <w:r>
        <w:t>Gotta</w:t>
      </w:r>
      <w:proofErr w:type="spellEnd"/>
      <w:r>
        <w:t xml:space="preserve">, F., et al. (2013). </w:t>
      </w:r>
      <w:proofErr w:type="gramStart"/>
      <w:r>
        <w:t>Evaluation of a rapid antigen and antibody combination test in acute HIV infection.</w:t>
      </w:r>
      <w:proofErr w:type="gramEnd"/>
      <w:r>
        <w:t xml:space="preserve"> </w:t>
      </w:r>
      <w:r>
        <w:rPr>
          <w:i/>
          <w:iCs/>
        </w:rPr>
        <w:t>Journal of Clinical Virology, 57</w:t>
      </w:r>
      <w:r>
        <w:t xml:space="preserve">(1), 84-87. </w:t>
      </w:r>
    </w:p>
    <w:p w:rsidR="00CA5138" w:rsidRDefault="00CA5138" w:rsidP="00CA5138">
      <w:proofErr w:type="gramStart"/>
      <w:r>
        <w:lastRenderedPageBreak/>
        <w:t>Feldman, M., Wu, E., Mendoza, M., et al. (2012).</w:t>
      </w:r>
      <w:proofErr w:type="gramEnd"/>
      <w:r>
        <w:t xml:space="preserve"> The prevalence and correlates of receiving confirmatory HIV test results among newly diagnosed HIV-positive individuals at a community-based testing </w:t>
      </w:r>
      <w:proofErr w:type="spellStart"/>
      <w:r>
        <w:t>center</w:t>
      </w:r>
      <w:proofErr w:type="spellEnd"/>
      <w:r>
        <w:t xml:space="preserve">. </w:t>
      </w:r>
      <w:proofErr w:type="gramStart"/>
      <w:r>
        <w:rPr>
          <w:i/>
          <w:iCs/>
        </w:rPr>
        <w:t>AIDS Education &amp; Prevention, 24</w:t>
      </w:r>
      <w:r>
        <w:t>(5), 445-455.</w:t>
      </w:r>
      <w:proofErr w:type="gramEnd"/>
      <w:r>
        <w:t xml:space="preserve"> </w:t>
      </w:r>
    </w:p>
    <w:p w:rsidR="00CA5138" w:rsidRDefault="00CA5138" w:rsidP="00CA5138">
      <w:proofErr w:type="gramStart"/>
      <w:r>
        <w:t>Flores, K., &amp; Leon, S. R. (2013).</w:t>
      </w:r>
      <w:proofErr w:type="gramEnd"/>
      <w:r>
        <w:t xml:space="preserve"> Diagnostic accuracy among 4 point-of-care tests for the screening of HIV infection. </w:t>
      </w:r>
      <w:r>
        <w:rPr>
          <w:i/>
          <w:iCs/>
        </w:rPr>
        <w:t>Laboratory Medicine, 44</w:t>
      </w:r>
      <w:r>
        <w:t xml:space="preserve">(2), 172-175. </w:t>
      </w:r>
    </w:p>
    <w:p w:rsidR="00CA5138" w:rsidRDefault="00CA5138" w:rsidP="00CA5138">
      <w:proofErr w:type="spellStart"/>
      <w:r w:rsidRPr="00093CD9">
        <w:t>Gurtler</w:t>
      </w:r>
      <w:proofErr w:type="spellEnd"/>
      <w:r w:rsidRPr="00093CD9">
        <w:t xml:space="preserve">, L., </w:t>
      </w:r>
      <w:proofErr w:type="spellStart"/>
      <w:r w:rsidRPr="00093CD9">
        <w:t>Muhlbacher</w:t>
      </w:r>
      <w:proofErr w:type="spellEnd"/>
      <w:r w:rsidRPr="00093CD9">
        <w:t xml:space="preserve">, A., </w:t>
      </w:r>
      <w:proofErr w:type="spellStart"/>
      <w:r w:rsidRPr="00093CD9">
        <w:t>Michl</w:t>
      </w:r>
      <w:proofErr w:type="spellEnd"/>
      <w:r w:rsidRPr="00093CD9">
        <w:t xml:space="preserve">, U et al. </w:t>
      </w:r>
      <w:r>
        <w:t xml:space="preserve">(1998). </w:t>
      </w:r>
      <w:proofErr w:type="gramStart"/>
      <w:r>
        <w:t>Reduction of the diagnostic window with a new combined p24 antigen and human immunodeficiency virus antibody screening assay.</w:t>
      </w:r>
      <w:proofErr w:type="gramEnd"/>
      <w:r>
        <w:t xml:space="preserve"> </w:t>
      </w:r>
      <w:r>
        <w:rPr>
          <w:i/>
          <w:iCs/>
        </w:rPr>
        <w:t>Journal of Virological Methods, 75</w:t>
      </w:r>
      <w:r>
        <w:t xml:space="preserve">(1), 27-38. </w:t>
      </w:r>
    </w:p>
    <w:p w:rsidR="00CA5138" w:rsidRDefault="00CA5138" w:rsidP="00CA5138">
      <w:proofErr w:type="gramStart"/>
      <w:r>
        <w:t xml:space="preserve">Juarez-Figueroa, L., Uribe-Salas, F., </w:t>
      </w:r>
      <w:proofErr w:type="spellStart"/>
      <w:r>
        <w:t>Iracheta</w:t>
      </w:r>
      <w:proofErr w:type="spellEnd"/>
      <w:r>
        <w:t>, P., et al. (2014).</w:t>
      </w:r>
      <w:proofErr w:type="gramEnd"/>
      <w:r>
        <w:t xml:space="preserve"> </w:t>
      </w:r>
      <w:proofErr w:type="gramStart"/>
      <w:r>
        <w:t xml:space="preserve">Epidemiological characteristics of attendants of VCT in the context of a faster and integral diagnosis of HIV/STI in </w:t>
      </w:r>
      <w:proofErr w:type="spellStart"/>
      <w:r>
        <w:t>Condesa</w:t>
      </w:r>
      <w:proofErr w:type="spellEnd"/>
      <w:r>
        <w:t xml:space="preserve"> Clinic, Mexico City.</w:t>
      </w:r>
      <w:proofErr w:type="gramEnd"/>
      <w:r>
        <w:t xml:space="preserve"> </w:t>
      </w:r>
      <w:proofErr w:type="gramStart"/>
      <w:r>
        <w:rPr>
          <w:i/>
          <w:iCs/>
        </w:rPr>
        <w:t>Journal of the International AIDS Society, 17</w:t>
      </w:r>
      <w:r>
        <w:t>, 7.</w:t>
      </w:r>
      <w:proofErr w:type="gramEnd"/>
      <w:r>
        <w:t xml:space="preserve"> </w:t>
      </w:r>
    </w:p>
    <w:p w:rsidR="00CA5138" w:rsidRDefault="00CA5138" w:rsidP="00CA5138">
      <w:proofErr w:type="spellStart"/>
      <w:r>
        <w:t>Kania</w:t>
      </w:r>
      <w:proofErr w:type="spellEnd"/>
      <w:r>
        <w:t xml:space="preserve">, D., </w:t>
      </w:r>
      <w:proofErr w:type="spellStart"/>
      <w:r>
        <w:t>Bekale</w:t>
      </w:r>
      <w:proofErr w:type="spellEnd"/>
      <w:r>
        <w:t xml:space="preserve">, A. M., </w:t>
      </w:r>
      <w:proofErr w:type="spellStart"/>
      <w:r>
        <w:t>Nagot</w:t>
      </w:r>
      <w:proofErr w:type="spellEnd"/>
      <w:r>
        <w:t xml:space="preserve">, N., et al. (2013). Combining rapid diagnostic tests and dried blood spot assays for point-of-care testing of human immunodeficiency virus, hepatitis B and hepatitis C infections in Burkina Faso, West Africa. </w:t>
      </w:r>
      <w:proofErr w:type="gramStart"/>
      <w:r>
        <w:rPr>
          <w:i/>
          <w:iCs/>
        </w:rPr>
        <w:t>Clinical Microbiology &amp; Infection, 19</w:t>
      </w:r>
      <w:r>
        <w:t>(12), E533-541.</w:t>
      </w:r>
      <w:proofErr w:type="gramEnd"/>
      <w:r>
        <w:t xml:space="preserve"> </w:t>
      </w:r>
    </w:p>
    <w:p w:rsidR="00CA5138" w:rsidRDefault="00CA5138" w:rsidP="00CA5138">
      <w:proofErr w:type="spellStart"/>
      <w:r>
        <w:t>Kania</w:t>
      </w:r>
      <w:proofErr w:type="spellEnd"/>
      <w:r>
        <w:t xml:space="preserve">, D., Truong, T. N., Montoya, A., et al. (2015). </w:t>
      </w:r>
      <w:proofErr w:type="gramStart"/>
      <w:r>
        <w:t>Performances of fourth generation HIV antigen/antibody assays on filter paper for detection of early HIV infections.</w:t>
      </w:r>
      <w:proofErr w:type="gramEnd"/>
      <w:r>
        <w:t xml:space="preserve"> </w:t>
      </w:r>
      <w:r>
        <w:rPr>
          <w:i/>
          <w:iCs/>
        </w:rPr>
        <w:t>Journal of Clinical Virology, 62</w:t>
      </w:r>
      <w:r>
        <w:t xml:space="preserve">, 92-97. </w:t>
      </w:r>
    </w:p>
    <w:p w:rsidR="00CA5138" w:rsidRDefault="00CA5138" w:rsidP="00CA5138">
      <w:proofErr w:type="spellStart"/>
      <w:r>
        <w:t>Kashyap</w:t>
      </w:r>
      <w:proofErr w:type="spellEnd"/>
      <w:r>
        <w:t xml:space="preserve">, B., </w:t>
      </w:r>
      <w:proofErr w:type="spellStart"/>
      <w:r>
        <w:t>Bhalla</w:t>
      </w:r>
      <w:proofErr w:type="spellEnd"/>
      <w:r>
        <w:t xml:space="preserve">, P., Sharma, A., &amp; Saini, S. (2009). </w:t>
      </w:r>
      <w:proofErr w:type="gramStart"/>
      <w:r>
        <w:t>Profile of direct walk-in and referred clients attending Integrated Counselling and Testing Centre.</w:t>
      </w:r>
      <w:proofErr w:type="gramEnd"/>
      <w:r>
        <w:t xml:space="preserve"> </w:t>
      </w:r>
      <w:r>
        <w:rPr>
          <w:i/>
          <w:iCs/>
        </w:rPr>
        <w:t>International Journal of STD &amp; AIDS, 20</w:t>
      </w:r>
      <w:r>
        <w:t xml:space="preserve">(10), 708-711. </w:t>
      </w:r>
    </w:p>
    <w:p w:rsidR="00CA5138" w:rsidRDefault="00CA5138" w:rsidP="00CA5138">
      <w:proofErr w:type="spellStart"/>
      <w:proofErr w:type="gramStart"/>
      <w:r>
        <w:t>Kilembe</w:t>
      </w:r>
      <w:proofErr w:type="spellEnd"/>
      <w:r>
        <w:t xml:space="preserve">, W., Keeling, M., </w:t>
      </w:r>
      <w:proofErr w:type="spellStart"/>
      <w:r>
        <w:t>Karita</w:t>
      </w:r>
      <w:proofErr w:type="spellEnd"/>
      <w:r>
        <w:t>, E., et al. (2012).</w:t>
      </w:r>
      <w:proofErr w:type="gramEnd"/>
      <w:r>
        <w:t xml:space="preserve"> Failure of a novel, rapid antigen and antibody combination test to detect antigen-positive HIV infection in </w:t>
      </w:r>
      <w:proofErr w:type="spellStart"/>
      <w:proofErr w:type="gramStart"/>
      <w:r>
        <w:t>african</w:t>
      </w:r>
      <w:proofErr w:type="spellEnd"/>
      <w:proofErr w:type="gramEnd"/>
      <w:r>
        <w:t xml:space="preserve"> adults with early HIV infection. </w:t>
      </w:r>
      <w:proofErr w:type="spellStart"/>
      <w:proofErr w:type="gramStart"/>
      <w:r>
        <w:rPr>
          <w:i/>
          <w:iCs/>
        </w:rPr>
        <w:t>PLoS</w:t>
      </w:r>
      <w:proofErr w:type="spellEnd"/>
      <w:r>
        <w:rPr>
          <w:i/>
          <w:iCs/>
        </w:rPr>
        <w:t xml:space="preserve"> ONE, 7</w:t>
      </w:r>
      <w:r>
        <w:t>(6).</w:t>
      </w:r>
      <w:proofErr w:type="gramEnd"/>
      <w:r>
        <w:t xml:space="preserve"> </w:t>
      </w:r>
    </w:p>
    <w:p w:rsidR="00CA5138" w:rsidRDefault="00CA5138" w:rsidP="00CA5138">
      <w:r>
        <w:t xml:space="preserve">Knight, V., Gale, M., Guy, R., et al. (2014). A novel time-limited pop-up HIV testing service for gay men in Sydney, Australia, attracts high-risk men. </w:t>
      </w:r>
      <w:r>
        <w:rPr>
          <w:i/>
          <w:iCs/>
        </w:rPr>
        <w:t>Sexual Health, 11</w:t>
      </w:r>
      <w:r>
        <w:t xml:space="preserve">(4), 345-350. </w:t>
      </w:r>
    </w:p>
    <w:p w:rsidR="00CA5138" w:rsidRDefault="00CA5138" w:rsidP="00CA5138">
      <w:proofErr w:type="spellStart"/>
      <w:proofErr w:type="gramStart"/>
      <w:r w:rsidRPr="00093CD9">
        <w:t>Leber</w:t>
      </w:r>
      <w:proofErr w:type="spellEnd"/>
      <w:r w:rsidRPr="00093CD9">
        <w:t xml:space="preserve">, W., McMullen, H., </w:t>
      </w:r>
      <w:proofErr w:type="spellStart"/>
      <w:r w:rsidRPr="00093CD9">
        <w:t>Bremner</w:t>
      </w:r>
      <w:proofErr w:type="spellEnd"/>
      <w:r w:rsidRPr="00093CD9">
        <w:t xml:space="preserve">, S., et al. </w:t>
      </w:r>
      <w:r>
        <w:t>(2012).</w:t>
      </w:r>
      <w:proofErr w:type="gramEnd"/>
      <w:r>
        <w:t xml:space="preserve"> Can point of care HIV testing in primary care increase identification of HIV? The RHIVA 2 cluster randomised controlled trial - Update. </w:t>
      </w:r>
      <w:proofErr w:type="gramStart"/>
      <w:r>
        <w:rPr>
          <w:i/>
          <w:iCs/>
        </w:rPr>
        <w:t>HIV Medicine, 13</w:t>
      </w:r>
      <w:r>
        <w:t>(7).</w:t>
      </w:r>
      <w:proofErr w:type="gramEnd"/>
      <w:r>
        <w:t xml:space="preserve"> </w:t>
      </w:r>
    </w:p>
    <w:p w:rsidR="00CA5138" w:rsidRDefault="00CA5138" w:rsidP="00CA5138">
      <w:proofErr w:type="spellStart"/>
      <w:r>
        <w:t>Lucht</w:t>
      </w:r>
      <w:proofErr w:type="spellEnd"/>
      <w:r>
        <w:t xml:space="preserve">, A., </w:t>
      </w:r>
      <w:proofErr w:type="spellStart"/>
      <w:r>
        <w:t>Munstermann</w:t>
      </w:r>
      <w:proofErr w:type="spellEnd"/>
      <w:r>
        <w:t xml:space="preserve">, D., </w:t>
      </w:r>
      <w:proofErr w:type="spellStart"/>
      <w:r>
        <w:t>Hagedorn</w:t>
      </w:r>
      <w:proofErr w:type="spellEnd"/>
      <w:r>
        <w:t xml:space="preserve">, H. J., et al. (2013). </w:t>
      </w:r>
      <w:proofErr w:type="gramStart"/>
      <w:r>
        <w:t>Rapid HIV testing in the public health setting in north Rhine-Westphalia, 2011-2012.</w:t>
      </w:r>
      <w:proofErr w:type="gramEnd"/>
      <w:r>
        <w:t xml:space="preserve"> </w:t>
      </w:r>
      <w:proofErr w:type="gramStart"/>
      <w:r>
        <w:rPr>
          <w:i/>
          <w:iCs/>
        </w:rPr>
        <w:t>Sexually Transmitted Infections, 89</w:t>
      </w:r>
      <w:r>
        <w:t>.</w:t>
      </w:r>
      <w:proofErr w:type="gramEnd"/>
      <w:r>
        <w:t xml:space="preserve"> </w:t>
      </w:r>
    </w:p>
    <w:p w:rsidR="00CA5138" w:rsidRDefault="00CA5138" w:rsidP="00CA5138">
      <w:proofErr w:type="spellStart"/>
      <w:proofErr w:type="gramStart"/>
      <w:r>
        <w:t>MacGowan</w:t>
      </w:r>
      <w:proofErr w:type="spellEnd"/>
      <w:r>
        <w:t>, R., Margolis, A., Richardson-Moore, A., et al. (2009).</w:t>
      </w:r>
      <w:proofErr w:type="gramEnd"/>
      <w:r>
        <w:t xml:space="preserve"> </w:t>
      </w:r>
      <w:proofErr w:type="gramStart"/>
      <w:r>
        <w:t>Voluntary rapid human immunodeficiency virus (HIV) testing in jails.</w:t>
      </w:r>
      <w:proofErr w:type="gramEnd"/>
      <w:r>
        <w:t xml:space="preserve"> </w:t>
      </w:r>
      <w:proofErr w:type="gramStart"/>
      <w:r>
        <w:rPr>
          <w:i/>
          <w:iCs/>
        </w:rPr>
        <w:t>Sexually Transmitted Diseases, 36</w:t>
      </w:r>
      <w:r>
        <w:t>(SUPPL. 2), S9-S13.</w:t>
      </w:r>
      <w:proofErr w:type="gramEnd"/>
      <w:r>
        <w:t xml:space="preserve"> </w:t>
      </w:r>
    </w:p>
    <w:p w:rsidR="00CA5138" w:rsidRDefault="00CA5138" w:rsidP="00CA5138">
      <w:proofErr w:type="spellStart"/>
      <w:proofErr w:type="gramStart"/>
      <w:r>
        <w:t>Malonza</w:t>
      </w:r>
      <w:proofErr w:type="spellEnd"/>
      <w:r>
        <w:t xml:space="preserve">, I. M., Richardson, B. A., </w:t>
      </w:r>
      <w:proofErr w:type="spellStart"/>
      <w:r>
        <w:t>Kreiss</w:t>
      </w:r>
      <w:proofErr w:type="spellEnd"/>
      <w:r>
        <w:t>, J. K., et al. (2003).</w:t>
      </w:r>
      <w:proofErr w:type="gramEnd"/>
      <w:r>
        <w:t xml:space="preserve"> The effect of rapid HIV-1 testing on uptake of perinatal HIV-1 interventions: A randomized clinical trial. </w:t>
      </w:r>
      <w:r>
        <w:rPr>
          <w:i/>
          <w:iCs/>
        </w:rPr>
        <w:t>Aids, 17</w:t>
      </w:r>
      <w:r>
        <w:t xml:space="preserve">(1), 113-118. </w:t>
      </w:r>
    </w:p>
    <w:p w:rsidR="00CA5138" w:rsidRDefault="00CA5138" w:rsidP="00CA5138">
      <w:r>
        <w:lastRenderedPageBreak/>
        <w:t xml:space="preserve">Martin, E. G., </w:t>
      </w:r>
      <w:proofErr w:type="spellStart"/>
      <w:r>
        <w:t>Salaru</w:t>
      </w:r>
      <w:proofErr w:type="spellEnd"/>
      <w:r>
        <w:t xml:space="preserve">, G., Paul, S. M., &amp; </w:t>
      </w:r>
      <w:proofErr w:type="spellStart"/>
      <w:r>
        <w:t>Cadoff</w:t>
      </w:r>
      <w:proofErr w:type="spellEnd"/>
      <w:r>
        <w:t xml:space="preserve">, E. M. (2011). </w:t>
      </w:r>
      <w:proofErr w:type="gramStart"/>
      <w:r>
        <w:t>Use of a rapid HIV testing algorithm to improve linkage to care.</w:t>
      </w:r>
      <w:proofErr w:type="gramEnd"/>
      <w:r>
        <w:t xml:space="preserve"> </w:t>
      </w:r>
      <w:proofErr w:type="gramStart"/>
      <w:r>
        <w:rPr>
          <w:i/>
          <w:iCs/>
        </w:rPr>
        <w:t xml:space="preserve">Journal of Clinical Virology, 52 </w:t>
      </w:r>
      <w:proofErr w:type="spellStart"/>
      <w:r>
        <w:rPr>
          <w:i/>
          <w:iCs/>
        </w:rPr>
        <w:t>Suppl</w:t>
      </w:r>
      <w:proofErr w:type="spellEnd"/>
      <w:r>
        <w:rPr>
          <w:i/>
          <w:iCs/>
        </w:rPr>
        <w:t xml:space="preserve"> 1</w:t>
      </w:r>
      <w:r>
        <w:t>, S11-15.</w:t>
      </w:r>
      <w:proofErr w:type="gramEnd"/>
      <w:r>
        <w:t xml:space="preserve"> </w:t>
      </w:r>
    </w:p>
    <w:p w:rsidR="00CA5138" w:rsidRDefault="00CA5138" w:rsidP="00CA5138">
      <w:proofErr w:type="spellStart"/>
      <w:proofErr w:type="gramStart"/>
      <w:r>
        <w:t>Masciotra</w:t>
      </w:r>
      <w:proofErr w:type="spellEnd"/>
      <w:r>
        <w:t>, S., McDougal, J. S., Feldman, J., et al. (2011).</w:t>
      </w:r>
      <w:proofErr w:type="gramEnd"/>
      <w:r>
        <w:t xml:space="preserve"> Evaluation of an alternative HIV diagnostic algorithm using specimens from </w:t>
      </w:r>
      <w:proofErr w:type="spellStart"/>
      <w:r>
        <w:t>seroconversion</w:t>
      </w:r>
      <w:proofErr w:type="spellEnd"/>
      <w:r>
        <w:t xml:space="preserve"> panels and persons with established HIV infections. </w:t>
      </w:r>
      <w:proofErr w:type="gramStart"/>
      <w:r>
        <w:rPr>
          <w:i/>
          <w:iCs/>
        </w:rPr>
        <w:t xml:space="preserve">Journal of Clinical Virology, 52 </w:t>
      </w:r>
      <w:proofErr w:type="spellStart"/>
      <w:r>
        <w:rPr>
          <w:i/>
          <w:iCs/>
        </w:rPr>
        <w:t>Suppl</w:t>
      </w:r>
      <w:proofErr w:type="spellEnd"/>
      <w:r>
        <w:rPr>
          <w:i/>
          <w:iCs/>
        </w:rPr>
        <w:t xml:space="preserve"> 1</w:t>
      </w:r>
      <w:r>
        <w:t>, S17-22.</w:t>
      </w:r>
      <w:proofErr w:type="gramEnd"/>
      <w:r>
        <w:t xml:space="preserve"> </w:t>
      </w:r>
    </w:p>
    <w:p w:rsidR="00CA5138" w:rsidRDefault="00CA5138" w:rsidP="00CA5138">
      <w:proofErr w:type="spellStart"/>
      <w:proofErr w:type="gramStart"/>
      <w:r>
        <w:t>Masciotra</w:t>
      </w:r>
      <w:proofErr w:type="spellEnd"/>
      <w:r>
        <w:t xml:space="preserve">, S., Smith, A. J., </w:t>
      </w:r>
      <w:proofErr w:type="spellStart"/>
      <w:r>
        <w:t>Youngpairoj</w:t>
      </w:r>
      <w:proofErr w:type="spellEnd"/>
      <w:r>
        <w:t>, A. S., et al. (2013b).</w:t>
      </w:r>
      <w:proofErr w:type="gramEnd"/>
      <w:r>
        <w:t xml:space="preserve"> Evaluation of the CDC proposed laboratory HIV testing algorithm among men who have sex with men (MSM) from five US metropolitan statistical areas using specimens collected in 2011. </w:t>
      </w:r>
      <w:proofErr w:type="gramStart"/>
      <w:r>
        <w:rPr>
          <w:i/>
          <w:iCs/>
        </w:rPr>
        <w:t xml:space="preserve">Journal of Clinical Virology, 58 </w:t>
      </w:r>
      <w:proofErr w:type="spellStart"/>
      <w:r>
        <w:rPr>
          <w:i/>
          <w:iCs/>
        </w:rPr>
        <w:t>Suppl</w:t>
      </w:r>
      <w:proofErr w:type="spellEnd"/>
      <w:r>
        <w:rPr>
          <w:i/>
          <w:iCs/>
        </w:rPr>
        <w:t xml:space="preserve"> 1</w:t>
      </w:r>
      <w:r>
        <w:t>, e8-e12.</w:t>
      </w:r>
      <w:proofErr w:type="gramEnd"/>
      <w:r>
        <w:t xml:space="preserve"> </w:t>
      </w:r>
    </w:p>
    <w:p w:rsidR="00CA5138" w:rsidRDefault="00CA5138" w:rsidP="00CA5138">
      <w:proofErr w:type="gramStart"/>
      <w:r>
        <w:t xml:space="preserve">McGrath, M., Cohen, A., </w:t>
      </w:r>
      <w:proofErr w:type="spellStart"/>
      <w:r>
        <w:t>Gorre</w:t>
      </w:r>
      <w:proofErr w:type="spellEnd"/>
      <w:r>
        <w:t xml:space="preserve">, M., &amp; </w:t>
      </w:r>
      <w:proofErr w:type="spellStart"/>
      <w:r>
        <w:t>Klausner</w:t>
      </w:r>
      <w:proofErr w:type="spellEnd"/>
      <w:r>
        <w:t>, J. (2014).</w:t>
      </w:r>
      <w:proofErr w:type="gramEnd"/>
      <w:r>
        <w:t xml:space="preserve"> </w:t>
      </w:r>
      <w:proofErr w:type="gramStart"/>
      <w:r>
        <w:t>Evaluating 4th generation testing for HIV-1 within a non-profit setting.</w:t>
      </w:r>
      <w:proofErr w:type="gramEnd"/>
      <w:r>
        <w:t xml:space="preserve"> </w:t>
      </w:r>
      <w:proofErr w:type="gramStart"/>
      <w:r>
        <w:rPr>
          <w:i/>
          <w:iCs/>
        </w:rPr>
        <w:t>Sexually Transmitted Diseases, 41</w:t>
      </w:r>
      <w:r>
        <w:t>, S31.</w:t>
      </w:r>
      <w:proofErr w:type="gramEnd"/>
      <w:r>
        <w:t xml:space="preserve"> </w:t>
      </w:r>
    </w:p>
    <w:p w:rsidR="00CA5138" w:rsidRDefault="00CA5138" w:rsidP="00CA5138">
      <w:proofErr w:type="spellStart"/>
      <w:r>
        <w:t>Melo</w:t>
      </w:r>
      <w:proofErr w:type="spellEnd"/>
      <w:r>
        <w:t xml:space="preserve">, J., Nilsson, C., </w:t>
      </w:r>
      <w:proofErr w:type="spellStart"/>
      <w:r>
        <w:t>Mondlane</w:t>
      </w:r>
      <w:proofErr w:type="spellEnd"/>
      <w:r>
        <w:t xml:space="preserve">, J., et al. (2009). Comparison of the performance of rapid HIV tests using samples collected for surveillance in Mozambique. </w:t>
      </w:r>
      <w:r>
        <w:rPr>
          <w:i/>
          <w:iCs/>
        </w:rPr>
        <w:t>Journal of Medical Virology, 81</w:t>
      </w:r>
      <w:r>
        <w:t xml:space="preserve">(12), 1991-1998. </w:t>
      </w:r>
    </w:p>
    <w:p w:rsidR="00CA5138" w:rsidRDefault="00CA5138" w:rsidP="00CA5138">
      <w:r>
        <w:t xml:space="preserve">Metcalf, C. A., Douglas, J. M., </w:t>
      </w:r>
      <w:proofErr w:type="spellStart"/>
      <w:r>
        <w:t>Malotte</w:t>
      </w:r>
      <w:proofErr w:type="spellEnd"/>
      <w:r>
        <w:t xml:space="preserve">, C. K., et al. (2005). Relative efficacy of prevention </w:t>
      </w:r>
      <w:proofErr w:type="spellStart"/>
      <w:r>
        <w:t>counseling</w:t>
      </w:r>
      <w:proofErr w:type="spellEnd"/>
      <w:r>
        <w:t xml:space="preserve"> with rapid and standard HIV testing: a randomized, controlled trial (RESPECT-2). </w:t>
      </w:r>
      <w:r>
        <w:rPr>
          <w:i/>
          <w:iCs/>
        </w:rPr>
        <w:t>Sexually Transmitted Diseases, 32</w:t>
      </w:r>
      <w:r>
        <w:t xml:space="preserve">(2), 130-138. </w:t>
      </w:r>
    </w:p>
    <w:p w:rsidR="00CA5138" w:rsidRDefault="00CA5138" w:rsidP="00CA5138">
      <w:proofErr w:type="spellStart"/>
      <w:r w:rsidRPr="00093CD9">
        <w:t>Metsch</w:t>
      </w:r>
      <w:proofErr w:type="spellEnd"/>
      <w:r w:rsidRPr="00093CD9">
        <w:t xml:space="preserve">, L. R., Feaster, D. J., Gooden, L., et al. </w:t>
      </w:r>
      <w:r>
        <w:t xml:space="preserve">(2012). </w:t>
      </w:r>
      <w:proofErr w:type="gramStart"/>
      <w:r>
        <w:t xml:space="preserve">Implementing rapid HIV testing with or without risk-reduction </w:t>
      </w:r>
      <w:proofErr w:type="spellStart"/>
      <w:r>
        <w:t>counseling</w:t>
      </w:r>
      <w:proofErr w:type="spellEnd"/>
      <w:r>
        <w:t xml:space="preserve"> in drug treatment </w:t>
      </w:r>
      <w:proofErr w:type="spellStart"/>
      <w:r>
        <w:t>centers</w:t>
      </w:r>
      <w:proofErr w:type="spellEnd"/>
      <w:r>
        <w:t>: results of a randomized trial.</w:t>
      </w:r>
      <w:proofErr w:type="gramEnd"/>
      <w:r>
        <w:t xml:space="preserve"> </w:t>
      </w:r>
      <w:proofErr w:type="gramStart"/>
      <w:r>
        <w:rPr>
          <w:i/>
          <w:iCs/>
        </w:rPr>
        <w:t>American journal of public health, 102</w:t>
      </w:r>
      <w:r>
        <w:t>(6), 1160-1167.</w:t>
      </w:r>
      <w:proofErr w:type="gramEnd"/>
      <w:r>
        <w:t xml:space="preserve"> </w:t>
      </w:r>
    </w:p>
    <w:p w:rsidR="00CA5138" w:rsidRDefault="00CA5138" w:rsidP="00CA5138">
      <w:proofErr w:type="spellStart"/>
      <w:proofErr w:type="gramStart"/>
      <w:r>
        <w:t>Montesinos</w:t>
      </w:r>
      <w:proofErr w:type="spellEnd"/>
      <w:r>
        <w:t xml:space="preserve">, I., </w:t>
      </w:r>
      <w:proofErr w:type="spellStart"/>
      <w:r>
        <w:t>Eykmans</w:t>
      </w:r>
      <w:proofErr w:type="spellEnd"/>
      <w:r>
        <w:t xml:space="preserve">, J., &amp; </w:t>
      </w:r>
      <w:proofErr w:type="spellStart"/>
      <w:r>
        <w:t>Delforge</w:t>
      </w:r>
      <w:proofErr w:type="spellEnd"/>
      <w:r>
        <w:t>, M. L. (2014).</w:t>
      </w:r>
      <w:proofErr w:type="gramEnd"/>
      <w:r>
        <w:t xml:space="preserve"> </w:t>
      </w:r>
      <w:proofErr w:type="gramStart"/>
      <w:r>
        <w:t xml:space="preserve">Evaluation of the Bio-Rad </w:t>
      </w:r>
      <w:proofErr w:type="spellStart"/>
      <w:r>
        <w:t>Geenius</w:t>
      </w:r>
      <w:proofErr w:type="spellEnd"/>
      <w:r>
        <w:t xml:space="preserve"> HIV-1/2 test as a confirmatory assay.</w:t>
      </w:r>
      <w:proofErr w:type="gramEnd"/>
      <w:r>
        <w:t xml:space="preserve"> </w:t>
      </w:r>
      <w:r>
        <w:rPr>
          <w:i/>
          <w:iCs/>
        </w:rPr>
        <w:t>Journal of Clinical Virology, 60</w:t>
      </w:r>
      <w:r>
        <w:t xml:space="preserve">(4), 399-401. </w:t>
      </w:r>
    </w:p>
    <w:p w:rsidR="00CA5138" w:rsidRDefault="00CA5138" w:rsidP="00CA5138">
      <w:proofErr w:type="spellStart"/>
      <w:r>
        <w:t>Mungrue</w:t>
      </w:r>
      <w:proofErr w:type="spellEnd"/>
      <w:r>
        <w:t xml:space="preserve">, K., </w:t>
      </w:r>
      <w:proofErr w:type="spellStart"/>
      <w:r>
        <w:t>Sahadool</w:t>
      </w:r>
      <w:proofErr w:type="spellEnd"/>
      <w:r>
        <w:t xml:space="preserve">, S., Evans, R., et al. (2013). </w:t>
      </w:r>
      <w:proofErr w:type="gramStart"/>
      <w:r>
        <w:t>Assessing the HIV rapid test in the fight against the HIV/AIDS epidemic in Trinidad.</w:t>
      </w:r>
      <w:proofErr w:type="gramEnd"/>
      <w:r>
        <w:t xml:space="preserve"> </w:t>
      </w:r>
      <w:r>
        <w:rPr>
          <w:i/>
          <w:iCs/>
        </w:rPr>
        <w:t>HIV/AIDS - Research and Palliative Care, 5</w:t>
      </w:r>
      <w:r>
        <w:t xml:space="preserve">, 191-198. </w:t>
      </w:r>
    </w:p>
    <w:p w:rsidR="00CA5138" w:rsidRDefault="00CA5138" w:rsidP="00CA5138">
      <w:proofErr w:type="gramStart"/>
      <w:r>
        <w:t>Owen, D., &amp; O'Farrell, N. (2007).</w:t>
      </w:r>
      <w:proofErr w:type="gramEnd"/>
      <w:r>
        <w:t xml:space="preserve"> </w:t>
      </w:r>
      <w:proofErr w:type="gramStart"/>
      <w:r>
        <w:t>Rapid HIV testing in a clinic setting.</w:t>
      </w:r>
      <w:proofErr w:type="gramEnd"/>
      <w:r>
        <w:t xml:space="preserve"> </w:t>
      </w:r>
      <w:r>
        <w:rPr>
          <w:i/>
          <w:iCs/>
        </w:rPr>
        <w:t>International Journal of STD &amp; AIDS, 18</w:t>
      </w:r>
      <w:r>
        <w:t xml:space="preserve">(6), 418-419. </w:t>
      </w:r>
    </w:p>
    <w:p w:rsidR="00CA5138" w:rsidRPr="0003725D" w:rsidRDefault="00CA5138" w:rsidP="00CA5138">
      <w:pPr>
        <w:rPr>
          <w:lang w:val="it-IT"/>
        </w:rPr>
      </w:pPr>
      <w:proofErr w:type="gramStart"/>
      <w:r w:rsidRPr="00093CD9">
        <w:t xml:space="preserve">Parikh, U. M., </w:t>
      </w:r>
      <w:proofErr w:type="spellStart"/>
      <w:r w:rsidRPr="00093CD9">
        <w:t>Livant</w:t>
      </w:r>
      <w:proofErr w:type="spellEnd"/>
      <w:r w:rsidRPr="00093CD9">
        <w:t xml:space="preserve">, E., Kelly, C., et al. </w:t>
      </w:r>
      <w:r>
        <w:t>(2014).</w:t>
      </w:r>
      <w:proofErr w:type="gramEnd"/>
      <w:r>
        <w:t xml:space="preserve"> </w:t>
      </w:r>
      <w:proofErr w:type="gramStart"/>
      <w:r>
        <w:t xml:space="preserve">Performance of HIV Rapid Tests To Identify </w:t>
      </w:r>
      <w:proofErr w:type="spellStart"/>
      <w:r>
        <w:t>Seroconverters</w:t>
      </w:r>
      <w:proofErr w:type="spellEnd"/>
      <w:r>
        <w:t xml:space="preserve"> in MTN 003 (VOICE).</w:t>
      </w:r>
      <w:proofErr w:type="gramEnd"/>
      <w:r>
        <w:t xml:space="preserve"> </w:t>
      </w:r>
      <w:r w:rsidRPr="0003725D">
        <w:rPr>
          <w:i/>
          <w:iCs/>
          <w:lang w:val="it-IT"/>
        </w:rPr>
        <w:t>Topics in Antiviral Medicine, 22 (e-1)</w:t>
      </w:r>
      <w:r w:rsidRPr="0003725D">
        <w:rPr>
          <w:lang w:val="it-IT"/>
        </w:rPr>
        <w:t xml:space="preserve">, 304. </w:t>
      </w:r>
    </w:p>
    <w:p w:rsidR="00CA5138" w:rsidRDefault="00CA5138" w:rsidP="00CA5138">
      <w:r w:rsidRPr="0003725D">
        <w:rPr>
          <w:lang w:val="it-IT"/>
        </w:rPr>
        <w:t xml:space="preserve">Patel, P., Bennett, B., Sullivan, T., </w:t>
      </w:r>
      <w:r w:rsidR="00DF3B3B" w:rsidRPr="0003725D">
        <w:rPr>
          <w:lang w:val="it-IT"/>
        </w:rPr>
        <w:t>et al</w:t>
      </w:r>
      <w:r w:rsidRPr="0003725D">
        <w:rPr>
          <w:lang w:val="it-IT"/>
        </w:rPr>
        <w:t xml:space="preserve">. </w:t>
      </w:r>
      <w:r>
        <w:t xml:space="preserve">(2012). Rapid HIV screening: Missed opportunities for HIV diagnosis and prevention. </w:t>
      </w:r>
      <w:r>
        <w:rPr>
          <w:i/>
          <w:iCs/>
        </w:rPr>
        <w:t>Journal of Clinical Virology, 54</w:t>
      </w:r>
      <w:r>
        <w:t xml:space="preserve">(1), 42-47. </w:t>
      </w:r>
    </w:p>
    <w:p w:rsidR="00CA5138" w:rsidRPr="0003725D" w:rsidRDefault="00CA5138" w:rsidP="00CA5138">
      <w:pPr>
        <w:rPr>
          <w:lang w:val="fr-FR"/>
        </w:rPr>
      </w:pPr>
      <w:proofErr w:type="gramStart"/>
      <w:r w:rsidRPr="00796ABA">
        <w:t xml:space="preserve">Patel, S., Schechter, M. T., </w:t>
      </w:r>
      <w:proofErr w:type="spellStart"/>
      <w:r w:rsidRPr="00796ABA">
        <w:t>Sewankambo</w:t>
      </w:r>
      <w:proofErr w:type="spellEnd"/>
      <w:r w:rsidRPr="00796ABA">
        <w:t xml:space="preserve">, N. K., </w:t>
      </w:r>
      <w:r w:rsidR="00DF3B3B" w:rsidRPr="00796ABA">
        <w:t>et al</w:t>
      </w:r>
      <w:r w:rsidRPr="00796ABA">
        <w:t xml:space="preserve">. </w:t>
      </w:r>
      <w:r>
        <w:t>(2014).</w:t>
      </w:r>
      <w:proofErr w:type="gramEnd"/>
      <w:r>
        <w:t xml:space="preserve"> </w:t>
      </w:r>
      <w:proofErr w:type="gramStart"/>
      <w:r>
        <w:t xml:space="preserve">Lost in transition: HIV prevalence and correlates of infection among young people living in post-emergency phase transit camps in </w:t>
      </w:r>
      <w:proofErr w:type="spellStart"/>
      <w:r>
        <w:t>Gulu</w:t>
      </w:r>
      <w:proofErr w:type="spellEnd"/>
      <w:r>
        <w:t xml:space="preserve"> District, Northern Uganda.</w:t>
      </w:r>
      <w:proofErr w:type="gramEnd"/>
      <w:r>
        <w:t xml:space="preserve"> </w:t>
      </w:r>
      <w:proofErr w:type="spellStart"/>
      <w:r w:rsidRPr="0003725D">
        <w:rPr>
          <w:i/>
          <w:iCs/>
          <w:lang w:val="fr-FR"/>
        </w:rPr>
        <w:t>PLoS</w:t>
      </w:r>
      <w:proofErr w:type="spellEnd"/>
      <w:r w:rsidRPr="0003725D">
        <w:rPr>
          <w:i/>
          <w:iCs/>
          <w:lang w:val="fr-FR"/>
        </w:rPr>
        <w:t xml:space="preserve"> ONE [</w:t>
      </w:r>
      <w:proofErr w:type="spellStart"/>
      <w:r w:rsidRPr="0003725D">
        <w:rPr>
          <w:i/>
          <w:iCs/>
          <w:lang w:val="fr-FR"/>
        </w:rPr>
        <w:t>Electronic</w:t>
      </w:r>
      <w:proofErr w:type="spellEnd"/>
      <w:r w:rsidRPr="0003725D">
        <w:rPr>
          <w:i/>
          <w:iCs/>
          <w:lang w:val="fr-FR"/>
        </w:rPr>
        <w:t xml:space="preserve"> Resource], 9</w:t>
      </w:r>
      <w:r w:rsidRPr="0003725D">
        <w:rPr>
          <w:lang w:val="fr-FR"/>
        </w:rPr>
        <w:t xml:space="preserve">(2), e89786. </w:t>
      </w:r>
    </w:p>
    <w:p w:rsidR="00CA5138" w:rsidRDefault="00CA5138" w:rsidP="00CA5138">
      <w:r w:rsidRPr="0003725D">
        <w:rPr>
          <w:lang w:val="fr-FR"/>
        </w:rPr>
        <w:t xml:space="preserve">Pavie, J., </w:t>
      </w:r>
      <w:proofErr w:type="spellStart"/>
      <w:r w:rsidRPr="0003725D">
        <w:rPr>
          <w:lang w:val="fr-FR"/>
        </w:rPr>
        <w:t>Rachline</w:t>
      </w:r>
      <w:proofErr w:type="spellEnd"/>
      <w:r w:rsidRPr="0003725D">
        <w:rPr>
          <w:lang w:val="fr-FR"/>
        </w:rPr>
        <w:t xml:space="preserve">, A., </w:t>
      </w:r>
      <w:proofErr w:type="spellStart"/>
      <w:r w:rsidRPr="0003725D">
        <w:rPr>
          <w:lang w:val="fr-FR"/>
        </w:rPr>
        <w:t>Loze</w:t>
      </w:r>
      <w:proofErr w:type="spellEnd"/>
      <w:r w:rsidRPr="0003725D">
        <w:rPr>
          <w:lang w:val="fr-FR"/>
        </w:rPr>
        <w:t xml:space="preserve">, B., </w:t>
      </w:r>
      <w:r w:rsidR="00DF3B3B" w:rsidRPr="0003725D">
        <w:rPr>
          <w:lang w:val="fr-FR"/>
        </w:rPr>
        <w:t>et al</w:t>
      </w:r>
      <w:r w:rsidRPr="0003725D">
        <w:rPr>
          <w:lang w:val="fr-FR"/>
        </w:rPr>
        <w:t xml:space="preserve">. </w:t>
      </w:r>
      <w:r>
        <w:t xml:space="preserve">(2010). Sensitivity of five rapid HIV tests on oral fluid or finger-stick whole blood: a real-time comparison in a healthcare setting. </w:t>
      </w:r>
      <w:proofErr w:type="spellStart"/>
      <w:proofErr w:type="gramStart"/>
      <w:r>
        <w:rPr>
          <w:i/>
          <w:iCs/>
        </w:rPr>
        <w:t>PLoS</w:t>
      </w:r>
      <w:proofErr w:type="spellEnd"/>
      <w:r>
        <w:rPr>
          <w:i/>
          <w:iCs/>
        </w:rPr>
        <w:t xml:space="preserve"> ONE [Electronic Resource], 5</w:t>
      </w:r>
      <w:r>
        <w:t>(7), e11581.</w:t>
      </w:r>
      <w:proofErr w:type="gramEnd"/>
      <w:r>
        <w:t xml:space="preserve"> </w:t>
      </w:r>
    </w:p>
    <w:p w:rsidR="00CA5138" w:rsidRDefault="00CA5138" w:rsidP="00CA5138">
      <w:r>
        <w:lastRenderedPageBreak/>
        <w:t xml:space="preserve">Perkins, R. C., Douglass, G., Ta, V., </w:t>
      </w:r>
      <w:r w:rsidR="00DF3B3B">
        <w:t>et al</w:t>
      </w:r>
      <w:r>
        <w:t xml:space="preserve">. (2013). Sexually transmitted infection screening among HIV-negative men and women seeking HIV-testing only: Missed opportunity for HIV prevention? </w:t>
      </w:r>
      <w:proofErr w:type="gramStart"/>
      <w:r>
        <w:rPr>
          <w:i/>
          <w:iCs/>
        </w:rPr>
        <w:t>Sexually Transmitted Infections, 89</w:t>
      </w:r>
      <w:r>
        <w:t>.</w:t>
      </w:r>
      <w:proofErr w:type="gramEnd"/>
      <w:r>
        <w:t xml:space="preserve"> </w:t>
      </w:r>
    </w:p>
    <w:p w:rsidR="00CA5138" w:rsidRDefault="00CA5138" w:rsidP="00CA5138">
      <w:proofErr w:type="gramStart"/>
      <w:r>
        <w:t xml:space="preserve">Pilcher, C. D., Louie, B., </w:t>
      </w:r>
      <w:proofErr w:type="spellStart"/>
      <w:r>
        <w:t>Facente</w:t>
      </w:r>
      <w:proofErr w:type="spellEnd"/>
      <w:r>
        <w:t xml:space="preserve">, S., </w:t>
      </w:r>
      <w:r w:rsidR="00DF3B3B">
        <w:t>et al</w:t>
      </w:r>
      <w:r>
        <w:t>. (2013).</w:t>
      </w:r>
      <w:proofErr w:type="gramEnd"/>
      <w:r>
        <w:t xml:space="preserve"> Performance of rapid point-of-care and laboratory tests for acute and established HIV infection in San Francisco. </w:t>
      </w:r>
      <w:proofErr w:type="spellStart"/>
      <w:proofErr w:type="gramStart"/>
      <w:r>
        <w:rPr>
          <w:i/>
          <w:iCs/>
        </w:rPr>
        <w:t>PLoS</w:t>
      </w:r>
      <w:proofErr w:type="spellEnd"/>
      <w:r>
        <w:rPr>
          <w:i/>
          <w:iCs/>
        </w:rPr>
        <w:t xml:space="preserve"> ONE, 8</w:t>
      </w:r>
      <w:r>
        <w:t>(12).</w:t>
      </w:r>
      <w:proofErr w:type="gramEnd"/>
      <w:r>
        <w:t xml:space="preserve"> </w:t>
      </w:r>
    </w:p>
    <w:p w:rsidR="00CA5138" w:rsidRDefault="00CA5138" w:rsidP="00CA5138">
      <w:proofErr w:type="spellStart"/>
      <w:proofErr w:type="gramStart"/>
      <w:r>
        <w:t>Piwowar</w:t>
      </w:r>
      <w:proofErr w:type="spellEnd"/>
      <w:r>
        <w:t xml:space="preserve">-Manning, E., </w:t>
      </w:r>
      <w:proofErr w:type="spellStart"/>
      <w:r>
        <w:t>Fogel</w:t>
      </w:r>
      <w:proofErr w:type="spellEnd"/>
      <w:r>
        <w:t xml:space="preserve">, J., </w:t>
      </w:r>
      <w:proofErr w:type="spellStart"/>
      <w:r>
        <w:t>Laeyendecker</w:t>
      </w:r>
      <w:proofErr w:type="spellEnd"/>
      <w:r>
        <w:t xml:space="preserve">, O., </w:t>
      </w:r>
      <w:r w:rsidR="00DF3B3B">
        <w:t>et al</w:t>
      </w:r>
      <w:r>
        <w:t>. (2014).</w:t>
      </w:r>
      <w:proofErr w:type="gramEnd"/>
      <w:r>
        <w:t xml:space="preserve"> </w:t>
      </w:r>
      <w:proofErr w:type="gramStart"/>
      <w:r>
        <w:t>Failure to identify HIV-infected individuals in a clinical trial using a single HIV rapid test for screening.</w:t>
      </w:r>
      <w:proofErr w:type="gramEnd"/>
      <w:r>
        <w:t xml:space="preserve"> </w:t>
      </w:r>
      <w:r>
        <w:rPr>
          <w:i/>
          <w:iCs/>
        </w:rPr>
        <w:t>HIV Clinical Trials, 15</w:t>
      </w:r>
      <w:r>
        <w:t xml:space="preserve">(2), 62-68. </w:t>
      </w:r>
    </w:p>
    <w:p w:rsidR="00CA5138" w:rsidRDefault="00CA5138" w:rsidP="00CA5138">
      <w:proofErr w:type="spellStart"/>
      <w:proofErr w:type="gramStart"/>
      <w:r>
        <w:t>Piwowar</w:t>
      </w:r>
      <w:proofErr w:type="spellEnd"/>
      <w:r>
        <w:t xml:space="preserve">-Manning, E., </w:t>
      </w:r>
      <w:proofErr w:type="spellStart"/>
      <w:r>
        <w:t>Fogel</w:t>
      </w:r>
      <w:proofErr w:type="spellEnd"/>
      <w:r>
        <w:t xml:space="preserve">, J. M., Richardson, P., </w:t>
      </w:r>
      <w:r w:rsidR="00DF3B3B">
        <w:t>et al</w:t>
      </w:r>
      <w:r>
        <w:t>. (2015).</w:t>
      </w:r>
      <w:proofErr w:type="gramEnd"/>
      <w:r>
        <w:t xml:space="preserve"> </w:t>
      </w:r>
      <w:proofErr w:type="gramStart"/>
      <w:r>
        <w:t>Performance of the fourth-generation Bio-Rad GS HIV Combo Ag/Ab enzyme immunoassay for diagnosis of HIV infection in Southern Africa.</w:t>
      </w:r>
      <w:proofErr w:type="gramEnd"/>
      <w:r>
        <w:t xml:space="preserve"> </w:t>
      </w:r>
      <w:r>
        <w:rPr>
          <w:i/>
          <w:iCs/>
        </w:rPr>
        <w:t>Journal of Clinical Virology, 62</w:t>
      </w:r>
      <w:r>
        <w:t xml:space="preserve">, 75-79. </w:t>
      </w:r>
    </w:p>
    <w:p w:rsidR="00CA5138" w:rsidRDefault="00CA5138" w:rsidP="00CA5138">
      <w:proofErr w:type="spellStart"/>
      <w:r w:rsidRPr="00093CD9">
        <w:t>Pottie</w:t>
      </w:r>
      <w:proofErr w:type="spellEnd"/>
      <w:r w:rsidRPr="00093CD9">
        <w:t xml:space="preserve">, K., </w:t>
      </w:r>
      <w:proofErr w:type="spellStart"/>
      <w:r w:rsidRPr="00093CD9">
        <w:t>Medu</w:t>
      </w:r>
      <w:proofErr w:type="spellEnd"/>
      <w:r w:rsidRPr="00093CD9">
        <w:t xml:space="preserve">, O., Welch, V., </w:t>
      </w:r>
      <w:r w:rsidR="00DF3B3B" w:rsidRPr="00093CD9">
        <w:t>et al</w:t>
      </w:r>
      <w:r w:rsidRPr="00093CD9">
        <w:t xml:space="preserve">. </w:t>
      </w:r>
      <w:r>
        <w:t xml:space="preserve">(2014). Effect of rapid HIV testing on HIV incidence and services in populations at high risk for HIV exposure: an equity-focused systematic review. </w:t>
      </w:r>
      <w:proofErr w:type="gramStart"/>
      <w:r>
        <w:rPr>
          <w:i/>
          <w:iCs/>
        </w:rPr>
        <w:t>BMJ Open, 4</w:t>
      </w:r>
      <w:r>
        <w:t>(12), e006859.</w:t>
      </w:r>
      <w:proofErr w:type="gramEnd"/>
      <w:r>
        <w:t xml:space="preserve"> </w:t>
      </w:r>
    </w:p>
    <w:p w:rsidR="00CA5138" w:rsidRDefault="00CA5138" w:rsidP="00CA5138">
      <w:proofErr w:type="gramStart"/>
      <w:r>
        <w:t xml:space="preserve">Ramos, E. M., </w:t>
      </w:r>
      <w:proofErr w:type="spellStart"/>
      <w:r>
        <w:t>Harb</w:t>
      </w:r>
      <w:proofErr w:type="spellEnd"/>
      <w:r>
        <w:t xml:space="preserve">, S., </w:t>
      </w:r>
      <w:proofErr w:type="spellStart"/>
      <w:r>
        <w:t>Dragavon</w:t>
      </w:r>
      <w:proofErr w:type="spellEnd"/>
      <w:r>
        <w:t>, J., &amp; Coombs, R. W. (2013).</w:t>
      </w:r>
      <w:proofErr w:type="gramEnd"/>
      <w:r>
        <w:t xml:space="preserve"> Clinical performance of the </w:t>
      </w:r>
      <w:proofErr w:type="spellStart"/>
      <w:r>
        <w:t>Multispot</w:t>
      </w:r>
      <w:proofErr w:type="spellEnd"/>
      <w:r>
        <w:t xml:space="preserve"> HIV-1/HIV-2 rapid test to correctly differentiate HIV-2 from HIV-1 infection in screening algorithms using third and fourth generation assays and to identify cross reactivity with the HIV-1 Western Blot. </w:t>
      </w:r>
      <w:proofErr w:type="gramStart"/>
      <w:r>
        <w:rPr>
          <w:i/>
          <w:iCs/>
        </w:rPr>
        <w:t xml:space="preserve">Journal of Clinical Virology, 58 </w:t>
      </w:r>
      <w:proofErr w:type="spellStart"/>
      <w:r>
        <w:rPr>
          <w:i/>
          <w:iCs/>
        </w:rPr>
        <w:t>Suppl</w:t>
      </w:r>
      <w:proofErr w:type="spellEnd"/>
      <w:r>
        <w:rPr>
          <w:i/>
          <w:iCs/>
        </w:rPr>
        <w:t xml:space="preserve"> 1</w:t>
      </w:r>
      <w:r>
        <w:t>, e104-107.</w:t>
      </w:r>
      <w:proofErr w:type="gramEnd"/>
      <w:r>
        <w:t xml:space="preserve"> </w:t>
      </w:r>
    </w:p>
    <w:p w:rsidR="00CA5138" w:rsidRDefault="00CA5138" w:rsidP="00CA5138">
      <w:r>
        <w:t xml:space="preserve">Schwartz, R. P., </w:t>
      </w:r>
      <w:proofErr w:type="spellStart"/>
      <w:r>
        <w:t>Stitzer</w:t>
      </w:r>
      <w:proofErr w:type="spellEnd"/>
      <w:r>
        <w:t xml:space="preserve">, M. L., Feaster, D. J., </w:t>
      </w:r>
      <w:r w:rsidR="00DF3B3B">
        <w:t>et al</w:t>
      </w:r>
      <w:r>
        <w:t xml:space="preserve">. (2013). HIV rapid testing in drug treatment: Comparison across treatment modalities. </w:t>
      </w:r>
      <w:r>
        <w:rPr>
          <w:i/>
          <w:iCs/>
        </w:rPr>
        <w:t>Journal of Substance Abuse Treatment, 44</w:t>
      </w:r>
      <w:r>
        <w:t xml:space="preserve">(4), 369-374. </w:t>
      </w:r>
    </w:p>
    <w:p w:rsidR="00CA5138" w:rsidRDefault="00CA5138" w:rsidP="00CA5138">
      <w:proofErr w:type="gramStart"/>
      <w:r>
        <w:t xml:space="preserve">Sherman, G. G., Lilian, R. R., &amp; </w:t>
      </w:r>
      <w:proofErr w:type="spellStart"/>
      <w:r>
        <w:t>Coovadia</w:t>
      </w:r>
      <w:proofErr w:type="spellEnd"/>
      <w:r>
        <w:t>, A. H. (2012).</w:t>
      </w:r>
      <w:proofErr w:type="gramEnd"/>
      <w:r>
        <w:t xml:space="preserve"> The performance of 5 rapid HIV tests using whole blood in infants and children: selecting a test to achieve the clinical objective. </w:t>
      </w:r>
      <w:proofErr w:type="spellStart"/>
      <w:r>
        <w:rPr>
          <w:i/>
          <w:iCs/>
        </w:rPr>
        <w:t>Pediatric</w:t>
      </w:r>
      <w:proofErr w:type="spellEnd"/>
      <w:r>
        <w:rPr>
          <w:i/>
          <w:iCs/>
        </w:rPr>
        <w:t xml:space="preserve"> Infectious Disease Journal, 31</w:t>
      </w:r>
      <w:r>
        <w:t xml:space="preserve">(3), 267-272. </w:t>
      </w:r>
    </w:p>
    <w:p w:rsidR="00CA5138" w:rsidRDefault="00CA5138" w:rsidP="00CA5138">
      <w:proofErr w:type="gramStart"/>
      <w:r>
        <w:t>Sidebottom, M., &amp; Street, E. (2014).</w:t>
      </w:r>
      <w:proofErr w:type="gramEnd"/>
      <w:r>
        <w:t xml:space="preserve"> </w:t>
      </w:r>
      <w:proofErr w:type="gramStart"/>
      <w:r>
        <w:t>HIV testing in an asylum seeker initial accommodation centre.</w:t>
      </w:r>
      <w:proofErr w:type="gramEnd"/>
      <w:r>
        <w:t xml:space="preserve"> </w:t>
      </w:r>
      <w:proofErr w:type="gramStart"/>
      <w:r>
        <w:rPr>
          <w:i/>
          <w:iCs/>
        </w:rPr>
        <w:t>HIV Medicine, 15</w:t>
      </w:r>
      <w:r>
        <w:t>, 97.</w:t>
      </w:r>
      <w:proofErr w:type="gramEnd"/>
      <w:r>
        <w:t xml:space="preserve"> </w:t>
      </w:r>
    </w:p>
    <w:p w:rsidR="00CA5138" w:rsidRDefault="00CA5138" w:rsidP="00CA5138">
      <w:proofErr w:type="spellStart"/>
      <w:r>
        <w:t>Stekler</w:t>
      </w:r>
      <w:proofErr w:type="spellEnd"/>
      <w:r>
        <w:t xml:space="preserve">, J. D., Swenson, P. D., Coombs, R. W., </w:t>
      </w:r>
      <w:r w:rsidR="00DF3B3B">
        <w:t>et al</w:t>
      </w:r>
      <w:r>
        <w:t xml:space="preserve">. (2009). HIV testing in a high-incidence population: is antibody testing alone good enough? </w:t>
      </w:r>
      <w:r>
        <w:rPr>
          <w:i/>
          <w:iCs/>
        </w:rPr>
        <w:t>Clinical Infectious Diseases, 49</w:t>
      </w:r>
      <w:r>
        <w:t xml:space="preserve">(3), 444-453. </w:t>
      </w:r>
    </w:p>
    <w:p w:rsidR="00CA5138" w:rsidRDefault="00CA5138" w:rsidP="00CA5138">
      <w:proofErr w:type="spellStart"/>
      <w:proofErr w:type="gramStart"/>
      <w:r w:rsidRPr="00093CD9">
        <w:t>Wolpaw</w:t>
      </w:r>
      <w:proofErr w:type="spellEnd"/>
      <w:r w:rsidRPr="00093CD9">
        <w:t xml:space="preserve">, B. J., Mathews, C., Chopra, M., </w:t>
      </w:r>
      <w:r w:rsidR="00DF3B3B" w:rsidRPr="00093CD9">
        <w:t>et al</w:t>
      </w:r>
      <w:r w:rsidRPr="00093CD9">
        <w:t xml:space="preserve">. </w:t>
      </w:r>
      <w:r>
        <w:t>(2010).</w:t>
      </w:r>
      <w:proofErr w:type="gramEnd"/>
      <w:r>
        <w:t xml:space="preserve"> The failure of routine rapid HIV testing: a case study of improving low sensitivity in the field. </w:t>
      </w:r>
      <w:proofErr w:type="gramStart"/>
      <w:r>
        <w:rPr>
          <w:i/>
          <w:iCs/>
        </w:rPr>
        <w:t>BMC Health Services Research, 10</w:t>
      </w:r>
      <w:r>
        <w:t>, 73.</w:t>
      </w:r>
      <w:proofErr w:type="gramEnd"/>
      <w:r>
        <w:t xml:space="preserve"> </w:t>
      </w:r>
    </w:p>
    <w:p w:rsidR="00CA5138" w:rsidRDefault="00CA5138" w:rsidP="00CA5138">
      <w:proofErr w:type="gramStart"/>
      <w:r>
        <w:t xml:space="preserve">Zhang, D., </w:t>
      </w:r>
      <w:proofErr w:type="spellStart"/>
      <w:r>
        <w:t>Meng</w:t>
      </w:r>
      <w:proofErr w:type="spellEnd"/>
      <w:r>
        <w:t xml:space="preserve">, S., Xu, P., </w:t>
      </w:r>
      <w:r w:rsidR="00DF3B3B">
        <w:t>et al</w:t>
      </w:r>
      <w:r>
        <w:t>. (2014).</w:t>
      </w:r>
      <w:proofErr w:type="gramEnd"/>
      <w:r>
        <w:t xml:space="preserve"> </w:t>
      </w:r>
      <w:proofErr w:type="gramStart"/>
      <w:r>
        <w:t xml:space="preserve">Experience of offering HIV rapid testing to at-risk patients in community health </w:t>
      </w:r>
      <w:proofErr w:type="spellStart"/>
      <w:r>
        <w:t>centers</w:t>
      </w:r>
      <w:proofErr w:type="spellEnd"/>
      <w:r>
        <w:t xml:space="preserve"> in eight Chinese cities.</w:t>
      </w:r>
      <w:proofErr w:type="gramEnd"/>
      <w:r>
        <w:t xml:space="preserve"> </w:t>
      </w:r>
      <w:proofErr w:type="spellStart"/>
      <w:proofErr w:type="gramStart"/>
      <w:r>
        <w:rPr>
          <w:i/>
          <w:iCs/>
        </w:rPr>
        <w:t>PLoS</w:t>
      </w:r>
      <w:proofErr w:type="spellEnd"/>
      <w:r>
        <w:rPr>
          <w:i/>
          <w:iCs/>
        </w:rPr>
        <w:t xml:space="preserve"> ONE, 9</w:t>
      </w:r>
      <w:r>
        <w:t>(1).</w:t>
      </w:r>
      <w:proofErr w:type="gramEnd"/>
      <w:r>
        <w:t xml:space="preserve"> </w:t>
      </w:r>
    </w:p>
    <w:p w:rsidR="00544751" w:rsidRPr="00544751" w:rsidRDefault="00CA5138" w:rsidP="00CA5138">
      <w:proofErr w:type="spellStart"/>
      <w:r>
        <w:t>Zinski</w:t>
      </w:r>
      <w:proofErr w:type="spellEnd"/>
      <w:r>
        <w:t xml:space="preserve">, A., Dougherty, S. M., </w:t>
      </w:r>
      <w:proofErr w:type="spellStart"/>
      <w:r>
        <w:t>Tamhane</w:t>
      </w:r>
      <w:proofErr w:type="spellEnd"/>
      <w:r>
        <w:t xml:space="preserve">, </w:t>
      </w:r>
      <w:r w:rsidR="00DF3B3B">
        <w:t>et al</w:t>
      </w:r>
      <w:r>
        <w:t xml:space="preserve">. (2013). Point-of-Care HIV Testing and Linkage in an Urban Cohort in the Southern US. </w:t>
      </w:r>
      <w:proofErr w:type="gramStart"/>
      <w:r>
        <w:rPr>
          <w:i/>
          <w:iCs/>
        </w:rPr>
        <w:t>AIDS Research &amp; Treatment, 2013</w:t>
      </w:r>
      <w:r>
        <w:t>, 789413.</w:t>
      </w:r>
      <w:proofErr w:type="gramEnd"/>
    </w:p>
    <w:p w:rsidR="00544751" w:rsidRDefault="00544751" w:rsidP="00544751">
      <w:pPr>
        <w:pStyle w:val="Heading3"/>
        <w:spacing w:before="0" w:after="120"/>
      </w:pPr>
      <w:r w:rsidRPr="004C6B15">
        <w:lastRenderedPageBreak/>
        <w:t xml:space="preserve">Incorrect </w:t>
      </w:r>
      <w:r>
        <w:t xml:space="preserve">population </w:t>
      </w:r>
    </w:p>
    <w:p w:rsidR="00544751" w:rsidRPr="00544751" w:rsidRDefault="00544751" w:rsidP="00544751">
      <w:pPr>
        <w:rPr>
          <w:rFonts w:ascii="Tahoma" w:hAnsi="Tahoma" w:cs="Tahoma"/>
          <w:sz w:val="20"/>
        </w:rPr>
      </w:pPr>
      <w:r w:rsidRPr="00544751">
        <w:rPr>
          <w:rFonts w:ascii="Tahoma" w:hAnsi="Tahoma" w:cs="Tahoma"/>
          <w:sz w:val="20"/>
        </w:rPr>
        <w:t>(</w:t>
      </w:r>
      <w:proofErr w:type="spellStart"/>
      <w:proofErr w:type="gramStart"/>
      <w:r>
        <w:rPr>
          <w:rFonts w:ascii="Tahoma" w:hAnsi="Tahoma" w:cs="Tahoma"/>
          <w:sz w:val="20"/>
        </w:rPr>
        <w:t>eg</w:t>
      </w:r>
      <w:proofErr w:type="spellEnd"/>
      <w:proofErr w:type="gramEnd"/>
      <w:r>
        <w:rPr>
          <w:rFonts w:ascii="Tahoma" w:hAnsi="Tahoma" w:cs="Tahoma"/>
          <w:sz w:val="20"/>
        </w:rPr>
        <w:t xml:space="preserve">, </w:t>
      </w:r>
      <w:r w:rsidR="00497604">
        <w:rPr>
          <w:rFonts w:ascii="Tahoma" w:hAnsi="Tahoma" w:cs="Tahoma"/>
          <w:sz w:val="20"/>
        </w:rPr>
        <w:t xml:space="preserve">non-Australian population, </w:t>
      </w:r>
      <w:r>
        <w:rPr>
          <w:rFonts w:ascii="Tahoma" w:hAnsi="Tahoma" w:cs="Tahoma"/>
          <w:sz w:val="20"/>
        </w:rPr>
        <w:t>routine pregnancy testing</w:t>
      </w:r>
      <w:r w:rsidR="00497604">
        <w:rPr>
          <w:rFonts w:ascii="Tahoma" w:hAnsi="Tahoma" w:cs="Tahoma"/>
          <w:sz w:val="20"/>
        </w:rPr>
        <w:t>; case and control samples</w:t>
      </w:r>
      <w:r w:rsidRPr="00544751">
        <w:rPr>
          <w:rFonts w:ascii="Tahoma" w:hAnsi="Tahoma" w:cs="Tahoma"/>
          <w:sz w:val="20"/>
        </w:rPr>
        <w:t>)</w:t>
      </w:r>
    </w:p>
    <w:p w:rsidR="003132FE" w:rsidRDefault="003132FE" w:rsidP="003132FE">
      <w:proofErr w:type="spellStart"/>
      <w:proofErr w:type="gramStart"/>
      <w:r>
        <w:t>Bhowan</w:t>
      </w:r>
      <w:proofErr w:type="spellEnd"/>
      <w:r>
        <w:t xml:space="preserve">, K., </w:t>
      </w:r>
      <w:proofErr w:type="spellStart"/>
      <w:r>
        <w:t>Kalk</w:t>
      </w:r>
      <w:proofErr w:type="spellEnd"/>
      <w:r>
        <w:t>, E., Khan, S., &amp; Sherman, G. (2012).</w:t>
      </w:r>
      <w:proofErr w:type="gramEnd"/>
      <w:r>
        <w:t xml:space="preserve"> Identifying HIV infection in South African women: How does a fourth generation HIV rapid test perform? </w:t>
      </w:r>
      <w:proofErr w:type="gramStart"/>
      <w:r>
        <w:rPr>
          <w:i/>
          <w:iCs/>
        </w:rPr>
        <w:t>African Journal of Laboratory Medicine, 1</w:t>
      </w:r>
      <w:r>
        <w:t>(1).</w:t>
      </w:r>
      <w:proofErr w:type="gramEnd"/>
      <w:r>
        <w:t xml:space="preserve"> </w:t>
      </w:r>
    </w:p>
    <w:p w:rsidR="003132FE" w:rsidRDefault="003132FE" w:rsidP="003132FE">
      <w:proofErr w:type="spellStart"/>
      <w:proofErr w:type="gramStart"/>
      <w:r>
        <w:t>Bhowan</w:t>
      </w:r>
      <w:proofErr w:type="spellEnd"/>
      <w:r>
        <w:t>, K., &amp; Sherman, G. G. (2013).</w:t>
      </w:r>
      <w:proofErr w:type="gramEnd"/>
      <w:r>
        <w:t xml:space="preserve"> </w:t>
      </w:r>
      <w:proofErr w:type="gramStart"/>
      <w:r>
        <w:t>Performance of the first fourth-generation rapid human immunodeficiency virus test in children.</w:t>
      </w:r>
      <w:proofErr w:type="gramEnd"/>
      <w:r>
        <w:t xml:space="preserve"> </w:t>
      </w:r>
      <w:proofErr w:type="spellStart"/>
      <w:r>
        <w:rPr>
          <w:i/>
          <w:iCs/>
        </w:rPr>
        <w:t>Pediatric</w:t>
      </w:r>
      <w:proofErr w:type="spellEnd"/>
      <w:r>
        <w:rPr>
          <w:i/>
          <w:iCs/>
        </w:rPr>
        <w:t xml:space="preserve"> Infectious Disease Journal, 32</w:t>
      </w:r>
      <w:r>
        <w:t xml:space="preserve">(5), 486-488. </w:t>
      </w:r>
    </w:p>
    <w:p w:rsidR="003132FE" w:rsidRDefault="003132FE" w:rsidP="003132FE">
      <w:r>
        <w:t xml:space="preserve">Centre for Reviews and Dissemination. (2015). </w:t>
      </w:r>
      <w:proofErr w:type="gramStart"/>
      <w:r>
        <w:t>The</w:t>
      </w:r>
      <w:proofErr w:type="gramEnd"/>
      <w:r>
        <w:t xml:space="preserve"> cost-effectiveness of voluntary </w:t>
      </w:r>
      <w:proofErr w:type="spellStart"/>
      <w:r>
        <w:t>intrapartum</w:t>
      </w:r>
      <w:proofErr w:type="spellEnd"/>
      <w:r>
        <w:t xml:space="preserve"> rapid human immunodeficiency virus testing for women without adequate prenatal care (Structured abstract). </w:t>
      </w:r>
    </w:p>
    <w:p w:rsidR="003132FE" w:rsidRDefault="003132FE" w:rsidP="003132FE">
      <w:proofErr w:type="gramStart"/>
      <w:r>
        <w:t xml:space="preserve">Dessie, A., </w:t>
      </w:r>
      <w:proofErr w:type="spellStart"/>
      <w:r>
        <w:t>Abera</w:t>
      </w:r>
      <w:proofErr w:type="spellEnd"/>
      <w:r>
        <w:t xml:space="preserve">, B., </w:t>
      </w:r>
      <w:proofErr w:type="spellStart"/>
      <w:r>
        <w:t>Walle</w:t>
      </w:r>
      <w:proofErr w:type="spellEnd"/>
      <w:r>
        <w:t>, F., et al. (2008).</w:t>
      </w:r>
      <w:proofErr w:type="gramEnd"/>
      <w:r>
        <w:t xml:space="preserve"> </w:t>
      </w:r>
      <w:proofErr w:type="gramStart"/>
      <w:r>
        <w:t xml:space="preserve">Evaluation of Determine HIV-1/2 rapid diagnostic test by 4th generation ELISA using blood donors' serum at </w:t>
      </w:r>
      <w:proofErr w:type="spellStart"/>
      <w:r>
        <w:t>Felege</w:t>
      </w:r>
      <w:proofErr w:type="spellEnd"/>
      <w:r>
        <w:t xml:space="preserve"> </w:t>
      </w:r>
      <w:proofErr w:type="spellStart"/>
      <w:r>
        <w:t>Hiwot</w:t>
      </w:r>
      <w:proofErr w:type="spellEnd"/>
      <w:r>
        <w:t xml:space="preserve"> Referral Hospital, northwest Ethiopia.</w:t>
      </w:r>
      <w:proofErr w:type="gramEnd"/>
      <w:r>
        <w:t xml:space="preserve"> </w:t>
      </w:r>
      <w:r>
        <w:rPr>
          <w:i/>
          <w:iCs/>
        </w:rPr>
        <w:t>Ethiopian Medical Journal, 46</w:t>
      </w:r>
      <w:r>
        <w:t xml:space="preserve">(1), 1-5. </w:t>
      </w:r>
    </w:p>
    <w:p w:rsidR="003132FE" w:rsidRDefault="003132FE" w:rsidP="003132FE">
      <w:r>
        <w:t xml:space="preserve">Fox, J., Dunn, H., &amp; O'Shea, S. (2011). Low rates of p24 antigen detection using a fourth-generation point of care HIV test. </w:t>
      </w:r>
      <w:r>
        <w:rPr>
          <w:i/>
          <w:iCs/>
        </w:rPr>
        <w:t>Sexually Transmitted Infections, 87</w:t>
      </w:r>
      <w:r>
        <w:t xml:space="preserve">(2), 178-179. </w:t>
      </w:r>
    </w:p>
    <w:p w:rsidR="003132FE" w:rsidRDefault="003132FE" w:rsidP="003132FE">
      <w:proofErr w:type="gramStart"/>
      <w:r>
        <w:t>Freeman-</w:t>
      </w:r>
      <w:proofErr w:type="spellStart"/>
      <w:r>
        <w:t>Romilly</w:t>
      </w:r>
      <w:proofErr w:type="spellEnd"/>
      <w:r>
        <w:t>, M., Sheppard, P., Desai, S., et al. (2014).</w:t>
      </w:r>
      <w:proofErr w:type="gramEnd"/>
      <w:r>
        <w:t xml:space="preserve"> Does community-based point-of-care HIV testing reduce late HIV diagnosis? </w:t>
      </w:r>
      <w:proofErr w:type="gramStart"/>
      <w:r>
        <w:t>A retrospective cohort study.</w:t>
      </w:r>
      <w:proofErr w:type="gramEnd"/>
      <w:r>
        <w:t xml:space="preserve"> </w:t>
      </w:r>
      <w:proofErr w:type="gramStart"/>
      <w:r>
        <w:rPr>
          <w:i/>
          <w:iCs/>
        </w:rPr>
        <w:t>HIV Medicine, 15</w:t>
      </w:r>
      <w:r>
        <w:t>, 93.</w:t>
      </w:r>
      <w:proofErr w:type="gramEnd"/>
      <w:r>
        <w:t xml:space="preserve"> </w:t>
      </w:r>
    </w:p>
    <w:p w:rsidR="003132FE" w:rsidRDefault="003132FE" w:rsidP="003132FE">
      <w:proofErr w:type="spellStart"/>
      <w:r>
        <w:t>Galiwango</w:t>
      </w:r>
      <w:proofErr w:type="spellEnd"/>
      <w:r>
        <w:t xml:space="preserve">, R. M., </w:t>
      </w:r>
      <w:proofErr w:type="spellStart"/>
      <w:r>
        <w:t>Musoke</w:t>
      </w:r>
      <w:proofErr w:type="spellEnd"/>
      <w:r>
        <w:t xml:space="preserve">, R., </w:t>
      </w:r>
      <w:proofErr w:type="spellStart"/>
      <w:r>
        <w:t>Lubyayi</w:t>
      </w:r>
      <w:proofErr w:type="spellEnd"/>
      <w:r>
        <w:t xml:space="preserve">, L., et al. (2013). </w:t>
      </w:r>
      <w:proofErr w:type="gramStart"/>
      <w:r>
        <w:t>Evaluation of current rapid HIV test algorithms in Rakai, Uganda.</w:t>
      </w:r>
      <w:proofErr w:type="gramEnd"/>
      <w:r>
        <w:t xml:space="preserve"> </w:t>
      </w:r>
      <w:r>
        <w:rPr>
          <w:i/>
          <w:iCs/>
        </w:rPr>
        <w:t>Journal of Virological Methods, 192</w:t>
      </w:r>
      <w:r>
        <w:t xml:space="preserve">(1-2), 25-27. </w:t>
      </w:r>
    </w:p>
    <w:p w:rsidR="003132FE" w:rsidRDefault="003132FE" w:rsidP="003132FE">
      <w:proofErr w:type="gramStart"/>
      <w:r>
        <w:t xml:space="preserve">Gordon, M. S., </w:t>
      </w:r>
      <w:proofErr w:type="spellStart"/>
      <w:r>
        <w:t>Kinlock</w:t>
      </w:r>
      <w:proofErr w:type="spellEnd"/>
      <w:r>
        <w:t>, T. W., McKenzie, M., et al. (2013).</w:t>
      </w:r>
      <w:proofErr w:type="gramEnd"/>
      <w:r>
        <w:t xml:space="preserve"> Rapid HIV testing for individuals on probation/parole: outcomes of an intervention trial. </w:t>
      </w:r>
      <w:proofErr w:type="gramStart"/>
      <w:r>
        <w:rPr>
          <w:i/>
          <w:iCs/>
        </w:rPr>
        <w:t xml:space="preserve">AIDS and </w:t>
      </w:r>
      <w:proofErr w:type="spellStart"/>
      <w:r>
        <w:rPr>
          <w:i/>
          <w:iCs/>
        </w:rPr>
        <w:t>behavior</w:t>
      </w:r>
      <w:proofErr w:type="spellEnd"/>
      <w:r>
        <w:rPr>
          <w:i/>
          <w:iCs/>
        </w:rPr>
        <w:t>, 17</w:t>
      </w:r>
      <w:r>
        <w:t>(6), 2022-2030.</w:t>
      </w:r>
      <w:proofErr w:type="gramEnd"/>
      <w:r>
        <w:t xml:space="preserve"> </w:t>
      </w:r>
    </w:p>
    <w:p w:rsidR="003132FE" w:rsidRDefault="003132FE" w:rsidP="003132FE">
      <w:r>
        <w:t xml:space="preserve">Jones, C. B., </w:t>
      </w:r>
      <w:proofErr w:type="spellStart"/>
      <w:r>
        <w:t>Kuldanek</w:t>
      </w:r>
      <w:proofErr w:type="spellEnd"/>
      <w:r>
        <w:t xml:space="preserve">, K., Muir, D., et al. (2012). Clinical evaluation of the determine HIV-1/2 Ag/Ab combo test. </w:t>
      </w:r>
      <w:r>
        <w:rPr>
          <w:i/>
          <w:iCs/>
        </w:rPr>
        <w:t>Journal of Infectious Diseases, 206</w:t>
      </w:r>
      <w:r>
        <w:t xml:space="preserve">(12), 1947-1949. </w:t>
      </w:r>
    </w:p>
    <w:p w:rsidR="003132FE" w:rsidRDefault="003132FE" w:rsidP="003132FE">
      <w:proofErr w:type="gramStart"/>
      <w:r>
        <w:t xml:space="preserve">Naylor, E., </w:t>
      </w:r>
      <w:proofErr w:type="spellStart"/>
      <w:r>
        <w:t>Axten</w:t>
      </w:r>
      <w:proofErr w:type="spellEnd"/>
      <w:r>
        <w:t xml:space="preserve">, D., </w:t>
      </w:r>
      <w:proofErr w:type="spellStart"/>
      <w:r>
        <w:t>Makia</w:t>
      </w:r>
      <w:proofErr w:type="spellEnd"/>
      <w:r>
        <w:t>, F., et al. (2011).</w:t>
      </w:r>
      <w:proofErr w:type="gramEnd"/>
      <w:r>
        <w:t xml:space="preserve"> Fourth generation point of care testing for HIV: validation in an HIV-positive population. </w:t>
      </w:r>
      <w:proofErr w:type="gramStart"/>
      <w:r>
        <w:rPr>
          <w:i/>
          <w:iCs/>
        </w:rPr>
        <w:t>Sexually Transmitted Infections, 87</w:t>
      </w:r>
      <w:r>
        <w:t>(4), 311.</w:t>
      </w:r>
      <w:proofErr w:type="gramEnd"/>
      <w:r>
        <w:t xml:space="preserve"> </w:t>
      </w:r>
    </w:p>
    <w:p w:rsidR="003132FE" w:rsidRPr="0003725D" w:rsidRDefault="003132FE" w:rsidP="003132FE">
      <w:pPr>
        <w:rPr>
          <w:lang w:val="fr-FR"/>
        </w:rPr>
      </w:pPr>
      <w:proofErr w:type="gramStart"/>
      <w:r>
        <w:t xml:space="preserve">Naylor, E., </w:t>
      </w:r>
      <w:proofErr w:type="spellStart"/>
      <w:r>
        <w:t>Axten</w:t>
      </w:r>
      <w:proofErr w:type="spellEnd"/>
      <w:r>
        <w:t xml:space="preserve">, D., </w:t>
      </w:r>
      <w:proofErr w:type="spellStart"/>
      <w:r>
        <w:t>Makia</w:t>
      </w:r>
      <w:proofErr w:type="spellEnd"/>
      <w:r>
        <w:t>, F., et al. (2011).</w:t>
      </w:r>
      <w:proofErr w:type="gramEnd"/>
      <w:r>
        <w:t xml:space="preserve"> Fourth generation point-of-care testing for HIV: Validation in an HIV-positive population. </w:t>
      </w:r>
      <w:r w:rsidRPr="0003725D">
        <w:rPr>
          <w:i/>
          <w:iCs/>
          <w:lang w:val="fr-FR"/>
        </w:rPr>
        <w:t xml:space="preserve">HIV </w:t>
      </w:r>
      <w:proofErr w:type="spellStart"/>
      <w:r w:rsidRPr="0003725D">
        <w:rPr>
          <w:i/>
          <w:iCs/>
          <w:lang w:val="fr-FR"/>
        </w:rPr>
        <w:t>Medicine</w:t>
      </w:r>
      <w:proofErr w:type="spellEnd"/>
      <w:r w:rsidRPr="0003725D">
        <w:rPr>
          <w:i/>
          <w:iCs/>
          <w:lang w:val="fr-FR"/>
        </w:rPr>
        <w:t>, 12</w:t>
      </w:r>
      <w:r w:rsidRPr="0003725D">
        <w:rPr>
          <w:lang w:val="fr-FR"/>
        </w:rPr>
        <w:t xml:space="preserve">, 63. </w:t>
      </w:r>
    </w:p>
    <w:p w:rsidR="003132FE" w:rsidRDefault="003132FE" w:rsidP="003132FE">
      <w:proofErr w:type="spellStart"/>
      <w:r w:rsidRPr="0003725D">
        <w:rPr>
          <w:lang w:val="fr-FR"/>
        </w:rPr>
        <w:t>Pai</w:t>
      </w:r>
      <w:proofErr w:type="spellEnd"/>
      <w:r w:rsidRPr="0003725D">
        <w:rPr>
          <w:lang w:val="fr-FR"/>
        </w:rPr>
        <w:t xml:space="preserve">, N. P., </w:t>
      </w:r>
      <w:proofErr w:type="spellStart"/>
      <w:r w:rsidRPr="0003725D">
        <w:rPr>
          <w:lang w:val="fr-FR"/>
        </w:rPr>
        <w:t>Tulsky</w:t>
      </w:r>
      <w:proofErr w:type="spellEnd"/>
      <w:r w:rsidRPr="0003725D">
        <w:rPr>
          <w:lang w:val="fr-FR"/>
        </w:rPr>
        <w:t xml:space="preserve">, J. P., </w:t>
      </w:r>
      <w:proofErr w:type="spellStart"/>
      <w:r w:rsidRPr="0003725D">
        <w:rPr>
          <w:lang w:val="fr-FR"/>
        </w:rPr>
        <w:t>Cohan</w:t>
      </w:r>
      <w:proofErr w:type="spellEnd"/>
      <w:r w:rsidRPr="0003725D">
        <w:rPr>
          <w:lang w:val="fr-FR"/>
        </w:rPr>
        <w:t xml:space="preserve">, D., et al. </w:t>
      </w:r>
      <w:r>
        <w:t xml:space="preserve">(2007a). Rapid point-of-care HIV testing in pregnant women: a systematic review and meta-analysis. </w:t>
      </w:r>
      <w:r>
        <w:rPr>
          <w:i/>
          <w:iCs/>
        </w:rPr>
        <w:t>Tropical Medicine &amp; International Health, 12</w:t>
      </w:r>
      <w:r>
        <w:t xml:space="preserve">(2), 162-173. </w:t>
      </w:r>
    </w:p>
    <w:p w:rsidR="003132FE" w:rsidRDefault="003132FE" w:rsidP="003132FE">
      <w:proofErr w:type="spellStart"/>
      <w:r w:rsidRPr="00093CD9">
        <w:t>Pai</w:t>
      </w:r>
      <w:proofErr w:type="spellEnd"/>
      <w:r w:rsidRPr="00093CD9">
        <w:t xml:space="preserve">, N. P., </w:t>
      </w:r>
      <w:proofErr w:type="spellStart"/>
      <w:r w:rsidRPr="00093CD9">
        <w:t>Tulsky</w:t>
      </w:r>
      <w:proofErr w:type="spellEnd"/>
      <w:r w:rsidRPr="00093CD9">
        <w:t xml:space="preserve">, J. P., Cohan, D., et al. </w:t>
      </w:r>
      <w:r>
        <w:t xml:space="preserve">(2007b). Erratum: Rapid point-of-care HIV testing in pregnant women: A systematic review and meta-analysis (Tropical Medicine and International Health (2007) 12, (162-173)). </w:t>
      </w:r>
      <w:proofErr w:type="gramStart"/>
      <w:r>
        <w:rPr>
          <w:i/>
          <w:iCs/>
        </w:rPr>
        <w:t>Tropical Medicine and International Health, 12</w:t>
      </w:r>
      <w:r>
        <w:t>(7), 902.</w:t>
      </w:r>
      <w:proofErr w:type="gramEnd"/>
      <w:r>
        <w:t xml:space="preserve"> </w:t>
      </w:r>
    </w:p>
    <w:p w:rsidR="003132FE" w:rsidRDefault="003132FE" w:rsidP="003132FE">
      <w:proofErr w:type="spellStart"/>
      <w:r>
        <w:lastRenderedPageBreak/>
        <w:t>Stekler</w:t>
      </w:r>
      <w:proofErr w:type="spellEnd"/>
      <w:r>
        <w:t xml:space="preserve">, J. D., O'Neal, J. D., Lane, A., et al. (2013). Relative accuracy of serum, whole blood, and oral fluid HIV tests among Seattle men who have sex with men. </w:t>
      </w:r>
      <w:proofErr w:type="gramStart"/>
      <w:r>
        <w:rPr>
          <w:i/>
          <w:iCs/>
        </w:rPr>
        <w:t xml:space="preserve">Journal of Clinical Virology, 58 </w:t>
      </w:r>
      <w:proofErr w:type="spellStart"/>
      <w:r>
        <w:rPr>
          <w:i/>
          <w:iCs/>
        </w:rPr>
        <w:t>Suppl</w:t>
      </w:r>
      <w:proofErr w:type="spellEnd"/>
      <w:r>
        <w:rPr>
          <w:i/>
          <w:iCs/>
        </w:rPr>
        <w:t xml:space="preserve"> 1</w:t>
      </w:r>
      <w:r>
        <w:t>, e119-122.</w:t>
      </w:r>
      <w:proofErr w:type="gramEnd"/>
      <w:r>
        <w:t xml:space="preserve"> </w:t>
      </w:r>
    </w:p>
    <w:p w:rsidR="003132FE" w:rsidRDefault="003132FE" w:rsidP="003132FE">
      <w:proofErr w:type="spellStart"/>
      <w:r>
        <w:t>Wouters</w:t>
      </w:r>
      <w:proofErr w:type="spellEnd"/>
      <w:r>
        <w:t xml:space="preserve">, K., </w:t>
      </w:r>
      <w:proofErr w:type="spellStart"/>
      <w:r>
        <w:t>Fransen</w:t>
      </w:r>
      <w:proofErr w:type="spellEnd"/>
      <w:r>
        <w:t xml:space="preserve">, K., </w:t>
      </w:r>
      <w:proofErr w:type="spellStart"/>
      <w:r>
        <w:t>Beelaert</w:t>
      </w:r>
      <w:proofErr w:type="spellEnd"/>
      <w:r>
        <w:t xml:space="preserve">, G., et al. (2014). </w:t>
      </w:r>
      <w:proofErr w:type="gramStart"/>
      <w:r>
        <w:t>Use of rapid HIV testing in a low threshold centre in Antwerp, Belgium, 2007-2012.</w:t>
      </w:r>
      <w:proofErr w:type="gramEnd"/>
      <w:r>
        <w:t xml:space="preserve"> </w:t>
      </w:r>
      <w:r>
        <w:rPr>
          <w:i/>
          <w:iCs/>
        </w:rPr>
        <w:t>International Journal of STD &amp; AIDS, 25</w:t>
      </w:r>
      <w:r>
        <w:t xml:space="preserve">(13), 936-942. </w:t>
      </w:r>
    </w:p>
    <w:p w:rsidR="003132FE" w:rsidRDefault="003132FE" w:rsidP="003132FE">
      <w:proofErr w:type="spellStart"/>
      <w:r>
        <w:t>Wouters</w:t>
      </w:r>
      <w:proofErr w:type="spellEnd"/>
      <w:r>
        <w:t xml:space="preserve">, K., </w:t>
      </w:r>
      <w:proofErr w:type="spellStart"/>
      <w:r>
        <w:t>Fransen</w:t>
      </w:r>
      <w:proofErr w:type="spellEnd"/>
      <w:r>
        <w:t xml:space="preserve">, K., </w:t>
      </w:r>
      <w:proofErr w:type="spellStart"/>
      <w:r>
        <w:t>Beelaert</w:t>
      </w:r>
      <w:proofErr w:type="spellEnd"/>
      <w:r>
        <w:t xml:space="preserve">, G., et al. (2013). </w:t>
      </w:r>
      <w:proofErr w:type="gramStart"/>
      <w:r>
        <w:t>Use of rapid HIV test in low threshold centre in Antwerp, Belgium during 2007-2012.</w:t>
      </w:r>
      <w:proofErr w:type="gramEnd"/>
      <w:r>
        <w:t xml:space="preserve"> </w:t>
      </w:r>
      <w:proofErr w:type="gramStart"/>
      <w:r>
        <w:rPr>
          <w:i/>
          <w:iCs/>
        </w:rPr>
        <w:t>Sexually Transmitted Infections, 89</w:t>
      </w:r>
      <w:r>
        <w:t>.</w:t>
      </w:r>
      <w:proofErr w:type="gramEnd"/>
      <w:r>
        <w:t xml:space="preserve"> </w:t>
      </w:r>
    </w:p>
    <w:p w:rsidR="009B2072" w:rsidRPr="004C6B15" w:rsidRDefault="001814EC" w:rsidP="00544751">
      <w:pPr>
        <w:pStyle w:val="Heading3"/>
        <w:spacing w:before="0" w:after="120"/>
      </w:pPr>
      <w:r>
        <w:t>Incorrect</w:t>
      </w:r>
      <w:r w:rsidRPr="004C6B15">
        <w:t xml:space="preserve"> </w:t>
      </w:r>
      <w:r w:rsidR="009B2072" w:rsidRPr="004C6B15">
        <w:t>comparator</w:t>
      </w:r>
    </w:p>
    <w:p w:rsidR="009B2072" w:rsidRDefault="00544751" w:rsidP="009B2072">
      <w:pPr>
        <w:rPr>
          <w:rFonts w:ascii="Tahoma" w:hAnsi="Tahoma" w:cs="Tahoma"/>
          <w:sz w:val="20"/>
        </w:rPr>
      </w:pPr>
      <w:r w:rsidRPr="00544751">
        <w:rPr>
          <w:rFonts w:ascii="Tahoma" w:hAnsi="Tahoma" w:cs="Tahoma"/>
          <w:sz w:val="20"/>
        </w:rPr>
        <w:t xml:space="preserve">(Not a </w:t>
      </w:r>
      <w:r>
        <w:rPr>
          <w:rFonts w:ascii="Tahoma" w:hAnsi="Tahoma" w:cs="Tahoma"/>
          <w:sz w:val="20"/>
        </w:rPr>
        <w:t xml:space="preserve">compared with laboratory-based EIA/ELISA and/or Western </w:t>
      </w:r>
      <w:r w:rsidR="00C536C4">
        <w:rPr>
          <w:rFonts w:ascii="Tahoma" w:hAnsi="Tahoma" w:cs="Tahoma"/>
          <w:sz w:val="20"/>
        </w:rPr>
        <w:t>B</w:t>
      </w:r>
      <w:r>
        <w:rPr>
          <w:rFonts w:ascii="Tahoma" w:hAnsi="Tahoma" w:cs="Tahoma"/>
          <w:sz w:val="20"/>
        </w:rPr>
        <w:t>lot</w:t>
      </w:r>
      <w:r w:rsidRPr="00544751">
        <w:rPr>
          <w:rFonts w:ascii="Tahoma" w:hAnsi="Tahoma" w:cs="Tahoma"/>
          <w:sz w:val="20"/>
        </w:rPr>
        <w:t>)</w:t>
      </w:r>
    </w:p>
    <w:p w:rsidR="008B498D" w:rsidRDefault="008B498D" w:rsidP="008B498D">
      <w:proofErr w:type="spellStart"/>
      <w:proofErr w:type="gramStart"/>
      <w:r>
        <w:t>Masciotra</w:t>
      </w:r>
      <w:proofErr w:type="spellEnd"/>
      <w:r>
        <w:t xml:space="preserve">, S., Luo, W., </w:t>
      </w:r>
      <w:proofErr w:type="spellStart"/>
      <w:r>
        <w:t>Youngpairoj</w:t>
      </w:r>
      <w:proofErr w:type="spellEnd"/>
      <w:r>
        <w:t>, A. S., et al. (2013a).</w:t>
      </w:r>
      <w:proofErr w:type="gramEnd"/>
      <w:r>
        <w:t xml:space="preserve"> Performance of the </w:t>
      </w:r>
      <w:proofErr w:type="spellStart"/>
      <w:r>
        <w:t>Alere</w:t>
      </w:r>
      <w:proofErr w:type="spellEnd"/>
      <w:r>
        <w:t xml:space="preserve"> Determine HIV-1/2 Ag/Ab Combo Rapid Test with specimens from HIV-1 </w:t>
      </w:r>
      <w:proofErr w:type="spellStart"/>
      <w:r>
        <w:t>seroconverters</w:t>
      </w:r>
      <w:proofErr w:type="spellEnd"/>
      <w:r>
        <w:t xml:space="preserve"> from the US and HIV-2 infected individuals from Ivory Coast. </w:t>
      </w:r>
      <w:proofErr w:type="gramStart"/>
      <w:r>
        <w:rPr>
          <w:i/>
          <w:iCs/>
        </w:rPr>
        <w:t xml:space="preserve">Journal of Clinical Virology, 58 </w:t>
      </w:r>
      <w:proofErr w:type="spellStart"/>
      <w:r>
        <w:rPr>
          <w:i/>
          <w:iCs/>
        </w:rPr>
        <w:t>Suppl</w:t>
      </w:r>
      <w:proofErr w:type="spellEnd"/>
      <w:r>
        <w:rPr>
          <w:i/>
          <w:iCs/>
        </w:rPr>
        <w:t xml:space="preserve"> 1</w:t>
      </w:r>
      <w:r>
        <w:t>, e54-58.</w:t>
      </w:r>
      <w:proofErr w:type="gramEnd"/>
      <w:r>
        <w:t xml:space="preserve"> </w:t>
      </w:r>
    </w:p>
    <w:p w:rsidR="00497604" w:rsidRDefault="008B498D" w:rsidP="008B498D">
      <w:pPr>
        <w:rPr>
          <w:rFonts w:ascii="Tahoma" w:hAnsi="Tahoma" w:cs="Tahoma"/>
          <w:sz w:val="20"/>
        </w:rPr>
      </w:pPr>
      <w:proofErr w:type="gramStart"/>
      <w:r>
        <w:t xml:space="preserve">Rosenberg, N. E., </w:t>
      </w:r>
      <w:proofErr w:type="spellStart"/>
      <w:r>
        <w:t>Kamanga</w:t>
      </w:r>
      <w:proofErr w:type="spellEnd"/>
      <w:r>
        <w:t xml:space="preserve">, G., </w:t>
      </w:r>
      <w:proofErr w:type="spellStart"/>
      <w:r>
        <w:t>Phiri</w:t>
      </w:r>
      <w:proofErr w:type="spellEnd"/>
      <w:r>
        <w:t>, S., et al. (2012).</w:t>
      </w:r>
      <w:proofErr w:type="gramEnd"/>
      <w:r>
        <w:t xml:space="preserve"> Detection of acute HIV infection: a field evaluation of the determine HIV-1/2 Ag/Ab combo test. </w:t>
      </w:r>
      <w:r>
        <w:rPr>
          <w:i/>
          <w:iCs/>
        </w:rPr>
        <w:t>Journal of Infectious Diseases, 205</w:t>
      </w:r>
      <w:r>
        <w:t>(4), 528-534.</w:t>
      </w:r>
    </w:p>
    <w:p w:rsidR="00497604" w:rsidRPr="004C6B15" w:rsidRDefault="00497604" w:rsidP="00497604">
      <w:pPr>
        <w:pStyle w:val="Heading3"/>
        <w:spacing w:before="0" w:after="120"/>
      </w:pPr>
      <w:r>
        <w:t>Incorrect</w:t>
      </w:r>
      <w:r w:rsidRPr="004C6B15">
        <w:t xml:space="preserve"> </w:t>
      </w:r>
      <w:r>
        <w:t>outcome</w:t>
      </w:r>
    </w:p>
    <w:p w:rsidR="00497604" w:rsidRPr="004C6B15" w:rsidRDefault="00497604" w:rsidP="00497604">
      <w:r w:rsidRPr="00544751">
        <w:rPr>
          <w:rFonts w:ascii="Tahoma" w:hAnsi="Tahoma" w:cs="Tahoma"/>
          <w:sz w:val="20"/>
        </w:rPr>
        <w:t>(</w:t>
      </w:r>
      <w:r>
        <w:rPr>
          <w:rFonts w:ascii="Tahoma" w:hAnsi="Tahoma" w:cs="Tahoma"/>
          <w:sz w:val="20"/>
        </w:rPr>
        <w:t>Does not report diagnostic accuracy (or data insufficient to construct a 2x2 table; or testing frequency and/or diagnoses of HIV</w:t>
      </w:r>
      <w:r w:rsidRPr="00544751">
        <w:rPr>
          <w:rFonts w:ascii="Tahoma" w:hAnsi="Tahoma" w:cs="Tahoma"/>
          <w:sz w:val="20"/>
        </w:rPr>
        <w:t>)</w:t>
      </w:r>
    </w:p>
    <w:p w:rsidR="00541A84" w:rsidRDefault="00541A84" w:rsidP="00541A84">
      <w:r>
        <w:t xml:space="preserve">Centre for Reviews and Dissemination. (2015). </w:t>
      </w:r>
      <w:proofErr w:type="gramStart"/>
      <w:r>
        <w:t>The</w:t>
      </w:r>
      <w:proofErr w:type="gramEnd"/>
      <w:r>
        <w:t xml:space="preserve"> cost-effectiveness of rapid </w:t>
      </w:r>
      <w:proofErr w:type="spellStart"/>
      <w:r>
        <w:t>hiv</w:t>
      </w:r>
      <w:proofErr w:type="spellEnd"/>
      <w:r>
        <w:t xml:space="preserve"> testing in substance abuse treatment: results of a randomized trial (Provisional abstract). </w:t>
      </w:r>
    </w:p>
    <w:p w:rsidR="00541A84" w:rsidRDefault="00541A84" w:rsidP="00541A84">
      <w:proofErr w:type="spellStart"/>
      <w:r w:rsidRPr="0003725D">
        <w:rPr>
          <w:lang w:val="fr-FR"/>
        </w:rPr>
        <w:t>MacPherson</w:t>
      </w:r>
      <w:proofErr w:type="spellEnd"/>
      <w:r w:rsidRPr="0003725D">
        <w:rPr>
          <w:lang w:val="fr-FR"/>
        </w:rPr>
        <w:t xml:space="preserve">, P., </w:t>
      </w:r>
      <w:proofErr w:type="spellStart"/>
      <w:r w:rsidRPr="0003725D">
        <w:rPr>
          <w:lang w:val="fr-FR"/>
        </w:rPr>
        <w:t>Chawla</w:t>
      </w:r>
      <w:proofErr w:type="spellEnd"/>
      <w:r w:rsidRPr="0003725D">
        <w:rPr>
          <w:lang w:val="fr-FR"/>
        </w:rPr>
        <w:t xml:space="preserve">, A., Jones, K., et al. </w:t>
      </w:r>
      <w:r>
        <w:t xml:space="preserve">(2011). Feasibility and acceptability of point of care HIV testing in community outreach and GUM drop-in services in the North West of England: a programmatic evaluation. </w:t>
      </w:r>
      <w:proofErr w:type="gramStart"/>
      <w:r>
        <w:rPr>
          <w:i/>
          <w:iCs/>
        </w:rPr>
        <w:t>BMC Public Health, 11</w:t>
      </w:r>
      <w:r>
        <w:t>, 419.</w:t>
      </w:r>
      <w:proofErr w:type="gramEnd"/>
      <w:r>
        <w:t xml:space="preserve"> </w:t>
      </w:r>
    </w:p>
    <w:p w:rsidR="00541A84" w:rsidRDefault="00541A84" w:rsidP="00541A84">
      <w:r>
        <w:t xml:space="preserve">MacPherson, P., Chawla, A., Jones, K., et al. (2010). Feasibility and acceptability of point-of-care HIV testing in community outreach and GUM drop-in services in the north-west of England. </w:t>
      </w:r>
      <w:proofErr w:type="gramStart"/>
      <w:r>
        <w:rPr>
          <w:i/>
          <w:iCs/>
        </w:rPr>
        <w:t>HIV Medicine, 11</w:t>
      </w:r>
      <w:r>
        <w:t>, 108.</w:t>
      </w:r>
      <w:proofErr w:type="gramEnd"/>
      <w:r>
        <w:t xml:space="preserve"> </w:t>
      </w:r>
    </w:p>
    <w:p w:rsidR="00541A84" w:rsidRDefault="00541A84" w:rsidP="00541A84">
      <w:proofErr w:type="spellStart"/>
      <w:proofErr w:type="gramStart"/>
      <w:r>
        <w:t>Prestage</w:t>
      </w:r>
      <w:proofErr w:type="spellEnd"/>
      <w:r>
        <w:t>, G., Brown, G., &amp; Keen, P. (2012).</w:t>
      </w:r>
      <w:proofErr w:type="gramEnd"/>
      <w:r>
        <w:t xml:space="preserve"> </w:t>
      </w:r>
      <w:proofErr w:type="gramStart"/>
      <w:r>
        <w:t>Barriers to HIV testing among Australian gay men.</w:t>
      </w:r>
      <w:proofErr w:type="gramEnd"/>
      <w:r>
        <w:t xml:space="preserve"> </w:t>
      </w:r>
      <w:r>
        <w:rPr>
          <w:i/>
          <w:iCs/>
        </w:rPr>
        <w:t>Sexual Health, 9</w:t>
      </w:r>
      <w:r>
        <w:t xml:space="preserve">(5), 453-458. </w:t>
      </w:r>
    </w:p>
    <w:p w:rsidR="00541A84" w:rsidRDefault="00541A84" w:rsidP="00541A84">
      <w:proofErr w:type="spellStart"/>
      <w:proofErr w:type="gramStart"/>
      <w:r w:rsidRPr="00093CD9">
        <w:t>Taegtmeyer</w:t>
      </w:r>
      <w:proofErr w:type="spellEnd"/>
      <w:r w:rsidRPr="00093CD9">
        <w:t xml:space="preserve">, M., MacPherson, P., Jones, K., et al. </w:t>
      </w:r>
      <w:r>
        <w:t>(2011).</w:t>
      </w:r>
      <w:proofErr w:type="gramEnd"/>
      <w:r>
        <w:t xml:space="preserve"> </w:t>
      </w:r>
      <w:proofErr w:type="gramStart"/>
      <w:r>
        <w:t>Programmatic evaluation of a combined antigen and antibody test for rapid HIV diagnosis in a community and sexual health clinic screening programme.</w:t>
      </w:r>
      <w:proofErr w:type="gramEnd"/>
      <w:r>
        <w:t xml:space="preserve"> </w:t>
      </w:r>
      <w:proofErr w:type="spellStart"/>
      <w:proofErr w:type="gramStart"/>
      <w:r>
        <w:rPr>
          <w:i/>
          <w:iCs/>
        </w:rPr>
        <w:t>PLoS</w:t>
      </w:r>
      <w:proofErr w:type="spellEnd"/>
      <w:r>
        <w:rPr>
          <w:i/>
          <w:iCs/>
        </w:rPr>
        <w:t xml:space="preserve"> ONE [Electronic Resource], 6</w:t>
      </w:r>
      <w:r>
        <w:t>(11), e28019.</w:t>
      </w:r>
      <w:proofErr w:type="gramEnd"/>
      <w:r>
        <w:t xml:space="preserve"> </w:t>
      </w:r>
    </w:p>
    <w:p w:rsidR="009B2072" w:rsidRPr="004C6B15" w:rsidRDefault="009B2072" w:rsidP="009B2072">
      <w:pPr>
        <w:pStyle w:val="Heading3"/>
      </w:pPr>
      <w:r w:rsidRPr="004C6B15">
        <w:t>Not in English, and not of a higher level of evidence</w:t>
      </w:r>
      <w:r w:rsidR="001814EC">
        <w:t xml:space="preserve"> than the English language literature</w:t>
      </w:r>
      <w:r w:rsidRPr="004C6B15">
        <w:t xml:space="preserve"> </w:t>
      </w:r>
    </w:p>
    <w:p w:rsidR="00541A84" w:rsidRDefault="00541A84" w:rsidP="00541A84">
      <w:r w:rsidRPr="0003725D">
        <w:rPr>
          <w:lang w:val="es-ES_tradnl"/>
        </w:rPr>
        <w:t xml:space="preserve">Cuesta </w:t>
      </w:r>
      <w:proofErr w:type="spellStart"/>
      <w:r w:rsidRPr="0003725D">
        <w:rPr>
          <w:lang w:val="es-ES_tradnl"/>
        </w:rPr>
        <w:t>Mdel</w:t>
      </w:r>
      <w:proofErr w:type="spellEnd"/>
      <w:r w:rsidRPr="0003725D">
        <w:rPr>
          <w:lang w:val="es-ES_tradnl"/>
        </w:rPr>
        <w:t xml:space="preserve">, M., </w:t>
      </w:r>
      <w:proofErr w:type="spellStart"/>
      <w:r w:rsidRPr="0003725D">
        <w:rPr>
          <w:lang w:val="es-ES_tradnl"/>
        </w:rPr>
        <w:t>Lopez</w:t>
      </w:r>
      <w:proofErr w:type="spellEnd"/>
      <w:r w:rsidRPr="0003725D">
        <w:rPr>
          <w:lang w:val="es-ES_tradnl"/>
        </w:rPr>
        <w:t xml:space="preserve"> </w:t>
      </w:r>
      <w:proofErr w:type="spellStart"/>
      <w:r w:rsidRPr="0003725D">
        <w:rPr>
          <w:lang w:val="es-ES_tradnl"/>
        </w:rPr>
        <w:t>Mdel</w:t>
      </w:r>
      <w:proofErr w:type="spellEnd"/>
      <w:r w:rsidRPr="0003725D">
        <w:rPr>
          <w:lang w:val="es-ES_tradnl"/>
        </w:rPr>
        <w:t xml:space="preserve">, C., Nieto, P., et al. </w:t>
      </w:r>
      <w:proofErr w:type="gramStart"/>
      <w:r>
        <w:t>(2012). [Introduction of a rapid HIV test in Sexually Transmitted Infections Units].</w:t>
      </w:r>
      <w:proofErr w:type="gramEnd"/>
      <w:r>
        <w:t xml:space="preserve"> </w:t>
      </w:r>
      <w:proofErr w:type="spellStart"/>
      <w:r>
        <w:rPr>
          <w:i/>
          <w:iCs/>
        </w:rPr>
        <w:t>Enfermedades</w:t>
      </w:r>
      <w:proofErr w:type="spellEnd"/>
      <w:r>
        <w:rPr>
          <w:i/>
          <w:iCs/>
        </w:rPr>
        <w:t xml:space="preserve"> </w:t>
      </w:r>
      <w:proofErr w:type="spellStart"/>
      <w:r>
        <w:rPr>
          <w:i/>
          <w:iCs/>
        </w:rPr>
        <w:t>Infecciosas</w:t>
      </w:r>
      <w:proofErr w:type="spellEnd"/>
      <w:r>
        <w:rPr>
          <w:i/>
          <w:iCs/>
        </w:rPr>
        <w:t xml:space="preserve"> y </w:t>
      </w:r>
      <w:proofErr w:type="spellStart"/>
      <w:r>
        <w:rPr>
          <w:i/>
          <w:iCs/>
        </w:rPr>
        <w:t>Microbiologia</w:t>
      </w:r>
      <w:proofErr w:type="spellEnd"/>
      <w:r>
        <w:rPr>
          <w:i/>
          <w:iCs/>
        </w:rPr>
        <w:t xml:space="preserve"> </w:t>
      </w:r>
      <w:proofErr w:type="spellStart"/>
      <w:r>
        <w:rPr>
          <w:i/>
          <w:iCs/>
        </w:rPr>
        <w:t>Clinica</w:t>
      </w:r>
      <w:proofErr w:type="spellEnd"/>
      <w:r>
        <w:rPr>
          <w:i/>
          <w:iCs/>
        </w:rPr>
        <w:t>, 30</w:t>
      </w:r>
      <w:r>
        <w:t xml:space="preserve">(4), 189-191. </w:t>
      </w:r>
    </w:p>
    <w:p w:rsidR="00541A84" w:rsidRDefault="00541A84" w:rsidP="00541A84">
      <w:proofErr w:type="spellStart"/>
      <w:proofErr w:type="gramStart"/>
      <w:r w:rsidRPr="00093CD9">
        <w:lastRenderedPageBreak/>
        <w:t>Kawahata</w:t>
      </w:r>
      <w:proofErr w:type="spellEnd"/>
      <w:r w:rsidRPr="00093CD9">
        <w:t xml:space="preserve">, T., </w:t>
      </w:r>
      <w:proofErr w:type="spellStart"/>
      <w:r w:rsidRPr="00093CD9">
        <w:t>Nagashima</w:t>
      </w:r>
      <w:proofErr w:type="spellEnd"/>
      <w:r w:rsidRPr="00093CD9">
        <w:t xml:space="preserve">, M., </w:t>
      </w:r>
      <w:proofErr w:type="spellStart"/>
      <w:r w:rsidRPr="00093CD9">
        <w:t>Sadamasu</w:t>
      </w:r>
      <w:proofErr w:type="spellEnd"/>
      <w:r w:rsidRPr="00093CD9">
        <w:t xml:space="preserve">, K., et al. </w:t>
      </w:r>
      <w:r>
        <w:t>(2013).</w:t>
      </w:r>
      <w:proofErr w:type="gramEnd"/>
      <w:r>
        <w:t xml:space="preserve"> </w:t>
      </w:r>
      <w:proofErr w:type="gramStart"/>
      <w:r>
        <w:t xml:space="preserve">[Evaluation of an </w:t>
      </w:r>
      <w:proofErr w:type="spellStart"/>
      <w:r>
        <w:t>immunochromatographic</w:t>
      </w:r>
      <w:proofErr w:type="spellEnd"/>
      <w:r>
        <w:t xml:space="preserve"> fourth generation test for the rapid diagnosis of acute HIV infection].</w:t>
      </w:r>
      <w:proofErr w:type="gramEnd"/>
      <w:r>
        <w:t xml:space="preserve"> </w:t>
      </w:r>
      <w:proofErr w:type="spellStart"/>
      <w:r>
        <w:rPr>
          <w:i/>
          <w:iCs/>
        </w:rPr>
        <w:t>Kansenshogaku</w:t>
      </w:r>
      <w:proofErr w:type="spellEnd"/>
      <w:r>
        <w:rPr>
          <w:i/>
          <w:iCs/>
        </w:rPr>
        <w:t xml:space="preserve"> </w:t>
      </w:r>
      <w:proofErr w:type="spellStart"/>
      <w:r>
        <w:rPr>
          <w:i/>
          <w:iCs/>
        </w:rPr>
        <w:t>Zasshi</w:t>
      </w:r>
      <w:proofErr w:type="spellEnd"/>
      <w:r>
        <w:rPr>
          <w:i/>
          <w:iCs/>
        </w:rPr>
        <w:t xml:space="preserve"> - Journal of the Japanese Association for Infectious Diseases, 87</w:t>
      </w:r>
      <w:r>
        <w:t xml:space="preserve">(4), 431-434. </w:t>
      </w:r>
    </w:p>
    <w:p w:rsidR="00497604" w:rsidRDefault="00497604" w:rsidP="00497604">
      <w:pPr>
        <w:pStyle w:val="Heading3"/>
      </w:pPr>
      <w:r>
        <w:t>Narrative/Letter</w:t>
      </w:r>
    </w:p>
    <w:p w:rsidR="00541A84" w:rsidRDefault="00541A84" w:rsidP="00541A84">
      <w:proofErr w:type="gramStart"/>
      <w:r>
        <w:t>Holt, M., &amp; Keen, P. (2009).</w:t>
      </w:r>
      <w:proofErr w:type="gramEnd"/>
      <w:r>
        <w:t xml:space="preserve"> </w:t>
      </w:r>
      <w:proofErr w:type="gramStart"/>
      <w:r>
        <w:t>Challenges in rolling out rapid HIV testing in Australia.</w:t>
      </w:r>
      <w:proofErr w:type="gramEnd"/>
      <w:r>
        <w:t xml:space="preserve"> </w:t>
      </w:r>
      <w:r>
        <w:rPr>
          <w:i/>
          <w:iCs/>
        </w:rPr>
        <w:t>Sexual Health, 6</w:t>
      </w:r>
      <w:r>
        <w:t xml:space="preserve">(2), 101-102. </w:t>
      </w:r>
    </w:p>
    <w:p w:rsidR="00541A84" w:rsidRDefault="00541A84" w:rsidP="00541A84">
      <w:r>
        <w:t xml:space="preserve">Leung, C. C., &amp; Lee, S. S. (2012). Rapid HIV tests: from meta-analysis to field application. </w:t>
      </w:r>
      <w:r>
        <w:rPr>
          <w:i/>
          <w:iCs/>
        </w:rPr>
        <w:t>The Lancet Infectious Diseases, 12</w:t>
      </w:r>
      <w:r>
        <w:t xml:space="preserve">(5), 356-357. </w:t>
      </w:r>
    </w:p>
    <w:p w:rsidR="00541A84" w:rsidRDefault="00541A84" w:rsidP="00541A84">
      <w:proofErr w:type="gramStart"/>
      <w:r w:rsidRPr="00093CD9">
        <w:t xml:space="preserve">McMahon, J. H., &amp; </w:t>
      </w:r>
      <w:proofErr w:type="spellStart"/>
      <w:r w:rsidRPr="00093CD9">
        <w:t>Medland</w:t>
      </w:r>
      <w:proofErr w:type="spellEnd"/>
      <w:r w:rsidRPr="00093CD9">
        <w:t>, N. (2014).</w:t>
      </w:r>
      <w:proofErr w:type="gramEnd"/>
      <w:r w:rsidRPr="00093CD9">
        <w:t xml:space="preserve"> </w:t>
      </w:r>
      <w:r>
        <w:t xml:space="preserve">90-90-90: How do we get there? </w:t>
      </w:r>
      <w:proofErr w:type="gramStart"/>
      <w:r>
        <w:rPr>
          <w:i/>
          <w:iCs/>
        </w:rPr>
        <w:t>The Lancet HIV, 1</w:t>
      </w:r>
      <w:r>
        <w:t>(1), e10-e11.</w:t>
      </w:r>
      <w:proofErr w:type="gramEnd"/>
      <w:r>
        <w:t xml:space="preserve"> </w:t>
      </w:r>
    </w:p>
    <w:p w:rsidR="00497604" w:rsidRDefault="00497604" w:rsidP="00497604">
      <w:pPr>
        <w:pStyle w:val="Heading3"/>
      </w:pPr>
      <w:r>
        <w:t>Protocol or abstract only</w:t>
      </w:r>
    </w:p>
    <w:p w:rsidR="00497604" w:rsidRDefault="00541A84" w:rsidP="00541A84">
      <w:r>
        <w:t>Centre for Reviews and Dissemination. (2015). Rapid point-of-care HIV testing in pregnant women: a systematic review and meta-analysis (Structured abstract).</w:t>
      </w:r>
    </w:p>
    <w:p w:rsidR="00541A84" w:rsidRDefault="00541A84" w:rsidP="00541A84">
      <w:r>
        <w:t>Centre for Reviews and Dissemination. (2015). Rapid point-of-care HIV testing in youth: a systematic review (Provisional abstract).</w:t>
      </w:r>
    </w:p>
    <w:p w:rsidR="00541A84" w:rsidRDefault="00541A84" w:rsidP="00541A84">
      <w:r>
        <w:t>Centre for Reviews and Dissemination. (2015). Head-to-head comparison of accuracy of a rapid point-of-care HIV test with oral versus whole-blood specimens: a systematic review and meta-analysis (Provisional abstract).</w:t>
      </w:r>
    </w:p>
    <w:p w:rsidR="00541A84" w:rsidRDefault="00541A84" w:rsidP="00541A84">
      <w:r w:rsidRPr="0003725D">
        <w:rPr>
          <w:lang w:val="de-DE"/>
        </w:rPr>
        <w:t xml:space="preserve">Pottie, K., Dahal, G., Logie, C., &amp; Welch, V. (2012). </w:t>
      </w:r>
      <w:r>
        <w:t xml:space="preserve">Rapid testing for improving uptake of HIV/AIDS services in people with HIV infection. </w:t>
      </w:r>
      <w:r>
        <w:rPr>
          <w:i/>
          <w:iCs/>
        </w:rPr>
        <w:t xml:space="preserve">Cochrane Database of Systematic </w:t>
      </w:r>
      <w:proofErr w:type="gramStart"/>
      <w:r>
        <w:rPr>
          <w:i/>
          <w:iCs/>
        </w:rPr>
        <w:t>Reviews</w:t>
      </w:r>
      <w:r>
        <w:t>(</w:t>
      </w:r>
      <w:proofErr w:type="gramEnd"/>
      <w:r>
        <w:t xml:space="preserve">1). </w:t>
      </w:r>
    </w:p>
    <w:p w:rsidR="009B2072" w:rsidRPr="004C6B15" w:rsidRDefault="009B2072" w:rsidP="009B2072">
      <w:pPr>
        <w:pStyle w:val="Heading3"/>
      </w:pPr>
      <w:r w:rsidRPr="004C6B15">
        <w:t xml:space="preserve">Unable to retrieve </w:t>
      </w:r>
      <w:r w:rsidR="00497604">
        <w:t>paper</w:t>
      </w:r>
      <w:r w:rsidRPr="004C6B15">
        <w:t xml:space="preserve"> within time limit</w:t>
      </w:r>
    </w:p>
    <w:p w:rsidR="009B2072" w:rsidRDefault="00541A84" w:rsidP="00541A84">
      <w:r>
        <w:t xml:space="preserve">HAYES </w:t>
      </w:r>
      <w:proofErr w:type="spellStart"/>
      <w:proofErr w:type="gramStart"/>
      <w:r>
        <w:t>inc</w:t>
      </w:r>
      <w:proofErr w:type="spellEnd"/>
      <w:proofErr w:type="gramEnd"/>
      <w:r>
        <w:t xml:space="preserve">, (2015). </w:t>
      </w:r>
      <w:proofErr w:type="gramStart"/>
      <w:r>
        <w:t>Rapid antibody tests for HIV screening (Structured abstract).</w:t>
      </w:r>
      <w:proofErr w:type="gramEnd"/>
    </w:p>
    <w:p w:rsidR="00541A84" w:rsidRPr="00541A84" w:rsidRDefault="00541A84" w:rsidP="00541A84">
      <w:proofErr w:type="spellStart"/>
      <w:proofErr w:type="gramStart"/>
      <w:r>
        <w:t>Sahadool</w:t>
      </w:r>
      <w:proofErr w:type="spellEnd"/>
      <w:r>
        <w:t xml:space="preserve">, S., Evans, R., </w:t>
      </w:r>
      <w:proofErr w:type="spellStart"/>
      <w:r>
        <w:t>Boochay</w:t>
      </w:r>
      <w:proofErr w:type="spellEnd"/>
      <w:r>
        <w:t>, S., et al. (2012).</w:t>
      </w:r>
      <w:proofErr w:type="gramEnd"/>
      <w:r>
        <w:t xml:space="preserve"> </w:t>
      </w:r>
      <w:proofErr w:type="gramStart"/>
      <w:r>
        <w:t>Assessing the HIV rapid test in the fight against the HIV/AIDS epidemic in Trinidad.</w:t>
      </w:r>
      <w:proofErr w:type="gramEnd"/>
      <w:r>
        <w:t xml:space="preserve"> </w:t>
      </w:r>
      <w:proofErr w:type="gramStart"/>
      <w:r>
        <w:rPr>
          <w:i/>
          <w:iCs/>
        </w:rPr>
        <w:t>West Indian Medical Journal, 61</w:t>
      </w:r>
      <w:r>
        <w:t>, 40.</w:t>
      </w:r>
      <w:proofErr w:type="gramEnd"/>
      <w:r>
        <w:t xml:space="preserve"> </w:t>
      </w:r>
    </w:p>
    <w:p w:rsidR="008C491E" w:rsidRPr="004C6B15" w:rsidRDefault="008C491E" w:rsidP="008C491E">
      <w:pPr>
        <w:pStyle w:val="Heading1"/>
      </w:pPr>
      <w:bookmarkStart w:id="207" w:name="_Toc418224890"/>
      <w:bookmarkEnd w:id="205"/>
      <w:r w:rsidRPr="004C6B15">
        <w:lastRenderedPageBreak/>
        <w:t xml:space="preserve">Appendix </w:t>
      </w:r>
      <w:r>
        <w:t>F</w:t>
      </w:r>
      <w:r w:rsidRPr="004C6B15">
        <w:tab/>
      </w:r>
      <w:r>
        <w:t>Economic evaluation search strategy</w:t>
      </w:r>
      <w:bookmarkEnd w:id="207"/>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Economic evaluation search strategy"/>
      </w:tblPr>
      <w:tblGrid>
        <w:gridCol w:w="425"/>
        <w:gridCol w:w="3827"/>
        <w:gridCol w:w="1406"/>
        <w:gridCol w:w="1387"/>
        <w:gridCol w:w="1277"/>
      </w:tblGrid>
      <w:tr w:rsidR="00583BFC" w:rsidTr="00583BFC">
        <w:tc>
          <w:tcPr>
            <w:tcW w:w="425" w:type="dxa"/>
            <w:shd w:val="clear" w:color="auto" w:fill="auto"/>
          </w:tcPr>
          <w:p w:rsidR="008C491E" w:rsidRDefault="008C491E" w:rsidP="003919BF">
            <w:pPr>
              <w:pStyle w:val="TableText"/>
            </w:pPr>
          </w:p>
        </w:tc>
        <w:tc>
          <w:tcPr>
            <w:tcW w:w="3827" w:type="dxa"/>
            <w:shd w:val="clear" w:color="auto" w:fill="auto"/>
          </w:tcPr>
          <w:p w:rsidR="008C491E" w:rsidRDefault="008C491E" w:rsidP="003919BF">
            <w:pPr>
              <w:pStyle w:val="TableText"/>
            </w:pPr>
          </w:p>
        </w:tc>
        <w:tc>
          <w:tcPr>
            <w:tcW w:w="1406" w:type="dxa"/>
            <w:shd w:val="clear" w:color="auto" w:fill="auto"/>
            <w:vAlign w:val="center"/>
          </w:tcPr>
          <w:p w:rsidR="008C491E" w:rsidRPr="00583BFC" w:rsidRDefault="008C491E" w:rsidP="00583BFC">
            <w:pPr>
              <w:pStyle w:val="TableText"/>
              <w:jc w:val="center"/>
              <w:rPr>
                <w:b/>
                <w:bCs/>
              </w:rPr>
            </w:pPr>
            <w:proofErr w:type="spellStart"/>
            <w:r w:rsidRPr="00583BFC">
              <w:rPr>
                <w:b/>
                <w:bCs/>
              </w:rPr>
              <w:t>Embase</w:t>
            </w:r>
            <w:proofErr w:type="spellEnd"/>
          </w:p>
        </w:tc>
        <w:tc>
          <w:tcPr>
            <w:tcW w:w="1387" w:type="dxa"/>
            <w:shd w:val="clear" w:color="auto" w:fill="auto"/>
            <w:vAlign w:val="center"/>
          </w:tcPr>
          <w:p w:rsidR="008C491E" w:rsidRPr="00583BFC" w:rsidRDefault="008C491E" w:rsidP="00583BFC">
            <w:pPr>
              <w:pStyle w:val="TableText"/>
              <w:jc w:val="center"/>
              <w:rPr>
                <w:b/>
                <w:bCs/>
              </w:rPr>
            </w:pPr>
            <w:r w:rsidRPr="00583BFC">
              <w:rPr>
                <w:b/>
                <w:bCs/>
              </w:rPr>
              <w:t>Medline</w:t>
            </w:r>
          </w:p>
        </w:tc>
        <w:tc>
          <w:tcPr>
            <w:tcW w:w="1277" w:type="dxa"/>
            <w:shd w:val="clear" w:color="auto" w:fill="auto"/>
            <w:vAlign w:val="center"/>
          </w:tcPr>
          <w:p w:rsidR="008C491E" w:rsidRPr="00583BFC" w:rsidRDefault="008C491E" w:rsidP="00583BFC">
            <w:pPr>
              <w:pStyle w:val="TableText"/>
              <w:jc w:val="center"/>
              <w:rPr>
                <w:b/>
                <w:bCs/>
              </w:rPr>
            </w:pPr>
            <w:r w:rsidRPr="00583BFC">
              <w:rPr>
                <w:b/>
                <w:bCs/>
              </w:rPr>
              <w:t>EBM</w:t>
            </w:r>
          </w:p>
        </w:tc>
      </w:tr>
      <w:tr w:rsidR="00583BFC" w:rsidTr="00583BFC">
        <w:tc>
          <w:tcPr>
            <w:tcW w:w="425" w:type="dxa"/>
            <w:shd w:val="clear" w:color="auto" w:fill="auto"/>
          </w:tcPr>
          <w:p w:rsidR="008C491E" w:rsidRDefault="008C491E" w:rsidP="003919BF">
            <w:pPr>
              <w:pStyle w:val="TableText"/>
            </w:pPr>
            <w:r>
              <w:t>1</w:t>
            </w:r>
          </w:p>
        </w:tc>
        <w:tc>
          <w:tcPr>
            <w:tcW w:w="3827" w:type="dxa"/>
            <w:shd w:val="clear" w:color="auto" w:fill="auto"/>
          </w:tcPr>
          <w:p w:rsidR="008C491E" w:rsidRDefault="008C491E" w:rsidP="003919BF">
            <w:pPr>
              <w:pStyle w:val="TableText"/>
            </w:pPr>
            <w:proofErr w:type="spellStart"/>
            <w:r w:rsidRPr="00540673">
              <w:t>exp</w:t>
            </w:r>
            <w:proofErr w:type="spellEnd"/>
            <w:r w:rsidRPr="00540673">
              <w:t xml:space="preserve"> Human immunodeficiency virus infection/di [Diagnosis]</w:t>
            </w:r>
          </w:p>
        </w:tc>
        <w:tc>
          <w:tcPr>
            <w:tcW w:w="1406" w:type="dxa"/>
            <w:shd w:val="clear" w:color="auto" w:fill="auto"/>
            <w:vAlign w:val="center"/>
          </w:tcPr>
          <w:p w:rsidR="008C491E" w:rsidRDefault="008C491E" w:rsidP="00583BFC">
            <w:pPr>
              <w:pStyle w:val="TableText"/>
              <w:jc w:val="center"/>
            </w:pPr>
            <w:r>
              <w:t>27783</w:t>
            </w:r>
          </w:p>
        </w:tc>
        <w:tc>
          <w:tcPr>
            <w:tcW w:w="1387" w:type="dxa"/>
            <w:shd w:val="clear" w:color="auto" w:fill="auto"/>
            <w:vAlign w:val="center"/>
          </w:tcPr>
          <w:p w:rsidR="008C491E" w:rsidRDefault="008C491E" w:rsidP="00583BFC">
            <w:pPr>
              <w:pStyle w:val="TableText"/>
              <w:jc w:val="center"/>
            </w:pPr>
            <w:r>
              <w:t>0</w:t>
            </w:r>
          </w:p>
        </w:tc>
        <w:tc>
          <w:tcPr>
            <w:tcW w:w="1277" w:type="dxa"/>
            <w:shd w:val="clear" w:color="auto" w:fill="auto"/>
            <w:vAlign w:val="center"/>
          </w:tcPr>
          <w:p w:rsidR="008C491E" w:rsidRDefault="008C491E" w:rsidP="00583BFC">
            <w:pPr>
              <w:pStyle w:val="TableText"/>
              <w:jc w:val="center"/>
            </w:pPr>
            <w:r>
              <w:t>0</w:t>
            </w:r>
          </w:p>
        </w:tc>
      </w:tr>
      <w:tr w:rsidR="00583BFC" w:rsidRPr="00540673" w:rsidTr="00583BFC">
        <w:tc>
          <w:tcPr>
            <w:tcW w:w="425" w:type="dxa"/>
            <w:shd w:val="clear" w:color="auto" w:fill="auto"/>
          </w:tcPr>
          <w:p w:rsidR="008C491E" w:rsidRDefault="008C491E" w:rsidP="003919BF">
            <w:pPr>
              <w:pStyle w:val="TableText"/>
            </w:pPr>
            <w:r>
              <w:t>2</w:t>
            </w:r>
          </w:p>
        </w:tc>
        <w:tc>
          <w:tcPr>
            <w:tcW w:w="3827" w:type="dxa"/>
            <w:shd w:val="clear" w:color="auto" w:fill="auto"/>
          </w:tcPr>
          <w:p w:rsidR="008C491E" w:rsidRPr="00583BFC" w:rsidRDefault="008C491E" w:rsidP="003919BF">
            <w:pPr>
              <w:pStyle w:val="TableText"/>
              <w:rPr>
                <w:lang w:val="fr-FR"/>
              </w:rPr>
            </w:pPr>
            <w:proofErr w:type="spellStart"/>
            <w:r w:rsidRPr="00583BFC">
              <w:rPr>
                <w:lang w:val="fr-FR"/>
              </w:rPr>
              <w:t>exp</w:t>
            </w:r>
            <w:proofErr w:type="spellEnd"/>
            <w:r w:rsidRPr="00583BFC">
              <w:rPr>
                <w:lang w:val="fr-FR"/>
              </w:rPr>
              <w:t xml:space="preserve"> HIV infections/di [</w:t>
            </w:r>
            <w:proofErr w:type="spellStart"/>
            <w:r w:rsidRPr="00583BFC">
              <w:rPr>
                <w:lang w:val="fr-FR"/>
              </w:rPr>
              <w:t>Diagnosis</w:t>
            </w:r>
            <w:proofErr w:type="spellEnd"/>
            <w:r w:rsidRPr="00583BFC">
              <w:rPr>
                <w:lang w:val="fr-FR"/>
              </w:rPr>
              <w:t>]</w:t>
            </w:r>
          </w:p>
        </w:tc>
        <w:tc>
          <w:tcPr>
            <w:tcW w:w="1406" w:type="dxa"/>
            <w:shd w:val="clear" w:color="auto" w:fill="auto"/>
            <w:vAlign w:val="center"/>
          </w:tcPr>
          <w:p w:rsidR="008C491E" w:rsidRPr="00583BFC" w:rsidRDefault="008C491E" w:rsidP="00583BFC">
            <w:pPr>
              <w:pStyle w:val="TableText"/>
              <w:jc w:val="center"/>
              <w:rPr>
                <w:lang w:val="fr-FR"/>
              </w:rPr>
            </w:pPr>
            <w:r w:rsidRPr="00583BFC">
              <w:rPr>
                <w:lang w:val="fr-FR"/>
              </w:rPr>
              <w:t>27783</w:t>
            </w:r>
          </w:p>
        </w:tc>
        <w:tc>
          <w:tcPr>
            <w:tcW w:w="1387" w:type="dxa"/>
            <w:shd w:val="clear" w:color="auto" w:fill="auto"/>
            <w:vAlign w:val="center"/>
          </w:tcPr>
          <w:p w:rsidR="008C491E" w:rsidRPr="00583BFC" w:rsidRDefault="008C491E" w:rsidP="00583BFC">
            <w:pPr>
              <w:pStyle w:val="TableText"/>
              <w:jc w:val="center"/>
              <w:rPr>
                <w:lang w:val="fr-FR"/>
              </w:rPr>
            </w:pPr>
            <w:r w:rsidRPr="00583BFC">
              <w:rPr>
                <w:lang w:val="fr-FR"/>
              </w:rPr>
              <w:t>23694</w:t>
            </w:r>
          </w:p>
        </w:tc>
        <w:tc>
          <w:tcPr>
            <w:tcW w:w="1277" w:type="dxa"/>
            <w:shd w:val="clear" w:color="auto" w:fill="auto"/>
            <w:vAlign w:val="center"/>
          </w:tcPr>
          <w:p w:rsidR="008C491E" w:rsidRPr="00583BFC" w:rsidRDefault="008C491E" w:rsidP="00583BFC">
            <w:pPr>
              <w:pStyle w:val="TableText"/>
              <w:jc w:val="center"/>
              <w:rPr>
                <w:lang w:val="fr-FR"/>
              </w:rPr>
            </w:pPr>
            <w:r w:rsidRPr="00583BFC">
              <w:rPr>
                <w:lang w:val="fr-FR"/>
              </w:rPr>
              <w:t>141</w:t>
            </w:r>
          </w:p>
        </w:tc>
      </w:tr>
      <w:tr w:rsidR="00583BFC" w:rsidTr="00583BFC">
        <w:tc>
          <w:tcPr>
            <w:tcW w:w="425" w:type="dxa"/>
            <w:shd w:val="clear" w:color="auto" w:fill="auto"/>
          </w:tcPr>
          <w:p w:rsidR="008C491E" w:rsidRDefault="008C491E" w:rsidP="003919BF">
            <w:pPr>
              <w:pStyle w:val="TableText"/>
            </w:pPr>
            <w:r>
              <w:t>3</w:t>
            </w:r>
          </w:p>
        </w:tc>
        <w:tc>
          <w:tcPr>
            <w:tcW w:w="3827" w:type="dxa"/>
            <w:shd w:val="clear" w:color="auto" w:fill="auto"/>
          </w:tcPr>
          <w:p w:rsidR="008C491E" w:rsidRDefault="008C491E" w:rsidP="003919BF">
            <w:pPr>
              <w:pStyle w:val="TableText"/>
            </w:pPr>
            <w:proofErr w:type="spellStart"/>
            <w:r w:rsidRPr="00540673">
              <w:t>exp</w:t>
            </w:r>
            <w:proofErr w:type="spellEnd"/>
            <w:r w:rsidRPr="00540673">
              <w:t xml:space="preserve"> "cost utility analysis"/</w:t>
            </w:r>
          </w:p>
        </w:tc>
        <w:tc>
          <w:tcPr>
            <w:tcW w:w="1406" w:type="dxa"/>
            <w:shd w:val="clear" w:color="auto" w:fill="auto"/>
            <w:vAlign w:val="center"/>
          </w:tcPr>
          <w:p w:rsidR="008C491E" w:rsidRDefault="008C491E" w:rsidP="00583BFC">
            <w:pPr>
              <w:pStyle w:val="TableText"/>
              <w:jc w:val="center"/>
            </w:pPr>
            <w:r>
              <w:t>5884</w:t>
            </w:r>
          </w:p>
        </w:tc>
        <w:tc>
          <w:tcPr>
            <w:tcW w:w="1387" w:type="dxa"/>
            <w:shd w:val="clear" w:color="auto" w:fill="auto"/>
            <w:vAlign w:val="center"/>
          </w:tcPr>
          <w:p w:rsidR="008C491E" w:rsidRDefault="008C491E" w:rsidP="00583BFC">
            <w:pPr>
              <w:pStyle w:val="TableText"/>
              <w:jc w:val="center"/>
            </w:pPr>
            <w:r>
              <w:t>61357</w:t>
            </w:r>
          </w:p>
        </w:tc>
        <w:tc>
          <w:tcPr>
            <w:tcW w:w="1277" w:type="dxa"/>
            <w:shd w:val="clear" w:color="auto" w:fill="auto"/>
            <w:vAlign w:val="center"/>
          </w:tcPr>
          <w:p w:rsidR="008C491E" w:rsidRDefault="008C491E" w:rsidP="00583BFC">
            <w:pPr>
              <w:pStyle w:val="TableText"/>
              <w:jc w:val="center"/>
            </w:pPr>
            <w:r>
              <w:t>0</w:t>
            </w:r>
          </w:p>
        </w:tc>
      </w:tr>
      <w:tr w:rsidR="00583BFC" w:rsidTr="00583BFC">
        <w:tc>
          <w:tcPr>
            <w:tcW w:w="425" w:type="dxa"/>
            <w:shd w:val="clear" w:color="auto" w:fill="auto"/>
          </w:tcPr>
          <w:p w:rsidR="008C491E" w:rsidRDefault="008C491E" w:rsidP="003919BF">
            <w:pPr>
              <w:pStyle w:val="TableText"/>
            </w:pPr>
            <w:r>
              <w:t>4</w:t>
            </w:r>
          </w:p>
        </w:tc>
        <w:tc>
          <w:tcPr>
            <w:tcW w:w="3827" w:type="dxa"/>
            <w:shd w:val="clear" w:color="auto" w:fill="auto"/>
          </w:tcPr>
          <w:p w:rsidR="008C491E" w:rsidRDefault="008C491E" w:rsidP="003919BF">
            <w:pPr>
              <w:pStyle w:val="TableText"/>
            </w:pPr>
            <w:r w:rsidRPr="00540673">
              <w:t>(</w:t>
            </w:r>
            <w:proofErr w:type="gramStart"/>
            <w:r w:rsidRPr="00540673">
              <w:t>cost-</w:t>
            </w:r>
            <w:proofErr w:type="spellStart"/>
            <w:r w:rsidRPr="00540673">
              <w:t>util</w:t>
            </w:r>
            <w:proofErr w:type="spellEnd"/>
            <w:proofErr w:type="gramEnd"/>
            <w:r w:rsidRPr="00540673">
              <w:t xml:space="preserve">* or (cost </w:t>
            </w:r>
            <w:proofErr w:type="spellStart"/>
            <w:r w:rsidRPr="00540673">
              <w:t>adj</w:t>
            </w:r>
            <w:proofErr w:type="spellEnd"/>
            <w:r w:rsidRPr="00540673">
              <w:t xml:space="preserve"> </w:t>
            </w:r>
            <w:proofErr w:type="spellStart"/>
            <w:r w:rsidRPr="00540673">
              <w:t>util</w:t>
            </w:r>
            <w:proofErr w:type="spellEnd"/>
            <w:r w:rsidRPr="00540673">
              <w:t>*)).</w:t>
            </w:r>
            <w:proofErr w:type="spellStart"/>
            <w:r w:rsidRPr="00540673">
              <w:t>mp</w:t>
            </w:r>
            <w:proofErr w:type="spellEnd"/>
            <w:r w:rsidRPr="00540673">
              <w:t>. [</w:t>
            </w:r>
            <w:proofErr w:type="spellStart"/>
            <w:r w:rsidRPr="00540673">
              <w:t>mp</w:t>
            </w:r>
            <w:proofErr w:type="spellEnd"/>
            <w:r w:rsidRPr="00540673">
              <w:t>=title, abstract, subject headings, heading word, drug trade name, original title, device manufacturer, drug manufacturer, device trade name, keyword]</w:t>
            </w:r>
          </w:p>
        </w:tc>
        <w:tc>
          <w:tcPr>
            <w:tcW w:w="1406" w:type="dxa"/>
            <w:shd w:val="clear" w:color="auto" w:fill="auto"/>
            <w:vAlign w:val="center"/>
          </w:tcPr>
          <w:p w:rsidR="008C491E" w:rsidRDefault="008C491E" w:rsidP="00583BFC">
            <w:pPr>
              <w:pStyle w:val="TableText"/>
              <w:jc w:val="center"/>
            </w:pPr>
            <w:r>
              <w:t>8897</w:t>
            </w:r>
          </w:p>
        </w:tc>
        <w:tc>
          <w:tcPr>
            <w:tcW w:w="1387" w:type="dxa"/>
            <w:shd w:val="clear" w:color="auto" w:fill="auto"/>
            <w:vAlign w:val="center"/>
          </w:tcPr>
          <w:p w:rsidR="008C491E" w:rsidRDefault="008C491E" w:rsidP="00583BFC">
            <w:pPr>
              <w:pStyle w:val="TableText"/>
              <w:jc w:val="center"/>
            </w:pPr>
            <w:r>
              <w:t>2771</w:t>
            </w:r>
          </w:p>
        </w:tc>
        <w:tc>
          <w:tcPr>
            <w:tcW w:w="1277" w:type="dxa"/>
            <w:shd w:val="clear" w:color="auto" w:fill="auto"/>
            <w:vAlign w:val="center"/>
          </w:tcPr>
          <w:p w:rsidR="008C491E" w:rsidRDefault="008C491E" w:rsidP="00583BFC">
            <w:pPr>
              <w:pStyle w:val="TableText"/>
              <w:jc w:val="center"/>
            </w:pPr>
            <w:r>
              <w:t>4107</w:t>
            </w:r>
          </w:p>
        </w:tc>
      </w:tr>
      <w:tr w:rsidR="00583BFC" w:rsidTr="00583BFC">
        <w:tc>
          <w:tcPr>
            <w:tcW w:w="425" w:type="dxa"/>
            <w:shd w:val="clear" w:color="auto" w:fill="auto"/>
          </w:tcPr>
          <w:p w:rsidR="008C491E" w:rsidRDefault="008C491E" w:rsidP="003919BF">
            <w:pPr>
              <w:pStyle w:val="TableText"/>
            </w:pPr>
            <w:r>
              <w:t>5</w:t>
            </w:r>
          </w:p>
        </w:tc>
        <w:tc>
          <w:tcPr>
            <w:tcW w:w="3827" w:type="dxa"/>
            <w:shd w:val="clear" w:color="auto" w:fill="auto"/>
          </w:tcPr>
          <w:p w:rsidR="008C491E" w:rsidRDefault="008C491E" w:rsidP="003919BF">
            <w:pPr>
              <w:pStyle w:val="TableText"/>
            </w:pPr>
            <w:proofErr w:type="spellStart"/>
            <w:r w:rsidRPr="00540673">
              <w:t>exp</w:t>
            </w:r>
            <w:proofErr w:type="spellEnd"/>
            <w:r w:rsidRPr="00540673">
              <w:t xml:space="preserve"> "cost effectiveness analysis"/</w:t>
            </w:r>
          </w:p>
        </w:tc>
        <w:tc>
          <w:tcPr>
            <w:tcW w:w="1406" w:type="dxa"/>
            <w:shd w:val="clear" w:color="auto" w:fill="auto"/>
            <w:vAlign w:val="center"/>
          </w:tcPr>
          <w:p w:rsidR="008C491E" w:rsidRDefault="008C491E" w:rsidP="00583BFC">
            <w:pPr>
              <w:pStyle w:val="TableText"/>
              <w:jc w:val="center"/>
            </w:pPr>
            <w:r>
              <w:t>103835</w:t>
            </w:r>
          </w:p>
        </w:tc>
        <w:tc>
          <w:tcPr>
            <w:tcW w:w="1387" w:type="dxa"/>
            <w:shd w:val="clear" w:color="auto" w:fill="auto"/>
            <w:vAlign w:val="center"/>
          </w:tcPr>
          <w:p w:rsidR="008C491E" w:rsidRDefault="008C491E" w:rsidP="00583BFC">
            <w:pPr>
              <w:pStyle w:val="TableText"/>
              <w:jc w:val="center"/>
            </w:pPr>
            <w:r>
              <w:t>61357</w:t>
            </w:r>
          </w:p>
        </w:tc>
        <w:tc>
          <w:tcPr>
            <w:tcW w:w="1277" w:type="dxa"/>
            <w:shd w:val="clear" w:color="auto" w:fill="auto"/>
            <w:vAlign w:val="center"/>
          </w:tcPr>
          <w:p w:rsidR="008C491E" w:rsidRDefault="008C491E" w:rsidP="00583BFC">
            <w:pPr>
              <w:pStyle w:val="TableText"/>
              <w:jc w:val="center"/>
            </w:pPr>
            <w:r>
              <w:t>0</w:t>
            </w:r>
          </w:p>
        </w:tc>
      </w:tr>
      <w:tr w:rsidR="00583BFC" w:rsidTr="00583BFC">
        <w:tc>
          <w:tcPr>
            <w:tcW w:w="425" w:type="dxa"/>
            <w:shd w:val="clear" w:color="auto" w:fill="auto"/>
          </w:tcPr>
          <w:p w:rsidR="008C491E" w:rsidRDefault="008C491E" w:rsidP="003919BF">
            <w:pPr>
              <w:pStyle w:val="TableText"/>
            </w:pPr>
            <w:r>
              <w:t>6</w:t>
            </w:r>
          </w:p>
        </w:tc>
        <w:tc>
          <w:tcPr>
            <w:tcW w:w="3827" w:type="dxa"/>
            <w:shd w:val="clear" w:color="auto" w:fill="auto"/>
          </w:tcPr>
          <w:p w:rsidR="008C491E" w:rsidRDefault="008C491E" w:rsidP="003919BF">
            <w:pPr>
              <w:pStyle w:val="TableText"/>
            </w:pPr>
            <w:r w:rsidRPr="00540673">
              <w:t>(</w:t>
            </w:r>
            <w:proofErr w:type="gramStart"/>
            <w:r w:rsidRPr="00540673">
              <w:t>cost-effect</w:t>
            </w:r>
            <w:proofErr w:type="gramEnd"/>
            <w:r w:rsidRPr="00540673">
              <w:t xml:space="preserve">* or (cost </w:t>
            </w:r>
            <w:proofErr w:type="spellStart"/>
            <w:r w:rsidRPr="00540673">
              <w:t>adj</w:t>
            </w:r>
            <w:proofErr w:type="spellEnd"/>
            <w:r w:rsidRPr="00540673">
              <w:t xml:space="preserve"> effect*)).</w:t>
            </w:r>
            <w:proofErr w:type="spellStart"/>
            <w:r w:rsidRPr="00540673">
              <w:t>mp</w:t>
            </w:r>
            <w:proofErr w:type="spellEnd"/>
            <w:r w:rsidRPr="00540673">
              <w:t>. [</w:t>
            </w:r>
            <w:proofErr w:type="spellStart"/>
            <w:r w:rsidRPr="00540673">
              <w:t>mp</w:t>
            </w:r>
            <w:proofErr w:type="spellEnd"/>
            <w:r w:rsidRPr="00540673">
              <w:t>=title, abstract, subject headings, heading word, drug trade name, original title, device manufacturer, drug manufacturer, device trade name, keyword]</w:t>
            </w:r>
          </w:p>
        </w:tc>
        <w:tc>
          <w:tcPr>
            <w:tcW w:w="1406" w:type="dxa"/>
            <w:shd w:val="clear" w:color="auto" w:fill="auto"/>
            <w:vAlign w:val="center"/>
          </w:tcPr>
          <w:p w:rsidR="008C491E" w:rsidRDefault="008C491E" w:rsidP="00583BFC">
            <w:pPr>
              <w:pStyle w:val="TableText"/>
              <w:jc w:val="center"/>
            </w:pPr>
            <w:r>
              <w:t>160663</w:t>
            </w:r>
          </w:p>
        </w:tc>
        <w:tc>
          <w:tcPr>
            <w:tcW w:w="1387" w:type="dxa"/>
            <w:shd w:val="clear" w:color="auto" w:fill="auto"/>
            <w:vAlign w:val="center"/>
          </w:tcPr>
          <w:p w:rsidR="008C491E" w:rsidRDefault="008C491E" w:rsidP="00583BFC">
            <w:pPr>
              <w:pStyle w:val="TableText"/>
              <w:jc w:val="center"/>
            </w:pPr>
            <w:r>
              <w:t>82622</w:t>
            </w:r>
          </w:p>
        </w:tc>
        <w:tc>
          <w:tcPr>
            <w:tcW w:w="1277" w:type="dxa"/>
            <w:shd w:val="clear" w:color="auto" w:fill="auto"/>
            <w:vAlign w:val="center"/>
          </w:tcPr>
          <w:p w:rsidR="008C491E" w:rsidRDefault="008C491E" w:rsidP="00583BFC">
            <w:pPr>
              <w:pStyle w:val="TableText"/>
              <w:jc w:val="center"/>
            </w:pPr>
            <w:r>
              <w:t>26218</w:t>
            </w:r>
          </w:p>
        </w:tc>
      </w:tr>
      <w:tr w:rsidR="00583BFC" w:rsidTr="00583BFC">
        <w:tc>
          <w:tcPr>
            <w:tcW w:w="425" w:type="dxa"/>
            <w:shd w:val="clear" w:color="auto" w:fill="auto"/>
          </w:tcPr>
          <w:p w:rsidR="008C491E" w:rsidRDefault="008C491E" w:rsidP="003919BF">
            <w:pPr>
              <w:pStyle w:val="TableText"/>
            </w:pPr>
            <w:r>
              <w:t>7</w:t>
            </w:r>
          </w:p>
        </w:tc>
        <w:tc>
          <w:tcPr>
            <w:tcW w:w="3827" w:type="dxa"/>
            <w:shd w:val="clear" w:color="auto" w:fill="auto"/>
          </w:tcPr>
          <w:p w:rsidR="008C491E" w:rsidRDefault="008C491E" w:rsidP="003919BF">
            <w:pPr>
              <w:pStyle w:val="TableText"/>
            </w:pPr>
            <w:proofErr w:type="spellStart"/>
            <w:r w:rsidRPr="00540673">
              <w:t>exp</w:t>
            </w:r>
            <w:proofErr w:type="spellEnd"/>
            <w:r w:rsidRPr="00540673">
              <w:t xml:space="preserve"> "cost benefit analysis"/</w:t>
            </w:r>
          </w:p>
        </w:tc>
        <w:tc>
          <w:tcPr>
            <w:tcW w:w="1406" w:type="dxa"/>
            <w:shd w:val="clear" w:color="auto" w:fill="auto"/>
            <w:vAlign w:val="center"/>
          </w:tcPr>
          <w:p w:rsidR="008C491E" w:rsidRDefault="008C491E" w:rsidP="00583BFC">
            <w:pPr>
              <w:pStyle w:val="TableText"/>
              <w:jc w:val="center"/>
            </w:pPr>
            <w:r>
              <w:t>66752</w:t>
            </w:r>
          </w:p>
        </w:tc>
        <w:tc>
          <w:tcPr>
            <w:tcW w:w="1387" w:type="dxa"/>
            <w:shd w:val="clear" w:color="auto" w:fill="auto"/>
            <w:vAlign w:val="center"/>
          </w:tcPr>
          <w:p w:rsidR="008C491E" w:rsidRDefault="008C491E" w:rsidP="00583BFC">
            <w:pPr>
              <w:pStyle w:val="TableText"/>
              <w:jc w:val="center"/>
            </w:pPr>
            <w:r>
              <w:t>61357</w:t>
            </w:r>
          </w:p>
        </w:tc>
        <w:tc>
          <w:tcPr>
            <w:tcW w:w="1277" w:type="dxa"/>
            <w:shd w:val="clear" w:color="auto" w:fill="auto"/>
            <w:vAlign w:val="center"/>
          </w:tcPr>
          <w:p w:rsidR="008C491E" w:rsidRDefault="008C491E" w:rsidP="00583BFC">
            <w:pPr>
              <w:pStyle w:val="TableText"/>
              <w:jc w:val="center"/>
            </w:pPr>
            <w:r>
              <w:t>16001</w:t>
            </w:r>
          </w:p>
        </w:tc>
      </w:tr>
      <w:tr w:rsidR="00583BFC" w:rsidTr="00583BFC">
        <w:tc>
          <w:tcPr>
            <w:tcW w:w="425" w:type="dxa"/>
            <w:shd w:val="clear" w:color="auto" w:fill="auto"/>
          </w:tcPr>
          <w:p w:rsidR="008C491E" w:rsidRDefault="008C491E" w:rsidP="003919BF">
            <w:pPr>
              <w:pStyle w:val="TableText"/>
            </w:pPr>
            <w:r>
              <w:t>8</w:t>
            </w:r>
          </w:p>
        </w:tc>
        <w:tc>
          <w:tcPr>
            <w:tcW w:w="3827" w:type="dxa"/>
            <w:shd w:val="clear" w:color="auto" w:fill="auto"/>
          </w:tcPr>
          <w:p w:rsidR="008C491E" w:rsidRDefault="008C491E" w:rsidP="003919BF">
            <w:pPr>
              <w:pStyle w:val="TableText"/>
            </w:pPr>
            <w:r w:rsidRPr="00540673">
              <w:t>(</w:t>
            </w:r>
            <w:proofErr w:type="gramStart"/>
            <w:r w:rsidRPr="00540673">
              <w:t>cost</w:t>
            </w:r>
            <w:proofErr w:type="gramEnd"/>
            <w:r w:rsidRPr="00540673">
              <w:t xml:space="preserve"> </w:t>
            </w:r>
            <w:proofErr w:type="spellStart"/>
            <w:r w:rsidRPr="00540673">
              <w:t>adj</w:t>
            </w:r>
            <w:proofErr w:type="spellEnd"/>
            <w:r w:rsidRPr="00540673">
              <w:t xml:space="preserve"> study).</w:t>
            </w:r>
            <w:proofErr w:type="spellStart"/>
            <w:r w:rsidRPr="00540673">
              <w:t>mp</w:t>
            </w:r>
            <w:proofErr w:type="spellEnd"/>
            <w:r w:rsidRPr="00540673">
              <w:t>. [</w:t>
            </w:r>
            <w:proofErr w:type="spellStart"/>
            <w:r w:rsidRPr="00540673">
              <w:t>mp</w:t>
            </w:r>
            <w:proofErr w:type="spellEnd"/>
            <w:r w:rsidRPr="00540673">
              <w:t>=title, abstract, subject headings, heading word, drug trade name, original title, device manufacturer, drug manufacturer, device trade name, keyword]</w:t>
            </w:r>
          </w:p>
        </w:tc>
        <w:tc>
          <w:tcPr>
            <w:tcW w:w="1406" w:type="dxa"/>
            <w:shd w:val="clear" w:color="auto" w:fill="auto"/>
            <w:vAlign w:val="center"/>
          </w:tcPr>
          <w:p w:rsidR="008C491E" w:rsidRDefault="008C491E" w:rsidP="00583BFC">
            <w:pPr>
              <w:pStyle w:val="TableText"/>
              <w:jc w:val="center"/>
            </w:pPr>
            <w:r>
              <w:t>330</w:t>
            </w:r>
          </w:p>
        </w:tc>
        <w:tc>
          <w:tcPr>
            <w:tcW w:w="1387" w:type="dxa"/>
            <w:shd w:val="clear" w:color="auto" w:fill="auto"/>
            <w:vAlign w:val="center"/>
          </w:tcPr>
          <w:p w:rsidR="008C491E" w:rsidRDefault="008C491E" w:rsidP="00583BFC">
            <w:pPr>
              <w:pStyle w:val="TableText"/>
              <w:jc w:val="center"/>
            </w:pPr>
            <w:r>
              <w:t>183</w:t>
            </w:r>
          </w:p>
        </w:tc>
        <w:tc>
          <w:tcPr>
            <w:tcW w:w="1277" w:type="dxa"/>
            <w:shd w:val="clear" w:color="auto" w:fill="auto"/>
            <w:vAlign w:val="center"/>
          </w:tcPr>
          <w:p w:rsidR="008C491E" w:rsidRDefault="008C491E" w:rsidP="00583BFC">
            <w:pPr>
              <w:pStyle w:val="TableText"/>
              <w:jc w:val="center"/>
            </w:pPr>
            <w:r>
              <w:t>160</w:t>
            </w:r>
          </w:p>
        </w:tc>
      </w:tr>
      <w:tr w:rsidR="00583BFC" w:rsidTr="00583BFC">
        <w:tc>
          <w:tcPr>
            <w:tcW w:w="425" w:type="dxa"/>
            <w:shd w:val="clear" w:color="auto" w:fill="auto"/>
          </w:tcPr>
          <w:p w:rsidR="008C491E" w:rsidRDefault="008C491E" w:rsidP="003919BF">
            <w:pPr>
              <w:pStyle w:val="TableText"/>
            </w:pPr>
            <w:r>
              <w:t>9</w:t>
            </w:r>
          </w:p>
        </w:tc>
        <w:tc>
          <w:tcPr>
            <w:tcW w:w="3827" w:type="dxa"/>
            <w:shd w:val="clear" w:color="auto" w:fill="auto"/>
          </w:tcPr>
          <w:p w:rsidR="008C491E" w:rsidRDefault="008C491E" w:rsidP="003919BF">
            <w:pPr>
              <w:pStyle w:val="TableText"/>
            </w:pPr>
            <w:r w:rsidRPr="00540673">
              <w:t>(</w:t>
            </w:r>
            <w:proofErr w:type="gramStart"/>
            <w:r w:rsidRPr="00540673">
              <w:t>mathematical</w:t>
            </w:r>
            <w:proofErr w:type="gramEnd"/>
            <w:r w:rsidRPr="00540673">
              <w:t xml:space="preserve"> </w:t>
            </w:r>
            <w:proofErr w:type="spellStart"/>
            <w:r w:rsidRPr="00540673">
              <w:t>adj</w:t>
            </w:r>
            <w:proofErr w:type="spellEnd"/>
            <w:r w:rsidRPr="00540673">
              <w:t xml:space="preserve"> model).</w:t>
            </w:r>
            <w:proofErr w:type="spellStart"/>
            <w:r w:rsidRPr="00540673">
              <w:t>mp</w:t>
            </w:r>
            <w:proofErr w:type="spellEnd"/>
            <w:r w:rsidRPr="00540673">
              <w:t>. [</w:t>
            </w:r>
            <w:proofErr w:type="spellStart"/>
            <w:r w:rsidRPr="00540673">
              <w:t>mp</w:t>
            </w:r>
            <w:proofErr w:type="spellEnd"/>
            <w:r w:rsidRPr="00540673">
              <w:t>=title, abstract, subject headings, heading word, drug trade name, original title, device manufacturer, drug manufacturer, device trade name, keyword]</w:t>
            </w:r>
          </w:p>
        </w:tc>
        <w:tc>
          <w:tcPr>
            <w:tcW w:w="1406" w:type="dxa"/>
            <w:shd w:val="clear" w:color="auto" w:fill="auto"/>
            <w:vAlign w:val="center"/>
          </w:tcPr>
          <w:p w:rsidR="008C491E" w:rsidRDefault="008C491E" w:rsidP="00583BFC">
            <w:pPr>
              <w:pStyle w:val="TableText"/>
              <w:jc w:val="center"/>
            </w:pPr>
            <w:r>
              <w:t>96584</w:t>
            </w:r>
          </w:p>
        </w:tc>
        <w:tc>
          <w:tcPr>
            <w:tcW w:w="1387" w:type="dxa"/>
            <w:shd w:val="clear" w:color="auto" w:fill="auto"/>
            <w:vAlign w:val="center"/>
          </w:tcPr>
          <w:p w:rsidR="008C491E" w:rsidRDefault="008C491E" w:rsidP="00583BFC">
            <w:pPr>
              <w:pStyle w:val="TableText"/>
              <w:jc w:val="center"/>
            </w:pPr>
            <w:r>
              <w:t>21046</w:t>
            </w:r>
          </w:p>
        </w:tc>
        <w:tc>
          <w:tcPr>
            <w:tcW w:w="1277" w:type="dxa"/>
            <w:shd w:val="clear" w:color="auto" w:fill="auto"/>
            <w:vAlign w:val="center"/>
          </w:tcPr>
          <w:p w:rsidR="008C491E" w:rsidRDefault="008C491E" w:rsidP="00583BFC">
            <w:pPr>
              <w:pStyle w:val="TableText"/>
              <w:jc w:val="center"/>
            </w:pPr>
            <w:r>
              <w:t>328</w:t>
            </w:r>
          </w:p>
        </w:tc>
      </w:tr>
      <w:tr w:rsidR="00583BFC" w:rsidTr="00583BFC">
        <w:tc>
          <w:tcPr>
            <w:tcW w:w="425" w:type="dxa"/>
            <w:shd w:val="clear" w:color="auto" w:fill="auto"/>
          </w:tcPr>
          <w:p w:rsidR="008C491E" w:rsidRDefault="008C491E" w:rsidP="003919BF">
            <w:pPr>
              <w:pStyle w:val="TableText"/>
            </w:pPr>
            <w:r>
              <w:t>10</w:t>
            </w:r>
          </w:p>
        </w:tc>
        <w:tc>
          <w:tcPr>
            <w:tcW w:w="3827" w:type="dxa"/>
            <w:shd w:val="clear" w:color="auto" w:fill="auto"/>
          </w:tcPr>
          <w:p w:rsidR="008C491E" w:rsidRDefault="008C491E" w:rsidP="003919BF">
            <w:pPr>
              <w:pStyle w:val="TableText"/>
            </w:pPr>
            <w:r>
              <w:t>1 or 2</w:t>
            </w:r>
          </w:p>
        </w:tc>
        <w:tc>
          <w:tcPr>
            <w:tcW w:w="1406" w:type="dxa"/>
            <w:shd w:val="clear" w:color="auto" w:fill="auto"/>
            <w:vAlign w:val="center"/>
          </w:tcPr>
          <w:p w:rsidR="008C491E" w:rsidRDefault="008C491E" w:rsidP="00583BFC">
            <w:pPr>
              <w:pStyle w:val="TableText"/>
              <w:jc w:val="center"/>
            </w:pPr>
            <w:r>
              <w:t>27783</w:t>
            </w:r>
          </w:p>
        </w:tc>
        <w:tc>
          <w:tcPr>
            <w:tcW w:w="1387" w:type="dxa"/>
            <w:shd w:val="clear" w:color="auto" w:fill="auto"/>
            <w:vAlign w:val="center"/>
          </w:tcPr>
          <w:p w:rsidR="008C491E" w:rsidRDefault="008C491E" w:rsidP="00583BFC">
            <w:pPr>
              <w:pStyle w:val="TableText"/>
              <w:jc w:val="center"/>
            </w:pPr>
            <w:r>
              <w:t>23694</w:t>
            </w:r>
          </w:p>
        </w:tc>
        <w:tc>
          <w:tcPr>
            <w:tcW w:w="1277" w:type="dxa"/>
            <w:shd w:val="clear" w:color="auto" w:fill="auto"/>
            <w:vAlign w:val="center"/>
          </w:tcPr>
          <w:p w:rsidR="008C491E" w:rsidRDefault="008C491E" w:rsidP="00583BFC">
            <w:pPr>
              <w:pStyle w:val="TableText"/>
              <w:jc w:val="center"/>
            </w:pPr>
            <w:r>
              <w:t>141</w:t>
            </w:r>
          </w:p>
        </w:tc>
      </w:tr>
      <w:tr w:rsidR="00583BFC" w:rsidTr="00583BFC">
        <w:tc>
          <w:tcPr>
            <w:tcW w:w="425" w:type="dxa"/>
            <w:shd w:val="clear" w:color="auto" w:fill="auto"/>
          </w:tcPr>
          <w:p w:rsidR="008C491E" w:rsidRDefault="008C491E" w:rsidP="003919BF">
            <w:pPr>
              <w:pStyle w:val="TableText"/>
            </w:pPr>
            <w:r>
              <w:t>11</w:t>
            </w:r>
          </w:p>
        </w:tc>
        <w:tc>
          <w:tcPr>
            <w:tcW w:w="3827" w:type="dxa"/>
            <w:shd w:val="clear" w:color="auto" w:fill="auto"/>
          </w:tcPr>
          <w:p w:rsidR="008C491E" w:rsidRDefault="008C491E" w:rsidP="003919BF">
            <w:pPr>
              <w:pStyle w:val="TableText"/>
            </w:pPr>
            <w:r w:rsidRPr="00540673">
              <w:t xml:space="preserve">3 or 4 or 5 or 6 or 7 or 8 or 9 </w:t>
            </w:r>
          </w:p>
        </w:tc>
        <w:tc>
          <w:tcPr>
            <w:tcW w:w="1406" w:type="dxa"/>
            <w:shd w:val="clear" w:color="auto" w:fill="auto"/>
            <w:vAlign w:val="center"/>
          </w:tcPr>
          <w:p w:rsidR="008C491E" w:rsidRDefault="008C491E" w:rsidP="00583BFC">
            <w:pPr>
              <w:pStyle w:val="TableText"/>
              <w:jc w:val="center"/>
            </w:pPr>
            <w:r>
              <w:t>309847</w:t>
            </w:r>
          </w:p>
        </w:tc>
        <w:tc>
          <w:tcPr>
            <w:tcW w:w="1387" w:type="dxa"/>
            <w:shd w:val="clear" w:color="auto" w:fill="auto"/>
            <w:vAlign w:val="center"/>
          </w:tcPr>
          <w:p w:rsidR="008C491E" w:rsidRDefault="008C491E" w:rsidP="00583BFC">
            <w:pPr>
              <w:pStyle w:val="TableText"/>
              <w:jc w:val="center"/>
            </w:pPr>
            <w:r>
              <w:t>137696</w:t>
            </w:r>
          </w:p>
        </w:tc>
        <w:tc>
          <w:tcPr>
            <w:tcW w:w="1277" w:type="dxa"/>
            <w:shd w:val="clear" w:color="auto" w:fill="auto"/>
            <w:vAlign w:val="center"/>
          </w:tcPr>
          <w:p w:rsidR="008C491E" w:rsidRDefault="008C491E" w:rsidP="00583BFC">
            <w:pPr>
              <w:pStyle w:val="TableText"/>
              <w:jc w:val="center"/>
            </w:pPr>
            <w:r>
              <w:t>30471</w:t>
            </w:r>
          </w:p>
        </w:tc>
      </w:tr>
      <w:tr w:rsidR="00583BFC" w:rsidTr="00583BFC">
        <w:tc>
          <w:tcPr>
            <w:tcW w:w="425" w:type="dxa"/>
            <w:shd w:val="clear" w:color="auto" w:fill="auto"/>
          </w:tcPr>
          <w:p w:rsidR="008C491E" w:rsidRDefault="008C491E" w:rsidP="003919BF">
            <w:pPr>
              <w:pStyle w:val="TableText"/>
            </w:pPr>
            <w:r>
              <w:t>13</w:t>
            </w:r>
          </w:p>
        </w:tc>
        <w:tc>
          <w:tcPr>
            <w:tcW w:w="3827" w:type="dxa"/>
            <w:shd w:val="clear" w:color="auto" w:fill="auto"/>
          </w:tcPr>
          <w:p w:rsidR="008C491E" w:rsidRDefault="008C491E" w:rsidP="003919BF">
            <w:pPr>
              <w:pStyle w:val="TableText"/>
            </w:pPr>
            <w:r>
              <w:t>10 and 11</w:t>
            </w:r>
          </w:p>
        </w:tc>
        <w:tc>
          <w:tcPr>
            <w:tcW w:w="1406" w:type="dxa"/>
            <w:shd w:val="clear" w:color="auto" w:fill="auto"/>
            <w:vAlign w:val="center"/>
          </w:tcPr>
          <w:p w:rsidR="008C491E" w:rsidRPr="00583BFC" w:rsidRDefault="008C491E" w:rsidP="00583BFC">
            <w:pPr>
              <w:pStyle w:val="TableText"/>
              <w:jc w:val="center"/>
              <w:rPr>
                <w:b/>
                <w:bCs/>
              </w:rPr>
            </w:pPr>
            <w:r w:rsidRPr="00583BFC">
              <w:rPr>
                <w:b/>
                <w:bCs/>
              </w:rPr>
              <w:t>735</w:t>
            </w:r>
          </w:p>
        </w:tc>
        <w:tc>
          <w:tcPr>
            <w:tcW w:w="1387" w:type="dxa"/>
            <w:shd w:val="clear" w:color="auto" w:fill="auto"/>
            <w:vAlign w:val="center"/>
          </w:tcPr>
          <w:p w:rsidR="008C491E" w:rsidRPr="00583BFC" w:rsidRDefault="008C491E" w:rsidP="00583BFC">
            <w:pPr>
              <w:pStyle w:val="TableText"/>
              <w:jc w:val="center"/>
              <w:rPr>
                <w:b/>
                <w:bCs/>
              </w:rPr>
            </w:pPr>
            <w:r w:rsidRPr="00583BFC">
              <w:rPr>
                <w:b/>
                <w:bCs/>
              </w:rPr>
              <w:t>522</w:t>
            </w:r>
          </w:p>
        </w:tc>
        <w:tc>
          <w:tcPr>
            <w:tcW w:w="1277" w:type="dxa"/>
            <w:shd w:val="clear" w:color="auto" w:fill="auto"/>
            <w:vAlign w:val="center"/>
          </w:tcPr>
          <w:p w:rsidR="008C491E" w:rsidRPr="00583BFC" w:rsidRDefault="008C491E" w:rsidP="00583BFC">
            <w:pPr>
              <w:pStyle w:val="TableText"/>
              <w:jc w:val="center"/>
              <w:rPr>
                <w:b/>
                <w:bCs/>
              </w:rPr>
            </w:pPr>
            <w:r w:rsidRPr="00583BFC">
              <w:rPr>
                <w:b/>
                <w:bCs/>
              </w:rPr>
              <w:t>92</w:t>
            </w:r>
          </w:p>
        </w:tc>
      </w:tr>
    </w:tbl>
    <w:p w:rsidR="008C491E" w:rsidRDefault="008C491E" w:rsidP="008C491E">
      <w:pPr>
        <w:spacing w:after="0"/>
        <w:rPr>
          <w:rFonts w:ascii="Arial Narrow" w:hAnsi="Arial Narrow"/>
          <w:sz w:val="20"/>
        </w:rPr>
      </w:pPr>
      <w:proofErr w:type="spellStart"/>
      <w:r>
        <w:rPr>
          <w:rFonts w:ascii="Arial Narrow" w:hAnsi="Arial Narrow"/>
          <w:sz w:val="20"/>
        </w:rPr>
        <w:t>Embase</w:t>
      </w:r>
      <w:proofErr w:type="spellEnd"/>
      <w:r>
        <w:rPr>
          <w:rFonts w:ascii="Arial Narrow" w:hAnsi="Arial Narrow"/>
          <w:sz w:val="20"/>
        </w:rPr>
        <w:t>:</w:t>
      </w:r>
      <w:r>
        <w:rPr>
          <w:rFonts w:ascii="Arial Narrow" w:hAnsi="Arial Narrow"/>
          <w:sz w:val="20"/>
        </w:rPr>
        <w:tab/>
      </w:r>
      <w:r w:rsidRPr="00540673">
        <w:rPr>
          <w:rFonts w:ascii="Arial Narrow" w:hAnsi="Arial Narrow"/>
          <w:sz w:val="20"/>
        </w:rPr>
        <w:t>1974 to 2015 February 23</w:t>
      </w:r>
    </w:p>
    <w:p w:rsidR="008C491E" w:rsidRDefault="008C491E" w:rsidP="003919BF">
      <w:pPr>
        <w:spacing w:after="0"/>
        <w:ind w:left="1701" w:hanging="992"/>
        <w:rPr>
          <w:rFonts w:ascii="Arial Narrow" w:hAnsi="Arial Narrow"/>
          <w:sz w:val="20"/>
        </w:rPr>
      </w:pPr>
      <w:r>
        <w:rPr>
          <w:rFonts w:ascii="Arial Narrow" w:hAnsi="Arial Narrow"/>
          <w:sz w:val="20"/>
        </w:rPr>
        <w:t>Medline:</w:t>
      </w:r>
      <w:r>
        <w:rPr>
          <w:rFonts w:ascii="Arial Narrow" w:hAnsi="Arial Narrow"/>
          <w:sz w:val="20"/>
        </w:rPr>
        <w:tab/>
      </w:r>
      <w:r w:rsidRPr="001C02D8">
        <w:rPr>
          <w:rFonts w:ascii="Arial Narrow" w:hAnsi="Arial Narrow"/>
          <w:sz w:val="20"/>
        </w:rPr>
        <w:t>Ovid MEDLINE(R) In-Process &amp; Other Non-Indexed Citations, Ovid MEDLINE(R) Daily, Ovid MEDLINE(R) and Ovid OLDMEDLINE(R) 1946 to Present</w:t>
      </w:r>
    </w:p>
    <w:p w:rsidR="008C491E" w:rsidRDefault="008C491E" w:rsidP="003919BF">
      <w:pPr>
        <w:spacing w:after="0"/>
        <w:ind w:left="1701" w:hanging="992"/>
        <w:rPr>
          <w:rFonts w:ascii="Arial Narrow" w:hAnsi="Arial Narrow"/>
          <w:sz w:val="20"/>
        </w:rPr>
      </w:pPr>
      <w:r>
        <w:rPr>
          <w:rFonts w:ascii="Arial Narrow" w:hAnsi="Arial Narrow"/>
          <w:sz w:val="20"/>
        </w:rPr>
        <w:t>EBM:</w:t>
      </w:r>
      <w:r>
        <w:rPr>
          <w:rFonts w:ascii="Arial Narrow" w:hAnsi="Arial Narrow"/>
          <w:sz w:val="20"/>
        </w:rPr>
        <w:tab/>
      </w:r>
      <w:r w:rsidRPr="00D6285D">
        <w:rPr>
          <w:rFonts w:ascii="Arial Narrow" w:hAnsi="Arial Narrow"/>
          <w:sz w:val="20"/>
        </w:rPr>
        <w:t>Cochrane Database of Systematic Reviews 2005 to January 2015</w:t>
      </w:r>
      <w:proofErr w:type="gramStart"/>
      <w:r w:rsidRPr="00D6285D">
        <w:rPr>
          <w:rFonts w:ascii="Arial Narrow" w:hAnsi="Arial Narrow"/>
          <w:sz w:val="20"/>
        </w:rPr>
        <w:t>,  EBM</w:t>
      </w:r>
      <w:proofErr w:type="gramEnd"/>
      <w:r w:rsidRPr="00D6285D">
        <w:rPr>
          <w:rFonts w:ascii="Arial Narrow" w:hAnsi="Arial Narrow"/>
          <w:sz w:val="20"/>
        </w:rPr>
        <w:t xml:space="preserve"> Reviews - ACP Journal Club 1991 to February 2015,  EBM Reviews - Database of Abstracts of Reviews of Effects 1st Quarter 2015,  EBM Reviews - Cochrane Central Register of Controlled Trials January 2015,  EBM Reviews - Cochrane Methodology Register 3rd Quarter 2012,  EBM Reviews - Health Technology Assessment 1st Quarter 2015,  EBM Reviews - NHS Economic Evaluation Database 1st Quarter 2015</w:t>
      </w:r>
    </w:p>
    <w:p w:rsidR="008C491E" w:rsidRDefault="008C491E" w:rsidP="008C491E">
      <w:pPr>
        <w:spacing w:after="0"/>
        <w:ind w:left="709" w:hanging="709"/>
        <w:rPr>
          <w:rFonts w:ascii="Arial Narrow" w:hAnsi="Arial Narrow"/>
          <w:sz w:val="20"/>
        </w:rPr>
      </w:pPr>
    </w:p>
    <w:p w:rsidR="008C491E" w:rsidRDefault="008C491E" w:rsidP="003919BF">
      <w:pPr>
        <w:spacing w:after="0"/>
      </w:pPr>
      <w:r w:rsidRPr="003919BF">
        <w:rPr>
          <w:u w:val="single"/>
        </w:rPr>
        <w:t>Inclusion criteria</w:t>
      </w:r>
      <w:r>
        <w:t>:</w:t>
      </w:r>
    </w:p>
    <w:p w:rsidR="008C491E" w:rsidRPr="00674A6C" w:rsidRDefault="008C491E" w:rsidP="003919BF">
      <w:r>
        <w:t>Modelled analysis; comparing</w:t>
      </w:r>
      <w:r w:rsidR="003919BF">
        <w:t xml:space="preserve"> </w:t>
      </w:r>
      <w:r w:rsidRPr="00674A6C">
        <w:t xml:space="preserve">Conventional </w:t>
      </w:r>
      <w:r>
        <w:t>HIV (</w:t>
      </w:r>
      <w:r w:rsidRPr="00674A6C">
        <w:t>EIA/WB</w:t>
      </w:r>
      <w:r>
        <w:t>)</w:t>
      </w:r>
      <w:r w:rsidRPr="00674A6C">
        <w:t xml:space="preserve"> test</w:t>
      </w:r>
      <w:r>
        <w:t>ing</w:t>
      </w:r>
      <w:r w:rsidRPr="00674A6C">
        <w:t xml:space="preserve"> versus Rapid testing algorithms; for </w:t>
      </w:r>
      <w:r>
        <w:t>HIV detection</w:t>
      </w:r>
      <w:r w:rsidR="003919BF">
        <w:t>.</w:t>
      </w:r>
    </w:p>
    <w:p w:rsidR="008C491E" w:rsidRPr="00F02A81" w:rsidRDefault="008C491E" w:rsidP="003919BF">
      <w:pPr>
        <w:spacing w:after="0"/>
      </w:pPr>
      <w:r w:rsidRPr="003919BF">
        <w:rPr>
          <w:u w:val="single"/>
        </w:rPr>
        <w:t>Exclusion criteria</w:t>
      </w:r>
      <w:r w:rsidRPr="00F02A81">
        <w:t xml:space="preserve">: </w:t>
      </w:r>
    </w:p>
    <w:p w:rsidR="008C491E" w:rsidRDefault="008C491E" w:rsidP="003919BF">
      <w:proofErr w:type="gramStart"/>
      <w:r>
        <w:t>T</w:t>
      </w:r>
      <w:r w:rsidRPr="00D22EE2">
        <w:t xml:space="preserve">esting </w:t>
      </w:r>
      <w:r>
        <w:t xml:space="preserve">of </w:t>
      </w:r>
      <w:r w:rsidRPr="00D22EE2">
        <w:t>blood donations,</w:t>
      </w:r>
      <w:r>
        <w:t xml:space="preserve"> </w:t>
      </w:r>
      <w:r w:rsidRPr="00D22EE2">
        <w:t>other organ or tissue donations</w:t>
      </w:r>
      <w:r>
        <w:t>, or r</w:t>
      </w:r>
      <w:r w:rsidRPr="00D22EE2">
        <w:t>outine serology during pregnancy</w:t>
      </w:r>
      <w:r>
        <w:t>.</w:t>
      </w:r>
      <w:proofErr w:type="gramEnd"/>
    </w:p>
    <w:p w:rsidR="008009A7" w:rsidRDefault="008C491E" w:rsidP="007D2E85">
      <w:pPr>
        <w:rPr>
          <w:rFonts w:ascii="Arial Narrow" w:hAnsi="Arial Narrow"/>
          <w:sz w:val="20"/>
        </w:rPr>
      </w:pPr>
      <w:r w:rsidRPr="00F02A81">
        <w:t>To identify as many potentially relevant models in the literature, (</w:t>
      </w:r>
      <w:proofErr w:type="spellStart"/>
      <w:r w:rsidRPr="00F02A81">
        <w:t>i</w:t>
      </w:r>
      <w:proofErr w:type="spellEnd"/>
      <w:r w:rsidRPr="00F02A81">
        <w:t>) population, (ii) type of screening and (iii) country economic status were not specified as inclusion/exclusion, for example selective testing in “high-risk” patients in high income countries as expected in Australia.</w:t>
      </w:r>
      <w:r w:rsidR="003919BF">
        <w:t xml:space="preserve">  </w:t>
      </w:r>
      <w:r w:rsidRPr="003919BF">
        <w:t xml:space="preserve">The search identified </w:t>
      </w:r>
      <w:r w:rsidR="003919BF">
        <w:t xml:space="preserve">a total of </w:t>
      </w:r>
      <w:r w:rsidRPr="003919BF">
        <w:t>1</w:t>
      </w:r>
      <w:r w:rsidR="003919BF">
        <w:t>,</w:t>
      </w:r>
      <w:r w:rsidRPr="003919BF">
        <w:t xml:space="preserve">349 citations. </w:t>
      </w:r>
      <w:r w:rsidR="003919BF">
        <w:t xml:space="preserve">Of </w:t>
      </w:r>
      <w:r w:rsidRPr="003919BF">
        <w:t>1</w:t>
      </w:r>
      <w:r w:rsidR="003919BF">
        <w:t>,</w:t>
      </w:r>
      <w:r w:rsidRPr="003919BF">
        <w:t xml:space="preserve">006 </w:t>
      </w:r>
      <w:r w:rsidR="003919BF">
        <w:t xml:space="preserve">unique </w:t>
      </w:r>
      <w:r w:rsidRPr="003919BF">
        <w:t>citations</w:t>
      </w:r>
      <w:r w:rsidR="003919BF">
        <w:t xml:space="preserve">, </w:t>
      </w:r>
      <w:r w:rsidRPr="003919BF">
        <w:t>38 full text publications</w:t>
      </w:r>
      <w:r w:rsidR="003919BF">
        <w:t xml:space="preserve"> were retrieved. Six</w:t>
      </w:r>
      <w:r w:rsidRPr="003919BF">
        <w:t xml:space="preserve"> unique models were identified.</w:t>
      </w:r>
      <w:r>
        <w:rPr>
          <w:rFonts w:ascii="Arial Narrow" w:hAnsi="Arial Narrow"/>
          <w:sz w:val="20"/>
        </w:rPr>
        <w:t xml:space="preserve"> </w:t>
      </w:r>
    </w:p>
    <w:p w:rsidR="008F59A8" w:rsidRPr="00776777" w:rsidRDefault="00FB42FA" w:rsidP="008009A7">
      <w:pPr>
        <w:pStyle w:val="Heading1"/>
      </w:pPr>
      <w:bookmarkStart w:id="208" w:name="_Toc418224891"/>
      <w:r w:rsidRPr="00776777">
        <w:lastRenderedPageBreak/>
        <w:t>Glossary and a</w:t>
      </w:r>
      <w:r w:rsidR="008F59A8" w:rsidRPr="00776777">
        <w:t>bbreviations</w:t>
      </w:r>
      <w:bookmarkEnd w:id="208"/>
      <w:r w:rsidR="008F59A8" w:rsidRPr="00776777">
        <w:t xml:space="preserve"> </w:t>
      </w:r>
    </w:p>
    <w:p w:rsidR="00FD5769" w:rsidRDefault="00FD5769" w:rsidP="009E5C5B">
      <w:r>
        <w:t>Ab</w:t>
      </w:r>
      <w:r>
        <w:tab/>
      </w:r>
      <w:r>
        <w:tab/>
        <w:t>antibody</w:t>
      </w:r>
    </w:p>
    <w:p w:rsidR="00FD5769" w:rsidRDefault="00FD5769" w:rsidP="009E5C5B">
      <w:r>
        <w:t>Ag</w:t>
      </w:r>
      <w:r>
        <w:tab/>
      </w:r>
      <w:r>
        <w:tab/>
        <w:t>antigen</w:t>
      </w:r>
    </w:p>
    <w:p w:rsidR="008009A7" w:rsidRDefault="008009A7" w:rsidP="009E5C5B">
      <w:r>
        <w:t>AIDS</w:t>
      </w:r>
      <w:r>
        <w:tab/>
      </w:r>
      <w:r w:rsidRPr="00193B79">
        <w:t>Acquired Immune Deficiency Syndrome</w:t>
      </w:r>
    </w:p>
    <w:p w:rsidR="008009A7" w:rsidRDefault="008009A7" w:rsidP="009E5C5B">
      <w:r>
        <w:t>CI</w:t>
      </w:r>
      <w:r>
        <w:tab/>
      </w:r>
      <w:r>
        <w:tab/>
        <w:t>confidence interval</w:t>
      </w:r>
    </w:p>
    <w:p w:rsidR="00F25CF7" w:rsidRDefault="008009A7" w:rsidP="009E5C5B">
      <w:r>
        <w:t>DHC</w:t>
      </w:r>
      <w:r>
        <w:tab/>
        <w:t>Determine HIV C</w:t>
      </w:r>
      <w:r w:rsidR="00F25CF7">
        <w:t>ombo test (HIV-1/2 Antigen/Antibody)</w:t>
      </w:r>
    </w:p>
    <w:p w:rsidR="008009A7" w:rsidRDefault="008009A7" w:rsidP="009E5C5B">
      <w:r>
        <w:t>EIA</w:t>
      </w:r>
      <w:r>
        <w:tab/>
      </w:r>
      <w:r>
        <w:tab/>
        <w:t xml:space="preserve">Enzyme </w:t>
      </w:r>
      <w:proofErr w:type="spellStart"/>
      <w:r>
        <w:t>ImmunoAssay</w:t>
      </w:r>
      <w:proofErr w:type="spellEnd"/>
    </w:p>
    <w:p w:rsidR="008009A7" w:rsidRDefault="008009A7" w:rsidP="009E5C5B">
      <w:r>
        <w:t>ELISA</w:t>
      </w:r>
      <w:r>
        <w:tab/>
        <w:t xml:space="preserve">Enzyme-Linked </w:t>
      </w:r>
      <w:proofErr w:type="spellStart"/>
      <w:r>
        <w:t>ImmunoSorbent</w:t>
      </w:r>
      <w:proofErr w:type="spellEnd"/>
      <w:r>
        <w:t xml:space="preserve"> Assay</w:t>
      </w:r>
    </w:p>
    <w:p w:rsidR="00FC7145" w:rsidRDefault="00FC7145" w:rsidP="009E5C5B">
      <w:r>
        <w:t>GBM</w:t>
      </w:r>
      <w:r>
        <w:tab/>
        <w:t>gay, bisexual and other men who have sex with men</w:t>
      </w:r>
    </w:p>
    <w:p w:rsidR="00F25CF7" w:rsidRDefault="00F25CF7" w:rsidP="009E5C5B">
      <w:r>
        <w:t>GP</w:t>
      </w:r>
      <w:r>
        <w:tab/>
      </w:r>
      <w:r>
        <w:tab/>
        <w:t>General Practitioner</w:t>
      </w:r>
    </w:p>
    <w:p w:rsidR="008009A7" w:rsidRDefault="008009A7" w:rsidP="009E5C5B">
      <w:r>
        <w:t>GMSM</w:t>
      </w:r>
      <w:r>
        <w:tab/>
        <w:t>gay and other men who have sex with men</w:t>
      </w:r>
    </w:p>
    <w:p w:rsidR="008009A7" w:rsidRDefault="008009A7" w:rsidP="009E5C5B">
      <w:r>
        <w:t>G/MSM</w:t>
      </w:r>
      <w:r>
        <w:tab/>
        <w:t>gay and other men who have sex with men</w:t>
      </w:r>
    </w:p>
    <w:p w:rsidR="00FC7145" w:rsidRDefault="00FC7145" w:rsidP="009E5C5B">
      <w:r>
        <w:t>HAART</w:t>
      </w:r>
      <w:r>
        <w:tab/>
        <w:t>highly active anti-retro viral therapy</w:t>
      </w:r>
    </w:p>
    <w:p w:rsidR="00D456C2" w:rsidRDefault="00F25CF7" w:rsidP="009E5C5B">
      <w:r>
        <w:t>HIV</w:t>
      </w:r>
      <w:r>
        <w:tab/>
        <w:t>human immunodeficiency virus</w:t>
      </w:r>
    </w:p>
    <w:p w:rsidR="008009A7" w:rsidRDefault="008009A7" w:rsidP="009E5C5B">
      <w:r>
        <w:t>HTA</w:t>
      </w:r>
      <w:r>
        <w:tab/>
        <w:t xml:space="preserve">health technology assessment </w:t>
      </w:r>
    </w:p>
    <w:p w:rsidR="00543DDC" w:rsidRDefault="00543DDC" w:rsidP="009E5C5B">
      <w:r>
        <w:t>ICER</w:t>
      </w:r>
      <w:r>
        <w:tab/>
        <w:t>incremental cost-effectiveness ratio</w:t>
      </w:r>
    </w:p>
    <w:p w:rsidR="00FC7145" w:rsidRDefault="00FC7145" w:rsidP="009E5C5B">
      <w:r>
        <w:t>LR</w:t>
      </w:r>
      <w:r>
        <w:tab/>
      </w:r>
      <w:r>
        <w:tab/>
        <w:t>likelihood ratio</w:t>
      </w:r>
    </w:p>
    <w:p w:rsidR="008009A7" w:rsidRDefault="008009A7" w:rsidP="009E5C5B">
      <w:r>
        <w:t>MBS</w:t>
      </w:r>
      <w:r>
        <w:tab/>
        <w:t>Medical Benefits Schedule</w:t>
      </w:r>
    </w:p>
    <w:p w:rsidR="00FC7145" w:rsidRDefault="00FC7145" w:rsidP="009E5C5B">
      <w:proofErr w:type="gramStart"/>
      <w:r>
        <w:t>m</w:t>
      </w:r>
      <w:r w:rsidR="0047059D">
        <w:t>L</w:t>
      </w:r>
      <w:proofErr w:type="gramEnd"/>
      <w:r>
        <w:tab/>
      </w:r>
      <w:r>
        <w:tab/>
        <w:t>millilitre</w:t>
      </w:r>
    </w:p>
    <w:p w:rsidR="00F25CF7" w:rsidRDefault="00F25CF7" w:rsidP="009E5C5B">
      <w:r>
        <w:t>MSAC</w:t>
      </w:r>
      <w:r>
        <w:tab/>
        <w:t>Medical Services Advisory Committee</w:t>
      </w:r>
    </w:p>
    <w:p w:rsidR="008009A7" w:rsidRDefault="008009A7" w:rsidP="009E5C5B">
      <w:r>
        <w:t>MSM</w:t>
      </w:r>
      <w:r>
        <w:tab/>
        <w:t>men who have sex with men</w:t>
      </w:r>
    </w:p>
    <w:p w:rsidR="008009A7" w:rsidRDefault="008009A7" w:rsidP="009E5C5B">
      <w:proofErr w:type="spellStart"/>
      <w:proofErr w:type="gramStart"/>
      <w:r>
        <w:t>mths</w:t>
      </w:r>
      <w:proofErr w:type="spellEnd"/>
      <w:proofErr w:type="gramEnd"/>
      <w:r>
        <w:tab/>
        <w:t>months</w:t>
      </w:r>
    </w:p>
    <w:p w:rsidR="008009A7" w:rsidRDefault="008009A7" w:rsidP="009E5C5B">
      <w:r>
        <w:t>NATA</w:t>
      </w:r>
      <w:r>
        <w:tab/>
        <w:t>National Association of Testing Authorities</w:t>
      </w:r>
    </w:p>
    <w:p w:rsidR="00FC7145" w:rsidRDefault="00FC7145" w:rsidP="009E5C5B">
      <w:r>
        <w:t>NHMRC</w:t>
      </w:r>
      <w:r>
        <w:tab/>
        <w:t>National Health and Medical Research Council</w:t>
      </w:r>
    </w:p>
    <w:p w:rsidR="00FC7145" w:rsidRDefault="00FC7145" w:rsidP="009E5C5B">
      <w:r>
        <w:t>NHS</w:t>
      </w:r>
      <w:r>
        <w:tab/>
        <w:t xml:space="preserve">National Health Service </w:t>
      </w:r>
    </w:p>
    <w:p w:rsidR="00FC7145" w:rsidRDefault="00FC7145" w:rsidP="009E5C5B">
      <w:r>
        <w:t>NPV</w:t>
      </w:r>
      <w:r>
        <w:tab/>
        <w:t>negative predictive value</w:t>
      </w:r>
    </w:p>
    <w:p w:rsidR="008009A7" w:rsidRDefault="008009A7" w:rsidP="009E5C5B">
      <w:r>
        <w:t>OR</w:t>
      </w:r>
      <w:r>
        <w:tab/>
      </w:r>
      <w:r>
        <w:tab/>
        <w:t>odds ratio</w:t>
      </w:r>
    </w:p>
    <w:p w:rsidR="00FC7145" w:rsidRPr="004C6B15" w:rsidRDefault="00FC7145" w:rsidP="009E5C5B">
      <w:proofErr w:type="spellStart"/>
      <w:r>
        <w:lastRenderedPageBreak/>
        <w:t>pg</w:t>
      </w:r>
      <w:proofErr w:type="spellEnd"/>
      <w:r>
        <w:tab/>
      </w:r>
      <w:r>
        <w:tab/>
      </w:r>
      <w:proofErr w:type="spellStart"/>
      <w:r>
        <w:t>picogram</w:t>
      </w:r>
      <w:proofErr w:type="spellEnd"/>
    </w:p>
    <w:p w:rsidR="00F25CF7" w:rsidRDefault="00F25CF7" w:rsidP="009E5C5B">
      <w:r>
        <w:t>POC</w:t>
      </w:r>
      <w:r>
        <w:tab/>
        <w:t>point-of-care</w:t>
      </w:r>
    </w:p>
    <w:p w:rsidR="00ED271F" w:rsidRDefault="00F25CF7" w:rsidP="009E5C5B">
      <w:r>
        <w:t>POCT</w:t>
      </w:r>
      <w:r>
        <w:tab/>
        <w:t>point-of-care test</w:t>
      </w:r>
    </w:p>
    <w:p w:rsidR="00FC7145" w:rsidRDefault="00FC7145" w:rsidP="009E5C5B">
      <w:r>
        <w:t>PPV</w:t>
      </w:r>
      <w:r>
        <w:tab/>
        <w:t>positive predictive value</w:t>
      </w:r>
    </w:p>
    <w:p w:rsidR="00F737A4" w:rsidRDefault="00F737A4" w:rsidP="009E5C5B">
      <w:r>
        <w:t>Prob.</w:t>
      </w:r>
      <w:r>
        <w:tab/>
        <w:t>probability</w:t>
      </w:r>
    </w:p>
    <w:p w:rsidR="008009A7" w:rsidRDefault="008009A7" w:rsidP="009E5C5B">
      <w:r>
        <w:t>QAP</w:t>
      </w:r>
      <w:r>
        <w:tab/>
        <w:t>quality assurance program</w:t>
      </w:r>
    </w:p>
    <w:p w:rsidR="00FC7145" w:rsidRDefault="00FC7145" w:rsidP="009E5C5B">
      <w:r>
        <w:t>RCT</w:t>
      </w:r>
      <w:r>
        <w:tab/>
        <w:t>randomised controlled trial</w:t>
      </w:r>
    </w:p>
    <w:p w:rsidR="00FC7145" w:rsidRDefault="00FC7145" w:rsidP="009E5C5B">
      <w:r>
        <w:t>RNA</w:t>
      </w:r>
      <w:r>
        <w:tab/>
        <w:t>ribonucleic acid</w:t>
      </w:r>
    </w:p>
    <w:p w:rsidR="008009A7" w:rsidRDefault="008009A7" w:rsidP="009E5C5B">
      <w:r>
        <w:t>STI</w:t>
      </w:r>
      <w:r>
        <w:tab/>
      </w:r>
      <w:r>
        <w:tab/>
        <w:t>sexually transmitted infection</w:t>
      </w:r>
    </w:p>
    <w:p w:rsidR="008009A7" w:rsidRDefault="008009A7" w:rsidP="009E5C5B">
      <w:r>
        <w:t>TGA</w:t>
      </w:r>
      <w:r>
        <w:tab/>
        <w:t>Therapeutic Goods Administration</w:t>
      </w:r>
    </w:p>
    <w:p w:rsidR="008009A7" w:rsidRDefault="008009A7" w:rsidP="009E5C5B">
      <w:r>
        <w:t>UAIC</w:t>
      </w:r>
      <w:r>
        <w:tab/>
      </w:r>
      <w:r w:rsidRPr="008009A7">
        <w:t>unprotected anal intercourse with casual partners</w:t>
      </w:r>
    </w:p>
    <w:p w:rsidR="006A1A69" w:rsidRPr="004C6B15" w:rsidRDefault="00FC7145" w:rsidP="009E5C5B">
      <w:r>
        <w:t>WB</w:t>
      </w:r>
      <w:r>
        <w:tab/>
      </w:r>
      <w:r>
        <w:tab/>
        <w:t>Western Blot</w:t>
      </w:r>
    </w:p>
    <w:p w:rsidR="006C0851" w:rsidRPr="004C6B15" w:rsidRDefault="008F59A8">
      <w:pPr>
        <w:pStyle w:val="Heading1"/>
      </w:pPr>
      <w:bookmarkStart w:id="209" w:name="_Toc418224892"/>
      <w:r w:rsidRPr="004C6B15">
        <w:lastRenderedPageBreak/>
        <w:t>References</w:t>
      </w:r>
      <w:bookmarkEnd w:id="209"/>
      <w:r w:rsidRPr="004C6B15">
        <w:t xml:space="preserve"> </w:t>
      </w:r>
    </w:p>
    <w:p w:rsidR="00023BF5" w:rsidRDefault="00023BF5" w:rsidP="00023BF5">
      <w:r w:rsidRPr="00174024">
        <w:rPr>
          <w:lang w:val="de-DE"/>
        </w:rPr>
        <w:t xml:space="preserve">Anaya, H. D., Hoang, T., Golden, J. F., et al. </w:t>
      </w:r>
      <w:proofErr w:type="gramStart"/>
      <w:r>
        <w:t xml:space="preserve">(2008). Improving HIV screening and receipt of results by nurse-initiated streamlined </w:t>
      </w:r>
      <w:proofErr w:type="spellStart"/>
      <w:r>
        <w:t>counseling</w:t>
      </w:r>
      <w:proofErr w:type="spellEnd"/>
      <w:r>
        <w:t xml:space="preserve"> and rapid testing.</w:t>
      </w:r>
      <w:proofErr w:type="gramEnd"/>
      <w:r>
        <w:t xml:space="preserve"> </w:t>
      </w:r>
      <w:r>
        <w:rPr>
          <w:i/>
          <w:iCs/>
        </w:rPr>
        <w:t>Journal of General Internal Medicine, 23</w:t>
      </w:r>
      <w:r>
        <w:t>(6), 800-807.</w:t>
      </w:r>
    </w:p>
    <w:p w:rsidR="00023BF5" w:rsidRDefault="00023BF5" w:rsidP="00023BF5">
      <w:proofErr w:type="gramStart"/>
      <w:r>
        <w:t>Australian Bureau of Statistics, (2014).</w:t>
      </w:r>
      <w:proofErr w:type="gramEnd"/>
      <w:r>
        <w:t xml:space="preserve"> 3105.0.65.001 - Australian Historical Population Statistics, 2014</w:t>
      </w:r>
    </w:p>
    <w:p w:rsidR="006A5FC4" w:rsidRDefault="006A5FC4" w:rsidP="006A5FC4">
      <w:pPr>
        <w:pStyle w:val="References"/>
        <w:ind w:left="709" w:firstLine="11"/>
      </w:pPr>
      <w:r w:rsidRPr="006A5FC4">
        <w:t>A</w:t>
      </w:r>
      <w:r>
        <w:t xml:space="preserve">ustralian </w:t>
      </w:r>
      <w:r w:rsidRPr="006A5FC4">
        <w:t>S</w:t>
      </w:r>
      <w:r>
        <w:t>exually</w:t>
      </w:r>
      <w:r w:rsidRPr="006A5FC4">
        <w:t xml:space="preserve"> T</w:t>
      </w:r>
      <w:r>
        <w:t>ransmitted</w:t>
      </w:r>
      <w:r w:rsidRPr="006A5FC4">
        <w:t xml:space="preserve"> I</w:t>
      </w:r>
      <w:r>
        <w:t>nfection</w:t>
      </w:r>
      <w:r w:rsidRPr="006A5FC4">
        <w:t xml:space="preserve"> &amp;</w:t>
      </w:r>
      <w:r>
        <w:t xml:space="preserve"> HIV Testing Guidelines</w:t>
      </w:r>
      <w:r w:rsidR="00E766DD">
        <w:t xml:space="preserve"> </w:t>
      </w:r>
      <w:r>
        <w:t>2014</w:t>
      </w:r>
      <w:r w:rsidR="00E766DD">
        <w:t>.  F</w:t>
      </w:r>
      <w:r>
        <w:t xml:space="preserve">or asymptomatic men who have sex with men.  </w:t>
      </w:r>
      <w:hyperlink r:id="rId83" w:tooltip="Australian Sexually Transmitted Infection &amp; HIV Testing Guidelines 2014.  For asymptomatic men who have sex with men" w:history="1">
        <w:r w:rsidRPr="00762152">
          <w:rPr>
            <w:rStyle w:val="Hyperlink"/>
          </w:rPr>
          <w:t>http://www.ashm.org.au/pdfs/STIGMATestingGuidelines.pdf</w:t>
        </w:r>
      </w:hyperlink>
      <w:r>
        <w:t xml:space="preserve"> [assessed 13 February 2015].</w:t>
      </w:r>
    </w:p>
    <w:p w:rsidR="00023BF5" w:rsidRDefault="00023BF5" w:rsidP="00023BF5">
      <w:r w:rsidRPr="00023BF5">
        <w:rPr>
          <w:lang w:val="it-IT"/>
        </w:rPr>
        <w:t xml:space="preserve">Bacchetti, P., &amp; Moss, A. R. (1989). </w:t>
      </w:r>
      <w:proofErr w:type="gramStart"/>
      <w:r>
        <w:t>Incubation period of AIDS in San Francisco.</w:t>
      </w:r>
      <w:proofErr w:type="gramEnd"/>
      <w:r>
        <w:t xml:space="preserve"> </w:t>
      </w:r>
      <w:r>
        <w:rPr>
          <w:i/>
          <w:iCs/>
        </w:rPr>
        <w:t>Nature, 338</w:t>
      </w:r>
      <w:r>
        <w:t xml:space="preserve">(6212), 251-253. </w:t>
      </w:r>
    </w:p>
    <w:p w:rsidR="00023BF5" w:rsidRDefault="009660BC" w:rsidP="00023BF5">
      <w:r w:rsidRPr="00174024">
        <w:rPr>
          <w:lang w:val="pt-PT"/>
        </w:rPr>
        <w:t>Bulatao, R. B. &amp;</w:t>
      </w:r>
      <w:r w:rsidR="00023BF5" w:rsidRPr="00174024">
        <w:rPr>
          <w:lang w:val="pt-PT"/>
        </w:rPr>
        <w:t xml:space="preserve"> </w:t>
      </w:r>
      <w:r w:rsidRPr="00174024">
        <w:rPr>
          <w:lang w:val="pt-PT"/>
        </w:rPr>
        <w:t xml:space="preserve">Bos, </w:t>
      </w:r>
      <w:r w:rsidR="00023BF5" w:rsidRPr="00174024">
        <w:rPr>
          <w:lang w:val="pt-PT"/>
        </w:rPr>
        <w:t xml:space="preserve">E. (1992). </w:t>
      </w:r>
      <w:proofErr w:type="gramStart"/>
      <w:r w:rsidR="00023BF5">
        <w:t>Projecting the Demographic Impact of AIDS.</w:t>
      </w:r>
      <w:proofErr w:type="gramEnd"/>
      <w:r w:rsidR="00023BF5">
        <w:t xml:space="preserve"> </w:t>
      </w:r>
      <w:r w:rsidR="00023BF5">
        <w:rPr>
          <w:i/>
          <w:iCs/>
        </w:rPr>
        <w:t xml:space="preserve">The World Bank, Working Paper </w:t>
      </w:r>
      <w:proofErr w:type="gramStart"/>
      <w:r w:rsidR="00023BF5">
        <w:rPr>
          <w:i/>
          <w:iCs/>
        </w:rPr>
        <w:t>Series</w:t>
      </w:r>
      <w:r w:rsidR="00023BF5">
        <w:t>(</w:t>
      </w:r>
      <w:proofErr w:type="gramEnd"/>
      <w:r w:rsidR="00023BF5">
        <w:t>941).</w:t>
      </w:r>
    </w:p>
    <w:p w:rsidR="00023BF5" w:rsidRDefault="00023BF5" w:rsidP="00023BF5">
      <w:proofErr w:type="spellStart"/>
      <w:proofErr w:type="gramStart"/>
      <w:r>
        <w:t>Cambiano</w:t>
      </w:r>
      <w:proofErr w:type="spellEnd"/>
      <w:r>
        <w:t xml:space="preserve">, V., </w:t>
      </w:r>
      <w:proofErr w:type="spellStart"/>
      <w:r>
        <w:t>Mavedzenge</w:t>
      </w:r>
      <w:proofErr w:type="spellEnd"/>
      <w:r>
        <w:t>, S. N., &amp; Phillips, A. (2014).</w:t>
      </w:r>
      <w:proofErr w:type="gramEnd"/>
      <w:r>
        <w:t xml:space="preserve"> </w:t>
      </w:r>
      <w:proofErr w:type="gramStart"/>
      <w:r>
        <w:t>Modelling the potential population impact and cost-effectiveness of self-testing for HIV: evaluation of data requirements.</w:t>
      </w:r>
      <w:proofErr w:type="gramEnd"/>
      <w:r>
        <w:t xml:space="preserve"> </w:t>
      </w:r>
      <w:proofErr w:type="gramStart"/>
      <w:r>
        <w:rPr>
          <w:i/>
          <w:iCs/>
        </w:rPr>
        <w:t xml:space="preserve">AIDS &amp; </w:t>
      </w:r>
      <w:proofErr w:type="spellStart"/>
      <w:r>
        <w:rPr>
          <w:i/>
          <w:iCs/>
        </w:rPr>
        <w:t>Behavior</w:t>
      </w:r>
      <w:proofErr w:type="spellEnd"/>
      <w:r>
        <w:rPr>
          <w:i/>
          <w:iCs/>
        </w:rPr>
        <w:t xml:space="preserve">, 18 </w:t>
      </w:r>
      <w:proofErr w:type="spellStart"/>
      <w:r>
        <w:rPr>
          <w:i/>
          <w:iCs/>
        </w:rPr>
        <w:t>Suppl</w:t>
      </w:r>
      <w:proofErr w:type="spellEnd"/>
      <w:r>
        <w:rPr>
          <w:i/>
          <w:iCs/>
        </w:rPr>
        <w:t xml:space="preserve"> 4</w:t>
      </w:r>
      <w:r>
        <w:t>, S450-458.</w:t>
      </w:r>
      <w:proofErr w:type="gramEnd"/>
      <w:r>
        <w:t xml:space="preserve"> </w:t>
      </w:r>
    </w:p>
    <w:p w:rsidR="0068341E" w:rsidRPr="0068341E" w:rsidRDefault="0068341E" w:rsidP="00023BF5">
      <w:proofErr w:type="gramStart"/>
      <w:r>
        <w:t>Chan, D., Stewart, M., Smith, M., et al. (2015).</w:t>
      </w:r>
      <w:proofErr w:type="gramEnd"/>
      <w:r>
        <w:t xml:space="preserve"> </w:t>
      </w:r>
      <w:proofErr w:type="gramStart"/>
      <w:r>
        <w:t>The rise of targeted HIV oral rapid testing in Australia.</w:t>
      </w:r>
      <w:proofErr w:type="gramEnd"/>
      <w:r>
        <w:t xml:space="preserve"> </w:t>
      </w:r>
      <w:r>
        <w:rPr>
          <w:i/>
          <w:iCs/>
        </w:rPr>
        <w:t>Medical Journal of Australia, 202</w:t>
      </w:r>
      <w:r>
        <w:t>(5), 251-255.</w:t>
      </w:r>
    </w:p>
    <w:p w:rsidR="00023BF5" w:rsidRDefault="00023BF5" w:rsidP="00023BF5">
      <w:r w:rsidRPr="00174024">
        <w:rPr>
          <w:lang w:val="de-DE"/>
        </w:rPr>
        <w:t xml:space="preserve">Cohen, M. S., Gay, C. L., Busch, M. P., &amp; Hecht, F. M. (2010). </w:t>
      </w:r>
      <w:proofErr w:type="gramStart"/>
      <w:r>
        <w:t>The detection of acute HIV infection.</w:t>
      </w:r>
      <w:proofErr w:type="gramEnd"/>
      <w:r>
        <w:t xml:space="preserve"> </w:t>
      </w:r>
      <w:proofErr w:type="gramStart"/>
      <w:r>
        <w:rPr>
          <w:i/>
          <w:iCs/>
        </w:rPr>
        <w:t xml:space="preserve">Journal of Infectious Diseases, 202 </w:t>
      </w:r>
      <w:proofErr w:type="spellStart"/>
      <w:r>
        <w:rPr>
          <w:i/>
          <w:iCs/>
        </w:rPr>
        <w:t>Suppl</w:t>
      </w:r>
      <w:proofErr w:type="spellEnd"/>
      <w:r>
        <w:rPr>
          <w:i/>
          <w:iCs/>
        </w:rPr>
        <w:t xml:space="preserve"> 2</w:t>
      </w:r>
      <w:r>
        <w:t>, S270-277.</w:t>
      </w:r>
      <w:proofErr w:type="gramEnd"/>
      <w:r>
        <w:t xml:space="preserve"> </w:t>
      </w:r>
    </w:p>
    <w:p w:rsidR="00751BA0" w:rsidRDefault="00751BA0" w:rsidP="00EE7500">
      <w:pPr>
        <w:pStyle w:val="References"/>
        <w:ind w:left="709" w:firstLine="11"/>
      </w:pPr>
      <w:r w:rsidRPr="00751BA0">
        <w:t>Conway, D. P., Guy, R., McNulty, A</w:t>
      </w:r>
      <w:r>
        <w:t>., et al</w:t>
      </w:r>
      <w:r w:rsidRPr="00751BA0">
        <w:t xml:space="preserve">. (2013a). Experience of rapid HIV testing increases its acceptability to clinical staff in public sexual health clinics in </w:t>
      </w:r>
      <w:r w:rsidR="004F72E0">
        <w:t>S</w:t>
      </w:r>
      <w:r w:rsidRPr="00751BA0">
        <w:t xml:space="preserve">ydney. </w:t>
      </w:r>
      <w:proofErr w:type="gramStart"/>
      <w:r w:rsidRPr="00751BA0">
        <w:rPr>
          <w:i/>
        </w:rPr>
        <w:t>Sexually Transmitted Infections</w:t>
      </w:r>
      <w:r w:rsidRPr="00751BA0">
        <w:t>, 89.</w:t>
      </w:r>
      <w:proofErr w:type="gramEnd"/>
    </w:p>
    <w:p w:rsidR="00EB0599" w:rsidRDefault="00EB0599" w:rsidP="00EE7500">
      <w:pPr>
        <w:pStyle w:val="References"/>
        <w:ind w:left="709" w:firstLine="11"/>
      </w:pPr>
      <w:proofErr w:type="gramStart"/>
      <w:r w:rsidRPr="00EB0599">
        <w:t xml:space="preserve">Conway, D. P., Holt, M., McNulty, A., </w:t>
      </w:r>
      <w:r>
        <w:t>et al</w:t>
      </w:r>
      <w:r w:rsidRPr="00EB0599">
        <w:t>. (2013b).</w:t>
      </w:r>
      <w:proofErr w:type="gramEnd"/>
      <w:r w:rsidRPr="00EB0599">
        <w:t xml:space="preserve"> Field performance of the </w:t>
      </w:r>
      <w:proofErr w:type="spellStart"/>
      <w:r w:rsidRPr="00EB0599">
        <w:t>alere</w:t>
      </w:r>
      <w:proofErr w:type="spellEnd"/>
      <w:r w:rsidRPr="00EB0599">
        <w:t xml:space="preserve"> determine HIV combo assay in a large </w:t>
      </w:r>
      <w:r w:rsidR="00312E72" w:rsidRPr="00EB0599">
        <w:t>Australian</w:t>
      </w:r>
      <w:r w:rsidRPr="00EB0599">
        <w:t xml:space="preserve"> multi-centre study in a sexual health clinic setting. </w:t>
      </w:r>
      <w:proofErr w:type="gramStart"/>
      <w:r w:rsidRPr="00EB0599">
        <w:rPr>
          <w:i/>
        </w:rPr>
        <w:t>Sexually Transmitted Infections</w:t>
      </w:r>
      <w:r w:rsidRPr="00EB0599">
        <w:t>, 89.</w:t>
      </w:r>
      <w:proofErr w:type="gramEnd"/>
    </w:p>
    <w:p w:rsidR="00EB0599" w:rsidRDefault="00EB0599" w:rsidP="00EE7500">
      <w:pPr>
        <w:pStyle w:val="References"/>
        <w:ind w:left="709" w:firstLine="11"/>
      </w:pPr>
      <w:proofErr w:type="gramStart"/>
      <w:r w:rsidRPr="00EB0599">
        <w:t xml:space="preserve">Conway, D. P., Holt, M., McNulty, A., </w:t>
      </w:r>
      <w:r>
        <w:t>et al</w:t>
      </w:r>
      <w:r w:rsidRPr="00EB0599">
        <w:t>. (2014).</w:t>
      </w:r>
      <w:proofErr w:type="gramEnd"/>
      <w:r w:rsidRPr="00EB0599">
        <w:t xml:space="preserve"> </w:t>
      </w:r>
      <w:proofErr w:type="gramStart"/>
      <w:r w:rsidRPr="00EB0599">
        <w:t>Multi-centre evaluation of the Determine HIV Combo assay when used for point of care testing in a high risk clinic-based population.</w:t>
      </w:r>
      <w:proofErr w:type="gramEnd"/>
      <w:r w:rsidRPr="00EB0599">
        <w:t xml:space="preserve"> </w:t>
      </w:r>
      <w:proofErr w:type="spellStart"/>
      <w:proofErr w:type="gramStart"/>
      <w:r w:rsidRPr="00EB0599">
        <w:rPr>
          <w:i/>
        </w:rPr>
        <w:t>PLoS</w:t>
      </w:r>
      <w:proofErr w:type="spellEnd"/>
      <w:r w:rsidRPr="00EB0599">
        <w:rPr>
          <w:i/>
        </w:rPr>
        <w:t xml:space="preserve"> ONE [Electronic Resource]</w:t>
      </w:r>
      <w:r w:rsidRPr="00EB0599">
        <w:t>, 9(4), e94062</w:t>
      </w:r>
      <w:r>
        <w:t>.</w:t>
      </w:r>
      <w:proofErr w:type="gramEnd"/>
    </w:p>
    <w:p w:rsidR="00866B1E" w:rsidRPr="00866B1E" w:rsidRDefault="00866B1E" w:rsidP="00866B1E">
      <w:pPr>
        <w:pStyle w:val="References"/>
        <w:ind w:left="709" w:firstLine="11"/>
      </w:pPr>
      <w:proofErr w:type="spellStart"/>
      <w:proofErr w:type="gramStart"/>
      <w:r>
        <w:t>Cretikos</w:t>
      </w:r>
      <w:proofErr w:type="spellEnd"/>
      <w:r>
        <w:t>, M., Mayne, D., Reynolds, R., et al. (2014).</w:t>
      </w:r>
      <w:proofErr w:type="gramEnd"/>
      <w:r>
        <w:t xml:space="preserve"> Testing-adjusted chlamydia notification trends in New South Wales, Australia, 2000 to 2010. </w:t>
      </w:r>
      <w:r>
        <w:rPr>
          <w:i/>
        </w:rPr>
        <w:t>Western Pacific Surveillance and Response, 5 (3)</w:t>
      </w:r>
      <w:r>
        <w:t>, 1-11.</w:t>
      </w:r>
    </w:p>
    <w:p w:rsidR="00023BF5" w:rsidRDefault="00023BF5" w:rsidP="00023BF5">
      <w:proofErr w:type="spellStart"/>
      <w:proofErr w:type="gramStart"/>
      <w:r>
        <w:t>Dibosa-Osadolor</w:t>
      </w:r>
      <w:proofErr w:type="spellEnd"/>
      <w:r>
        <w:t>, O., &amp; Roberts, T. (2010).</w:t>
      </w:r>
      <w:proofErr w:type="gramEnd"/>
      <w:r>
        <w:t xml:space="preserve"> Economic evaluation, human immunodeficiency virus infection and screening: a review and critical appraisal of economic studies. </w:t>
      </w:r>
      <w:r>
        <w:rPr>
          <w:i/>
          <w:iCs/>
        </w:rPr>
        <w:t>International Journal of Technology Assessment in Health Care, 26</w:t>
      </w:r>
      <w:r>
        <w:t>(3), 301-308</w:t>
      </w:r>
    </w:p>
    <w:p w:rsidR="00023BF5" w:rsidRDefault="00023BF5" w:rsidP="00023BF5">
      <w:proofErr w:type="spellStart"/>
      <w:proofErr w:type="gramStart"/>
      <w:r>
        <w:lastRenderedPageBreak/>
        <w:t>Ekwueme</w:t>
      </w:r>
      <w:proofErr w:type="spellEnd"/>
      <w:r>
        <w:t xml:space="preserve">, D. U., Pinkerton, S. D., </w:t>
      </w:r>
      <w:proofErr w:type="spellStart"/>
      <w:r>
        <w:t>Holtgrave</w:t>
      </w:r>
      <w:proofErr w:type="spellEnd"/>
      <w:r>
        <w:t>, D. R., &amp; Branson, B. M. (2003).</w:t>
      </w:r>
      <w:proofErr w:type="gramEnd"/>
      <w:r>
        <w:t xml:space="preserve"> Cost comparison of three HIV </w:t>
      </w:r>
      <w:proofErr w:type="spellStart"/>
      <w:r>
        <w:t>counseling</w:t>
      </w:r>
      <w:proofErr w:type="spellEnd"/>
      <w:r>
        <w:t xml:space="preserve"> and testing technologies. </w:t>
      </w:r>
      <w:r>
        <w:rPr>
          <w:i/>
          <w:iCs/>
        </w:rPr>
        <w:t>American Journal of Preventive Medicine, 25</w:t>
      </w:r>
      <w:r>
        <w:t xml:space="preserve">(2), 112-121. </w:t>
      </w:r>
    </w:p>
    <w:p w:rsidR="00EB0599" w:rsidRDefault="00EB0599" w:rsidP="00EE7500">
      <w:pPr>
        <w:pStyle w:val="References"/>
        <w:ind w:left="709" w:firstLine="11"/>
      </w:pPr>
      <w:proofErr w:type="spellStart"/>
      <w:proofErr w:type="gramStart"/>
      <w:r w:rsidRPr="00BA1043">
        <w:t>Eu</w:t>
      </w:r>
      <w:proofErr w:type="spellEnd"/>
      <w:r w:rsidRPr="00BA1043">
        <w:t xml:space="preserve">, B., Roth, N., </w:t>
      </w:r>
      <w:proofErr w:type="spellStart"/>
      <w:r w:rsidRPr="00BA1043">
        <w:t>Stoove</w:t>
      </w:r>
      <w:proofErr w:type="spellEnd"/>
      <w:r w:rsidRPr="00BA1043">
        <w:t xml:space="preserve">, M., et al. </w:t>
      </w:r>
      <w:r w:rsidRPr="00EB0599">
        <w:t>(2014).</w:t>
      </w:r>
      <w:proofErr w:type="gramEnd"/>
      <w:r w:rsidRPr="00EB0599">
        <w:t xml:space="preserve"> Rapid HIV testing increases the rate of HIV detection in men who have sex with men: using rapid HIV testing in a primary care clinic. </w:t>
      </w:r>
      <w:r w:rsidRPr="00EB0599">
        <w:rPr>
          <w:i/>
        </w:rPr>
        <w:t>Sexual Health</w:t>
      </w:r>
      <w:r w:rsidRPr="00EB0599">
        <w:t>, 11(1), 89-90.</w:t>
      </w:r>
    </w:p>
    <w:p w:rsidR="00023BF5" w:rsidRDefault="00023BF5" w:rsidP="00023BF5">
      <w:r w:rsidRPr="00A66E72">
        <w:t xml:space="preserve">Farnham, P. G., </w:t>
      </w:r>
      <w:proofErr w:type="spellStart"/>
      <w:r w:rsidRPr="00A66E72">
        <w:t>Gorsky</w:t>
      </w:r>
      <w:proofErr w:type="spellEnd"/>
      <w:r w:rsidRPr="00A66E72">
        <w:t xml:space="preserve">, R. D., </w:t>
      </w:r>
      <w:proofErr w:type="spellStart"/>
      <w:r w:rsidRPr="00A66E72">
        <w:t>Holtgrave</w:t>
      </w:r>
      <w:proofErr w:type="spellEnd"/>
      <w:r w:rsidRPr="00A66E72">
        <w:t xml:space="preserve">, et al. (1996). </w:t>
      </w:r>
      <w:proofErr w:type="spellStart"/>
      <w:r>
        <w:t>Counseling</w:t>
      </w:r>
      <w:proofErr w:type="spellEnd"/>
      <w:r>
        <w:t xml:space="preserve"> and testing for HIV prevention: costs, effects, and cost-effectiveness of more rapid screening tests. </w:t>
      </w:r>
      <w:proofErr w:type="gramStart"/>
      <w:r>
        <w:rPr>
          <w:i/>
          <w:iCs/>
        </w:rPr>
        <w:t>Public Health Reports, 111</w:t>
      </w:r>
      <w:r>
        <w:t>(1), 44-53; discussion 54.</w:t>
      </w:r>
      <w:proofErr w:type="gramEnd"/>
      <w:r>
        <w:t xml:space="preserve"> </w:t>
      </w:r>
    </w:p>
    <w:p w:rsidR="00023BF5" w:rsidRDefault="00023BF5" w:rsidP="00023BF5">
      <w:proofErr w:type="gramStart"/>
      <w:r>
        <w:t xml:space="preserve">Farnham, P. G., Hutchinson, A. B., </w:t>
      </w:r>
      <w:proofErr w:type="spellStart"/>
      <w:r>
        <w:t>Sansom</w:t>
      </w:r>
      <w:proofErr w:type="spellEnd"/>
      <w:r>
        <w:t>, S. L., &amp; Branson, B. M. (2008).</w:t>
      </w:r>
      <w:proofErr w:type="gramEnd"/>
      <w:r>
        <w:t xml:space="preserve"> </w:t>
      </w:r>
      <w:proofErr w:type="gramStart"/>
      <w:r>
        <w:t>Comparing the costs of HIV screening strategies and technologies in health-care settings.</w:t>
      </w:r>
      <w:proofErr w:type="gramEnd"/>
      <w:r>
        <w:t xml:space="preserve"> </w:t>
      </w:r>
      <w:r>
        <w:rPr>
          <w:i/>
          <w:iCs/>
        </w:rPr>
        <w:t xml:space="preserve">Public Health Reports, 123 </w:t>
      </w:r>
      <w:proofErr w:type="spellStart"/>
      <w:r>
        <w:rPr>
          <w:i/>
          <w:iCs/>
        </w:rPr>
        <w:t>Suppl</w:t>
      </w:r>
      <w:proofErr w:type="spellEnd"/>
      <w:r>
        <w:rPr>
          <w:i/>
          <w:iCs/>
        </w:rPr>
        <w:t xml:space="preserve"> 3</w:t>
      </w:r>
      <w:r>
        <w:t xml:space="preserve">, 51-62. </w:t>
      </w:r>
    </w:p>
    <w:p w:rsidR="00EB0599" w:rsidRDefault="00EB0599" w:rsidP="00023BF5">
      <w:proofErr w:type="gramStart"/>
      <w:r w:rsidRPr="001A36C7">
        <w:t xml:space="preserve">Guy, R., </w:t>
      </w:r>
      <w:proofErr w:type="spellStart"/>
      <w:r w:rsidRPr="001A36C7">
        <w:t>Goller</w:t>
      </w:r>
      <w:proofErr w:type="spellEnd"/>
      <w:r w:rsidRPr="001A36C7">
        <w:t>, J. L., Spelman, T., et al. (2010).</w:t>
      </w:r>
      <w:proofErr w:type="gramEnd"/>
      <w:r w:rsidRPr="001A36C7">
        <w:t xml:space="preserve"> Does the frequency of HIV and STI testing among men who have sex with men in primary care adhere with Australian guidelines? </w:t>
      </w:r>
      <w:r w:rsidRPr="001A36C7">
        <w:rPr>
          <w:i/>
        </w:rPr>
        <w:t>Sexually Transmitted Infections</w:t>
      </w:r>
      <w:r w:rsidRPr="001A36C7">
        <w:t>, 86(5), 371-376.</w:t>
      </w:r>
    </w:p>
    <w:p w:rsidR="00023BF5" w:rsidRPr="001A36C7" w:rsidRDefault="00023BF5" w:rsidP="00023BF5">
      <w:r w:rsidRPr="00174024">
        <w:rPr>
          <w:lang w:val="fr-FR"/>
        </w:rPr>
        <w:t xml:space="preserve">Jin, F., </w:t>
      </w:r>
      <w:proofErr w:type="spellStart"/>
      <w:r w:rsidRPr="00174024">
        <w:rPr>
          <w:lang w:val="fr-FR"/>
        </w:rPr>
        <w:t>Prestage</w:t>
      </w:r>
      <w:proofErr w:type="spellEnd"/>
      <w:r w:rsidRPr="00174024">
        <w:rPr>
          <w:lang w:val="fr-FR"/>
        </w:rPr>
        <w:t xml:space="preserve">, G. P., McDonald, A., et al. </w:t>
      </w:r>
      <w:r>
        <w:t xml:space="preserve">(2008). Trend in HIV incidence in a cohort of homosexual men in Sydney: data from the Health in Men Study. </w:t>
      </w:r>
      <w:r>
        <w:rPr>
          <w:i/>
          <w:iCs/>
        </w:rPr>
        <w:t>Sexual Health, 5</w:t>
      </w:r>
      <w:r>
        <w:t>(2), 109-112</w:t>
      </w:r>
    </w:p>
    <w:p w:rsidR="00BB0837" w:rsidRDefault="00BB0837" w:rsidP="00EE7500">
      <w:pPr>
        <w:pStyle w:val="References"/>
        <w:ind w:left="709" w:firstLine="11"/>
      </w:pPr>
      <w:proofErr w:type="gramStart"/>
      <w:r>
        <w:t>Kirby Institute (2014a).</w:t>
      </w:r>
      <w:proofErr w:type="gramEnd"/>
      <w:r w:rsidR="00C00C6A">
        <w:t xml:space="preserve">  </w:t>
      </w:r>
      <w:proofErr w:type="gramStart"/>
      <w:r w:rsidR="00EE7500">
        <w:t>HIV, viral hepatitis and sexually transmissible infections in Australia.</w:t>
      </w:r>
      <w:proofErr w:type="gramEnd"/>
      <w:r w:rsidR="00EE7500">
        <w:t xml:space="preserve">  </w:t>
      </w:r>
      <w:proofErr w:type="gramStart"/>
      <w:r w:rsidR="00EE7500">
        <w:t>Annual Surveillance Report 2014.</w:t>
      </w:r>
      <w:proofErr w:type="gramEnd"/>
      <w:r w:rsidR="00EE7500">
        <w:t xml:space="preserve">  </w:t>
      </w:r>
      <w:hyperlink r:id="rId84" w:tooltip="HIV viral hepatitis and sexually transmisible infections in Australia annual surveillance report " w:history="1">
        <w:r w:rsidR="00EE7500" w:rsidRPr="00762152">
          <w:rPr>
            <w:rStyle w:val="Hyperlink"/>
          </w:rPr>
          <w:t>https://kirby.unsw.edu.au/sites/default/files/hiv/resources/ASR2014.pdf</w:t>
        </w:r>
      </w:hyperlink>
      <w:r w:rsidR="00EE7500">
        <w:t xml:space="preserve"> [accessed 13 F</w:t>
      </w:r>
      <w:r w:rsidR="00DF1AA0">
        <w:t>ebru</w:t>
      </w:r>
      <w:r w:rsidR="00EE7500">
        <w:t>a</w:t>
      </w:r>
      <w:r w:rsidR="00DF1AA0">
        <w:t>r</w:t>
      </w:r>
      <w:r w:rsidR="00EE7500">
        <w:t>y 2014]</w:t>
      </w:r>
      <w:r w:rsidR="00BD77AC">
        <w:t>.</w:t>
      </w:r>
    </w:p>
    <w:p w:rsidR="00BB0837" w:rsidRDefault="00BB0837" w:rsidP="00BB0837">
      <w:pPr>
        <w:pStyle w:val="References"/>
        <w:ind w:left="709" w:firstLine="11"/>
      </w:pPr>
      <w:proofErr w:type="gramStart"/>
      <w:r>
        <w:t>Kirby Institute (2014b).</w:t>
      </w:r>
      <w:proofErr w:type="gramEnd"/>
      <w:r>
        <w:t xml:space="preserve">  HIV in Australia: Annual Surveillance Report 2014 Supplement.  </w:t>
      </w:r>
      <w:hyperlink r:id="rId85" w:tooltip="annual surveillance report 2014 supplement" w:history="1">
        <w:r w:rsidRPr="00762152">
          <w:rPr>
            <w:rStyle w:val="Hyperlink"/>
          </w:rPr>
          <w:t>http://kirby.unsw.edu.au/sites/default/files/hiv/resources/HIVASRsuppl2014_online.pdf</w:t>
        </w:r>
      </w:hyperlink>
      <w:r>
        <w:t xml:space="preserve"> [accessed 13 February 2015]</w:t>
      </w:r>
      <w:r w:rsidR="00BD77AC">
        <w:t>.</w:t>
      </w:r>
    </w:p>
    <w:p w:rsidR="006B4ACF" w:rsidRDefault="006B4ACF" w:rsidP="006B4ACF">
      <w:r>
        <w:t xml:space="preserve">Knight, V., Gale, M., Guy, R., et al. (2014). A novel time-limited pop-up HIV testing service for gay men in Sydney, Australia, attracts high-risk men. </w:t>
      </w:r>
      <w:r>
        <w:rPr>
          <w:i/>
          <w:iCs/>
        </w:rPr>
        <w:t xml:space="preserve">Sexual Health, </w:t>
      </w:r>
      <w:r w:rsidRPr="006B4ACF">
        <w:rPr>
          <w:iCs/>
        </w:rPr>
        <w:t>11</w:t>
      </w:r>
      <w:r w:rsidRPr="006B4ACF">
        <w:t>(</w:t>
      </w:r>
      <w:r>
        <w:t xml:space="preserve">4), 345-350. </w:t>
      </w:r>
    </w:p>
    <w:p w:rsidR="00721790" w:rsidRPr="00093CD9" w:rsidRDefault="00721790" w:rsidP="006B4ACF">
      <w:pPr>
        <w:rPr>
          <w:lang w:val="it-IT"/>
        </w:rPr>
      </w:pPr>
      <w:proofErr w:type="spellStart"/>
      <w:r>
        <w:t>Knottnerus</w:t>
      </w:r>
      <w:proofErr w:type="spellEnd"/>
      <w:r>
        <w:t xml:space="preserve">, J., van </w:t>
      </w:r>
      <w:proofErr w:type="spellStart"/>
      <w:r>
        <w:t>Weel</w:t>
      </w:r>
      <w:proofErr w:type="spellEnd"/>
      <w:r>
        <w:t xml:space="preserve">, C., </w:t>
      </w:r>
      <w:proofErr w:type="spellStart"/>
      <w:r>
        <w:t>Muris</w:t>
      </w:r>
      <w:proofErr w:type="spellEnd"/>
      <w:r>
        <w:t>, J.</w:t>
      </w:r>
      <w:proofErr w:type="gramStart"/>
      <w:r>
        <w:t>,(</w:t>
      </w:r>
      <w:proofErr w:type="gramEnd"/>
      <w:r>
        <w:t xml:space="preserve">2002). </w:t>
      </w:r>
      <w:proofErr w:type="gramStart"/>
      <w:r>
        <w:t>The evidence base of clinical diagnosis.</w:t>
      </w:r>
      <w:proofErr w:type="gramEnd"/>
      <w:r>
        <w:t xml:space="preserve"> </w:t>
      </w:r>
      <w:r w:rsidRPr="00093CD9">
        <w:rPr>
          <w:i/>
          <w:iCs/>
          <w:lang w:val="it-IT"/>
        </w:rPr>
        <w:t>BMJ 324</w:t>
      </w:r>
      <w:r w:rsidRPr="00093CD9">
        <w:rPr>
          <w:lang w:val="it-IT"/>
        </w:rPr>
        <w:t>, 477-480</w:t>
      </w:r>
    </w:p>
    <w:p w:rsidR="0066342E" w:rsidRDefault="0066342E" w:rsidP="00BB0837">
      <w:pPr>
        <w:pStyle w:val="References"/>
        <w:ind w:left="709" w:firstLine="11"/>
        <w:rPr>
          <w:noProof/>
        </w:rPr>
      </w:pPr>
      <w:r w:rsidRPr="00093CD9">
        <w:rPr>
          <w:noProof/>
          <w:lang w:val="it-IT"/>
        </w:rPr>
        <w:t xml:space="preserve">Liberati, A., Altman, D. G., Tetzlaff, J., et al.  </w:t>
      </w:r>
      <w:r>
        <w:rPr>
          <w:noProof/>
        </w:rPr>
        <w:t>(</w:t>
      </w:r>
      <w:r w:rsidRPr="00AA7614">
        <w:rPr>
          <w:noProof/>
        </w:rPr>
        <w:t>2009</w:t>
      </w:r>
      <w:r>
        <w:rPr>
          <w:noProof/>
        </w:rPr>
        <w:t xml:space="preserve">). </w:t>
      </w:r>
      <w:r w:rsidRPr="00AA7614">
        <w:rPr>
          <w:noProof/>
        </w:rPr>
        <w:t xml:space="preserve"> The PRISMA statement for reporting systematic reviews and meta-analyses of studies that evaluate health care interventions: explanation and elaboration, </w:t>
      </w:r>
      <w:r w:rsidRPr="00AA7614">
        <w:rPr>
          <w:i/>
          <w:noProof/>
        </w:rPr>
        <w:t>PLoS Med</w:t>
      </w:r>
      <w:r w:rsidRPr="00AA7614">
        <w:rPr>
          <w:noProof/>
        </w:rPr>
        <w:t>, 6</w:t>
      </w:r>
      <w:r>
        <w:rPr>
          <w:noProof/>
        </w:rPr>
        <w:t xml:space="preserve"> (</w:t>
      </w:r>
      <w:r w:rsidRPr="00AA7614">
        <w:rPr>
          <w:noProof/>
        </w:rPr>
        <w:t>7</w:t>
      </w:r>
      <w:r>
        <w:rPr>
          <w:noProof/>
        </w:rPr>
        <w:t xml:space="preserve">): </w:t>
      </w:r>
      <w:r w:rsidRPr="00AA7614">
        <w:rPr>
          <w:noProof/>
        </w:rPr>
        <w:t>e1000100.</w:t>
      </w:r>
    </w:p>
    <w:p w:rsidR="00023BF5" w:rsidRDefault="00023BF5" w:rsidP="00023BF5">
      <w:proofErr w:type="spellStart"/>
      <w:proofErr w:type="gramStart"/>
      <w:r>
        <w:t>Mallitt</w:t>
      </w:r>
      <w:proofErr w:type="spellEnd"/>
      <w:r>
        <w:t>, K. A., Wilson, D. P., McDonald, A., &amp; Wand, H. (2012).</w:t>
      </w:r>
      <w:proofErr w:type="gramEnd"/>
      <w:r>
        <w:t xml:space="preserve"> HIV incidence trends vary between jurisdictions in Australia: an extended back-projection analysis of men who have sex with men. </w:t>
      </w:r>
      <w:r>
        <w:rPr>
          <w:i/>
          <w:iCs/>
        </w:rPr>
        <w:t>Sexual Health, 9</w:t>
      </w:r>
      <w:r>
        <w:t xml:space="preserve">(2), 138-143. </w:t>
      </w:r>
    </w:p>
    <w:p w:rsidR="00751BA0" w:rsidRDefault="00751BA0" w:rsidP="00BB0837">
      <w:pPr>
        <w:pStyle w:val="References"/>
        <w:ind w:left="709" w:firstLine="11"/>
      </w:pPr>
      <w:proofErr w:type="spellStart"/>
      <w:proofErr w:type="gramStart"/>
      <w:r w:rsidRPr="00751BA0">
        <w:t>Masciotra</w:t>
      </w:r>
      <w:proofErr w:type="spellEnd"/>
      <w:r w:rsidRPr="00751BA0">
        <w:t xml:space="preserve">, S., Luo, W., </w:t>
      </w:r>
      <w:proofErr w:type="spellStart"/>
      <w:r w:rsidRPr="00751BA0">
        <w:t>Youngpairoj</w:t>
      </w:r>
      <w:proofErr w:type="spellEnd"/>
      <w:r w:rsidRPr="00751BA0">
        <w:t xml:space="preserve">, A. S., </w:t>
      </w:r>
      <w:r>
        <w:t>et al</w:t>
      </w:r>
      <w:r w:rsidRPr="00751BA0">
        <w:t>. (2013a).</w:t>
      </w:r>
      <w:proofErr w:type="gramEnd"/>
      <w:r w:rsidRPr="00751BA0">
        <w:t xml:space="preserve"> Performance of the </w:t>
      </w:r>
      <w:proofErr w:type="spellStart"/>
      <w:r w:rsidRPr="00751BA0">
        <w:t>Alere</w:t>
      </w:r>
      <w:proofErr w:type="spellEnd"/>
      <w:r w:rsidRPr="00751BA0">
        <w:t xml:space="preserve"> Determine HIV-1/2 Ag/Ab Combo Rapid Test with specimens from HIV-1 </w:t>
      </w:r>
      <w:proofErr w:type="spellStart"/>
      <w:r w:rsidRPr="00751BA0">
        <w:t>seroconverters</w:t>
      </w:r>
      <w:proofErr w:type="spellEnd"/>
      <w:r w:rsidRPr="00751BA0">
        <w:t xml:space="preserve"> from the US and HIV-2 infected individuals from Ivory Coast. </w:t>
      </w:r>
      <w:proofErr w:type="gramStart"/>
      <w:r w:rsidRPr="00751BA0">
        <w:rPr>
          <w:i/>
        </w:rPr>
        <w:t>Journal of Clinical Virology</w:t>
      </w:r>
      <w:r w:rsidRPr="00751BA0">
        <w:t xml:space="preserve">, 58 </w:t>
      </w:r>
      <w:proofErr w:type="spellStart"/>
      <w:r w:rsidRPr="00751BA0">
        <w:t>Suppl</w:t>
      </w:r>
      <w:proofErr w:type="spellEnd"/>
      <w:r w:rsidRPr="00751BA0">
        <w:t xml:space="preserve"> 1, e54-58.</w:t>
      </w:r>
      <w:proofErr w:type="gramEnd"/>
    </w:p>
    <w:p w:rsidR="002F3BE2" w:rsidRDefault="002F3BE2" w:rsidP="00BB0837">
      <w:pPr>
        <w:pStyle w:val="References"/>
        <w:ind w:left="709" w:firstLine="11"/>
        <w:rPr>
          <w:noProof/>
        </w:rPr>
      </w:pPr>
      <w:r w:rsidRPr="00AA7614">
        <w:rPr>
          <w:noProof/>
        </w:rPr>
        <w:lastRenderedPageBreak/>
        <w:t>Merlin, T</w:t>
      </w:r>
      <w:r w:rsidR="0066342E">
        <w:rPr>
          <w:noProof/>
        </w:rPr>
        <w:t>.</w:t>
      </w:r>
      <w:r w:rsidRPr="00AA7614">
        <w:rPr>
          <w:noProof/>
        </w:rPr>
        <w:t>, Lehman, S</w:t>
      </w:r>
      <w:r w:rsidR="0066342E">
        <w:rPr>
          <w:noProof/>
        </w:rPr>
        <w:t>.</w:t>
      </w:r>
      <w:r w:rsidRPr="00AA7614">
        <w:rPr>
          <w:noProof/>
        </w:rPr>
        <w:t>, Hiller</w:t>
      </w:r>
      <w:r>
        <w:rPr>
          <w:noProof/>
        </w:rPr>
        <w:t xml:space="preserve"> J</w:t>
      </w:r>
      <w:r w:rsidR="0066342E">
        <w:rPr>
          <w:noProof/>
        </w:rPr>
        <w:t xml:space="preserve">. </w:t>
      </w:r>
      <w:r>
        <w:rPr>
          <w:noProof/>
        </w:rPr>
        <w:t>E</w:t>
      </w:r>
      <w:r w:rsidR="0066342E">
        <w:rPr>
          <w:noProof/>
        </w:rPr>
        <w:t>.</w:t>
      </w:r>
      <w:r w:rsidRPr="00AA7614">
        <w:rPr>
          <w:noProof/>
        </w:rPr>
        <w:t xml:space="preserve">, </w:t>
      </w:r>
      <w:r>
        <w:rPr>
          <w:noProof/>
        </w:rPr>
        <w:t>et al.</w:t>
      </w:r>
      <w:r w:rsidRPr="00AA7614">
        <w:rPr>
          <w:noProof/>
        </w:rPr>
        <w:t xml:space="preserve"> </w:t>
      </w:r>
      <w:r>
        <w:rPr>
          <w:noProof/>
        </w:rPr>
        <w:t>(</w:t>
      </w:r>
      <w:r w:rsidRPr="00AA7614">
        <w:rPr>
          <w:noProof/>
        </w:rPr>
        <w:t>2013</w:t>
      </w:r>
      <w:r>
        <w:rPr>
          <w:noProof/>
        </w:rPr>
        <w:t>).</w:t>
      </w:r>
      <w:r w:rsidRPr="00AA7614">
        <w:rPr>
          <w:noProof/>
        </w:rPr>
        <w:t xml:space="preserve"> </w:t>
      </w:r>
      <w:r>
        <w:rPr>
          <w:noProof/>
        </w:rPr>
        <w:t xml:space="preserve"> </w:t>
      </w:r>
      <w:r w:rsidRPr="00AA7614">
        <w:rPr>
          <w:noProof/>
        </w:rPr>
        <w:t>The "linked evidence approach" to assess med</w:t>
      </w:r>
      <w:r>
        <w:rPr>
          <w:noProof/>
        </w:rPr>
        <w:t>ical tests: a critical analysis</w:t>
      </w:r>
      <w:r w:rsidRPr="00AA7614">
        <w:rPr>
          <w:noProof/>
        </w:rPr>
        <w:t xml:space="preserve">, </w:t>
      </w:r>
      <w:r w:rsidRPr="00AA7614">
        <w:rPr>
          <w:i/>
          <w:noProof/>
        </w:rPr>
        <w:t>Int J Technol Assess Health Care</w:t>
      </w:r>
      <w:r w:rsidRPr="00AA7614">
        <w:rPr>
          <w:noProof/>
        </w:rPr>
        <w:t xml:space="preserve">, </w:t>
      </w:r>
      <w:r>
        <w:rPr>
          <w:noProof/>
        </w:rPr>
        <w:t>29(</w:t>
      </w:r>
      <w:r w:rsidRPr="00AA7614">
        <w:rPr>
          <w:noProof/>
        </w:rPr>
        <w:t>3</w:t>
      </w:r>
      <w:r>
        <w:rPr>
          <w:noProof/>
        </w:rPr>
        <w:t>):</w:t>
      </w:r>
      <w:r w:rsidRPr="00AA7614">
        <w:rPr>
          <w:noProof/>
        </w:rPr>
        <w:t xml:space="preserve"> 343-350.</w:t>
      </w:r>
    </w:p>
    <w:p w:rsidR="00023BF5" w:rsidRDefault="00023BF5" w:rsidP="00023BF5">
      <w:r w:rsidRPr="00023BF5">
        <w:rPr>
          <w:lang w:val="de-DE"/>
        </w:rPr>
        <w:t xml:space="preserve">Metsch, L. R., Feaster, D. J., Gooden, L., et al. </w:t>
      </w:r>
      <w:r>
        <w:t xml:space="preserve">(2012). </w:t>
      </w:r>
      <w:proofErr w:type="gramStart"/>
      <w:r>
        <w:t>Implementing</w:t>
      </w:r>
      <w:proofErr w:type="gramEnd"/>
      <w:r>
        <w:t xml:space="preserve"> rapid HIV testing with or without risk-reduction </w:t>
      </w:r>
      <w:proofErr w:type="spellStart"/>
      <w:r>
        <w:t>counseling</w:t>
      </w:r>
      <w:proofErr w:type="spellEnd"/>
      <w:r>
        <w:t xml:space="preserve"> in drug treatment </w:t>
      </w:r>
      <w:proofErr w:type="spellStart"/>
      <w:r>
        <w:t>centers</w:t>
      </w:r>
      <w:proofErr w:type="spellEnd"/>
      <w:r>
        <w:t xml:space="preserve">: results of a randomized trial. </w:t>
      </w:r>
      <w:r>
        <w:rPr>
          <w:i/>
          <w:iCs/>
        </w:rPr>
        <w:t>American Journal of Public Health, 102</w:t>
      </w:r>
      <w:r>
        <w:t xml:space="preserve">(6), 1160-1167. </w:t>
      </w:r>
    </w:p>
    <w:p w:rsidR="00102204" w:rsidRPr="00A636FA" w:rsidRDefault="00102204" w:rsidP="00BB0837">
      <w:pPr>
        <w:pStyle w:val="References"/>
        <w:ind w:left="709" w:firstLine="11"/>
      </w:pPr>
      <w:proofErr w:type="gramStart"/>
      <w:r w:rsidRPr="00A636FA">
        <w:t xml:space="preserve">MSAC 1391 </w:t>
      </w:r>
      <w:r w:rsidR="00B0005A">
        <w:t xml:space="preserve">Final </w:t>
      </w:r>
      <w:r w:rsidRPr="00A636FA">
        <w:t>Protocol (2015).</w:t>
      </w:r>
      <w:proofErr w:type="gramEnd"/>
      <w:r w:rsidRPr="00A636FA">
        <w:t xml:space="preserve">  </w:t>
      </w:r>
      <w:hyperlink r:id="rId86" w:tooltip="MSAC web 1391 Protocol" w:history="1">
        <w:r w:rsidR="0009118B" w:rsidRPr="00A636FA">
          <w:rPr>
            <w:rStyle w:val="Hyperlink"/>
          </w:rPr>
          <w:t>http://www.msac.gov.au/internet/msac/publishing.nsf/Content/B3CE375EEE44BF59CA257CE70083490F/$File/1391-RapidPointOfCareHIVTest-RatifiedProtocol-accessible.pdf</w:t>
        </w:r>
      </w:hyperlink>
      <w:r w:rsidR="0009118B" w:rsidRPr="00A636FA">
        <w:t xml:space="preserve"> </w:t>
      </w:r>
    </w:p>
    <w:p w:rsidR="00BD77AC" w:rsidRDefault="00BD77AC" w:rsidP="00BB0837">
      <w:pPr>
        <w:pStyle w:val="References"/>
        <w:ind w:left="709" w:firstLine="11"/>
      </w:pPr>
      <w:proofErr w:type="gramStart"/>
      <w:r>
        <w:t>National HIV Testing Policy, Draft (2014).</w:t>
      </w:r>
      <w:proofErr w:type="gramEnd"/>
      <w:r>
        <w:t xml:space="preserve">  </w:t>
      </w:r>
      <w:hyperlink r:id="rId87" w:tooltip="National HIV Testing Policy, Draft " w:history="1">
        <w:r w:rsidRPr="00762152">
          <w:rPr>
            <w:rStyle w:val="Hyperlink"/>
          </w:rPr>
          <w:t>http://testingportal.ashm.org.au/resources/2014_National_HIV_Testing_Policy_v1.pdf</w:t>
        </w:r>
      </w:hyperlink>
      <w:r>
        <w:t xml:space="preserve"> [accessed 12 March 2015].</w:t>
      </w:r>
    </w:p>
    <w:p w:rsidR="00F03E41" w:rsidRDefault="00F03E41" w:rsidP="00F03E41">
      <w:pPr>
        <w:pStyle w:val="References"/>
        <w:ind w:left="709" w:firstLine="11"/>
      </w:pPr>
      <w:proofErr w:type="gramStart"/>
      <w:r w:rsidRPr="00124A3B">
        <w:t>NHMRC (1999).</w:t>
      </w:r>
      <w:proofErr w:type="gramEnd"/>
      <w:r w:rsidRPr="00124A3B">
        <w:t xml:space="preserve"> </w:t>
      </w:r>
      <w:proofErr w:type="gramStart"/>
      <w:r w:rsidRPr="00124A3B">
        <w:t>A guide to the development, implementation and evaluation of clinical practice guidelines, National Health and Medical Research Council, Canberra.</w:t>
      </w:r>
      <w:proofErr w:type="gramEnd"/>
    </w:p>
    <w:p w:rsidR="00023BF5" w:rsidRDefault="00023BF5" w:rsidP="003B60CD">
      <w:r>
        <w:t xml:space="preserve">Osmond, D. (1998). </w:t>
      </w:r>
      <w:proofErr w:type="gramStart"/>
      <w:r>
        <w:t>Epidemiology of Disease Progression in HIV.</w:t>
      </w:r>
      <w:proofErr w:type="gramEnd"/>
      <w:r w:rsidR="003141A3">
        <w:t xml:space="preserve"> </w:t>
      </w:r>
      <w:hyperlink r:id="rId88" w:tooltip="Osmond, D. (1998). Epidemiology of Disease Progression in HIV" w:history="1">
        <w:r w:rsidR="003141A3" w:rsidRPr="00173DB1">
          <w:rPr>
            <w:rStyle w:val="Hyperlink"/>
          </w:rPr>
          <w:t>http://hivinsite.ucsf.edu/InSite?page=kb-00&amp;doc=kb-03-01-04</w:t>
        </w:r>
      </w:hyperlink>
      <w:r w:rsidR="003141A3">
        <w:t xml:space="preserve"> [accessed 6 March 2015]</w:t>
      </w:r>
    </w:p>
    <w:p w:rsidR="00023BF5" w:rsidRDefault="00023BF5" w:rsidP="00023BF5">
      <w:r w:rsidRPr="00023BF5">
        <w:rPr>
          <w:lang w:val="fr-FR"/>
        </w:rPr>
        <w:t xml:space="preserve">Owen, S. M., Yang, C., </w:t>
      </w:r>
      <w:proofErr w:type="spellStart"/>
      <w:r w:rsidRPr="00023BF5">
        <w:rPr>
          <w:lang w:val="fr-FR"/>
        </w:rPr>
        <w:t>Spira</w:t>
      </w:r>
      <w:proofErr w:type="spellEnd"/>
      <w:r w:rsidRPr="00023BF5">
        <w:rPr>
          <w:lang w:val="fr-FR"/>
        </w:rPr>
        <w:t xml:space="preserve">, T., </w:t>
      </w:r>
      <w:r>
        <w:rPr>
          <w:lang w:val="fr-FR"/>
        </w:rPr>
        <w:t>et al</w:t>
      </w:r>
      <w:r w:rsidRPr="00023BF5">
        <w:rPr>
          <w:lang w:val="fr-FR"/>
        </w:rPr>
        <w:t xml:space="preserve">. </w:t>
      </w:r>
      <w:proofErr w:type="gramStart"/>
      <w:r w:rsidRPr="00A636FA">
        <w:t xml:space="preserve">(2008). </w:t>
      </w:r>
      <w:r>
        <w:t>Alternative algorithms for human immunodeficiency virus infection diagnosis using tests that are licensed in the United States.</w:t>
      </w:r>
      <w:proofErr w:type="gramEnd"/>
      <w:r>
        <w:t xml:space="preserve"> </w:t>
      </w:r>
      <w:r>
        <w:rPr>
          <w:i/>
          <w:iCs/>
        </w:rPr>
        <w:t>Journal of Clinical Microbiology, 46</w:t>
      </w:r>
      <w:r>
        <w:t xml:space="preserve">(5), 1588-1595. </w:t>
      </w:r>
    </w:p>
    <w:p w:rsidR="00023BF5" w:rsidRDefault="00023BF5" w:rsidP="00023BF5">
      <w:proofErr w:type="spellStart"/>
      <w:r>
        <w:t>Pedrana</w:t>
      </w:r>
      <w:proofErr w:type="spellEnd"/>
      <w:r>
        <w:t xml:space="preserve">, A. E., </w:t>
      </w:r>
      <w:proofErr w:type="spellStart"/>
      <w:r>
        <w:t>Hellard</w:t>
      </w:r>
      <w:proofErr w:type="spellEnd"/>
      <w:r>
        <w:t xml:space="preserve">, M. E., Wilson, K., et al. (2012). High rates of undiagnosed HIV infections in a community sample of gay men in Melbourne, Australia. </w:t>
      </w:r>
      <w:r>
        <w:rPr>
          <w:i/>
          <w:iCs/>
        </w:rPr>
        <w:t>Journal of Acquired Immune Deficiency Syndromes: JAIDS, 59</w:t>
      </w:r>
      <w:r>
        <w:t xml:space="preserve">(1), 94-99. </w:t>
      </w:r>
    </w:p>
    <w:p w:rsidR="003141A3" w:rsidRPr="0032382B" w:rsidRDefault="003141A3" w:rsidP="003141A3">
      <w:pPr>
        <w:rPr>
          <w:i/>
          <w:iCs/>
        </w:rPr>
      </w:pPr>
      <w:proofErr w:type="spellStart"/>
      <w:r w:rsidRPr="00174024">
        <w:rPr>
          <w:lang w:val="fr-FR"/>
        </w:rPr>
        <w:t>Prestage</w:t>
      </w:r>
      <w:proofErr w:type="spellEnd"/>
      <w:r w:rsidRPr="00174024">
        <w:rPr>
          <w:lang w:val="fr-FR"/>
        </w:rPr>
        <w:t xml:space="preserve">, G., Ferris, J., Grierson, J., et al. </w:t>
      </w:r>
      <w:r>
        <w:t xml:space="preserve">(2008). Homosexual men in Australia: population, distribution and HIV prevalence. </w:t>
      </w:r>
      <w:r>
        <w:rPr>
          <w:i/>
          <w:iCs/>
        </w:rPr>
        <w:t xml:space="preserve">Sexual Health, 5, </w:t>
      </w:r>
      <w:r w:rsidRPr="0032382B">
        <w:t>97-102.</w:t>
      </w:r>
    </w:p>
    <w:p w:rsidR="00A1053E" w:rsidRDefault="00A1053E" w:rsidP="009B2072">
      <w:proofErr w:type="spellStart"/>
      <w:proofErr w:type="gramStart"/>
      <w:r w:rsidRPr="00A1053E">
        <w:t>Prestage</w:t>
      </w:r>
      <w:proofErr w:type="spellEnd"/>
      <w:r w:rsidRPr="00A1053E">
        <w:t>, G., Brown, G., &amp; Keen, P. (2012).</w:t>
      </w:r>
      <w:proofErr w:type="gramEnd"/>
      <w:r w:rsidRPr="00A1053E">
        <w:t xml:space="preserve"> </w:t>
      </w:r>
      <w:proofErr w:type="gramStart"/>
      <w:r w:rsidRPr="00A1053E">
        <w:t>Barriers to HIV testing among Australian gay men.</w:t>
      </w:r>
      <w:proofErr w:type="gramEnd"/>
      <w:r w:rsidRPr="00A1053E">
        <w:t xml:space="preserve"> </w:t>
      </w:r>
      <w:r w:rsidRPr="00A1053E">
        <w:rPr>
          <w:i/>
        </w:rPr>
        <w:t>Sexual Health</w:t>
      </w:r>
      <w:r w:rsidRPr="00A1053E">
        <w:t>, 9(5), 453-458.</w:t>
      </w:r>
    </w:p>
    <w:p w:rsidR="00484F13" w:rsidRPr="00A636FA" w:rsidRDefault="00EB0599" w:rsidP="009B2072">
      <w:pPr>
        <w:rPr>
          <w:lang w:val="de-DE"/>
        </w:rPr>
      </w:pPr>
      <w:r w:rsidRPr="00EB0599">
        <w:t xml:space="preserve">Read, T. R. H., Hocking, J. S., Bradshaw, C. S., </w:t>
      </w:r>
      <w:r>
        <w:t>et al</w:t>
      </w:r>
      <w:r w:rsidRPr="00EB0599">
        <w:t xml:space="preserve">. (2013). </w:t>
      </w:r>
      <w:proofErr w:type="gramStart"/>
      <w:r w:rsidRPr="00EB0599">
        <w:t>Provision of rapid HIV tests within a health service and frequency of HIV testing among men who have sex with men: Randomised controlled trial.</w:t>
      </w:r>
      <w:proofErr w:type="gramEnd"/>
      <w:r w:rsidRPr="00EB0599">
        <w:t xml:space="preserve"> </w:t>
      </w:r>
      <w:r w:rsidRPr="00A636FA">
        <w:rPr>
          <w:i/>
          <w:lang w:val="de-DE"/>
        </w:rPr>
        <w:t>BMJ (Online)</w:t>
      </w:r>
      <w:r w:rsidRPr="00A636FA">
        <w:rPr>
          <w:lang w:val="de-DE"/>
        </w:rPr>
        <w:t>, 347(7925).</w:t>
      </w:r>
    </w:p>
    <w:p w:rsidR="00023BF5" w:rsidRDefault="00023BF5" w:rsidP="00023BF5">
      <w:r w:rsidRPr="00023BF5">
        <w:rPr>
          <w:lang w:val="de-DE"/>
        </w:rPr>
        <w:t xml:space="preserve">Sanders, G. D., Anaya, H. D., Asch, S., </w:t>
      </w:r>
      <w:r>
        <w:rPr>
          <w:lang w:val="de-DE"/>
        </w:rPr>
        <w:t>et al</w:t>
      </w:r>
      <w:r w:rsidRPr="00023BF5">
        <w:rPr>
          <w:lang w:val="de-DE"/>
        </w:rPr>
        <w:t xml:space="preserve">. </w:t>
      </w:r>
      <w:r w:rsidRPr="00A636FA">
        <w:t xml:space="preserve">(2010). </w:t>
      </w:r>
      <w:r>
        <w:t xml:space="preserve">Cost-effectiveness of strategies to improve HIV testing and receipt of results: economic analysis of a randomized controlled trial. </w:t>
      </w:r>
      <w:r>
        <w:rPr>
          <w:i/>
          <w:iCs/>
        </w:rPr>
        <w:t>Journal of General Internal Medicine, 25</w:t>
      </w:r>
      <w:r>
        <w:t xml:space="preserve">(6), 556-563. </w:t>
      </w:r>
    </w:p>
    <w:p w:rsidR="00023BF5" w:rsidRDefault="00023BF5" w:rsidP="00023BF5">
      <w:proofErr w:type="spellStart"/>
      <w:r>
        <w:t>Schackman</w:t>
      </w:r>
      <w:proofErr w:type="spellEnd"/>
      <w:r>
        <w:t xml:space="preserve">, B. R., </w:t>
      </w:r>
      <w:proofErr w:type="spellStart"/>
      <w:r>
        <w:t>Metsch</w:t>
      </w:r>
      <w:proofErr w:type="spellEnd"/>
      <w:r>
        <w:t xml:space="preserve">, L. R., Colfax, G. N., et al. (2013). The cost-effectiveness of rapid HIV testing in substance abuse treatment: results of a randomized trial. </w:t>
      </w:r>
      <w:r>
        <w:rPr>
          <w:i/>
          <w:iCs/>
        </w:rPr>
        <w:t>Drug &amp; Alcohol Dependence, 128</w:t>
      </w:r>
      <w:r>
        <w:t xml:space="preserve">(1-2), 90-97. </w:t>
      </w:r>
    </w:p>
    <w:p w:rsidR="006020D4" w:rsidRDefault="006020D4" w:rsidP="009B2072">
      <w:r>
        <w:t>The Seventh National HIV Strategy 2014-2017.  (2014)</w:t>
      </w:r>
      <w:proofErr w:type="gramStart"/>
      <w:r>
        <w:t xml:space="preserve">.  </w:t>
      </w:r>
      <w:proofErr w:type="gramEnd"/>
      <w:r w:rsidR="00D26B32">
        <w:fldChar w:fldCharType="begin"/>
      </w:r>
      <w:r w:rsidR="00D26B32">
        <w:instrText xml:space="preserve"> HYPERLINK "http://www.health.gov.au/internet/main/publishing.nsf/Content/8E87E65EEF535B02CA257BF0001A</w:instrText>
      </w:r>
      <w:r w:rsidR="00D26B32">
        <w:instrText xml:space="preserve">4EB6/$File/HIV-Strategy2014-v3.pdf" \o "The Seventh National HIV Strategy 2014-2017.  (2014).  " </w:instrText>
      </w:r>
      <w:r w:rsidR="00D26B32">
        <w:fldChar w:fldCharType="separate"/>
      </w:r>
      <w:r w:rsidRPr="00B26462">
        <w:rPr>
          <w:rStyle w:val="Hyperlink"/>
        </w:rPr>
        <w:t>http://www.health.gov.au/internet/main/publishing.nsf/Content/8E87E65EEF535B02CA257BF0001A4EB6/$File/HIV-Strategy2014-v3.pdf</w:t>
      </w:r>
      <w:r w:rsidR="00D26B32">
        <w:rPr>
          <w:rStyle w:val="Hyperlink"/>
        </w:rPr>
        <w:fldChar w:fldCharType="end"/>
      </w:r>
      <w:r>
        <w:t xml:space="preserve"> [accessed 12 March 2015].</w:t>
      </w:r>
    </w:p>
    <w:p w:rsidR="00023BF5" w:rsidRDefault="00023BF5" w:rsidP="00023BF5">
      <w:r>
        <w:lastRenderedPageBreak/>
        <w:t xml:space="preserve">Templeton, D. J., Read, P., Varma, R., &amp; Bourne, C. (2014). Australian sexually transmissible infection and HIV testing guidelines for asymptomatic men who have sex with men 2014: a review of the evidence. </w:t>
      </w:r>
      <w:r>
        <w:rPr>
          <w:i/>
          <w:iCs/>
        </w:rPr>
        <w:t>Sexual Health, 11</w:t>
      </w:r>
      <w:r>
        <w:t xml:space="preserve">(3), 217-229. </w:t>
      </w:r>
      <w:proofErr w:type="spellStart"/>
      <w:proofErr w:type="gramStart"/>
      <w:r>
        <w:t>doi</w:t>
      </w:r>
      <w:proofErr w:type="spellEnd"/>
      <w:proofErr w:type="gramEnd"/>
      <w:r>
        <w:t>: http://dx.doi.org/10.1071/SH14003</w:t>
      </w:r>
    </w:p>
    <w:p w:rsidR="00023BF5" w:rsidRDefault="00023BF5" w:rsidP="00023BF5">
      <w:proofErr w:type="gramStart"/>
      <w:r>
        <w:t>Wand, H., Yan, P., Wilson, D., et al. (2010).</w:t>
      </w:r>
      <w:proofErr w:type="gramEnd"/>
      <w:r>
        <w:t xml:space="preserve"> Increasing HIV transmission through male homosexual and heterosexual contact in Australia: results from an extended back-projection approach. </w:t>
      </w:r>
      <w:r>
        <w:rPr>
          <w:i/>
          <w:iCs/>
        </w:rPr>
        <w:t>HIV Medicine, 11</w:t>
      </w:r>
      <w:r>
        <w:t xml:space="preserve">(6), 395-403. </w:t>
      </w:r>
    </w:p>
    <w:p w:rsidR="00923BFB" w:rsidRDefault="00923BFB" w:rsidP="009B2072">
      <w:pPr>
        <w:rPr>
          <w:noProof/>
        </w:rPr>
      </w:pPr>
      <w:r w:rsidRPr="00AA7614">
        <w:rPr>
          <w:noProof/>
        </w:rPr>
        <w:t>Whiting, P</w:t>
      </w:r>
      <w:r>
        <w:rPr>
          <w:noProof/>
        </w:rPr>
        <w:t>.</w:t>
      </w:r>
      <w:r w:rsidR="001D235D">
        <w:rPr>
          <w:noProof/>
        </w:rPr>
        <w:t xml:space="preserve"> </w:t>
      </w:r>
      <w:r w:rsidRPr="00AA7614">
        <w:rPr>
          <w:noProof/>
        </w:rPr>
        <w:t>F</w:t>
      </w:r>
      <w:r>
        <w:rPr>
          <w:noProof/>
        </w:rPr>
        <w:t>.</w:t>
      </w:r>
      <w:r w:rsidRPr="00AA7614">
        <w:rPr>
          <w:noProof/>
        </w:rPr>
        <w:t>, Rutjes, A</w:t>
      </w:r>
      <w:r>
        <w:rPr>
          <w:noProof/>
        </w:rPr>
        <w:t xml:space="preserve">. </w:t>
      </w:r>
      <w:r w:rsidRPr="00AA7614">
        <w:rPr>
          <w:noProof/>
        </w:rPr>
        <w:t>W</w:t>
      </w:r>
      <w:r>
        <w:rPr>
          <w:noProof/>
        </w:rPr>
        <w:t>.</w:t>
      </w:r>
      <w:r w:rsidRPr="00AA7614">
        <w:rPr>
          <w:noProof/>
        </w:rPr>
        <w:t>, Westwood, M</w:t>
      </w:r>
      <w:r>
        <w:rPr>
          <w:noProof/>
        </w:rPr>
        <w:t xml:space="preserve">. </w:t>
      </w:r>
      <w:r w:rsidRPr="00AA7614">
        <w:rPr>
          <w:noProof/>
        </w:rPr>
        <w:t>E</w:t>
      </w:r>
      <w:r>
        <w:rPr>
          <w:noProof/>
        </w:rPr>
        <w:t>.</w:t>
      </w:r>
      <w:r w:rsidRPr="00AA7614">
        <w:rPr>
          <w:noProof/>
        </w:rPr>
        <w:t xml:space="preserve">, </w:t>
      </w:r>
      <w:r>
        <w:rPr>
          <w:noProof/>
        </w:rPr>
        <w:t xml:space="preserve">et al. </w:t>
      </w:r>
      <w:r w:rsidRPr="00AA7614">
        <w:rPr>
          <w:noProof/>
        </w:rPr>
        <w:t xml:space="preserve"> </w:t>
      </w:r>
      <w:r>
        <w:rPr>
          <w:noProof/>
        </w:rPr>
        <w:t>(</w:t>
      </w:r>
      <w:r w:rsidRPr="00AA7614">
        <w:rPr>
          <w:noProof/>
        </w:rPr>
        <w:t>2011</w:t>
      </w:r>
      <w:r>
        <w:rPr>
          <w:noProof/>
        </w:rPr>
        <w:t xml:space="preserve">) </w:t>
      </w:r>
      <w:r w:rsidRPr="00AA7614">
        <w:rPr>
          <w:noProof/>
        </w:rPr>
        <w:t>QUADAS-2: a revised tool for the quality assessment of diagnostic accuracy studies</w:t>
      </w:r>
      <w:r>
        <w:rPr>
          <w:noProof/>
        </w:rPr>
        <w:t xml:space="preserve">. </w:t>
      </w:r>
      <w:r w:rsidRPr="00AA7614">
        <w:rPr>
          <w:noProof/>
        </w:rPr>
        <w:t xml:space="preserve"> </w:t>
      </w:r>
      <w:r w:rsidRPr="00AA7614">
        <w:rPr>
          <w:i/>
          <w:noProof/>
        </w:rPr>
        <w:t>Ann Intern Med</w:t>
      </w:r>
      <w:r w:rsidRPr="00AA7614">
        <w:rPr>
          <w:noProof/>
        </w:rPr>
        <w:t xml:space="preserve">, </w:t>
      </w:r>
      <w:r>
        <w:rPr>
          <w:noProof/>
        </w:rPr>
        <w:t xml:space="preserve">155 (8): </w:t>
      </w:r>
      <w:r w:rsidRPr="00AA7614">
        <w:rPr>
          <w:noProof/>
        </w:rPr>
        <w:t>529-536.</w:t>
      </w:r>
    </w:p>
    <w:p w:rsidR="00023BF5" w:rsidRDefault="00023BF5" w:rsidP="00023BF5">
      <w:r>
        <w:t xml:space="preserve">Wilson, D. (2011). </w:t>
      </w:r>
      <w:proofErr w:type="gramStart"/>
      <w:r>
        <w:t>Undiagnosed HIV in Australia.</w:t>
      </w:r>
      <w:proofErr w:type="gramEnd"/>
      <w:r>
        <w:t xml:space="preserve"> </w:t>
      </w:r>
      <w:r>
        <w:rPr>
          <w:i/>
          <w:iCs/>
        </w:rPr>
        <w:t>Presentation slides</w:t>
      </w:r>
      <w:r>
        <w:t>.</w:t>
      </w:r>
    </w:p>
    <w:p w:rsidR="00023BF5" w:rsidRDefault="00023BF5" w:rsidP="00023BF5">
      <w:r w:rsidRPr="00A636FA">
        <w:t xml:space="preserve">Wilson, D. P., Fairley, C. K., </w:t>
      </w:r>
      <w:proofErr w:type="spellStart"/>
      <w:r w:rsidRPr="00A636FA">
        <w:t>Sankar</w:t>
      </w:r>
      <w:proofErr w:type="spellEnd"/>
      <w:r w:rsidRPr="00A636FA">
        <w:t xml:space="preserve">, D., et al. </w:t>
      </w:r>
      <w:r>
        <w:t xml:space="preserve">(2011). Replacement of conventional HIV testing with rapid testing: mathematical modelling to predict the impact on further HIV transmission between men. </w:t>
      </w:r>
      <w:r>
        <w:rPr>
          <w:i/>
          <w:iCs/>
        </w:rPr>
        <w:t>Sexually Transmitted Infections, 87</w:t>
      </w:r>
      <w:r>
        <w:t xml:space="preserve">(7), 588-593. </w:t>
      </w:r>
    </w:p>
    <w:p w:rsidR="00193B79" w:rsidRPr="00484F13" w:rsidRDefault="00193B79" w:rsidP="009B2072">
      <w:r w:rsidRPr="00174024">
        <w:rPr>
          <w:lang w:val="fr-FR"/>
        </w:rPr>
        <w:t xml:space="preserve">Yang, M., </w:t>
      </w:r>
      <w:proofErr w:type="spellStart"/>
      <w:r w:rsidRPr="00174024">
        <w:rPr>
          <w:lang w:val="fr-FR"/>
        </w:rPr>
        <w:t>Prestage</w:t>
      </w:r>
      <w:proofErr w:type="spellEnd"/>
      <w:r w:rsidRPr="00174024">
        <w:rPr>
          <w:lang w:val="fr-FR"/>
        </w:rPr>
        <w:t xml:space="preserve">, G., </w:t>
      </w:r>
      <w:proofErr w:type="spellStart"/>
      <w:r w:rsidRPr="00174024">
        <w:rPr>
          <w:lang w:val="fr-FR"/>
        </w:rPr>
        <w:t>Maycock</w:t>
      </w:r>
      <w:proofErr w:type="spellEnd"/>
      <w:r w:rsidRPr="00174024">
        <w:rPr>
          <w:lang w:val="fr-FR"/>
        </w:rPr>
        <w:t xml:space="preserve">, B., </w:t>
      </w:r>
      <w:r w:rsidR="00A1053E" w:rsidRPr="00174024">
        <w:rPr>
          <w:lang w:val="fr-FR"/>
        </w:rPr>
        <w:t>et al</w:t>
      </w:r>
      <w:r w:rsidRPr="00174024">
        <w:rPr>
          <w:lang w:val="fr-FR"/>
        </w:rPr>
        <w:t xml:space="preserve">. </w:t>
      </w:r>
      <w:r w:rsidRPr="00193B79">
        <w:t xml:space="preserve">(2014). </w:t>
      </w:r>
      <w:proofErr w:type="gramStart"/>
      <w:r w:rsidRPr="00193B79">
        <w:t>The</w:t>
      </w:r>
      <w:proofErr w:type="gramEnd"/>
      <w:r w:rsidRPr="00193B79">
        <w:t xml:space="preserve"> acceptability of different HIV testing approaches: cross-sectional study among GMSM in Australia. </w:t>
      </w:r>
      <w:r w:rsidRPr="00A1053E">
        <w:rPr>
          <w:i/>
        </w:rPr>
        <w:t>Sexually Transmitted Infections</w:t>
      </w:r>
      <w:r w:rsidRPr="00193B79">
        <w:t>, 90(8), 592-595.</w:t>
      </w:r>
    </w:p>
    <w:sectPr w:rsidR="00193B79" w:rsidRPr="00484F13" w:rsidSect="00347EC2">
      <w:pgSz w:w="11906" w:h="16838"/>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79" w:rsidRDefault="00846D79">
      <w:r>
        <w:separator/>
      </w:r>
    </w:p>
  </w:endnote>
  <w:endnote w:type="continuationSeparator" w:id="0">
    <w:p w:rsidR="00846D79" w:rsidRDefault="0084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pPr>
      <w:pStyle w:val="Footer"/>
      <w:pBdr>
        <w:top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rsidP="00E742A2">
    <w:pPr>
      <w:pStyle w:val="Footer"/>
      <w:pBdr>
        <w:top w:val="none" w:sz="0" w:space="0" w:color="auto"/>
      </w:pBdr>
    </w:pPr>
    <w:r>
      <w:t xml:space="preserve">Created on </w:t>
    </w:r>
    <w:r>
      <w:fldChar w:fldCharType="begin"/>
    </w:r>
    <w:r>
      <w:instrText xml:space="preserve"> CREATEDATE \@ "dd/MM/yyyy h:mm:ss am/pm" </w:instrText>
    </w:r>
    <w:r>
      <w:fldChar w:fldCharType="separate"/>
    </w:r>
    <w:r>
      <w:rPr>
        <w:noProof/>
      </w:rPr>
      <w:t>16/09/2016 11:23:00 AM</w:t>
    </w:r>
    <w:r>
      <w:fldChar w:fldCharType="end"/>
    </w:r>
    <w:r w:rsidR="00D26B32">
      <w:fldChar w:fldCharType="begin"/>
    </w:r>
    <w:r w:rsidR="00D26B32">
      <w:instrText xml:space="preserve"> FILENAME \p </w:instrText>
    </w:r>
    <w:r w:rsidR="00D26B32">
      <w:fldChar w:fldCharType="separate"/>
    </w:r>
    <w:r>
      <w:rPr>
        <w:noProof/>
      </w:rPr>
      <w:t>S:\CO\MBD\MFAB\MSAC\WEBSITE - MSAC\Development and Admin- Security, goals, sos\MSAC Website Redevelopment\Attachment Migration\1391\1391-Assessment Report.docx</w:t>
    </w:r>
    <w:r w:rsidR="00D26B32">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Pr="00C843FF" w:rsidRDefault="00846D79" w:rsidP="00BA1043">
    <w:pPr>
      <w:pStyle w:val="Footer"/>
      <w:pBdr>
        <w:top w:val="single" w:sz="4" w:space="1" w:color="auto"/>
      </w:pBdr>
      <w:tabs>
        <w:tab w:val="clear" w:pos="9000"/>
        <w:tab w:val="left" w:pos="630"/>
        <w:tab w:val="left" w:pos="3402"/>
        <w:tab w:val="left" w:pos="6691"/>
        <w:tab w:val="left" w:pos="7088"/>
        <w:tab w:val="left" w:pos="9001"/>
        <w:tab w:val="right" w:pos="9072"/>
      </w:tabs>
      <w:ind w:left="3404" w:right="95" w:hanging="2760"/>
      <w:jc w:val="both"/>
      <w:rPr>
        <w:rFonts w:cs="Arial"/>
      </w:rPr>
    </w:pPr>
    <w:r>
      <w:rPr>
        <w:rStyle w:val="PageNumber"/>
        <w:rFonts w:ascii="Arial" w:hAnsi="Arial" w:cs="Arial"/>
        <w:b/>
        <w:sz w:val="20"/>
      </w:rPr>
      <w:t xml:space="preserve">Page </w:t>
    </w:r>
    <w:r w:rsidRPr="000B0364">
      <w:rPr>
        <w:rStyle w:val="PageNumber"/>
        <w:rFonts w:ascii="Arial" w:hAnsi="Arial" w:cs="Arial"/>
        <w:b/>
        <w:sz w:val="20"/>
      </w:rPr>
      <w:fldChar w:fldCharType="begin"/>
    </w:r>
    <w:r w:rsidRPr="000B0364">
      <w:rPr>
        <w:rStyle w:val="PageNumber"/>
        <w:rFonts w:ascii="Arial" w:hAnsi="Arial" w:cs="Arial"/>
        <w:b/>
        <w:sz w:val="20"/>
      </w:rPr>
      <w:instrText xml:space="preserve"> PAGE </w:instrText>
    </w:r>
    <w:r w:rsidRPr="000B0364">
      <w:rPr>
        <w:rStyle w:val="PageNumber"/>
        <w:rFonts w:ascii="Arial" w:hAnsi="Arial" w:cs="Arial"/>
        <w:b/>
        <w:sz w:val="20"/>
      </w:rPr>
      <w:fldChar w:fldCharType="separate"/>
    </w:r>
    <w:r w:rsidR="00D26B32">
      <w:rPr>
        <w:rStyle w:val="PageNumber"/>
        <w:rFonts w:ascii="Arial" w:hAnsi="Arial" w:cs="Arial"/>
        <w:b/>
        <w:noProof/>
        <w:sz w:val="20"/>
      </w:rPr>
      <w:t>24</w:t>
    </w:r>
    <w:r w:rsidRPr="000B0364">
      <w:rPr>
        <w:rStyle w:val="PageNumber"/>
        <w:rFonts w:ascii="Arial" w:hAnsi="Arial" w:cs="Arial"/>
        <w:b/>
        <w:sz w:val="20"/>
      </w:rPr>
      <w:fldChar w:fldCharType="end"/>
    </w:r>
    <w:r>
      <w:rPr>
        <w:rStyle w:val="PageNumber"/>
        <w:rFonts w:ascii="Arial" w:hAnsi="Arial" w:cs="Arial"/>
        <w:b/>
        <w:sz w:val="20"/>
      </w:rPr>
      <w:t xml:space="preserve"> of </w:t>
    </w:r>
    <w:r w:rsidRPr="00894FB1">
      <w:rPr>
        <w:rStyle w:val="PageNumber"/>
        <w:rFonts w:ascii="Arial" w:hAnsi="Arial" w:cs="Arial"/>
        <w:b/>
        <w:sz w:val="20"/>
      </w:rPr>
      <w:fldChar w:fldCharType="begin"/>
    </w:r>
    <w:r w:rsidRPr="00894FB1">
      <w:rPr>
        <w:rStyle w:val="PageNumber"/>
        <w:rFonts w:ascii="Arial" w:hAnsi="Arial" w:cs="Arial"/>
        <w:b/>
        <w:sz w:val="20"/>
      </w:rPr>
      <w:instrText xml:space="preserve"> NUMPAGES </w:instrText>
    </w:r>
    <w:r w:rsidRPr="00894FB1">
      <w:rPr>
        <w:rStyle w:val="PageNumber"/>
        <w:rFonts w:ascii="Arial" w:hAnsi="Arial" w:cs="Arial"/>
        <w:b/>
        <w:sz w:val="20"/>
      </w:rPr>
      <w:fldChar w:fldCharType="separate"/>
    </w:r>
    <w:r w:rsidR="00D26B32">
      <w:rPr>
        <w:rStyle w:val="PageNumber"/>
        <w:rFonts w:ascii="Arial" w:hAnsi="Arial" w:cs="Arial"/>
        <w:b/>
        <w:noProof/>
        <w:sz w:val="20"/>
      </w:rPr>
      <w:t>102</w:t>
    </w:r>
    <w:r w:rsidRPr="00894FB1">
      <w:rPr>
        <w:rStyle w:val="PageNumber"/>
        <w:rFonts w:ascii="Arial" w:hAnsi="Arial" w:cs="Arial"/>
        <w:b/>
        <w:sz w:val="20"/>
      </w:rPr>
      <w:fldChar w:fldCharType="end"/>
    </w:r>
    <w:r w:rsidRPr="000B0364">
      <w:rPr>
        <w:rStyle w:val="PageNumber"/>
        <w:rFonts w:ascii="Arial" w:hAnsi="Arial" w:cs="Arial"/>
        <w:b/>
        <w:sz w:val="20"/>
      </w:rPr>
      <w:tab/>
    </w:r>
    <w:r>
      <w:t>Rapid point-of-care combined Antigen/</w:t>
    </w:r>
    <w:r>
      <w:rPr>
        <w:caps/>
      </w:rPr>
      <w:t>a</w:t>
    </w:r>
    <w:r>
      <w:t>ntibody</w:t>
    </w:r>
    <w:r>
      <w:rPr>
        <w:caps/>
      </w:rPr>
      <w:t xml:space="preserve"> </w:t>
    </w:r>
    <w:r>
      <w:t>HIV test to aid in the diagnosis of HIV infection, MSAC 1391</w:t>
    </w:r>
    <w:r>
      <w:rPr>
        <w:rFonts w:cs="Arial"/>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Pr="00C843FF" w:rsidRDefault="00846D79" w:rsidP="00BA1043">
    <w:pPr>
      <w:pStyle w:val="Footer"/>
      <w:pBdr>
        <w:top w:val="single" w:sz="4" w:space="1" w:color="auto"/>
      </w:pBdr>
      <w:tabs>
        <w:tab w:val="left" w:pos="3402"/>
        <w:tab w:val="left" w:pos="6804"/>
      </w:tabs>
      <w:rPr>
        <w:rStyle w:val="PageNumber"/>
        <w:rFonts w:ascii="Arial" w:hAnsi="Arial" w:cs="Arial"/>
        <w:sz w:val="20"/>
      </w:rPr>
    </w:pPr>
    <w:r>
      <w:t>Rapid point-of-care combined Antigen/</w:t>
    </w:r>
    <w:r>
      <w:rPr>
        <w:caps/>
      </w:rPr>
      <w:t>a</w:t>
    </w:r>
    <w:r>
      <w:t>ntibody</w:t>
    </w:r>
    <w:r>
      <w:rPr>
        <w:caps/>
      </w:rPr>
      <w:t xml:space="preserve"> </w:t>
    </w:r>
    <w:r>
      <w:t>HIV test to aid in the diagnosis of HIV infection, MSAC 1391</w:t>
    </w:r>
    <w:r>
      <w:rPr>
        <w:rFonts w:cs="Arial"/>
      </w:rPr>
      <w:t>.</w:t>
    </w:r>
    <w:r w:rsidRPr="009A3655">
      <w:rPr>
        <w:rFonts w:cs="Arial"/>
      </w:rPr>
      <w:tab/>
    </w:r>
    <w:r w:rsidRPr="00C843FF">
      <w:rPr>
        <w:rStyle w:val="PageNumber"/>
        <w:rFonts w:ascii="Arial" w:hAnsi="Arial" w:cs="Arial"/>
        <w:sz w:val="20"/>
      </w:rPr>
      <w:tab/>
    </w:r>
    <w:r>
      <w:rPr>
        <w:rStyle w:val="PageNumber"/>
        <w:rFonts w:ascii="Arial" w:hAnsi="Arial" w:cs="Arial"/>
        <w:sz w:val="20"/>
      </w:rPr>
      <w:tab/>
    </w:r>
    <w:r w:rsidRPr="00C843FF">
      <w:rPr>
        <w:rStyle w:val="PageNumber"/>
        <w:rFonts w:ascii="Arial" w:hAnsi="Arial" w:cs="Arial"/>
        <w:sz w:val="20"/>
      </w:rPr>
      <w:fldChar w:fldCharType="begin"/>
    </w:r>
    <w:r w:rsidRPr="00C843FF">
      <w:rPr>
        <w:rStyle w:val="PageNumber"/>
        <w:rFonts w:ascii="Arial" w:hAnsi="Arial" w:cs="Arial"/>
        <w:sz w:val="20"/>
      </w:rPr>
      <w:instrText xml:space="preserve"> PAGE </w:instrText>
    </w:r>
    <w:r w:rsidRPr="00C843FF">
      <w:rPr>
        <w:rStyle w:val="PageNumber"/>
        <w:rFonts w:ascii="Arial" w:hAnsi="Arial" w:cs="Arial"/>
        <w:sz w:val="20"/>
      </w:rPr>
      <w:fldChar w:fldCharType="separate"/>
    </w:r>
    <w:r w:rsidR="00D26B32">
      <w:rPr>
        <w:rStyle w:val="PageNumber"/>
        <w:rFonts w:ascii="Arial" w:hAnsi="Arial" w:cs="Arial"/>
        <w:noProof/>
        <w:sz w:val="20"/>
      </w:rPr>
      <w:t>xiii</w:t>
    </w:r>
    <w:r w:rsidRPr="00C843FF">
      <w:rPr>
        <w:rStyle w:val="PageNumber"/>
        <w:rFonts w:ascii="Arial" w:hAnsi="Arial" w:cs="Arial"/>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Pr="00730C7A" w:rsidRDefault="00846D79" w:rsidP="00174024">
    <w:pPr>
      <w:pStyle w:val="Footer"/>
      <w:pBdr>
        <w:top w:val="single" w:sz="4" w:space="0" w:color="auto"/>
      </w:pBdr>
      <w:tabs>
        <w:tab w:val="clear" w:pos="9000"/>
        <w:tab w:val="left" w:pos="-14"/>
        <w:tab w:val="left" w:pos="3402"/>
        <w:tab w:val="left" w:pos="7371"/>
        <w:tab w:val="right" w:pos="9043"/>
        <w:tab w:val="right" w:pos="13998"/>
      </w:tabs>
      <w:ind w:left="0"/>
      <w:rPr>
        <w:rStyle w:val="PageNumber"/>
      </w:rPr>
    </w:pPr>
    <w:r>
      <w:t>Rapid point-of-care combined Antigen/</w:t>
    </w:r>
    <w:r>
      <w:rPr>
        <w:caps/>
      </w:rPr>
      <w:t>a</w:t>
    </w:r>
    <w:r>
      <w:t>ntibody</w:t>
    </w:r>
    <w:r>
      <w:rPr>
        <w:caps/>
      </w:rPr>
      <w:t xml:space="preserve"> </w:t>
    </w:r>
    <w:r>
      <w:t>HIV test to aid in the diagnosis of HIV infection, MSAC 1391</w:t>
    </w:r>
    <w:r>
      <w:rPr>
        <w:rFonts w:cs="Arial"/>
      </w:rPr>
      <w:t>.</w:t>
    </w:r>
    <w:r w:rsidRPr="009A3655">
      <w:rPr>
        <w:rFonts w:cs="Arial"/>
      </w:rPr>
      <w:tab/>
    </w:r>
    <w:r>
      <w:tab/>
    </w:r>
    <w:r>
      <w:tab/>
    </w: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D26B32">
      <w:rPr>
        <w:noProof/>
        <w:snapToGrid w:val="0"/>
        <w:lang w:eastAsia="en-US"/>
      </w:rPr>
      <w:t>23</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D26B32">
      <w:rPr>
        <w:noProof/>
        <w:snapToGrid w:val="0"/>
        <w:lang w:eastAsia="en-US"/>
      </w:rPr>
      <w:t>102</w:t>
    </w:r>
    <w:r>
      <w:rPr>
        <w:snapToGrid w:val="0"/>
        <w:lang w:eastAsia="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rsidP="00BA1043">
    <w:pPr>
      <w:pStyle w:val="Footer"/>
      <w:pBdr>
        <w:top w:val="single" w:sz="4" w:space="1" w:color="auto"/>
      </w:pBdr>
      <w:tabs>
        <w:tab w:val="clear" w:pos="9000"/>
        <w:tab w:val="left" w:pos="3402"/>
        <w:tab w:val="right" w:pos="6804"/>
      </w:tabs>
      <w:jc w:val="both"/>
      <w:rPr>
        <w:rFonts w:cs="Arial"/>
      </w:rPr>
    </w:pPr>
    <w:r>
      <w:t>Rapid point-of-care combined Antigen/</w:t>
    </w:r>
    <w:r>
      <w:rPr>
        <w:caps/>
      </w:rPr>
      <w:t>a</w:t>
    </w:r>
    <w:r>
      <w:t>ntibody</w:t>
    </w:r>
    <w:r>
      <w:rPr>
        <w:caps/>
      </w:rPr>
      <w:t xml:space="preserve"> </w:t>
    </w:r>
    <w:r>
      <w:t>HIV test to aid in the diagnosis of HIV infection, MSAC 1391</w:t>
    </w:r>
    <w:r>
      <w:rPr>
        <w:rFonts w:cs="Arial"/>
      </w:rPr>
      <w:t>.</w:t>
    </w:r>
  </w:p>
  <w:p w:rsidR="00846D79" w:rsidRPr="009A3655" w:rsidRDefault="00846D79" w:rsidP="00BA1043">
    <w:pPr>
      <w:pStyle w:val="Footer"/>
      <w:pBdr>
        <w:top w:val="single" w:sz="4" w:space="1" w:color="auto"/>
      </w:pBdr>
      <w:tabs>
        <w:tab w:val="clear" w:pos="9000"/>
        <w:tab w:val="left" w:pos="3402"/>
        <w:tab w:val="right" w:pos="6804"/>
      </w:tabs>
      <w:jc w:val="both"/>
      <w:rPr>
        <w:rStyle w:val="PageNumber"/>
        <w:rFonts w:ascii="Arial" w:hAnsi="Arial" w:cs="Arial"/>
        <w:sz w:val="20"/>
      </w:rPr>
    </w:pPr>
    <w:r w:rsidRPr="009A3655">
      <w:rPr>
        <w:rStyle w:val="PageNumber"/>
        <w:rFonts w:ascii="Arial" w:hAnsi="Arial" w:cs="Arial"/>
        <w:snapToGrid w:val="0"/>
        <w:sz w:val="20"/>
        <w:lang w:eastAsia="en-US"/>
      </w:rPr>
      <w:t xml:space="preserve"> Page </w:t>
    </w:r>
    <w:r w:rsidRPr="009A3655">
      <w:rPr>
        <w:rStyle w:val="PageNumber"/>
        <w:rFonts w:ascii="Arial" w:hAnsi="Arial" w:cs="Arial"/>
        <w:snapToGrid w:val="0"/>
        <w:sz w:val="20"/>
        <w:lang w:eastAsia="en-US"/>
      </w:rPr>
      <w:fldChar w:fldCharType="begin"/>
    </w:r>
    <w:r w:rsidRPr="009A3655">
      <w:rPr>
        <w:rStyle w:val="PageNumber"/>
        <w:rFonts w:ascii="Arial" w:hAnsi="Arial" w:cs="Arial"/>
        <w:snapToGrid w:val="0"/>
        <w:sz w:val="20"/>
        <w:lang w:eastAsia="en-US"/>
      </w:rPr>
      <w:instrText xml:space="preserve"> PAGE </w:instrText>
    </w:r>
    <w:r w:rsidRPr="009A3655">
      <w:rPr>
        <w:rStyle w:val="PageNumber"/>
        <w:rFonts w:ascii="Arial" w:hAnsi="Arial" w:cs="Arial"/>
        <w:snapToGrid w:val="0"/>
        <w:sz w:val="20"/>
        <w:lang w:eastAsia="en-US"/>
      </w:rPr>
      <w:fldChar w:fldCharType="separate"/>
    </w:r>
    <w:r w:rsidR="00D26B32">
      <w:rPr>
        <w:rStyle w:val="PageNumber"/>
        <w:rFonts w:ascii="Arial" w:hAnsi="Arial" w:cs="Arial"/>
        <w:noProof/>
        <w:snapToGrid w:val="0"/>
        <w:sz w:val="20"/>
        <w:lang w:eastAsia="en-US"/>
      </w:rPr>
      <w:t>41</w:t>
    </w:r>
    <w:r w:rsidRPr="009A3655">
      <w:rPr>
        <w:rStyle w:val="PageNumber"/>
        <w:rFonts w:ascii="Arial" w:hAnsi="Arial" w:cs="Arial"/>
        <w:snapToGrid w:val="0"/>
        <w:sz w:val="20"/>
        <w:lang w:eastAsia="en-US"/>
      </w:rPr>
      <w:fldChar w:fldCharType="end"/>
    </w:r>
    <w:r w:rsidRPr="009A3655">
      <w:rPr>
        <w:rStyle w:val="PageNumber"/>
        <w:rFonts w:ascii="Arial" w:hAnsi="Arial" w:cs="Arial"/>
        <w:snapToGrid w:val="0"/>
        <w:sz w:val="20"/>
        <w:lang w:eastAsia="en-US"/>
      </w:rPr>
      <w:t xml:space="preserve"> of </w:t>
    </w:r>
    <w:r w:rsidRPr="009A3655">
      <w:rPr>
        <w:rStyle w:val="PageNumber"/>
        <w:rFonts w:ascii="Arial" w:hAnsi="Arial" w:cs="Arial"/>
        <w:snapToGrid w:val="0"/>
        <w:sz w:val="20"/>
        <w:lang w:eastAsia="en-US"/>
      </w:rPr>
      <w:fldChar w:fldCharType="begin"/>
    </w:r>
    <w:r w:rsidRPr="009A3655">
      <w:rPr>
        <w:rStyle w:val="PageNumber"/>
        <w:rFonts w:ascii="Arial" w:hAnsi="Arial" w:cs="Arial"/>
        <w:snapToGrid w:val="0"/>
        <w:sz w:val="20"/>
        <w:lang w:eastAsia="en-US"/>
      </w:rPr>
      <w:instrText xml:space="preserve"> NUMPAGES </w:instrText>
    </w:r>
    <w:r w:rsidRPr="009A3655">
      <w:rPr>
        <w:rStyle w:val="PageNumber"/>
        <w:rFonts w:ascii="Arial" w:hAnsi="Arial" w:cs="Arial"/>
        <w:snapToGrid w:val="0"/>
        <w:sz w:val="20"/>
        <w:lang w:eastAsia="en-US"/>
      </w:rPr>
      <w:fldChar w:fldCharType="separate"/>
    </w:r>
    <w:r w:rsidR="00D26B32">
      <w:rPr>
        <w:rStyle w:val="PageNumber"/>
        <w:rFonts w:ascii="Arial" w:hAnsi="Arial" w:cs="Arial"/>
        <w:noProof/>
        <w:snapToGrid w:val="0"/>
        <w:sz w:val="20"/>
        <w:lang w:eastAsia="en-US"/>
      </w:rPr>
      <w:t>102</w:t>
    </w:r>
    <w:r w:rsidRPr="009A3655">
      <w:rPr>
        <w:rStyle w:val="PageNumber"/>
        <w:rFonts w:ascii="Arial" w:hAnsi="Arial" w:cs="Arial"/>
        <w:snapToGrid w:val="0"/>
        <w:sz w:val="20"/>
        <w:lang w:eastAsia="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Pr="009A3655" w:rsidRDefault="00846D79" w:rsidP="00BA1043">
    <w:pPr>
      <w:pStyle w:val="Footer"/>
      <w:pBdr>
        <w:top w:val="single" w:sz="4" w:space="1" w:color="auto"/>
      </w:pBdr>
      <w:tabs>
        <w:tab w:val="clear" w:pos="9000"/>
        <w:tab w:val="left" w:pos="3402"/>
        <w:tab w:val="right" w:pos="6804"/>
        <w:tab w:val="right" w:pos="9072"/>
      </w:tabs>
      <w:rPr>
        <w:rStyle w:val="PageNumber"/>
        <w:rFonts w:ascii="Arial" w:hAnsi="Arial" w:cs="Arial"/>
        <w:sz w:val="20"/>
      </w:rPr>
    </w:pPr>
    <w:r>
      <w:t>Rapid point-of-care combined Antigen/</w:t>
    </w:r>
    <w:r>
      <w:rPr>
        <w:caps/>
      </w:rPr>
      <w:t>a</w:t>
    </w:r>
    <w:r>
      <w:t>ntibody</w:t>
    </w:r>
    <w:r>
      <w:rPr>
        <w:caps/>
      </w:rPr>
      <w:t xml:space="preserve"> </w:t>
    </w:r>
    <w:r>
      <w:t>HIV test to aid in the diagnosis of HIV infection, MSAC 1391</w:t>
    </w:r>
    <w:r>
      <w:rPr>
        <w:rFonts w:cs="Arial"/>
      </w:rPr>
      <w:t>.</w:t>
    </w:r>
    <w:r w:rsidRPr="009A3655">
      <w:rPr>
        <w:rFonts w:cs="Arial"/>
      </w:rPr>
      <w:tab/>
    </w:r>
    <w:r>
      <w:rPr>
        <w:rFonts w:cs="Arial"/>
      </w:rPr>
      <w:tab/>
    </w:r>
    <w:r w:rsidRPr="009A3655">
      <w:rPr>
        <w:rFonts w:cs="Arial"/>
      </w:rPr>
      <w:tab/>
    </w:r>
    <w:r w:rsidRPr="00014EC1">
      <w:rPr>
        <w:rFonts w:cs="Arial"/>
      </w:rPr>
      <w:t xml:space="preserve">Page </w:t>
    </w:r>
    <w:r w:rsidRPr="00014EC1">
      <w:rPr>
        <w:rFonts w:cs="Arial"/>
      </w:rPr>
      <w:fldChar w:fldCharType="begin"/>
    </w:r>
    <w:r w:rsidRPr="00014EC1">
      <w:rPr>
        <w:rFonts w:cs="Arial"/>
      </w:rPr>
      <w:instrText xml:space="preserve"> PAGE </w:instrText>
    </w:r>
    <w:r w:rsidRPr="00014EC1">
      <w:rPr>
        <w:rFonts w:cs="Arial"/>
      </w:rPr>
      <w:fldChar w:fldCharType="separate"/>
    </w:r>
    <w:r w:rsidR="00D26B32">
      <w:rPr>
        <w:rFonts w:cs="Arial"/>
        <w:noProof/>
      </w:rPr>
      <w:t>69</w:t>
    </w:r>
    <w:r w:rsidRPr="00014EC1">
      <w:rPr>
        <w:rFonts w:cs="Arial"/>
      </w:rPr>
      <w:fldChar w:fldCharType="end"/>
    </w:r>
    <w:r w:rsidRPr="00014EC1">
      <w:rPr>
        <w:rFonts w:cs="Arial"/>
      </w:rPr>
      <w:t xml:space="preserve"> of </w:t>
    </w:r>
    <w:r w:rsidRPr="00014EC1">
      <w:rPr>
        <w:rFonts w:cs="Arial"/>
      </w:rPr>
      <w:fldChar w:fldCharType="begin"/>
    </w:r>
    <w:r w:rsidRPr="00014EC1">
      <w:rPr>
        <w:rFonts w:cs="Arial"/>
      </w:rPr>
      <w:instrText xml:space="preserve"> NUMPAGES </w:instrText>
    </w:r>
    <w:r w:rsidRPr="00014EC1">
      <w:rPr>
        <w:rFonts w:cs="Arial"/>
      </w:rPr>
      <w:fldChar w:fldCharType="separate"/>
    </w:r>
    <w:r w:rsidR="00D26B32">
      <w:rPr>
        <w:rFonts w:cs="Arial"/>
        <w:noProof/>
      </w:rPr>
      <w:t>102</w:t>
    </w:r>
    <w:r w:rsidRPr="00014EC1">
      <w:rPr>
        <w:rFonts w:cs="Aria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Pr="00F568FA" w:rsidRDefault="00846D79" w:rsidP="00BA1043">
    <w:pPr>
      <w:pStyle w:val="Footer"/>
      <w:pBdr>
        <w:top w:val="single" w:sz="4" w:space="1" w:color="auto"/>
      </w:pBdr>
      <w:tabs>
        <w:tab w:val="clear" w:pos="9000"/>
        <w:tab w:val="left" w:pos="714"/>
        <w:tab w:val="left" w:pos="3402"/>
        <w:tab w:val="left" w:pos="6521"/>
        <w:tab w:val="right" w:pos="9043"/>
      </w:tabs>
      <w:ind w:left="3969" w:hanging="3260"/>
      <w:jc w:val="both"/>
      <w:rPr>
        <w:rStyle w:val="PageNumber"/>
        <w:rFonts w:ascii="Arial" w:hAnsi="Arial" w:cs="Arial"/>
        <w:b/>
        <w:sz w:val="20"/>
      </w:rPr>
    </w:pPr>
    <w:r w:rsidRPr="00F568FA">
      <w:rPr>
        <w:rStyle w:val="PageNumber"/>
        <w:rFonts w:ascii="Arial" w:hAnsi="Arial" w:cs="Arial"/>
        <w:b/>
        <w:snapToGrid w:val="0"/>
        <w:sz w:val="20"/>
        <w:lang w:eastAsia="en-US"/>
      </w:rPr>
      <w:t xml:space="preserve">Page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PAGE </w:instrText>
    </w:r>
    <w:r w:rsidRPr="00F568FA">
      <w:rPr>
        <w:rStyle w:val="PageNumber"/>
        <w:rFonts w:ascii="Arial" w:hAnsi="Arial" w:cs="Arial"/>
        <w:b/>
        <w:snapToGrid w:val="0"/>
        <w:sz w:val="20"/>
        <w:lang w:eastAsia="en-US"/>
      </w:rPr>
      <w:fldChar w:fldCharType="separate"/>
    </w:r>
    <w:r w:rsidR="00D26B32">
      <w:rPr>
        <w:rStyle w:val="PageNumber"/>
        <w:rFonts w:ascii="Arial" w:hAnsi="Arial" w:cs="Arial"/>
        <w:b/>
        <w:noProof/>
        <w:snapToGrid w:val="0"/>
        <w:sz w:val="20"/>
        <w:lang w:eastAsia="en-US"/>
      </w:rPr>
      <w:t>70</w:t>
    </w:r>
    <w:r w:rsidRPr="00F568FA">
      <w:rPr>
        <w:rStyle w:val="PageNumber"/>
        <w:rFonts w:ascii="Arial" w:hAnsi="Arial" w:cs="Arial"/>
        <w:b/>
        <w:snapToGrid w:val="0"/>
        <w:sz w:val="20"/>
        <w:lang w:eastAsia="en-US"/>
      </w:rPr>
      <w:fldChar w:fldCharType="end"/>
    </w:r>
    <w:r w:rsidRPr="00F568FA">
      <w:rPr>
        <w:rStyle w:val="PageNumber"/>
        <w:rFonts w:ascii="Arial" w:hAnsi="Arial" w:cs="Arial"/>
        <w:b/>
        <w:snapToGrid w:val="0"/>
        <w:sz w:val="20"/>
        <w:lang w:eastAsia="en-US"/>
      </w:rPr>
      <w:t xml:space="preserve"> of </w:t>
    </w:r>
    <w:r w:rsidRPr="00F568FA">
      <w:rPr>
        <w:rStyle w:val="PageNumber"/>
        <w:rFonts w:ascii="Arial" w:hAnsi="Arial" w:cs="Arial"/>
        <w:b/>
        <w:snapToGrid w:val="0"/>
        <w:sz w:val="20"/>
        <w:lang w:eastAsia="en-US"/>
      </w:rPr>
      <w:fldChar w:fldCharType="begin"/>
    </w:r>
    <w:r w:rsidRPr="00F568FA">
      <w:rPr>
        <w:rStyle w:val="PageNumber"/>
        <w:rFonts w:ascii="Arial" w:hAnsi="Arial" w:cs="Arial"/>
        <w:b/>
        <w:snapToGrid w:val="0"/>
        <w:sz w:val="20"/>
        <w:lang w:eastAsia="en-US"/>
      </w:rPr>
      <w:instrText xml:space="preserve"> NUMPAGES </w:instrText>
    </w:r>
    <w:r w:rsidRPr="00F568FA">
      <w:rPr>
        <w:rStyle w:val="PageNumber"/>
        <w:rFonts w:ascii="Arial" w:hAnsi="Arial" w:cs="Arial"/>
        <w:b/>
        <w:snapToGrid w:val="0"/>
        <w:sz w:val="20"/>
        <w:lang w:eastAsia="en-US"/>
      </w:rPr>
      <w:fldChar w:fldCharType="separate"/>
    </w:r>
    <w:r w:rsidR="00D26B32">
      <w:rPr>
        <w:rStyle w:val="PageNumber"/>
        <w:rFonts w:ascii="Arial" w:hAnsi="Arial" w:cs="Arial"/>
        <w:b/>
        <w:noProof/>
        <w:snapToGrid w:val="0"/>
        <w:sz w:val="20"/>
        <w:lang w:eastAsia="en-US"/>
      </w:rPr>
      <w:t>102</w:t>
    </w:r>
    <w:r w:rsidRPr="00F568FA">
      <w:rPr>
        <w:rStyle w:val="PageNumber"/>
        <w:rFonts w:ascii="Arial" w:hAnsi="Arial" w:cs="Arial"/>
        <w:b/>
        <w:snapToGrid w:val="0"/>
        <w:sz w:val="20"/>
        <w:lang w:eastAsia="en-US"/>
      </w:rPr>
      <w:fldChar w:fldCharType="end"/>
    </w:r>
    <w:r w:rsidRPr="00F568FA">
      <w:rPr>
        <w:rStyle w:val="PageNumber"/>
        <w:rFonts w:ascii="Arial" w:hAnsi="Arial" w:cs="Arial"/>
        <w:b/>
        <w:sz w:val="20"/>
      </w:rPr>
      <w:tab/>
    </w:r>
    <w:r>
      <w:t>Rapid point-of-care combined Antigen/</w:t>
    </w:r>
    <w:r>
      <w:rPr>
        <w:caps/>
      </w:rPr>
      <w:t>a</w:t>
    </w:r>
    <w:r>
      <w:t>ntibody</w:t>
    </w:r>
    <w:r>
      <w:rPr>
        <w:caps/>
      </w:rPr>
      <w:t xml:space="preserve"> </w:t>
    </w:r>
    <w:r>
      <w:t>HIV test to aid in the diagnosis of HIV infection, MSAC 1391</w:t>
    </w:r>
    <w:r>
      <w:rPr>
        <w:rFonts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79" w:rsidRDefault="00846D79">
      <w:r>
        <w:separator/>
      </w:r>
    </w:p>
  </w:footnote>
  <w:footnote w:type="continuationSeparator" w:id="0">
    <w:p w:rsidR="00846D79" w:rsidRDefault="00846D79">
      <w:r>
        <w:continuationSeparator/>
      </w:r>
    </w:p>
  </w:footnote>
  <w:footnote w:id="1">
    <w:p w:rsidR="00846D79" w:rsidRPr="00865352" w:rsidRDefault="00846D79" w:rsidP="00865352">
      <w:pPr>
        <w:pStyle w:val="FootnoteText"/>
        <w:spacing w:after="0"/>
        <w:rPr>
          <w:rFonts w:ascii="Arial Narrow" w:hAnsi="Arial Narrow"/>
        </w:rPr>
      </w:pPr>
      <w:r w:rsidRPr="00865352">
        <w:rPr>
          <w:rStyle w:val="FootnoteReference"/>
          <w:rFonts w:ascii="Arial Narrow" w:hAnsi="Arial Narrow"/>
        </w:rPr>
        <w:footnoteRef/>
      </w:r>
      <w:r w:rsidRPr="00865352">
        <w:rPr>
          <w:rFonts w:ascii="Arial Narrow" w:hAnsi="Arial Narrow"/>
        </w:rPr>
        <w:t xml:space="preserve"> (1) Repeatedly reactive result on a screening test for HIV antibody followed by a positive result on a </w:t>
      </w:r>
      <w:r>
        <w:rPr>
          <w:rFonts w:ascii="Arial Narrow" w:hAnsi="Arial Narrow"/>
        </w:rPr>
        <w:t>W</w:t>
      </w:r>
      <w:r w:rsidRPr="00865352">
        <w:rPr>
          <w:rFonts w:ascii="Arial Narrow" w:hAnsi="Arial Narrow"/>
        </w:rPr>
        <w:t xml:space="preserve">estern </w:t>
      </w:r>
      <w:r>
        <w:rPr>
          <w:rFonts w:ascii="Arial Narrow" w:hAnsi="Arial Narrow"/>
        </w:rPr>
        <w:t>Blot. A positive result on a W</w:t>
      </w:r>
      <w:r w:rsidRPr="00865352">
        <w:rPr>
          <w:rFonts w:ascii="Arial Narrow" w:hAnsi="Arial Narrow"/>
        </w:rPr>
        <w:t xml:space="preserve">estern </w:t>
      </w:r>
      <w:r>
        <w:rPr>
          <w:rFonts w:ascii="Arial Narrow" w:hAnsi="Arial Narrow"/>
        </w:rPr>
        <w:t>B</w:t>
      </w:r>
      <w:r w:rsidRPr="00865352">
        <w:rPr>
          <w:rFonts w:ascii="Arial Narrow" w:hAnsi="Arial Narrow"/>
        </w:rPr>
        <w:t xml:space="preserve">lot is defined by the presence of a glycoprotein band (gp41, gp120 or gp160) and at least three other HIV-specific bands OR (2) Detection of HIV by at least two </w:t>
      </w:r>
      <w:proofErr w:type="spellStart"/>
      <w:r w:rsidRPr="00865352">
        <w:rPr>
          <w:rFonts w:ascii="Arial Narrow" w:hAnsi="Arial Narrow"/>
        </w:rPr>
        <w:t>virologic</w:t>
      </w:r>
      <w:proofErr w:type="spellEnd"/>
      <w:r w:rsidRPr="00865352">
        <w:rPr>
          <w:rFonts w:ascii="Arial Narrow" w:hAnsi="Arial Narrow"/>
        </w:rPr>
        <w:t xml:space="preserve"> assays (nucleic acid testing for </w:t>
      </w:r>
      <w:proofErr w:type="spellStart"/>
      <w:r w:rsidRPr="00865352">
        <w:rPr>
          <w:rFonts w:ascii="Arial Narrow" w:hAnsi="Arial Narrow"/>
        </w:rPr>
        <w:t>proviral</w:t>
      </w:r>
      <w:proofErr w:type="spellEnd"/>
      <w:r w:rsidRPr="00865352">
        <w:rPr>
          <w:rFonts w:ascii="Arial Narrow" w:hAnsi="Arial Narrow"/>
        </w:rPr>
        <w:t xml:space="preserve"> DNA; HIV p24 antigen, with neutralisation; virus isolation) performed on at least two separate blood samples. Available from: </w:t>
      </w:r>
      <w:hyperlink r:id="rId1" w:tooltip="Department of Health HPV information for consumers" w:history="1">
        <w:r w:rsidRPr="00865352">
          <w:rPr>
            <w:rStyle w:val="Hyperlink"/>
            <w:rFonts w:ascii="Arial Narrow" w:hAnsi="Arial Narrow"/>
          </w:rPr>
          <w:t>http://www.health.gov.au/internet/main/publishing.nsf/Content/cda-surveil-nndss-casedefs-cd_hivuns.htm</w:t>
        </w:r>
      </w:hyperlink>
    </w:p>
  </w:footnote>
  <w:footnote w:id="2">
    <w:p w:rsidR="00846D79" w:rsidRPr="004E0751" w:rsidRDefault="00846D79" w:rsidP="004E0751">
      <w:pPr>
        <w:pStyle w:val="FootnoteText"/>
        <w:spacing w:after="0"/>
        <w:rPr>
          <w:rFonts w:ascii="Arial Narrow" w:hAnsi="Arial Narrow"/>
        </w:rPr>
      </w:pPr>
      <w:r>
        <w:rPr>
          <w:rStyle w:val="FootnoteReference"/>
        </w:rPr>
        <w:footnoteRef/>
      </w:r>
      <w:r>
        <w:t xml:space="preserve"> </w:t>
      </w:r>
      <w:r w:rsidRPr="004E0751">
        <w:rPr>
          <w:rFonts w:ascii="Arial Narrow" w:hAnsi="Arial Narrow"/>
        </w:rPr>
        <w:t>Reference to “screening” in</w:t>
      </w:r>
      <w:r>
        <w:rPr>
          <w:rFonts w:ascii="Arial Narrow" w:hAnsi="Arial Narrow"/>
        </w:rPr>
        <w:t xml:space="preserve"> </w:t>
      </w:r>
      <w:r w:rsidRPr="004E0751">
        <w:rPr>
          <w:rFonts w:ascii="Arial Narrow" w:hAnsi="Arial Narrow"/>
        </w:rPr>
        <w:t>this context r</w:t>
      </w:r>
      <w:r>
        <w:rPr>
          <w:rFonts w:ascii="Arial Narrow" w:hAnsi="Arial Narrow"/>
        </w:rPr>
        <w:t>efers to the place of the point-</w:t>
      </w:r>
      <w:r w:rsidRPr="004E0751">
        <w:rPr>
          <w:rFonts w:ascii="Arial Narrow" w:hAnsi="Arial Narrow"/>
        </w:rPr>
        <w:t>of</w:t>
      </w:r>
      <w:r>
        <w:rPr>
          <w:rFonts w:ascii="Arial Narrow" w:hAnsi="Arial Narrow"/>
        </w:rPr>
        <w:t>-</w:t>
      </w:r>
      <w:r w:rsidRPr="004E0751">
        <w:rPr>
          <w:rFonts w:ascii="Arial Narrow" w:hAnsi="Arial Narrow"/>
        </w:rPr>
        <w:t>care test in the diagnostic algorithm for HIV</w:t>
      </w:r>
      <w:r>
        <w:rPr>
          <w:rFonts w:ascii="Arial Narrow" w:hAnsi="Arial Narrow"/>
        </w:rPr>
        <w:t xml:space="preserve"> </w:t>
      </w:r>
      <w:r w:rsidRPr="004E0751">
        <w:rPr>
          <w:rFonts w:ascii="Arial Narrow" w:hAnsi="Arial Narrow"/>
        </w:rPr>
        <w:t xml:space="preserve">infection and does not refer to a diagnostic test unrelated to the </w:t>
      </w:r>
      <w:r>
        <w:rPr>
          <w:rFonts w:ascii="Arial Narrow" w:hAnsi="Arial Narrow"/>
        </w:rPr>
        <w:t>individual</w:t>
      </w:r>
      <w:r w:rsidRPr="004E0751">
        <w:rPr>
          <w:rFonts w:ascii="Arial Narrow" w:hAnsi="Arial Narrow"/>
        </w:rPr>
        <w:t>’s medical condition.</w:t>
      </w:r>
      <w:r>
        <w:rPr>
          <w:rFonts w:ascii="Arial Narrow" w:hAnsi="Arial Narrow"/>
        </w:rPr>
        <w:t xml:space="preserve"> </w:t>
      </w:r>
      <w:r w:rsidRPr="004E0751">
        <w:rPr>
          <w:rFonts w:ascii="Arial Narrow" w:hAnsi="Arial Narrow"/>
        </w:rPr>
        <w:t>In the same manner the initial EIA test (or similar) used by a laboratory could be considered</w:t>
      </w:r>
      <w:r>
        <w:rPr>
          <w:rFonts w:ascii="Arial Narrow" w:hAnsi="Arial Narrow"/>
        </w:rPr>
        <w:t xml:space="preserve"> </w:t>
      </w:r>
      <w:r w:rsidRPr="004E0751">
        <w:rPr>
          <w:rFonts w:ascii="Arial Narrow" w:hAnsi="Arial Narrow"/>
        </w:rPr>
        <w:t>a “screening” test, where a reactive results is subject to additional confirmatory testing</w:t>
      </w:r>
      <w:r>
        <w:rPr>
          <w:rFonts w:ascii="Arial Narrow" w:hAnsi="Arial Narrow"/>
        </w:rPr>
        <w:t xml:space="preserve"> </w:t>
      </w:r>
      <w:r w:rsidRPr="004E0751">
        <w:rPr>
          <w:rFonts w:ascii="Arial Narrow" w:hAnsi="Arial Narrow"/>
        </w:rPr>
        <w:t>includin</w:t>
      </w:r>
      <w:r>
        <w:rPr>
          <w:rFonts w:ascii="Arial Narrow" w:hAnsi="Arial Narrow"/>
        </w:rPr>
        <w:t>g the gold standard of Western B</w:t>
      </w:r>
      <w:r w:rsidRPr="004E0751">
        <w:rPr>
          <w:rFonts w:ascii="Arial Narrow" w:hAnsi="Arial Narrow"/>
        </w:rPr>
        <w:t>lotting. In other words, “screening” in this context</w:t>
      </w:r>
      <w:r>
        <w:rPr>
          <w:rFonts w:ascii="Arial Narrow" w:hAnsi="Arial Narrow"/>
        </w:rPr>
        <w:t xml:space="preserve"> </w:t>
      </w:r>
      <w:r w:rsidRPr="004E0751">
        <w:rPr>
          <w:rFonts w:ascii="Arial Narrow" w:hAnsi="Arial Narrow"/>
        </w:rPr>
        <w:t>refers to screening of diagnostic results rather than screening an at-risk population.</w:t>
      </w:r>
    </w:p>
  </w:footnote>
  <w:footnote w:id="3">
    <w:p w:rsidR="00846D79" w:rsidRPr="00280A51" w:rsidRDefault="00846D79" w:rsidP="00280A51">
      <w:pPr>
        <w:pStyle w:val="FootnoteText"/>
        <w:spacing w:after="0"/>
        <w:rPr>
          <w:rFonts w:ascii="Arial Narrow" w:hAnsi="Arial Narrow"/>
        </w:rPr>
      </w:pPr>
      <w:r w:rsidRPr="00280A51">
        <w:rPr>
          <w:rStyle w:val="FootnoteReference"/>
          <w:rFonts w:ascii="Arial Narrow" w:hAnsi="Arial Narrow"/>
        </w:rPr>
        <w:footnoteRef/>
      </w:r>
      <w:r w:rsidRPr="00280A51">
        <w:rPr>
          <w:rFonts w:ascii="Arial Narrow" w:hAnsi="Arial Narrow"/>
        </w:rPr>
        <w:t xml:space="preserve"> Transmission is hinged on population prevalence per unit time, the duration of the infectious period, the diversity of sexual behaviour with its potential for assortment and number of sexual partnerships so formed within the population, as well as the presence of concomitant sexually transmitted diseases.</w:t>
      </w:r>
    </w:p>
  </w:footnote>
  <w:footnote w:id="4">
    <w:p w:rsidR="00846D79" w:rsidRPr="00280A51" w:rsidRDefault="00846D79">
      <w:pPr>
        <w:pStyle w:val="FootnoteText"/>
        <w:rPr>
          <w:rFonts w:ascii="Arial Narrow" w:hAnsi="Arial Narrow"/>
        </w:rPr>
      </w:pPr>
      <w:r w:rsidRPr="00280A51">
        <w:rPr>
          <w:rStyle w:val="FootnoteReference"/>
          <w:rFonts w:ascii="Arial Narrow" w:hAnsi="Arial Narrow"/>
        </w:rPr>
        <w:footnoteRef/>
      </w:r>
      <w:r w:rsidRPr="00280A51">
        <w:rPr>
          <w:rFonts w:ascii="Arial Narrow" w:hAnsi="Arial Narrow"/>
        </w:rPr>
        <w:t xml:space="preserve"> Static models assume a constant force of infection</w:t>
      </w:r>
    </w:p>
  </w:footnote>
  <w:footnote w:id="5">
    <w:p w:rsidR="00846D79" w:rsidRPr="00E25C72" w:rsidRDefault="00846D79" w:rsidP="00992B18">
      <w:pPr>
        <w:pStyle w:val="FootnoteText"/>
        <w:rPr>
          <w:rFonts w:ascii="Arial Narrow" w:hAnsi="Arial Narrow"/>
        </w:rPr>
      </w:pPr>
      <w:r w:rsidRPr="00E25C72">
        <w:rPr>
          <w:rStyle w:val="FootnoteReference"/>
          <w:rFonts w:ascii="Arial Narrow" w:hAnsi="Arial Narrow"/>
        </w:rPr>
        <w:footnoteRef/>
      </w:r>
      <w:r w:rsidRPr="00E25C72">
        <w:rPr>
          <w:rFonts w:ascii="Arial Narrow" w:hAnsi="Arial Narrow"/>
        </w:rPr>
        <w:t xml:space="preserve"> Based on professional advice sought during the evaluation, approximately 10% of individuals who request a HIV point-of-care test at one Melbourne clinic refuse venepuncture.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Pr="005B7B4A" w:rsidRDefault="00846D79" w:rsidP="00DC55CB">
    <w:pPr>
      <w:pStyle w:val="Header"/>
      <w:jc w:val="right"/>
      <w:rPr>
        <w:rFonts w:ascii="Arial" w:hAnsi="Arial" w:cs="Arial"/>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79" w:rsidRDefault="00846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0B03"/>
    <w:multiLevelType w:val="hybridMultilevel"/>
    <w:tmpl w:val="6002C380"/>
    <w:lvl w:ilvl="0" w:tplc="2B4ECDC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B9452F2"/>
    <w:multiLevelType w:val="hybridMultilevel"/>
    <w:tmpl w:val="A4BAF78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3">
    <w:nsid w:val="14791794"/>
    <w:multiLevelType w:val="hybridMultilevel"/>
    <w:tmpl w:val="7B3411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2616F"/>
    <w:multiLevelType w:val="hybridMultilevel"/>
    <w:tmpl w:val="5658EB8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21E6380B"/>
    <w:multiLevelType w:val="hybridMultilevel"/>
    <w:tmpl w:val="9C76E4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3F05C08"/>
    <w:multiLevelType w:val="hybridMultilevel"/>
    <w:tmpl w:val="F5C2B72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7">
    <w:nsid w:val="2590504E"/>
    <w:multiLevelType w:val="hybridMultilevel"/>
    <w:tmpl w:val="0E181E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583CB3"/>
    <w:multiLevelType w:val="hybridMultilevel"/>
    <w:tmpl w:val="C0EEF85C"/>
    <w:lvl w:ilvl="0" w:tplc="FB5456AC">
      <w:numFmt w:val="bullet"/>
      <w:lvlText w:val="-"/>
      <w:lvlJc w:val="left"/>
      <w:pPr>
        <w:ind w:left="1440" w:hanging="360"/>
      </w:pPr>
      <w:rPr>
        <w:rFonts w:ascii="Arial" w:eastAsia="SimSu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8337908"/>
    <w:multiLevelType w:val="hybridMultilevel"/>
    <w:tmpl w:val="D7BE3E0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2DFB2EE0"/>
    <w:multiLevelType w:val="hybridMultilevel"/>
    <w:tmpl w:val="E99C96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FFE50C6"/>
    <w:multiLevelType w:val="hybridMultilevel"/>
    <w:tmpl w:val="0B6EC4F4"/>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2">
    <w:nsid w:val="33F20185"/>
    <w:multiLevelType w:val="hybridMultilevel"/>
    <w:tmpl w:val="F796F9BA"/>
    <w:lvl w:ilvl="0" w:tplc="24A08D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5D55E90"/>
    <w:multiLevelType w:val="hybridMultilevel"/>
    <w:tmpl w:val="F09086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9CE4EE6"/>
    <w:multiLevelType w:val="hybridMultilevel"/>
    <w:tmpl w:val="F760DA64"/>
    <w:lvl w:ilvl="0" w:tplc="3C0E739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3DE94821"/>
    <w:multiLevelType w:val="hybridMultilevel"/>
    <w:tmpl w:val="BA086C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FCA7173"/>
    <w:multiLevelType w:val="hybridMultilevel"/>
    <w:tmpl w:val="5A2CDBE2"/>
    <w:lvl w:ilvl="0" w:tplc="0C090017">
      <w:start w:val="1"/>
      <w:numFmt w:val="lowerLetter"/>
      <w:lvlText w:val="%1)"/>
      <w:lvlJc w:val="left"/>
      <w:pPr>
        <w:ind w:left="720" w:hanging="360"/>
      </w:pPr>
    </w:lvl>
    <w:lvl w:ilvl="1" w:tplc="10EA43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27A7467"/>
    <w:multiLevelType w:val="hybridMultilevel"/>
    <w:tmpl w:val="BDD4147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FFA0081"/>
    <w:multiLevelType w:val="hybridMultilevel"/>
    <w:tmpl w:val="D6C4948C"/>
    <w:lvl w:ilvl="0" w:tplc="8182D66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54E22AFA"/>
    <w:multiLevelType w:val="hybridMultilevel"/>
    <w:tmpl w:val="068EB1BC"/>
    <w:lvl w:ilvl="0" w:tplc="B0FC46E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54E5197A"/>
    <w:multiLevelType w:val="hybridMultilevel"/>
    <w:tmpl w:val="8424C76A"/>
    <w:lvl w:ilvl="0" w:tplc="FB5456AC">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D4186E"/>
    <w:multiLevelType w:val="hybridMultilevel"/>
    <w:tmpl w:val="EB827E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836863"/>
    <w:multiLevelType w:val="hybridMultilevel"/>
    <w:tmpl w:val="EC8A2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59B54717"/>
    <w:multiLevelType w:val="hybridMultilevel"/>
    <w:tmpl w:val="F61AEFD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A0F33D7"/>
    <w:multiLevelType w:val="hybridMultilevel"/>
    <w:tmpl w:val="8EBC49BE"/>
    <w:lvl w:ilvl="0" w:tplc="14601E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A675ACF"/>
    <w:multiLevelType w:val="hybridMultilevel"/>
    <w:tmpl w:val="F9D28DDC"/>
    <w:lvl w:ilvl="0" w:tplc="0C090001">
      <w:start w:val="1"/>
      <w:numFmt w:val="bullet"/>
      <w:lvlText w:val=""/>
      <w:lvlJc w:val="left"/>
      <w:pPr>
        <w:ind w:left="1509" w:hanging="360"/>
      </w:pPr>
      <w:rPr>
        <w:rFonts w:ascii="Symbol" w:hAnsi="Symbol"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26">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27">
    <w:nsid w:val="5E2E5071"/>
    <w:multiLevelType w:val="hybridMultilevel"/>
    <w:tmpl w:val="8BF6F5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5E9C4E25"/>
    <w:multiLevelType w:val="hybridMultilevel"/>
    <w:tmpl w:val="92705ED6"/>
    <w:lvl w:ilvl="0" w:tplc="8D66F57C">
      <w:start w:val="1"/>
      <w:numFmt w:val="lowerRoman"/>
      <w:lvlText w:val="%1)"/>
      <w:lvlJc w:val="left"/>
      <w:pPr>
        <w:ind w:left="615" w:hanging="360"/>
      </w:pPr>
      <w:rPr>
        <w:rFonts w:hint="default"/>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29">
    <w:nsid w:val="60056122"/>
    <w:multiLevelType w:val="hybridMultilevel"/>
    <w:tmpl w:val="536A6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5E1D2A"/>
    <w:multiLevelType w:val="hybridMultilevel"/>
    <w:tmpl w:val="03869C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628C5B8D"/>
    <w:multiLevelType w:val="hybridMultilevel"/>
    <w:tmpl w:val="F5403A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62D66D82"/>
    <w:multiLevelType w:val="hybridMultilevel"/>
    <w:tmpl w:val="37A411E4"/>
    <w:lvl w:ilvl="0" w:tplc="8D66F57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nsid w:val="64027C97"/>
    <w:multiLevelType w:val="hybridMultilevel"/>
    <w:tmpl w:val="F9CA77D8"/>
    <w:lvl w:ilvl="0" w:tplc="9D9E63DE">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2808A0"/>
    <w:multiLevelType w:val="hybridMultilevel"/>
    <w:tmpl w:val="17C08DEC"/>
    <w:lvl w:ilvl="0" w:tplc="FB5456AC">
      <w:numFmt w:val="bullet"/>
      <w:lvlText w:val="-"/>
      <w:lvlJc w:val="left"/>
      <w:pPr>
        <w:ind w:left="1429" w:hanging="360"/>
      </w:pPr>
      <w:rPr>
        <w:rFonts w:ascii="Arial" w:eastAsia="SimSu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nsid w:val="67015668"/>
    <w:multiLevelType w:val="hybridMultilevel"/>
    <w:tmpl w:val="200A92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C1123A7"/>
    <w:multiLevelType w:val="hybridMultilevel"/>
    <w:tmpl w:val="F266CDBA"/>
    <w:lvl w:ilvl="0" w:tplc="98CE8D78">
      <w:start w:val="1"/>
      <w:numFmt w:val="lowerLetter"/>
      <w:lvlText w:val="%1)"/>
      <w:lvlJc w:val="left"/>
      <w:pPr>
        <w:ind w:left="720" w:hanging="360"/>
      </w:pPr>
      <w:rPr>
        <w:rFonts w:hint="default"/>
      </w:rPr>
    </w:lvl>
    <w:lvl w:ilvl="1" w:tplc="10EA43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CD14A99"/>
    <w:multiLevelType w:val="hybridMultilevel"/>
    <w:tmpl w:val="19DA4718"/>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38">
    <w:nsid w:val="732771AD"/>
    <w:multiLevelType w:val="hybridMultilevel"/>
    <w:tmpl w:val="AAF4C270"/>
    <w:lvl w:ilvl="0" w:tplc="8D66F57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4E418A9"/>
    <w:multiLevelType w:val="hybridMultilevel"/>
    <w:tmpl w:val="944C8CA0"/>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40">
    <w:nsid w:val="762402D2"/>
    <w:multiLevelType w:val="hybridMultilevel"/>
    <w:tmpl w:val="A0E86330"/>
    <w:lvl w:ilvl="0" w:tplc="AD0C2D4A">
      <w:numFmt w:val="bullet"/>
      <w:lvlText w:val="̥"/>
      <w:lvlJc w:val="left"/>
      <w:pPr>
        <w:ind w:left="1429" w:hanging="360"/>
      </w:pPr>
      <w:rPr>
        <w:rFonts w:ascii="Arial" w:eastAsia="SimSu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CE0AEC"/>
    <w:multiLevelType w:val="hybridMultilevel"/>
    <w:tmpl w:val="6588AAB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nsid w:val="796C6938"/>
    <w:multiLevelType w:val="hybridMultilevel"/>
    <w:tmpl w:val="CDF26A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6"/>
  </w:num>
  <w:num w:numId="2">
    <w:abstractNumId w:val="2"/>
  </w:num>
  <w:num w:numId="3">
    <w:abstractNumId w:val="39"/>
  </w:num>
  <w:num w:numId="4">
    <w:abstractNumId w:val="6"/>
  </w:num>
  <w:num w:numId="5">
    <w:abstractNumId w:val="29"/>
  </w:num>
  <w:num w:numId="6">
    <w:abstractNumId w:val="5"/>
  </w:num>
  <w:num w:numId="7">
    <w:abstractNumId w:val="18"/>
  </w:num>
  <w:num w:numId="8">
    <w:abstractNumId w:val="32"/>
  </w:num>
  <w:num w:numId="9">
    <w:abstractNumId w:val="0"/>
  </w:num>
  <w:num w:numId="10">
    <w:abstractNumId w:val="14"/>
  </w:num>
  <w:num w:numId="11">
    <w:abstractNumId w:val="8"/>
  </w:num>
  <w:num w:numId="12">
    <w:abstractNumId w:val="9"/>
  </w:num>
  <w:num w:numId="13">
    <w:abstractNumId w:val="34"/>
  </w:num>
  <w:num w:numId="14">
    <w:abstractNumId w:val="40"/>
  </w:num>
  <w:num w:numId="15">
    <w:abstractNumId w:val="41"/>
  </w:num>
  <w:num w:numId="16">
    <w:abstractNumId w:val="23"/>
  </w:num>
  <w:num w:numId="17">
    <w:abstractNumId w:val="35"/>
  </w:num>
  <w:num w:numId="18">
    <w:abstractNumId w:val="10"/>
  </w:num>
  <w:num w:numId="19">
    <w:abstractNumId w:val="12"/>
  </w:num>
  <w:num w:numId="20">
    <w:abstractNumId w:val="7"/>
  </w:num>
  <w:num w:numId="21">
    <w:abstractNumId w:val="21"/>
  </w:num>
  <w:num w:numId="22">
    <w:abstractNumId w:val="20"/>
  </w:num>
  <w:num w:numId="23">
    <w:abstractNumId w:val="4"/>
  </w:num>
  <w:num w:numId="24">
    <w:abstractNumId w:val="1"/>
  </w:num>
  <w:num w:numId="25">
    <w:abstractNumId w:val="17"/>
  </w:num>
  <w:num w:numId="26">
    <w:abstractNumId w:val="24"/>
  </w:num>
  <w:num w:numId="27">
    <w:abstractNumId w:val="19"/>
  </w:num>
  <w:num w:numId="28">
    <w:abstractNumId w:val="16"/>
  </w:num>
  <w:num w:numId="29">
    <w:abstractNumId w:val="38"/>
  </w:num>
  <w:num w:numId="30">
    <w:abstractNumId w:val="36"/>
  </w:num>
  <w:num w:numId="31">
    <w:abstractNumId w:val="33"/>
  </w:num>
  <w:num w:numId="32">
    <w:abstractNumId w:val="28"/>
  </w:num>
  <w:num w:numId="33">
    <w:abstractNumId w:val="42"/>
  </w:num>
  <w:num w:numId="34">
    <w:abstractNumId w:val="15"/>
  </w:num>
  <w:num w:numId="35">
    <w:abstractNumId w:val="25"/>
  </w:num>
  <w:num w:numId="36">
    <w:abstractNumId w:val="3"/>
  </w:num>
  <w:num w:numId="37">
    <w:abstractNumId w:val="13"/>
  </w:num>
  <w:num w:numId="38">
    <w:abstractNumId w:val="30"/>
  </w:num>
  <w:num w:numId="39">
    <w:abstractNumId w:val="31"/>
  </w:num>
  <w:num w:numId="40">
    <w:abstractNumId w:val="27"/>
  </w:num>
  <w:num w:numId="41">
    <w:abstractNumId w:val="11"/>
  </w:num>
  <w:num w:numId="42">
    <w:abstractNumId w:val="37"/>
  </w:num>
  <w:num w:numId="43">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Harvard-MSAC&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port.enl&lt;/item&gt;&lt;/Libraries&gt;&lt;/ENLibraries&gt;"/>
  </w:docVars>
  <w:rsids>
    <w:rsidRoot w:val="007761EB"/>
    <w:rsid w:val="000006B5"/>
    <w:rsid w:val="00000BEB"/>
    <w:rsid w:val="00000FA9"/>
    <w:rsid w:val="0000136D"/>
    <w:rsid w:val="00001C3C"/>
    <w:rsid w:val="00001E31"/>
    <w:rsid w:val="00001F98"/>
    <w:rsid w:val="0000226A"/>
    <w:rsid w:val="0000228D"/>
    <w:rsid w:val="00002552"/>
    <w:rsid w:val="000029F2"/>
    <w:rsid w:val="00003287"/>
    <w:rsid w:val="0000430A"/>
    <w:rsid w:val="0000440F"/>
    <w:rsid w:val="00004D16"/>
    <w:rsid w:val="00005257"/>
    <w:rsid w:val="000055D4"/>
    <w:rsid w:val="000056FA"/>
    <w:rsid w:val="000061FF"/>
    <w:rsid w:val="0000622A"/>
    <w:rsid w:val="00006627"/>
    <w:rsid w:val="00006641"/>
    <w:rsid w:val="000069A7"/>
    <w:rsid w:val="00006C74"/>
    <w:rsid w:val="000078F6"/>
    <w:rsid w:val="00007948"/>
    <w:rsid w:val="00007A44"/>
    <w:rsid w:val="0001085B"/>
    <w:rsid w:val="0001088E"/>
    <w:rsid w:val="000108EE"/>
    <w:rsid w:val="000109F3"/>
    <w:rsid w:val="00010BF8"/>
    <w:rsid w:val="000111D2"/>
    <w:rsid w:val="00011550"/>
    <w:rsid w:val="00011772"/>
    <w:rsid w:val="000130D3"/>
    <w:rsid w:val="000133F9"/>
    <w:rsid w:val="0001342D"/>
    <w:rsid w:val="000134C1"/>
    <w:rsid w:val="0001357B"/>
    <w:rsid w:val="0001388D"/>
    <w:rsid w:val="00013934"/>
    <w:rsid w:val="000139D1"/>
    <w:rsid w:val="000139EB"/>
    <w:rsid w:val="00013B46"/>
    <w:rsid w:val="00014155"/>
    <w:rsid w:val="00014736"/>
    <w:rsid w:val="000149C2"/>
    <w:rsid w:val="00014A66"/>
    <w:rsid w:val="00014EC1"/>
    <w:rsid w:val="0001563F"/>
    <w:rsid w:val="00015787"/>
    <w:rsid w:val="00015C26"/>
    <w:rsid w:val="00015E03"/>
    <w:rsid w:val="00016333"/>
    <w:rsid w:val="0001667E"/>
    <w:rsid w:val="00016792"/>
    <w:rsid w:val="00016B8B"/>
    <w:rsid w:val="00016FDF"/>
    <w:rsid w:val="000171FD"/>
    <w:rsid w:val="00017B2B"/>
    <w:rsid w:val="00020387"/>
    <w:rsid w:val="000208BF"/>
    <w:rsid w:val="00020C59"/>
    <w:rsid w:val="00020F15"/>
    <w:rsid w:val="00021072"/>
    <w:rsid w:val="0002230A"/>
    <w:rsid w:val="0002265C"/>
    <w:rsid w:val="00023669"/>
    <w:rsid w:val="00023934"/>
    <w:rsid w:val="00023BF5"/>
    <w:rsid w:val="0002446C"/>
    <w:rsid w:val="00024819"/>
    <w:rsid w:val="000250F8"/>
    <w:rsid w:val="0002581D"/>
    <w:rsid w:val="000266AD"/>
    <w:rsid w:val="0002695E"/>
    <w:rsid w:val="00026CEB"/>
    <w:rsid w:val="00026D6A"/>
    <w:rsid w:val="00027055"/>
    <w:rsid w:val="00027329"/>
    <w:rsid w:val="0002749F"/>
    <w:rsid w:val="00027B53"/>
    <w:rsid w:val="00027DDF"/>
    <w:rsid w:val="00027F1B"/>
    <w:rsid w:val="00030C76"/>
    <w:rsid w:val="00030E6F"/>
    <w:rsid w:val="00030FB4"/>
    <w:rsid w:val="000311A8"/>
    <w:rsid w:val="00031278"/>
    <w:rsid w:val="000313F3"/>
    <w:rsid w:val="00031A2C"/>
    <w:rsid w:val="000321D9"/>
    <w:rsid w:val="0003260D"/>
    <w:rsid w:val="00033E27"/>
    <w:rsid w:val="00034AE9"/>
    <w:rsid w:val="00034CFE"/>
    <w:rsid w:val="0003587F"/>
    <w:rsid w:val="0003595E"/>
    <w:rsid w:val="0003639B"/>
    <w:rsid w:val="000368B9"/>
    <w:rsid w:val="00036954"/>
    <w:rsid w:val="00036F0B"/>
    <w:rsid w:val="0003725D"/>
    <w:rsid w:val="000373D6"/>
    <w:rsid w:val="000373E8"/>
    <w:rsid w:val="00037729"/>
    <w:rsid w:val="00037B2B"/>
    <w:rsid w:val="000406B4"/>
    <w:rsid w:val="00040AB0"/>
    <w:rsid w:val="00040D41"/>
    <w:rsid w:val="0004109F"/>
    <w:rsid w:val="00041867"/>
    <w:rsid w:val="00041ADB"/>
    <w:rsid w:val="00041B23"/>
    <w:rsid w:val="00041F29"/>
    <w:rsid w:val="00041F66"/>
    <w:rsid w:val="00043C04"/>
    <w:rsid w:val="00044A16"/>
    <w:rsid w:val="00044B7A"/>
    <w:rsid w:val="00045292"/>
    <w:rsid w:val="00045C50"/>
    <w:rsid w:val="0004642F"/>
    <w:rsid w:val="00046CAA"/>
    <w:rsid w:val="00046E1D"/>
    <w:rsid w:val="000508A4"/>
    <w:rsid w:val="00050BE7"/>
    <w:rsid w:val="00050DAA"/>
    <w:rsid w:val="00051060"/>
    <w:rsid w:val="00051085"/>
    <w:rsid w:val="00051666"/>
    <w:rsid w:val="00051A96"/>
    <w:rsid w:val="000520C1"/>
    <w:rsid w:val="00052434"/>
    <w:rsid w:val="00052741"/>
    <w:rsid w:val="0005287C"/>
    <w:rsid w:val="00052935"/>
    <w:rsid w:val="00052FBC"/>
    <w:rsid w:val="0005371E"/>
    <w:rsid w:val="00053760"/>
    <w:rsid w:val="0005449C"/>
    <w:rsid w:val="000546E0"/>
    <w:rsid w:val="00054C69"/>
    <w:rsid w:val="00055E08"/>
    <w:rsid w:val="00056684"/>
    <w:rsid w:val="00056BE2"/>
    <w:rsid w:val="00056ED1"/>
    <w:rsid w:val="000608FD"/>
    <w:rsid w:val="00060B82"/>
    <w:rsid w:val="00060E4F"/>
    <w:rsid w:val="000613E7"/>
    <w:rsid w:val="00061A1C"/>
    <w:rsid w:val="00061AF5"/>
    <w:rsid w:val="00061DB6"/>
    <w:rsid w:val="00062064"/>
    <w:rsid w:val="000625F7"/>
    <w:rsid w:val="00063167"/>
    <w:rsid w:val="00063311"/>
    <w:rsid w:val="0006384B"/>
    <w:rsid w:val="00063A3A"/>
    <w:rsid w:val="00063C88"/>
    <w:rsid w:val="00063CC4"/>
    <w:rsid w:val="00063F44"/>
    <w:rsid w:val="00063FE3"/>
    <w:rsid w:val="0006406E"/>
    <w:rsid w:val="0006422B"/>
    <w:rsid w:val="000650CB"/>
    <w:rsid w:val="0006531D"/>
    <w:rsid w:val="000677D8"/>
    <w:rsid w:val="00067BF6"/>
    <w:rsid w:val="00070B84"/>
    <w:rsid w:val="000715CB"/>
    <w:rsid w:val="000719CC"/>
    <w:rsid w:val="00071B67"/>
    <w:rsid w:val="00071BA0"/>
    <w:rsid w:val="00072199"/>
    <w:rsid w:val="0007284B"/>
    <w:rsid w:val="00072DC0"/>
    <w:rsid w:val="00073267"/>
    <w:rsid w:val="00073339"/>
    <w:rsid w:val="00073376"/>
    <w:rsid w:val="00073636"/>
    <w:rsid w:val="0007379A"/>
    <w:rsid w:val="00073882"/>
    <w:rsid w:val="000739E5"/>
    <w:rsid w:val="00073A8D"/>
    <w:rsid w:val="00073C39"/>
    <w:rsid w:val="00073D1A"/>
    <w:rsid w:val="00073EC5"/>
    <w:rsid w:val="00074ABF"/>
    <w:rsid w:val="00074F92"/>
    <w:rsid w:val="00075A7C"/>
    <w:rsid w:val="00076A45"/>
    <w:rsid w:val="00076A70"/>
    <w:rsid w:val="00076F32"/>
    <w:rsid w:val="00077247"/>
    <w:rsid w:val="000774DB"/>
    <w:rsid w:val="00077880"/>
    <w:rsid w:val="0008033F"/>
    <w:rsid w:val="000809D5"/>
    <w:rsid w:val="00080BAF"/>
    <w:rsid w:val="0008168D"/>
    <w:rsid w:val="000821BD"/>
    <w:rsid w:val="000822EA"/>
    <w:rsid w:val="0008260B"/>
    <w:rsid w:val="00082712"/>
    <w:rsid w:val="00082C5A"/>
    <w:rsid w:val="00082CDD"/>
    <w:rsid w:val="00082DE0"/>
    <w:rsid w:val="00082E66"/>
    <w:rsid w:val="00082EC5"/>
    <w:rsid w:val="00083498"/>
    <w:rsid w:val="0008367E"/>
    <w:rsid w:val="000838C2"/>
    <w:rsid w:val="00084CE9"/>
    <w:rsid w:val="00085282"/>
    <w:rsid w:val="00085C31"/>
    <w:rsid w:val="000868BD"/>
    <w:rsid w:val="000869F6"/>
    <w:rsid w:val="00086DB8"/>
    <w:rsid w:val="00087F4E"/>
    <w:rsid w:val="00090330"/>
    <w:rsid w:val="000903F9"/>
    <w:rsid w:val="000905F4"/>
    <w:rsid w:val="00090904"/>
    <w:rsid w:val="00090AA3"/>
    <w:rsid w:val="00090BD2"/>
    <w:rsid w:val="00090DDE"/>
    <w:rsid w:val="00090EF8"/>
    <w:rsid w:val="0009118B"/>
    <w:rsid w:val="00091296"/>
    <w:rsid w:val="00091667"/>
    <w:rsid w:val="000917C7"/>
    <w:rsid w:val="00091989"/>
    <w:rsid w:val="00091A2F"/>
    <w:rsid w:val="00092A35"/>
    <w:rsid w:val="00092CFA"/>
    <w:rsid w:val="000933E6"/>
    <w:rsid w:val="000937B3"/>
    <w:rsid w:val="000939B9"/>
    <w:rsid w:val="00093A6F"/>
    <w:rsid w:val="00093C9A"/>
    <w:rsid w:val="00093CD9"/>
    <w:rsid w:val="00094646"/>
    <w:rsid w:val="00094977"/>
    <w:rsid w:val="00094FC4"/>
    <w:rsid w:val="00096BD5"/>
    <w:rsid w:val="00097AAC"/>
    <w:rsid w:val="000A0146"/>
    <w:rsid w:val="000A051D"/>
    <w:rsid w:val="000A0790"/>
    <w:rsid w:val="000A07CB"/>
    <w:rsid w:val="000A0C9C"/>
    <w:rsid w:val="000A1298"/>
    <w:rsid w:val="000A13F7"/>
    <w:rsid w:val="000A1508"/>
    <w:rsid w:val="000A1C29"/>
    <w:rsid w:val="000A1D85"/>
    <w:rsid w:val="000A2278"/>
    <w:rsid w:val="000A39F4"/>
    <w:rsid w:val="000A3AAF"/>
    <w:rsid w:val="000A3F8D"/>
    <w:rsid w:val="000A4DF3"/>
    <w:rsid w:val="000A54AD"/>
    <w:rsid w:val="000A55B4"/>
    <w:rsid w:val="000A5CE8"/>
    <w:rsid w:val="000A5DB5"/>
    <w:rsid w:val="000A612B"/>
    <w:rsid w:val="000A6182"/>
    <w:rsid w:val="000A6C01"/>
    <w:rsid w:val="000B0364"/>
    <w:rsid w:val="000B06C4"/>
    <w:rsid w:val="000B1434"/>
    <w:rsid w:val="000B1F56"/>
    <w:rsid w:val="000B23EA"/>
    <w:rsid w:val="000B274D"/>
    <w:rsid w:val="000B2DCA"/>
    <w:rsid w:val="000B2E4B"/>
    <w:rsid w:val="000B30A2"/>
    <w:rsid w:val="000B3CA5"/>
    <w:rsid w:val="000B4253"/>
    <w:rsid w:val="000B4BDC"/>
    <w:rsid w:val="000B4F47"/>
    <w:rsid w:val="000B508C"/>
    <w:rsid w:val="000B5C7B"/>
    <w:rsid w:val="000B5D81"/>
    <w:rsid w:val="000B7DFE"/>
    <w:rsid w:val="000B7F5D"/>
    <w:rsid w:val="000C0364"/>
    <w:rsid w:val="000C04C1"/>
    <w:rsid w:val="000C0684"/>
    <w:rsid w:val="000C10BA"/>
    <w:rsid w:val="000C1599"/>
    <w:rsid w:val="000C1747"/>
    <w:rsid w:val="000C226B"/>
    <w:rsid w:val="000C32A4"/>
    <w:rsid w:val="000C3CDE"/>
    <w:rsid w:val="000C4137"/>
    <w:rsid w:val="000C44CA"/>
    <w:rsid w:val="000C53B8"/>
    <w:rsid w:val="000C5A70"/>
    <w:rsid w:val="000C5F36"/>
    <w:rsid w:val="000C61C5"/>
    <w:rsid w:val="000C7A4D"/>
    <w:rsid w:val="000C7C44"/>
    <w:rsid w:val="000C7F6A"/>
    <w:rsid w:val="000D0128"/>
    <w:rsid w:val="000D04F4"/>
    <w:rsid w:val="000D13CD"/>
    <w:rsid w:val="000D180A"/>
    <w:rsid w:val="000D186C"/>
    <w:rsid w:val="000D18A2"/>
    <w:rsid w:val="000D1C4C"/>
    <w:rsid w:val="000D2D89"/>
    <w:rsid w:val="000D2E96"/>
    <w:rsid w:val="000D2EB6"/>
    <w:rsid w:val="000D34EB"/>
    <w:rsid w:val="000D3AD0"/>
    <w:rsid w:val="000D3E93"/>
    <w:rsid w:val="000D423C"/>
    <w:rsid w:val="000D4324"/>
    <w:rsid w:val="000D445C"/>
    <w:rsid w:val="000D44BC"/>
    <w:rsid w:val="000D4AB6"/>
    <w:rsid w:val="000D4DFE"/>
    <w:rsid w:val="000D4FCE"/>
    <w:rsid w:val="000D50CD"/>
    <w:rsid w:val="000D5A53"/>
    <w:rsid w:val="000D5AF8"/>
    <w:rsid w:val="000D60AA"/>
    <w:rsid w:val="000D6684"/>
    <w:rsid w:val="000D6840"/>
    <w:rsid w:val="000D708E"/>
    <w:rsid w:val="000E02D8"/>
    <w:rsid w:val="000E073C"/>
    <w:rsid w:val="000E09A4"/>
    <w:rsid w:val="000E0D09"/>
    <w:rsid w:val="000E125E"/>
    <w:rsid w:val="000E1439"/>
    <w:rsid w:val="000E145B"/>
    <w:rsid w:val="000E1520"/>
    <w:rsid w:val="000E1D12"/>
    <w:rsid w:val="000E2864"/>
    <w:rsid w:val="000E31EF"/>
    <w:rsid w:val="000E362B"/>
    <w:rsid w:val="000E398C"/>
    <w:rsid w:val="000E5514"/>
    <w:rsid w:val="000E551B"/>
    <w:rsid w:val="000E5E5C"/>
    <w:rsid w:val="000E5EAC"/>
    <w:rsid w:val="000E6179"/>
    <w:rsid w:val="000E63DD"/>
    <w:rsid w:val="000E6C55"/>
    <w:rsid w:val="000E6F0E"/>
    <w:rsid w:val="000E76A6"/>
    <w:rsid w:val="000E7B84"/>
    <w:rsid w:val="000E7ED9"/>
    <w:rsid w:val="000F012B"/>
    <w:rsid w:val="000F0975"/>
    <w:rsid w:val="000F0C54"/>
    <w:rsid w:val="000F0D08"/>
    <w:rsid w:val="000F1FA8"/>
    <w:rsid w:val="000F4CB0"/>
    <w:rsid w:val="000F50C5"/>
    <w:rsid w:val="000F5FC9"/>
    <w:rsid w:val="000F640C"/>
    <w:rsid w:val="000F66F8"/>
    <w:rsid w:val="000F6D1C"/>
    <w:rsid w:val="000F76EF"/>
    <w:rsid w:val="000F7C32"/>
    <w:rsid w:val="000F7FD2"/>
    <w:rsid w:val="00100186"/>
    <w:rsid w:val="001001F0"/>
    <w:rsid w:val="00100281"/>
    <w:rsid w:val="001005AA"/>
    <w:rsid w:val="00101A66"/>
    <w:rsid w:val="00101DAF"/>
    <w:rsid w:val="00101EA6"/>
    <w:rsid w:val="001020C2"/>
    <w:rsid w:val="00102204"/>
    <w:rsid w:val="001024C0"/>
    <w:rsid w:val="001024FE"/>
    <w:rsid w:val="0010271E"/>
    <w:rsid w:val="00102752"/>
    <w:rsid w:val="00102ACE"/>
    <w:rsid w:val="00102C26"/>
    <w:rsid w:val="00103470"/>
    <w:rsid w:val="0010377A"/>
    <w:rsid w:val="00103C7D"/>
    <w:rsid w:val="00103FE2"/>
    <w:rsid w:val="0010407C"/>
    <w:rsid w:val="001053AD"/>
    <w:rsid w:val="001059C5"/>
    <w:rsid w:val="001064DF"/>
    <w:rsid w:val="00106AE2"/>
    <w:rsid w:val="00106CAC"/>
    <w:rsid w:val="00106D5A"/>
    <w:rsid w:val="00107317"/>
    <w:rsid w:val="00107E45"/>
    <w:rsid w:val="00110763"/>
    <w:rsid w:val="00110A66"/>
    <w:rsid w:val="00111444"/>
    <w:rsid w:val="00111A20"/>
    <w:rsid w:val="00111A9D"/>
    <w:rsid w:val="00111FD8"/>
    <w:rsid w:val="001131C7"/>
    <w:rsid w:val="001140D8"/>
    <w:rsid w:val="00114A80"/>
    <w:rsid w:val="00114A88"/>
    <w:rsid w:val="0011532F"/>
    <w:rsid w:val="00116FF7"/>
    <w:rsid w:val="00117291"/>
    <w:rsid w:val="00117514"/>
    <w:rsid w:val="001176B4"/>
    <w:rsid w:val="001178D8"/>
    <w:rsid w:val="00117C27"/>
    <w:rsid w:val="00117D72"/>
    <w:rsid w:val="00120EA6"/>
    <w:rsid w:val="001214B2"/>
    <w:rsid w:val="001217CB"/>
    <w:rsid w:val="00121E37"/>
    <w:rsid w:val="00122253"/>
    <w:rsid w:val="001223DD"/>
    <w:rsid w:val="00122BFE"/>
    <w:rsid w:val="0012306C"/>
    <w:rsid w:val="00123707"/>
    <w:rsid w:val="00123994"/>
    <w:rsid w:val="001246F3"/>
    <w:rsid w:val="00124A3B"/>
    <w:rsid w:val="00124B78"/>
    <w:rsid w:val="00124D5D"/>
    <w:rsid w:val="00124EA4"/>
    <w:rsid w:val="00125441"/>
    <w:rsid w:val="00125879"/>
    <w:rsid w:val="00125C85"/>
    <w:rsid w:val="00125D53"/>
    <w:rsid w:val="00125FE7"/>
    <w:rsid w:val="0012607A"/>
    <w:rsid w:val="00126943"/>
    <w:rsid w:val="00126DE3"/>
    <w:rsid w:val="00126EFA"/>
    <w:rsid w:val="00127363"/>
    <w:rsid w:val="001302CC"/>
    <w:rsid w:val="0013042C"/>
    <w:rsid w:val="00130648"/>
    <w:rsid w:val="001307EF"/>
    <w:rsid w:val="00130AD5"/>
    <w:rsid w:val="00130D24"/>
    <w:rsid w:val="0013111A"/>
    <w:rsid w:val="001324EC"/>
    <w:rsid w:val="00133128"/>
    <w:rsid w:val="001333E5"/>
    <w:rsid w:val="001341F5"/>
    <w:rsid w:val="0013436A"/>
    <w:rsid w:val="001346B4"/>
    <w:rsid w:val="001349E0"/>
    <w:rsid w:val="001353E6"/>
    <w:rsid w:val="00135585"/>
    <w:rsid w:val="001358F1"/>
    <w:rsid w:val="00135E02"/>
    <w:rsid w:val="00136410"/>
    <w:rsid w:val="00136AC9"/>
    <w:rsid w:val="00136C00"/>
    <w:rsid w:val="0013708B"/>
    <w:rsid w:val="001372D7"/>
    <w:rsid w:val="00137928"/>
    <w:rsid w:val="00140185"/>
    <w:rsid w:val="00140573"/>
    <w:rsid w:val="00140C12"/>
    <w:rsid w:val="00140F50"/>
    <w:rsid w:val="00141210"/>
    <w:rsid w:val="001412E5"/>
    <w:rsid w:val="001415B8"/>
    <w:rsid w:val="0014188E"/>
    <w:rsid w:val="00141D60"/>
    <w:rsid w:val="0014254D"/>
    <w:rsid w:val="00142BE7"/>
    <w:rsid w:val="001431A4"/>
    <w:rsid w:val="001433BE"/>
    <w:rsid w:val="00143A58"/>
    <w:rsid w:val="00143DB1"/>
    <w:rsid w:val="00143DDC"/>
    <w:rsid w:val="001442F1"/>
    <w:rsid w:val="0014499A"/>
    <w:rsid w:val="00144A0B"/>
    <w:rsid w:val="00144D58"/>
    <w:rsid w:val="0014524F"/>
    <w:rsid w:val="00145259"/>
    <w:rsid w:val="00145798"/>
    <w:rsid w:val="001458BC"/>
    <w:rsid w:val="00145A91"/>
    <w:rsid w:val="00145AE0"/>
    <w:rsid w:val="001465EA"/>
    <w:rsid w:val="00146C81"/>
    <w:rsid w:val="00146CD6"/>
    <w:rsid w:val="0014710C"/>
    <w:rsid w:val="0014750D"/>
    <w:rsid w:val="001479B1"/>
    <w:rsid w:val="00147BFF"/>
    <w:rsid w:val="00147C31"/>
    <w:rsid w:val="00147FB2"/>
    <w:rsid w:val="0015008C"/>
    <w:rsid w:val="00150300"/>
    <w:rsid w:val="0015033A"/>
    <w:rsid w:val="001503B1"/>
    <w:rsid w:val="00150675"/>
    <w:rsid w:val="00151D89"/>
    <w:rsid w:val="00152100"/>
    <w:rsid w:val="001525DB"/>
    <w:rsid w:val="001530D6"/>
    <w:rsid w:val="00153514"/>
    <w:rsid w:val="00153C4D"/>
    <w:rsid w:val="001544FF"/>
    <w:rsid w:val="00154B49"/>
    <w:rsid w:val="001550E8"/>
    <w:rsid w:val="00155135"/>
    <w:rsid w:val="001555D6"/>
    <w:rsid w:val="00156859"/>
    <w:rsid w:val="00156D16"/>
    <w:rsid w:val="00157BEF"/>
    <w:rsid w:val="00157DCC"/>
    <w:rsid w:val="00160452"/>
    <w:rsid w:val="00160761"/>
    <w:rsid w:val="00160D13"/>
    <w:rsid w:val="00160E43"/>
    <w:rsid w:val="00161324"/>
    <w:rsid w:val="00162196"/>
    <w:rsid w:val="0016230E"/>
    <w:rsid w:val="0016247E"/>
    <w:rsid w:val="001624A7"/>
    <w:rsid w:val="001628FE"/>
    <w:rsid w:val="00163F13"/>
    <w:rsid w:val="001644E6"/>
    <w:rsid w:val="001645B3"/>
    <w:rsid w:val="001647C1"/>
    <w:rsid w:val="00164EDF"/>
    <w:rsid w:val="001654F6"/>
    <w:rsid w:val="00165813"/>
    <w:rsid w:val="0016686F"/>
    <w:rsid w:val="00167B2A"/>
    <w:rsid w:val="00167E78"/>
    <w:rsid w:val="001705B7"/>
    <w:rsid w:val="0017093A"/>
    <w:rsid w:val="00170CD1"/>
    <w:rsid w:val="00170CEB"/>
    <w:rsid w:val="00171806"/>
    <w:rsid w:val="00171A53"/>
    <w:rsid w:val="00171CFA"/>
    <w:rsid w:val="00171FC7"/>
    <w:rsid w:val="00172D3B"/>
    <w:rsid w:val="00172FA1"/>
    <w:rsid w:val="00173048"/>
    <w:rsid w:val="0017367D"/>
    <w:rsid w:val="00174024"/>
    <w:rsid w:val="00174CBB"/>
    <w:rsid w:val="00175429"/>
    <w:rsid w:val="001755CA"/>
    <w:rsid w:val="00176377"/>
    <w:rsid w:val="00176716"/>
    <w:rsid w:val="00176BA6"/>
    <w:rsid w:val="00176C84"/>
    <w:rsid w:val="00177BE4"/>
    <w:rsid w:val="00177FF7"/>
    <w:rsid w:val="001800FD"/>
    <w:rsid w:val="00180295"/>
    <w:rsid w:val="00180A95"/>
    <w:rsid w:val="001810C7"/>
    <w:rsid w:val="001814EC"/>
    <w:rsid w:val="00181942"/>
    <w:rsid w:val="00181AB2"/>
    <w:rsid w:val="00181ADE"/>
    <w:rsid w:val="00181B0D"/>
    <w:rsid w:val="00181B39"/>
    <w:rsid w:val="001822C4"/>
    <w:rsid w:val="00182D1F"/>
    <w:rsid w:val="00182ED0"/>
    <w:rsid w:val="0018308E"/>
    <w:rsid w:val="00183A45"/>
    <w:rsid w:val="00183B2F"/>
    <w:rsid w:val="00183FF4"/>
    <w:rsid w:val="00184148"/>
    <w:rsid w:val="0018480C"/>
    <w:rsid w:val="001850C0"/>
    <w:rsid w:val="00185497"/>
    <w:rsid w:val="00185A14"/>
    <w:rsid w:val="00185AAE"/>
    <w:rsid w:val="00185DC1"/>
    <w:rsid w:val="00185E19"/>
    <w:rsid w:val="00186246"/>
    <w:rsid w:val="00186AA4"/>
    <w:rsid w:val="00186C9F"/>
    <w:rsid w:val="00187020"/>
    <w:rsid w:val="001870D1"/>
    <w:rsid w:val="00187CF5"/>
    <w:rsid w:val="00187F45"/>
    <w:rsid w:val="00190D6F"/>
    <w:rsid w:val="00190E47"/>
    <w:rsid w:val="00190E57"/>
    <w:rsid w:val="00190F8B"/>
    <w:rsid w:val="00191577"/>
    <w:rsid w:val="00192AA4"/>
    <w:rsid w:val="00192B76"/>
    <w:rsid w:val="001930AF"/>
    <w:rsid w:val="001932BF"/>
    <w:rsid w:val="001937F6"/>
    <w:rsid w:val="00193AB1"/>
    <w:rsid w:val="00193B79"/>
    <w:rsid w:val="00193EC8"/>
    <w:rsid w:val="00194025"/>
    <w:rsid w:val="001941FC"/>
    <w:rsid w:val="0019554C"/>
    <w:rsid w:val="00196EED"/>
    <w:rsid w:val="00196F63"/>
    <w:rsid w:val="001A0148"/>
    <w:rsid w:val="001A1060"/>
    <w:rsid w:val="001A12A4"/>
    <w:rsid w:val="001A1623"/>
    <w:rsid w:val="001A1C91"/>
    <w:rsid w:val="001A2CC1"/>
    <w:rsid w:val="001A3113"/>
    <w:rsid w:val="001A3319"/>
    <w:rsid w:val="001A36C7"/>
    <w:rsid w:val="001A43AC"/>
    <w:rsid w:val="001A4F18"/>
    <w:rsid w:val="001A4FAC"/>
    <w:rsid w:val="001A589C"/>
    <w:rsid w:val="001A5C3F"/>
    <w:rsid w:val="001A6B50"/>
    <w:rsid w:val="001A6B5E"/>
    <w:rsid w:val="001A73C9"/>
    <w:rsid w:val="001B2215"/>
    <w:rsid w:val="001B25F4"/>
    <w:rsid w:val="001B279B"/>
    <w:rsid w:val="001B2A0B"/>
    <w:rsid w:val="001B2A7E"/>
    <w:rsid w:val="001B2E25"/>
    <w:rsid w:val="001B31BF"/>
    <w:rsid w:val="001B35B1"/>
    <w:rsid w:val="001B3A2C"/>
    <w:rsid w:val="001B45BF"/>
    <w:rsid w:val="001B4CC7"/>
    <w:rsid w:val="001B4DDE"/>
    <w:rsid w:val="001B4E96"/>
    <w:rsid w:val="001B51C9"/>
    <w:rsid w:val="001B5EDE"/>
    <w:rsid w:val="001B7522"/>
    <w:rsid w:val="001C0441"/>
    <w:rsid w:val="001C0F86"/>
    <w:rsid w:val="001C11E2"/>
    <w:rsid w:val="001C197E"/>
    <w:rsid w:val="001C1A17"/>
    <w:rsid w:val="001C2E1E"/>
    <w:rsid w:val="001C34AF"/>
    <w:rsid w:val="001C3997"/>
    <w:rsid w:val="001C3A68"/>
    <w:rsid w:val="001C3C5F"/>
    <w:rsid w:val="001C3E29"/>
    <w:rsid w:val="001C4A9A"/>
    <w:rsid w:val="001C62B6"/>
    <w:rsid w:val="001C69A9"/>
    <w:rsid w:val="001C69AC"/>
    <w:rsid w:val="001C6A22"/>
    <w:rsid w:val="001C6D80"/>
    <w:rsid w:val="001C7B87"/>
    <w:rsid w:val="001D0548"/>
    <w:rsid w:val="001D0873"/>
    <w:rsid w:val="001D0878"/>
    <w:rsid w:val="001D08EE"/>
    <w:rsid w:val="001D102B"/>
    <w:rsid w:val="001D152F"/>
    <w:rsid w:val="001D169C"/>
    <w:rsid w:val="001D1AD6"/>
    <w:rsid w:val="001D1CC7"/>
    <w:rsid w:val="001D22EB"/>
    <w:rsid w:val="001D235D"/>
    <w:rsid w:val="001D3A9B"/>
    <w:rsid w:val="001D3AA3"/>
    <w:rsid w:val="001D48F3"/>
    <w:rsid w:val="001D5263"/>
    <w:rsid w:val="001D5380"/>
    <w:rsid w:val="001D62B4"/>
    <w:rsid w:val="001D6423"/>
    <w:rsid w:val="001D646C"/>
    <w:rsid w:val="001D6BA0"/>
    <w:rsid w:val="001D6C21"/>
    <w:rsid w:val="001D722A"/>
    <w:rsid w:val="001D7CCE"/>
    <w:rsid w:val="001E025C"/>
    <w:rsid w:val="001E0C2D"/>
    <w:rsid w:val="001E170A"/>
    <w:rsid w:val="001E17C1"/>
    <w:rsid w:val="001E1B6F"/>
    <w:rsid w:val="001E1C66"/>
    <w:rsid w:val="001E25DF"/>
    <w:rsid w:val="001E28D2"/>
    <w:rsid w:val="001E2DFB"/>
    <w:rsid w:val="001E31F3"/>
    <w:rsid w:val="001E3578"/>
    <w:rsid w:val="001E3645"/>
    <w:rsid w:val="001E384A"/>
    <w:rsid w:val="001E3946"/>
    <w:rsid w:val="001E3963"/>
    <w:rsid w:val="001E3AA0"/>
    <w:rsid w:val="001E4990"/>
    <w:rsid w:val="001E4BD6"/>
    <w:rsid w:val="001E4F09"/>
    <w:rsid w:val="001E508C"/>
    <w:rsid w:val="001E54C8"/>
    <w:rsid w:val="001E55CD"/>
    <w:rsid w:val="001E5BF0"/>
    <w:rsid w:val="001E66FC"/>
    <w:rsid w:val="001E6DA9"/>
    <w:rsid w:val="001E705F"/>
    <w:rsid w:val="001E709D"/>
    <w:rsid w:val="001E71F5"/>
    <w:rsid w:val="001F0369"/>
    <w:rsid w:val="001F069E"/>
    <w:rsid w:val="001F11EB"/>
    <w:rsid w:val="001F199A"/>
    <w:rsid w:val="001F1C78"/>
    <w:rsid w:val="001F2819"/>
    <w:rsid w:val="001F289A"/>
    <w:rsid w:val="001F3ECF"/>
    <w:rsid w:val="001F5116"/>
    <w:rsid w:val="001F579B"/>
    <w:rsid w:val="001F61E5"/>
    <w:rsid w:val="001F6CF7"/>
    <w:rsid w:val="001F7690"/>
    <w:rsid w:val="0020001C"/>
    <w:rsid w:val="0020018B"/>
    <w:rsid w:val="00200315"/>
    <w:rsid w:val="002003A2"/>
    <w:rsid w:val="0020044D"/>
    <w:rsid w:val="00201A06"/>
    <w:rsid w:val="002023A3"/>
    <w:rsid w:val="0020373F"/>
    <w:rsid w:val="00203947"/>
    <w:rsid w:val="00204EEA"/>
    <w:rsid w:val="002050EE"/>
    <w:rsid w:val="0020518C"/>
    <w:rsid w:val="00205356"/>
    <w:rsid w:val="00205E54"/>
    <w:rsid w:val="00206886"/>
    <w:rsid w:val="002068C1"/>
    <w:rsid w:val="00207278"/>
    <w:rsid w:val="002075E6"/>
    <w:rsid w:val="00207AAF"/>
    <w:rsid w:val="00207B1E"/>
    <w:rsid w:val="00207B7F"/>
    <w:rsid w:val="00207C1C"/>
    <w:rsid w:val="00210C5E"/>
    <w:rsid w:val="00211DCE"/>
    <w:rsid w:val="00212330"/>
    <w:rsid w:val="0021294E"/>
    <w:rsid w:val="00212E6A"/>
    <w:rsid w:val="00212EE0"/>
    <w:rsid w:val="00212EFC"/>
    <w:rsid w:val="0021311F"/>
    <w:rsid w:val="0021376A"/>
    <w:rsid w:val="00213EED"/>
    <w:rsid w:val="002146A3"/>
    <w:rsid w:val="00214C6A"/>
    <w:rsid w:val="00214D5A"/>
    <w:rsid w:val="002154A5"/>
    <w:rsid w:val="002161EB"/>
    <w:rsid w:val="0021639E"/>
    <w:rsid w:val="002165BB"/>
    <w:rsid w:val="00216D21"/>
    <w:rsid w:val="00220029"/>
    <w:rsid w:val="00220A74"/>
    <w:rsid w:val="0022114B"/>
    <w:rsid w:val="002219B8"/>
    <w:rsid w:val="002221F6"/>
    <w:rsid w:val="00222570"/>
    <w:rsid w:val="00222A28"/>
    <w:rsid w:val="0022302B"/>
    <w:rsid w:val="0022318A"/>
    <w:rsid w:val="00223476"/>
    <w:rsid w:val="0022359D"/>
    <w:rsid w:val="002242BF"/>
    <w:rsid w:val="00224F44"/>
    <w:rsid w:val="0022525A"/>
    <w:rsid w:val="00225B70"/>
    <w:rsid w:val="00225FEC"/>
    <w:rsid w:val="00226063"/>
    <w:rsid w:val="002265DA"/>
    <w:rsid w:val="0022719F"/>
    <w:rsid w:val="0022768B"/>
    <w:rsid w:val="00227788"/>
    <w:rsid w:val="00227DC8"/>
    <w:rsid w:val="0023007B"/>
    <w:rsid w:val="002305E3"/>
    <w:rsid w:val="00230718"/>
    <w:rsid w:val="00230F1B"/>
    <w:rsid w:val="00231B9E"/>
    <w:rsid w:val="00231F87"/>
    <w:rsid w:val="0023205F"/>
    <w:rsid w:val="0023225E"/>
    <w:rsid w:val="002322B7"/>
    <w:rsid w:val="00232730"/>
    <w:rsid w:val="00232C74"/>
    <w:rsid w:val="002349F9"/>
    <w:rsid w:val="00234E6B"/>
    <w:rsid w:val="00235ECB"/>
    <w:rsid w:val="0023643C"/>
    <w:rsid w:val="00236A7B"/>
    <w:rsid w:val="00236D26"/>
    <w:rsid w:val="002371C0"/>
    <w:rsid w:val="00237AF7"/>
    <w:rsid w:val="0024085C"/>
    <w:rsid w:val="00240D9D"/>
    <w:rsid w:val="00240E92"/>
    <w:rsid w:val="002422FA"/>
    <w:rsid w:val="0024235F"/>
    <w:rsid w:val="002425EC"/>
    <w:rsid w:val="00242920"/>
    <w:rsid w:val="00242D36"/>
    <w:rsid w:val="00242FE6"/>
    <w:rsid w:val="00243503"/>
    <w:rsid w:val="00243530"/>
    <w:rsid w:val="002436E9"/>
    <w:rsid w:val="0024380D"/>
    <w:rsid w:val="00243AC8"/>
    <w:rsid w:val="00243D55"/>
    <w:rsid w:val="00244533"/>
    <w:rsid w:val="00245933"/>
    <w:rsid w:val="00245CC6"/>
    <w:rsid w:val="00245D88"/>
    <w:rsid w:val="002465C9"/>
    <w:rsid w:val="0024737A"/>
    <w:rsid w:val="00247672"/>
    <w:rsid w:val="00247F76"/>
    <w:rsid w:val="002509F3"/>
    <w:rsid w:val="00250E0F"/>
    <w:rsid w:val="0025242F"/>
    <w:rsid w:val="002525E4"/>
    <w:rsid w:val="002528E9"/>
    <w:rsid w:val="002530FF"/>
    <w:rsid w:val="002536E5"/>
    <w:rsid w:val="00253941"/>
    <w:rsid w:val="00254906"/>
    <w:rsid w:val="00254A43"/>
    <w:rsid w:val="00254D43"/>
    <w:rsid w:val="0025516F"/>
    <w:rsid w:val="00255C22"/>
    <w:rsid w:val="00255C7C"/>
    <w:rsid w:val="00256C93"/>
    <w:rsid w:val="00257377"/>
    <w:rsid w:val="002579B5"/>
    <w:rsid w:val="00257A4F"/>
    <w:rsid w:val="002611B2"/>
    <w:rsid w:val="00261CCC"/>
    <w:rsid w:val="00261E92"/>
    <w:rsid w:val="00262DBC"/>
    <w:rsid w:val="00262FC1"/>
    <w:rsid w:val="0026308E"/>
    <w:rsid w:val="0026326C"/>
    <w:rsid w:val="00263E7A"/>
    <w:rsid w:val="002648F6"/>
    <w:rsid w:val="00264CC5"/>
    <w:rsid w:val="002655A7"/>
    <w:rsid w:val="00265FB3"/>
    <w:rsid w:val="0026653C"/>
    <w:rsid w:val="00266665"/>
    <w:rsid w:val="002666EA"/>
    <w:rsid w:val="00266B0C"/>
    <w:rsid w:val="0026752D"/>
    <w:rsid w:val="002707B7"/>
    <w:rsid w:val="002711DC"/>
    <w:rsid w:val="00271AD3"/>
    <w:rsid w:val="00271AF4"/>
    <w:rsid w:val="00271E8A"/>
    <w:rsid w:val="002720B6"/>
    <w:rsid w:val="00272585"/>
    <w:rsid w:val="00272F36"/>
    <w:rsid w:val="00273148"/>
    <w:rsid w:val="002735E7"/>
    <w:rsid w:val="00273978"/>
    <w:rsid w:val="00273AE5"/>
    <w:rsid w:val="00273B16"/>
    <w:rsid w:val="00273B9D"/>
    <w:rsid w:val="00274085"/>
    <w:rsid w:val="002740F9"/>
    <w:rsid w:val="00274733"/>
    <w:rsid w:val="00274872"/>
    <w:rsid w:val="00274F96"/>
    <w:rsid w:val="00275591"/>
    <w:rsid w:val="00275DD6"/>
    <w:rsid w:val="002767F8"/>
    <w:rsid w:val="00276D3C"/>
    <w:rsid w:val="0027774B"/>
    <w:rsid w:val="00277981"/>
    <w:rsid w:val="00277AF6"/>
    <w:rsid w:val="00277D37"/>
    <w:rsid w:val="00277DD8"/>
    <w:rsid w:val="00280826"/>
    <w:rsid w:val="00280A51"/>
    <w:rsid w:val="00280A78"/>
    <w:rsid w:val="00280B3C"/>
    <w:rsid w:val="00280CDB"/>
    <w:rsid w:val="00280E58"/>
    <w:rsid w:val="00281055"/>
    <w:rsid w:val="00281742"/>
    <w:rsid w:val="00281909"/>
    <w:rsid w:val="002826E9"/>
    <w:rsid w:val="0028281C"/>
    <w:rsid w:val="00282C04"/>
    <w:rsid w:val="00282D87"/>
    <w:rsid w:val="002832EB"/>
    <w:rsid w:val="002845AC"/>
    <w:rsid w:val="00284FDB"/>
    <w:rsid w:val="00285023"/>
    <w:rsid w:val="0028571D"/>
    <w:rsid w:val="00285BAA"/>
    <w:rsid w:val="00285E5F"/>
    <w:rsid w:val="00285FE4"/>
    <w:rsid w:val="0028613C"/>
    <w:rsid w:val="0028652F"/>
    <w:rsid w:val="0028655C"/>
    <w:rsid w:val="00286D2F"/>
    <w:rsid w:val="00287626"/>
    <w:rsid w:val="00287657"/>
    <w:rsid w:val="00290ADF"/>
    <w:rsid w:val="00290ECA"/>
    <w:rsid w:val="00291322"/>
    <w:rsid w:val="002915CD"/>
    <w:rsid w:val="00292039"/>
    <w:rsid w:val="0029235B"/>
    <w:rsid w:val="00292470"/>
    <w:rsid w:val="002925AF"/>
    <w:rsid w:val="00292832"/>
    <w:rsid w:val="002929B8"/>
    <w:rsid w:val="00293364"/>
    <w:rsid w:val="002939E7"/>
    <w:rsid w:val="00293DC0"/>
    <w:rsid w:val="00293FDA"/>
    <w:rsid w:val="00294042"/>
    <w:rsid w:val="0029507C"/>
    <w:rsid w:val="002950E0"/>
    <w:rsid w:val="00295A7F"/>
    <w:rsid w:val="002960E5"/>
    <w:rsid w:val="00296CD6"/>
    <w:rsid w:val="002977F8"/>
    <w:rsid w:val="00297E4B"/>
    <w:rsid w:val="00297EB7"/>
    <w:rsid w:val="002A01F3"/>
    <w:rsid w:val="002A0700"/>
    <w:rsid w:val="002A0A46"/>
    <w:rsid w:val="002A0AEB"/>
    <w:rsid w:val="002A0B37"/>
    <w:rsid w:val="002A0C34"/>
    <w:rsid w:val="002A1631"/>
    <w:rsid w:val="002A1CFA"/>
    <w:rsid w:val="002A215C"/>
    <w:rsid w:val="002A3293"/>
    <w:rsid w:val="002A38D0"/>
    <w:rsid w:val="002A3C59"/>
    <w:rsid w:val="002A5CBD"/>
    <w:rsid w:val="002A69BC"/>
    <w:rsid w:val="002A6B8E"/>
    <w:rsid w:val="002A6D11"/>
    <w:rsid w:val="002A75B6"/>
    <w:rsid w:val="002A75E0"/>
    <w:rsid w:val="002A7917"/>
    <w:rsid w:val="002B01FE"/>
    <w:rsid w:val="002B0221"/>
    <w:rsid w:val="002B076C"/>
    <w:rsid w:val="002B0853"/>
    <w:rsid w:val="002B0AFB"/>
    <w:rsid w:val="002B0EBA"/>
    <w:rsid w:val="002B0EF3"/>
    <w:rsid w:val="002B0F0C"/>
    <w:rsid w:val="002B1186"/>
    <w:rsid w:val="002B15E2"/>
    <w:rsid w:val="002B28C0"/>
    <w:rsid w:val="002B2CF4"/>
    <w:rsid w:val="002B2EF6"/>
    <w:rsid w:val="002B3A81"/>
    <w:rsid w:val="002B3C11"/>
    <w:rsid w:val="002B45D0"/>
    <w:rsid w:val="002B476D"/>
    <w:rsid w:val="002B481D"/>
    <w:rsid w:val="002B5179"/>
    <w:rsid w:val="002B56F7"/>
    <w:rsid w:val="002B63F5"/>
    <w:rsid w:val="002B6500"/>
    <w:rsid w:val="002B7219"/>
    <w:rsid w:val="002B7457"/>
    <w:rsid w:val="002B791F"/>
    <w:rsid w:val="002C04D4"/>
    <w:rsid w:val="002C04E2"/>
    <w:rsid w:val="002C0825"/>
    <w:rsid w:val="002C086E"/>
    <w:rsid w:val="002C14E9"/>
    <w:rsid w:val="002C179B"/>
    <w:rsid w:val="002C222A"/>
    <w:rsid w:val="002C2CC5"/>
    <w:rsid w:val="002C2CCE"/>
    <w:rsid w:val="002C2FFB"/>
    <w:rsid w:val="002C3786"/>
    <w:rsid w:val="002C40F8"/>
    <w:rsid w:val="002C42C9"/>
    <w:rsid w:val="002C42E8"/>
    <w:rsid w:val="002C5B95"/>
    <w:rsid w:val="002C5FD8"/>
    <w:rsid w:val="002C659B"/>
    <w:rsid w:val="002C6AEC"/>
    <w:rsid w:val="002C6D0C"/>
    <w:rsid w:val="002C706C"/>
    <w:rsid w:val="002C71D0"/>
    <w:rsid w:val="002C741B"/>
    <w:rsid w:val="002C774A"/>
    <w:rsid w:val="002C7C82"/>
    <w:rsid w:val="002D0ABC"/>
    <w:rsid w:val="002D1B59"/>
    <w:rsid w:val="002D1FFE"/>
    <w:rsid w:val="002D207C"/>
    <w:rsid w:val="002D2319"/>
    <w:rsid w:val="002D2760"/>
    <w:rsid w:val="002D3726"/>
    <w:rsid w:val="002D3EFB"/>
    <w:rsid w:val="002D4230"/>
    <w:rsid w:val="002D44DB"/>
    <w:rsid w:val="002D4DBB"/>
    <w:rsid w:val="002D557B"/>
    <w:rsid w:val="002D5C43"/>
    <w:rsid w:val="002D5C5E"/>
    <w:rsid w:val="002D6071"/>
    <w:rsid w:val="002D6115"/>
    <w:rsid w:val="002D6DF1"/>
    <w:rsid w:val="002D7A50"/>
    <w:rsid w:val="002D7CF0"/>
    <w:rsid w:val="002E008A"/>
    <w:rsid w:val="002E0526"/>
    <w:rsid w:val="002E081F"/>
    <w:rsid w:val="002E0C15"/>
    <w:rsid w:val="002E255D"/>
    <w:rsid w:val="002E266A"/>
    <w:rsid w:val="002E2D57"/>
    <w:rsid w:val="002E3709"/>
    <w:rsid w:val="002E3E7C"/>
    <w:rsid w:val="002E3F3C"/>
    <w:rsid w:val="002E3FAD"/>
    <w:rsid w:val="002E4562"/>
    <w:rsid w:val="002E4A7A"/>
    <w:rsid w:val="002E4C40"/>
    <w:rsid w:val="002E4D55"/>
    <w:rsid w:val="002E56E1"/>
    <w:rsid w:val="002E595C"/>
    <w:rsid w:val="002E5D5F"/>
    <w:rsid w:val="002E5F0C"/>
    <w:rsid w:val="002E646C"/>
    <w:rsid w:val="002E64A2"/>
    <w:rsid w:val="002E72B0"/>
    <w:rsid w:val="002E74E2"/>
    <w:rsid w:val="002E7579"/>
    <w:rsid w:val="002E7842"/>
    <w:rsid w:val="002F1956"/>
    <w:rsid w:val="002F1C32"/>
    <w:rsid w:val="002F1C4F"/>
    <w:rsid w:val="002F2314"/>
    <w:rsid w:val="002F261C"/>
    <w:rsid w:val="002F2838"/>
    <w:rsid w:val="002F3930"/>
    <w:rsid w:val="002F3BE2"/>
    <w:rsid w:val="002F3D8D"/>
    <w:rsid w:val="002F3D91"/>
    <w:rsid w:val="002F440B"/>
    <w:rsid w:val="002F44D3"/>
    <w:rsid w:val="002F47BB"/>
    <w:rsid w:val="002F4A37"/>
    <w:rsid w:val="002F4EAD"/>
    <w:rsid w:val="002F56AA"/>
    <w:rsid w:val="002F5CAF"/>
    <w:rsid w:val="002F6679"/>
    <w:rsid w:val="002F6A98"/>
    <w:rsid w:val="002F7AEA"/>
    <w:rsid w:val="003004ED"/>
    <w:rsid w:val="00300593"/>
    <w:rsid w:val="003006F8"/>
    <w:rsid w:val="00301230"/>
    <w:rsid w:val="00301265"/>
    <w:rsid w:val="00302A43"/>
    <w:rsid w:val="00302AEA"/>
    <w:rsid w:val="0030469D"/>
    <w:rsid w:val="003053AF"/>
    <w:rsid w:val="003057C8"/>
    <w:rsid w:val="0030581B"/>
    <w:rsid w:val="003059BD"/>
    <w:rsid w:val="003059CE"/>
    <w:rsid w:val="003060DC"/>
    <w:rsid w:val="0030624A"/>
    <w:rsid w:val="003069A5"/>
    <w:rsid w:val="003069DD"/>
    <w:rsid w:val="00306C3C"/>
    <w:rsid w:val="003072EF"/>
    <w:rsid w:val="003079EF"/>
    <w:rsid w:val="00307AC3"/>
    <w:rsid w:val="00310008"/>
    <w:rsid w:val="003104A6"/>
    <w:rsid w:val="00310F06"/>
    <w:rsid w:val="003112FE"/>
    <w:rsid w:val="00312133"/>
    <w:rsid w:val="003122EE"/>
    <w:rsid w:val="00312327"/>
    <w:rsid w:val="00312E72"/>
    <w:rsid w:val="0031303D"/>
    <w:rsid w:val="003132FE"/>
    <w:rsid w:val="00313404"/>
    <w:rsid w:val="00313426"/>
    <w:rsid w:val="00313AAB"/>
    <w:rsid w:val="003141A3"/>
    <w:rsid w:val="00314C45"/>
    <w:rsid w:val="00314E9E"/>
    <w:rsid w:val="00315EEC"/>
    <w:rsid w:val="00315F37"/>
    <w:rsid w:val="0031687B"/>
    <w:rsid w:val="00316D14"/>
    <w:rsid w:val="00316F4B"/>
    <w:rsid w:val="00317898"/>
    <w:rsid w:val="00317953"/>
    <w:rsid w:val="00320025"/>
    <w:rsid w:val="00320CBA"/>
    <w:rsid w:val="00320F9A"/>
    <w:rsid w:val="003219E1"/>
    <w:rsid w:val="00321D84"/>
    <w:rsid w:val="0032213E"/>
    <w:rsid w:val="00322151"/>
    <w:rsid w:val="00322661"/>
    <w:rsid w:val="00323033"/>
    <w:rsid w:val="0032374D"/>
    <w:rsid w:val="00323901"/>
    <w:rsid w:val="00323BFA"/>
    <w:rsid w:val="00323D1A"/>
    <w:rsid w:val="00323D36"/>
    <w:rsid w:val="00324478"/>
    <w:rsid w:val="0032483C"/>
    <w:rsid w:val="00324D3A"/>
    <w:rsid w:val="00326AD1"/>
    <w:rsid w:val="00326D37"/>
    <w:rsid w:val="00327F60"/>
    <w:rsid w:val="00330069"/>
    <w:rsid w:val="00330783"/>
    <w:rsid w:val="00330C5F"/>
    <w:rsid w:val="00330EB8"/>
    <w:rsid w:val="003313E3"/>
    <w:rsid w:val="00333F0E"/>
    <w:rsid w:val="00334216"/>
    <w:rsid w:val="00334595"/>
    <w:rsid w:val="003349E9"/>
    <w:rsid w:val="00334F6B"/>
    <w:rsid w:val="00336A6A"/>
    <w:rsid w:val="00336B1A"/>
    <w:rsid w:val="00336BBD"/>
    <w:rsid w:val="00336FDA"/>
    <w:rsid w:val="00337118"/>
    <w:rsid w:val="00337205"/>
    <w:rsid w:val="00337A85"/>
    <w:rsid w:val="00337F75"/>
    <w:rsid w:val="003408F6"/>
    <w:rsid w:val="00341142"/>
    <w:rsid w:val="00341568"/>
    <w:rsid w:val="00341A6A"/>
    <w:rsid w:val="00341D5F"/>
    <w:rsid w:val="0034225B"/>
    <w:rsid w:val="00342D5D"/>
    <w:rsid w:val="003430E6"/>
    <w:rsid w:val="003431DA"/>
    <w:rsid w:val="003435F8"/>
    <w:rsid w:val="00343F86"/>
    <w:rsid w:val="00344B62"/>
    <w:rsid w:val="00344F04"/>
    <w:rsid w:val="00345746"/>
    <w:rsid w:val="0034667F"/>
    <w:rsid w:val="00346ADC"/>
    <w:rsid w:val="00347D27"/>
    <w:rsid w:val="00347EC2"/>
    <w:rsid w:val="003503D2"/>
    <w:rsid w:val="00350586"/>
    <w:rsid w:val="00350763"/>
    <w:rsid w:val="00350D63"/>
    <w:rsid w:val="00350E2D"/>
    <w:rsid w:val="003519E4"/>
    <w:rsid w:val="00351CD8"/>
    <w:rsid w:val="00352213"/>
    <w:rsid w:val="0035262C"/>
    <w:rsid w:val="0035329D"/>
    <w:rsid w:val="0035375B"/>
    <w:rsid w:val="003544BF"/>
    <w:rsid w:val="003546C7"/>
    <w:rsid w:val="003558F2"/>
    <w:rsid w:val="0035765A"/>
    <w:rsid w:val="0036040E"/>
    <w:rsid w:val="00360A50"/>
    <w:rsid w:val="00360D87"/>
    <w:rsid w:val="00361825"/>
    <w:rsid w:val="00362100"/>
    <w:rsid w:val="0036281D"/>
    <w:rsid w:val="0036290B"/>
    <w:rsid w:val="00363100"/>
    <w:rsid w:val="00363B21"/>
    <w:rsid w:val="00364640"/>
    <w:rsid w:val="00365279"/>
    <w:rsid w:val="003652EB"/>
    <w:rsid w:val="00365362"/>
    <w:rsid w:val="003656DD"/>
    <w:rsid w:val="00365CA3"/>
    <w:rsid w:val="00365D8D"/>
    <w:rsid w:val="00365D9B"/>
    <w:rsid w:val="00366514"/>
    <w:rsid w:val="003666B9"/>
    <w:rsid w:val="00366796"/>
    <w:rsid w:val="00366ACF"/>
    <w:rsid w:val="00366BD2"/>
    <w:rsid w:val="00366CE1"/>
    <w:rsid w:val="003674B8"/>
    <w:rsid w:val="003675F2"/>
    <w:rsid w:val="00367A98"/>
    <w:rsid w:val="00367C92"/>
    <w:rsid w:val="00367CBD"/>
    <w:rsid w:val="00367F95"/>
    <w:rsid w:val="00370871"/>
    <w:rsid w:val="00370FF5"/>
    <w:rsid w:val="003712E5"/>
    <w:rsid w:val="00371A84"/>
    <w:rsid w:val="00371CD5"/>
    <w:rsid w:val="00372104"/>
    <w:rsid w:val="00372765"/>
    <w:rsid w:val="00372D7E"/>
    <w:rsid w:val="00373051"/>
    <w:rsid w:val="00373408"/>
    <w:rsid w:val="00373E8E"/>
    <w:rsid w:val="003747D4"/>
    <w:rsid w:val="003756EE"/>
    <w:rsid w:val="00375869"/>
    <w:rsid w:val="00375AAB"/>
    <w:rsid w:val="00376648"/>
    <w:rsid w:val="0037666E"/>
    <w:rsid w:val="0037672B"/>
    <w:rsid w:val="00376B3C"/>
    <w:rsid w:val="00376BF1"/>
    <w:rsid w:val="00376C4C"/>
    <w:rsid w:val="00377334"/>
    <w:rsid w:val="0037738A"/>
    <w:rsid w:val="00377CC2"/>
    <w:rsid w:val="00377E7C"/>
    <w:rsid w:val="00377EC5"/>
    <w:rsid w:val="00380473"/>
    <w:rsid w:val="003805A2"/>
    <w:rsid w:val="003806EF"/>
    <w:rsid w:val="00380733"/>
    <w:rsid w:val="0038092E"/>
    <w:rsid w:val="0038179A"/>
    <w:rsid w:val="00382187"/>
    <w:rsid w:val="0038272D"/>
    <w:rsid w:val="00382BF8"/>
    <w:rsid w:val="00382C40"/>
    <w:rsid w:val="003831B4"/>
    <w:rsid w:val="00383E98"/>
    <w:rsid w:val="00383ED9"/>
    <w:rsid w:val="003841A1"/>
    <w:rsid w:val="0038436D"/>
    <w:rsid w:val="00384427"/>
    <w:rsid w:val="0038469C"/>
    <w:rsid w:val="0038498E"/>
    <w:rsid w:val="003854DB"/>
    <w:rsid w:val="00385558"/>
    <w:rsid w:val="0038576A"/>
    <w:rsid w:val="00385AB7"/>
    <w:rsid w:val="00385E5E"/>
    <w:rsid w:val="00386F36"/>
    <w:rsid w:val="0038700D"/>
    <w:rsid w:val="00387391"/>
    <w:rsid w:val="00390077"/>
    <w:rsid w:val="0039021F"/>
    <w:rsid w:val="003902CC"/>
    <w:rsid w:val="003904E5"/>
    <w:rsid w:val="00390528"/>
    <w:rsid w:val="00390555"/>
    <w:rsid w:val="0039081B"/>
    <w:rsid w:val="00390E49"/>
    <w:rsid w:val="0039101F"/>
    <w:rsid w:val="003919BF"/>
    <w:rsid w:val="00391C36"/>
    <w:rsid w:val="00391EA8"/>
    <w:rsid w:val="0039277E"/>
    <w:rsid w:val="00393367"/>
    <w:rsid w:val="00393371"/>
    <w:rsid w:val="003938BD"/>
    <w:rsid w:val="00393B17"/>
    <w:rsid w:val="003948F3"/>
    <w:rsid w:val="00394D13"/>
    <w:rsid w:val="00396366"/>
    <w:rsid w:val="003964BE"/>
    <w:rsid w:val="003967AC"/>
    <w:rsid w:val="003968D1"/>
    <w:rsid w:val="00396B7F"/>
    <w:rsid w:val="0039725D"/>
    <w:rsid w:val="003A033C"/>
    <w:rsid w:val="003A0F28"/>
    <w:rsid w:val="003A16F4"/>
    <w:rsid w:val="003A22ED"/>
    <w:rsid w:val="003A26F7"/>
    <w:rsid w:val="003A2B36"/>
    <w:rsid w:val="003A3704"/>
    <w:rsid w:val="003A38AB"/>
    <w:rsid w:val="003A3D98"/>
    <w:rsid w:val="003A445A"/>
    <w:rsid w:val="003A4B01"/>
    <w:rsid w:val="003A4EF1"/>
    <w:rsid w:val="003A53F4"/>
    <w:rsid w:val="003A54B0"/>
    <w:rsid w:val="003A5603"/>
    <w:rsid w:val="003A5820"/>
    <w:rsid w:val="003A5868"/>
    <w:rsid w:val="003A5DDD"/>
    <w:rsid w:val="003A5FFD"/>
    <w:rsid w:val="003A62CB"/>
    <w:rsid w:val="003A63CF"/>
    <w:rsid w:val="003A664D"/>
    <w:rsid w:val="003A6C3A"/>
    <w:rsid w:val="003A6F23"/>
    <w:rsid w:val="003A7673"/>
    <w:rsid w:val="003A7E35"/>
    <w:rsid w:val="003B0625"/>
    <w:rsid w:val="003B155C"/>
    <w:rsid w:val="003B20DA"/>
    <w:rsid w:val="003B2623"/>
    <w:rsid w:val="003B29A8"/>
    <w:rsid w:val="003B3003"/>
    <w:rsid w:val="003B3267"/>
    <w:rsid w:val="003B40C2"/>
    <w:rsid w:val="003B4101"/>
    <w:rsid w:val="003B4146"/>
    <w:rsid w:val="003B4A5B"/>
    <w:rsid w:val="003B4B50"/>
    <w:rsid w:val="003B4B69"/>
    <w:rsid w:val="003B5131"/>
    <w:rsid w:val="003B559E"/>
    <w:rsid w:val="003B599D"/>
    <w:rsid w:val="003B5ABD"/>
    <w:rsid w:val="003B5FA9"/>
    <w:rsid w:val="003B60CD"/>
    <w:rsid w:val="003B67E3"/>
    <w:rsid w:val="003B7FCC"/>
    <w:rsid w:val="003C0C38"/>
    <w:rsid w:val="003C0CB9"/>
    <w:rsid w:val="003C1038"/>
    <w:rsid w:val="003C11EE"/>
    <w:rsid w:val="003C12E2"/>
    <w:rsid w:val="003C188E"/>
    <w:rsid w:val="003C27F9"/>
    <w:rsid w:val="003C2AA5"/>
    <w:rsid w:val="003C31E6"/>
    <w:rsid w:val="003C36F6"/>
    <w:rsid w:val="003C4B2C"/>
    <w:rsid w:val="003C4E43"/>
    <w:rsid w:val="003C5130"/>
    <w:rsid w:val="003C5158"/>
    <w:rsid w:val="003C5960"/>
    <w:rsid w:val="003C6937"/>
    <w:rsid w:val="003C7350"/>
    <w:rsid w:val="003C7731"/>
    <w:rsid w:val="003C7766"/>
    <w:rsid w:val="003C7B1D"/>
    <w:rsid w:val="003C7EF3"/>
    <w:rsid w:val="003D02AA"/>
    <w:rsid w:val="003D0724"/>
    <w:rsid w:val="003D0969"/>
    <w:rsid w:val="003D0F14"/>
    <w:rsid w:val="003D0F5C"/>
    <w:rsid w:val="003D1B55"/>
    <w:rsid w:val="003D1CCC"/>
    <w:rsid w:val="003D2ABD"/>
    <w:rsid w:val="003D2DA1"/>
    <w:rsid w:val="003D3331"/>
    <w:rsid w:val="003D34FC"/>
    <w:rsid w:val="003D42FB"/>
    <w:rsid w:val="003D435A"/>
    <w:rsid w:val="003D436A"/>
    <w:rsid w:val="003D47E3"/>
    <w:rsid w:val="003D54CE"/>
    <w:rsid w:val="003D562E"/>
    <w:rsid w:val="003D5B24"/>
    <w:rsid w:val="003D6180"/>
    <w:rsid w:val="003D6419"/>
    <w:rsid w:val="003D745D"/>
    <w:rsid w:val="003D795B"/>
    <w:rsid w:val="003E0125"/>
    <w:rsid w:val="003E03F7"/>
    <w:rsid w:val="003E0648"/>
    <w:rsid w:val="003E0D55"/>
    <w:rsid w:val="003E0D7C"/>
    <w:rsid w:val="003E0EE1"/>
    <w:rsid w:val="003E11FF"/>
    <w:rsid w:val="003E14C6"/>
    <w:rsid w:val="003E1A47"/>
    <w:rsid w:val="003E2D79"/>
    <w:rsid w:val="003E2E57"/>
    <w:rsid w:val="003E31F7"/>
    <w:rsid w:val="003E3736"/>
    <w:rsid w:val="003E391A"/>
    <w:rsid w:val="003E3DCA"/>
    <w:rsid w:val="003E49C1"/>
    <w:rsid w:val="003E5452"/>
    <w:rsid w:val="003E55C9"/>
    <w:rsid w:val="003E6272"/>
    <w:rsid w:val="003E6476"/>
    <w:rsid w:val="003E6698"/>
    <w:rsid w:val="003E686C"/>
    <w:rsid w:val="003E68BE"/>
    <w:rsid w:val="003E75ED"/>
    <w:rsid w:val="003F0FE3"/>
    <w:rsid w:val="003F1732"/>
    <w:rsid w:val="003F1C21"/>
    <w:rsid w:val="003F1CAD"/>
    <w:rsid w:val="003F27A5"/>
    <w:rsid w:val="003F2811"/>
    <w:rsid w:val="003F2C1C"/>
    <w:rsid w:val="003F2E17"/>
    <w:rsid w:val="003F3676"/>
    <w:rsid w:val="003F51D6"/>
    <w:rsid w:val="003F5AE6"/>
    <w:rsid w:val="003F5C1D"/>
    <w:rsid w:val="003F5C8F"/>
    <w:rsid w:val="003F5E96"/>
    <w:rsid w:val="003F5F8A"/>
    <w:rsid w:val="003F60C2"/>
    <w:rsid w:val="003F693C"/>
    <w:rsid w:val="003F6F94"/>
    <w:rsid w:val="003F7658"/>
    <w:rsid w:val="003F7727"/>
    <w:rsid w:val="003F7786"/>
    <w:rsid w:val="003F7946"/>
    <w:rsid w:val="003F7E25"/>
    <w:rsid w:val="003F7E35"/>
    <w:rsid w:val="004000E4"/>
    <w:rsid w:val="004002DE"/>
    <w:rsid w:val="004009F5"/>
    <w:rsid w:val="00400FF9"/>
    <w:rsid w:val="004010FE"/>
    <w:rsid w:val="004012BA"/>
    <w:rsid w:val="004015BF"/>
    <w:rsid w:val="004019EA"/>
    <w:rsid w:val="00401BFB"/>
    <w:rsid w:val="00401F9E"/>
    <w:rsid w:val="00402028"/>
    <w:rsid w:val="004023B8"/>
    <w:rsid w:val="00402B7A"/>
    <w:rsid w:val="00402CE8"/>
    <w:rsid w:val="0040306F"/>
    <w:rsid w:val="00403204"/>
    <w:rsid w:val="0040389F"/>
    <w:rsid w:val="00403C41"/>
    <w:rsid w:val="00404037"/>
    <w:rsid w:val="00404277"/>
    <w:rsid w:val="00404C3F"/>
    <w:rsid w:val="00404E68"/>
    <w:rsid w:val="00406715"/>
    <w:rsid w:val="00406D19"/>
    <w:rsid w:val="00411746"/>
    <w:rsid w:val="00411CA1"/>
    <w:rsid w:val="00412D83"/>
    <w:rsid w:val="0041313B"/>
    <w:rsid w:val="0041388D"/>
    <w:rsid w:val="00413A22"/>
    <w:rsid w:val="00414AAC"/>
    <w:rsid w:val="00414E37"/>
    <w:rsid w:val="00414E86"/>
    <w:rsid w:val="004166D2"/>
    <w:rsid w:val="00416A79"/>
    <w:rsid w:val="00416C2B"/>
    <w:rsid w:val="00416DF4"/>
    <w:rsid w:val="0041715E"/>
    <w:rsid w:val="0042014A"/>
    <w:rsid w:val="00420C88"/>
    <w:rsid w:val="0042103B"/>
    <w:rsid w:val="00421094"/>
    <w:rsid w:val="00421129"/>
    <w:rsid w:val="0042127A"/>
    <w:rsid w:val="004218D9"/>
    <w:rsid w:val="0042356F"/>
    <w:rsid w:val="004239FE"/>
    <w:rsid w:val="00423F03"/>
    <w:rsid w:val="0042535D"/>
    <w:rsid w:val="0042651B"/>
    <w:rsid w:val="00426F73"/>
    <w:rsid w:val="00427321"/>
    <w:rsid w:val="00427AC6"/>
    <w:rsid w:val="00430005"/>
    <w:rsid w:val="004300C6"/>
    <w:rsid w:val="00430CE3"/>
    <w:rsid w:val="00430D0C"/>
    <w:rsid w:val="00430D9A"/>
    <w:rsid w:val="004315A2"/>
    <w:rsid w:val="00431958"/>
    <w:rsid w:val="00432088"/>
    <w:rsid w:val="00432B0C"/>
    <w:rsid w:val="00432BF4"/>
    <w:rsid w:val="00433336"/>
    <w:rsid w:val="00433C8C"/>
    <w:rsid w:val="00433D24"/>
    <w:rsid w:val="00433D8E"/>
    <w:rsid w:val="00434EC7"/>
    <w:rsid w:val="00434F7E"/>
    <w:rsid w:val="00435408"/>
    <w:rsid w:val="004357EF"/>
    <w:rsid w:val="00435CF6"/>
    <w:rsid w:val="00435EF3"/>
    <w:rsid w:val="004360A8"/>
    <w:rsid w:val="00437147"/>
    <w:rsid w:val="00437DE4"/>
    <w:rsid w:val="00440114"/>
    <w:rsid w:val="00440136"/>
    <w:rsid w:val="0044045C"/>
    <w:rsid w:val="004404CD"/>
    <w:rsid w:val="00441845"/>
    <w:rsid w:val="00441D63"/>
    <w:rsid w:val="00441F0F"/>
    <w:rsid w:val="004422F6"/>
    <w:rsid w:val="0044279A"/>
    <w:rsid w:val="00443ADB"/>
    <w:rsid w:val="00444187"/>
    <w:rsid w:val="00444444"/>
    <w:rsid w:val="004446C5"/>
    <w:rsid w:val="004449C4"/>
    <w:rsid w:val="004450D5"/>
    <w:rsid w:val="004467D9"/>
    <w:rsid w:val="00446856"/>
    <w:rsid w:val="00447016"/>
    <w:rsid w:val="00447850"/>
    <w:rsid w:val="00450506"/>
    <w:rsid w:val="00450967"/>
    <w:rsid w:val="00450C52"/>
    <w:rsid w:val="00450CB7"/>
    <w:rsid w:val="004512F6"/>
    <w:rsid w:val="004514A1"/>
    <w:rsid w:val="00451B2B"/>
    <w:rsid w:val="00451FDB"/>
    <w:rsid w:val="00452169"/>
    <w:rsid w:val="004527D8"/>
    <w:rsid w:val="00452AC9"/>
    <w:rsid w:val="00452F32"/>
    <w:rsid w:val="004534F3"/>
    <w:rsid w:val="00453971"/>
    <w:rsid w:val="00453A9C"/>
    <w:rsid w:val="00453EE4"/>
    <w:rsid w:val="004543CC"/>
    <w:rsid w:val="00454792"/>
    <w:rsid w:val="004553C6"/>
    <w:rsid w:val="00456EB7"/>
    <w:rsid w:val="004603ED"/>
    <w:rsid w:val="00460891"/>
    <w:rsid w:val="00460E43"/>
    <w:rsid w:val="00461747"/>
    <w:rsid w:val="00461B43"/>
    <w:rsid w:val="00461BA6"/>
    <w:rsid w:val="00462004"/>
    <w:rsid w:val="0046212F"/>
    <w:rsid w:val="004626DA"/>
    <w:rsid w:val="00462965"/>
    <w:rsid w:val="00462D78"/>
    <w:rsid w:val="004630DA"/>
    <w:rsid w:val="004631A5"/>
    <w:rsid w:val="0046335C"/>
    <w:rsid w:val="00463863"/>
    <w:rsid w:val="004639BC"/>
    <w:rsid w:val="00463B7F"/>
    <w:rsid w:val="004640D7"/>
    <w:rsid w:val="00464FCB"/>
    <w:rsid w:val="00465442"/>
    <w:rsid w:val="0046657C"/>
    <w:rsid w:val="00466B37"/>
    <w:rsid w:val="00466C51"/>
    <w:rsid w:val="00467586"/>
    <w:rsid w:val="004679F5"/>
    <w:rsid w:val="00467B9D"/>
    <w:rsid w:val="0047059D"/>
    <w:rsid w:val="004705ED"/>
    <w:rsid w:val="00470BCB"/>
    <w:rsid w:val="00471016"/>
    <w:rsid w:val="004718CA"/>
    <w:rsid w:val="00471E82"/>
    <w:rsid w:val="00472770"/>
    <w:rsid w:val="00472BA1"/>
    <w:rsid w:val="004733E7"/>
    <w:rsid w:val="0047367C"/>
    <w:rsid w:val="004738ED"/>
    <w:rsid w:val="004739C7"/>
    <w:rsid w:val="00474515"/>
    <w:rsid w:val="00474639"/>
    <w:rsid w:val="00475249"/>
    <w:rsid w:val="004753DE"/>
    <w:rsid w:val="004757AC"/>
    <w:rsid w:val="00475845"/>
    <w:rsid w:val="00476B3A"/>
    <w:rsid w:val="00476E96"/>
    <w:rsid w:val="00477D37"/>
    <w:rsid w:val="0048074B"/>
    <w:rsid w:val="00481526"/>
    <w:rsid w:val="00481886"/>
    <w:rsid w:val="00481DE1"/>
    <w:rsid w:val="00482144"/>
    <w:rsid w:val="0048226E"/>
    <w:rsid w:val="0048227C"/>
    <w:rsid w:val="004823EF"/>
    <w:rsid w:val="004825DC"/>
    <w:rsid w:val="00482D5C"/>
    <w:rsid w:val="0048320A"/>
    <w:rsid w:val="00483381"/>
    <w:rsid w:val="00483FA8"/>
    <w:rsid w:val="004841B6"/>
    <w:rsid w:val="00484381"/>
    <w:rsid w:val="00484F13"/>
    <w:rsid w:val="00485AC4"/>
    <w:rsid w:val="00485B21"/>
    <w:rsid w:val="004864D4"/>
    <w:rsid w:val="00486C36"/>
    <w:rsid w:val="00487B53"/>
    <w:rsid w:val="004900F4"/>
    <w:rsid w:val="0049030D"/>
    <w:rsid w:val="004914B6"/>
    <w:rsid w:val="0049156F"/>
    <w:rsid w:val="004917EA"/>
    <w:rsid w:val="00491AB0"/>
    <w:rsid w:val="00491FEC"/>
    <w:rsid w:val="0049206E"/>
    <w:rsid w:val="004925FB"/>
    <w:rsid w:val="00492AF5"/>
    <w:rsid w:val="00492C76"/>
    <w:rsid w:val="00492F6D"/>
    <w:rsid w:val="00493145"/>
    <w:rsid w:val="00493C60"/>
    <w:rsid w:val="004941DB"/>
    <w:rsid w:val="004941FF"/>
    <w:rsid w:val="004946A0"/>
    <w:rsid w:val="00494720"/>
    <w:rsid w:val="004950AE"/>
    <w:rsid w:val="00495274"/>
    <w:rsid w:val="004956F5"/>
    <w:rsid w:val="00495829"/>
    <w:rsid w:val="0049587A"/>
    <w:rsid w:val="0049596E"/>
    <w:rsid w:val="00495AB5"/>
    <w:rsid w:val="00495B32"/>
    <w:rsid w:val="00495D86"/>
    <w:rsid w:val="004964E8"/>
    <w:rsid w:val="00496A2B"/>
    <w:rsid w:val="00496BCA"/>
    <w:rsid w:val="00496D1B"/>
    <w:rsid w:val="0049722F"/>
    <w:rsid w:val="00497604"/>
    <w:rsid w:val="00497DAC"/>
    <w:rsid w:val="004A00AA"/>
    <w:rsid w:val="004A0100"/>
    <w:rsid w:val="004A03DA"/>
    <w:rsid w:val="004A05DA"/>
    <w:rsid w:val="004A14A5"/>
    <w:rsid w:val="004A2282"/>
    <w:rsid w:val="004A2325"/>
    <w:rsid w:val="004A31A3"/>
    <w:rsid w:val="004A378E"/>
    <w:rsid w:val="004A3FD8"/>
    <w:rsid w:val="004A4130"/>
    <w:rsid w:val="004A4259"/>
    <w:rsid w:val="004A4454"/>
    <w:rsid w:val="004A5770"/>
    <w:rsid w:val="004A5927"/>
    <w:rsid w:val="004A5A00"/>
    <w:rsid w:val="004A6251"/>
    <w:rsid w:val="004A66AF"/>
    <w:rsid w:val="004A66EE"/>
    <w:rsid w:val="004A6FA6"/>
    <w:rsid w:val="004A75DE"/>
    <w:rsid w:val="004A7F00"/>
    <w:rsid w:val="004B03FA"/>
    <w:rsid w:val="004B1699"/>
    <w:rsid w:val="004B1DB2"/>
    <w:rsid w:val="004B2036"/>
    <w:rsid w:val="004B2863"/>
    <w:rsid w:val="004B29B9"/>
    <w:rsid w:val="004B3AD1"/>
    <w:rsid w:val="004B3CA4"/>
    <w:rsid w:val="004B41D8"/>
    <w:rsid w:val="004B46F1"/>
    <w:rsid w:val="004B4FE9"/>
    <w:rsid w:val="004B5157"/>
    <w:rsid w:val="004B5806"/>
    <w:rsid w:val="004B5B32"/>
    <w:rsid w:val="004B67C6"/>
    <w:rsid w:val="004B6876"/>
    <w:rsid w:val="004B69FC"/>
    <w:rsid w:val="004B6AB7"/>
    <w:rsid w:val="004B6B40"/>
    <w:rsid w:val="004B6DAC"/>
    <w:rsid w:val="004B744D"/>
    <w:rsid w:val="004B79B1"/>
    <w:rsid w:val="004C0747"/>
    <w:rsid w:val="004C215E"/>
    <w:rsid w:val="004C2A04"/>
    <w:rsid w:val="004C3060"/>
    <w:rsid w:val="004C3219"/>
    <w:rsid w:val="004C39CD"/>
    <w:rsid w:val="004C3E23"/>
    <w:rsid w:val="004C40A4"/>
    <w:rsid w:val="004C4115"/>
    <w:rsid w:val="004C454A"/>
    <w:rsid w:val="004C4B96"/>
    <w:rsid w:val="004C4CC8"/>
    <w:rsid w:val="004C4DF1"/>
    <w:rsid w:val="004C4EE6"/>
    <w:rsid w:val="004C4F45"/>
    <w:rsid w:val="004C5462"/>
    <w:rsid w:val="004C5901"/>
    <w:rsid w:val="004C5E9D"/>
    <w:rsid w:val="004C5F58"/>
    <w:rsid w:val="004C617B"/>
    <w:rsid w:val="004C6788"/>
    <w:rsid w:val="004C6B15"/>
    <w:rsid w:val="004C746A"/>
    <w:rsid w:val="004C7B75"/>
    <w:rsid w:val="004C7CC4"/>
    <w:rsid w:val="004D01B8"/>
    <w:rsid w:val="004D05C5"/>
    <w:rsid w:val="004D07EA"/>
    <w:rsid w:val="004D09BD"/>
    <w:rsid w:val="004D0C04"/>
    <w:rsid w:val="004D123A"/>
    <w:rsid w:val="004D2074"/>
    <w:rsid w:val="004D2C2F"/>
    <w:rsid w:val="004D2C77"/>
    <w:rsid w:val="004D2EC0"/>
    <w:rsid w:val="004D39C4"/>
    <w:rsid w:val="004D3A0B"/>
    <w:rsid w:val="004D43FA"/>
    <w:rsid w:val="004D53A0"/>
    <w:rsid w:val="004D59B4"/>
    <w:rsid w:val="004D5C14"/>
    <w:rsid w:val="004D6276"/>
    <w:rsid w:val="004D64E0"/>
    <w:rsid w:val="004D66EE"/>
    <w:rsid w:val="004D6C03"/>
    <w:rsid w:val="004D7A16"/>
    <w:rsid w:val="004D7C52"/>
    <w:rsid w:val="004E0751"/>
    <w:rsid w:val="004E15CD"/>
    <w:rsid w:val="004E162C"/>
    <w:rsid w:val="004E25AE"/>
    <w:rsid w:val="004E2FE2"/>
    <w:rsid w:val="004E3411"/>
    <w:rsid w:val="004E3835"/>
    <w:rsid w:val="004E39FE"/>
    <w:rsid w:val="004E579C"/>
    <w:rsid w:val="004E5856"/>
    <w:rsid w:val="004E596C"/>
    <w:rsid w:val="004E742E"/>
    <w:rsid w:val="004E75C8"/>
    <w:rsid w:val="004E7766"/>
    <w:rsid w:val="004F0317"/>
    <w:rsid w:val="004F07BA"/>
    <w:rsid w:val="004F1C5F"/>
    <w:rsid w:val="004F2ADE"/>
    <w:rsid w:val="004F3970"/>
    <w:rsid w:val="004F3EFC"/>
    <w:rsid w:val="004F4859"/>
    <w:rsid w:val="004F6159"/>
    <w:rsid w:val="004F61B0"/>
    <w:rsid w:val="004F61DA"/>
    <w:rsid w:val="004F6685"/>
    <w:rsid w:val="004F6D59"/>
    <w:rsid w:val="004F72E0"/>
    <w:rsid w:val="004F7813"/>
    <w:rsid w:val="004F7897"/>
    <w:rsid w:val="004F7BF4"/>
    <w:rsid w:val="004F7E75"/>
    <w:rsid w:val="005006EC"/>
    <w:rsid w:val="0050071E"/>
    <w:rsid w:val="00500FE1"/>
    <w:rsid w:val="00501472"/>
    <w:rsid w:val="005014FD"/>
    <w:rsid w:val="00501B2A"/>
    <w:rsid w:val="00501D0C"/>
    <w:rsid w:val="00501D9B"/>
    <w:rsid w:val="00501FFC"/>
    <w:rsid w:val="00502590"/>
    <w:rsid w:val="0050272C"/>
    <w:rsid w:val="005035C6"/>
    <w:rsid w:val="00503677"/>
    <w:rsid w:val="00503E46"/>
    <w:rsid w:val="005044A8"/>
    <w:rsid w:val="005046EE"/>
    <w:rsid w:val="005049F5"/>
    <w:rsid w:val="00505641"/>
    <w:rsid w:val="005062EA"/>
    <w:rsid w:val="005067ED"/>
    <w:rsid w:val="005068F5"/>
    <w:rsid w:val="0050694B"/>
    <w:rsid w:val="00506FC2"/>
    <w:rsid w:val="005072E1"/>
    <w:rsid w:val="005073E6"/>
    <w:rsid w:val="00507ABE"/>
    <w:rsid w:val="00507D2C"/>
    <w:rsid w:val="005104D8"/>
    <w:rsid w:val="0051096D"/>
    <w:rsid w:val="00510EF4"/>
    <w:rsid w:val="005112E5"/>
    <w:rsid w:val="00511D3C"/>
    <w:rsid w:val="00511E12"/>
    <w:rsid w:val="00513896"/>
    <w:rsid w:val="005139BC"/>
    <w:rsid w:val="00514694"/>
    <w:rsid w:val="00514BDE"/>
    <w:rsid w:val="00515330"/>
    <w:rsid w:val="005158DD"/>
    <w:rsid w:val="00515D3B"/>
    <w:rsid w:val="00516041"/>
    <w:rsid w:val="00516182"/>
    <w:rsid w:val="00516396"/>
    <w:rsid w:val="005164DE"/>
    <w:rsid w:val="00517CD1"/>
    <w:rsid w:val="005200E2"/>
    <w:rsid w:val="005208D7"/>
    <w:rsid w:val="0052165C"/>
    <w:rsid w:val="00521A16"/>
    <w:rsid w:val="00521FAD"/>
    <w:rsid w:val="00522A4C"/>
    <w:rsid w:val="00523152"/>
    <w:rsid w:val="00523C99"/>
    <w:rsid w:val="00524AEB"/>
    <w:rsid w:val="00525934"/>
    <w:rsid w:val="00525F1A"/>
    <w:rsid w:val="005265C4"/>
    <w:rsid w:val="00526992"/>
    <w:rsid w:val="00526F13"/>
    <w:rsid w:val="00526F9A"/>
    <w:rsid w:val="0052731A"/>
    <w:rsid w:val="00527534"/>
    <w:rsid w:val="0052776C"/>
    <w:rsid w:val="00527860"/>
    <w:rsid w:val="00527959"/>
    <w:rsid w:val="00527D00"/>
    <w:rsid w:val="005303A4"/>
    <w:rsid w:val="0053046E"/>
    <w:rsid w:val="00530FDA"/>
    <w:rsid w:val="00532A82"/>
    <w:rsid w:val="005336CD"/>
    <w:rsid w:val="00533732"/>
    <w:rsid w:val="00533830"/>
    <w:rsid w:val="00533D0D"/>
    <w:rsid w:val="00533E16"/>
    <w:rsid w:val="00534EF8"/>
    <w:rsid w:val="00534F13"/>
    <w:rsid w:val="005350B7"/>
    <w:rsid w:val="00535262"/>
    <w:rsid w:val="0053589D"/>
    <w:rsid w:val="0053625B"/>
    <w:rsid w:val="00536D4A"/>
    <w:rsid w:val="005370FC"/>
    <w:rsid w:val="0054004F"/>
    <w:rsid w:val="00540C86"/>
    <w:rsid w:val="005415DB"/>
    <w:rsid w:val="005417EB"/>
    <w:rsid w:val="00541A84"/>
    <w:rsid w:val="005420BF"/>
    <w:rsid w:val="00542174"/>
    <w:rsid w:val="00542244"/>
    <w:rsid w:val="00542570"/>
    <w:rsid w:val="00542C3E"/>
    <w:rsid w:val="00542CA4"/>
    <w:rsid w:val="005432F3"/>
    <w:rsid w:val="005434C0"/>
    <w:rsid w:val="00543855"/>
    <w:rsid w:val="00543DDC"/>
    <w:rsid w:val="00544723"/>
    <w:rsid w:val="00544751"/>
    <w:rsid w:val="005447B7"/>
    <w:rsid w:val="0054523E"/>
    <w:rsid w:val="0054554A"/>
    <w:rsid w:val="0054574A"/>
    <w:rsid w:val="00545BAA"/>
    <w:rsid w:val="0054741E"/>
    <w:rsid w:val="00547554"/>
    <w:rsid w:val="005475BB"/>
    <w:rsid w:val="0054778B"/>
    <w:rsid w:val="00547BFA"/>
    <w:rsid w:val="005524D4"/>
    <w:rsid w:val="0055323C"/>
    <w:rsid w:val="005538C9"/>
    <w:rsid w:val="005548C0"/>
    <w:rsid w:val="00554EF5"/>
    <w:rsid w:val="0055525A"/>
    <w:rsid w:val="00555630"/>
    <w:rsid w:val="00555DAC"/>
    <w:rsid w:val="00555EDF"/>
    <w:rsid w:val="00555F07"/>
    <w:rsid w:val="00556235"/>
    <w:rsid w:val="00556319"/>
    <w:rsid w:val="00556472"/>
    <w:rsid w:val="00556D54"/>
    <w:rsid w:val="005570A6"/>
    <w:rsid w:val="00557133"/>
    <w:rsid w:val="00557167"/>
    <w:rsid w:val="005572A7"/>
    <w:rsid w:val="005601D2"/>
    <w:rsid w:val="00560575"/>
    <w:rsid w:val="005609CB"/>
    <w:rsid w:val="00560E52"/>
    <w:rsid w:val="0056151E"/>
    <w:rsid w:val="00561EA8"/>
    <w:rsid w:val="005620E2"/>
    <w:rsid w:val="0056225F"/>
    <w:rsid w:val="005625A4"/>
    <w:rsid w:val="00563043"/>
    <w:rsid w:val="00563502"/>
    <w:rsid w:val="0056466E"/>
    <w:rsid w:val="005646B8"/>
    <w:rsid w:val="00564E21"/>
    <w:rsid w:val="00565EDD"/>
    <w:rsid w:val="00566331"/>
    <w:rsid w:val="00567821"/>
    <w:rsid w:val="00567AFD"/>
    <w:rsid w:val="00567C20"/>
    <w:rsid w:val="00567CC7"/>
    <w:rsid w:val="00567E1B"/>
    <w:rsid w:val="00570640"/>
    <w:rsid w:val="0057194A"/>
    <w:rsid w:val="00571C57"/>
    <w:rsid w:val="00571F89"/>
    <w:rsid w:val="005735DE"/>
    <w:rsid w:val="0057443A"/>
    <w:rsid w:val="005745B8"/>
    <w:rsid w:val="00574605"/>
    <w:rsid w:val="00574ADC"/>
    <w:rsid w:val="005754D8"/>
    <w:rsid w:val="00575CAE"/>
    <w:rsid w:val="00575EC9"/>
    <w:rsid w:val="00575EFE"/>
    <w:rsid w:val="00576989"/>
    <w:rsid w:val="00576C2E"/>
    <w:rsid w:val="00576C8F"/>
    <w:rsid w:val="00576D65"/>
    <w:rsid w:val="00576F6E"/>
    <w:rsid w:val="00577337"/>
    <w:rsid w:val="00577570"/>
    <w:rsid w:val="00577A4D"/>
    <w:rsid w:val="0058046C"/>
    <w:rsid w:val="005804C2"/>
    <w:rsid w:val="005804D8"/>
    <w:rsid w:val="00580726"/>
    <w:rsid w:val="005811EC"/>
    <w:rsid w:val="005811F0"/>
    <w:rsid w:val="005814B7"/>
    <w:rsid w:val="00581514"/>
    <w:rsid w:val="005819DD"/>
    <w:rsid w:val="00581A83"/>
    <w:rsid w:val="00581B24"/>
    <w:rsid w:val="00581FCA"/>
    <w:rsid w:val="00582613"/>
    <w:rsid w:val="0058272D"/>
    <w:rsid w:val="0058290E"/>
    <w:rsid w:val="0058294C"/>
    <w:rsid w:val="00582FD0"/>
    <w:rsid w:val="005833DB"/>
    <w:rsid w:val="00583965"/>
    <w:rsid w:val="00583BFC"/>
    <w:rsid w:val="00583DE0"/>
    <w:rsid w:val="00584196"/>
    <w:rsid w:val="005845D9"/>
    <w:rsid w:val="00584679"/>
    <w:rsid w:val="0058480B"/>
    <w:rsid w:val="005863C8"/>
    <w:rsid w:val="0058640F"/>
    <w:rsid w:val="00586E4A"/>
    <w:rsid w:val="0058726E"/>
    <w:rsid w:val="005901D1"/>
    <w:rsid w:val="00590688"/>
    <w:rsid w:val="00590933"/>
    <w:rsid w:val="00590FE7"/>
    <w:rsid w:val="005913CD"/>
    <w:rsid w:val="0059199C"/>
    <w:rsid w:val="00591DEF"/>
    <w:rsid w:val="005923F2"/>
    <w:rsid w:val="005929F3"/>
    <w:rsid w:val="00592D90"/>
    <w:rsid w:val="005932AF"/>
    <w:rsid w:val="0059381D"/>
    <w:rsid w:val="00594BC6"/>
    <w:rsid w:val="00594F35"/>
    <w:rsid w:val="00595003"/>
    <w:rsid w:val="005953B5"/>
    <w:rsid w:val="0059576F"/>
    <w:rsid w:val="005958F6"/>
    <w:rsid w:val="00595CD5"/>
    <w:rsid w:val="00596058"/>
    <w:rsid w:val="0059665E"/>
    <w:rsid w:val="00596ADE"/>
    <w:rsid w:val="00597213"/>
    <w:rsid w:val="005973E8"/>
    <w:rsid w:val="0059751A"/>
    <w:rsid w:val="00597B82"/>
    <w:rsid w:val="00597DFA"/>
    <w:rsid w:val="005A064F"/>
    <w:rsid w:val="005A1230"/>
    <w:rsid w:val="005A125C"/>
    <w:rsid w:val="005A158B"/>
    <w:rsid w:val="005A1874"/>
    <w:rsid w:val="005A20E0"/>
    <w:rsid w:val="005A2494"/>
    <w:rsid w:val="005A2610"/>
    <w:rsid w:val="005A30B5"/>
    <w:rsid w:val="005A36B9"/>
    <w:rsid w:val="005A41F5"/>
    <w:rsid w:val="005A4CA3"/>
    <w:rsid w:val="005A56A4"/>
    <w:rsid w:val="005A5831"/>
    <w:rsid w:val="005A6353"/>
    <w:rsid w:val="005A76A1"/>
    <w:rsid w:val="005A7F8F"/>
    <w:rsid w:val="005B0CA0"/>
    <w:rsid w:val="005B154C"/>
    <w:rsid w:val="005B1D2E"/>
    <w:rsid w:val="005B20D8"/>
    <w:rsid w:val="005B298D"/>
    <w:rsid w:val="005B2A33"/>
    <w:rsid w:val="005B3045"/>
    <w:rsid w:val="005B35CA"/>
    <w:rsid w:val="005B3957"/>
    <w:rsid w:val="005B4507"/>
    <w:rsid w:val="005B475B"/>
    <w:rsid w:val="005B4B03"/>
    <w:rsid w:val="005B5346"/>
    <w:rsid w:val="005B591C"/>
    <w:rsid w:val="005B6270"/>
    <w:rsid w:val="005B673A"/>
    <w:rsid w:val="005B7914"/>
    <w:rsid w:val="005B7AA4"/>
    <w:rsid w:val="005B7B4A"/>
    <w:rsid w:val="005B7C71"/>
    <w:rsid w:val="005C03B3"/>
    <w:rsid w:val="005C0874"/>
    <w:rsid w:val="005C0949"/>
    <w:rsid w:val="005C099D"/>
    <w:rsid w:val="005C0C30"/>
    <w:rsid w:val="005C0D82"/>
    <w:rsid w:val="005C19AE"/>
    <w:rsid w:val="005C20A8"/>
    <w:rsid w:val="005C20EB"/>
    <w:rsid w:val="005C40F3"/>
    <w:rsid w:val="005C4181"/>
    <w:rsid w:val="005C4640"/>
    <w:rsid w:val="005C512F"/>
    <w:rsid w:val="005C55AB"/>
    <w:rsid w:val="005C5790"/>
    <w:rsid w:val="005C60E1"/>
    <w:rsid w:val="005C7913"/>
    <w:rsid w:val="005D0056"/>
    <w:rsid w:val="005D00A2"/>
    <w:rsid w:val="005D0247"/>
    <w:rsid w:val="005D0795"/>
    <w:rsid w:val="005D08D2"/>
    <w:rsid w:val="005D0A84"/>
    <w:rsid w:val="005D1DF1"/>
    <w:rsid w:val="005D1E74"/>
    <w:rsid w:val="005D2375"/>
    <w:rsid w:val="005D29DE"/>
    <w:rsid w:val="005D3738"/>
    <w:rsid w:val="005D3C79"/>
    <w:rsid w:val="005D4640"/>
    <w:rsid w:val="005D475E"/>
    <w:rsid w:val="005D4C3E"/>
    <w:rsid w:val="005D5830"/>
    <w:rsid w:val="005D5AB7"/>
    <w:rsid w:val="005D5C54"/>
    <w:rsid w:val="005D5E96"/>
    <w:rsid w:val="005D5E9E"/>
    <w:rsid w:val="005D6696"/>
    <w:rsid w:val="005D7636"/>
    <w:rsid w:val="005D772D"/>
    <w:rsid w:val="005D7835"/>
    <w:rsid w:val="005D7C36"/>
    <w:rsid w:val="005E07E6"/>
    <w:rsid w:val="005E094B"/>
    <w:rsid w:val="005E0A21"/>
    <w:rsid w:val="005E198E"/>
    <w:rsid w:val="005E1DA2"/>
    <w:rsid w:val="005E1F83"/>
    <w:rsid w:val="005E20FE"/>
    <w:rsid w:val="005E38DA"/>
    <w:rsid w:val="005E3C35"/>
    <w:rsid w:val="005E3CEE"/>
    <w:rsid w:val="005E3F0C"/>
    <w:rsid w:val="005E4FF7"/>
    <w:rsid w:val="005E6E45"/>
    <w:rsid w:val="005E74B6"/>
    <w:rsid w:val="005E75DD"/>
    <w:rsid w:val="005E78A5"/>
    <w:rsid w:val="005F0A12"/>
    <w:rsid w:val="005F14D4"/>
    <w:rsid w:val="005F21E7"/>
    <w:rsid w:val="005F2368"/>
    <w:rsid w:val="005F26F8"/>
    <w:rsid w:val="005F2A85"/>
    <w:rsid w:val="005F2B37"/>
    <w:rsid w:val="005F3012"/>
    <w:rsid w:val="005F35E7"/>
    <w:rsid w:val="005F4029"/>
    <w:rsid w:val="005F4198"/>
    <w:rsid w:val="005F48FA"/>
    <w:rsid w:val="005F4A40"/>
    <w:rsid w:val="005F4AE6"/>
    <w:rsid w:val="005F4CC5"/>
    <w:rsid w:val="005F543E"/>
    <w:rsid w:val="005F5963"/>
    <w:rsid w:val="005F5CFB"/>
    <w:rsid w:val="005F603D"/>
    <w:rsid w:val="005F624D"/>
    <w:rsid w:val="005F6753"/>
    <w:rsid w:val="005F6AE2"/>
    <w:rsid w:val="005F715D"/>
    <w:rsid w:val="005F71F6"/>
    <w:rsid w:val="005F7A6D"/>
    <w:rsid w:val="0060006A"/>
    <w:rsid w:val="006000EE"/>
    <w:rsid w:val="006002D6"/>
    <w:rsid w:val="00600F74"/>
    <w:rsid w:val="006013CB"/>
    <w:rsid w:val="006020D4"/>
    <w:rsid w:val="006022EE"/>
    <w:rsid w:val="00603EF9"/>
    <w:rsid w:val="00604026"/>
    <w:rsid w:val="006040D2"/>
    <w:rsid w:val="006041B0"/>
    <w:rsid w:val="006048CF"/>
    <w:rsid w:val="00604AA8"/>
    <w:rsid w:val="00605330"/>
    <w:rsid w:val="00605A2E"/>
    <w:rsid w:val="00605ECD"/>
    <w:rsid w:val="00606927"/>
    <w:rsid w:val="00606ADE"/>
    <w:rsid w:val="00607429"/>
    <w:rsid w:val="00607623"/>
    <w:rsid w:val="00607821"/>
    <w:rsid w:val="00607947"/>
    <w:rsid w:val="00607D01"/>
    <w:rsid w:val="00610286"/>
    <w:rsid w:val="006106ED"/>
    <w:rsid w:val="00610D9C"/>
    <w:rsid w:val="0061169D"/>
    <w:rsid w:val="0061237F"/>
    <w:rsid w:val="006123B4"/>
    <w:rsid w:val="00612760"/>
    <w:rsid w:val="0061282A"/>
    <w:rsid w:val="006134AF"/>
    <w:rsid w:val="00613CDB"/>
    <w:rsid w:val="006145F1"/>
    <w:rsid w:val="006151D6"/>
    <w:rsid w:val="006156BA"/>
    <w:rsid w:val="00615C8C"/>
    <w:rsid w:val="00616938"/>
    <w:rsid w:val="00617212"/>
    <w:rsid w:val="0061729B"/>
    <w:rsid w:val="00617399"/>
    <w:rsid w:val="00620518"/>
    <w:rsid w:val="00620AF2"/>
    <w:rsid w:val="00620E19"/>
    <w:rsid w:val="00621047"/>
    <w:rsid w:val="00621094"/>
    <w:rsid w:val="00621262"/>
    <w:rsid w:val="00621472"/>
    <w:rsid w:val="006214A4"/>
    <w:rsid w:val="00621761"/>
    <w:rsid w:val="006217EA"/>
    <w:rsid w:val="00621855"/>
    <w:rsid w:val="006221DA"/>
    <w:rsid w:val="006225D8"/>
    <w:rsid w:val="0062274C"/>
    <w:rsid w:val="00622CDA"/>
    <w:rsid w:val="00623639"/>
    <w:rsid w:val="0062408A"/>
    <w:rsid w:val="006240C6"/>
    <w:rsid w:val="006241AE"/>
    <w:rsid w:val="0062448A"/>
    <w:rsid w:val="0062465B"/>
    <w:rsid w:val="00625B4D"/>
    <w:rsid w:val="00625BCE"/>
    <w:rsid w:val="00626478"/>
    <w:rsid w:val="006267D5"/>
    <w:rsid w:val="00627723"/>
    <w:rsid w:val="00627B1D"/>
    <w:rsid w:val="00633145"/>
    <w:rsid w:val="00633B81"/>
    <w:rsid w:val="00635EEE"/>
    <w:rsid w:val="00636957"/>
    <w:rsid w:val="006369DE"/>
    <w:rsid w:val="00636ACB"/>
    <w:rsid w:val="00636CE6"/>
    <w:rsid w:val="00636FF4"/>
    <w:rsid w:val="00637704"/>
    <w:rsid w:val="0063777D"/>
    <w:rsid w:val="006378AE"/>
    <w:rsid w:val="00637A80"/>
    <w:rsid w:val="006406F9"/>
    <w:rsid w:val="00640C27"/>
    <w:rsid w:val="00640EF1"/>
    <w:rsid w:val="006412F2"/>
    <w:rsid w:val="0064162F"/>
    <w:rsid w:val="006416EA"/>
    <w:rsid w:val="00641A7B"/>
    <w:rsid w:val="00641BEC"/>
    <w:rsid w:val="00641D34"/>
    <w:rsid w:val="00641F14"/>
    <w:rsid w:val="006424E8"/>
    <w:rsid w:val="0064262C"/>
    <w:rsid w:val="00642A82"/>
    <w:rsid w:val="00642AFB"/>
    <w:rsid w:val="00643301"/>
    <w:rsid w:val="00643DB4"/>
    <w:rsid w:val="00643F0E"/>
    <w:rsid w:val="00644099"/>
    <w:rsid w:val="0064449D"/>
    <w:rsid w:val="0064476C"/>
    <w:rsid w:val="0064486F"/>
    <w:rsid w:val="00644A81"/>
    <w:rsid w:val="00644B4C"/>
    <w:rsid w:val="00644B62"/>
    <w:rsid w:val="00645479"/>
    <w:rsid w:val="0064570F"/>
    <w:rsid w:val="006458F9"/>
    <w:rsid w:val="00645E86"/>
    <w:rsid w:val="00646110"/>
    <w:rsid w:val="006463B9"/>
    <w:rsid w:val="00646F34"/>
    <w:rsid w:val="0064724E"/>
    <w:rsid w:val="006473EB"/>
    <w:rsid w:val="00647A0E"/>
    <w:rsid w:val="00647B95"/>
    <w:rsid w:val="00647D38"/>
    <w:rsid w:val="00647EB8"/>
    <w:rsid w:val="006506EA"/>
    <w:rsid w:val="00650BDA"/>
    <w:rsid w:val="006512F7"/>
    <w:rsid w:val="00651618"/>
    <w:rsid w:val="00651CEE"/>
    <w:rsid w:val="00652566"/>
    <w:rsid w:val="00652E9C"/>
    <w:rsid w:val="006531CA"/>
    <w:rsid w:val="00653E00"/>
    <w:rsid w:val="00653FA8"/>
    <w:rsid w:val="0065424F"/>
    <w:rsid w:val="00654AAE"/>
    <w:rsid w:val="00654B30"/>
    <w:rsid w:val="00654C78"/>
    <w:rsid w:val="006553AD"/>
    <w:rsid w:val="006557C2"/>
    <w:rsid w:val="00655CC9"/>
    <w:rsid w:val="00656C5F"/>
    <w:rsid w:val="00657B36"/>
    <w:rsid w:val="00657DB6"/>
    <w:rsid w:val="00660454"/>
    <w:rsid w:val="00660727"/>
    <w:rsid w:val="00661261"/>
    <w:rsid w:val="00661579"/>
    <w:rsid w:val="0066168F"/>
    <w:rsid w:val="006619FD"/>
    <w:rsid w:val="00661D1C"/>
    <w:rsid w:val="00661DE7"/>
    <w:rsid w:val="00661E80"/>
    <w:rsid w:val="00661F02"/>
    <w:rsid w:val="0066214B"/>
    <w:rsid w:val="0066227F"/>
    <w:rsid w:val="006626E4"/>
    <w:rsid w:val="00662A3B"/>
    <w:rsid w:val="00662A53"/>
    <w:rsid w:val="00662BB8"/>
    <w:rsid w:val="00663116"/>
    <w:rsid w:val="0066342E"/>
    <w:rsid w:val="00664280"/>
    <w:rsid w:val="0066489E"/>
    <w:rsid w:val="00664948"/>
    <w:rsid w:val="00664A0C"/>
    <w:rsid w:val="00664DBE"/>
    <w:rsid w:val="00664FD1"/>
    <w:rsid w:val="006650A6"/>
    <w:rsid w:val="00665179"/>
    <w:rsid w:val="00665C2A"/>
    <w:rsid w:val="00666286"/>
    <w:rsid w:val="00666463"/>
    <w:rsid w:val="00666777"/>
    <w:rsid w:val="00667482"/>
    <w:rsid w:val="006677FE"/>
    <w:rsid w:val="0067002D"/>
    <w:rsid w:val="0067016E"/>
    <w:rsid w:val="006705ED"/>
    <w:rsid w:val="00671824"/>
    <w:rsid w:val="006722B0"/>
    <w:rsid w:val="00672447"/>
    <w:rsid w:val="00672A82"/>
    <w:rsid w:val="00673001"/>
    <w:rsid w:val="006732C6"/>
    <w:rsid w:val="006734CD"/>
    <w:rsid w:val="0067412B"/>
    <w:rsid w:val="006743F5"/>
    <w:rsid w:val="006744CC"/>
    <w:rsid w:val="00674578"/>
    <w:rsid w:val="00675231"/>
    <w:rsid w:val="0067535D"/>
    <w:rsid w:val="006755E5"/>
    <w:rsid w:val="0067565F"/>
    <w:rsid w:val="00675F14"/>
    <w:rsid w:val="0067660A"/>
    <w:rsid w:val="00676774"/>
    <w:rsid w:val="00676B3F"/>
    <w:rsid w:val="006773E1"/>
    <w:rsid w:val="0067745C"/>
    <w:rsid w:val="0067766E"/>
    <w:rsid w:val="00677E78"/>
    <w:rsid w:val="0068028A"/>
    <w:rsid w:val="00681E2D"/>
    <w:rsid w:val="00681EB5"/>
    <w:rsid w:val="006822C8"/>
    <w:rsid w:val="006830F3"/>
    <w:rsid w:val="00683359"/>
    <w:rsid w:val="0068341E"/>
    <w:rsid w:val="0068350A"/>
    <w:rsid w:val="00683CE2"/>
    <w:rsid w:val="00683DAB"/>
    <w:rsid w:val="00684027"/>
    <w:rsid w:val="00684137"/>
    <w:rsid w:val="006844BB"/>
    <w:rsid w:val="00684EF5"/>
    <w:rsid w:val="00686302"/>
    <w:rsid w:val="006863C5"/>
    <w:rsid w:val="00687106"/>
    <w:rsid w:val="006873F6"/>
    <w:rsid w:val="006876E2"/>
    <w:rsid w:val="00687C72"/>
    <w:rsid w:val="0069040E"/>
    <w:rsid w:val="006907D5"/>
    <w:rsid w:val="00690FEE"/>
    <w:rsid w:val="0069111F"/>
    <w:rsid w:val="006914F3"/>
    <w:rsid w:val="006918F1"/>
    <w:rsid w:val="0069265B"/>
    <w:rsid w:val="00693109"/>
    <w:rsid w:val="006937BC"/>
    <w:rsid w:val="00693EB9"/>
    <w:rsid w:val="0069531E"/>
    <w:rsid w:val="006956E1"/>
    <w:rsid w:val="00695928"/>
    <w:rsid w:val="00695DDE"/>
    <w:rsid w:val="00695EE2"/>
    <w:rsid w:val="00696594"/>
    <w:rsid w:val="00696A03"/>
    <w:rsid w:val="00696A28"/>
    <w:rsid w:val="00696C06"/>
    <w:rsid w:val="006971C9"/>
    <w:rsid w:val="0069723C"/>
    <w:rsid w:val="0069761E"/>
    <w:rsid w:val="00697D1A"/>
    <w:rsid w:val="00697D5F"/>
    <w:rsid w:val="00697F8E"/>
    <w:rsid w:val="006A03A4"/>
    <w:rsid w:val="006A03A9"/>
    <w:rsid w:val="006A0875"/>
    <w:rsid w:val="006A124F"/>
    <w:rsid w:val="006A13EB"/>
    <w:rsid w:val="006A15E7"/>
    <w:rsid w:val="006A1828"/>
    <w:rsid w:val="006A1A69"/>
    <w:rsid w:val="006A1FF0"/>
    <w:rsid w:val="006A28F3"/>
    <w:rsid w:val="006A433F"/>
    <w:rsid w:val="006A4C35"/>
    <w:rsid w:val="006A5313"/>
    <w:rsid w:val="006A55B2"/>
    <w:rsid w:val="006A5814"/>
    <w:rsid w:val="006A5E18"/>
    <w:rsid w:val="006A5F72"/>
    <w:rsid w:val="006A5FC4"/>
    <w:rsid w:val="006A61BE"/>
    <w:rsid w:val="006A6796"/>
    <w:rsid w:val="006A6907"/>
    <w:rsid w:val="006A6B9A"/>
    <w:rsid w:val="006A6D61"/>
    <w:rsid w:val="006A717D"/>
    <w:rsid w:val="006A7205"/>
    <w:rsid w:val="006A788D"/>
    <w:rsid w:val="006A7B79"/>
    <w:rsid w:val="006A7BD7"/>
    <w:rsid w:val="006B0A4F"/>
    <w:rsid w:val="006B0D16"/>
    <w:rsid w:val="006B0DFF"/>
    <w:rsid w:val="006B2CEE"/>
    <w:rsid w:val="006B2FAD"/>
    <w:rsid w:val="006B37A0"/>
    <w:rsid w:val="006B3C28"/>
    <w:rsid w:val="006B4155"/>
    <w:rsid w:val="006B476E"/>
    <w:rsid w:val="006B4ACF"/>
    <w:rsid w:val="006B4EAE"/>
    <w:rsid w:val="006B519B"/>
    <w:rsid w:val="006B52E7"/>
    <w:rsid w:val="006B590A"/>
    <w:rsid w:val="006B5ECD"/>
    <w:rsid w:val="006B6461"/>
    <w:rsid w:val="006B696D"/>
    <w:rsid w:val="006B6BC7"/>
    <w:rsid w:val="006B7AAE"/>
    <w:rsid w:val="006B7C8A"/>
    <w:rsid w:val="006C0016"/>
    <w:rsid w:val="006C0024"/>
    <w:rsid w:val="006C0851"/>
    <w:rsid w:val="006C0BD6"/>
    <w:rsid w:val="006C0DE1"/>
    <w:rsid w:val="006C135F"/>
    <w:rsid w:val="006C148F"/>
    <w:rsid w:val="006C2265"/>
    <w:rsid w:val="006C26E1"/>
    <w:rsid w:val="006C2A5F"/>
    <w:rsid w:val="006C3878"/>
    <w:rsid w:val="006C3890"/>
    <w:rsid w:val="006C3D19"/>
    <w:rsid w:val="006C3DE0"/>
    <w:rsid w:val="006C4623"/>
    <w:rsid w:val="006C4FF1"/>
    <w:rsid w:val="006C549F"/>
    <w:rsid w:val="006C5DE0"/>
    <w:rsid w:val="006C63B0"/>
    <w:rsid w:val="006C64DA"/>
    <w:rsid w:val="006D0012"/>
    <w:rsid w:val="006D0585"/>
    <w:rsid w:val="006D06DB"/>
    <w:rsid w:val="006D2F5E"/>
    <w:rsid w:val="006D2F8E"/>
    <w:rsid w:val="006D377C"/>
    <w:rsid w:val="006D455A"/>
    <w:rsid w:val="006D574D"/>
    <w:rsid w:val="006D659B"/>
    <w:rsid w:val="006D669C"/>
    <w:rsid w:val="006D6992"/>
    <w:rsid w:val="006D7A60"/>
    <w:rsid w:val="006D7C45"/>
    <w:rsid w:val="006D7FDD"/>
    <w:rsid w:val="006E021D"/>
    <w:rsid w:val="006E04A8"/>
    <w:rsid w:val="006E0CB9"/>
    <w:rsid w:val="006E0D78"/>
    <w:rsid w:val="006E0EB6"/>
    <w:rsid w:val="006E0FE4"/>
    <w:rsid w:val="006E1047"/>
    <w:rsid w:val="006E152C"/>
    <w:rsid w:val="006E15AC"/>
    <w:rsid w:val="006E163F"/>
    <w:rsid w:val="006E16FF"/>
    <w:rsid w:val="006E1F21"/>
    <w:rsid w:val="006E2311"/>
    <w:rsid w:val="006E2496"/>
    <w:rsid w:val="006E277E"/>
    <w:rsid w:val="006E2D55"/>
    <w:rsid w:val="006E2EA3"/>
    <w:rsid w:val="006E34C0"/>
    <w:rsid w:val="006E3562"/>
    <w:rsid w:val="006E3820"/>
    <w:rsid w:val="006E4178"/>
    <w:rsid w:val="006E429A"/>
    <w:rsid w:val="006E4617"/>
    <w:rsid w:val="006E49C8"/>
    <w:rsid w:val="006E4D5F"/>
    <w:rsid w:val="006E505D"/>
    <w:rsid w:val="006E5EA8"/>
    <w:rsid w:val="006E5ED1"/>
    <w:rsid w:val="006E60B9"/>
    <w:rsid w:val="006E6397"/>
    <w:rsid w:val="006E67C4"/>
    <w:rsid w:val="006E6E33"/>
    <w:rsid w:val="006E77E8"/>
    <w:rsid w:val="006E78B9"/>
    <w:rsid w:val="006E79F0"/>
    <w:rsid w:val="006F01B1"/>
    <w:rsid w:val="006F08DA"/>
    <w:rsid w:val="006F1283"/>
    <w:rsid w:val="006F138C"/>
    <w:rsid w:val="006F1929"/>
    <w:rsid w:val="006F1A58"/>
    <w:rsid w:val="006F24FD"/>
    <w:rsid w:val="006F258C"/>
    <w:rsid w:val="006F2687"/>
    <w:rsid w:val="006F2C18"/>
    <w:rsid w:val="006F2E70"/>
    <w:rsid w:val="006F2EE4"/>
    <w:rsid w:val="006F2F03"/>
    <w:rsid w:val="006F305F"/>
    <w:rsid w:val="006F36A0"/>
    <w:rsid w:val="006F3902"/>
    <w:rsid w:val="006F3D8F"/>
    <w:rsid w:val="006F459D"/>
    <w:rsid w:val="006F4E75"/>
    <w:rsid w:val="006F5623"/>
    <w:rsid w:val="006F5B5F"/>
    <w:rsid w:val="006F5E63"/>
    <w:rsid w:val="006F669F"/>
    <w:rsid w:val="006F6931"/>
    <w:rsid w:val="006F6A37"/>
    <w:rsid w:val="006F6E93"/>
    <w:rsid w:val="006F7156"/>
    <w:rsid w:val="006F729A"/>
    <w:rsid w:val="006F7CB7"/>
    <w:rsid w:val="006F7F1B"/>
    <w:rsid w:val="00700446"/>
    <w:rsid w:val="007005FE"/>
    <w:rsid w:val="00700BCE"/>
    <w:rsid w:val="00702535"/>
    <w:rsid w:val="00703668"/>
    <w:rsid w:val="00703AB2"/>
    <w:rsid w:val="00703D4E"/>
    <w:rsid w:val="007041C8"/>
    <w:rsid w:val="00704447"/>
    <w:rsid w:val="007046A6"/>
    <w:rsid w:val="00704A40"/>
    <w:rsid w:val="00704B0B"/>
    <w:rsid w:val="00704B5C"/>
    <w:rsid w:val="00704CEC"/>
    <w:rsid w:val="0070513A"/>
    <w:rsid w:val="00706A35"/>
    <w:rsid w:val="00706BAD"/>
    <w:rsid w:val="007071FC"/>
    <w:rsid w:val="00707294"/>
    <w:rsid w:val="00707714"/>
    <w:rsid w:val="007077E0"/>
    <w:rsid w:val="007079EF"/>
    <w:rsid w:val="00707B0B"/>
    <w:rsid w:val="00707C25"/>
    <w:rsid w:val="00710832"/>
    <w:rsid w:val="00710844"/>
    <w:rsid w:val="007108D1"/>
    <w:rsid w:val="00710D77"/>
    <w:rsid w:val="00711197"/>
    <w:rsid w:val="007113E0"/>
    <w:rsid w:val="00711470"/>
    <w:rsid w:val="00711689"/>
    <w:rsid w:val="007118C1"/>
    <w:rsid w:val="0071213B"/>
    <w:rsid w:val="00712431"/>
    <w:rsid w:val="00712D0E"/>
    <w:rsid w:val="007136B7"/>
    <w:rsid w:val="00713895"/>
    <w:rsid w:val="00713C52"/>
    <w:rsid w:val="00713EF0"/>
    <w:rsid w:val="00714078"/>
    <w:rsid w:val="007140CB"/>
    <w:rsid w:val="00715F1B"/>
    <w:rsid w:val="0071603D"/>
    <w:rsid w:val="00716216"/>
    <w:rsid w:val="00716257"/>
    <w:rsid w:val="007165A0"/>
    <w:rsid w:val="00716A6F"/>
    <w:rsid w:val="00716B51"/>
    <w:rsid w:val="00716BB7"/>
    <w:rsid w:val="007172B4"/>
    <w:rsid w:val="007176B3"/>
    <w:rsid w:val="00720159"/>
    <w:rsid w:val="00720192"/>
    <w:rsid w:val="007201B1"/>
    <w:rsid w:val="00720277"/>
    <w:rsid w:val="00720876"/>
    <w:rsid w:val="00720A65"/>
    <w:rsid w:val="00720C09"/>
    <w:rsid w:val="00720DB7"/>
    <w:rsid w:val="00721790"/>
    <w:rsid w:val="00721CDA"/>
    <w:rsid w:val="00722B87"/>
    <w:rsid w:val="007242CA"/>
    <w:rsid w:val="00724983"/>
    <w:rsid w:val="00726515"/>
    <w:rsid w:val="00726DDC"/>
    <w:rsid w:val="00727607"/>
    <w:rsid w:val="0072772F"/>
    <w:rsid w:val="007301DF"/>
    <w:rsid w:val="00730894"/>
    <w:rsid w:val="00730C7A"/>
    <w:rsid w:val="0073118F"/>
    <w:rsid w:val="00731674"/>
    <w:rsid w:val="00731FFE"/>
    <w:rsid w:val="00732351"/>
    <w:rsid w:val="00737362"/>
    <w:rsid w:val="0073743B"/>
    <w:rsid w:val="00737543"/>
    <w:rsid w:val="00737D4E"/>
    <w:rsid w:val="007400F6"/>
    <w:rsid w:val="00740369"/>
    <w:rsid w:val="0074042B"/>
    <w:rsid w:val="007405FD"/>
    <w:rsid w:val="00740F40"/>
    <w:rsid w:val="00740F4B"/>
    <w:rsid w:val="00741176"/>
    <w:rsid w:val="007415D5"/>
    <w:rsid w:val="007416A8"/>
    <w:rsid w:val="007418FE"/>
    <w:rsid w:val="007427A1"/>
    <w:rsid w:val="007428AF"/>
    <w:rsid w:val="00742E41"/>
    <w:rsid w:val="00744555"/>
    <w:rsid w:val="0074468B"/>
    <w:rsid w:val="00744C31"/>
    <w:rsid w:val="00744E75"/>
    <w:rsid w:val="00745843"/>
    <w:rsid w:val="00745A51"/>
    <w:rsid w:val="0074615F"/>
    <w:rsid w:val="00746720"/>
    <w:rsid w:val="0074685C"/>
    <w:rsid w:val="00746974"/>
    <w:rsid w:val="00746FEA"/>
    <w:rsid w:val="00747962"/>
    <w:rsid w:val="0075008B"/>
    <w:rsid w:val="00750445"/>
    <w:rsid w:val="00750999"/>
    <w:rsid w:val="00750B7D"/>
    <w:rsid w:val="007514CB"/>
    <w:rsid w:val="00751A06"/>
    <w:rsid w:val="00751BA0"/>
    <w:rsid w:val="00751D2F"/>
    <w:rsid w:val="007531F1"/>
    <w:rsid w:val="00753BD9"/>
    <w:rsid w:val="00753F70"/>
    <w:rsid w:val="00754174"/>
    <w:rsid w:val="00754531"/>
    <w:rsid w:val="00754E01"/>
    <w:rsid w:val="007556E6"/>
    <w:rsid w:val="00755C3E"/>
    <w:rsid w:val="00756166"/>
    <w:rsid w:val="0075630F"/>
    <w:rsid w:val="007563A4"/>
    <w:rsid w:val="007564B6"/>
    <w:rsid w:val="00756638"/>
    <w:rsid w:val="007566AA"/>
    <w:rsid w:val="00756824"/>
    <w:rsid w:val="007569E5"/>
    <w:rsid w:val="00756E1F"/>
    <w:rsid w:val="00760B92"/>
    <w:rsid w:val="007612EE"/>
    <w:rsid w:val="00761CAB"/>
    <w:rsid w:val="00761D8C"/>
    <w:rsid w:val="00761EF0"/>
    <w:rsid w:val="00762194"/>
    <w:rsid w:val="00762258"/>
    <w:rsid w:val="007627F5"/>
    <w:rsid w:val="0076284E"/>
    <w:rsid w:val="00762DA2"/>
    <w:rsid w:val="00762E16"/>
    <w:rsid w:val="007638C3"/>
    <w:rsid w:val="007639CA"/>
    <w:rsid w:val="007639DF"/>
    <w:rsid w:val="00764329"/>
    <w:rsid w:val="00764BF3"/>
    <w:rsid w:val="00764CE9"/>
    <w:rsid w:val="00765D44"/>
    <w:rsid w:val="00765D55"/>
    <w:rsid w:val="00765F50"/>
    <w:rsid w:val="00766014"/>
    <w:rsid w:val="00766606"/>
    <w:rsid w:val="0076720F"/>
    <w:rsid w:val="0076778B"/>
    <w:rsid w:val="00767A16"/>
    <w:rsid w:val="00767B5B"/>
    <w:rsid w:val="00767F87"/>
    <w:rsid w:val="00770B98"/>
    <w:rsid w:val="00770F71"/>
    <w:rsid w:val="00770FD1"/>
    <w:rsid w:val="00771454"/>
    <w:rsid w:val="007716BF"/>
    <w:rsid w:val="00772B77"/>
    <w:rsid w:val="007733A7"/>
    <w:rsid w:val="00773815"/>
    <w:rsid w:val="00773F7B"/>
    <w:rsid w:val="007748EC"/>
    <w:rsid w:val="00775738"/>
    <w:rsid w:val="00775A26"/>
    <w:rsid w:val="00776092"/>
    <w:rsid w:val="007761EB"/>
    <w:rsid w:val="00776237"/>
    <w:rsid w:val="0077655F"/>
    <w:rsid w:val="007766C8"/>
    <w:rsid w:val="00776777"/>
    <w:rsid w:val="0077738B"/>
    <w:rsid w:val="00777842"/>
    <w:rsid w:val="00780BDD"/>
    <w:rsid w:val="00780DEE"/>
    <w:rsid w:val="00780FD4"/>
    <w:rsid w:val="00781691"/>
    <w:rsid w:val="00781CDC"/>
    <w:rsid w:val="00782224"/>
    <w:rsid w:val="00782FFB"/>
    <w:rsid w:val="00783178"/>
    <w:rsid w:val="0078331F"/>
    <w:rsid w:val="0078351D"/>
    <w:rsid w:val="007835FD"/>
    <w:rsid w:val="00783833"/>
    <w:rsid w:val="00783896"/>
    <w:rsid w:val="007839F9"/>
    <w:rsid w:val="00783C3E"/>
    <w:rsid w:val="00783DF7"/>
    <w:rsid w:val="00784A69"/>
    <w:rsid w:val="00784DA5"/>
    <w:rsid w:val="00784E8E"/>
    <w:rsid w:val="0078502D"/>
    <w:rsid w:val="0078510A"/>
    <w:rsid w:val="0078518F"/>
    <w:rsid w:val="00785571"/>
    <w:rsid w:val="0078589C"/>
    <w:rsid w:val="00785A42"/>
    <w:rsid w:val="00785A74"/>
    <w:rsid w:val="007864A3"/>
    <w:rsid w:val="00786B89"/>
    <w:rsid w:val="00786E58"/>
    <w:rsid w:val="00787A5D"/>
    <w:rsid w:val="0079023C"/>
    <w:rsid w:val="00790F71"/>
    <w:rsid w:val="00791280"/>
    <w:rsid w:val="007913A7"/>
    <w:rsid w:val="00791FFA"/>
    <w:rsid w:val="0079295F"/>
    <w:rsid w:val="00792AC3"/>
    <w:rsid w:val="00792DA6"/>
    <w:rsid w:val="00792F7E"/>
    <w:rsid w:val="00793661"/>
    <w:rsid w:val="00793AC3"/>
    <w:rsid w:val="00794001"/>
    <w:rsid w:val="007947E1"/>
    <w:rsid w:val="00794BA2"/>
    <w:rsid w:val="00794FDB"/>
    <w:rsid w:val="00795043"/>
    <w:rsid w:val="007959B7"/>
    <w:rsid w:val="00795AB3"/>
    <w:rsid w:val="00795AEA"/>
    <w:rsid w:val="00795B32"/>
    <w:rsid w:val="00795BB2"/>
    <w:rsid w:val="00796207"/>
    <w:rsid w:val="0079670B"/>
    <w:rsid w:val="00796ABA"/>
    <w:rsid w:val="0079772E"/>
    <w:rsid w:val="00797789"/>
    <w:rsid w:val="007A0085"/>
    <w:rsid w:val="007A0392"/>
    <w:rsid w:val="007A0B02"/>
    <w:rsid w:val="007A0FF0"/>
    <w:rsid w:val="007A1C6E"/>
    <w:rsid w:val="007A1DE6"/>
    <w:rsid w:val="007A21E3"/>
    <w:rsid w:val="007A22D9"/>
    <w:rsid w:val="007A2B96"/>
    <w:rsid w:val="007A3C14"/>
    <w:rsid w:val="007A40FA"/>
    <w:rsid w:val="007A4A4E"/>
    <w:rsid w:val="007A4DD5"/>
    <w:rsid w:val="007A50B8"/>
    <w:rsid w:val="007A5114"/>
    <w:rsid w:val="007A6124"/>
    <w:rsid w:val="007A61A1"/>
    <w:rsid w:val="007A66F4"/>
    <w:rsid w:val="007A6D11"/>
    <w:rsid w:val="007A6EF7"/>
    <w:rsid w:val="007A71CD"/>
    <w:rsid w:val="007A7436"/>
    <w:rsid w:val="007A7D87"/>
    <w:rsid w:val="007A7DD8"/>
    <w:rsid w:val="007B0448"/>
    <w:rsid w:val="007B0527"/>
    <w:rsid w:val="007B162D"/>
    <w:rsid w:val="007B1695"/>
    <w:rsid w:val="007B16A5"/>
    <w:rsid w:val="007B25A2"/>
    <w:rsid w:val="007B2812"/>
    <w:rsid w:val="007B2C4F"/>
    <w:rsid w:val="007B32E8"/>
    <w:rsid w:val="007B3B3C"/>
    <w:rsid w:val="007B4370"/>
    <w:rsid w:val="007B485F"/>
    <w:rsid w:val="007B4F49"/>
    <w:rsid w:val="007B5518"/>
    <w:rsid w:val="007B5729"/>
    <w:rsid w:val="007B592B"/>
    <w:rsid w:val="007B5C5E"/>
    <w:rsid w:val="007B631E"/>
    <w:rsid w:val="007B67D6"/>
    <w:rsid w:val="007B6A3B"/>
    <w:rsid w:val="007B6BBD"/>
    <w:rsid w:val="007B6D02"/>
    <w:rsid w:val="007B6E94"/>
    <w:rsid w:val="007B74BB"/>
    <w:rsid w:val="007B7BCB"/>
    <w:rsid w:val="007B7C19"/>
    <w:rsid w:val="007C0437"/>
    <w:rsid w:val="007C0E29"/>
    <w:rsid w:val="007C1643"/>
    <w:rsid w:val="007C1751"/>
    <w:rsid w:val="007C2CDD"/>
    <w:rsid w:val="007C2DBB"/>
    <w:rsid w:val="007C2ED7"/>
    <w:rsid w:val="007C33AB"/>
    <w:rsid w:val="007C354F"/>
    <w:rsid w:val="007C3682"/>
    <w:rsid w:val="007C3716"/>
    <w:rsid w:val="007C37CF"/>
    <w:rsid w:val="007C3A98"/>
    <w:rsid w:val="007C3C8A"/>
    <w:rsid w:val="007C4938"/>
    <w:rsid w:val="007C4BBB"/>
    <w:rsid w:val="007C4F0E"/>
    <w:rsid w:val="007C56B1"/>
    <w:rsid w:val="007C5B79"/>
    <w:rsid w:val="007C5F86"/>
    <w:rsid w:val="007C6003"/>
    <w:rsid w:val="007C76DA"/>
    <w:rsid w:val="007C7922"/>
    <w:rsid w:val="007C7978"/>
    <w:rsid w:val="007D0235"/>
    <w:rsid w:val="007D0447"/>
    <w:rsid w:val="007D0B01"/>
    <w:rsid w:val="007D0DE3"/>
    <w:rsid w:val="007D0EE3"/>
    <w:rsid w:val="007D127C"/>
    <w:rsid w:val="007D139F"/>
    <w:rsid w:val="007D24A5"/>
    <w:rsid w:val="007D2B25"/>
    <w:rsid w:val="007D2D76"/>
    <w:rsid w:val="007D2E85"/>
    <w:rsid w:val="007D31C6"/>
    <w:rsid w:val="007D3C9B"/>
    <w:rsid w:val="007D6FFC"/>
    <w:rsid w:val="007D703C"/>
    <w:rsid w:val="007D746C"/>
    <w:rsid w:val="007E012C"/>
    <w:rsid w:val="007E0648"/>
    <w:rsid w:val="007E1130"/>
    <w:rsid w:val="007E153C"/>
    <w:rsid w:val="007E2709"/>
    <w:rsid w:val="007E28C5"/>
    <w:rsid w:val="007E28D9"/>
    <w:rsid w:val="007E2E38"/>
    <w:rsid w:val="007E3168"/>
    <w:rsid w:val="007E3688"/>
    <w:rsid w:val="007E3D35"/>
    <w:rsid w:val="007E475F"/>
    <w:rsid w:val="007E5398"/>
    <w:rsid w:val="007E55E7"/>
    <w:rsid w:val="007E5B5C"/>
    <w:rsid w:val="007E5F88"/>
    <w:rsid w:val="007E6554"/>
    <w:rsid w:val="007E6D3B"/>
    <w:rsid w:val="007E745E"/>
    <w:rsid w:val="007E7679"/>
    <w:rsid w:val="007E78A7"/>
    <w:rsid w:val="007F0650"/>
    <w:rsid w:val="007F08A3"/>
    <w:rsid w:val="007F0F8E"/>
    <w:rsid w:val="007F1416"/>
    <w:rsid w:val="007F1524"/>
    <w:rsid w:val="007F1C88"/>
    <w:rsid w:val="007F2221"/>
    <w:rsid w:val="007F26F8"/>
    <w:rsid w:val="007F28F0"/>
    <w:rsid w:val="007F2DF1"/>
    <w:rsid w:val="007F33F1"/>
    <w:rsid w:val="007F361A"/>
    <w:rsid w:val="007F3B52"/>
    <w:rsid w:val="007F3B75"/>
    <w:rsid w:val="007F452A"/>
    <w:rsid w:val="007F471E"/>
    <w:rsid w:val="007F5411"/>
    <w:rsid w:val="007F5DFD"/>
    <w:rsid w:val="007F6DD2"/>
    <w:rsid w:val="007F6E1D"/>
    <w:rsid w:val="007F6EF6"/>
    <w:rsid w:val="007F7181"/>
    <w:rsid w:val="007F739E"/>
    <w:rsid w:val="007F7B4C"/>
    <w:rsid w:val="007F7BEC"/>
    <w:rsid w:val="007F7DCE"/>
    <w:rsid w:val="008006A6"/>
    <w:rsid w:val="00800950"/>
    <w:rsid w:val="008009A7"/>
    <w:rsid w:val="00800BFA"/>
    <w:rsid w:val="00800F20"/>
    <w:rsid w:val="0080150F"/>
    <w:rsid w:val="00801C9E"/>
    <w:rsid w:val="00801EAC"/>
    <w:rsid w:val="00802BE7"/>
    <w:rsid w:val="00802CD8"/>
    <w:rsid w:val="0080378E"/>
    <w:rsid w:val="008044F8"/>
    <w:rsid w:val="00805170"/>
    <w:rsid w:val="00805277"/>
    <w:rsid w:val="0080543C"/>
    <w:rsid w:val="00805DDF"/>
    <w:rsid w:val="00805F35"/>
    <w:rsid w:val="0080609E"/>
    <w:rsid w:val="008069B7"/>
    <w:rsid w:val="00806D42"/>
    <w:rsid w:val="00807246"/>
    <w:rsid w:val="00807665"/>
    <w:rsid w:val="00810ECD"/>
    <w:rsid w:val="008113FE"/>
    <w:rsid w:val="00812161"/>
    <w:rsid w:val="00812226"/>
    <w:rsid w:val="00813DA4"/>
    <w:rsid w:val="008144C7"/>
    <w:rsid w:val="00814536"/>
    <w:rsid w:val="00815579"/>
    <w:rsid w:val="0081586A"/>
    <w:rsid w:val="008158E2"/>
    <w:rsid w:val="008159B0"/>
    <w:rsid w:val="00816893"/>
    <w:rsid w:val="008170B6"/>
    <w:rsid w:val="008201FA"/>
    <w:rsid w:val="00821574"/>
    <w:rsid w:val="008216D5"/>
    <w:rsid w:val="0082190D"/>
    <w:rsid w:val="00821BBC"/>
    <w:rsid w:val="008220B1"/>
    <w:rsid w:val="008225E4"/>
    <w:rsid w:val="008226EB"/>
    <w:rsid w:val="00822AA7"/>
    <w:rsid w:val="00823195"/>
    <w:rsid w:val="00823922"/>
    <w:rsid w:val="00823BDB"/>
    <w:rsid w:val="00823C17"/>
    <w:rsid w:val="00823D71"/>
    <w:rsid w:val="00823F8E"/>
    <w:rsid w:val="008245C2"/>
    <w:rsid w:val="008245E5"/>
    <w:rsid w:val="00825028"/>
    <w:rsid w:val="00826020"/>
    <w:rsid w:val="00826259"/>
    <w:rsid w:val="0082741F"/>
    <w:rsid w:val="008275A1"/>
    <w:rsid w:val="008275E9"/>
    <w:rsid w:val="00827B11"/>
    <w:rsid w:val="00830F13"/>
    <w:rsid w:val="00830F16"/>
    <w:rsid w:val="008317EB"/>
    <w:rsid w:val="00831853"/>
    <w:rsid w:val="008318A2"/>
    <w:rsid w:val="008318C0"/>
    <w:rsid w:val="00831DE1"/>
    <w:rsid w:val="00832450"/>
    <w:rsid w:val="00832BC9"/>
    <w:rsid w:val="00832C0F"/>
    <w:rsid w:val="0083328D"/>
    <w:rsid w:val="00833627"/>
    <w:rsid w:val="008337CC"/>
    <w:rsid w:val="00833C6B"/>
    <w:rsid w:val="008344DE"/>
    <w:rsid w:val="008344F3"/>
    <w:rsid w:val="00834E28"/>
    <w:rsid w:val="00834E75"/>
    <w:rsid w:val="0083564D"/>
    <w:rsid w:val="008360C6"/>
    <w:rsid w:val="008361AE"/>
    <w:rsid w:val="00837530"/>
    <w:rsid w:val="00837532"/>
    <w:rsid w:val="00837E1C"/>
    <w:rsid w:val="008402B3"/>
    <w:rsid w:val="00840347"/>
    <w:rsid w:val="008405D8"/>
    <w:rsid w:val="00840E66"/>
    <w:rsid w:val="00841746"/>
    <w:rsid w:val="00841BEA"/>
    <w:rsid w:val="00841C01"/>
    <w:rsid w:val="00841D0C"/>
    <w:rsid w:val="00841D97"/>
    <w:rsid w:val="00841F0D"/>
    <w:rsid w:val="008425FC"/>
    <w:rsid w:val="00842971"/>
    <w:rsid w:val="00842989"/>
    <w:rsid w:val="00842BF3"/>
    <w:rsid w:val="00842C07"/>
    <w:rsid w:val="008431E2"/>
    <w:rsid w:val="008435C1"/>
    <w:rsid w:val="008436F4"/>
    <w:rsid w:val="00843713"/>
    <w:rsid w:val="008438D3"/>
    <w:rsid w:val="00844B7C"/>
    <w:rsid w:val="00844E8D"/>
    <w:rsid w:val="0084518B"/>
    <w:rsid w:val="00845418"/>
    <w:rsid w:val="0084604B"/>
    <w:rsid w:val="008463F5"/>
    <w:rsid w:val="00846D79"/>
    <w:rsid w:val="008476FA"/>
    <w:rsid w:val="00847E30"/>
    <w:rsid w:val="008501C0"/>
    <w:rsid w:val="008501CC"/>
    <w:rsid w:val="00850E3A"/>
    <w:rsid w:val="008525A8"/>
    <w:rsid w:val="008525F7"/>
    <w:rsid w:val="00853716"/>
    <w:rsid w:val="0085373B"/>
    <w:rsid w:val="00853D47"/>
    <w:rsid w:val="00854165"/>
    <w:rsid w:val="00854E2C"/>
    <w:rsid w:val="00854E8A"/>
    <w:rsid w:val="00855414"/>
    <w:rsid w:val="0085564D"/>
    <w:rsid w:val="00855E6A"/>
    <w:rsid w:val="00855E6E"/>
    <w:rsid w:val="00855F2D"/>
    <w:rsid w:val="00855FAC"/>
    <w:rsid w:val="00856764"/>
    <w:rsid w:val="00856F56"/>
    <w:rsid w:val="008571EC"/>
    <w:rsid w:val="008575D7"/>
    <w:rsid w:val="008576AE"/>
    <w:rsid w:val="00857AC1"/>
    <w:rsid w:val="0086027D"/>
    <w:rsid w:val="008602E9"/>
    <w:rsid w:val="008604FF"/>
    <w:rsid w:val="00860E40"/>
    <w:rsid w:val="00860F04"/>
    <w:rsid w:val="008614CF"/>
    <w:rsid w:val="008618E3"/>
    <w:rsid w:val="008619AC"/>
    <w:rsid w:val="00861C76"/>
    <w:rsid w:val="00862425"/>
    <w:rsid w:val="008624F3"/>
    <w:rsid w:val="008627FB"/>
    <w:rsid w:val="008628E5"/>
    <w:rsid w:val="00862A16"/>
    <w:rsid w:val="00863AD3"/>
    <w:rsid w:val="00864659"/>
    <w:rsid w:val="008650A2"/>
    <w:rsid w:val="00865352"/>
    <w:rsid w:val="008660C7"/>
    <w:rsid w:val="008662AB"/>
    <w:rsid w:val="0086663B"/>
    <w:rsid w:val="00866677"/>
    <w:rsid w:val="00866B1E"/>
    <w:rsid w:val="00866FFE"/>
    <w:rsid w:val="00867543"/>
    <w:rsid w:val="00867B01"/>
    <w:rsid w:val="00867F7A"/>
    <w:rsid w:val="0087034F"/>
    <w:rsid w:val="00870585"/>
    <w:rsid w:val="00870D03"/>
    <w:rsid w:val="00870D4A"/>
    <w:rsid w:val="00870E07"/>
    <w:rsid w:val="008713DF"/>
    <w:rsid w:val="00871674"/>
    <w:rsid w:val="008716A6"/>
    <w:rsid w:val="00871988"/>
    <w:rsid w:val="00871D20"/>
    <w:rsid w:val="00871F61"/>
    <w:rsid w:val="00873463"/>
    <w:rsid w:val="00873AFA"/>
    <w:rsid w:val="00873C70"/>
    <w:rsid w:val="00873DE9"/>
    <w:rsid w:val="008746FF"/>
    <w:rsid w:val="00874CED"/>
    <w:rsid w:val="0087517A"/>
    <w:rsid w:val="008757DF"/>
    <w:rsid w:val="00877700"/>
    <w:rsid w:val="008806FF"/>
    <w:rsid w:val="00880A12"/>
    <w:rsid w:val="00881472"/>
    <w:rsid w:val="008816E0"/>
    <w:rsid w:val="00881DFB"/>
    <w:rsid w:val="0088204E"/>
    <w:rsid w:val="00882446"/>
    <w:rsid w:val="008825AA"/>
    <w:rsid w:val="00883066"/>
    <w:rsid w:val="00883330"/>
    <w:rsid w:val="00884621"/>
    <w:rsid w:val="00884C4C"/>
    <w:rsid w:val="00884EA1"/>
    <w:rsid w:val="00885D1A"/>
    <w:rsid w:val="008866BC"/>
    <w:rsid w:val="008866C4"/>
    <w:rsid w:val="0088698C"/>
    <w:rsid w:val="008869C6"/>
    <w:rsid w:val="00886EBB"/>
    <w:rsid w:val="0088742A"/>
    <w:rsid w:val="00887DB9"/>
    <w:rsid w:val="00890B35"/>
    <w:rsid w:val="00890D2F"/>
    <w:rsid w:val="00890ED2"/>
    <w:rsid w:val="00890EDC"/>
    <w:rsid w:val="008917B0"/>
    <w:rsid w:val="008918AA"/>
    <w:rsid w:val="00891BF9"/>
    <w:rsid w:val="00891CBD"/>
    <w:rsid w:val="0089337B"/>
    <w:rsid w:val="00893ED8"/>
    <w:rsid w:val="00893F9B"/>
    <w:rsid w:val="00894612"/>
    <w:rsid w:val="00894A7B"/>
    <w:rsid w:val="00894AE4"/>
    <w:rsid w:val="00894C0A"/>
    <w:rsid w:val="00894D2B"/>
    <w:rsid w:val="00894E83"/>
    <w:rsid w:val="00894FB1"/>
    <w:rsid w:val="00894FE6"/>
    <w:rsid w:val="0089502D"/>
    <w:rsid w:val="00896D5F"/>
    <w:rsid w:val="00897698"/>
    <w:rsid w:val="00897729"/>
    <w:rsid w:val="00897DD9"/>
    <w:rsid w:val="008A0043"/>
    <w:rsid w:val="008A0448"/>
    <w:rsid w:val="008A089E"/>
    <w:rsid w:val="008A0C03"/>
    <w:rsid w:val="008A0DAE"/>
    <w:rsid w:val="008A0DFB"/>
    <w:rsid w:val="008A2675"/>
    <w:rsid w:val="008A31CB"/>
    <w:rsid w:val="008A369C"/>
    <w:rsid w:val="008A387C"/>
    <w:rsid w:val="008A3C61"/>
    <w:rsid w:val="008A3FCE"/>
    <w:rsid w:val="008A4272"/>
    <w:rsid w:val="008A42D3"/>
    <w:rsid w:val="008A46A4"/>
    <w:rsid w:val="008A4EC7"/>
    <w:rsid w:val="008A6055"/>
    <w:rsid w:val="008A63B6"/>
    <w:rsid w:val="008A6D0E"/>
    <w:rsid w:val="008A7177"/>
    <w:rsid w:val="008A74FD"/>
    <w:rsid w:val="008B128C"/>
    <w:rsid w:val="008B1441"/>
    <w:rsid w:val="008B19B9"/>
    <w:rsid w:val="008B1E69"/>
    <w:rsid w:val="008B27F1"/>
    <w:rsid w:val="008B27F3"/>
    <w:rsid w:val="008B3124"/>
    <w:rsid w:val="008B34E9"/>
    <w:rsid w:val="008B35DC"/>
    <w:rsid w:val="008B4725"/>
    <w:rsid w:val="008B498D"/>
    <w:rsid w:val="008B4F56"/>
    <w:rsid w:val="008B56E1"/>
    <w:rsid w:val="008B5BEE"/>
    <w:rsid w:val="008B6700"/>
    <w:rsid w:val="008B6A65"/>
    <w:rsid w:val="008B7D94"/>
    <w:rsid w:val="008C02A9"/>
    <w:rsid w:val="008C08B5"/>
    <w:rsid w:val="008C0B48"/>
    <w:rsid w:val="008C0C12"/>
    <w:rsid w:val="008C0D07"/>
    <w:rsid w:val="008C1D3A"/>
    <w:rsid w:val="008C2178"/>
    <w:rsid w:val="008C22D5"/>
    <w:rsid w:val="008C28FC"/>
    <w:rsid w:val="008C29E6"/>
    <w:rsid w:val="008C2CCD"/>
    <w:rsid w:val="008C39B8"/>
    <w:rsid w:val="008C3AC0"/>
    <w:rsid w:val="008C3EDB"/>
    <w:rsid w:val="008C4120"/>
    <w:rsid w:val="008C4345"/>
    <w:rsid w:val="008C486F"/>
    <w:rsid w:val="008C491E"/>
    <w:rsid w:val="008C4B97"/>
    <w:rsid w:val="008C4CC5"/>
    <w:rsid w:val="008C5204"/>
    <w:rsid w:val="008C67ED"/>
    <w:rsid w:val="008C6A5E"/>
    <w:rsid w:val="008C7346"/>
    <w:rsid w:val="008C76A6"/>
    <w:rsid w:val="008C796F"/>
    <w:rsid w:val="008C7F58"/>
    <w:rsid w:val="008D0055"/>
    <w:rsid w:val="008D0D22"/>
    <w:rsid w:val="008D0D70"/>
    <w:rsid w:val="008D0F60"/>
    <w:rsid w:val="008D17F0"/>
    <w:rsid w:val="008D1C8F"/>
    <w:rsid w:val="008D3782"/>
    <w:rsid w:val="008D37C8"/>
    <w:rsid w:val="008D3C50"/>
    <w:rsid w:val="008D3F14"/>
    <w:rsid w:val="008D4376"/>
    <w:rsid w:val="008D47E9"/>
    <w:rsid w:val="008D4D6E"/>
    <w:rsid w:val="008D5DB5"/>
    <w:rsid w:val="008D5FF0"/>
    <w:rsid w:val="008D6551"/>
    <w:rsid w:val="008D78EB"/>
    <w:rsid w:val="008D7C3B"/>
    <w:rsid w:val="008E0528"/>
    <w:rsid w:val="008E0588"/>
    <w:rsid w:val="008E188F"/>
    <w:rsid w:val="008E20FB"/>
    <w:rsid w:val="008E22DE"/>
    <w:rsid w:val="008E25C6"/>
    <w:rsid w:val="008E2631"/>
    <w:rsid w:val="008E2C95"/>
    <w:rsid w:val="008E2E85"/>
    <w:rsid w:val="008E324F"/>
    <w:rsid w:val="008E357B"/>
    <w:rsid w:val="008E3634"/>
    <w:rsid w:val="008E39A1"/>
    <w:rsid w:val="008E3C93"/>
    <w:rsid w:val="008E3D7E"/>
    <w:rsid w:val="008E3EEA"/>
    <w:rsid w:val="008E5884"/>
    <w:rsid w:val="008E5D4D"/>
    <w:rsid w:val="008E634E"/>
    <w:rsid w:val="008E6941"/>
    <w:rsid w:val="008E6D91"/>
    <w:rsid w:val="008E6DA4"/>
    <w:rsid w:val="008E7D93"/>
    <w:rsid w:val="008F0170"/>
    <w:rsid w:val="008F087B"/>
    <w:rsid w:val="008F08D8"/>
    <w:rsid w:val="008F1171"/>
    <w:rsid w:val="008F183A"/>
    <w:rsid w:val="008F1F82"/>
    <w:rsid w:val="008F2BF2"/>
    <w:rsid w:val="008F3030"/>
    <w:rsid w:val="008F30D3"/>
    <w:rsid w:val="008F3819"/>
    <w:rsid w:val="008F38D3"/>
    <w:rsid w:val="008F3D0C"/>
    <w:rsid w:val="008F4DDD"/>
    <w:rsid w:val="008F53B5"/>
    <w:rsid w:val="008F59A8"/>
    <w:rsid w:val="008F5DC3"/>
    <w:rsid w:val="008F63DB"/>
    <w:rsid w:val="008F64F5"/>
    <w:rsid w:val="008F6732"/>
    <w:rsid w:val="008F7067"/>
    <w:rsid w:val="008F72B5"/>
    <w:rsid w:val="008F734B"/>
    <w:rsid w:val="008F76B2"/>
    <w:rsid w:val="008F7C28"/>
    <w:rsid w:val="0090004B"/>
    <w:rsid w:val="00900077"/>
    <w:rsid w:val="00900432"/>
    <w:rsid w:val="00900479"/>
    <w:rsid w:val="0090047B"/>
    <w:rsid w:val="0090153B"/>
    <w:rsid w:val="0090241F"/>
    <w:rsid w:val="009026BC"/>
    <w:rsid w:val="00902EAE"/>
    <w:rsid w:val="009039EC"/>
    <w:rsid w:val="009044CC"/>
    <w:rsid w:val="00904757"/>
    <w:rsid w:val="009047DF"/>
    <w:rsid w:val="00905124"/>
    <w:rsid w:val="009057F7"/>
    <w:rsid w:val="0090597B"/>
    <w:rsid w:val="009059F8"/>
    <w:rsid w:val="00905BBB"/>
    <w:rsid w:val="00905D0F"/>
    <w:rsid w:val="009068E0"/>
    <w:rsid w:val="00906B04"/>
    <w:rsid w:val="00906B32"/>
    <w:rsid w:val="00907B2B"/>
    <w:rsid w:val="00907D32"/>
    <w:rsid w:val="00907D7A"/>
    <w:rsid w:val="00907E5B"/>
    <w:rsid w:val="00907E6F"/>
    <w:rsid w:val="009107AD"/>
    <w:rsid w:val="00911A6B"/>
    <w:rsid w:val="00911D4E"/>
    <w:rsid w:val="009125F5"/>
    <w:rsid w:val="009125F6"/>
    <w:rsid w:val="00912A72"/>
    <w:rsid w:val="00913510"/>
    <w:rsid w:val="00914C6D"/>
    <w:rsid w:val="00914D0F"/>
    <w:rsid w:val="00914EE5"/>
    <w:rsid w:val="00915102"/>
    <w:rsid w:val="00915A92"/>
    <w:rsid w:val="0091728B"/>
    <w:rsid w:val="00917C28"/>
    <w:rsid w:val="00920452"/>
    <w:rsid w:val="0092050E"/>
    <w:rsid w:val="00920A7B"/>
    <w:rsid w:val="00920FC9"/>
    <w:rsid w:val="00921632"/>
    <w:rsid w:val="009217F8"/>
    <w:rsid w:val="0092233A"/>
    <w:rsid w:val="009223B4"/>
    <w:rsid w:val="009224E1"/>
    <w:rsid w:val="009224FC"/>
    <w:rsid w:val="00922B1B"/>
    <w:rsid w:val="0092378F"/>
    <w:rsid w:val="009237BA"/>
    <w:rsid w:val="00923BFB"/>
    <w:rsid w:val="00924562"/>
    <w:rsid w:val="00924D47"/>
    <w:rsid w:val="0092555D"/>
    <w:rsid w:val="00925928"/>
    <w:rsid w:val="0092595C"/>
    <w:rsid w:val="009259DB"/>
    <w:rsid w:val="00925B5F"/>
    <w:rsid w:val="00925C4B"/>
    <w:rsid w:val="009260E1"/>
    <w:rsid w:val="00926EAB"/>
    <w:rsid w:val="009279A3"/>
    <w:rsid w:val="00927D8B"/>
    <w:rsid w:val="00927EBA"/>
    <w:rsid w:val="00930321"/>
    <w:rsid w:val="009303B3"/>
    <w:rsid w:val="00930A95"/>
    <w:rsid w:val="00930B6E"/>
    <w:rsid w:val="00931165"/>
    <w:rsid w:val="0093135D"/>
    <w:rsid w:val="00931929"/>
    <w:rsid w:val="009319BE"/>
    <w:rsid w:val="00931A98"/>
    <w:rsid w:val="00931FBD"/>
    <w:rsid w:val="00932174"/>
    <w:rsid w:val="00932536"/>
    <w:rsid w:val="00932545"/>
    <w:rsid w:val="009326E5"/>
    <w:rsid w:val="0093291D"/>
    <w:rsid w:val="00932D67"/>
    <w:rsid w:val="0093324D"/>
    <w:rsid w:val="00933284"/>
    <w:rsid w:val="00933649"/>
    <w:rsid w:val="0093381F"/>
    <w:rsid w:val="00934E3A"/>
    <w:rsid w:val="009355AB"/>
    <w:rsid w:val="00935624"/>
    <w:rsid w:val="00935729"/>
    <w:rsid w:val="00935857"/>
    <w:rsid w:val="00935A20"/>
    <w:rsid w:val="00935CEF"/>
    <w:rsid w:val="00935D43"/>
    <w:rsid w:val="00936513"/>
    <w:rsid w:val="00937034"/>
    <w:rsid w:val="009375FC"/>
    <w:rsid w:val="00937640"/>
    <w:rsid w:val="00937CC5"/>
    <w:rsid w:val="0094055E"/>
    <w:rsid w:val="009407D0"/>
    <w:rsid w:val="00940CD6"/>
    <w:rsid w:val="00940EDE"/>
    <w:rsid w:val="00941BA9"/>
    <w:rsid w:val="009425EF"/>
    <w:rsid w:val="00942F31"/>
    <w:rsid w:val="009433DC"/>
    <w:rsid w:val="00943C39"/>
    <w:rsid w:val="00943D76"/>
    <w:rsid w:val="00943FD8"/>
    <w:rsid w:val="009448D7"/>
    <w:rsid w:val="00944E6D"/>
    <w:rsid w:val="00945004"/>
    <w:rsid w:val="00945FA3"/>
    <w:rsid w:val="00946212"/>
    <w:rsid w:val="0094715E"/>
    <w:rsid w:val="009471CF"/>
    <w:rsid w:val="0094758F"/>
    <w:rsid w:val="00947C32"/>
    <w:rsid w:val="0095003D"/>
    <w:rsid w:val="009500E4"/>
    <w:rsid w:val="00950556"/>
    <w:rsid w:val="00950828"/>
    <w:rsid w:val="00951458"/>
    <w:rsid w:val="009517A5"/>
    <w:rsid w:val="0095189F"/>
    <w:rsid w:val="00951A10"/>
    <w:rsid w:val="00951DC0"/>
    <w:rsid w:val="0095258C"/>
    <w:rsid w:val="00952C44"/>
    <w:rsid w:val="0095412E"/>
    <w:rsid w:val="00954383"/>
    <w:rsid w:val="00954627"/>
    <w:rsid w:val="00954702"/>
    <w:rsid w:val="00954DCB"/>
    <w:rsid w:val="00954F27"/>
    <w:rsid w:val="00955021"/>
    <w:rsid w:val="00956C1B"/>
    <w:rsid w:val="0095719C"/>
    <w:rsid w:val="009573F8"/>
    <w:rsid w:val="00957817"/>
    <w:rsid w:val="00957A48"/>
    <w:rsid w:val="00957F85"/>
    <w:rsid w:val="00957FC8"/>
    <w:rsid w:val="00960CE1"/>
    <w:rsid w:val="009613B1"/>
    <w:rsid w:val="00961D54"/>
    <w:rsid w:val="009620E5"/>
    <w:rsid w:val="009626ED"/>
    <w:rsid w:val="00962BD7"/>
    <w:rsid w:val="00962D77"/>
    <w:rsid w:val="00963467"/>
    <w:rsid w:val="009639EA"/>
    <w:rsid w:val="00963B2D"/>
    <w:rsid w:val="00963B9C"/>
    <w:rsid w:val="00963D43"/>
    <w:rsid w:val="00964328"/>
    <w:rsid w:val="009644F6"/>
    <w:rsid w:val="009648A4"/>
    <w:rsid w:val="009648F3"/>
    <w:rsid w:val="00965B8C"/>
    <w:rsid w:val="00965E56"/>
    <w:rsid w:val="009660BC"/>
    <w:rsid w:val="009667B2"/>
    <w:rsid w:val="009674C5"/>
    <w:rsid w:val="00967B22"/>
    <w:rsid w:val="00967B4C"/>
    <w:rsid w:val="00970E86"/>
    <w:rsid w:val="00971156"/>
    <w:rsid w:val="00971FD6"/>
    <w:rsid w:val="00972E99"/>
    <w:rsid w:val="00973172"/>
    <w:rsid w:val="009735B1"/>
    <w:rsid w:val="0097461F"/>
    <w:rsid w:val="009747A1"/>
    <w:rsid w:val="00974DDE"/>
    <w:rsid w:val="00975056"/>
    <w:rsid w:val="0097693B"/>
    <w:rsid w:val="00976CC1"/>
    <w:rsid w:val="00976D2D"/>
    <w:rsid w:val="009776DC"/>
    <w:rsid w:val="00977A6D"/>
    <w:rsid w:val="009801FC"/>
    <w:rsid w:val="009805D7"/>
    <w:rsid w:val="009809C1"/>
    <w:rsid w:val="00980A6E"/>
    <w:rsid w:val="00980B59"/>
    <w:rsid w:val="00980F11"/>
    <w:rsid w:val="0098123D"/>
    <w:rsid w:val="00981255"/>
    <w:rsid w:val="00982602"/>
    <w:rsid w:val="0098358A"/>
    <w:rsid w:val="0098394C"/>
    <w:rsid w:val="00984110"/>
    <w:rsid w:val="00984380"/>
    <w:rsid w:val="00984575"/>
    <w:rsid w:val="009852B0"/>
    <w:rsid w:val="00985BB5"/>
    <w:rsid w:val="00985F8F"/>
    <w:rsid w:val="00986010"/>
    <w:rsid w:val="0098627B"/>
    <w:rsid w:val="00986B15"/>
    <w:rsid w:val="00987BC6"/>
    <w:rsid w:val="00987F06"/>
    <w:rsid w:val="00990249"/>
    <w:rsid w:val="0099140C"/>
    <w:rsid w:val="009914A7"/>
    <w:rsid w:val="00991830"/>
    <w:rsid w:val="00991A6E"/>
    <w:rsid w:val="00991AD5"/>
    <w:rsid w:val="00991EB1"/>
    <w:rsid w:val="009921BD"/>
    <w:rsid w:val="0099269E"/>
    <w:rsid w:val="009926BF"/>
    <w:rsid w:val="009929E8"/>
    <w:rsid w:val="00992B18"/>
    <w:rsid w:val="009934D2"/>
    <w:rsid w:val="009938C4"/>
    <w:rsid w:val="00993A45"/>
    <w:rsid w:val="00993D42"/>
    <w:rsid w:val="0099413B"/>
    <w:rsid w:val="00994296"/>
    <w:rsid w:val="00994EE4"/>
    <w:rsid w:val="00995028"/>
    <w:rsid w:val="0099566C"/>
    <w:rsid w:val="00995E2C"/>
    <w:rsid w:val="00996503"/>
    <w:rsid w:val="009967DE"/>
    <w:rsid w:val="009970BF"/>
    <w:rsid w:val="00997390"/>
    <w:rsid w:val="009A048B"/>
    <w:rsid w:val="009A05BD"/>
    <w:rsid w:val="009A05C1"/>
    <w:rsid w:val="009A12FE"/>
    <w:rsid w:val="009A177D"/>
    <w:rsid w:val="009A19DA"/>
    <w:rsid w:val="009A1F02"/>
    <w:rsid w:val="009A2D65"/>
    <w:rsid w:val="009A3234"/>
    <w:rsid w:val="009A3655"/>
    <w:rsid w:val="009A3731"/>
    <w:rsid w:val="009A43F1"/>
    <w:rsid w:val="009A4CB7"/>
    <w:rsid w:val="009A4FDD"/>
    <w:rsid w:val="009A5857"/>
    <w:rsid w:val="009A5B4F"/>
    <w:rsid w:val="009A5FA0"/>
    <w:rsid w:val="009A6D55"/>
    <w:rsid w:val="009A6F9B"/>
    <w:rsid w:val="009A7074"/>
    <w:rsid w:val="009A733C"/>
    <w:rsid w:val="009A7AA9"/>
    <w:rsid w:val="009B011B"/>
    <w:rsid w:val="009B0750"/>
    <w:rsid w:val="009B075E"/>
    <w:rsid w:val="009B0AAB"/>
    <w:rsid w:val="009B1079"/>
    <w:rsid w:val="009B12F1"/>
    <w:rsid w:val="009B1313"/>
    <w:rsid w:val="009B1C7B"/>
    <w:rsid w:val="009B1D08"/>
    <w:rsid w:val="009B1D79"/>
    <w:rsid w:val="009B1F0D"/>
    <w:rsid w:val="009B2072"/>
    <w:rsid w:val="009B2DF0"/>
    <w:rsid w:val="009B2F12"/>
    <w:rsid w:val="009B3948"/>
    <w:rsid w:val="009B4E03"/>
    <w:rsid w:val="009B5175"/>
    <w:rsid w:val="009B52AF"/>
    <w:rsid w:val="009B52D6"/>
    <w:rsid w:val="009B6CBC"/>
    <w:rsid w:val="009B6D4A"/>
    <w:rsid w:val="009B6EB3"/>
    <w:rsid w:val="009B70AD"/>
    <w:rsid w:val="009B73DC"/>
    <w:rsid w:val="009B7DCC"/>
    <w:rsid w:val="009B7F96"/>
    <w:rsid w:val="009C0122"/>
    <w:rsid w:val="009C1087"/>
    <w:rsid w:val="009C18D2"/>
    <w:rsid w:val="009C244C"/>
    <w:rsid w:val="009C2DAA"/>
    <w:rsid w:val="009C3433"/>
    <w:rsid w:val="009C3A15"/>
    <w:rsid w:val="009C3DE2"/>
    <w:rsid w:val="009C3EBD"/>
    <w:rsid w:val="009C420B"/>
    <w:rsid w:val="009C4A78"/>
    <w:rsid w:val="009C4B21"/>
    <w:rsid w:val="009C57E8"/>
    <w:rsid w:val="009C5B44"/>
    <w:rsid w:val="009C5F9E"/>
    <w:rsid w:val="009C6134"/>
    <w:rsid w:val="009C652D"/>
    <w:rsid w:val="009C6701"/>
    <w:rsid w:val="009C6926"/>
    <w:rsid w:val="009C6A40"/>
    <w:rsid w:val="009C6C3E"/>
    <w:rsid w:val="009C78B9"/>
    <w:rsid w:val="009D01BE"/>
    <w:rsid w:val="009D161A"/>
    <w:rsid w:val="009D1E13"/>
    <w:rsid w:val="009D1FAC"/>
    <w:rsid w:val="009D1FB9"/>
    <w:rsid w:val="009D2046"/>
    <w:rsid w:val="009D2399"/>
    <w:rsid w:val="009D31C7"/>
    <w:rsid w:val="009D395A"/>
    <w:rsid w:val="009D3B7E"/>
    <w:rsid w:val="009D3FA2"/>
    <w:rsid w:val="009D4044"/>
    <w:rsid w:val="009D4A35"/>
    <w:rsid w:val="009D5706"/>
    <w:rsid w:val="009D5A61"/>
    <w:rsid w:val="009D5B97"/>
    <w:rsid w:val="009D5BE2"/>
    <w:rsid w:val="009D5CC1"/>
    <w:rsid w:val="009D5E02"/>
    <w:rsid w:val="009D6DDB"/>
    <w:rsid w:val="009D7065"/>
    <w:rsid w:val="009D7874"/>
    <w:rsid w:val="009D78B4"/>
    <w:rsid w:val="009E08E4"/>
    <w:rsid w:val="009E098A"/>
    <w:rsid w:val="009E132F"/>
    <w:rsid w:val="009E1773"/>
    <w:rsid w:val="009E199D"/>
    <w:rsid w:val="009E1A38"/>
    <w:rsid w:val="009E244F"/>
    <w:rsid w:val="009E3365"/>
    <w:rsid w:val="009E36BD"/>
    <w:rsid w:val="009E3B9D"/>
    <w:rsid w:val="009E3D15"/>
    <w:rsid w:val="009E3D6E"/>
    <w:rsid w:val="009E4159"/>
    <w:rsid w:val="009E46A8"/>
    <w:rsid w:val="009E5227"/>
    <w:rsid w:val="009E5C5B"/>
    <w:rsid w:val="009E5DCE"/>
    <w:rsid w:val="009E677A"/>
    <w:rsid w:val="009E7661"/>
    <w:rsid w:val="009E7E98"/>
    <w:rsid w:val="009F02F7"/>
    <w:rsid w:val="009F08F1"/>
    <w:rsid w:val="009F115A"/>
    <w:rsid w:val="009F176A"/>
    <w:rsid w:val="009F21F6"/>
    <w:rsid w:val="009F2D7A"/>
    <w:rsid w:val="009F2DEE"/>
    <w:rsid w:val="009F311E"/>
    <w:rsid w:val="009F370A"/>
    <w:rsid w:val="009F3D3D"/>
    <w:rsid w:val="009F5431"/>
    <w:rsid w:val="009F5698"/>
    <w:rsid w:val="009F5D23"/>
    <w:rsid w:val="009F5DC3"/>
    <w:rsid w:val="009F5F6F"/>
    <w:rsid w:val="009F66D8"/>
    <w:rsid w:val="009F6AB1"/>
    <w:rsid w:val="009F7411"/>
    <w:rsid w:val="009F795D"/>
    <w:rsid w:val="009F79F8"/>
    <w:rsid w:val="00A000B3"/>
    <w:rsid w:val="00A00492"/>
    <w:rsid w:val="00A00B1F"/>
    <w:rsid w:val="00A00E11"/>
    <w:rsid w:val="00A00FB5"/>
    <w:rsid w:val="00A010C4"/>
    <w:rsid w:val="00A01213"/>
    <w:rsid w:val="00A014B0"/>
    <w:rsid w:val="00A01F01"/>
    <w:rsid w:val="00A022FB"/>
    <w:rsid w:val="00A023FD"/>
    <w:rsid w:val="00A0246E"/>
    <w:rsid w:val="00A02E39"/>
    <w:rsid w:val="00A0302C"/>
    <w:rsid w:val="00A032E9"/>
    <w:rsid w:val="00A03EF1"/>
    <w:rsid w:val="00A04D8C"/>
    <w:rsid w:val="00A050A0"/>
    <w:rsid w:val="00A0523D"/>
    <w:rsid w:val="00A0555D"/>
    <w:rsid w:val="00A05A8D"/>
    <w:rsid w:val="00A05A9C"/>
    <w:rsid w:val="00A05ABF"/>
    <w:rsid w:val="00A06A2C"/>
    <w:rsid w:val="00A06BEC"/>
    <w:rsid w:val="00A07183"/>
    <w:rsid w:val="00A077E3"/>
    <w:rsid w:val="00A07B4B"/>
    <w:rsid w:val="00A07D37"/>
    <w:rsid w:val="00A10326"/>
    <w:rsid w:val="00A1053E"/>
    <w:rsid w:val="00A10A0F"/>
    <w:rsid w:val="00A10BEA"/>
    <w:rsid w:val="00A11A9B"/>
    <w:rsid w:val="00A11AD6"/>
    <w:rsid w:val="00A11E56"/>
    <w:rsid w:val="00A11ECD"/>
    <w:rsid w:val="00A11EFD"/>
    <w:rsid w:val="00A12311"/>
    <w:rsid w:val="00A12E71"/>
    <w:rsid w:val="00A135D9"/>
    <w:rsid w:val="00A1377D"/>
    <w:rsid w:val="00A13AE4"/>
    <w:rsid w:val="00A14D65"/>
    <w:rsid w:val="00A14F24"/>
    <w:rsid w:val="00A1506F"/>
    <w:rsid w:val="00A1578E"/>
    <w:rsid w:val="00A158A7"/>
    <w:rsid w:val="00A15B24"/>
    <w:rsid w:val="00A15BAF"/>
    <w:rsid w:val="00A15C79"/>
    <w:rsid w:val="00A15FC1"/>
    <w:rsid w:val="00A16316"/>
    <w:rsid w:val="00A16851"/>
    <w:rsid w:val="00A1694E"/>
    <w:rsid w:val="00A16ABE"/>
    <w:rsid w:val="00A16CDA"/>
    <w:rsid w:val="00A17A30"/>
    <w:rsid w:val="00A17CB0"/>
    <w:rsid w:val="00A20790"/>
    <w:rsid w:val="00A20892"/>
    <w:rsid w:val="00A20D15"/>
    <w:rsid w:val="00A216C4"/>
    <w:rsid w:val="00A21826"/>
    <w:rsid w:val="00A225F8"/>
    <w:rsid w:val="00A22AFB"/>
    <w:rsid w:val="00A24750"/>
    <w:rsid w:val="00A24790"/>
    <w:rsid w:val="00A24A9D"/>
    <w:rsid w:val="00A2532C"/>
    <w:rsid w:val="00A25AB2"/>
    <w:rsid w:val="00A263EA"/>
    <w:rsid w:val="00A27383"/>
    <w:rsid w:val="00A277E4"/>
    <w:rsid w:val="00A305AA"/>
    <w:rsid w:val="00A310D9"/>
    <w:rsid w:val="00A31511"/>
    <w:rsid w:val="00A318A7"/>
    <w:rsid w:val="00A31D1F"/>
    <w:rsid w:val="00A31E6F"/>
    <w:rsid w:val="00A32593"/>
    <w:rsid w:val="00A329EC"/>
    <w:rsid w:val="00A32C4C"/>
    <w:rsid w:val="00A3363F"/>
    <w:rsid w:val="00A33D16"/>
    <w:rsid w:val="00A33FDC"/>
    <w:rsid w:val="00A345EB"/>
    <w:rsid w:val="00A34A89"/>
    <w:rsid w:val="00A34B92"/>
    <w:rsid w:val="00A34EF9"/>
    <w:rsid w:val="00A35316"/>
    <w:rsid w:val="00A35E1C"/>
    <w:rsid w:val="00A37083"/>
    <w:rsid w:val="00A375FE"/>
    <w:rsid w:val="00A37C4B"/>
    <w:rsid w:val="00A37FFA"/>
    <w:rsid w:val="00A40011"/>
    <w:rsid w:val="00A40A1B"/>
    <w:rsid w:val="00A40E47"/>
    <w:rsid w:val="00A41DD2"/>
    <w:rsid w:val="00A4241F"/>
    <w:rsid w:val="00A429C9"/>
    <w:rsid w:val="00A42B64"/>
    <w:rsid w:val="00A42C0C"/>
    <w:rsid w:val="00A435BC"/>
    <w:rsid w:val="00A43630"/>
    <w:rsid w:val="00A447C1"/>
    <w:rsid w:val="00A447D3"/>
    <w:rsid w:val="00A45240"/>
    <w:rsid w:val="00A45316"/>
    <w:rsid w:val="00A4593A"/>
    <w:rsid w:val="00A45CC1"/>
    <w:rsid w:val="00A45D02"/>
    <w:rsid w:val="00A4658E"/>
    <w:rsid w:val="00A46C67"/>
    <w:rsid w:val="00A47352"/>
    <w:rsid w:val="00A47497"/>
    <w:rsid w:val="00A47633"/>
    <w:rsid w:val="00A4798B"/>
    <w:rsid w:val="00A50050"/>
    <w:rsid w:val="00A50DEE"/>
    <w:rsid w:val="00A510A1"/>
    <w:rsid w:val="00A510D1"/>
    <w:rsid w:val="00A513AE"/>
    <w:rsid w:val="00A51776"/>
    <w:rsid w:val="00A517F7"/>
    <w:rsid w:val="00A51898"/>
    <w:rsid w:val="00A51B30"/>
    <w:rsid w:val="00A51D3A"/>
    <w:rsid w:val="00A52567"/>
    <w:rsid w:val="00A537E0"/>
    <w:rsid w:val="00A53839"/>
    <w:rsid w:val="00A53AFE"/>
    <w:rsid w:val="00A53E7C"/>
    <w:rsid w:val="00A54049"/>
    <w:rsid w:val="00A54185"/>
    <w:rsid w:val="00A54935"/>
    <w:rsid w:val="00A55B1B"/>
    <w:rsid w:val="00A569D8"/>
    <w:rsid w:val="00A57081"/>
    <w:rsid w:val="00A570FC"/>
    <w:rsid w:val="00A60650"/>
    <w:rsid w:val="00A60C14"/>
    <w:rsid w:val="00A61327"/>
    <w:rsid w:val="00A617FD"/>
    <w:rsid w:val="00A6240A"/>
    <w:rsid w:val="00A6277D"/>
    <w:rsid w:val="00A63295"/>
    <w:rsid w:val="00A636FA"/>
    <w:rsid w:val="00A63948"/>
    <w:rsid w:val="00A639A7"/>
    <w:rsid w:val="00A639AA"/>
    <w:rsid w:val="00A63A56"/>
    <w:rsid w:val="00A6400C"/>
    <w:rsid w:val="00A65016"/>
    <w:rsid w:val="00A65152"/>
    <w:rsid w:val="00A651A1"/>
    <w:rsid w:val="00A65B80"/>
    <w:rsid w:val="00A65EF0"/>
    <w:rsid w:val="00A65F08"/>
    <w:rsid w:val="00A662A0"/>
    <w:rsid w:val="00A66E6B"/>
    <w:rsid w:val="00A66E72"/>
    <w:rsid w:val="00A67016"/>
    <w:rsid w:val="00A6709C"/>
    <w:rsid w:val="00A67204"/>
    <w:rsid w:val="00A672BA"/>
    <w:rsid w:val="00A676EA"/>
    <w:rsid w:val="00A67943"/>
    <w:rsid w:val="00A67C74"/>
    <w:rsid w:val="00A7018F"/>
    <w:rsid w:val="00A70403"/>
    <w:rsid w:val="00A70555"/>
    <w:rsid w:val="00A70F47"/>
    <w:rsid w:val="00A71307"/>
    <w:rsid w:val="00A71CB8"/>
    <w:rsid w:val="00A720BC"/>
    <w:rsid w:val="00A721DB"/>
    <w:rsid w:val="00A7233E"/>
    <w:rsid w:val="00A723EF"/>
    <w:rsid w:val="00A726BF"/>
    <w:rsid w:val="00A72A31"/>
    <w:rsid w:val="00A72CBA"/>
    <w:rsid w:val="00A73057"/>
    <w:rsid w:val="00A73102"/>
    <w:rsid w:val="00A733C9"/>
    <w:rsid w:val="00A73401"/>
    <w:rsid w:val="00A7359A"/>
    <w:rsid w:val="00A73C3F"/>
    <w:rsid w:val="00A74304"/>
    <w:rsid w:val="00A7488D"/>
    <w:rsid w:val="00A74EA8"/>
    <w:rsid w:val="00A75007"/>
    <w:rsid w:val="00A752FB"/>
    <w:rsid w:val="00A756FC"/>
    <w:rsid w:val="00A76018"/>
    <w:rsid w:val="00A7623E"/>
    <w:rsid w:val="00A7633F"/>
    <w:rsid w:val="00A770E6"/>
    <w:rsid w:val="00A7746C"/>
    <w:rsid w:val="00A7755C"/>
    <w:rsid w:val="00A80247"/>
    <w:rsid w:val="00A807C3"/>
    <w:rsid w:val="00A80931"/>
    <w:rsid w:val="00A81C88"/>
    <w:rsid w:val="00A82411"/>
    <w:rsid w:val="00A828A9"/>
    <w:rsid w:val="00A82FB7"/>
    <w:rsid w:val="00A83032"/>
    <w:rsid w:val="00A83135"/>
    <w:rsid w:val="00A83143"/>
    <w:rsid w:val="00A83472"/>
    <w:rsid w:val="00A8360A"/>
    <w:rsid w:val="00A83818"/>
    <w:rsid w:val="00A83BDD"/>
    <w:rsid w:val="00A83FA6"/>
    <w:rsid w:val="00A842C4"/>
    <w:rsid w:val="00A84E0F"/>
    <w:rsid w:val="00A84ED3"/>
    <w:rsid w:val="00A85303"/>
    <w:rsid w:val="00A85576"/>
    <w:rsid w:val="00A855CF"/>
    <w:rsid w:val="00A858D1"/>
    <w:rsid w:val="00A85A89"/>
    <w:rsid w:val="00A85F6C"/>
    <w:rsid w:val="00A8604F"/>
    <w:rsid w:val="00A8608A"/>
    <w:rsid w:val="00A865D8"/>
    <w:rsid w:val="00A869E6"/>
    <w:rsid w:val="00A870E3"/>
    <w:rsid w:val="00A87209"/>
    <w:rsid w:val="00A877EF"/>
    <w:rsid w:val="00A87A8D"/>
    <w:rsid w:val="00A87C93"/>
    <w:rsid w:val="00A9012C"/>
    <w:rsid w:val="00A90ADB"/>
    <w:rsid w:val="00A91528"/>
    <w:rsid w:val="00A91B0E"/>
    <w:rsid w:val="00A91D93"/>
    <w:rsid w:val="00A91DAD"/>
    <w:rsid w:val="00A92016"/>
    <w:rsid w:val="00A9202C"/>
    <w:rsid w:val="00A923D3"/>
    <w:rsid w:val="00A932D0"/>
    <w:rsid w:val="00A9337A"/>
    <w:rsid w:val="00A93800"/>
    <w:rsid w:val="00A93EB6"/>
    <w:rsid w:val="00A942D2"/>
    <w:rsid w:val="00A94582"/>
    <w:rsid w:val="00A94775"/>
    <w:rsid w:val="00A947D1"/>
    <w:rsid w:val="00A94A5C"/>
    <w:rsid w:val="00A94CD7"/>
    <w:rsid w:val="00A95568"/>
    <w:rsid w:val="00A96029"/>
    <w:rsid w:val="00A96099"/>
    <w:rsid w:val="00A96134"/>
    <w:rsid w:val="00A963E8"/>
    <w:rsid w:val="00A9651B"/>
    <w:rsid w:val="00A96E6C"/>
    <w:rsid w:val="00A96EA1"/>
    <w:rsid w:val="00A9720C"/>
    <w:rsid w:val="00A97908"/>
    <w:rsid w:val="00A97A93"/>
    <w:rsid w:val="00A97EA4"/>
    <w:rsid w:val="00AA0195"/>
    <w:rsid w:val="00AA03D2"/>
    <w:rsid w:val="00AA100F"/>
    <w:rsid w:val="00AA147B"/>
    <w:rsid w:val="00AA29A0"/>
    <w:rsid w:val="00AA2E2F"/>
    <w:rsid w:val="00AA3139"/>
    <w:rsid w:val="00AA3564"/>
    <w:rsid w:val="00AA3950"/>
    <w:rsid w:val="00AA3963"/>
    <w:rsid w:val="00AA42BE"/>
    <w:rsid w:val="00AA5D21"/>
    <w:rsid w:val="00AA6647"/>
    <w:rsid w:val="00AA6AD9"/>
    <w:rsid w:val="00AB04A6"/>
    <w:rsid w:val="00AB06E2"/>
    <w:rsid w:val="00AB08E9"/>
    <w:rsid w:val="00AB0D12"/>
    <w:rsid w:val="00AB0F6C"/>
    <w:rsid w:val="00AB11A7"/>
    <w:rsid w:val="00AB13D9"/>
    <w:rsid w:val="00AB1CF4"/>
    <w:rsid w:val="00AB1E67"/>
    <w:rsid w:val="00AB2401"/>
    <w:rsid w:val="00AB27D8"/>
    <w:rsid w:val="00AB2A91"/>
    <w:rsid w:val="00AB2F38"/>
    <w:rsid w:val="00AB31A5"/>
    <w:rsid w:val="00AB3315"/>
    <w:rsid w:val="00AB3795"/>
    <w:rsid w:val="00AB3F76"/>
    <w:rsid w:val="00AB3F83"/>
    <w:rsid w:val="00AB40C6"/>
    <w:rsid w:val="00AB4900"/>
    <w:rsid w:val="00AB4D16"/>
    <w:rsid w:val="00AB5797"/>
    <w:rsid w:val="00AB68D3"/>
    <w:rsid w:val="00AB6B67"/>
    <w:rsid w:val="00AB740E"/>
    <w:rsid w:val="00AB74D8"/>
    <w:rsid w:val="00AB760F"/>
    <w:rsid w:val="00AB7CFF"/>
    <w:rsid w:val="00AC00C9"/>
    <w:rsid w:val="00AC05EA"/>
    <w:rsid w:val="00AC0D6A"/>
    <w:rsid w:val="00AC0E85"/>
    <w:rsid w:val="00AC0EA5"/>
    <w:rsid w:val="00AC0FD0"/>
    <w:rsid w:val="00AC1300"/>
    <w:rsid w:val="00AC2179"/>
    <w:rsid w:val="00AC23A1"/>
    <w:rsid w:val="00AC25ED"/>
    <w:rsid w:val="00AC2842"/>
    <w:rsid w:val="00AC2D4B"/>
    <w:rsid w:val="00AC3933"/>
    <w:rsid w:val="00AC3BF3"/>
    <w:rsid w:val="00AC3E43"/>
    <w:rsid w:val="00AC3F54"/>
    <w:rsid w:val="00AC4410"/>
    <w:rsid w:val="00AC448A"/>
    <w:rsid w:val="00AC4581"/>
    <w:rsid w:val="00AC4811"/>
    <w:rsid w:val="00AC4CCC"/>
    <w:rsid w:val="00AC5759"/>
    <w:rsid w:val="00AC5F58"/>
    <w:rsid w:val="00AC5FBA"/>
    <w:rsid w:val="00AC6012"/>
    <w:rsid w:val="00AC632B"/>
    <w:rsid w:val="00AC6B31"/>
    <w:rsid w:val="00AC6C1A"/>
    <w:rsid w:val="00AC6DAE"/>
    <w:rsid w:val="00AC73FB"/>
    <w:rsid w:val="00AC7915"/>
    <w:rsid w:val="00AD01FA"/>
    <w:rsid w:val="00AD06B1"/>
    <w:rsid w:val="00AD0895"/>
    <w:rsid w:val="00AD0B11"/>
    <w:rsid w:val="00AD15C7"/>
    <w:rsid w:val="00AD1654"/>
    <w:rsid w:val="00AD1BCF"/>
    <w:rsid w:val="00AD287A"/>
    <w:rsid w:val="00AD2A88"/>
    <w:rsid w:val="00AD3232"/>
    <w:rsid w:val="00AD38A5"/>
    <w:rsid w:val="00AD4771"/>
    <w:rsid w:val="00AD4805"/>
    <w:rsid w:val="00AD4D44"/>
    <w:rsid w:val="00AD57B8"/>
    <w:rsid w:val="00AD5CC0"/>
    <w:rsid w:val="00AD5E01"/>
    <w:rsid w:val="00AD602F"/>
    <w:rsid w:val="00AD7052"/>
    <w:rsid w:val="00AD7494"/>
    <w:rsid w:val="00AD75CC"/>
    <w:rsid w:val="00AD7EE0"/>
    <w:rsid w:val="00AE0120"/>
    <w:rsid w:val="00AE077E"/>
    <w:rsid w:val="00AE08C5"/>
    <w:rsid w:val="00AE0A8A"/>
    <w:rsid w:val="00AE0CEE"/>
    <w:rsid w:val="00AE0FEC"/>
    <w:rsid w:val="00AE2A59"/>
    <w:rsid w:val="00AE2F26"/>
    <w:rsid w:val="00AE32DD"/>
    <w:rsid w:val="00AE3BE4"/>
    <w:rsid w:val="00AE3EBC"/>
    <w:rsid w:val="00AE40EE"/>
    <w:rsid w:val="00AE4291"/>
    <w:rsid w:val="00AE43DD"/>
    <w:rsid w:val="00AE4408"/>
    <w:rsid w:val="00AE46B1"/>
    <w:rsid w:val="00AE539A"/>
    <w:rsid w:val="00AE559D"/>
    <w:rsid w:val="00AE5E64"/>
    <w:rsid w:val="00AE6177"/>
    <w:rsid w:val="00AE6F2F"/>
    <w:rsid w:val="00AE6FD9"/>
    <w:rsid w:val="00AE7127"/>
    <w:rsid w:val="00AE718E"/>
    <w:rsid w:val="00AE7A7D"/>
    <w:rsid w:val="00AE7A83"/>
    <w:rsid w:val="00AF068B"/>
    <w:rsid w:val="00AF06B8"/>
    <w:rsid w:val="00AF0AC4"/>
    <w:rsid w:val="00AF16F1"/>
    <w:rsid w:val="00AF176E"/>
    <w:rsid w:val="00AF2017"/>
    <w:rsid w:val="00AF2368"/>
    <w:rsid w:val="00AF310A"/>
    <w:rsid w:val="00AF3C2D"/>
    <w:rsid w:val="00AF3CBA"/>
    <w:rsid w:val="00AF3DAB"/>
    <w:rsid w:val="00AF400B"/>
    <w:rsid w:val="00AF4631"/>
    <w:rsid w:val="00AF4949"/>
    <w:rsid w:val="00AF4C8D"/>
    <w:rsid w:val="00AF4F99"/>
    <w:rsid w:val="00AF5012"/>
    <w:rsid w:val="00AF53AA"/>
    <w:rsid w:val="00AF5B46"/>
    <w:rsid w:val="00AF5B49"/>
    <w:rsid w:val="00AF5F7B"/>
    <w:rsid w:val="00AF640D"/>
    <w:rsid w:val="00AF676D"/>
    <w:rsid w:val="00AF6ABE"/>
    <w:rsid w:val="00AF6DAB"/>
    <w:rsid w:val="00AF6FAD"/>
    <w:rsid w:val="00AF70BD"/>
    <w:rsid w:val="00AF7468"/>
    <w:rsid w:val="00B0005A"/>
    <w:rsid w:val="00B00586"/>
    <w:rsid w:val="00B0080A"/>
    <w:rsid w:val="00B00CFF"/>
    <w:rsid w:val="00B01390"/>
    <w:rsid w:val="00B01611"/>
    <w:rsid w:val="00B01B95"/>
    <w:rsid w:val="00B01C16"/>
    <w:rsid w:val="00B01E6F"/>
    <w:rsid w:val="00B02575"/>
    <w:rsid w:val="00B02932"/>
    <w:rsid w:val="00B02AE1"/>
    <w:rsid w:val="00B02F34"/>
    <w:rsid w:val="00B034DB"/>
    <w:rsid w:val="00B039FA"/>
    <w:rsid w:val="00B03A5A"/>
    <w:rsid w:val="00B0422C"/>
    <w:rsid w:val="00B05D1F"/>
    <w:rsid w:val="00B069E0"/>
    <w:rsid w:val="00B06CC8"/>
    <w:rsid w:val="00B07373"/>
    <w:rsid w:val="00B07F50"/>
    <w:rsid w:val="00B10B68"/>
    <w:rsid w:val="00B116B8"/>
    <w:rsid w:val="00B11F22"/>
    <w:rsid w:val="00B12FFF"/>
    <w:rsid w:val="00B13715"/>
    <w:rsid w:val="00B138D7"/>
    <w:rsid w:val="00B141B8"/>
    <w:rsid w:val="00B141EB"/>
    <w:rsid w:val="00B150AE"/>
    <w:rsid w:val="00B15175"/>
    <w:rsid w:val="00B1562B"/>
    <w:rsid w:val="00B15653"/>
    <w:rsid w:val="00B15B89"/>
    <w:rsid w:val="00B164D2"/>
    <w:rsid w:val="00B17417"/>
    <w:rsid w:val="00B20230"/>
    <w:rsid w:val="00B2070A"/>
    <w:rsid w:val="00B207B8"/>
    <w:rsid w:val="00B20DCF"/>
    <w:rsid w:val="00B225CC"/>
    <w:rsid w:val="00B23880"/>
    <w:rsid w:val="00B23883"/>
    <w:rsid w:val="00B23B63"/>
    <w:rsid w:val="00B24178"/>
    <w:rsid w:val="00B246CF"/>
    <w:rsid w:val="00B246E5"/>
    <w:rsid w:val="00B25032"/>
    <w:rsid w:val="00B2613F"/>
    <w:rsid w:val="00B269DF"/>
    <w:rsid w:val="00B27757"/>
    <w:rsid w:val="00B27902"/>
    <w:rsid w:val="00B27B1A"/>
    <w:rsid w:val="00B27C71"/>
    <w:rsid w:val="00B27DB2"/>
    <w:rsid w:val="00B312E0"/>
    <w:rsid w:val="00B31E21"/>
    <w:rsid w:val="00B31FEF"/>
    <w:rsid w:val="00B322B5"/>
    <w:rsid w:val="00B32846"/>
    <w:rsid w:val="00B337A6"/>
    <w:rsid w:val="00B34747"/>
    <w:rsid w:val="00B34CC7"/>
    <w:rsid w:val="00B3532B"/>
    <w:rsid w:val="00B357E2"/>
    <w:rsid w:val="00B35D2D"/>
    <w:rsid w:val="00B35D30"/>
    <w:rsid w:val="00B36DA7"/>
    <w:rsid w:val="00B370C9"/>
    <w:rsid w:val="00B3717C"/>
    <w:rsid w:val="00B37247"/>
    <w:rsid w:val="00B379BD"/>
    <w:rsid w:val="00B37A75"/>
    <w:rsid w:val="00B37B25"/>
    <w:rsid w:val="00B40206"/>
    <w:rsid w:val="00B40710"/>
    <w:rsid w:val="00B40879"/>
    <w:rsid w:val="00B4093F"/>
    <w:rsid w:val="00B40EEE"/>
    <w:rsid w:val="00B4120C"/>
    <w:rsid w:val="00B4181E"/>
    <w:rsid w:val="00B41F07"/>
    <w:rsid w:val="00B42238"/>
    <w:rsid w:val="00B42638"/>
    <w:rsid w:val="00B428D2"/>
    <w:rsid w:val="00B42C05"/>
    <w:rsid w:val="00B431B0"/>
    <w:rsid w:val="00B431E1"/>
    <w:rsid w:val="00B4320A"/>
    <w:rsid w:val="00B43408"/>
    <w:rsid w:val="00B43BD7"/>
    <w:rsid w:val="00B445A7"/>
    <w:rsid w:val="00B45265"/>
    <w:rsid w:val="00B455F0"/>
    <w:rsid w:val="00B45C63"/>
    <w:rsid w:val="00B468D4"/>
    <w:rsid w:val="00B46BA7"/>
    <w:rsid w:val="00B47107"/>
    <w:rsid w:val="00B476E6"/>
    <w:rsid w:val="00B479B0"/>
    <w:rsid w:val="00B50392"/>
    <w:rsid w:val="00B506CA"/>
    <w:rsid w:val="00B5097F"/>
    <w:rsid w:val="00B50A0E"/>
    <w:rsid w:val="00B5114E"/>
    <w:rsid w:val="00B514F1"/>
    <w:rsid w:val="00B5150F"/>
    <w:rsid w:val="00B518A1"/>
    <w:rsid w:val="00B51BBA"/>
    <w:rsid w:val="00B5230E"/>
    <w:rsid w:val="00B52997"/>
    <w:rsid w:val="00B52DA8"/>
    <w:rsid w:val="00B534E0"/>
    <w:rsid w:val="00B538D3"/>
    <w:rsid w:val="00B541E7"/>
    <w:rsid w:val="00B550B8"/>
    <w:rsid w:val="00B55BB8"/>
    <w:rsid w:val="00B55DBC"/>
    <w:rsid w:val="00B560D5"/>
    <w:rsid w:val="00B5610F"/>
    <w:rsid w:val="00B5645E"/>
    <w:rsid w:val="00B568B4"/>
    <w:rsid w:val="00B573CB"/>
    <w:rsid w:val="00B57930"/>
    <w:rsid w:val="00B600D1"/>
    <w:rsid w:val="00B605B1"/>
    <w:rsid w:val="00B60AC5"/>
    <w:rsid w:val="00B60B5A"/>
    <w:rsid w:val="00B610BD"/>
    <w:rsid w:val="00B618D9"/>
    <w:rsid w:val="00B6223C"/>
    <w:rsid w:val="00B6237C"/>
    <w:rsid w:val="00B62439"/>
    <w:rsid w:val="00B62875"/>
    <w:rsid w:val="00B630C4"/>
    <w:rsid w:val="00B6355A"/>
    <w:rsid w:val="00B639BA"/>
    <w:rsid w:val="00B64578"/>
    <w:rsid w:val="00B64880"/>
    <w:rsid w:val="00B6489A"/>
    <w:rsid w:val="00B64C00"/>
    <w:rsid w:val="00B65818"/>
    <w:rsid w:val="00B661D5"/>
    <w:rsid w:val="00B66BAB"/>
    <w:rsid w:val="00B670FC"/>
    <w:rsid w:val="00B671C2"/>
    <w:rsid w:val="00B67349"/>
    <w:rsid w:val="00B6743B"/>
    <w:rsid w:val="00B676A2"/>
    <w:rsid w:val="00B67B46"/>
    <w:rsid w:val="00B67D34"/>
    <w:rsid w:val="00B7020A"/>
    <w:rsid w:val="00B70B67"/>
    <w:rsid w:val="00B719E9"/>
    <w:rsid w:val="00B71CEC"/>
    <w:rsid w:val="00B71E44"/>
    <w:rsid w:val="00B71F7E"/>
    <w:rsid w:val="00B71FE7"/>
    <w:rsid w:val="00B7206C"/>
    <w:rsid w:val="00B7256B"/>
    <w:rsid w:val="00B72722"/>
    <w:rsid w:val="00B73437"/>
    <w:rsid w:val="00B73C77"/>
    <w:rsid w:val="00B748B7"/>
    <w:rsid w:val="00B750C1"/>
    <w:rsid w:val="00B751C7"/>
    <w:rsid w:val="00B7545D"/>
    <w:rsid w:val="00B7634F"/>
    <w:rsid w:val="00B768AD"/>
    <w:rsid w:val="00B7795C"/>
    <w:rsid w:val="00B77C85"/>
    <w:rsid w:val="00B77EC6"/>
    <w:rsid w:val="00B77F79"/>
    <w:rsid w:val="00B8019A"/>
    <w:rsid w:val="00B80256"/>
    <w:rsid w:val="00B80425"/>
    <w:rsid w:val="00B80E2D"/>
    <w:rsid w:val="00B810C6"/>
    <w:rsid w:val="00B8261B"/>
    <w:rsid w:val="00B82F4E"/>
    <w:rsid w:val="00B8355D"/>
    <w:rsid w:val="00B83957"/>
    <w:rsid w:val="00B83E15"/>
    <w:rsid w:val="00B84788"/>
    <w:rsid w:val="00B86606"/>
    <w:rsid w:val="00B86EB6"/>
    <w:rsid w:val="00B86F66"/>
    <w:rsid w:val="00B874BC"/>
    <w:rsid w:val="00B876F7"/>
    <w:rsid w:val="00B87977"/>
    <w:rsid w:val="00B87B2B"/>
    <w:rsid w:val="00B901AB"/>
    <w:rsid w:val="00B90E09"/>
    <w:rsid w:val="00B913FF"/>
    <w:rsid w:val="00B91507"/>
    <w:rsid w:val="00B91704"/>
    <w:rsid w:val="00B917FE"/>
    <w:rsid w:val="00B91E15"/>
    <w:rsid w:val="00B92038"/>
    <w:rsid w:val="00B92548"/>
    <w:rsid w:val="00B92EE6"/>
    <w:rsid w:val="00B9311C"/>
    <w:rsid w:val="00B93674"/>
    <w:rsid w:val="00B93854"/>
    <w:rsid w:val="00B939F0"/>
    <w:rsid w:val="00B93B4D"/>
    <w:rsid w:val="00B93CAE"/>
    <w:rsid w:val="00B93ED0"/>
    <w:rsid w:val="00B94BCD"/>
    <w:rsid w:val="00B94BE3"/>
    <w:rsid w:val="00B94CBB"/>
    <w:rsid w:val="00B9506E"/>
    <w:rsid w:val="00B96DB8"/>
    <w:rsid w:val="00B970BA"/>
    <w:rsid w:val="00B974D5"/>
    <w:rsid w:val="00B976DB"/>
    <w:rsid w:val="00B978FE"/>
    <w:rsid w:val="00B97CC7"/>
    <w:rsid w:val="00B97F1C"/>
    <w:rsid w:val="00BA01BE"/>
    <w:rsid w:val="00BA0A30"/>
    <w:rsid w:val="00BA0FA6"/>
    <w:rsid w:val="00BA1043"/>
    <w:rsid w:val="00BA14F6"/>
    <w:rsid w:val="00BA22B8"/>
    <w:rsid w:val="00BA25F1"/>
    <w:rsid w:val="00BA262F"/>
    <w:rsid w:val="00BA2758"/>
    <w:rsid w:val="00BA2957"/>
    <w:rsid w:val="00BA2BF4"/>
    <w:rsid w:val="00BA31E5"/>
    <w:rsid w:val="00BA39AD"/>
    <w:rsid w:val="00BA4863"/>
    <w:rsid w:val="00BA4971"/>
    <w:rsid w:val="00BA5C64"/>
    <w:rsid w:val="00BA5E4A"/>
    <w:rsid w:val="00BA5F92"/>
    <w:rsid w:val="00BA681F"/>
    <w:rsid w:val="00BA6CE7"/>
    <w:rsid w:val="00BA6DF9"/>
    <w:rsid w:val="00BA6FCC"/>
    <w:rsid w:val="00BA75C4"/>
    <w:rsid w:val="00BA7D0A"/>
    <w:rsid w:val="00BA7D2F"/>
    <w:rsid w:val="00BB0837"/>
    <w:rsid w:val="00BB0C8C"/>
    <w:rsid w:val="00BB12EC"/>
    <w:rsid w:val="00BB1DDB"/>
    <w:rsid w:val="00BB1E16"/>
    <w:rsid w:val="00BB2063"/>
    <w:rsid w:val="00BB2112"/>
    <w:rsid w:val="00BB2F53"/>
    <w:rsid w:val="00BB30CC"/>
    <w:rsid w:val="00BB33FF"/>
    <w:rsid w:val="00BB3A85"/>
    <w:rsid w:val="00BB3B69"/>
    <w:rsid w:val="00BB4859"/>
    <w:rsid w:val="00BB4892"/>
    <w:rsid w:val="00BB49DC"/>
    <w:rsid w:val="00BB4C0D"/>
    <w:rsid w:val="00BB51C2"/>
    <w:rsid w:val="00BB52D9"/>
    <w:rsid w:val="00BB557E"/>
    <w:rsid w:val="00BB55E4"/>
    <w:rsid w:val="00BB5B46"/>
    <w:rsid w:val="00BB5C67"/>
    <w:rsid w:val="00BB5F8C"/>
    <w:rsid w:val="00BB6BDA"/>
    <w:rsid w:val="00BB71D2"/>
    <w:rsid w:val="00BB75F4"/>
    <w:rsid w:val="00BB7A9C"/>
    <w:rsid w:val="00BC09CB"/>
    <w:rsid w:val="00BC0AA1"/>
    <w:rsid w:val="00BC1528"/>
    <w:rsid w:val="00BC17DB"/>
    <w:rsid w:val="00BC18D1"/>
    <w:rsid w:val="00BC1CF9"/>
    <w:rsid w:val="00BC2084"/>
    <w:rsid w:val="00BC228C"/>
    <w:rsid w:val="00BC229D"/>
    <w:rsid w:val="00BC2708"/>
    <w:rsid w:val="00BC2E95"/>
    <w:rsid w:val="00BC312C"/>
    <w:rsid w:val="00BC33AC"/>
    <w:rsid w:val="00BC3B55"/>
    <w:rsid w:val="00BC47ED"/>
    <w:rsid w:val="00BC48BD"/>
    <w:rsid w:val="00BC4AED"/>
    <w:rsid w:val="00BC51B0"/>
    <w:rsid w:val="00BC5802"/>
    <w:rsid w:val="00BC61E6"/>
    <w:rsid w:val="00BC6BEB"/>
    <w:rsid w:val="00BC706A"/>
    <w:rsid w:val="00BC743A"/>
    <w:rsid w:val="00BC792C"/>
    <w:rsid w:val="00BD08A5"/>
    <w:rsid w:val="00BD0AAD"/>
    <w:rsid w:val="00BD1037"/>
    <w:rsid w:val="00BD144C"/>
    <w:rsid w:val="00BD1F6C"/>
    <w:rsid w:val="00BD22F6"/>
    <w:rsid w:val="00BD2618"/>
    <w:rsid w:val="00BD3D03"/>
    <w:rsid w:val="00BD486D"/>
    <w:rsid w:val="00BD5980"/>
    <w:rsid w:val="00BD5BC6"/>
    <w:rsid w:val="00BD63B2"/>
    <w:rsid w:val="00BD676F"/>
    <w:rsid w:val="00BD6910"/>
    <w:rsid w:val="00BD6F74"/>
    <w:rsid w:val="00BD71B5"/>
    <w:rsid w:val="00BD77AC"/>
    <w:rsid w:val="00BD7D42"/>
    <w:rsid w:val="00BD7D56"/>
    <w:rsid w:val="00BE043D"/>
    <w:rsid w:val="00BE12C5"/>
    <w:rsid w:val="00BE1323"/>
    <w:rsid w:val="00BE2128"/>
    <w:rsid w:val="00BE323F"/>
    <w:rsid w:val="00BE416C"/>
    <w:rsid w:val="00BE4554"/>
    <w:rsid w:val="00BE4784"/>
    <w:rsid w:val="00BE4D5C"/>
    <w:rsid w:val="00BE4FC7"/>
    <w:rsid w:val="00BE5227"/>
    <w:rsid w:val="00BE5377"/>
    <w:rsid w:val="00BE54CE"/>
    <w:rsid w:val="00BE6AA9"/>
    <w:rsid w:val="00BE6E0C"/>
    <w:rsid w:val="00BE6F31"/>
    <w:rsid w:val="00BE6FD8"/>
    <w:rsid w:val="00BE74EE"/>
    <w:rsid w:val="00BE74F1"/>
    <w:rsid w:val="00BE7541"/>
    <w:rsid w:val="00BE77AD"/>
    <w:rsid w:val="00BE7977"/>
    <w:rsid w:val="00BE7CAA"/>
    <w:rsid w:val="00BE7E6B"/>
    <w:rsid w:val="00BF0031"/>
    <w:rsid w:val="00BF05D1"/>
    <w:rsid w:val="00BF0967"/>
    <w:rsid w:val="00BF09E2"/>
    <w:rsid w:val="00BF1142"/>
    <w:rsid w:val="00BF1670"/>
    <w:rsid w:val="00BF260E"/>
    <w:rsid w:val="00BF2C67"/>
    <w:rsid w:val="00BF350F"/>
    <w:rsid w:val="00BF40F9"/>
    <w:rsid w:val="00BF4B3F"/>
    <w:rsid w:val="00BF53B4"/>
    <w:rsid w:val="00BF53D5"/>
    <w:rsid w:val="00BF559E"/>
    <w:rsid w:val="00BF56AA"/>
    <w:rsid w:val="00BF59F8"/>
    <w:rsid w:val="00BF5A18"/>
    <w:rsid w:val="00BF5C8B"/>
    <w:rsid w:val="00BF69CD"/>
    <w:rsid w:val="00BF6AB2"/>
    <w:rsid w:val="00BF7090"/>
    <w:rsid w:val="00BF7199"/>
    <w:rsid w:val="00BF798A"/>
    <w:rsid w:val="00BF79B2"/>
    <w:rsid w:val="00C00BF7"/>
    <w:rsid w:val="00C00C6A"/>
    <w:rsid w:val="00C00DC4"/>
    <w:rsid w:val="00C00F27"/>
    <w:rsid w:val="00C011D6"/>
    <w:rsid w:val="00C017CD"/>
    <w:rsid w:val="00C01AEB"/>
    <w:rsid w:val="00C01C8D"/>
    <w:rsid w:val="00C02355"/>
    <w:rsid w:val="00C02E57"/>
    <w:rsid w:val="00C02F05"/>
    <w:rsid w:val="00C03997"/>
    <w:rsid w:val="00C043AC"/>
    <w:rsid w:val="00C0491B"/>
    <w:rsid w:val="00C04D39"/>
    <w:rsid w:val="00C04E7A"/>
    <w:rsid w:val="00C05345"/>
    <w:rsid w:val="00C0573D"/>
    <w:rsid w:val="00C05EAF"/>
    <w:rsid w:val="00C06106"/>
    <w:rsid w:val="00C0689C"/>
    <w:rsid w:val="00C07905"/>
    <w:rsid w:val="00C1088D"/>
    <w:rsid w:val="00C108BE"/>
    <w:rsid w:val="00C10EE6"/>
    <w:rsid w:val="00C112A2"/>
    <w:rsid w:val="00C11C44"/>
    <w:rsid w:val="00C1287F"/>
    <w:rsid w:val="00C12C44"/>
    <w:rsid w:val="00C12CF0"/>
    <w:rsid w:val="00C12E79"/>
    <w:rsid w:val="00C12FC0"/>
    <w:rsid w:val="00C13553"/>
    <w:rsid w:val="00C14119"/>
    <w:rsid w:val="00C141DB"/>
    <w:rsid w:val="00C14672"/>
    <w:rsid w:val="00C147CF"/>
    <w:rsid w:val="00C1505A"/>
    <w:rsid w:val="00C162F1"/>
    <w:rsid w:val="00C16F27"/>
    <w:rsid w:val="00C17252"/>
    <w:rsid w:val="00C17866"/>
    <w:rsid w:val="00C17970"/>
    <w:rsid w:val="00C17C0B"/>
    <w:rsid w:val="00C20829"/>
    <w:rsid w:val="00C20CA0"/>
    <w:rsid w:val="00C21A22"/>
    <w:rsid w:val="00C225CC"/>
    <w:rsid w:val="00C22814"/>
    <w:rsid w:val="00C22863"/>
    <w:rsid w:val="00C23A26"/>
    <w:rsid w:val="00C23C98"/>
    <w:rsid w:val="00C23EBC"/>
    <w:rsid w:val="00C2414A"/>
    <w:rsid w:val="00C255FA"/>
    <w:rsid w:val="00C26F7A"/>
    <w:rsid w:val="00C2752A"/>
    <w:rsid w:val="00C2799F"/>
    <w:rsid w:val="00C279A4"/>
    <w:rsid w:val="00C307B7"/>
    <w:rsid w:val="00C30950"/>
    <w:rsid w:val="00C30D51"/>
    <w:rsid w:val="00C31751"/>
    <w:rsid w:val="00C3193F"/>
    <w:rsid w:val="00C3233C"/>
    <w:rsid w:val="00C324CD"/>
    <w:rsid w:val="00C32B18"/>
    <w:rsid w:val="00C330F2"/>
    <w:rsid w:val="00C33268"/>
    <w:rsid w:val="00C33C19"/>
    <w:rsid w:val="00C343FA"/>
    <w:rsid w:val="00C34962"/>
    <w:rsid w:val="00C351AE"/>
    <w:rsid w:val="00C35DF9"/>
    <w:rsid w:val="00C36D63"/>
    <w:rsid w:val="00C36EC0"/>
    <w:rsid w:val="00C36EFD"/>
    <w:rsid w:val="00C37F28"/>
    <w:rsid w:val="00C40577"/>
    <w:rsid w:val="00C40B33"/>
    <w:rsid w:val="00C41575"/>
    <w:rsid w:val="00C41B5B"/>
    <w:rsid w:val="00C42217"/>
    <w:rsid w:val="00C424D7"/>
    <w:rsid w:val="00C4257E"/>
    <w:rsid w:val="00C43B99"/>
    <w:rsid w:val="00C43BFF"/>
    <w:rsid w:val="00C449C5"/>
    <w:rsid w:val="00C44C65"/>
    <w:rsid w:val="00C45675"/>
    <w:rsid w:val="00C45F8C"/>
    <w:rsid w:val="00C4624A"/>
    <w:rsid w:val="00C4665C"/>
    <w:rsid w:val="00C479BB"/>
    <w:rsid w:val="00C479EE"/>
    <w:rsid w:val="00C47A37"/>
    <w:rsid w:val="00C47B7F"/>
    <w:rsid w:val="00C5031F"/>
    <w:rsid w:val="00C503B7"/>
    <w:rsid w:val="00C5041A"/>
    <w:rsid w:val="00C50AA3"/>
    <w:rsid w:val="00C50AC9"/>
    <w:rsid w:val="00C50ECF"/>
    <w:rsid w:val="00C50F39"/>
    <w:rsid w:val="00C516B5"/>
    <w:rsid w:val="00C52393"/>
    <w:rsid w:val="00C52671"/>
    <w:rsid w:val="00C52AB0"/>
    <w:rsid w:val="00C53525"/>
    <w:rsid w:val="00C535E4"/>
    <w:rsid w:val="00C536C4"/>
    <w:rsid w:val="00C53B4B"/>
    <w:rsid w:val="00C53E14"/>
    <w:rsid w:val="00C53F20"/>
    <w:rsid w:val="00C54716"/>
    <w:rsid w:val="00C54CCE"/>
    <w:rsid w:val="00C54FE7"/>
    <w:rsid w:val="00C55706"/>
    <w:rsid w:val="00C55EDB"/>
    <w:rsid w:val="00C55EEC"/>
    <w:rsid w:val="00C561A9"/>
    <w:rsid w:val="00C56B5A"/>
    <w:rsid w:val="00C56C35"/>
    <w:rsid w:val="00C56D1E"/>
    <w:rsid w:val="00C56E13"/>
    <w:rsid w:val="00C57B37"/>
    <w:rsid w:val="00C603E1"/>
    <w:rsid w:val="00C60657"/>
    <w:rsid w:val="00C60CCA"/>
    <w:rsid w:val="00C60FE1"/>
    <w:rsid w:val="00C6108C"/>
    <w:rsid w:val="00C617B8"/>
    <w:rsid w:val="00C617F3"/>
    <w:rsid w:val="00C618E4"/>
    <w:rsid w:val="00C61A11"/>
    <w:rsid w:val="00C61EB0"/>
    <w:rsid w:val="00C61FD6"/>
    <w:rsid w:val="00C62F05"/>
    <w:rsid w:val="00C63172"/>
    <w:rsid w:val="00C63284"/>
    <w:rsid w:val="00C63FED"/>
    <w:rsid w:val="00C641CB"/>
    <w:rsid w:val="00C64286"/>
    <w:rsid w:val="00C64BE2"/>
    <w:rsid w:val="00C64D21"/>
    <w:rsid w:val="00C65090"/>
    <w:rsid w:val="00C66122"/>
    <w:rsid w:val="00C6675B"/>
    <w:rsid w:val="00C669E3"/>
    <w:rsid w:val="00C676D3"/>
    <w:rsid w:val="00C678B2"/>
    <w:rsid w:val="00C67AD4"/>
    <w:rsid w:val="00C67C08"/>
    <w:rsid w:val="00C67D30"/>
    <w:rsid w:val="00C70031"/>
    <w:rsid w:val="00C70531"/>
    <w:rsid w:val="00C707E1"/>
    <w:rsid w:val="00C70C3C"/>
    <w:rsid w:val="00C70DA2"/>
    <w:rsid w:val="00C7139A"/>
    <w:rsid w:val="00C7167E"/>
    <w:rsid w:val="00C71919"/>
    <w:rsid w:val="00C71A00"/>
    <w:rsid w:val="00C7214E"/>
    <w:rsid w:val="00C72DA3"/>
    <w:rsid w:val="00C737ED"/>
    <w:rsid w:val="00C73C4D"/>
    <w:rsid w:val="00C7465C"/>
    <w:rsid w:val="00C747BA"/>
    <w:rsid w:val="00C74C8C"/>
    <w:rsid w:val="00C74E82"/>
    <w:rsid w:val="00C74FFE"/>
    <w:rsid w:val="00C75183"/>
    <w:rsid w:val="00C7547B"/>
    <w:rsid w:val="00C75543"/>
    <w:rsid w:val="00C765D0"/>
    <w:rsid w:val="00C766C6"/>
    <w:rsid w:val="00C770B9"/>
    <w:rsid w:val="00C770E6"/>
    <w:rsid w:val="00C77665"/>
    <w:rsid w:val="00C77723"/>
    <w:rsid w:val="00C77A7B"/>
    <w:rsid w:val="00C77E82"/>
    <w:rsid w:val="00C80FE2"/>
    <w:rsid w:val="00C812CF"/>
    <w:rsid w:val="00C8152E"/>
    <w:rsid w:val="00C8185E"/>
    <w:rsid w:val="00C819A5"/>
    <w:rsid w:val="00C81CE0"/>
    <w:rsid w:val="00C82A71"/>
    <w:rsid w:val="00C83309"/>
    <w:rsid w:val="00C837A4"/>
    <w:rsid w:val="00C843FF"/>
    <w:rsid w:val="00C84690"/>
    <w:rsid w:val="00C84DEE"/>
    <w:rsid w:val="00C84E5F"/>
    <w:rsid w:val="00C84EEE"/>
    <w:rsid w:val="00C854F4"/>
    <w:rsid w:val="00C85685"/>
    <w:rsid w:val="00C86D05"/>
    <w:rsid w:val="00C86F05"/>
    <w:rsid w:val="00C874BE"/>
    <w:rsid w:val="00C87A18"/>
    <w:rsid w:val="00C87F22"/>
    <w:rsid w:val="00C9014F"/>
    <w:rsid w:val="00C90309"/>
    <w:rsid w:val="00C91086"/>
    <w:rsid w:val="00C911CE"/>
    <w:rsid w:val="00C91486"/>
    <w:rsid w:val="00C914F9"/>
    <w:rsid w:val="00C91D4D"/>
    <w:rsid w:val="00C92015"/>
    <w:rsid w:val="00C925C4"/>
    <w:rsid w:val="00C92794"/>
    <w:rsid w:val="00C9298D"/>
    <w:rsid w:val="00C92DD2"/>
    <w:rsid w:val="00C93003"/>
    <w:rsid w:val="00C9326B"/>
    <w:rsid w:val="00C9330D"/>
    <w:rsid w:val="00C936BB"/>
    <w:rsid w:val="00C93FED"/>
    <w:rsid w:val="00C9484A"/>
    <w:rsid w:val="00C94EAE"/>
    <w:rsid w:val="00C95316"/>
    <w:rsid w:val="00C955AA"/>
    <w:rsid w:val="00C95DE0"/>
    <w:rsid w:val="00C9697B"/>
    <w:rsid w:val="00C970A5"/>
    <w:rsid w:val="00C97169"/>
    <w:rsid w:val="00C972BA"/>
    <w:rsid w:val="00C972F2"/>
    <w:rsid w:val="00C97316"/>
    <w:rsid w:val="00C9746E"/>
    <w:rsid w:val="00C97C6A"/>
    <w:rsid w:val="00CA0E78"/>
    <w:rsid w:val="00CA14A0"/>
    <w:rsid w:val="00CA1B5A"/>
    <w:rsid w:val="00CA1C94"/>
    <w:rsid w:val="00CA2115"/>
    <w:rsid w:val="00CA22CA"/>
    <w:rsid w:val="00CA29A4"/>
    <w:rsid w:val="00CA2B4C"/>
    <w:rsid w:val="00CA2C56"/>
    <w:rsid w:val="00CA3A79"/>
    <w:rsid w:val="00CA3C6B"/>
    <w:rsid w:val="00CA3E22"/>
    <w:rsid w:val="00CA4332"/>
    <w:rsid w:val="00CA48B7"/>
    <w:rsid w:val="00CA4C60"/>
    <w:rsid w:val="00CA5138"/>
    <w:rsid w:val="00CA57E3"/>
    <w:rsid w:val="00CA62C5"/>
    <w:rsid w:val="00CA6312"/>
    <w:rsid w:val="00CA72AC"/>
    <w:rsid w:val="00CB0EBB"/>
    <w:rsid w:val="00CB10E0"/>
    <w:rsid w:val="00CB19B7"/>
    <w:rsid w:val="00CB20DE"/>
    <w:rsid w:val="00CB222D"/>
    <w:rsid w:val="00CB2500"/>
    <w:rsid w:val="00CB2923"/>
    <w:rsid w:val="00CB2DDF"/>
    <w:rsid w:val="00CB2EE9"/>
    <w:rsid w:val="00CB390A"/>
    <w:rsid w:val="00CB432A"/>
    <w:rsid w:val="00CB4727"/>
    <w:rsid w:val="00CB4740"/>
    <w:rsid w:val="00CB4B60"/>
    <w:rsid w:val="00CB4C49"/>
    <w:rsid w:val="00CB4DF5"/>
    <w:rsid w:val="00CB5677"/>
    <w:rsid w:val="00CB59AE"/>
    <w:rsid w:val="00CB6461"/>
    <w:rsid w:val="00CB6766"/>
    <w:rsid w:val="00CB6B51"/>
    <w:rsid w:val="00CB77E2"/>
    <w:rsid w:val="00CC0223"/>
    <w:rsid w:val="00CC06E2"/>
    <w:rsid w:val="00CC0A59"/>
    <w:rsid w:val="00CC0BA9"/>
    <w:rsid w:val="00CC1884"/>
    <w:rsid w:val="00CC192C"/>
    <w:rsid w:val="00CC197E"/>
    <w:rsid w:val="00CC1B95"/>
    <w:rsid w:val="00CC1EF7"/>
    <w:rsid w:val="00CC33F0"/>
    <w:rsid w:val="00CC3482"/>
    <w:rsid w:val="00CC362A"/>
    <w:rsid w:val="00CC4009"/>
    <w:rsid w:val="00CC43B8"/>
    <w:rsid w:val="00CC558C"/>
    <w:rsid w:val="00CC57C1"/>
    <w:rsid w:val="00CC745C"/>
    <w:rsid w:val="00CC75A4"/>
    <w:rsid w:val="00CD041A"/>
    <w:rsid w:val="00CD0680"/>
    <w:rsid w:val="00CD0CA5"/>
    <w:rsid w:val="00CD1833"/>
    <w:rsid w:val="00CD18CD"/>
    <w:rsid w:val="00CD1A35"/>
    <w:rsid w:val="00CD204F"/>
    <w:rsid w:val="00CD2119"/>
    <w:rsid w:val="00CD25D9"/>
    <w:rsid w:val="00CD30A1"/>
    <w:rsid w:val="00CD3E7A"/>
    <w:rsid w:val="00CD4E94"/>
    <w:rsid w:val="00CD5378"/>
    <w:rsid w:val="00CD56A0"/>
    <w:rsid w:val="00CD619A"/>
    <w:rsid w:val="00CD655B"/>
    <w:rsid w:val="00CD7170"/>
    <w:rsid w:val="00CD75F9"/>
    <w:rsid w:val="00CD781A"/>
    <w:rsid w:val="00CD7AA7"/>
    <w:rsid w:val="00CD7CFF"/>
    <w:rsid w:val="00CE042C"/>
    <w:rsid w:val="00CE09D9"/>
    <w:rsid w:val="00CE1E9A"/>
    <w:rsid w:val="00CE413D"/>
    <w:rsid w:val="00CE4734"/>
    <w:rsid w:val="00CE500F"/>
    <w:rsid w:val="00CE566B"/>
    <w:rsid w:val="00CE5917"/>
    <w:rsid w:val="00CE5D9B"/>
    <w:rsid w:val="00CE6357"/>
    <w:rsid w:val="00CE68A4"/>
    <w:rsid w:val="00CE6D81"/>
    <w:rsid w:val="00CE784A"/>
    <w:rsid w:val="00CF0B81"/>
    <w:rsid w:val="00CF100A"/>
    <w:rsid w:val="00CF1353"/>
    <w:rsid w:val="00CF19D8"/>
    <w:rsid w:val="00CF2C2C"/>
    <w:rsid w:val="00CF2E2D"/>
    <w:rsid w:val="00CF2E72"/>
    <w:rsid w:val="00CF3C54"/>
    <w:rsid w:val="00CF3C94"/>
    <w:rsid w:val="00CF3D7D"/>
    <w:rsid w:val="00CF423E"/>
    <w:rsid w:val="00CF505A"/>
    <w:rsid w:val="00CF50E9"/>
    <w:rsid w:val="00CF531A"/>
    <w:rsid w:val="00CF6128"/>
    <w:rsid w:val="00CF654C"/>
    <w:rsid w:val="00D003DE"/>
    <w:rsid w:val="00D00653"/>
    <w:rsid w:val="00D008BD"/>
    <w:rsid w:val="00D013F2"/>
    <w:rsid w:val="00D015C3"/>
    <w:rsid w:val="00D0198E"/>
    <w:rsid w:val="00D019F6"/>
    <w:rsid w:val="00D02240"/>
    <w:rsid w:val="00D02313"/>
    <w:rsid w:val="00D0240B"/>
    <w:rsid w:val="00D02CD6"/>
    <w:rsid w:val="00D03196"/>
    <w:rsid w:val="00D035F8"/>
    <w:rsid w:val="00D03C18"/>
    <w:rsid w:val="00D03E5D"/>
    <w:rsid w:val="00D049DE"/>
    <w:rsid w:val="00D04A23"/>
    <w:rsid w:val="00D04E34"/>
    <w:rsid w:val="00D04F6F"/>
    <w:rsid w:val="00D0535B"/>
    <w:rsid w:val="00D05847"/>
    <w:rsid w:val="00D05D18"/>
    <w:rsid w:val="00D05E9A"/>
    <w:rsid w:val="00D068C8"/>
    <w:rsid w:val="00D075BD"/>
    <w:rsid w:val="00D0791C"/>
    <w:rsid w:val="00D100DF"/>
    <w:rsid w:val="00D10DEA"/>
    <w:rsid w:val="00D11053"/>
    <w:rsid w:val="00D11BE3"/>
    <w:rsid w:val="00D11C49"/>
    <w:rsid w:val="00D12427"/>
    <w:rsid w:val="00D124EA"/>
    <w:rsid w:val="00D12BE1"/>
    <w:rsid w:val="00D1354A"/>
    <w:rsid w:val="00D13778"/>
    <w:rsid w:val="00D14210"/>
    <w:rsid w:val="00D14642"/>
    <w:rsid w:val="00D14A9C"/>
    <w:rsid w:val="00D14D3E"/>
    <w:rsid w:val="00D14DD7"/>
    <w:rsid w:val="00D14F91"/>
    <w:rsid w:val="00D14FFF"/>
    <w:rsid w:val="00D157BD"/>
    <w:rsid w:val="00D1586E"/>
    <w:rsid w:val="00D15B49"/>
    <w:rsid w:val="00D170BC"/>
    <w:rsid w:val="00D179E6"/>
    <w:rsid w:val="00D17C34"/>
    <w:rsid w:val="00D20C4B"/>
    <w:rsid w:val="00D20ECD"/>
    <w:rsid w:val="00D21153"/>
    <w:rsid w:val="00D21671"/>
    <w:rsid w:val="00D21DCE"/>
    <w:rsid w:val="00D220F5"/>
    <w:rsid w:val="00D222A1"/>
    <w:rsid w:val="00D2264F"/>
    <w:rsid w:val="00D23480"/>
    <w:rsid w:val="00D235D2"/>
    <w:rsid w:val="00D236A5"/>
    <w:rsid w:val="00D24407"/>
    <w:rsid w:val="00D24576"/>
    <w:rsid w:val="00D2490F"/>
    <w:rsid w:val="00D24B67"/>
    <w:rsid w:val="00D24C77"/>
    <w:rsid w:val="00D250A3"/>
    <w:rsid w:val="00D26468"/>
    <w:rsid w:val="00D26B32"/>
    <w:rsid w:val="00D2748F"/>
    <w:rsid w:val="00D27AD7"/>
    <w:rsid w:val="00D301DD"/>
    <w:rsid w:val="00D30684"/>
    <w:rsid w:val="00D30C91"/>
    <w:rsid w:val="00D30D24"/>
    <w:rsid w:val="00D311A0"/>
    <w:rsid w:val="00D31433"/>
    <w:rsid w:val="00D3185A"/>
    <w:rsid w:val="00D31CED"/>
    <w:rsid w:val="00D31ED8"/>
    <w:rsid w:val="00D3237D"/>
    <w:rsid w:val="00D32517"/>
    <w:rsid w:val="00D3332B"/>
    <w:rsid w:val="00D33429"/>
    <w:rsid w:val="00D334BA"/>
    <w:rsid w:val="00D33FEA"/>
    <w:rsid w:val="00D34BAF"/>
    <w:rsid w:val="00D34CFF"/>
    <w:rsid w:val="00D35010"/>
    <w:rsid w:val="00D351B7"/>
    <w:rsid w:val="00D36238"/>
    <w:rsid w:val="00D364B7"/>
    <w:rsid w:val="00D36D43"/>
    <w:rsid w:val="00D371B9"/>
    <w:rsid w:val="00D376C8"/>
    <w:rsid w:val="00D37744"/>
    <w:rsid w:val="00D3778F"/>
    <w:rsid w:val="00D3791F"/>
    <w:rsid w:val="00D37F5A"/>
    <w:rsid w:val="00D37F5F"/>
    <w:rsid w:val="00D402F4"/>
    <w:rsid w:val="00D412C5"/>
    <w:rsid w:val="00D4145E"/>
    <w:rsid w:val="00D4176E"/>
    <w:rsid w:val="00D41F71"/>
    <w:rsid w:val="00D42333"/>
    <w:rsid w:val="00D428C9"/>
    <w:rsid w:val="00D42914"/>
    <w:rsid w:val="00D42A66"/>
    <w:rsid w:val="00D43089"/>
    <w:rsid w:val="00D43340"/>
    <w:rsid w:val="00D4374C"/>
    <w:rsid w:val="00D438EE"/>
    <w:rsid w:val="00D43DE6"/>
    <w:rsid w:val="00D43E79"/>
    <w:rsid w:val="00D441D7"/>
    <w:rsid w:val="00D448F8"/>
    <w:rsid w:val="00D452E0"/>
    <w:rsid w:val="00D456C2"/>
    <w:rsid w:val="00D45AA1"/>
    <w:rsid w:val="00D45FBB"/>
    <w:rsid w:val="00D4640F"/>
    <w:rsid w:val="00D46DCA"/>
    <w:rsid w:val="00D47688"/>
    <w:rsid w:val="00D477ED"/>
    <w:rsid w:val="00D47F9A"/>
    <w:rsid w:val="00D50123"/>
    <w:rsid w:val="00D50D7E"/>
    <w:rsid w:val="00D5149E"/>
    <w:rsid w:val="00D5158E"/>
    <w:rsid w:val="00D51A9F"/>
    <w:rsid w:val="00D5236B"/>
    <w:rsid w:val="00D52CD6"/>
    <w:rsid w:val="00D542E6"/>
    <w:rsid w:val="00D544A7"/>
    <w:rsid w:val="00D5451C"/>
    <w:rsid w:val="00D54E7D"/>
    <w:rsid w:val="00D54EEF"/>
    <w:rsid w:val="00D55367"/>
    <w:rsid w:val="00D55444"/>
    <w:rsid w:val="00D55E49"/>
    <w:rsid w:val="00D5638A"/>
    <w:rsid w:val="00D56906"/>
    <w:rsid w:val="00D56B1E"/>
    <w:rsid w:val="00D56DCA"/>
    <w:rsid w:val="00D570EB"/>
    <w:rsid w:val="00D5748A"/>
    <w:rsid w:val="00D57E2D"/>
    <w:rsid w:val="00D60FB7"/>
    <w:rsid w:val="00D61F13"/>
    <w:rsid w:val="00D620B7"/>
    <w:rsid w:val="00D6214F"/>
    <w:rsid w:val="00D62DE8"/>
    <w:rsid w:val="00D639C1"/>
    <w:rsid w:val="00D63E10"/>
    <w:rsid w:val="00D63E2B"/>
    <w:rsid w:val="00D65005"/>
    <w:rsid w:val="00D65134"/>
    <w:rsid w:val="00D656EE"/>
    <w:rsid w:val="00D66E0F"/>
    <w:rsid w:val="00D66FDE"/>
    <w:rsid w:val="00D67436"/>
    <w:rsid w:val="00D67B86"/>
    <w:rsid w:val="00D67D60"/>
    <w:rsid w:val="00D67F1E"/>
    <w:rsid w:val="00D70292"/>
    <w:rsid w:val="00D702B3"/>
    <w:rsid w:val="00D70478"/>
    <w:rsid w:val="00D704AC"/>
    <w:rsid w:val="00D71948"/>
    <w:rsid w:val="00D719B6"/>
    <w:rsid w:val="00D71E2E"/>
    <w:rsid w:val="00D71F97"/>
    <w:rsid w:val="00D7250C"/>
    <w:rsid w:val="00D73841"/>
    <w:rsid w:val="00D74033"/>
    <w:rsid w:val="00D7423F"/>
    <w:rsid w:val="00D748E0"/>
    <w:rsid w:val="00D74963"/>
    <w:rsid w:val="00D74B04"/>
    <w:rsid w:val="00D75B4B"/>
    <w:rsid w:val="00D760BB"/>
    <w:rsid w:val="00D771A4"/>
    <w:rsid w:val="00D772CC"/>
    <w:rsid w:val="00D77B05"/>
    <w:rsid w:val="00D77E15"/>
    <w:rsid w:val="00D80048"/>
    <w:rsid w:val="00D80266"/>
    <w:rsid w:val="00D802EB"/>
    <w:rsid w:val="00D806E0"/>
    <w:rsid w:val="00D80903"/>
    <w:rsid w:val="00D81179"/>
    <w:rsid w:val="00D816C3"/>
    <w:rsid w:val="00D82ACD"/>
    <w:rsid w:val="00D82C40"/>
    <w:rsid w:val="00D82CB1"/>
    <w:rsid w:val="00D8323D"/>
    <w:rsid w:val="00D83D5E"/>
    <w:rsid w:val="00D84FE0"/>
    <w:rsid w:val="00D85185"/>
    <w:rsid w:val="00D8544F"/>
    <w:rsid w:val="00D857D0"/>
    <w:rsid w:val="00D867C4"/>
    <w:rsid w:val="00D86EAB"/>
    <w:rsid w:val="00D86EF6"/>
    <w:rsid w:val="00D86FF8"/>
    <w:rsid w:val="00D87429"/>
    <w:rsid w:val="00D87D4F"/>
    <w:rsid w:val="00D90371"/>
    <w:rsid w:val="00D90536"/>
    <w:rsid w:val="00D90598"/>
    <w:rsid w:val="00D9076C"/>
    <w:rsid w:val="00D90A26"/>
    <w:rsid w:val="00D90BC4"/>
    <w:rsid w:val="00D912E7"/>
    <w:rsid w:val="00D918EC"/>
    <w:rsid w:val="00D91C97"/>
    <w:rsid w:val="00D920EB"/>
    <w:rsid w:val="00D922A8"/>
    <w:rsid w:val="00D92854"/>
    <w:rsid w:val="00D934B1"/>
    <w:rsid w:val="00D93657"/>
    <w:rsid w:val="00D93943"/>
    <w:rsid w:val="00D93961"/>
    <w:rsid w:val="00D940DB"/>
    <w:rsid w:val="00D94462"/>
    <w:rsid w:val="00D94764"/>
    <w:rsid w:val="00D94FCE"/>
    <w:rsid w:val="00D952F7"/>
    <w:rsid w:val="00D95477"/>
    <w:rsid w:val="00D959C4"/>
    <w:rsid w:val="00D95AD0"/>
    <w:rsid w:val="00D95C9C"/>
    <w:rsid w:val="00D96E5D"/>
    <w:rsid w:val="00D970D3"/>
    <w:rsid w:val="00D9711F"/>
    <w:rsid w:val="00D97638"/>
    <w:rsid w:val="00D978C6"/>
    <w:rsid w:val="00D97DEF"/>
    <w:rsid w:val="00D97F45"/>
    <w:rsid w:val="00DA087F"/>
    <w:rsid w:val="00DA0B27"/>
    <w:rsid w:val="00DA1220"/>
    <w:rsid w:val="00DA1358"/>
    <w:rsid w:val="00DA162B"/>
    <w:rsid w:val="00DA1A21"/>
    <w:rsid w:val="00DA1CBC"/>
    <w:rsid w:val="00DA23D9"/>
    <w:rsid w:val="00DA2AFE"/>
    <w:rsid w:val="00DA2BF5"/>
    <w:rsid w:val="00DA2EA3"/>
    <w:rsid w:val="00DA35E4"/>
    <w:rsid w:val="00DA3820"/>
    <w:rsid w:val="00DA3A0C"/>
    <w:rsid w:val="00DA3E4E"/>
    <w:rsid w:val="00DA3FAD"/>
    <w:rsid w:val="00DA44CF"/>
    <w:rsid w:val="00DA45BB"/>
    <w:rsid w:val="00DA46F5"/>
    <w:rsid w:val="00DA5031"/>
    <w:rsid w:val="00DA50C7"/>
    <w:rsid w:val="00DA514D"/>
    <w:rsid w:val="00DA6167"/>
    <w:rsid w:val="00DA6726"/>
    <w:rsid w:val="00DA68CF"/>
    <w:rsid w:val="00DA71D1"/>
    <w:rsid w:val="00DA7814"/>
    <w:rsid w:val="00DA7E74"/>
    <w:rsid w:val="00DB012E"/>
    <w:rsid w:val="00DB12CB"/>
    <w:rsid w:val="00DB14CE"/>
    <w:rsid w:val="00DB1A0D"/>
    <w:rsid w:val="00DB2035"/>
    <w:rsid w:val="00DB298D"/>
    <w:rsid w:val="00DB2B2C"/>
    <w:rsid w:val="00DB2B3C"/>
    <w:rsid w:val="00DB3878"/>
    <w:rsid w:val="00DB40CE"/>
    <w:rsid w:val="00DB47FD"/>
    <w:rsid w:val="00DB4BBD"/>
    <w:rsid w:val="00DB5608"/>
    <w:rsid w:val="00DB5C71"/>
    <w:rsid w:val="00DB5DD4"/>
    <w:rsid w:val="00DB6A0B"/>
    <w:rsid w:val="00DB6D5F"/>
    <w:rsid w:val="00DB7664"/>
    <w:rsid w:val="00DB7E9D"/>
    <w:rsid w:val="00DB7F18"/>
    <w:rsid w:val="00DC155C"/>
    <w:rsid w:val="00DC1720"/>
    <w:rsid w:val="00DC1807"/>
    <w:rsid w:val="00DC1869"/>
    <w:rsid w:val="00DC1A99"/>
    <w:rsid w:val="00DC234F"/>
    <w:rsid w:val="00DC2463"/>
    <w:rsid w:val="00DC2D56"/>
    <w:rsid w:val="00DC2F52"/>
    <w:rsid w:val="00DC466F"/>
    <w:rsid w:val="00DC4B53"/>
    <w:rsid w:val="00DC4E15"/>
    <w:rsid w:val="00DC55CB"/>
    <w:rsid w:val="00DC6BC1"/>
    <w:rsid w:val="00DC6CE3"/>
    <w:rsid w:val="00DC6E8E"/>
    <w:rsid w:val="00DC7436"/>
    <w:rsid w:val="00DC7539"/>
    <w:rsid w:val="00DC762B"/>
    <w:rsid w:val="00DC7907"/>
    <w:rsid w:val="00DD111D"/>
    <w:rsid w:val="00DD1168"/>
    <w:rsid w:val="00DD1921"/>
    <w:rsid w:val="00DD1949"/>
    <w:rsid w:val="00DD1C92"/>
    <w:rsid w:val="00DD1F49"/>
    <w:rsid w:val="00DD221D"/>
    <w:rsid w:val="00DD2397"/>
    <w:rsid w:val="00DD30E9"/>
    <w:rsid w:val="00DD3BB3"/>
    <w:rsid w:val="00DD41A3"/>
    <w:rsid w:val="00DD42A3"/>
    <w:rsid w:val="00DD447D"/>
    <w:rsid w:val="00DD4D68"/>
    <w:rsid w:val="00DD5934"/>
    <w:rsid w:val="00DD5B1C"/>
    <w:rsid w:val="00DD70AA"/>
    <w:rsid w:val="00DD73BE"/>
    <w:rsid w:val="00DD75C7"/>
    <w:rsid w:val="00DD77E7"/>
    <w:rsid w:val="00DD7924"/>
    <w:rsid w:val="00DE0726"/>
    <w:rsid w:val="00DE0872"/>
    <w:rsid w:val="00DE10A3"/>
    <w:rsid w:val="00DE1243"/>
    <w:rsid w:val="00DE1345"/>
    <w:rsid w:val="00DE17AD"/>
    <w:rsid w:val="00DE1A64"/>
    <w:rsid w:val="00DE1B7F"/>
    <w:rsid w:val="00DE2799"/>
    <w:rsid w:val="00DE2BE5"/>
    <w:rsid w:val="00DE34E8"/>
    <w:rsid w:val="00DE36B8"/>
    <w:rsid w:val="00DE3758"/>
    <w:rsid w:val="00DE480B"/>
    <w:rsid w:val="00DE483B"/>
    <w:rsid w:val="00DE49F2"/>
    <w:rsid w:val="00DE5324"/>
    <w:rsid w:val="00DE5332"/>
    <w:rsid w:val="00DE5474"/>
    <w:rsid w:val="00DE56DF"/>
    <w:rsid w:val="00DE56FB"/>
    <w:rsid w:val="00DE598E"/>
    <w:rsid w:val="00DE5EE5"/>
    <w:rsid w:val="00DE6A9E"/>
    <w:rsid w:val="00DE75C6"/>
    <w:rsid w:val="00DE788C"/>
    <w:rsid w:val="00DE7B4D"/>
    <w:rsid w:val="00DE7F6C"/>
    <w:rsid w:val="00DF06D4"/>
    <w:rsid w:val="00DF100F"/>
    <w:rsid w:val="00DF11EF"/>
    <w:rsid w:val="00DF1AA0"/>
    <w:rsid w:val="00DF3B3B"/>
    <w:rsid w:val="00DF4030"/>
    <w:rsid w:val="00DF410F"/>
    <w:rsid w:val="00DF42C6"/>
    <w:rsid w:val="00DF43B1"/>
    <w:rsid w:val="00DF48A3"/>
    <w:rsid w:val="00DF4D9B"/>
    <w:rsid w:val="00DF5173"/>
    <w:rsid w:val="00DF53E5"/>
    <w:rsid w:val="00DF5E71"/>
    <w:rsid w:val="00DF6D5A"/>
    <w:rsid w:val="00DF70B3"/>
    <w:rsid w:val="00DF75AA"/>
    <w:rsid w:val="00E00764"/>
    <w:rsid w:val="00E01646"/>
    <w:rsid w:val="00E01B03"/>
    <w:rsid w:val="00E023E3"/>
    <w:rsid w:val="00E02941"/>
    <w:rsid w:val="00E02AF6"/>
    <w:rsid w:val="00E02DCB"/>
    <w:rsid w:val="00E03346"/>
    <w:rsid w:val="00E03AB8"/>
    <w:rsid w:val="00E03C9F"/>
    <w:rsid w:val="00E03E73"/>
    <w:rsid w:val="00E04007"/>
    <w:rsid w:val="00E043AB"/>
    <w:rsid w:val="00E043BC"/>
    <w:rsid w:val="00E049A1"/>
    <w:rsid w:val="00E04EF5"/>
    <w:rsid w:val="00E050CF"/>
    <w:rsid w:val="00E051C5"/>
    <w:rsid w:val="00E05719"/>
    <w:rsid w:val="00E06073"/>
    <w:rsid w:val="00E060A6"/>
    <w:rsid w:val="00E06631"/>
    <w:rsid w:val="00E0713F"/>
    <w:rsid w:val="00E07242"/>
    <w:rsid w:val="00E0734F"/>
    <w:rsid w:val="00E07B3B"/>
    <w:rsid w:val="00E07FC0"/>
    <w:rsid w:val="00E1087D"/>
    <w:rsid w:val="00E10F1B"/>
    <w:rsid w:val="00E116AA"/>
    <w:rsid w:val="00E1180E"/>
    <w:rsid w:val="00E12362"/>
    <w:rsid w:val="00E13052"/>
    <w:rsid w:val="00E142C1"/>
    <w:rsid w:val="00E14362"/>
    <w:rsid w:val="00E14483"/>
    <w:rsid w:val="00E146C5"/>
    <w:rsid w:val="00E14E63"/>
    <w:rsid w:val="00E157BA"/>
    <w:rsid w:val="00E15917"/>
    <w:rsid w:val="00E161F5"/>
    <w:rsid w:val="00E168E6"/>
    <w:rsid w:val="00E16FF9"/>
    <w:rsid w:val="00E17447"/>
    <w:rsid w:val="00E1762F"/>
    <w:rsid w:val="00E1776A"/>
    <w:rsid w:val="00E177A2"/>
    <w:rsid w:val="00E17911"/>
    <w:rsid w:val="00E17EF8"/>
    <w:rsid w:val="00E17F5D"/>
    <w:rsid w:val="00E2017B"/>
    <w:rsid w:val="00E204BF"/>
    <w:rsid w:val="00E20B4E"/>
    <w:rsid w:val="00E20BDF"/>
    <w:rsid w:val="00E213B3"/>
    <w:rsid w:val="00E219CB"/>
    <w:rsid w:val="00E221BD"/>
    <w:rsid w:val="00E22758"/>
    <w:rsid w:val="00E2318D"/>
    <w:rsid w:val="00E23756"/>
    <w:rsid w:val="00E23CEC"/>
    <w:rsid w:val="00E23D23"/>
    <w:rsid w:val="00E23E4D"/>
    <w:rsid w:val="00E2433D"/>
    <w:rsid w:val="00E243E1"/>
    <w:rsid w:val="00E25964"/>
    <w:rsid w:val="00E25C72"/>
    <w:rsid w:val="00E26735"/>
    <w:rsid w:val="00E2719F"/>
    <w:rsid w:val="00E27FCD"/>
    <w:rsid w:val="00E307D6"/>
    <w:rsid w:val="00E30BD2"/>
    <w:rsid w:val="00E315A4"/>
    <w:rsid w:val="00E31D97"/>
    <w:rsid w:val="00E33901"/>
    <w:rsid w:val="00E342E9"/>
    <w:rsid w:val="00E34412"/>
    <w:rsid w:val="00E345C1"/>
    <w:rsid w:val="00E34988"/>
    <w:rsid w:val="00E35312"/>
    <w:rsid w:val="00E354DE"/>
    <w:rsid w:val="00E3565E"/>
    <w:rsid w:val="00E35FBE"/>
    <w:rsid w:val="00E360B1"/>
    <w:rsid w:val="00E36F7F"/>
    <w:rsid w:val="00E37A8B"/>
    <w:rsid w:val="00E40420"/>
    <w:rsid w:val="00E407EC"/>
    <w:rsid w:val="00E40EEB"/>
    <w:rsid w:val="00E4152F"/>
    <w:rsid w:val="00E41A24"/>
    <w:rsid w:val="00E4214B"/>
    <w:rsid w:val="00E425F2"/>
    <w:rsid w:val="00E43046"/>
    <w:rsid w:val="00E4309E"/>
    <w:rsid w:val="00E43185"/>
    <w:rsid w:val="00E4422F"/>
    <w:rsid w:val="00E444B1"/>
    <w:rsid w:val="00E448C4"/>
    <w:rsid w:val="00E449C8"/>
    <w:rsid w:val="00E44BC7"/>
    <w:rsid w:val="00E44BD6"/>
    <w:rsid w:val="00E44C34"/>
    <w:rsid w:val="00E44F80"/>
    <w:rsid w:val="00E45008"/>
    <w:rsid w:val="00E45296"/>
    <w:rsid w:val="00E458F6"/>
    <w:rsid w:val="00E46729"/>
    <w:rsid w:val="00E4673B"/>
    <w:rsid w:val="00E46765"/>
    <w:rsid w:val="00E46C34"/>
    <w:rsid w:val="00E46E4C"/>
    <w:rsid w:val="00E47279"/>
    <w:rsid w:val="00E472C7"/>
    <w:rsid w:val="00E47447"/>
    <w:rsid w:val="00E47968"/>
    <w:rsid w:val="00E47993"/>
    <w:rsid w:val="00E47E28"/>
    <w:rsid w:val="00E507CF"/>
    <w:rsid w:val="00E50987"/>
    <w:rsid w:val="00E50D8A"/>
    <w:rsid w:val="00E50E4D"/>
    <w:rsid w:val="00E51200"/>
    <w:rsid w:val="00E51B5D"/>
    <w:rsid w:val="00E52205"/>
    <w:rsid w:val="00E52638"/>
    <w:rsid w:val="00E52A5B"/>
    <w:rsid w:val="00E52B8B"/>
    <w:rsid w:val="00E52FEE"/>
    <w:rsid w:val="00E53291"/>
    <w:rsid w:val="00E53627"/>
    <w:rsid w:val="00E5496E"/>
    <w:rsid w:val="00E54DCF"/>
    <w:rsid w:val="00E54EDD"/>
    <w:rsid w:val="00E54F10"/>
    <w:rsid w:val="00E55985"/>
    <w:rsid w:val="00E56353"/>
    <w:rsid w:val="00E5669D"/>
    <w:rsid w:val="00E56B21"/>
    <w:rsid w:val="00E601CB"/>
    <w:rsid w:val="00E60E3A"/>
    <w:rsid w:val="00E61237"/>
    <w:rsid w:val="00E61297"/>
    <w:rsid w:val="00E62462"/>
    <w:rsid w:val="00E62A6B"/>
    <w:rsid w:val="00E62E0F"/>
    <w:rsid w:val="00E63637"/>
    <w:rsid w:val="00E639C0"/>
    <w:rsid w:val="00E6470C"/>
    <w:rsid w:val="00E6476B"/>
    <w:rsid w:val="00E64A3A"/>
    <w:rsid w:val="00E654C2"/>
    <w:rsid w:val="00E65510"/>
    <w:rsid w:val="00E65ADE"/>
    <w:rsid w:val="00E65E29"/>
    <w:rsid w:val="00E6617E"/>
    <w:rsid w:val="00E668E7"/>
    <w:rsid w:val="00E675AA"/>
    <w:rsid w:val="00E67A8B"/>
    <w:rsid w:val="00E67F8D"/>
    <w:rsid w:val="00E70D87"/>
    <w:rsid w:val="00E70D89"/>
    <w:rsid w:val="00E718BA"/>
    <w:rsid w:val="00E722F4"/>
    <w:rsid w:val="00E7231F"/>
    <w:rsid w:val="00E72609"/>
    <w:rsid w:val="00E727BD"/>
    <w:rsid w:val="00E72887"/>
    <w:rsid w:val="00E72A06"/>
    <w:rsid w:val="00E72B70"/>
    <w:rsid w:val="00E72C38"/>
    <w:rsid w:val="00E736C9"/>
    <w:rsid w:val="00E73711"/>
    <w:rsid w:val="00E737A6"/>
    <w:rsid w:val="00E73C56"/>
    <w:rsid w:val="00E73CC7"/>
    <w:rsid w:val="00E7408B"/>
    <w:rsid w:val="00E742A2"/>
    <w:rsid w:val="00E74BA0"/>
    <w:rsid w:val="00E75442"/>
    <w:rsid w:val="00E75529"/>
    <w:rsid w:val="00E75581"/>
    <w:rsid w:val="00E766DD"/>
    <w:rsid w:val="00E76CA2"/>
    <w:rsid w:val="00E77CE8"/>
    <w:rsid w:val="00E80287"/>
    <w:rsid w:val="00E806AE"/>
    <w:rsid w:val="00E8101D"/>
    <w:rsid w:val="00E8120D"/>
    <w:rsid w:val="00E8144E"/>
    <w:rsid w:val="00E81A4D"/>
    <w:rsid w:val="00E81D6C"/>
    <w:rsid w:val="00E820F6"/>
    <w:rsid w:val="00E826FD"/>
    <w:rsid w:val="00E82849"/>
    <w:rsid w:val="00E82992"/>
    <w:rsid w:val="00E82A8F"/>
    <w:rsid w:val="00E82BE9"/>
    <w:rsid w:val="00E832A4"/>
    <w:rsid w:val="00E83748"/>
    <w:rsid w:val="00E83A05"/>
    <w:rsid w:val="00E84025"/>
    <w:rsid w:val="00E842CC"/>
    <w:rsid w:val="00E84C03"/>
    <w:rsid w:val="00E84CC6"/>
    <w:rsid w:val="00E8577D"/>
    <w:rsid w:val="00E85F5C"/>
    <w:rsid w:val="00E8622F"/>
    <w:rsid w:val="00E86246"/>
    <w:rsid w:val="00E862B6"/>
    <w:rsid w:val="00E8648E"/>
    <w:rsid w:val="00E86540"/>
    <w:rsid w:val="00E86630"/>
    <w:rsid w:val="00E87673"/>
    <w:rsid w:val="00E87E9E"/>
    <w:rsid w:val="00E90246"/>
    <w:rsid w:val="00E9077F"/>
    <w:rsid w:val="00E90F9E"/>
    <w:rsid w:val="00E91EF7"/>
    <w:rsid w:val="00E925A1"/>
    <w:rsid w:val="00E927C2"/>
    <w:rsid w:val="00E938AC"/>
    <w:rsid w:val="00E95869"/>
    <w:rsid w:val="00E959B5"/>
    <w:rsid w:val="00E95BD5"/>
    <w:rsid w:val="00E95E3B"/>
    <w:rsid w:val="00E96028"/>
    <w:rsid w:val="00E96261"/>
    <w:rsid w:val="00E96C6C"/>
    <w:rsid w:val="00E97000"/>
    <w:rsid w:val="00E971C3"/>
    <w:rsid w:val="00E973D0"/>
    <w:rsid w:val="00E97600"/>
    <w:rsid w:val="00E9772E"/>
    <w:rsid w:val="00E977EA"/>
    <w:rsid w:val="00E97BD8"/>
    <w:rsid w:val="00EA03D8"/>
    <w:rsid w:val="00EA09BB"/>
    <w:rsid w:val="00EA0A3C"/>
    <w:rsid w:val="00EA0AB0"/>
    <w:rsid w:val="00EA1201"/>
    <w:rsid w:val="00EA1AED"/>
    <w:rsid w:val="00EA1D66"/>
    <w:rsid w:val="00EA291C"/>
    <w:rsid w:val="00EA409E"/>
    <w:rsid w:val="00EA5170"/>
    <w:rsid w:val="00EA51C1"/>
    <w:rsid w:val="00EA534D"/>
    <w:rsid w:val="00EA59C9"/>
    <w:rsid w:val="00EA6ED6"/>
    <w:rsid w:val="00EA6FDE"/>
    <w:rsid w:val="00EB0406"/>
    <w:rsid w:val="00EB0599"/>
    <w:rsid w:val="00EB0984"/>
    <w:rsid w:val="00EB09A7"/>
    <w:rsid w:val="00EB0CA8"/>
    <w:rsid w:val="00EB0EB0"/>
    <w:rsid w:val="00EB0F07"/>
    <w:rsid w:val="00EB11D6"/>
    <w:rsid w:val="00EB17F7"/>
    <w:rsid w:val="00EB1930"/>
    <w:rsid w:val="00EB1E09"/>
    <w:rsid w:val="00EB2708"/>
    <w:rsid w:val="00EB2830"/>
    <w:rsid w:val="00EB3694"/>
    <w:rsid w:val="00EB3700"/>
    <w:rsid w:val="00EB3BA4"/>
    <w:rsid w:val="00EB3DCF"/>
    <w:rsid w:val="00EB449E"/>
    <w:rsid w:val="00EB4F33"/>
    <w:rsid w:val="00EB572A"/>
    <w:rsid w:val="00EB58F3"/>
    <w:rsid w:val="00EB5B99"/>
    <w:rsid w:val="00EB610D"/>
    <w:rsid w:val="00EB64B1"/>
    <w:rsid w:val="00EB69CF"/>
    <w:rsid w:val="00EB6BB0"/>
    <w:rsid w:val="00EB6E24"/>
    <w:rsid w:val="00EB78CD"/>
    <w:rsid w:val="00EB7B26"/>
    <w:rsid w:val="00EB7C54"/>
    <w:rsid w:val="00EC0374"/>
    <w:rsid w:val="00EC0DC6"/>
    <w:rsid w:val="00EC10B6"/>
    <w:rsid w:val="00EC173F"/>
    <w:rsid w:val="00EC1865"/>
    <w:rsid w:val="00EC1CC4"/>
    <w:rsid w:val="00EC1CCD"/>
    <w:rsid w:val="00EC1D8E"/>
    <w:rsid w:val="00EC1E0C"/>
    <w:rsid w:val="00EC2165"/>
    <w:rsid w:val="00EC23FC"/>
    <w:rsid w:val="00EC36B7"/>
    <w:rsid w:val="00EC3925"/>
    <w:rsid w:val="00EC3ED6"/>
    <w:rsid w:val="00EC406F"/>
    <w:rsid w:val="00EC53AC"/>
    <w:rsid w:val="00EC5DA0"/>
    <w:rsid w:val="00EC6711"/>
    <w:rsid w:val="00EC719B"/>
    <w:rsid w:val="00EC7527"/>
    <w:rsid w:val="00EC7676"/>
    <w:rsid w:val="00EC7F0E"/>
    <w:rsid w:val="00ED010A"/>
    <w:rsid w:val="00ED1367"/>
    <w:rsid w:val="00ED2162"/>
    <w:rsid w:val="00ED25F4"/>
    <w:rsid w:val="00ED271F"/>
    <w:rsid w:val="00ED3246"/>
    <w:rsid w:val="00ED3857"/>
    <w:rsid w:val="00ED3929"/>
    <w:rsid w:val="00ED4215"/>
    <w:rsid w:val="00ED4DD9"/>
    <w:rsid w:val="00ED52A9"/>
    <w:rsid w:val="00ED5FD4"/>
    <w:rsid w:val="00ED61AA"/>
    <w:rsid w:val="00ED7364"/>
    <w:rsid w:val="00ED73EA"/>
    <w:rsid w:val="00ED77ED"/>
    <w:rsid w:val="00ED7957"/>
    <w:rsid w:val="00ED7B96"/>
    <w:rsid w:val="00ED7BC4"/>
    <w:rsid w:val="00ED7E6C"/>
    <w:rsid w:val="00EE04F4"/>
    <w:rsid w:val="00EE1098"/>
    <w:rsid w:val="00EE2262"/>
    <w:rsid w:val="00EE248B"/>
    <w:rsid w:val="00EE2995"/>
    <w:rsid w:val="00EE3099"/>
    <w:rsid w:val="00EE35E4"/>
    <w:rsid w:val="00EE3AF9"/>
    <w:rsid w:val="00EE3C91"/>
    <w:rsid w:val="00EE43DF"/>
    <w:rsid w:val="00EE4ADF"/>
    <w:rsid w:val="00EE50DC"/>
    <w:rsid w:val="00EE5269"/>
    <w:rsid w:val="00EE5535"/>
    <w:rsid w:val="00EE58CA"/>
    <w:rsid w:val="00EE63A5"/>
    <w:rsid w:val="00EE6500"/>
    <w:rsid w:val="00EE6545"/>
    <w:rsid w:val="00EE6850"/>
    <w:rsid w:val="00EE730D"/>
    <w:rsid w:val="00EE7410"/>
    <w:rsid w:val="00EE7500"/>
    <w:rsid w:val="00EF1122"/>
    <w:rsid w:val="00EF12CE"/>
    <w:rsid w:val="00EF13BD"/>
    <w:rsid w:val="00EF1617"/>
    <w:rsid w:val="00EF1A55"/>
    <w:rsid w:val="00EF1D9D"/>
    <w:rsid w:val="00EF2373"/>
    <w:rsid w:val="00EF23A9"/>
    <w:rsid w:val="00EF28B7"/>
    <w:rsid w:val="00EF29C3"/>
    <w:rsid w:val="00EF2EA2"/>
    <w:rsid w:val="00EF3A65"/>
    <w:rsid w:val="00EF3A86"/>
    <w:rsid w:val="00EF411B"/>
    <w:rsid w:val="00EF429D"/>
    <w:rsid w:val="00EF433F"/>
    <w:rsid w:val="00EF446C"/>
    <w:rsid w:val="00EF4978"/>
    <w:rsid w:val="00EF4ED7"/>
    <w:rsid w:val="00EF5027"/>
    <w:rsid w:val="00EF5363"/>
    <w:rsid w:val="00EF5642"/>
    <w:rsid w:val="00EF5798"/>
    <w:rsid w:val="00EF5CA4"/>
    <w:rsid w:val="00EF626C"/>
    <w:rsid w:val="00EF6390"/>
    <w:rsid w:val="00EF68E2"/>
    <w:rsid w:val="00EF789A"/>
    <w:rsid w:val="00F00496"/>
    <w:rsid w:val="00F00CFE"/>
    <w:rsid w:val="00F00F09"/>
    <w:rsid w:val="00F013B5"/>
    <w:rsid w:val="00F017D2"/>
    <w:rsid w:val="00F01B1A"/>
    <w:rsid w:val="00F01BC7"/>
    <w:rsid w:val="00F01E2D"/>
    <w:rsid w:val="00F02F7A"/>
    <w:rsid w:val="00F03024"/>
    <w:rsid w:val="00F03564"/>
    <w:rsid w:val="00F03E41"/>
    <w:rsid w:val="00F0411F"/>
    <w:rsid w:val="00F043AC"/>
    <w:rsid w:val="00F04C8F"/>
    <w:rsid w:val="00F058F7"/>
    <w:rsid w:val="00F05AD8"/>
    <w:rsid w:val="00F05C5E"/>
    <w:rsid w:val="00F05D4A"/>
    <w:rsid w:val="00F06217"/>
    <w:rsid w:val="00F06A70"/>
    <w:rsid w:val="00F06F74"/>
    <w:rsid w:val="00F100A4"/>
    <w:rsid w:val="00F11128"/>
    <w:rsid w:val="00F11377"/>
    <w:rsid w:val="00F1151D"/>
    <w:rsid w:val="00F12623"/>
    <w:rsid w:val="00F12A41"/>
    <w:rsid w:val="00F12C52"/>
    <w:rsid w:val="00F13DA3"/>
    <w:rsid w:val="00F13E59"/>
    <w:rsid w:val="00F13E81"/>
    <w:rsid w:val="00F13FB6"/>
    <w:rsid w:val="00F14439"/>
    <w:rsid w:val="00F14A25"/>
    <w:rsid w:val="00F150A4"/>
    <w:rsid w:val="00F15149"/>
    <w:rsid w:val="00F15D9F"/>
    <w:rsid w:val="00F16580"/>
    <w:rsid w:val="00F16628"/>
    <w:rsid w:val="00F17B97"/>
    <w:rsid w:val="00F17D33"/>
    <w:rsid w:val="00F20945"/>
    <w:rsid w:val="00F216B8"/>
    <w:rsid w:val="00F2191A"/>
    <w:rsid w:val="00F21B4C"/>
    <w:rsid w:val="00F21E4B"/>
    <w:rsid w:val="00F231B1"/>
    <w:rsid w:val="00F23251"/>
    <w:rsid w:val="00F23EEC"/>
    <w:rsid w:val="00F24021"/>
    <w:rsid w:val="00F242E2"/>
    <w:rsid w:val="00F244A7"/>
    <w:rsid w:val="00F2481D"/>
    <w:rsid w:val="00F25284"/>
    <w:rsid w:val="00F257FD"/>
    <w:rsid w:val="00F2587E"/>
    <w:rsid w:val="00F259E4"/>
    <w:rsid w:val="00F25B95"/>
    <w:rsid w:val="00F25CF7"/>
    <w:rsid w:val="00F25DCB"/>
    <w:rsid w:val="00F26F7F"/>
    <w:rsid w:val="00F275A1"/>
    <w:rsid w:val="00F27656"/>
    <w:rsid w:val="00F27CD2"/>
    <w:rsid w:val="00F3070A"/>
    <w:rsid w:val="00F30AB8"/>
    <w:rsid w:val="00F3176A"/>
    <w:rsid w:val="00F3177C"/>
    <w:rsid w:val="00F321D0"/>
    <w:rsid w:val="00F32735"/>
    <w:rsid w:val="00F32A47"/>
    <w:rsid w:val="00F33576"/>
    <w:rsid w:val="00F33871"/>
    <w:rsid w:val="00F34057"/>
    <w:rsid w:val="00F34564"/>
    <w:rsid w:val="00F34D31"/>
    <w:rsid w:val="00F34D3A"/>
    <w:rsid w:val="00F352CC"/>
    <w:rsid w:val="00F354B5"/>
    <w:rsid w:val="00F355E4"/>
    <w:rsid w:val="00F360FF"/>
    <w:rsid w:val="00F36711"/>
    <w:rsid w:val="00F37008"/>
    <w:rsid w:val="00F3783A"/>
    <w:rsid w:val="00F37B48"/>
    <w:rsid w:val="00F37BBF"/>
    <w:rsid w:val="00F4019F"/>
    <w:rsid w:val="00F4086C"/>
    <w:rsid w:val="00F423B7"/>
    <w:rsid w:val="00F42B09"/>
    <w:rsid w:val="00F43211"/>
    <w:rsid w:val="00F4370C"/>
    <w:rsid w:val="00F444BD"/>
    <w:rsid w:val="00F44787"/>
    <w:rsid w:val="00F451FD"/>
    <w:rsid w:val="00F45818"/>
    <w:rsid w:val="00F4586F"/>
    <w:rsid w:val="00F45870"/>
    <w:rsid w:val="00F45DCF"/>
    <w:rsid w:val="00F45E5B"/>
    <w:rsid w:val="00F4618F"/>
    <w:rsid w:val="00F469AB"/>
    <w:rsid w:val="00F46B2F"/>
    <w:rsid w:val="00F46B37"/>
    <w:rsid w:val="00F47BC3"/>
    <w:rsid w:val="00F47F7C"/>
    <w:rsid w:val="00F50252"/>
    <w:rsid w:val="00F5036C"/>
    <w:rsid w:val="00F5051D"/>
    <w:rsid w:val="00F50772"/>
    <w:rsid w:val="00F50F40"/>
    <w:rsid w:val="00F5127A"/>
    <w:rsid w:val="00F519A7"/>
    <w:rsid w:val="00F51A09"/>
    <w:rsid w:val="00F52188"/>
    <w:rsid w:val="00F521B2"/>
    <w:rsid w:val="00F524F8"/>
    <w:rsid w:val="00F5266A"/>
    <w:rsid w:val="00F53059"/>
    <w:rsid w:val="00F5307C"/>
    <w:rsid w:val="00F53507"/>
    <w:rsid w:val="00F537C0"/>
    <w:rsid w:val="00F538AA"/>
    <w:rsid w:val="00F54EAA"/>
    <w:rsid w:val="00F5532C"/>
    <w:rsid w:val="00F55C4F"/>
    <w:rsid w:val="00F55FBA"/>
    <w:rsid w:val="00F5612C"/>
    <w:rsid w:val="00F56412"/>
    <w:rsid w:val="00F568FA"/>
    <w:rsid w:val="00F56D1C"/>
    <w:rsid w:val="00F56DEC"/>
    <w:rsid w:val="00F5707E"/>
    <w:rsid w:val="00F5727F"/>
    <w:rsid w:val="00F57B81"/>
    <w:rsid w:val="00F602BB"/>
    <w:rsid w:val="00F60422"/>
    <w:rsid w:val="00F615C3"/>
    <w:rsid w:val="00F61CCA"/>
    <w:rsid w:val="00F623A1"/>
    <w:rsid w:val="00F62943"/>
    <w:rsid w:val="00F62F0F"/>
    <w:rsid w:val="00F63382"/>
    <w:rsid w:val="00F63528"/>
    <w:rsid w:val="00F63BA6"/>
    <w:rsid w:val="00F66DC0"/>
    <w:rsid w:val="00F671F3"/>
    <w:rsid w:val="00F6774F"/>
    <w:rsid w:val="00F705A3"/>
    <w:rsid w:val="00F70871"/>
    <w:rsid w:val="00F70D62"/>
    <w:rsid w:val="00F7131B"/>
    <w:rsid w:val="00F713EA"/>
    <w:rsid w:val="00F72086"/>
    <w:rsid w:val="00F732C2"/>
    <w:rsid w:val="00F73388"/>
    <w:rsid w:val="00F73500"/>
    <w:rsid w:val="00F737A4"/>
    <w:rsid w:val="00F73A7A"/>
    <w:rsid w:val="00F73D59"/>
    <w:rsid w:val="00F747FA"/>
    <w:rsid w:val="00F7482B"/>
    <w:rsid w:val="00F74F94"/>
    <w:rsid w:val="00F754A6"/>
    <w:rsid w:val="00F7569F"/>
    <w:rsid w:val="00F76AB9"/>
    <w:rsid w:val="00F76DA1"/>
    <w:rsid w:val="00F771DB"/>
    <w:rsid w:val="00F77C39"/>
    <w:rsid w:val="00F77CF3"/>
    <w:rsid w:val="00F8013D"/>
    <w:rsid w:val="00F803CD"/>
    <w:rsid w:val="00F80793"/>
    <w:rsid w:val="00F81666"/>
    <w:rsid w:val="00F818AF"/>
    <w:rsid w:val="00F81E60"/>
    <w:rsid w:val="00F82D29"/>
    <w:rsid w:val="00F83750"/>
    <w:rsid w:val="00F841BD"/>
    <w:rsid w:val="00F8453D"/>
    <w:rsid w:val="00F84750"/>
    <w:rsid w:val="00F84949"/>
    <w:rsid w:val="00F8557F"/>
    <w:rsid w:val="00F870F9"/>
    <w:rsid w:val="00F87446"/>
    <w:rsid w:val="00F8777F"/>
    <w:rsid w:val="00F90ADD"/>
    <w:rsid w:val="00F9191F"/>
    <w:rsid w:val="00F91CCF"/>
    <w:rsid w:val="00F9306B"/>
    <w:rsid w:val="00F93195"/>
    <w:rsid w:val="00F9319A"/>
    <w:rsid w:val="00F93901"/>
    <w:rsid w:val="00F93FCB"/>
    <w:rsid w:val="00F943B7"/>
    <w:rsid w:val="00F95213"/>
    <w:rsid w:val="00F95C1D"/>
    <w:rsid w:val="00F9653D"/>
    <w:rsid w:val="00F97E1F"/>
    <w:rsid w:val="00FA04F1"/>
    <w:rsid w:val="00FA15D7"/>
    <w:rsid w:val="00FA200D"/>
    <w:rsid w:val="00FA217D"/>
    <w:rsid w:val="00FA21E6"/>
    <w:rsid w:val="00FA31FC"/>
    <w:rsid w:val="00FA3633"/>
    <w:rsid w:val="00FA438D"/>
    <w:rsid w:val="00FA43B8"/>
    <w:rsid w:val="00FA4F83"/>
    <w:rsid w:val="00FA53B3"/>
    <w:rsid w:val="00FA637C"/>
    <w:rsid w:val="00FA6A55"/>
    <w:rsid w:val="00FA7087"/>
    <w:rsid w:val="00FA728E"/>
    <w:rsid w:val="00FA767D"/>
    <w:rsid w:val="00FB018A"/>
    <w:rsid w:val="00FB1371"/>
    <w:rsid w:val="00FB165B"/>
    <w:rsid w:val="00FB1A33"/>
    <w:rsid w:val="00FB2105"/>
    <w:rsid w:val="00FB214C"/>
    <w:rsid w:val="00FB2297"/>
    <w:rsid w:val="00FB2691"/>
    <w:rsid w:val="00FB2CFB"/>
    <w:rsid w:val="00FB322E"/>
    <w:rsid w:val="00FB3B1C"/>
    <w:rsid w:val="00FB3DD3"/>
    <w:rsid w:val="00FB3F07"/>
    <w:rsid w:val="00FB42FA"/>
    <w:rsid w:val="00FB49A1"/>
    <w:rsid w:val="00FB4D4E"/>
    <w:rsid w:val="00FB531B"/>
    <w:rsid w:val="00FB5809"/>
    <w:rsid w:val="00FB5C87"/>
    <w:rsid w:val="00FB5F5C"/>
    <w:rsid w:val="00FB6977"/>
    <w:rsid w:val="00FB6A55"/>
    <w:rsid w:val="00FB7229"/>
    <w:rsid w:val="00FB7CEE"/>
    <w:rsid w:val="00FB7D43"/>
    <w:rsid w:val="00FB7EDF"/>
    <w:rsid w:val="00FB7FEF"/>
    <w:rsid w:val="00FC0454"/>
    <w:rsid w:val="00FC1212"/>
    <w:rsid w:val="00FC16FF"/>
    <w:rsid w:val="00FC1AE6"/>
    <w:rsid w:val="00FC22FF"/>
    <w:rsid w:val="00FC432A"/>
    <w:rsid w:val="00FC44D7"/>
    <w:rsid w:val="00FC4DBA"/>
    <w:rsid w:val="00FC502D"/>
    <w:rsid w:val="00FC51A3"/>
    <w:rsid w:val="00FC56A8"/>
    <w:rsid w:val="00FC581A"/>
    <w:rsid w:val="00FC618F"/>
    <w:rsid w:val="00FC641A"/>
    <w:rsid w:val="00FC6789"/>
    <w:rsid w:val="00FC7145"/>
    <w:rsid w:val="00FC738B"/>
    <w:rsid w:val="00FC75C5"/>
    <w:rsid w:val="00FC7D54"/>
    <w:rsid w:val="00FD042B"/>
    <w:rsid w:val="00FD0925"/>
    <w:rsid w:val="00FD0D7D"/>
    <w:rsid w:val="00FD107C"/>
    <w:rsid w:val="00FD15CB"/>
    <w:rsid w:val="00FD1B56"/>
    <w:rsid w:val="00FD20CF"/>
    <w:rsid w:val="00FD2A77"/>
    <w:rsid w:val="00FD2BBD"/>
    <w:rsid w:val="00FD3123"/>
    <w:rsid w:val="00FD33DF"/>
    <w:rsid w:val="00FD3401"/>
    <w:rsid w:val="00FD3A86"/>
    <w:rsid w:val="00FD46C7"/>
    <w:rsid w:val="00FD47C8"/>
    <w:rsid w:val="00FD5099"/>
    <w:rsid w:val="00FD5638"/>
    <w:rsid w:val="00FD5769"/>
    <w:rsid w:val="00FD5FE0"/>
    <w:rsid w:val="00FD6488"/>
    <w:rsid w:val="00FD66E4"/>
    <w:rsid w:val="00FD6727"/>
    <w:rsid w:val="00FD6EEF"/>
    <w:rsid w:val="00FD755E"/>
    <w:rsid w:val="00FD7699"/>
    <w:rsid w:val="00FD7861"/>
    <w:rsid w:val="00FD786F"/>
    <w:rsid w:val="00FD7A84"/>
    <w:rsid w:val="00FE0349"/>
    <w:rsid w:val="00FE0A25"/>
    <w:rsid w:val="00FE0F43"/>
    <w:rsid w:val="00FE0F4C"/>
    <w:rsid w:val="00FE120E"/>
    <w:rsid w:val="00FE12AA"/>
    <w:rsid w:val="00FE1BD2"/>
    <w:rsid w:val="00FE1C2A"/>
    <w:rsid w:val="00FE2851"/>
    <w:rsid w:val="00FE2BF7"/>
    <w:rsid w:val="00FE339A"/>
    <w:rsid w:val="00FE3704"/>
    <w:rsid w:val="00FE39F6"/>
    <w:rsid w:val="00FE3ADC"/>
    <w:rsid w:val="00FE3F1C"/>
    <w:rsid w:val="00FE4C45"/>
    <w:rsid w:val="00FE4CF1"/>
    <w:rsid w:val="00FE4CFE"/>
    <w:rsid w:val="00FE50B8"/>
    <w:rsid w:val="00FE56EF"/>
    <w:rsid w:val="00FE5DE6"/>
    <w:rsid w:val="00FE5EA2"/>
    <w:rsid w:val="00FE5FDC"/>
    <w:rsid w:val="00FE64E6"/>
    <w:rsid w:val="00FE6E79"/>
    <w:rsid w:val="00FE72A0"/>
    <w:rsid w:val="00FF0282"/>
    <w:rsid w:val="00FF07B7"/>
    <w:rsid w:val="00FF0889"/>
    <w:rsid w:val="00FF0C96"/>
    <w:rsid w:val="00FF1154"/>
    <w:rsid w:val="00FF130D"/>
    <w:rsid w:val="00FF21B2"/>
    <w:rsid w:val="00FF2C8C"/>
    <w:rsid w:val="00FF3A29"/>
    <w:rsid w:val="00FF451D"/>
    <w:rsid w:val="00FF4E66"/>
    <w:rsid w:val="00FF531A"/>
    <w:rsid w:val="00FF5765"/>
    <w:rsid w:val="00FF6019"/>
    <w:rsid w:val="00FF6683"/>
    <w:rsid w:val="00FF66BF"/>
    <w:rsid w:val="00FF682A"/>
    <w:rsid w:val="00FF6966"/>
    <w:rsid w:val="00FF7857"/>
    <w:rsid w:val="00FF7D1F"/>
    <w:rsid w:val="00FF7E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table of figures" w:uiPriority="99"/>
    <w:lsdException w:name="Title" w:qFormat="1"/>
    <w:lsdException w:name="Subtitle" w:qFormat="1"/>
    <w:lsdException w:name="Hyperlink" w:uiPriority="99"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D79"/>
    <w:pPr>
      <w:spacing w:after="240"/>
      <w:ind w:left="720"/>
    </w:pPr>
    <w:rPr>
      <w:rFonts w:ascii="Garamond" w:hAnsi="Garamond"/>
      <w:sz w:val="24"/>
    </w:rPr>
  </w:style>
  <w:style w:type="paragraph" w:styleId="Heading1">
    <w:name w:val="heading 1"/>
    <w:basedOn w:val="Normal"/>
    <w:next w:val="Normal"/>
    <w:qFormat/>
    <w:rsid w:val="00776777"/>
    <w:pPr>
      <w:keepNext/>
      <w:pageBreakBefore/>
      <w:pBdr>
        <w:bottom w:val="single" w:sz="4" w:space="1" w:color="auto"/>
      </w:pBdr>
      <w:spacing w:after="360"/>
      <w:ind w:left="3402" w:hanging="3402"/>
      <w:outlineLvl w:val="0"/>
    </w:pPr>
    <w:rPr>
      <w:rFonts w:ascii="Tahoma" w:hAnsi="Tahoma"/>
      <w:b/>
      <w:sz w:val="44"/>
    </w:rPr>
  </w:style>
  <w:style w:type="paragraph" w:styleId="Heading2">
    <w:name w:val="heading 2"/>
    <w:basedOn w:val="Normal"/>
    <w:next w:val="Normal"/>
    <w:link w:val="Heading2Char"/>
    <w:qFormat/>
    <w:rsid w:val="000A3AAF"/>
    <w:pPr>
      <w:keepNext/>
      <w:spacing w:before="240"/>
      <w:ind w:left="0"/>
      <w:outlineLvl w:val="1"/>
    </w:pPr>
    <w:rPr>
      <w:rFonts w:ascii="Tahoma" w:hAnsi="Tahoma"/>
      <w:b/>
      <w:sz w:val="28"/>
    </w:rPr>
  </w:style>
  <w:style w:type="paragraph" w:styleId="Heading3">
    <w:name w:val="heading 3"/>
    <w:basedOn w:val="Normal"/>
    <w:next w:val="Normal"/>
    <w:qFormat/>
    <w:pPr>
      <w:keepNext/>
      <w:spacing w:before="240"/>
      <w:outlineLvl w:val="2"/>
    </w:pPr>
    <w:rPr>
      <w:rFonts w:ascii="Tahoma" w:hAnsi="Tahoma"/>
      <w:b/>
      <w:sz w:val="22"/>
    </w:rPr>
  </w:style>
  <w:style w:type="paragraph" w:styleId="Heading4">
    <w:name w:val="heading 4"/>
    <w:basedOn w:val="Normal"/>
    <w:next w:val="Normal"/>
    <w:qFormat/>
    <w:rsid w:val="00D4145E"/>
    <w:pPr>
      <w:outlineLvl w:val="3"/>
    </w:pPr>
    <w:rPr>
      <w:b/>
    </w:rPr>
  </w:style>
  <w:style w:type="paragraph" w:styleId="Heading5">
    <w:name w:val="heading 5"/>
    <w:basedOn w:val="Normal"/>
    <w:next w:val="Normal"/>
    <w:qFormat/>
    <w:rsid w:val="00026CEB"/>
    <w:pPr>
      <w:outlineLvl w:val="4"/>
    </w:pPr>
    <w:rPr>
      <w:u w:val="single"/>
    </w:rPr>
  </w:style>
  <w:style w:type="paragraph" w:styleId="Heading6">
    <w:name w:val="heading 6"/>
    <w:basedOn w:val="Normal"/>
    <w:next w:val="Normal"/>
    <w:qFormat/>
    <w:rsid w:val="00026CEB"/>
    <w:pPr>
      <w:outlineLvl w:val="5"/>
    </w:pPr>
    <w:rPr>
      <w:smallCaps/>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A3AAF"/>
    <w:rPr>
      <w:rFonts w:ascii="Tahoma" w:hAnsi="Tahoma"/>
      <w:b/>
      <w:sz w:val="28"/>
      <w:lang w:val="en-AU" w:eastAsia="en-AU" w:bidi="ar-SA"/>
    </w:rPr>
  </w:style>
  <w:style w:type="paragraph" w:customStyle="1" w:styleId="Bullet">
    <w:name w:val="Bullet"/>
    <w:basedOn w:val="Normal"/>
    <w:pPr>
      <w:numPr>
        <w:numId w:val="1"/>
      </w:numPr>
    </w:p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Date">
    <w:name w:val="Date"/>
    <w:basedOn w:val="Normal"/>
    <w:next w:val="Normal"/>
    <w:pPr>
      <w:ind w:right="113"/>
      <w:jc w:val="right"/>
    </w:pPr>
    <w:rPr>
      <w:rFonts w:ascii="Arial" w:hAnsi="Arial"/>
      <w:b/>
      <w:sz w:val="36"/>
    </w:rPr>
  </w:style>
  <w:style w:type="paragraph" w:customStyle="1" w:styleId="Summaryboxtext">
    <w:name w:val="Summary box text"/>
    <w:basedOn w:val="Normal"/>
    <w:rsid w:val="000A3AAF"/>
    <w:pPr>
      <w:spacing w:after="100" w:afterAutospacing="1"/>
      <w:ind w:left="0"/>
    </w:pPr>
    <w:rPr>
      <w:rFonts w:ascii="Arial Narrow" w:hAnsi="Arial Narrow"/>
    </w:rPr>
  </w:style>
  <w:style w:type="paragraph" w:styleId="Footer">
    <w:name w:val="footer"/>
    <w:basedOn w:val="Normal"/>
    <w:pPr>
      <w:pBdr>
        <w:top w:val="single" w:sz="4" w:space="9" w:color="auto"/>
      </w:pBdr>
      <w:tabs>
        <w:tab w:val="right" w:pos="9000"/>
      </w:tabs>
    </w:pPr>
    <w:rPr>
      <w:rFonts w:ascii="Arial" w:hAnsi="Arial"/>
      <w:b/>
      <w:sz w:val="20"/>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customStyle="1" w:styleId="Summaryboxheading">
    <w:name w:val="Summary box heading"/>
    <w:basedOn w:val="Summaryboxtext"/>
    <w:rsid w:val="00D918EC"/>
    <w:pPr>
      <w:spacing w:before="120"/>
    </w:pPr>
    <w:rPr>
      <w:b/>
    </w:rPr>
  </w:style>
  <w:style w:type="paragraph" w:customStyle="1" w:styleId="Heading2a">
    <w:name w:val="Heading 2a"/>
    <w:basedOn w:val="Heading2"/>
    <w:rsid w:val="007F6EF6"/>
    <w:pPr>
      <w:outlineLvl w:val="9"/>
    </w:pPr>
    <w:rPr>
      <w:sz w:val="22"/>
    </w:rPr>
  </w:style>
  <w:style w:type="character" w:styleId="PageNumber">
    <w:name w:val="page number"/>
    <w:rPr>
      <w:rFonts w:ascii="Tahoma" w:hAnsi="Tahoma"/>
      <w:b/>
      <w:sz w:val="18"/>
    </w:rPr>
  </w:style>
  <w:style w:type="paragraph" w:customStyle="1" w:styleId="PublicationTitle">
    <w:name w:val="PublicationTitle"/>
    <w:basedOn w:val="Normal"/>
    <w:pPr>
      <w:spacing w:line="480" w:lineRule="exact"/>
      <w:ind w:left="0" w:right="113"/>
      <w:jc w:val="right"/>
    </w:pPr>
    <w:rPr>
      <w:rFonts w:ascii="Arial" w:hAnsi="Arial"/>
      <w:b/>
      <w:i/>
      <w:sz w:val="44"/>
    </w:rPr>
  </w:style>
  <w:style w:type="paragraph" w:customStyle="1" w:styleId="References">
    <w:name w:val="References"/>
    <w:basedOn w:val="Normal"/>
    <w:pPr>
      <w:keepLines/>
      <w:ind w:left="1440" w:hanging="720"/>
    </w:pPr>
  </w:style>
  <w:style w:type="paragraph" w:customStyle="1" w:styleId="Sub-title">
    <w:name w:val="Sub-title"/>
    <w:basedOn w:val="Normal"/>
    <w:pPr>
      <w:ind w:left="0" w:right="113"/>
      <w:jc w:val="right"/>
    </w:pPr>
    <w:rPr>
      <w:rFonts w:ascii="Arial" w:hAnsi="Arial"/>
      <w:b/>
      <w:sz w:val="32"/>
    </w:rPr>
  </w:style>
  <w:style w:type="paragraph" w:styleId="TableofFigures">
    <w:name w:val="table of figures"/>
    <w:basedOn w:val="Normal"/>
    <w:next w:val="Normal"/>
    <w:uiPriority w:val="99"/>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pPr>
      <w:keepNext/>
      <w:spacing w:before="40" w:after="40"/>
      <w:ind w:left="0"/>
    </w:pPr>
    <w:rPr>
      <w:rFonts w:ascii="Arial Narrow" w:hAnsi="Arial Narrow"/>
      <w:sz w:val="18"/>
    </w:rPr>
  </w:style>
  <w:style w:type="character" w:customStyle="1" w:styleId="TableTextChar">
    <w:name w:val="TableText Char"/>
    <w:link w:val="TableText"/>
    <w:rsid w:val="00310008"/>
    <w:rPr>
      <w:rFonts w:ascii="Arial Narrow" w:hAnsi="Arial Narrow"/>
      <w:sz w:val="18"/>
      <w:lang w:val="en-AU" w:eastAsia="en-AU" w:bidi="ar-SA"/>
    </w:rPr>
  </w:style>
  <w:style w:type="paragraph" w:customStyle="1" w:styleId="TableHeading">
    <w:name w:val="TableHeading"/>
    <w:basedOn w:val="TableText"/>
    <w:link w:val="TableHeadingChar"/>
    <w:qFormat/>
    <w:rsid w:val="00862A16"/>
    <w:rPr>
      <w:b/>
    </w:rPr>
  </w:style>
  <w:style w:type="character" w:customStyle="1" w:styleId="TableHeadingChar">
    <w:name w:val="TableHeading Char"/>
    <w:link w:val="TableHeading"/>
    <w:rsid w:val="00862A16"/>
    <w:rPr>
      <w:rFonts w:ascii="Arial Narrow" w:hAnsi="Arial Narrow"/>
      <w:b/>
      <w:sz w:val="18"/>
      <w:lang w:val="en-AU" w:eastAsia="en-AU" w:bidi="ar-SA"/>
    </w:rPr>
  </w:style>
  <w:style w:type="paragraph" w:customStyle="1" w:styleId="TableName">
    <w:name w:val="TableName"/>
    <w:basedOn w:val="TableText"/>
    <w:link w:val="TableNameChar"/>
    <w:rsid w:val="000D2EB6"/>
    <w:pPr>
      <w:ind w:left="1440" w:hanging="720"/>
    </w:pPr>
    <w:rPr>
      <w:b/>
      <w:sz w:val="20"/>
    </w:rPr>
  </w:style>
  <w:style w:type="character" w:customStyle="1" w:styleId="TableNameChar">
    <w:name w:val="TableName Char"/>
    <w:link w:val="TableName"/>
    <w:rsid w:val="000D2EB6"/>
    <w:rPr>
      <w:rFonts w:ascii="Arial Narrow" w:hAnsi="Arial Narrow"/>
      <w:b/>
      <w:lang w:val="en-AU" w:eastAsia="en-AU" w:bidi="ar-SA"/>
    </w:rPr>
  </w:style>
  <w:style w:type="paragraph" w:customStyle="1" w:styleId="TableNotes">
    <w:name w:val="TableNotes"/>
    <w:basedOn w:val="TableText"/>
    <w:link w:val="TableNotesChar"/>
    <w:rsid w:val="00F2587E"/>
    <w:pPr>
      <w:keepNext w:val="0"/>
      <w:keepLines/>
      <w:spacing w:before="0" w:after="360"/>
      <w:ind w:left="720"/>
      <w:contextualSpacing/>
    </w:pPr>
    <w:rPr>
      <w:sz w:val="16"/>
    </w:rPr>
  </w:style>
  <w:style w:type="character" w:customStyle="1" w:styleId="TableNotesChar">
    <w:name w:val="TableNotes Char"/>
    <w:link w:val="TableNotes"/>
    <w:rsid w:val="00F2587E"/>
    <w:rPr>
      <w:rFonts w:ascii="Arial Narrow" w:hAnsi="Arial Narrow"/>
      <w:sz w:val="16"/>
      <w:lang w:val="en-AU" w:eastAsia="en-AU" w:bidi="ar-SA"/>
    </w:rPr>
  </w:style>
  <w:style w:type="paragraph" w:styleId="Title">
    <w:name w:val="Title"/>
    <w:basedOn w:val="Normal"/>
    <w:qFormat/>
    <w:pPr>
      <w:ind w:left="0"/>
      <w:jc w:val="center"/>
    </w:pPr>
    <w:rPr>
      <w:rFonts w:ascii="Arial" w:hAnsi="Arial"/>
      <w:b/>
      <w:smallCaps/>
      <w:sz w:val="44"/>
    </w:rPr>
  </w:style>
  <w:style w:type="paragraph" w:styleId="TOC1">
    <w:name w:val="toc 1"/>
    <w:basedOn w:val="Normal"/>
    <w:next w:val="Normal"/>
    <w:autoRedefine/>
    <w:uiPriority w:val="39"/>
    <w:pPr>
      <w:tabs>
        <w:tab w:val="left" w:pos="1276"/>
        <w:tab w:val="right" w:leader="dot" w:pos="9017"/>
      </w:tabs>
      <w:spacing w:before="120" w:after="60"/>
      <w:ind w:right="720"/>
    </w:pPr>
    <w:rPr>
      <w:b/>
      <w:noProof/>
    </w:rPr>
  </w:style>
  <w:style w:type="paragraph" w:styleId="TOC2">
    <w:name w:val="toc 2"/>
    <w:basedOn w:val="Normal"/>
    <w:next w:val="Normal"/>
    <w:autoRedefine/>
    <w:uiPriority w:val="39"/>
    <w:pPr>
      <w:tabs>
        <w:tab w:val="right" w:leader="dot" w:pos="9017"/>
      </w:tabs>
      <w:spacing w:after="60"/>
      <w:ind w:left="1440" w:right="720"/>
    </w:pPr>
    <w:rPr>
      <w:noProof/>
    </w:rPr>
  </w:style>
  <w:style w:type="paragraph" w:styleId="TOC3">
    <w:name w:val="toc 3"/>
    <w:basedOn w:val="Normal"/>
    <w:next w:val="Normal"/>
    <w:autoRedefine/>
    <w:semiHidden/>
    <w:pPr>
      <w:tabs>
        <w:tab w:val="right" w:leader="dot" w:pos="9016"/>
      </w:tabs>
      <w:spacing w:after="0"/>
      <w:ind w:left="1418"/>
    </w:pPr>
    <w:rPr>
      <w:noProof/>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Dash">
    <w:name w:val="Dash"/>
    <w:basedOn w:val="Normal"/>
    <w:pPr>
      <w:numPr>
        <w:numId w:val="2"/>
      </w:numPr>
    </w:pPr>
  </w:style>
  <w:style w:type="paragraph" w:styleId="Quote">
    <w:name w:val="Quote"/>
    <w:basedOn w:val="Normal"/>
    <w:qFormat/>
    <w:pPr>
      <w:keepLines/>
      <w:ind w:left="1440" w:right="720"/>
    </w:pPr>
    <w:rPr>
      <w:sz w:val="22"/>
    </w:rPr>
  </w:style>
  <w:style w:type="paragraph" w:styleId="BodyText">
    <w:name w:val="Body Text"/>
    <w:basedOn w:val="Normal"/>
    <w:link w:val="BodyTextChar"/>
    <w:pPr>
      <w:spacing w:after="0"/>
      <w:ind w:left="0"/>
    </w:pPr>
    <w:rPr>
      <w:rFonts w:ascii="Helv" w:hAnsi="Helv"/>
      <w:b/>
      <w:i/>
      <w:snapToGrid w:val="0"/>
      <w:color w:val="000000"/>
      <w:sz w:val="28"/>
      <w:lang w:eastAsia="en-US"/>
    </w:rPr>
  </w:style>
  <w:style w:type="paragraph" w:styleId="BalloonText">
    <w:name w:val="Balloon Text"/>
    <w:basedOn w:val="Normal"/>
    <w:semiHidden/>
    <w:rsid w:val="00AF06B8"/>
    <w:rPr>
      <w:rFonts w:ascii="Tahoma" w:hAnsi="Tahoma" w:cs="Tahoma"/>
      <w:sz w:val="16"/>
      <w:szCs w:val="16"/>
    </w:rPr>
  </w:style>
  <w:style w:type="character" w:styleId="Hyperlink">
    <w:name w:val="Hyperlink"/>
    <w:uiPriority w:val="99"/>
    <w:qFormat/>
    <w:rsid w:val="00AF06B8"/>
    <w:rPr>
      <w:color w:val="0000FF"/>
      <w:u w:val="single"/>
    </w:rPr>
  </w:style>
  <w:style w:type="paragraph" w:styleId="Caption">
    <w:name w:val="caption"/>
    <w:aliases w:val="Table and Figure name,Tablecaption"/>
    <w:basedOn w:val="Normal"/>
    <w:next w:val="TableText"/>
    <w:link w:val="CaptionChar"/>
    <w:qFormat/>
    <w:rsid w:val="002F56AA"/>
    <w:pPr>
      <w:spacing w:after="40"/>
    </w:pPr>
    <w:rPr>
      <w:rFonts w:ascii="Arial Narrow" w:hAnsi="Arial Narrow"/>
      <w:b/>
      <w:bCs/>
      <w:sz w:val="20"/>
    </w:rPr>
  </w:style>
  <w:style w:type="paragraph" w:customStyle="1" w:styleId="TableHeading0">
    <w:name w:val="Table Heading"/>
    <w:basedOn w:val="Normal"/>
    <w:next w:val="Normal"/>
    <w:rsid w:val="00C9014F"/>
    <w:pPr>
      <w:keepNext/>
      <w:spacing w:before="40" w:after="40"/>
      <w:ind w:left="0"/>
    </w:pPr>
    <w:rPr>
      <w:rFonts w:ascii="Arial" w:hAnsi="Arial"/>
      <w:b/>
      <w:sz w:val="18"/>
      <w:lang w:val="en-GB" w:eastAsia="en-US"/>
    </w:rPr>
  </w:style>
  <w:style w:type="table" w:styleId="TableGrid">
    <w:name w:val="Table Grid"/>
    <w:basedOn w:val="TableNormal"/>
    <w:uiPriority w:val="59"/>
    <w:rsid w:val="005265C4"/>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rsid w:val="0009118B"/>
    <w:pPr>
      <w:keepNext/>
      <w:spacing w:before="40" w:after="40"/>
      <w:ind w:left="0"/>
    </w:pPr>
    <w:rPr>
      <w:rFonts w:ascii="Arial Narrow" w:hAnsi="Arial Narrow"/>
      <w:sz w:val="18"/>
      <w:lang w:eastAsia="en-US"/>
    </w:rPr>
  </w:style>
  <w:style w:type="character" w:customStyle="1" w:styleId="TableTextChar0">
    <w:name w:val="Table Text Char"/>
    <w:link w:val="TableText0"/>
    <w:rsid w:val="0009118B"/>
    <w:rPr>
      <w:rFonts w:ascii="Arial Narrow" w:hAnsi="Arial Narrow"/>
      <w:sz w:val="18"/>
      <w:lang w:eastAsia="en-US"/>
    </w:rPr>
  </w:style>
  <w:style w:type="paragraph" w:customStyle="1" w:styleId="Boxname">
    <w:name w:val="Box name"/>
    <w:basedOn w:val="TableName"/>
    <w:link w:val="BoxnameChar"/>
    <w:rsid w:val="00310008"/>
  </w:style>
  <w:style w:type="character" w:customStyle="1" w:styleId="BoxnameChar">
    <w:name w:val="Box name Char"/>
    <w:link w:val="Boxname"/>
    <w:rsid w:val="00B141EB"/>
    <w:rPr>
      <w:rFonts w:ascii="Arial Narrow" w:hAnsi="Arial Narrow"/>
      <w:b/>
      <w:lang w:val="en-AU" w:eastAsia="en-AU" w:bidi="ar-SA"/>
    </w:rPr>
  </w:style>
  <w:style w:type="paragraph" w:styleId="CommentSubject">
    <w:name w:val="annotation subject"/>
    <w:basedOn w:val="CommentText"/>
    <w:next w:val="CommentText"/>
    <w:semiHidden/>
    <w:rsid w:val="003060DC"/>
    <w:rPr>
      <w:b/>
      <w:bCs/>
    </w:rPr>
  </w:style>
  <w:style w:type="paragraph" w:customStyle="1" w:styleId="StyleTableTextArialNarrowFirstline045cm">
    <w:name w:val="Style Table Text + Arial Narrow First line:  0.45 cm"/>
    <w:basedOn w:val="TableText0"/>
    <w:rsid w:val="008E0528"/>
    <w:pPr>
      <w:spacing w:after="360"/>
      <w:ind w:firstLine="720"/>
    </w:pPr>
  </w:style>
  <w:style w:type="character" w:styleId="FollowedHyperlink">
    <w:name w:val="FollowedHyperlink"/>
    <w:rsid w:val="003079EF"/>
    <w:rPr>
      <w:color w:val="800080"/>
      <w:u w:val="single"/>
    </w:rPr>
  </w:style>
  <w:style w:type="paragraph" w:customStyle="1" w:styleId="TableNamea">
    <w:name w:val="Table Name(a)"/>
    <w:basedOn w:val="Normal"/>
    <w:rsid w:val="0031303D"/>
    <w:pPr>
      <w:keepNext/>
      <w:spacing w:before="120" w:after="120"/>
      <w:ind w:left="1077" w:hanging="1077"/>
    </w:pPr>
    <w:rPr>
      <w:rFonts w:ascii="Arial" w:hAnsi="Arial"/>
      <w:b/>
      <w:sz w:val="20"/>
      <w:lang w:eastAsia="en-US"/>
    </w:rPr>
  </w:style>
  <w:style w:type="character" w:customStyle="1" w:styleId="BodyTextChar">
    <w:name w:val="Body Text Char"/>
    <w:link w:val="BodyText"/>
    <w:rsid w:val="00E97600"/>
    <w:rPr>
      <w:rFonts w:ascii="Helv" w:hAnsi="Helv"/>
      <w:b/>
      <w:i/>
      <w:snapToGrid w:val="0"/>
      <w:color w:val="000000"/>
      <w:sz w:val="28"/>
      <w:lang w:val="en-AU" w:eastAsia="en-US" w:bidi="ar-SA"/>
    </w:rPr>
  </w:style>
  <w:style w:type="paragraph" w:customStyle="1" w:styleId="CharChar1CharCharCharChar">
    <w:name w:val="Char Char1 Char Char Char Char"/>
    <w:basedOn w:val="Normal"/>
    <w:rsid w:val="00B60AC5"/>
    <w:pPr>
      <w:spacing w:after="0"/>
      <w:ind w:left="0"/>
    </w:pPr>
    <w:rPr>
      <w:rFonts w:ascii="Arial" w:hAnsi="Arial" w:cs="Arial"/>
      <w:sz w:val="22"/>
      <w:szCs w:val="22"/>
      <w:lang w:eastAsia="en-US"/>
    </w:rPr>
  </w:style>
  <w:style w:type="paragraph" w:styleId="ListParagraph">
    <w:name w:val="List Paragraph"/>
    <w:basedOn w:val="Normal"/>
    <w:uiPriority w:val="34"/>
    <w:qFormat/>
    <w:rsid w:val="00775738"/>
    <w:pPr>
      <w:spacing w:after="200" w:line="276" w:lineRule="auto"/>
      <w:contextualSpacing/>
    </w:pPr>
    <w:rPr>
      <w:rFonts w:ascii="Calibri" w:eastAsia="SimSun" w:hAnsi="Calibri" w:cs="Arial"/>
      <w:sz w:val="22"/>
      <w:szCs w:val="22"/>
      <w:lang w:eastAsia="zh-CN"/>
    </w:rPr>
  </w:style>
  <w:style w:type="paragraph" w:styleId="Revision">
    <w:name w:val="Revision"/>
    <w:hidden/>
    <w:uiPriority w:val="99"/>
    <w:semiHidden/>
    <w:rsid w:val="002D3726"/>
    <w:rPr>
      <w:rFonts w:ascii="Garamond" w:hAnsi="Garamond"/>
      <w:sz w:val="24"/>
    </w:rPr>
  </w:style>
  <w:style w:type="character" w:customStyle="1" w:styleId="CaptionChar">
    <w:name w:val="Caption Char"/>
    <w:aliases w:val="Table and Figure name Char,Tablecaption Char"/>
    <w:link w:val="Caption"/>
    <w:rsid w:val="008A089E"/>
    <w:rPr>
      <w:rFonts w:ascii="Arial Narrow" w:hAnsi="Arial Narrow"/>
      <w:b/>
      <w:bCs/>
    </w:rPr>
  </w:style>
  <w:style w:type="paragraph" w:customStyle="1" w:styleId="Tabletext1">
    <w:name w:val="Table text"/>
    <w:basedOn w:val="TableHeading0"/>
    <w:link w:val="TabletextChar1"/>
    <w:qFormat/>
    <w:rsid w:val="0030581B"/>
    <w:pPr>
      <w:ind w:left="57" w:right="57"/>
      <w:jc w:val="both"/>
    </w:pPr>
    <w:rPr>
      <w:rFonts w:ascii="Arial Narrow" w:hAnsi="Arial Narrow" w:cs="Tahoma"/>
      <w:b w:val="0"/>
      <w:sz w:val="20"/>
      <w:szCs w:val="22"/>
    </w:rPr>
  </w:style>
  <w:style w:type="character" w:customStyle="1" w:styleId="TabletextChar1">
    <w:name w:val="Table text Char"/>
    <w:link w:val="Tabletext1"/>
    <w:rsid w:val="0030581B"/>
    <w:rPr>
      <w:rFonts w:ascii="Arial Narrow" w:hAnsi="Arial Narrow" w:cs="Tahoma"/>
      <w:szCs w:val="22"/>
      <w:lang w:val="en-GB" w:eastAsia="en-US"/>
    </w:rPr>
  </w:style>
  <w:style w:type="paragraph" w:styleId="NormalWeb">
    <w:name w:val="Normal (Web)"/>
    <w:basedOn w:val="Normal"/>
    <w:uiPriority w:val="99"/>
    <w:unhideWhenUsed/>
    <w:rsid w:val="002A0B37"/>
    <w:pPr>
      <w:spacing w:before="100" w:beforeAutospacing="1" w:after="100" w:afterAutospacing="1"/>
      <w:ind w:left="0"/>
    </w:pPr>
    <w:rPr>
      <w:rFonts w:ascii="Times New Roman" w:hAnsi="Times New Roman"/>
      <w:szCs w:val="24"/>
    </w:rPr>
  </w:style>
  <w:style w:type="character" w:customStyle="1" w:styleId="CommentTextChar">
    <w:name w:val="Comment Text Char"/>
    <w:link w:val="CommentText"/>
    <w:uiPriority w:val="99"/>
    <w:semiHidden/>
    <w:rsid w:val="0003725D"/>
    <w:rPr>
      <w:rFonts w:ascii="Garamond" w:hAnsi="Garamond"/>
    </w:rPr>
  </w:style>
  <w:style w:type="paragraph" w:customStyle="1" w:styleId="Default">
    <w:name w:val="Default"/>
    <w:rsid w:val="00A4593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table of figures" w:uiPriority="99"/>
    <w:lsdException w:name="Title" w:qFormat="1"/>
    <w:lsdException w:name="Subtitle" w:qFormat="1"/>
    <w:lsdException w:name="Hyperlink" w:uiPriority="99"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D79"/>
    <w:pPr>
      <w:spacing w:after="240"/>
      <w:ind w:left="720"/>
    </w:pPr>
    <w:rPr>
      <w:rFonts w:ascii="Garamond" w:hAnsi="Garamond"/>
      <w:sz w:val="24"/>
    </w:rPr>
  </w:style>
  <w:style w:type="paragraph" w:styleId="Heading1">
    <w:name w:val="heading 1"/>
    <w:basedOn w:val="Normal"/>
    <w:next w:val="Normal"/>
    <w:qFormat/>
    <w:rsid w:val="00776777"/>
    <w:pPr>
      <w:keepNext/>
      <w:pageBreakBefore/>
      <w:pBdr>
        <w:bottom w:val="single" w:sz="4" w:space="1" w:color="auto"/>
      </w:pBdr>
      <w:spacing w:after="360"/>
      <w:ind w:left="3402" w:hanging="3402"/>
      <w:outlineLvl w:val="0"/>
    </w:pPr>
    <w:rPr>
      <w:rFonts w:ascii="Tahoma" w:hAnsi="Tahoma"/>
      <w:b/>
      <w:sz w:val="44"/>
    </w:rPr>
  </w:style>
  <w:style w:type="paragraph" w:styleId="Heading2">
    <w:name w:val="heading 2"/>
    <w:basedOn w:val="Normal"/>
    <w:next w:val="Normal"/>
    <w:link w:val="Heading2Char"/>
    <w:qFormat/>
    <w:rsid w:val="000A3AAF"/>
    <w:pPr>
      <w:keepNext/>
      <w:spacing w:before="240"/>
      <w:ind w:left="0"/>
      <w:outlineLvl w:val="1"/>
    </w:pPr>
    <w:rPr>
      <w:rFonts w:ascii="Tahoma" w:hAnsi="Tahoma"/>
      <w:b/>
      <w:sz w:val="28"/>
    </w:rPr>
  </w:style>
  <w:style w:type="paragraph" w:styleId="Heading3">
    <w:name w:val="heading 3"/>
    <w:basedOn w:val="Normal"/>
    <w:next w:val="Normal"/>
    <w:qFormat/>
    <w:pPr>
      <w:keepNext/>
      <w:spacing w:before="240"/>
      <w:outlineLvl w:val="2"/>
    </w:pPr>
    <w:rPr>
      <w:rFonts w:ascii="Tahoma" w:hAnsi="Tahoma"/>
      <w:b/>
      <w:sz w:val="22"/>
    </w:rPr>
  </w:style>
  <w:style w:type="paragraph" w:styleId="Heading4">
    <w:name w:val="heading 4"/>
    <w:basedOn w:val="Normal"/>
    <w:next w:val="Normal"/>
    <w:qFormat/>
    <w:rsid w:val="00D4145E"/>
    <w:pPr>
      <w:outlineLvl w:val="3"/>
    </w:pPr>
    <w:rPr>
      <w:b/>
    </w:rPr>
  </w:style>
  <w:style w:type="paragraph" w:styleId="Heading5">
    <w:name w:val="heading 5"/>
    <w:basedOn w:val="Normal"/>
    <w:next w:val="Normal"/>
    <w:qFormat/>
    <w:rsid w:val="00026CEB"/>
    <w:pPr>
      <w:outlineLvl w:val="4"/>
    </w:pPr>
    <w:rPr>
      <w:u w:val="single"/>
    </w:rPr>
  </w:style>
  <w:style w:type="paragraph" w:styleId="Heading6">
    <w:name w:val="heading 6"/>
    <w:basedOn w:val="Normal"/>
    <w:next w:val="Normal"/>
    <w:qFormat/>
    <w:rsid w:val="00026CEB"/>
    <w:pPr>
      <w:outlineLvl w:val="5"/>
    </w:pPr>
    <w:rPr>
      <w:smallCaps/>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A3AAF"/>
    <w:rPr>
      <w:rFonts w:ascii="Tahoma" w:hAnsi="Tahoma"/>
      <w:b/>
      <w:sz w:val="28"/>
      <w:lang w:val="en-AU" w:eastAsia="en-AU" w:bidi="ar-SA"/>
    </w:rPr>
  </w:style>
  <w:style w:type="paragraph" w:customStyle="1" w:styleId="Bullet">
    <w:name w:val="Bullet"/>
    <w:basedOn w:val="Normal"/>
    <w:pPr>
      <w:numPr>
        <w:numId w:val="1"/>
      </w:numPr>
    </w:p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Date">
    <w:name w:val="Date"/>
    <w:basedOn w:val="Normal"/>
    <w:next w:val="Normal"/>
    <w:pPr>
      <w:ind w:right="113"/>
      <w:jc w:val="right"/>
    </w:pPr>
    <w:rPr>
      <w:rFonts w:ascii="Arial" w:hAnsi="Arial"/>
      <w:b/>
      <w:sz w:val="36"/>
    </w:rPr>
  </w:style>
  <w:style w:type="paragraph" w:customStyle="1" w:styleId="Summaryboxtext">
    <w:name w:val="Summary box text"/>
    <w:basedOn w:val="Normal"/>
    <w:rsid w:val="000A3AAF"/>
    <w:pPr>
      <w:spacing w:after="100" w:afterAutospacing="1"/>
      <w:ind w:left="0"/>
    </w:pPr>
    <w:rPr>
      <w:rFonts w:ascii="Arial Narrow" w:hAnsi="Arial Narrow"/>
    </w:rPr>
  </w:style>
  <w:style w:type="paragraph" w:styleId="Footer">
    <w:name w:val="footer"/>
    <w:basedOn w:val="Normal"/>
    <w:pPr>
      <w:pBdr>
        <w:top w:val="single" w:sz="4" w:space="9" w:color="auto"/>
      </w:pBdr>
      <w:tabs>
        <w:tab w:val="right" w:pos="9000"/>
      </w:tabs>
    </w:pPr>
    <w:rPr>
      <w:rFonts w:ascii="Arial" w:hAnsi="Arial"/>
      <w:b/>
      <w:sz w:val="20"/>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customStyle="1" w:styleId="Summaryboxheading">
    <w:name w:val="Summary box heading"/>
    <w:basedOn w:val="Summaryboxtext"/>
    <w:rsid w:val="00D918EC"/>
    <w:pPr>
      <w:spacing w:before="120"/>
    </w:pPr>
    <w:rPr>
      <w:b/>
    </w:rPr>
  </w:style>
  <w:style w:type="paragraph" w:customStyle="1" w:styleId="Heading2a">
    <w:name w:val="Heading 2a"/>
    <w:basedOn w:val="Heading2"/>
    <w:rsid w:val="007F6EF6"/>
    <w:pPr>
      <w:outlineLvl w:val="9"/>
    </w:pPr>
    <w:rPr>
      <w:sz w:val="22"/>
    </w:rPr>
  </w:style>
  <w:style w:type="character" w:styleId="PageNumber">
    <w:name w:val="page number"/>
    <w:rPr>
      <w:rFonts w:ascii="Tahoma" w:hAnsi="Tahoma"/>
      <w:b/>
      <w:sz w:val="18"/>
    </w:rPr>
  </w:style>
  <w:style w:type="paragraph" w:customStyle="1" w:styleId="PublicationTitle">
    <w:name w:val="PublicationTitle"/>
    <w:basedOn w:val="Normal"/>
    <w:pPr>
      <w:spacing w:line="480" w:lineRule="exact"/>
      <w:ind w:left="0" w:right="113"/>
      <w:jc w:val="right"/>
    </w:pPr>
    <w:rPr>
      <w:rFonts w:ascii="Arial" w:hAnsi="Arial"/>
      <w:b/>
      <w:i/>
      <w:sz w:val="44"/>
    </w:rPr>
  </w:style>
  <w:style w:type="paragraph" w:customStyle="1" w:styleId="References">
    <w:name w:val="References"/>
    <w:basedOn w:val="Normal"/>
    <w:pPr>
      <w:keepLines/>
      <w:ind w:left="1440" w:hanging="720"/>
    </w:pPr>
  </w:style>
  <w:style w:type="paragraph" w:customStyle="1" w:styleId="Sub-title">
    <w:name w:val="Sub-title"/>
    <w:basedOn w:val="Normal"/>
    <w:pPr>
      <w:ind w:left="0" w:right="113"/>
      <w:jc w:val="right"/>
    </w:pPr>
    <w:rPr>
      <w:rFonts w:ascii="Arial" w:hAnsi="Arial"/>
      <w:b/>
      <w:sz w:val="32"/>
    </w:rPr>
  </w:style>
  <w:style w:type="paragraph" w:styleId="TableofFigures">
    <w:name w:val="table of figures"/>
    <w:basedOn w:val="Normal"/>
    <w:next w:val="Normal"/>
    <w:uiPriority w:val="99"/>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pPr>
      <w:keepNext/>
      <w:spacing w:before="40" w:after="40"/>
      <w:ind w:left="0"/>
    </w:pPr>
    <w:rPr>
      <w:rFonts w:ascii="Arial Narrow" w:hAnsi="Arial Narrow"/>
      <w:sz w:val="18"/>
    </w:rPr>
  </w:style>
  <w:style w:type="character" w:customStyle="1" w:styleId="TableTextChar">
    <w:name w:val="TableText Char"/>
    <w:link w:val="TableText"/>
    <w:rsid w:val="00310008"/>
    <w:rPr>
      <w:rFonts w:ascii="Arial Narrow" w:hAnsi="Arial Narrow"/>
      <w:sz w:val="18"/>
      <w:lang w:val="en-AU" w:eastAsia="en-AU" w:bidi="ar-SA"/>
    </w:rPr>
  </w:style>
  <w:style w:type="paragraph" w:customStyle="1" w:styleId="TableHeading">
    <w:name w:val="TableHeading"/>
    <w:basedOn w:val="TableText"/>
    <w:link w:val="TableHeadingChar"/>
    <w:qFormat/>
    <w:rsid w:val="00862A16"/>
    <w:rPr>
      <w:b/>
    </w:rPr>
  </w:style>
  <w:style w:type="character" w:customStyle="1" w:styleId="TableHeadingChar">
    <w:name w:val="TableHeading Char"/>
    <w:link w:val="TableHeading"/>
    <w:rsid w:val="00862A16"/>
    <w:rPr>
      <w:rFonts w:ascii="Arial Narrow" w:hAnsi="Arial Narrow"/>
      <w:b/>
      <w:sz w:val="18"/>
      <w:lang w:val="en-AU" w:eastAsia="en-AU" w:bidi="ar-SA"/>
    </w:rPr>
  </w:style>
  <w:style w:type="paragraph" w:customStyle="1" w:styleId="TableName">
    <w:name w:val="TableName"/>
    <w:basedOn w:val="TableText"/>
    <w:link w:val="TableNameChar"/>
    <w:rsid w:val="000D2EB6"/>
    <w:pPr>
      <w:ind w:left="1440" w:hanging="720"/>
    </w:pPr>
    <w:rPr>
      <w:b/>
      <w:sz w:val="20"/>
    </w:rPr>
  </w:style>
  <w:style w:type="character" w:customStyle="1" w:styleId="TableNameChar">
    <w:name w:val="TableName Char"/>
    <w:link w:val="TableName"/>
    <w:rsid w:val="000D2EB6"/>
    <w:rPr>
      <w:rFonts w:ascii="Arial Narrow" w:hAnsi="Arial Narrow"/>
      <w:b/>
      <w:lang w:val="en-AU" w:eastAsia="en-AU" w:bidi="ar-SA"/>
    </w:rPr>
  </w:style>
  <w:style w:type="paragraph" w:customStyle="1" w:styleId="TableNotes">
    <w:name w:val="TableNotes"/>
    <w:basedOn w:val="TableText"/>
    <w:link w:val="TableNotesChar"/>
    <w:rsid w:val="00F2587E"/>
    <w:pPr>
      <w:keepNext w:val="0"/>
      <w:keepLines/>
      <w:spacing w:before="0" w:after="360"/>
      <w:ind w:left="720"/>
      <w:contextualSpacing/>
    </w:pPr>
    <w:rPr>
      <w:sz w:val="16"/>
    </w:rPr>
  </w:style>
  <w:style w:type="character" w:customStyle="1" w:styleId="TableNotesChar">
    <w:name w:val="TableNotes Char"/>
    <w:link w:val="TableNotes"/>
    <w:rsid w:val="00F2587E"/>
    <w:rPr>
      <w:rFonts w:ascii="Arial Narrow" w:hAnsi="Arial Narrow"/>
      <w:sz w:val="16"/>
      <w:lang w:val="en-AU" w:eastAsia="en-AU" w:bidi="ar-SA"/>
    </w:rPr>
  </w:style>
  <w:style w:type="paragraph" w:styleId="Title">
    <w:name w:val="Title"/>
    <w:basedOn w:val="Normal"/>
    <w:qFormat/>
    <w:pPr>
      <w:ind w:left="0"/>
      <w:jc w:val="center"/>
    </w:pPr>
    <w:rPr>
      <w:rFonts w:ascii="Arial" w:hAnsi="Arial"/>
      <w:b/>
      <w:smallCaps/>
      <w:sz w:val="44"/>
    </w:rPr>
  </w:style>
  <w:style w:type="paragraph" w:styleId="TOC1">
    <w:name w:val="toc 1"/>
    <w:basedOn w:val="Normal"/>
    <w:next w:val="Normal"/>
    <w:autoRedefine/>
    <w:uiPriority w:val="39"/>
    <w:pPr>
      <w:tabs>
        <w:tab w:val="left" w:pos="1276"/>
        <w:tab w:val="right" w:leader="dot" w:pos="9017"/>
      </w:tabs>
      <w:spacing w:before="120" w:after="60"/>
      <w:ind w:right="720"/>
    </w:pPr>
    <w:rPr>
      <w:b/>
      <w:noProof/>
    </w:rPr>
  </w:style>
  <w:style w:type="paragraph" w:styleId="TOC2">
    <w:name w:val="toc 2"/>
    <w:basedOn w:val="Normal"/>
    <w:next w:val="Normal"/>
    <w:autoRedefine/>
    <w:uiPriority w:val="39"/>
    <w:pPr>
      <w:tabs>
        <w:tab w:val="right" w:leader="dot" w:pos="9017"/>
      </w:tabs>
      <w:spacing w:after="60"/>
      <w:ind w:left="1440" w:right="720"/>
    </w:pPr>
    <w:rPr>
      <w:noProof/>
    </w:rPr>
  </w:style>
  <w:style w:type="paragraph" w:styleId="TOC3">
    <w:name w:val="toc 3"/>
    <w:basedOn w:val="Normal"/>
    <w:next w:val="Normal"/>
    <w:autoRedefine/>
    <w:semiHidden/>
    <w:pPr>
      <w:tabs>
        <w:tab w:val="right" w:leader="dot" w:pos="9016"/>
      </w:tabs>
      <w:spacing w:after="0"/>
      <w:ind w:left="1418"/>
    </w:pPr>
    <w:rPr>
      <w:noProof/>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Dash">
    <w:name w:val="Dash"/>
    <w:basedOn w:val="Normal"/>
    <w:pPr>
      <w:numPr>
        <w:numId w:val="2"/>
      </w:numPr>
    </w:pPr>
  </w:style>
  <w:style w:type="paragraph" w:styleId="Quote">
    <w:name w:val="Quote"/>
    <w:basedOn w:val="Normal"/>
    <w:qFormat/>
    <w:pPr>
      <w:keepLines/>
      <w:ind w:left="1440" w:right="720"/>
    </w:pPr>
    <w:rPr>
      <w:sz w:val="22"/>
    </w:rPr>
  </w:style>
  <w:style w:type="paragraph" w:styleId="BodyText">
    <w:name w:val="Body Text"/>
    <w:basedOn w:val="Normal"/>
    <w:link w:val="BodyTextChar"/>
    <w:pPr>
      <w:spacing w:after="0"/>
      <w:ind w:left="0"/>
    </w:pPr>
    <w:rPr>
      <w:rFonts w:ascii="Helv" w:hAnsi="Helv"/>
      <w:b/>
      <w:i/>
      <w:snapToGrid w:val="0"/>
      <w:color w:val="000000"/>
      <w:sz w:val="28"/>
      <w:lang w:eastAsia="en-US"/>
    </w:rPr>
  </w:style>
  <w:style w:type="paragraph" w:styleId="BalloonText">
    <w:name w:val="Balloon Text"/>
    <w:basedOn w:val="Normal"/>
    <w:semiHidden/>
    <w:rsid w:val="00AF06B8"/>
    <w:rPr>
      <w:rFonts w:ascii="Tahoma" w:hAnsi="Tahoma" w:cs="Tahoma"/>
      <w:sz w:val="16"/>
      <w:szCs w:val="16"/>
    </w:rPr>
  </w:style>
  <w:style w:type="character" w:styleId="Hyperlink">
    <w:name w:val="Hyperlink"/>
    <w:uiPriority w:val="99"/>
    <w:qFormat/>
    <w:rsid w:val="00AF06B8"/>
    <w:rPr>
      <w:color w:val="0000FF"/>
      <w:u w:val="single"/>
    </w:rPr>
  </w:style>
  <w:style w:type="paragraph" w:styleId="Caption">
    <w:name w:val="caption"/>
    <w:aliases w:val="Table and Figure name,Tablecaption"/>
    <w:basedOn w:val="Normal"/>
    <w:next w:val="TableText"/>
    <w:link w:val="CaptionChar"/>
    <w:qFormat/>
    <w:rsid w:val="002F56AA"/>
    <w:pPr>
      <w:spacing w:after="40"/>
    </w:pPr>
    <w:rPr>
      <w:rFonts w:ascii="Arial Narrow" w:hAnsi="Arial Narrow"/>
      <w:b/>
      <w:bCs/>
      <w:sz w:val="20"/>
    </w:rPr>
  </w:style>
  <w:style w:type="paragraph" w:customStyle="1" w:styleId="TableHeading0">
    <w:name w:val="Table Heading"/>
    <w:basedOn w:val="Normal"/>
    <w:next w:val="Normal"/>
    <w:rsid w:val="00C9014F"/>
    <w:pPr>
      <w:keepNext/>
      <w:spacing w:before="40" w:after="40"/>
      <w:ind w:left="0"/>
    </w:pPr>
    <w:rPr>
      <w:rFonts w:ascii="Arial" w:hAnsi="Arial"/>
      <w:b/>
      <w:sz w:val="18"/>
      <w:lang w:val="en-GB" w:eastAsia="en-US"/>
    </w:rPr>
  </w:style>
  <w:style w:type="table" w:styleId="TableGrid">
    <w:name w:val="Table Grid"/>
    <w:basedOn w:val="TableNormal"/>
    <w:uiPriority w:val="59"/>
    <w:rsid w:val="005265C4"/>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rsid w:val="0009118B"/>
    <w:pPr>
      <w:keepNext/>
      <w:spacing w:before="40" w:after="40"/>
      <w:ind w:left="0"/>
    </w:pPr>
    <w:rPr>
      <w:rFonts w:ascii="Arial Narrow" w:hAnsi="Arial Narrow"/>
      <w:sz w:val="18"/>
      <w:lang w:eastAsia="en-US"/>
    </w:rPr>
  </w:style>
  <w:style w:type="character" w:customStyle="1" w:styleId="TableTextChar0">
    <w:name w:val="Table Text Char"/>
    <w:link w:val="TableText0"/>
    <w:rsid w:val="0009118B"/>
    <w:rPr>
      <w:rFonts w:ascii="Arial Narrow" w:hAnsi="Arial Narrow"/>
      <w:sz w:val="18"/>
      <w:lang w:eastAsia="en-US"/>
    </w:rPr>
  </w:style>
  <w:style w:type="paragraph" w:customStyle="1" w:styleId="Boxname">
    <w:name w:val="Box name"/>
    <w:basedOn w:val="TableName"/>
    <w:link w:val="BoxnameChar"/>
    <w:rsid w:val="00310008"/>
  </w:style>
  <w:style w:type="character" w:customStyle="1" w:styleId="BoxnameChar">
    <w:name w:val="Box name Char"/>
    <w:link w:val="Boxname"/>
    <w:rsid w:val="00B141EB"/>
    <w:rPr>
      <w:rFonts w:ascii="Arial Narrow" w:hAnsi="Arial Narrow"/>
      <w:b/>
      <w:lang w:val="en-AU" w:eastAsia="en-AU" w:bidi="ar-SA"/>
    </w:rPr>
  </w:style>
  <w:style w:type="paragraph" w:styleId="CommentSubject">
    <w:name w:val="annotation subject"/>
    <w:basedOn w:val="CommentText"/>
    <w:next w:val="CommentText"/>
    <w:semiHidden/>
    <w:rsid w:val="003060DC"/>
    <w:rPr>
      <w:b/>
      <w:bCs/>
    </w:rPr>
  </w:style>
  <w:style w:type="paragraph" w:customStyle="1" w:styleId="StyleTableTextArialNarrowFirstline045cm">
    <w:name w:val="Style Table Text + Arial Narrow First line:  0.45 cm"/>
    <w:basedOn w:val="TableText0"/>
    <w:rsid w:val="008E0528"/>
    <w:pPr>
      <w:spacing w:after="360"/>
      <w:ind w:firstLine="720"/>
    </w:pPr>
  </w:style>
  <w:style w:type="character" w:styleId="FollowedHyperlink">
    <w:name w:val="FollowedHyperlink"/>
    <w:rsid w:val="003079EF"/>
    <w:rPr>
      <w:color w:val="800080"/>
      <w:u w:val="single"/>
    </w:rPr>
  </w:style>
  <w:style w:type="paragraph" w:customStyle="1" w:styleId="TableNamea">
    <w:name w:val="Table Name(a)"/>
    <w:basedOn w:val="Normal"/>
    <w:rsid w:val="0031303D"/>
    <w:pPr>
      <w:keepNext/>
      <w:spacing w:before="120" w:after="120"/>
      <w:ind w:left="1077" w:hanging="1077"/>
    </w:pPr>
    <w:rPr>
      <w:rFonts w:ascii="Arial" w:hAnsi="Arial"/>
      <w:b/>
      <w:sz w:val="20"/>
      <w:lang w:eastAsia="en-US"/>
    </w:rPr>
  </w:style>
  <w:style w:type="character" w:customStyle="1" w:styleId="BodyTextChar">
    <w:name w:val="Body Text Char"/>
    <w:link w:val="BodyText"/>
    <w:rsid w:val="00E97600"/>
    <w:rPr>
      <w:rFonts w:ascii="Helv" w:hAnsi="Helv"/>
      <w:b/>
      <w:i/>
      <w:snapToGrid w:val="0"/>
      <w:color w:val="000000"/>
      <w:sz w:val="28"/>
      <w:lang w:val="en-AU" w:eastAsia="en-US" w:bidi="ar-SA"/>
    </w:rPr>
  </w:style>
  <w:style w:type="paragraph" w:customStyle="1" w:styleId="CharChar1CharCharCharChar">
    <w:name w:val="Char Char1 Char Char Char Char"/>
    <w:basedOn w:val="Normal"/>
    <w:rsid w:val="00B60AC5"/>
    <w:pPr>
      <w:spacing w:after="0"/>
      <w:ind w:left="0"/>
    </w:pPr>
    <w:rPr>
      <w:rFonts w:ascii="Arial" w:hAnsi="Arial" w:cs="Arial"/>
      <w:sz w:val="22"/>
      <w:szCs w:val="22"/>
      <w:lang w:eastAsia="en-US"/>
    </w:rPr>
  </w:style>
  <w:style w:type="paragraph" w:styleId="ListParagraph">
    <w:name w:val="List Paragraph"/>
    <w:basedOn w:val="Normal"/>
    <w:uiPriority w:val="34"/>
    <w:qFormat/>
    <w:rsid w:val="00775738"/>
    <w:pPr>
      <w:spacing w:after="200" w:line="276" w:lineRule="auto"/>
      <w:contextualSpacing/>
    </w:pPr>
    <w:rPr>
      <w:rFonts w:ascii="Calibri" w:eastAsia="SimSun" w:hAnsi="Calibri" w:cs="Arial"/>
      <w:sz w:val="22"/>
      <w:szCs w:val="22"/>
      <w:lang w:eastAsia="zh-CN"/>
    </w:rPr>
  </w:style>
  <w:style w:type="paragraph" w:styleId="Revision">
    <w:name w:val="Revision"/>
    <w:hidden/>
    <w:uiPriority w:val="99"/>
    <w:semiHidden/>
    <w:rsid w:val="002D3726"/>
    <w:rPr>
      <w:rFonts w:ascii="Garamond" w:hAnsi="Garamond"/>
      <w:sz w:val="24"/>
    </w:rPr>
  </w:style>
  <w:style w:type="character" w:customStyle="1" w:styleId="CaptionChar">
    <w:name w:val="Caption Char"/>
    <w:aliases w:val="Table and Figure name Char,Tablecaption Char"/>
    <w:link w:val="Caption"/>
    <w:rsid w:val="008A089E"/>
    <w:rPr>
      <w:rFonts w:ascii="Arial Narrow" w:hAnsi="Arial Narrow"/>
      <w:b/>
      <w:bCs/>
    </w:rPr>
  </w:style>
  <w:style w:type="paragraph" w:customStyle="1" w:styleId="Tabletext1">
    <w:name w:val="Table text"/>
    <w:basedOn w:val="TableHeading0"/>
    <w:link w:val="TabletextChar1"/>
    <w:qFormat/>
    <w:rsid w:val="0030581B"/>
    <w:pPr>
      <w:ind w:left="57" w:right="57"/>
      <w:jc w:val="both"/>
    </w:pPr>
    <w:rPr>
      <w:rFonts w:ascii="Arial Narrow" w:hAnsi="Arial Narrow" w:cs="Tahoma"/>
      <w:b w:val="0"/>
      <w:sz w:val="20"/>
      <w:szCs w:val="22"/>
    </w:rPr>
  </w:style>
  <w:style w:type="character" w:customStyle="1" w:styleId="TabletextChar1">
    <w:name w:val="Table text Char"/>
    <w:link w:val="Tabletext1"/>
    <w:rsid w:val="0030581B"/>
    <w:rPr>
      <w:rFonts w:ascii="Arial Narrow" w:hAnsi="Arial Narrow" w:cs="Tahoma"/>
      <w:szCs w:val="22"/>
      <w:lang w:val="en-GB" w:eastAsia="en-US"/>
    </w:rPr>
  </w:style>
  <w:style w:type="paragraph" w:styleId="NormalWeb">
    <w:name w:val="Normal (Web)"/>
    <w:basedOn w:val="Normal"/>
    <w:uiPriority w:val="99"/>
    <w:unhideWhenUsed/>
    <w:rsid w:val="002A0B37"/>
    <w:pPr>
      <w:spacing w:before="100" w:beforeAutospacing="1" w:after="100" w:afterAutospacing="1"/>
      <w:ind w:left="0"/>
    </w:pPr>
    <w:rPr>
      <w:rFonts w:ascii="Times New Roman" w:hAnsi="Times New Roman"/>
      <w:szCs w:val="24"/>
    </w:rPr>
  </w:style>
  <w:style w:type="character" w:customStyle="1" w:styleId="CommentTextChar">
    <w:name w:val="Comment Text Char"/>
    <w:link w:val="CommentText"/>
    <w:uiPriority w:val="99"/>
    <w:semiHidden/>
    <w:rsid w:val="0003725D"/>
    <w:rPr>
      <w:rFonts w:ascii="Garamond" w:hAnsi="Garamond"/>
    </w:rPr>
  </w:style>
  <w:style w:type="paragraph" w:customStyle="1" w:styleId="Default">
    <w:name w:val="Default"/>
    <w:rsid w:val="00A4593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1479">
      <w:bodyDiv w:val="1"/>
      <w:marLeft w:val="0"/>
      <w:marRight w:val="0"/>
      <w:marTop w:val="0"/>
      <w:marBottom w:val="0"/>
      <w:divBdr>
        <w:top w:val="none" w:sz="0" w:space="0" w:color="auto"/>
        <w:left w:val="none" w:sz="0" w:space="0" w:color="auto"/>
        <w:bottom w:val="none" w:sz="0" w:space="0" w:color="auto"/>
        <w:right w:val="none" w:sz="0" w:space="0" w:color="auto"/>
      </w:divBdr>
    </w:div>
    <w:div w:id="68574738">
      <w:bodyDiv w:val="1"/>
      <w:marLeft w:val="0"/>
      <w:marRight w:val="0"/>
      <w:marTop w:val="0"/>
      <w:marBottom w:val="0"/>
      <w:divBdr>
        <w:top w:val="none" w:sz="0" w:space="0" w:color="auto"/>
        <w:left w:val="none" w:sz="0" w:space="0" w:color="auto"/>
        <w:bottom w:val="none" w:sz="0" w:space="0" w:color="auto"/>
        <w:right w:val="none" w:sz="0" w:space="0" w:color="auto"/>
      </w:divBdr>
    </w:div>
    <w:div w:id="185215284">
      <w:bodyDiv w:val="1"/>
      <w:marLeft w:val="0"/>
      <w:marRight w:val="0"/>
      <w:marTop w:val="0"/>
      <w:marBottom w:val="0"/>
      <w:divBdr>
        <w:top w:val="none" w:sz="0" w:space="0" w:color="auto"/>
        <w:left w:val="none" w:sz="0" w:space="0" w:color="auto"/>
        <w:bottom w:val="none" w:sz="0" w:space="0" w:color="auto"/>
        <w:right w:val="none" w:sz="0" w:space="0" w:color="auto"/>
      </w:divBdr>
    </w:div>
    <w:div w:id="194470657">
      <w:bodyDiv w:val="1"/>
      <w:marLeft w:val="0"/>
      <w:marRight w:val="0"/>
      <w:marTop w:val="0"/>
      <w:marBottom w:val="0"/>
      <w:divBdr>
        <w:top w:val="none" w:sz="0" w:space="0" w:color="auto"/>
        <w:left w:val="none" w:sz="0" w:space="0" w:color="auto"/>
        <w:bottom w:val="none" w:sz="0" w:space="0" w:color="auto"/>
        <w:right w:val="none" w:sz="0" w:space="0" w:color="auto"/>
      </w:divBdr>
    </w:div>
    <w:div w:id="227109199">
      <w:bodyDiv w:val="1"/>
      <w:marLeft w:val="0"/>
      <w:marRight w:val="0"/>
      <w:marTop w:val="0"/>
      <w:marBottom w:val="0"/>
      <w:divBdr>
        <w:top w:val="none" w:sz="0" w:space="0" w:color="auto"/>
        <w:left w:val="none" w:sz="0" w:space="0" w:color="auto"/>
        <w:bottom w:val="none" w:sz="0" w:space="0" w:color="auto"/>
        <w:right w:val="none" w:sz="0" w:space="0" w:color="auto"/>
      </w:divBdr>
    </w:div>
    <w:div w:id="237252292">
      <w:bodyDiv w:val="1"/>
      <w:marLeft w:val="0"/>
      <w:marRight w:val="0"/>
      <w:marTop w:val="0"/>
      <w:marBottom w:val="0"/>
      <w:divBdr>
        <w:top w:val="none" w:sz="0" w:space="0" w:color="auto"/>
        <w:left w:val="none" w:sz="0" w:space="0" w:color="auto"/>
        <w:bottom w:val="none" w:sz="0" w:space="0" w:color="auto"/>
        <w:right w:val="none" w:sz="0" w:space="0" w:color="auto"/>
      </w:divBdr>
    </w:div>
    <w:div w:id="287049758">
      <w:bodyDiv w:val="1"/>
      <w:marLeft w:val="0"/>
      <w:marRight w:val="0"/>
      <w:marTop w:val="0"/>
      <w:marBottom w:val="0"/>
      <w:divBdr>
        <w:top w:val="none" w:sz="0" w:space="0" w:color="auto"/>
        <w:left w:val="none" w:sz="0" w:space="0" w:color="auto"/>
        <w:bottom w:val="none" w:sz="0" w:space="0" w:color="auto"/>
        <w:right w:val="none" w:sz="0" w:space="0" w:color="auto"/>
      </w:divBdr>
    </w:div>
    <w:div w:id="303127052">
      <w:bodyDiv w:val="1"/>
      <w:marLeft w:val="0"/>
      <w:marRight w:val="0"/>
      <w:marTop w:val="0"/>
      <w:marBottom w:val="0"/>
      <w:divBdr>
        <w:top w:val="none" w:sz="0" w:space="0" w:color="auto"/>
        <w:left w:val="none" w:sz="0" w:space="0" w:color="auto"/>
        <w:bottom w:val="none" w:sz="0" w:space="0" w:color="auto"/>
        <w:right w:val="none" w:sz="0" w:space="0" w:color="auto"/>
      </w:divBdr>
    </w:div>
    <w:div w:id="314456309">
      <w:bodyDiv w:val="1"/>
      <w:marLeft w:val="0"/>
      <w:marRight w:val="0"/>
      <w:marTop w:val="0"/>
      <w:marBottom w:val="0"/>
      <w:divBdr>
        <w:top w:val="none" w:sz="0" w:space="0" w:color="auto"/>
        <w:left w:val="none" w:sz="0" w:space="0" w:color="auto"/>
        <w:bottom w:val="none" w:sz="0" w:space="0" w:color="auto"/>
        <w:right w:val="none" w:sz="0" w:space="0" w:color="auto"/>
      </w:divBdr>
    </w:div>
    <w:div w:id="323435338">
      <w:bodyDiv w:val="1"/>
      <w:marLeft w:val="0"/>
      <w:marRight w:val="0"/>
      <w:marTop w:val="0"/>
      <w:marBottom w:val="0"/>
      <w:divBdr>
        <w:top w:val="none" w:sz="0" w:space="0" w:color="auto"/>
        <w:left w:val="none" w:sz="0" w:space="0" w:color="auto"/>
        <w:bottom w:val="none" w:sz="0" w:space="0" w:color="auto"/>
        <w:right w:val="none" w:sz="0" w:space="0" w:color="auto"/>
      </w:divBdr>
    </w:div>
    <w:div w:id="339695907">
      <w:bodyDiv w:val="1"/>
      <w:marLeft w:val="0"/>
      <w:marRight w:val="0"/>
      <w:marTop w:val="0"/>
      <w:marBottom w:val="0"/>
      <w:divBdr>
        <w:top w:val="none" w:sz="0" w:space="0" w:color="auto"/>
        <w:left w:val="none" w:sz="0" w:space="0" w:color="auto"/>
        <w:bottom w:val="none" w:sz="0" w:space="0" w:color="auto"/>
        <w:right w:val="none" w:sz="0" w:space="0" w:color="auto"/>
      </w:divBdr>
    </w:div>
    <w:div w:id="342828412">
      <w:bodyDiv w:val="1"/>
      <w:marLeft w:val="0"/>
      <w:marRight w:val="0"/>
      <w:marTop w:val="0"/>
      <w:marBottom w:val="0"/>
      <w:divBdr>
        <w:top w:val="none" w:sz="0" w:space="0" w:color="auto"/>
        <w:left w:val="none" w:sz="0" w:space="0" w:color="auto"/>
        <w:bottom w:val="none" w:sz="0" w:space="0" w:color="auto"/>
        <w:right w:val="none" w:sz="0" w:space="0" w:color="auto"/>
      </w:divBdr>
    </w:div>
    <w:div w:id="349263256">
      <w:bodyDiv w:val="1"/>
      <w:marLeft w:val="0"/>
      <w:marRight w:val="0"/>
      <w:marTop w:val="0"/>
      <w:marBottom w:val="0"/>
      <w:divBdr>
        <w:top w:val="none" w:sz="0" w:space="0" w:color="auto"/>
        <w:left w:val="none" w:sz="0" w:space="0" w:color="auto"/>
        <w:bottom w:val="none" w:sz="0" w:space="0" w:color="auto"/>
        <w:right w:val="none" w:sz="0" w:space="0" w:color="auto"/>
      </w:divBdr>
      <w:divsChild>
        <w:div w:id="1008098438">
          <w:marLeft w:val="0"/>
          <w:marRight w:val="0"/>
          <w:marTop w:val="0"/>
          <w:marBottom w:val="0"/>
          <w:divBdr>
            <w:top w:val="none" w:sz="0" w:space="0" w:color="auto"/>
            <w:left w:val="none" w:sz="0" w:space="0" w:color="auto"/>
            <w:bottom w:val="none" w:sz="0" w:space="0" w:color="auto"/>
            <w:right w:val="none" w:sz="0" w:space="0" w:color="auto"/>
          </w:divBdr>
        </w:div>
        <w:div w:id="1495754264">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
    <w:div w:id="424306319">
      <w:bodyDiv w:val="1"/>
      <w:marLeft w:val="0"/>
      <w:marRight w:val="0"/>
      <w:marTop w:val="0"/>
      <w:marBottom w:val="0"/>
      <w:divBdr>
        <w:top w:val="none" w:sz="0" w:space="0" w:color="auto"/>
        <w:left w:val="none" w:sz="0" w:space="0" w:color="auto"/>
        <w:bottom w:val="none" w:sz="0" w:space="0" w:color="auto"/>
        <w:right w:val="none" w:sz="0" w:space="0" w:color="auto"/>
      </w:divBdr>
    </w:div>
    <w:div w:id="426197672">
      <w:bodyDiv w:val="1"/>
      <w:marLeft w:val="0"/>
      <w:marRight w:val="0"/>
      <w:marTop w:val="0"/>
      <w:marBottom w:val="0"/>
      <w:divBdr>
        <w:top w:val="none" w:sz="0" w:space="0" w:color="auto"/>
        <w:left w:val="none" w:sz="0" w:space="0" w:color="auto"/>
        <w:bottom w:val="none" w:sz="0" w:space="0" w:color="auto"/>
        <w:right w:val="none" w:sz="0" w:space="0" w:color="auto"/>
      </w:divBdr>
    </w:div>
    <w:div w:id="436288957">
      <w:bodyDiv w:val="1"/>
      <w:marLeft w:val="0"/>
      <w:marRight w:val="0"/>
      <w:marTop w:val="0"/>
      <w:marBottom w:val="0"/>
      <w:divBdr>
        <w:top w:val="none" w:sz="0" w:space="0" w:color="auto"/>
        <w:left w:val="none" w:sz="0" w:space="0" w:color="auto"/>
        <w:bottom w:val="none" w:sz="0" w:space="0" w:color="auto"/>
        <w:right w:val="none" w:sz="0" w:space="0" w:color="auto"/>
      </w:divBdr>
    </w:div>
    <w:div w:id="473185767">
      <w:bodyDiv w:val="1"/>
      <w:marLeft w:val="0"/>
      <w:marRight w:val="0"/>
      <w:marTop w:val="0"/>
      <w:marBottom w:val="0"/>
      <w:divBdr>
        <w:top w:val="none" w:sz="0" w:space="0" w:color="auto"/>
        <w:left w:val="none" w:sz="0" w:space="0" w:color="auto"/>
        <w:bottom w:val="none" w:sz="0" w:space="0" w:color="auto"/>
        <w:right w:val="none" w:sz="0" w:space="0" w:color="auto"/>
      </w:divBdr>
    </w:div>
    <w:div w:id="520629547">
      <w:bodyDiv w:val="1"/>
      <w:marLeft w:val="0"/>
      <w:marRight w:val="0"/>
      <w:marTop w:val="0"/>
      <w:marBottom w:val="0"/>
      <w:divBdr>
        <w:top w:val="none" w:sz="0" w:space="0" w:color="auto"/>
        <w:left w:val="none" w:sz="0" w:space="0" w:color="auto"/>
        <w:bottom w:val="none" w:sz="0" w:space="0" w:color="auto"/>
        <w:right w:val="none" w:sz="0" w:space="0" w:color="auto"/>
      </w:divBdr>
    </w:div>
    <w:div w:id="586231862">
      <w:bodyDiv w:val="1"/>
      <w:marLeft w:val="0"/>
      <w:marRight w:val="0"/>
      <w:marTop w:val="0"/>
      <w:marBottom w:val="0"/>
      <w:divBdr>
        <w:top w:val="none" w:sz="0" w:space="0" w:color="auto"/>
        <w:left w:val="none" w:sz="0" w:space="0" w:color="auto"/>
        <w:bottom w:val="none" w:sz="0" w:space="0" w:color="auto"/>
        <w:right w:val="none" w:sz="0" w:space="0" w:color="auto"/>
      </w:divBdr>
    </w:div>
    <w:div w:id="602879509">
      <w:bodyDiv w:val="1"/>
      <w:marLeft w:val="0"/>
      <w:marRight w:val="0"/>
      <w:marTop w:val="0"/>
      <w:marBottom w:val="0"/>
      <w:divBdr>
        <w:top w:val="none" w:sz="0" w:space="0" w:color="auto"/>
        <w:left w:val="none" w:sz="0" w:space="0" w:color="auto"/>
        <w:bottom w:val="none" w:sz="0" w:space="0" w:color="auto"/>
        <w:right w:val="none" w:sz="0" w:space="0" w:color="auto"/>
      </w:divBdr>
    </w:div>
    <w:div w:id="619993469">
      <w:bodyDiv w:val="1"/>
      <w:marLeft w:val="0"/>
      <w:marRight w:val="0"/>
      <w:marTop w:val="0"/>
      <w:marBottom w:val="0"/>
      <w:divBdr>
        <w:top w:val="none" w:sz="0" w:space="0" w:color="auto"/>
        <w:left w:val="none" w:sz="0" w:space="0" w:color="auto"/>
        <w:bottom w:val="none" w:sz="0" w:space="0" w:color="auto"/>
        <w:right w:val="none" w:sz="0" w:space="0" w:color="auto"/>
      </w:divBdr>
    </w:div>
    <w:div w:id="748232634">
      <w:bodyDiv w:val="1"/>
      <w:marLeft w:val="0"/>
      <w:marRight w:val="0"/>
      <w:marTop w:val="0"/>
      <w:marBottom w:val="0"/>
      <w:divBdr>
        <w:top w:val="none" w:sz="0" w:space="0" w:color="auto"/>
        <w:left w:val="none" w:sz="0" w:space="0" w:color="auto"/>
        <w:bottom w:val="none" w:sz="0" w:space="0" w:color="auto"/>
        <w:right w:val="none" w:sz="0" w:space="0" w:color="auto"/>
      </w:divBdr>
    </w:div>
    <w:div w:id="859053209">
      <w:bodyDiv w:val="1"/>
      <w:marLeft w:val="0"/>
      <w:marRight w:val="0"/>
      <w:marTop w:val="0"/>
      <w:marBottom w:val="0"/>
      <w:divBdr>
        <w:top w:val="none" w:sz="0" w:space="0" w:color="auto"/>
        <w:left w:val="none" w:sz="0" w:space="0" w:color="auto"/>
        <w:bottom w:val="none" w:sz="0" w:space="0" w:color="auto"/>
        <w:right w:val="none" w:sz="0" w:space="0" w:color="auto"/>
      </w:divBdr>
    </w:div>
    <w:div w:id="875460534">
      <w:bodyDiv w:val="1"/>
      <w:marLeft w:val="0"/>
      <w:marRight w:val="0"/>
      <w:marTop w:val="0"/>
      <w:marBottom w:val="0"/>
      <w:divBdr>
        <w:top w:val="none" w:sz="0" w:space="0" w:color="auto"/>
        <w:left w:val="none" w:sz="0" w:space="0" w:color="auto"/>
        <w:bottom w:val="none" w:sz="0" w:space="0" w:color="auto"/>
        <w:right w:val="none" w:sz="0" w:space="0" w:color="auto"/>
      </w:divBdr>
      <w:divsChild>
        <w:div w:id="1436560732">
          <w:marLeft w:val="0"/>
          <w:marRight w:val="0"/>
          <w:marTop w:val="0"/>
          <w:marBottom w:val="0"/>
          <w:divBdr>
            <w:top w:val="none" w:sz="0" w:space="0" w:color="auto"/>
            <w:left w:val="none" w:sz="0" w:space="0" w:color="auto"/>
            <w:bottom w:val="none" w:sz="0" w:space="0" w:color="auto"/>
            <w:right w:val="none" w:sz="0" w:space="0" w:color="auto"/>
          </w:divBdr>
          <w:divsChild>
            <w:div w:id="1610431818">
              <w:marLeft w:val="0"/>
              <w:marRight w:val="0"/>
              <w:marTop w:val="0"/>
              <w:marBottom w:val="0"/>
              <w:divBdr>
                <w:top w:val="none" w:sz="0" w:space="0" w:color="auto"/>
                <w:left w:val="none" w:sz="0" w:space="0" w:color="auto"/>
                <w:bottom w:val="none" w:sz="0" w:space="0" w:color="auto"/>
                <w:right w:val="none" w:sz="0" w:space="0" w:color="auto"/>
              </w:divBdr>
              <w:divsChild>
                <w:div w:id="484592634">
                  <w:blockQuote w:val="1"/>
                  <w:marLeft w:val="720"/>
                  <w:marRight w:val="0"/>
                  <w:marTop w:val="100"/>
                  <w:marBottom w:val="100"/>
                  <w:divBdr>
                    <w:top w:val="none" w:sz="0" w:space="0" w:color="auto"/>
                    <w:left w:val="none" w:sz="0" w:space="0" w:color="auto"/>
                    <w:bottom w:val="none" w:sz="0" w:space="0" w:color="auto"/>
                    <w:right w:val="none" w:sz="0" w:space="0" w:color="auto"/>
                  </w:divBdr>
                </w:div>
                <w:div w:id="21383266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6304389">
      <w:bodyDiv w:val="1"/>
      <w:marLeft w:val="0"/>
      <w:marRight w:val="0"/>
      <w:marTop w:val="0"/>
      <w:marBottom w:val="0"/>
      <w:divBdr>
        <w:top w:val="none" w:sz="0" w:space="0" w:color="auto"/>
        <w:left w:val="none" w:sz="0" w:space="0" w:color="auto"/>
        <w:bottom w:val="none" w:sz="0" w:space="0" w:color="auto"/>
        <w:right w:val="none" w:sz="0" w:space="0" w:color="auto"/>
      </w:divBdr>
    </w:div>
    <w:div w:id="946424486">
      <w:bodyDiv w:val="1"/>
      <w:marLeft w:val="0"/>
      <w:marRight w:val="0"/>
      <w:marTop w:val="0"/>
      <w:marBottom w:val="0"/>
      <w:divBdr>
        <w:top w:val="none" w:sz="0" w:space="0" w:color="auto"/>
        <w:left w:val="none" w:sz="0" w:space="0" w:color="auto"/>
        <w:bottom w:val="none" w:sz="0" w:space="0" w:color="auto"/>
        <w:right w:val="none" w:sz="0" w:space="0" w:color="auto"/>
      </w:divBdr>
    </w:div>
    <w:div w:id="948901432">
      <w:bodyDiv w:val="1"/>
      <w:marLeft w:val="0"/>
      <w:marRight w:val="0"/>
      <w:marTop w:val="0"/>
      <w:marBottom w:val="0"/>
      <w:divBdr>
        <w:top w:val="none" w:sz="0" w:space="0" w:color="auto"/>
        <w:left w:val="none" w:sz="0" w:space="0" w:color="auto"/>
        <w:bottom w:val="none" w:sz="0" w:space="0" w:color="auto"/>
        <w:right w:val="none" w:sz="0" w:space="0" w:color="auto"/>
      </w:divBdr>
    </w:div>
    <w:div w:id="972826291">
      <w:bodyDiv w:val="1"/>
      <w:marLeft w:val="0"/>
      <w:marRight w:val="0"/>
      <w:marTop w:val="0"/>
      <w:marBottom w:val="0"/>
      <w:divBdr>
        <w:top w:val="none" w:sz="0" w:space="0" w:color="auto"/>
        <w:left w:val="none" w:sz="0" w:space="0" w:color="auto"/>
        <w:bottom w:val="none" w:sz="0" w:space="0" w:color="auto"/>
        <w:right w:val="none" w:sz="0" w:space="0" w:color="auto"/>
      </w:divBdr>
    </w:div>
    <w:div w:id="1001277645">
      <w:bodyDiv w:val="1"/>
      <w:marLeft w:val="0"/>
      <w:marRight w:val="0"/>
      <w:marTop w:val="0"/>
      <w:marBottom w:val="0"/>
      <w:divBdr>
        <w:top w:val="none" w:sz="0" w:space="0" w:color="auto"/>
        <w:left w:val="none" w:sz="0" w:space="0" w:color="auto"/>
        <w:bottom w:val="none" w:sz="0" w:space="0" w:color="auto"/>
        <w:right w:val="none" w:sz="0" w:space="0" w:color="auto"/>
      </w:divBdr>
    </w:div>
    <w:div w:id="1069227355">
      <w:bodyDiv w:val="1"/>
      <w:marLeft w:val="0"/>
      <w:marRight w:val="0"/>
      <w:marTop w:val="0"/>
      <w:marBottom w:val="0"/>
      <w:divBdr>
        <w:top w:val="none" w:sz="0" w:space="0" w:color="auto"/>
        <w:left w:val="none" w:sz="0" w:space="0" w:color="auto"/>
        <w:bottom w:val="none" w:sz="0" w:space="0" w:color="auto"/>
        <w:right w:val="none" w:sz="0" w:space="0" w:color="auto"/>
      </w:divBdr>
    </w:div>
    <w:div w:id="1083646542">
      <w:bodyDiv w:val="1"/>
      <w:marLeft w:val="0"/>
      <w:marRight w:val="0"/>
      <w:marTop w:val="0"/>
      <w:marBottom w:val="0"/>
      <w:divBdr>
        <w:top w:val="none" w:sz="0" w:space="0" w:color="auto"/>
        <w:left w:val="none" w:sz="0" w:space="0" w:color="auto"/>
        <w:bottom w:val="none" w:sz="0" w:space="0" w:color="auto"/>
        <w:right w:val="none" w:sz="0" w:space="0" w:color="auto"/>
      </w:divBdr>
    </w:div>
    <w:div w:id="1129009919">
      <w:bodyDiv w:val="1"/>
      <w:marLeft w:val="0"/>
      <w:marRight w:val="0"/>
      <w:marTop w:val="0"/>
      <w:marBottom w:val="0"/>
      <w:divBdr>
        <w:top w:val="none" w:sz="0" w:space="0" w:color="auto"/>
        <w:left w:val="none" w:sz="0" w:space="0" w:color="auto"/>
        <w:bottom w:val="none" w:sz="0" w:space="0" w:color="auto"/>
        <w:right w:val="none" w:sz="0" w:space="0" w:color="auto"/>
      </w:divBdr>
    </w:div>
    <w:div w:id="1133403089">
      <w:bodyDiv w:val="1"/>
      <w:marLeft w:val="0"/>
      <w:marRight w:val="0"/>
      <w:marTop w:val="0"/>
      <w:marBottom w:val="0"/>
      <w:divBdr>
        <w:top w:val="none" w:sz="0" w:space="0" w:color="auto"/>
        <w:left w:val="none" w:sz="0" w:space="0" w:color="auto"/>
        <w:bottom w:val="none" w:sz="0" w:space="0" w:color="auto"/>
        <w:right w:val="none" w:sz="0" w:space="0" w:color="auto"/>
      </w:divBdr>
    </w:div>
    <w:div w:id="1157265967">
      <w:bodyDiv w:val="1"/>
      <w:marLeft w:val="0"/>
      <w:marRight w:val="0"/>
      <w:marTop w:val="0"/>
      <w:marBottom w:val="0"/>
      <w:divBdr>
        <w:top w:val="none" w:sz="0" w:space="0" w:color="auto"/>
        <w:left w:val="none" w:sz="0" w:space="0" w:color="auto"/>
        <w:bottom w:val="none" w:sz="0" w:space="0" w:color="auto"/>
        <w:right w:val="none" w:sz="0" w:space="0" w:color="auto"/>
      </w:divBdr>
    </w:div>
    <w:div w:id="1198665108">
      <w:bodyDiv w:val="1"/>
      <w:marLeft w:val="0"/>
      <w:marRight w:val="0"/>
      <w:marTop w:val="0"/>
      <w:marBottom w:val="0"/>
      <w:divBdr>
        <w:top w:val="none" w:sz="0" w:space="0" w:color="auto"/>
        <w:left w:val="none" w:sz="0" w:space="0" w:color="auto"/>
        <w:bottom w:val="none" w:sz="0" w:space="0" w:color="auto"/>
        <w:right w:val="none" w:sz="0" w:space="0" w:color="auto"/>
      </w:divBdr>
    </w:div>
    <w:div w:id="1230194485">
      <w:bodyDiv w:val="1"/>
      <w:marLeft w:val="0"/>
      <w:marRight w:val="0"/>
      <w:marTop w:val="0"/>
      <w:marBottom w:val="0"/>
      <w:divBdr>
        <w:top w:val="none" w:sz="0" w:space="0" w:color="auto"/>
        <w:left w:val="none" w:sz="0" w:space="0" w:color="auto"/>
        <w:bottom w:val="none" w:sz="0" w:space="0" w:color="auto"/>
        <w:right w:val="none" w:sz="0" w:space="0" w:color="auto"/>
      </w:divBdr>
    </w:div>
    <w:div w:id="1265068322">
      <w:bodyDiv w:val="1"/>
      <w:marLeft w:val="0"/>
      <w:marRight w:val="0"/>
      <w:marTop w:val="0"/>
      <w:marBottom w:val="0"/>
      <w:divBdr>
        <w:top w:val="none" w:sz="0" w:space="0" w:color="auto"/>
        <w:left w:val="none" w:sz="0" w:space="0" w:color="auto"/>
        <w:bottom w:val="none" w:sz="0" w:space="0" w:color="auto"/>
        <w:right w:val="none" w:sz="0" w:space="0" w:color="auto"/>
      </w:divBdr>
    </w:div>
    <w:div w:id="1267154314">
      <w:bodyDiv w:val="1"/>
      <w:marLeft w:val="0"/>
      <w:marRight w:val="0"/>
      <w:marTop w:val="0"/>
      <w:marBottom w:val="0"/>
      <w:divBdr>
        <w:top w:val="none" w:sz="0" w:space="0" w:color="auto"/>
        <w:left w:val="none" w:sz="0" w:space="0" w:color="auto"/>
        <w:bottom w:val="none" w:sz="0" w:space="0" w:color="auto"/>
        <w:right w:val="none" w:sz="0" w:space="0" w:color="auto"/>
      </w:divBdr>
    </w:div>
    <w:div w:id="1274558720">
      <w:bodyDiv w:val="1"/>
      <w:marLeft w:val="0"/>
      <w:marRight w:val="0"/>
      <w:marTop w:val="0"/>
      <w:marBottom w:val="0"/>
      <w:divBdr>
        <w:top w:val="none" w:sz="0" w:space="0" w:color="auto"/>
        <w:left w:val="none" w:sz="0" w:space="0" w:color="auto"/>
        <w:bottom w:val="none" w:sz="0" w:space="0" w:color="auto"/>
        <w:right w:val="none" w:sz="0" w:space="0" w:color="auto"/>
      </w:divBdr>
    </w:div>
    <w:div w:id="1302228593">
      <w:bodyDiv w:val="1"/>
      <w:marLeft w:val="0"/>
      <w:marRight w:val="0"/>
      <w:marTop w:val="0"/>
      <w:marBottom w:val="0"/>
      <w:divBdr>
        <w:top w:val="none" w:sz="0" w:space="0" w:color="auto"/>
        <w:left w:val="none" w:sz="0" w:space="0" w:color="auto"/>
        <w:bottom w:val="none" w:sz="0" w:space="0" w:color="auto"/>
        <w:right w:val="none" w:sz="0" w:space="0" w:color="auto"/>
      </w:divBdr>
    </w:div>
    <w:div w:id="1314411822">
      <w:bodyDiv w:val="1"/>
      <w:marLeft w:val="0"/>
      <w:marRight w:val="0"/>
      <w:marTop w:val="0"/>
      <w:marBottom w:val="0"/>
      <w:divBdr>
        <w:top w:val="none" w:sz="0" w:space="0" w:color="auto"/>
        <w:left w:val="none" w:sz="0" w:space="0" w:color="auto"/>
        <w:bottom w:val="none" w:sz="0" w:space="0" w:color="auto"/>
        <w:right w:val="none" w:sz="0" w:space="0" w:color="auto"/>
      </w:divBdr>
    </w:div>
    <w:div w:id="1338533151">
      <w:bodyDiv w:val="1"/>
      <w:marLeft w:val="0"/>
      <w:marRight w:val="0"/>
      <w:marTop w:val="0"/>
      <w:marBottom w:val="0"/>
      <w:divBdr>
        <w:top w:val="none" w:sz="0" w:space="0" w:color="auto"/>
        <w:left w:val="none" w:sz="0" w:space="0" w:color="auto"/>
        <w:bottom w:val="none" w:sz="0" w:space="0" w:color="auto"/>
        <w:right w:val="none" w:sz="0" w:space="0" w:color="auto"/>
      </w:divBdr>
    </w:div>
    <w:div w:id="1340502452">
      <w:bodyDiv w:val="1"/>
      <w:marLeft w:val="0"/>
      <w:marRight w:val="0"/>
      <w:marTop w:val="0"/>
      <w:marBottom w:val="0"/>
      <w:divBdr>
        <w:top w:val="none" w:sz="0" w:space="0" w:color="auto"/>
        <w:left w:val="none" w:sz="0" w:space="0" w:color="auto"/>
        <w:bottom w:val="none" w:sz="0" w:space="0" w:color="auto"/>
        <w:right w:val="none" w:sz="0" w:space="0" w:color="auto"/>
      </w:divBdr>
    </w:div>
    <w:div w:id="1419057409">
      <w:bodyDiv w:val="1"/>
      <w:marLeft w:val="0"/>
      <w:marRight w:val="0"/>
      <w:marTop w:val="0"/>
      <w:marBottom w:val="0"/>
      <w:divBdr>
        <w:top w:val="none" w:sz="0" w:space="0" w:color="auto"/>
        <w:left w:val="none" w:sz="0" w:space="0" w:color="auto"/>
        <w:bottom w:val="none" w:sz="0" w:space="0" w:color="auto"/>
        <w:right w:val="none" w:sz="0" w:space="0" w:color="auto"/>
      </w:divBdr>
    </w:div>
    <w:div w:id="1427578491">
      <w:bodyDiv w:val="1"/>
      <w:marLeft w:val="0"/>
      <w:marRight w:val="0"/>
      <w:marTop w:val="0"/>
      <w:marBottom w:val="0"/>
      <w:divBdr>
        <w:top w:val="none" w:sz="0" w:space="0" w:color="auto"/>
        <w:left w:val="none" w:sz="0" w:space="0" w:color="auto"/>
        <w:bottom w:val="none" w:sz="0" w:space="0" w:color="auto"/>
        <w:right w:val="none" w:sz="0" w:space="0" w:color="auto"/>
      </w:divBdr>
    </w:div>
    <w:div w:id="1533106271">
      <w:bodyDiv w:val="1"/>
      <w:marLeft w:val="0"/>
      <w:marRight w:val="0"/>
      <w:marTop w:val="0"/>
      <w:marBottom w:val="0"/>
      <w:divBdr>
        <w:top w:val="none" w:sz="0" w:space="0" w:color="auto"/>
        <w:left w:val="none" w:sz="0" w:space="0" w:color="auto"/>
        <w:bottom w:val="none" w:sz="0" w:space="0" w:color="auto"/>
        <w:right w:val="none" w:sz="0" w:space="0" w:color="auto"/>
      </w:divBdr>
    </w:div>
    <w:div w:id="1545752214">
      <w:bodyDiv w:val="1"/>
      <w:marLeft w:val="0"/>
      <w:marRight w:val="0"/>
      <w:marTop w:val="0"/>
      <w:marBottom w:val="0"/>
      <w:divBdr>
        <w:top w:val="none" w:sz="0" w:space="0" w:color="auto"/>
        <w:left w:val="none" w:sz="0" w:space="0" w:color="auto"/>
        <w:bottom w:val="none" w:sz="0" w:space="0" w:color="auto"/>
        <w:right w:val="none" w:sz="0" w:space="0" w:color="auto"/>
      </w:divBdr>
    </w:div>
    <w:div w:id="1557161320">
      <w:bodyDiv w:val="1"/>
      <w:marLeft w:val="0"/>
      <w:marRight w:val="0"/>
      <w:marTop w:val="0"/>
      <w:marBottom w:val="0"/>
      <w:divBdr>
        <w:top w:val="none" w:sz="0" w:space="0" w:color="auto"/>
        <w:left w:val="none" w:sz="0" w:space="0" w:color="auto"/>
        <w:bottom w:val="none" w:sz="0" w:space="0" w:color="auto"/>
        <w:right w:val="none" w:sz="0" w:space="0" w:color="auto"/>
      </w:divBdr>
      <w:divsChild>
        <w:div w:id="918906596">
          <w:marLeft w:val="0"/>
          <w:marRight w:val="0"/>
          <w:marTop w:val="0"/>
          <w:marBottom w:val="0"/>
          <w:divBdr>
            <w:top w:val="none" w:sz="0" w:space="0" w:color="auto"/>
            <w:left w:val="none" w:sz="0" w:space="0" w:color="auto"/>
            <w:bottom w:val="none" w:sz="0" w:space="0" w:color="auto"/>
            <w:right w:val="none" w:sz="0" w:space="0" w:color="auto"/>
          </w:divBdr>
          <w:divsChild>
            <w:div w:id="1233853673">
              <w:marLeft w:val="0"/>
              <w:marRight w:val="0"/>
              <w:marTop w:val="0"/>
              <w:marBottom w:val="0"/>
              <w:divBdr>
                <w:top w:val="none" w:sz="0" w:space="0" w:color="auto"/>
                <w:left w:val="none" w:sz="0" w:space="0" w:color="auto"/>
                <w:bottom w:val="none" w:sz="0" w:space="0" w:color="auto"/>
                <w:right w:val="none" w:sz="0" w:space="0" w:color="auto"/>
              </w:divBdr>
              <w:divsChild>
                <w:div w:id="701250827">
                  <w:blockQuote w:val="1"/>
                  <w:marLeft w:val="720"/>
                  <w:marRight w:val="0"/>
                  <w:marTop w:val="100"/>
                  <w:marBottom w:val="100"/>
                  <w:divBdr>
                    <w:top w:val="none" w:sz="0" w:space="0" w:color="auto"/>
                    <w:left w:val="none" w:sz="0" w:space="0" w:color="auto"/>
                    <w:bottom w:val="none" w:sz="0" w:space="0" w:color="auto"/>
                    <w:right w:val="none" w:sz="0" w:space="0" w:color="auto"/>
                  </w:divBdr>
                </w:div>
                <w:div w:id="15117963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0332296">
      <w:bodyDiv w:val="1"/>
      <w:marLeft w:val="0"/>
      <w:marRight w:val="0"/>
      <w:marTop w:val="0"/>
      <w:marBottom w:val="0"/>
      <w:divBdr>
        <w:top w:val="none" w:sz="0" w:space="0" w:color="auto"/>
        <w:left w:val="none" w:sz="0" w:space="0" w:color="auto"/>
        <w:bottom w:val="none" w:sz="0" w:space="0" w:color="auto"/>
        <w:right w:val="none" w:sz="0" w:space="0" w:color="auto"/>
      </w:divBdr>
    </w:div>
    <w:div w:id="1666662417">
      <w:bodyDiv w:val="1"/>
      <w:marLeft w:val="0"/>
      <w:marRight w:val="0"/>
      <w:marTop w:val="0"/>
      <w:marBottom w:val="0"/>
      <w:divBdr>
        <w:top w:val="none" w:sz="0" w:space="0" w:color="auto"/>
        <w:left w:val="none" w:sz="0" w:space="0" w:color="auto"/>
        <w:bottom w:val="none" w:sz="0" w:space="0" w:color="auto"/>
        <w:right w:val="none" w:sz="0" w:space="0" w:color="auto"/>
      </w:divBdr>
    </w:div>
    <w:div w:id="1735424605">
      <w:bodyDiv w:val="1"/>
      <w:marLeft w:val="0"/>
      <w:marRight w:val="0"/>
      <w:marTop w:val="0"/>
      <w:marBottom w:val="0"/>
      <w:divBdr>
        <w:top w:val="none" w:sz="0" w:space="0" w:color="auto"/>
        <w:left w:val="none" w:sz="0" w:space="0" w:color="auto"/>
        <w:bottom w:val="none" w:sz="0" w:space="0" w:color="auto"/>
        <w:right w:val="none" w:sz="0" w:space="0" w:color="auto"/>
      </w:divBdr>
    </w:div>
    <w:div w:id="1862552291">
      <w:bodyDiv w:val="1"/>
      <w:marLeft w:val="0"/>
      <w:marRight w:val="0"/>
      <w:marTop w:val="0"/>
      <w:marBottom w:val="0"/>
      <w:divBdr>
        <w:top w:val="none" w:sz="0" w:space="0" w:color="auto"/>
        <w:left w:val="none" w:sz="0" w:space="0" w:color="auto"/>
        <w:bottom w:val="none" w:sz="0" w:space="0" w:color="auto"/>
        <w:right w:val="none" w:sz="0" w:space="0" w:color="auto"/>
      </w:divBdr>
    </w:div>
    <w:div w:id="1911845922">
      <w:bodyDiv w:val="1"/>
      <w:marLeft w:val="0"/>
      <w:marRight w:val="0"/>
      <w:marTop w:val="0"/>
      <w:marBottom w:val="0"/>
      <w:divBdr>
        <w:top w:val="none" w:sz="0" w:space="0" w:color="auto"/>
        <w:left w:val="none" w:sz="0" w:space="0" w:color="auto"/>
        <w:bottom w:val="none" w:sz="0" w:space="0" w:color="auto"/>
        <w:right w:val="none" w:sz="0" w:space="0" w:color="auto"/>
      </w:divBdr>
    </w:div>
    <w:div w:id="1931039305">
      <w:bodyDiv w:val="1"/>
      <w:marLeft w:val="0"/>
      <w:marRight w:val="0"/>
      <w:marTop w:val="0"/>
      <w:marBottom w:val="0"/>
      <w:divBdr>
        <w:top w:val="none" w:sz="0" w:space="0" w:color="auto"/>
        <w:left w:val="none" w:sz="0" w:space="0" w:color="auto"/>
        <w:bottom w:val="none" w:sz="0" w:space="0" w:color="auto"/>
        <w:right w:val="none" w:sz="0" w:space="0" w:color="auto"/>
      </w:divBdr>
    </w:div>
    <w:div w:id="1955359853">
      <w:bodyDiv w:val="1"/>
      <w:marLeft w:val="0"/>
      <w:marRight w:val="0"/>
      <w:marTop w:val="0"/>
      <w:marBottom w:val="0"/>
      <w:divBdr>
        <w:top w:val="none" w:sz="0" w:space="0" w:color="auto"/>
        <w:left w:val="none" w:sz="0" w:space="0" w:color="auto"/>
        <w:bottom w:val="none" w:sz="0" w:space="0" w:color="auto"/>
        <w:right w:val="none" w:sz="0" w:space="0" w:color="auto"/>
      </w:divBdr>
    </w:div>
    <w:div w:id="2041975585">
      <w:bodyDiv w:val="1"/>
      <w:marLeft w:val="0"/>
      <w:marRight w:val="0"/>
      <w:marTop w:val="0"/>
      <w:marBottom w:val="0"/>
      <w:divBdr>
        <w:top w:val="none" w:sz="0" w:space="0" w:color="auto"/>
        <w:left w:val="none" w:sz="0" w:space="0" w:color="auto"/>
        <w:bottom w:val="none" w:sz="0" w:space="0" w:color="auto"/>
        <w:right w:val="none" w:sz="0" w:space="0" w:color="auto"/>
      </w:divBdr>
    </w:div>
    <w:div w:id="2051146078">
      <w:bodyDiv w:val="1"/>
      <w:marLeft w:val="0"/>
      <w:marRight w:val="0"/>
      <w:marTop w:val="0"/>
      <w:marBottom w:val="0"/>
      <w:divBdr>
        <w:top w:val="none" w:sz="0" w:space="0" w:color="auto"/>
        <w:left w:val="none" w:sz="0" w:space="0" w:color="auto"/>
        <w:bottom w:val="none" w:sz="0" w:space="0" w:color="auto"/>
        <w:right w:val="none" w:sz="0" w:space="0" w:color="auto"/>
      </w:divBdr>
    </w:div>
    <w:div w:id="20987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5.png"/><Relationship Id="rId39" Type="http://schemas.openxmlformats.org/officeDocument/2006/relationships/hyperlink" Target="http://www.surgeons.org/for-health-professionals/audits-and-surgical-research/asernip-s/" TargetMode="External"/><Relationship Id="rId21" Type="http://schemas.openxmlformats.org/officeDocument/2006/relationships/image" Target="media/image1.tiff"/><Relationship Id="rId34" Type="http://schemas.openxmlformats.org/officeDocument/2006/relationships/image" Target="media/image7.tiff"/><Relationship Id="rId42" Type="http://schemas.openxmlformats.org/officeDocument/2006/relationships/hyperlink" Target="http://www.oeaw.ac.at/ita" TargetMode="External"/><Relationship Id="rId47" Type="http://schemas.openxmlformats.org/officeDocument/2006/relationships/hyperlink" Target="http://www.ryerson.ca/library/info/databases/cabot.html" TargetMode="External"/><Relationship Id="rId50" Type="http://schemas.openxmlformats.org/officeDocument/2006/relationships/hyperlink" Target="http://www.fhs.mcmaster.ca/hug/index.htm" TargetMode="External"/><Relationship Id="rId55" Type="http://schemas.openxmlformats.org/officeDocument/2006/relationships/hyperlink" Target="http://www.thl.fi/en_US/web/en/aboutus/organisation/units/technologies_and_practices_assessment" TargetMode="External"/><Relationship Id="rId63" Type="http://schemas.openxmlformats.org/officeDocument/2006/relationships/hyperlink" Target="http://www.juntadeandalucia.es/" TargetMode="External"/><Relationship Id="rId68" Type="http://schemas.openxmlformats.org/officeDocument/2006/relationships/hyperlink" Target="http://www.hta.ac.uk/" TargetMode="External"/><Relationship Id="rId76" Type="http://schemas.openxmlformats.org/officeDocument/2006/relationships/hyperlink" Target="http://egov.oregon.gov/DAS/OHPPR/HRC/about_us.shtml" TargetMode="External"/><Relationship Id="rId84" Type="http://schemas.openxmlformats.org/officeDocument/2006/relationships/hyperlink" Target="https://kirby.unsw.edu.au/sites/default/files/hiv/resources/ASR2014.pdf"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york.ac.uk/inst/crd/" TargetMode="Externa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image" Target="media/image4.tiff"/><Relationship Id="rId32" Type="http://schemas.openxmlformats.org/officeDocument/2006/relationships/image" Target="media/image6.tiff"/><Relationship Id="rId37" Type="http://schemas.openxmlformats.org/officeDocument/2006/relationships/image" Target="media/image10.tiff"/><Relationship Id="rId40" Type="http://schemas.openxmlformats.org/officeDocument/2006/relationships/hyperlink" Target="http://www.southernhealth.org.au/page/Health_Professionals/CCE/" TargetMode="External"/><Relationship Id="rId45" Type="http://schemas.openxmlformats.org/officeDocument/2006/relationships/hyperlink" Target="http://www.ihe.ca/" TargetMode="External"/><Relationship Id="rId53" Type="http://schemas.openxmlformats.org/officeDocument/2006/relationships/hyperlink" Target="http://www.sst.dk/english/dacehta" TargetMode="External"/><Relationship Id="rId58" Type="http://schemas.openxmlformats.org/officeDocument/2006/relationships/hyperlink" Target="http://www.iqwig.de/" TargetMode="External"/><Relationship Id="rId66" Type="http://schemas.openxmlformats.org/officeDocument/2006/relationships/hyperlink" Target="http://www.sbu.se/en/" TargetMode="External"/><Relationship Id="rId74" Type="http://schemas.openxmlformats.org/officeDocument/2006/relationships/hyperlink" Target="http://www.icsi.org/" TargetMode="External"/><Relationship Id="rId79" Type="http://schemas.openxmlformats.org/officeDocument/2006/relationships/hyperlink" Target="http://fas.org/ota" TargetMode="External"/><Relationship Id="rId87" Type="http://schemas.openxmlformats.org/officeDocument/2006/relationships/hyperlink" Target="http://testingportal.ashm.org.au/resources/2014_National_HIV_Testing_Policy_v1.pdf" TargetMode="External"/><Relationship Id="rId5" Type="http://schemas.openxmlformats.org/officeDocument/2006/relationships/settings" Target="settings.xml"/><Relationship Id="rId61" Type="http://schemas.openxmlformats.org/officeDocument/2006/relationships/hyperlink" Target="http://www.kunnskapssenteret.no/" TargetMode="External"/><Relationship Id="rId82" Type="http://schemas.openxmlformats.org/officeDocument/2006/relationships/hyperlink" Target="http://www.health.gov.au/internet/main/publishing.nsf/Content/cda-surveil-nndss-casedefs-cd_hivuns.htm" TargetMode="External"/><Relationship Id="rId90" Type="http://schemas.openxmlformats.org/officeDocument/2006/relationships/theme" Target="theme/theme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2.tiff"/><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image" Target="media/image8.tiff"/><Relationship Id="rId43" Type="http://schemas.openxmlformats.org/officeDocument/2006/relationships/hyperlink" Target="http://www.aetmis.gouv.qc.ca/site/home.phtml" TargetMode="External"/><Relationship Id="rId48" Type="http://schemas.openxmlformats.org/officeDocument/2006/relationships/hyperlink" Target="http://www.chepa.org/" TargetMode="External"/><Relationship Id="rId56" Type="http://schemas.openxmlformats.org/officeDocument/2006/relationships/hyperlink" Target="http://www.anaes.fr/" TargetMode="External"/><Relationship Id="rId64" Type="http://schemas.openxmlformats.org/officeDocument/2006/relationships/hyperlink" Target="http://www.gencat.cat/" TargetMode="External"/><Relationship Id="rId69" Type="http://schemas.openxmlformats.org/officeDocument/2006/relationships/hyperlink" Target="http://www.nhshealthquality.org/" TargetMode="External"/><Relationship Id="rId77" Type="http://schemas.openxmlformats.org/officeDocument/2006/relationships/hyperlink" Target="http://egov.oregon.gov/DAS/OHPPR/HRC/about_us.shtml" TargetMode="External"/><Relationship Id="rId8" Type="http://schemas.openxmlformats.org/officeDocument/2006/relationships/endnotes" Target="endnotes.xml"/><Relationship Id="rId51" Type="http://schemas.openxmlformats.org/officeDocument/2006/relationships/hyperlink" Target="http://www.ices.on.ca/" TargetMode="External"/><Relationship Id="rId72" Type="http://schemas.openxmlformats.org/officeDocument/2006/relationships/hyperlink" Target="http://www.ahrq.gov/clinic/techix.htm" TargetMode="External"/><Relationship Id="rId80" Type="http://schemas.openxmlformats.org/officeDocument/2006/relationships/hyperlink" Target="http://www.bcbs.com/blueresources/tec/" TargetMode="External"/><Relationship Id="rId85" Type="http://schemas.openxmlformats.org/officeDocument/2006/relationships/hyperlink" Target="http://kirby.unsw.edu.au/sites/default/files/hiv/resources/HIVASRsuppl2014_online.pdf"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hyperlink" Target="mailto:" TargetMode="External"/><Relationship Id="rId46" Type="http://schemas.openxmlformats.org/officeDocument/2006/relationships/hyperlink" Target="http://www.cadth.ca/index.php/en/" TargetMode="External"/><Relationship Id="rId59" Type="http://schemas.openxmlformats.org/officeDocument/2006/relationships/hyperlink" Target="http://www.gezondheidsraad.nl/en/" TargetMode="External"/><Relationship Id="rId67" Type="http://schemas.openxmlformats.org/officeDocument/2006/relationships/hyperlink" Target="http://www.snhta.ch/" TargetMode="External"/><Relationship Id="rId20" Type="http://schemas.openxmlformats.org/officeDocument/2006/relationships/header" Target="header7.xml"/><Relationship Id="rId41" Type="http://schemas.openxmlformats.org/officeDocument/2006/relationships/hyperlink" Target="http://www.buseco.monash.edu.au/centres/che/" TargetMode="External"/><Relationship Id="rId54" Type="http://schemas.openxmlformats.org/officeDocument/2006/relationships/hyperlink" Target="http://dsi.dk/" TargetMode="External"/><Relationship Id="rId62" Type="http://schemas.openxmlformats.org/officeDocument/2006/relationships/hyperlink" Target="http://www.isciii.es/" TargetMode="External"/><Relationship Id="rId70" Type="http://schemas.openxmlformats.org/officeDocument/2006/relationships/hyperlink" Target="http://www.nice.org.uk/" TargetMode="External"/><Relationship Id="rId75" Type="http://schemas.openxmlformats.org/officeDocument/2006/relationships/hyperlink" Target="http://www.nlm.nih.gov/hsrph.html" TargetMode="External"/><Relationship Id="rId83" Type="http://schemas.openxmlformats.org/officeDocument/2006/relationships/hyperlink" Target="http://www.ashm.org.au/pdfs/STIGMATestingGuidelines.pdf" TargetMode="External"/><Relationship Id="rId88" Type="http://schemas.openxmlformats.org/officeDocument/2006/relationships/hyperlink" Target="http://hivinsite.ucsf.edu/InSite?page=kb-00&amp;doc=kb-03-01-0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gif"/><Relationship Id="rId28" Type="http://schemas.openxmlformats.org/officeDocument/2006/relationships/header" Target="header9.xml"/><Relationship Id="rId36" Type="http://schemas.openxmlformats.org/officeDocument/2006/relationships/image" Target="media/image9.tiff"/><Relationship Id="rId49" Type="http://schemas.openxmlformats.org/officeDocument/2006/relationships/hyperlink" Target="http://www.chspr.ubc.ca/" TargetMode="External"/><Relationship Id="rId57" Type="http://schemas.openxmlformats.org/officeDocument/2006/relationships/hyperlink" Target="http://www.dimdi.de/static/en/index.html" TargetMode="External"/><Relationship Id="rId10" Type="http://schemas.openxmlformats.org/officeDocument/2006/relationships/footer" Target="footer2.xml"/><Relationship Id="rId31" Type="http://schemas.openxmlformats.org/officeDocument/2006/relationships/footer" Target="footer8.xml"/><Relationship Id="rId44" Type="http://schemas.openxmlformats.org/officeDocument/2006/relationships/hyperlink" Target="http://www.ahfmr.ab.ca/" TargetMode="External"/><Relationship Id="rId52" Type="http://schemas.openxmlformats.org/officeDocument/2006/relationships/hyperlink" Target="http://www.hqc.sk.ca/" TargetMode="External"/><Relationship Id="rId60" Type="http://schemas.openxmlformats.org/officeDocument/2006/relationships/hyperlink" Target="http://nzhta.chmeds.ac.nz/" TargetMode="External"/><Relationship Id="rId65" Type="http://schemas.openxmlformats.org/officeDocument/2006/relationships/hyperlink" Target="http://www.cmt.liu.se/?l=en&amp;sc=true" TargetMode="External"/><Relationship Id="rId73" Type="http://schemas.openxmlformats.org/officeDocument/2006/relationships/hyperlink" Target="http://www.icer-review.org/" TargetMode="External"/><Relationship Id="rId78" Type="http://schemas.openxmlformats.org/officeDocument/2006/relationships/hyperlink" Target="http://www.nlm.nih.gov/hsrph.html" TargetMode="External"/><Relationship Id="rId81" Type="http://schemas.openxmlformats.org/officeDocument/2006/relationships/hyperlink" Target="https://www.bcbsal.org/web/index.html" TargetMode="External"/><Relationship Id="rId86" Type="http://schemas.openxmlformats.org/officeDocument/2006/relationships/hyperlink" Target="http://www.msac.gov.au/internet/msac/publishing.nsf/Content/B3CE375EEE44BF59CA257CE70083490F/$File/1391-RapidPointOfCareHIVTest-RatifiedProtocol-accessibl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internet/main/publishing.nsf/Content/cda-surveil-nndss-casedefs-cd_hivu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A0E6-6B2B-48D3-B03C-B57E4F87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37255</Words>
  <Characters>226699</Characters>
  <Application>Microsoft Office Word</Application>
  <DocSecurity>0</DocSecurity>
  <Lines>1889</Lines>
  <Paragraphs>526</Paragraphs>
  <ScaleCrop>false</ScaleCrop>
  <HeadingPairs>
    <vt:vector size="2" baseType="variant">
      <vt:variant>
        <vt:lpstr>Title</vt:lpstr>
      </vt:variant>
      <vt:variant>
        <vt:i4>1</vt:i4>
      </vt:variant>
    </vt:vector>
  </HeadingPairs>
  <TitlesOfParts>
    <vt:vector size="1" baseType="lpstr">
      <vt:lpstr>1391 Assessment Report</vt:lpstr>
    </vt:vector>
  </TitlesOfParts>
  <LinksUpToDate>false</LinksUpToDate>
  <CharactersWithSpaces>263428</CharactersWithSpaces>
  <SharedDoc>false</SharedDoc>
  <HLinks>
    <vt:vector size="366" baseType="variant">
      <vt:variant>
        <vt:i4>4784166</vt:i4>
      </vt:variant>
      <vt:variant>
        <vt:i4>438</vt:i4>
      </vt:variant>
      <vt:variant>
        <vt:i4>0</vt:i4>
      </vt:variant>
      <vt:variant>
        <vt:i4>5</vt:i4>
      </vt:variant>
      <vt:variant>
        <vt:lpwstr>http://www.health.gov.au/internet/main/publishing.nsf/Content/cda-surveil-nndss-casedefs-cd_hivuns.htm</vt:lpwstr>
      </vt:variant>
      <vt:variant>
        <vt:lpwstr/>
      </vt:variant>
      <vt:variant>
        <vt:i4>1245236</vt:i4>
      </vt:variant>
      <vt:variant>
        <vt:i4>356</vt:i4>
      </vt:variant>
      <vt:variant>
        <vt:i4>0</vt:i4>
      </vt:variant>
      <vt:variant>
        <vt:i4>5</vt:i4>
      </vt:variant>
      <vt:variant>
        <vt:lpwstr/>
      </vt:variant>
      <vt:variant>
        <vt:lpwstr>_Toc204743604</vt:lpwstr>
      </vt:variant>
      <vt:variant>
        <vt:i4>1376313</vt:i4>
      </vt:variant>
      <vt:variant>
        <vt:i4>347</vt:i4>
      </vt:variant>
      <vt:variant>
        <vt:i4>0</vt:i4>
      </vt:variant>
      <vt:variant>
        <vt:i4>5</vt:i4>
      </vt:variant>
      <vt:variant>
        <vt:lpwstr/>
      </vt:variant>
      <vt:variant>
        <vt:lpwstr>_Toc209512356</vt:lpwstr>
      </vt:variant>
      <vt:variant>
        <vt:i4>1376313</vt:i4>
      </vt:variant>
      <vt:variant>
        <vt:i4>341</vt:i4>
      </vt:variant>
      <vt:variant>
        <vt:i4>0</vt:i4>
      </vt:variant>
      <vt:variant>
        <vt:i4>5</vt:i4>
      </vt:variant>
      <vt:variant>
        <vt:lpwstr/>
      </vt:variant>
      <vt:variant>
        <vt:lpwstr>_Toc209512355</vt:lpwstr>
      </vt:variant>
      <vt:variant>
        <vt:i4>1376313</vt:i4>
      </vt:variant>
      <vt:variant>
        <vt:i4>335</vt:i4>
      </vt:variant>
      <vt:variant>
        <vt:i4>0</vt:i4>
      </vt:variant>
      <vt:variant>
        <vt:i4>5</vt:i4>
      </vt:variant>
      <vt:variant>
        <vt:lpwstr/>
      </vt:variant>
      <vt:variant>
        <vt:lpwstr>_Toc209512354</vt:lpwstr>
      </vt:variant>
      <vt:variant>
        <vt:i4>1376313</vt:i4>
      </vt:variant>
      <vt:variant>
        <vt:i4>329</vt:i4>
      </vt:variant>
      <vt:variant>
        <vt:i4>0</vt:i4>
      </vt:variant>
      <vt:variant>
        <vt:i4>5</vt:i4>
      </vt:variant>
      <vt:variant>
        <vt:lpwstr/>
      </vt:variant>
      <vt:variant>
        <vt:lpwstr>_Toc209512353</vt:lpwstr>
      </vt:variant>
      <vt:variant>
        <vt:i4>1376313</vt:i4>
      </vt:variant>
      <vt:variant>
        <vt:i4>323</vt:i4>
      </vt:variant>
      <vt:variant>
        <vt:i4>0</vt:i4>
      </vt:variant>
      <vt:variant>
        <vt:i4>5</vt:i4>
      </vt:variant>
      <vt:variant>
        <vt:lpwstr/>
      </vt:variant>
      <vt:variant>
        <vt:lpwstr>_Toc209512352</vt:lpwstr>
      </vt:variant>
      <vt:variant>
        <vt:i4>1376313</vt:i4>
      </vt:variant>
      <vt:variant>
        <vt:i4>317</vt:i4>
      </vt:variant>
      <vt:variant>
        <vt:i4>0</vt:i4>
      </vt:variant>
      <vt:variant>
        <vt:i4>5</vt:i4>
      </vt:variant>
      <vt:variant>
        <vt:lpwstr/>
      </vt:variant>
      <vt:variant>
        <vt:lpwstr>_Toc209512351</vt:lpwstr>
      </vt:variant>
      <vt:variant>
        <vt:i4>1900596</vt:i4>
      </vt:variant>
      <vt:variant>
        <vt:i4>308</vt:i4>
      </vt:variant>
      <vt:variant>
        <vt:i4>0</vt:i4>
      </vt:variant>
      <vt:variant>
        <vt:i4>5</vt:i4>
      </vt:variant>
      <vt:variant>
        <vt:lpwstr/>
      </vt:variant>
      <vt:variant>
        <vt:lpwstr>_Toc236559551</vt:lpwstr>
      </vt:variant>
      <vt:variant>
        <vt:i4>1900596</vt:i4>
      </vt:variant>
      <vt:variant>
        <vt:i4>302</vt:i4>
      </vt:variant>
      <vt:variant>
        <vt:i4>0</vt:i4>
      </vt:variant>
      <vt:variant>
        <vt:i4>5</vt:i4>
      </vt:variant>
      <vt:variant>
        <vt:lpwstr/>
      </vt:variant>
      <vt:variant>
        <vt:lpwstr>_Toc236559550</vt:lpwstr>
      </vt:variant>
      <vt:variant>
        <vt:i4>1835060</vt:i4>
      </vt:variant>
      <vt:variant>
        <vt:i4>296</vt:i4>
      </vt:variant>
      <vt:variant>
        <vt:i4>0</vt:i4>
      </vt:variant>
      <vt:variant>
        <vt:i4>5</vt:i4>
      </vt:variant>
      <vt:variant>
        <vt:lpwstr/>
      </vt:variant>
      <vt:variant>
        <vt:lpwstr>_Toc236559549</vt:lpwstr>
      </vt:variant>
      <vt:variant>
        <vt:i4>1835060</vt:i4>
      </vt:variant>
      <vt:variant>
        <vt:i4>290</vt:i4>
      </vt:variant>
      <vt:variant>
        <vt:i4>0</vt:i4>
      </vt:variant>
      <vt:variant>
        <vt:i4>5</vt:i4>
      </vt:variant>
      <vt:variant>
        <vt:lpwstr/>
      </vt:variant>
      <vt:variant>
        <vt:lpwstr>_Toc236559548</vt:lpwstr>
      </vt:variant>
      <vt:variant>
        <vt:i4>1835060</vt:i4>
      </vt:variant>
      <vt:variant>
        <vt:i4>284</vt:i4>
      </vt:variant>
      <vt:variant>
        <vt:i4>0</vt:i4>
      </vt:variant>
      <vt:variant>
        <vt:i4>5</vt:i4>
      </vt:variant>
      <vt:variant>
        <vt:lpwstr/>
      </vt:variant>
      <vt:variant>
        <vt:lpwstr>_Toc236559547</vt:lpwstr>
      </vt:variant>
      <vt:variant>
        <vt:i4>1835060</vt:i4>
      </vt:variant>
      <vt:variant>
        <vt:i4>278</vt:i4>
      </vt:variant>
      <vt:variant>
        <vt:i4>0</vt:i4>
      </vt:variant>
      <vt:variant>
        <vt:i4>5</vt:i4>
      </vt:variant>
      <vt:variant>
        <vt:lpwstr/>
      </vt:variant>
      <vt:variant>
        <vt:lpwstr>_Toc236559546</vt:lpwstr>
      </vt:variant>
      <vt:variant>
        <vt:i4>1835060</vt:i4>
      </vt:variant>
      <vt:variant>
        <vt:i4>272</vt:i4>
      </vt:variant>
      <vt:variant>
        <vt:i4>0</vt:i4>
      </vt:variant>
      <vt:variant>
        <vt:i4>5</vt:i4>
      </vt:variant>
      <vt:variant>
        <vt:lpwstr/>
      </vt:variant>
      <vt:variant>
        <vt:lpwstr>_Toc236559545</vt:lpwstr>
      </vt:variant>
      <vt:variant>
        <vt:i4>1835060</vt:i4>
      </vt:variant>
      <vt:variant>
        <vt:i4>266</vt:i4>
      </vt:variant>
      <vt:variant>
        <vt:i4>0</vt:i4>
      </vt:variant>
      <vt:variant>
        <vt:i4>5</vt:i4>
      </vt:variant>
      <vt:variant>
        <vt:lpwstr/>
      </vt:variant>
      <vt:variant>
        <vt:lpwstr>_Toc236559544</vt:lpwstr>
      </vt:variant>
      <vt:variant>
        <vt:i4>1835060</vt:i4>
      </vt:variant>
      <vt:variant>
        <vt:i4>260</vt:i4>
      </vt:variant>
      <vt:variant>
        <vt:i4>0</vt:i4>
      </vt:variant>
      <vt:variant>
        <vt:i4>5</vt:i4>
      </vt:variant>
      <vt:variant>
        <vt:lpwstr/>
      </vt:variant>
      <vt:variant>
        <vt:lpwstr>_Toc236559543</vt:lpwstr>
      </vt:variant>
      <vt:variant>
        <vt:i4>1835060</vt:i4>
      </vt:variant>
      <vt:variant>
        <vt:i4>254</vt:i4>
      </vt:variant>
      <vt:variant>
        <vt:i4>0</vt:i4>
      </vt:variant>
      <vt:variant>
        <vt:i4>5</vt:i4>
      </vt:variant>
      <vt:variant>
        <vt:lpwstr/>
      </vt:variant>
      <vt:variant>
        <vt:lpwstr>_Toc236559542</vt:lpwstr>
      </vt:variant>
      <vt:variant>
        <vt:i4>1835060</vt:i4>
      </vt:variant>
      <vt:variant>
        <vt:i4>248</vt:i4>
      </vt:variant>
      <vt:variant>
        <vt:i4>0</vt:i4>
      </vt:variant>
      <vt:variant>
        <vt:i4>5</vt:i4>
      </vt:variant>
      <vt:variant>
        <vt:lpwstr/>
      </vt:variant>
      <vt:variant>
        <vt:lpwstr>_Toc236559541</vt:lpwstr>
      </vt:variant>
      <vt:variant>
        <vt:i4>1835060</vt:i4>
      </vt:variant>
      <vt:variant>
        <vt:i4>242</vt:i4>
      </vt:variant>
      <vt:variant>
        <vt:i4>0</vt:i4>
      </vt:variant>
      <vt:variant>
        <vt:i4>5</vt:i4>
      </vt:variant>
      <vt:variant>
        <vt:lpwstr/>
      </vt:variant>
      <vt:variant>
        <vt:lpwstr>_Toc236559540</vt:lpwstr>
      </vt:variant>
      <vt:variant>
        <vt:i4>1769524</vt:i4>
      </vt:variant>
      <vt:variant>
        <vt:i4>236</vt:i4>
      </vt:variant>
      <vt:variant>
        <vt:i4>0</vt:i4>
      </vt:variant>
      <vt:variant>
        <vt:i4>5</vt:i4>
      </vt:variant>
      <vt:variant>
        <vt:lpwstr/>
      </vt:variant>
      <vt:variant>
        <vt:lpwstr>_Toc236559539</vt:lpwstr>
      </vt:variant>
      <vt:variant>
        <vt:i4>1769524</vt:i4>
      </vt:variant>
      <vt:variant>
        <vt:i4>230</vt:i4>
      </vt:variant>
      <vt:variant>
        <vt:i4>0</vt:i4>
      </vt:variant>
      <vt:variant>
        <vt:i4>5</vt:i4>
      </vt:variant>
      <vt:variant>
        <vt:lpwstr/>
      </vt:variant>
      <vt:variant>
        <vt:lpwstr>_Toc236559538</vt:lpwstr>
      </vt:variant>
      <vt:variant>
        <vt:i4>1769524</vt:i4>
      </vt:variant>
      <vt:variant>
        <vt:i4>224</vt:i4>
      </vt:variant>
      <vt:variant>
        <vt:i4>0</vt:i4>
      </vt:variant>
      <vt:variant>
        <vt:i4>5</vt:i4>
      </vt:variant>
      <vt:variant>
        <vt:lpwstr/>
      </vt:variant>
      <vt:variant>
        <vt:lpwstr>_Toc236559537</vt:lpwstr>
      </vt:variant>
      <vt:variant>
        <vt:i4>1769524</vt:i4>
      </vt:variant>
      <vt:variant>
        <vt:i4>218</vt:i4>
      </vt:variant>
      <vt:variant>
        <vt:i4>0</vt:i4>
      </vt:variant>
      <vt:variant>
        <vt:i4>5</vt:i4>
      </vt:variant>
      <vt:variant>
        <vt:lpwstr/>
      </vt:variant>
      <vt:variant>
        <vt:lpwstr>_Toc236559536</vt:lpwstr>
      </vt:variant>
      <vt:variant>
        <vt:i4>1769524</vt:i4>
      </vt:variant>
      <vt:variant>
        <vt:i4>212</vt:i4>
      </vt:variant>
      <vt:variant>
        <vt:i4>0</vt:i4>
      </vt:variant>
      <vt:variant>
        <vt:i4>5</vt:i4>
      </vt:variant>
      <vt:variant>
        <vt:lpwstr/>
      </vt:variant>
      <vt:variant>
        <vt:lpwstr>_Toc236559535</vt:lpwstr>
      </vt:variant>
      <vt:variant>
        <vt:i4>1769524</vt:i4>
      </vt:variant>
      <vt:variant>
        <vt:i4>206</vt:i4>
      </vt:variant>
      <vt:variant>
        <vt:i4>0</vt:i4>
      </vt:variant>
      <vt:variant>
        <vt:i4>5</vt:i4>
      </vt:variant>
      <vt:variant>
        <vt:lpwstr/>
      </vt:variant>
      <vt:variant>
        <vt:lpwstr>_Toc236559534</vt:lpwstr>
      </vt:variant>
      <vt:variant>
        <vt:i4>1769524</vt:i4>
      </vt:variant>
      <vt:variant>
        <vt:i4>200</vt:i4>
      </vt:variant>
      <vt:variant>
        <vt:i4>0</vt:i4>
      </vt:variant>
      <vt:variant>
        <vt:i4>5</vt:i4>
      </vt:variant>
      <vt:variant>
        <vt:lpwstr/>
      </vt:variant>
      <vt:variant>
        <vt:lpwstr>_Toc236559533</vt:lpwstr>
      </vt:variant>
      <vt:variant>
        <vt:i4>1769524</vt:i4>
      </vt:variant>
      <vt:variant>
        <vt:i4>194</vt:i4>
      </vt:variant>
      <vt:variant>
        <vt:i4>0</vt:i4>
      </vt:variant>
      <vt:variant>
        <vt:i4>5</vt:i4>
      </vt:variant>
      <vt:variant>
        <vt:lpwstr/>
      </vt:variant>
      <vt:variant>
        <vt:lpwstr>_Toc236559532</vt:lpwstr>
      </vt:variant>
      <vt:variant>
        <vt:i4>1769524</vt:i4>
      </vt:variant>
      <vt:variant>
        <vt:i4>188</vt:i4>
      </vt:variant>
      <vt:variant>
        <vt:i4>0</vt:i4>
      </vt:variant>
      <vt:variant>
        <vt:i4>5</vt:i4>
      </vt:variant>
      <vt:variant>
        <vt:lpwstr/>
      </vt:variant>
      <vt:variant>
        <vt:lpwstr>_Toc236559531</vt:lpwstr>
      </vt:variant>
      <vt:variant>
        <vt:i4>1769524</vt:i4>
      </vt:variant>
      <vt:variant>
        <vt:i4>182</vt:i4>
      </vt:variant>
      <vt:variant>
        <vt:i4>0</vt:i4>
      </vt:variant>
      <vt:variant>
        <vt:i4>5</vt:i4>
      </vt:variant>
      <vt:variant>
        <vt:lpwstr/>
      </vt:variant>
      <vt:variant>
        <vt:lpwstr>_Toc236559530</vt:lpwstr>
      </vt:variant>
      <vt:variant>
        <vt:i4>1703988</vt:i4>
      </vt:variant>
      <vt:variant>
        <vt:i4>176</vt:i4>
      </vt:variant>
      <vt:variant>
        <vt:i4>0</vt:i4>
      </vt:variant>
      <vt:variant>
        <vt:i4>5</vt:i4>
      </vt:variant>
      <vt:variant>
        <vt:lpwstr/>
      </vt:variant>
      <vt:variant>
        <vt:lpwstr>_Toc236559529</vt:lpwstr>
      </vt:variant>
      <vt:variant>
        <vt:i4>1703988</vt:i4>
      </vt:variant>
      <vt:variant>
        <vt:i4>170</vt:i4>
      </vt:variant>
      <vt:variant>
        <vt:i4>0</vt:i4>
      </vt:variant>
      <vt:variant>
        <vt:i4>5</vt:i4>
      </vt:variant>
      <vt:variant>
        <vt:lpwstr/>
      </vt:variant>
      <vt:variant>
        <vt:lpwstr>_Toc236559528</vt:lpwstr>
      </vt:variant>
      <vt:variant>
        <vt:i4>1703988</vt:i4>
      </vt:variant>
      <vt:variant>
        <vt:i4>164</vt:i4>
      </vt:variant>
      <vt:variant>
        <vt:i4>0</vt:i4>
      </vt:variant>
      <vt:variant>
        <vt:i4>5</vt:i4>
      </vt:variant>
      <vt:variant>
        <vt:lpwstr/>
      </vt:variant>
      <vt:variant>
        <vt:lpwstr>_Toc236559527</vt:lpwstr>
      </vt:variant>
      <vt:variant>
        <vt:i4>1703988</vt:i4>
      </vt:variant>
      <vt:variant>
        <vt:i4>158</vt:i4>
      </vt:variant>
      <vt:variant>
        <vt:i4>0</vt:i4>
      </vt:variant>
      <vt:variant>
        <vt:i4>5</vt:i4>
      </vt:variant>
      <vt:variant>
        <vt:lpwstr/>
      </vt:variant>
      <vt:variant>
        <vt:lpwstr>_Toc236559526</vt:lpwstr>
      </vt:variant>
      <vt:variant>
        <vt:i4>1703988</vt:i4>
      </vt:variant>
      <vt:variant>
        <vt:i4>152</vt:i4>
      </vt:variant>
      <vt:variant>
        <vt:i4>0</vt:i4>
      </vt:variant>
      <vt:variant>
        <vt:i4>5</vt:i4>
      </vt:variant>
      <vt:variant>
        <vt:lpwstr/>
      </vt:variant>
      <vt:variant>
        <vt:lpwstr>_Toc236559525</vt:lpwstr>
      </vt:variant>
      <vt:variant>
        <vt:i4>1703988</vt:i4>
      </vt:variant>
      <vt:variant>
        <vt:i4>146</vt:i4>
      </vt:variant>
      <vt:variant>
        <vt:i4>0</vt:i4>
      </vt:variant>
      <vt:variant>
        <vt:i4>5</vt:i4>
      </vt:variant>
      <vt:variant>
        <vt:lpwstr/>
      </vt:variant>
      <vt:variant>
        <vt:lpwstr>_Toc236559524</vt:lpwstr>
      </vt:variant>
      <vt:variant>
        <vt:i4>1703988</vt:i4>
      </vt:variant>
      <vt:variant>
        <vt:i4>140</vt:i4>
      </vt:variant>
      <vt:variant>
        <vt:i4>0</vt:i4>
      </vt:variant>
      <vt:variant>
        <vt:i4>5</vt:i4>
      </vt:variant>
      <vt:variant>
        <vt:lpwstr/>
      </vt:variant>
      <vt:variant>
        <vt:lpwstr>_Toc236559523</vt:lpwstr>
      </vt:variant>
      <vt:variant>
        <vt:i4>1703988</vt:i4>
      </vt:variant>
      <vt:variant>
        <vt:i4>134</vt:i4>
      </vt:variant>
      <vt:variant>
        <vt:i4>0</vt:i4>
      </vt:variant>
      <vt:variant>
        <vt:i4>5</vt:i4>
      </vt:variant>
      <vt:variant>
        <vt:lpwstr/>
      </vt:variant>
      <vt:variant>
        <vt:lpwstr>_Toc236559522</vt:lpwstr>
      </vt:variant>
      <vt:variant>
        <vt:i4>1703988</vt:i4>
      </vt:variant>
      <vt:variant>
        <vt:i4>128</vt:i4>
      </vt:variant>
      <vt:variant>
        <vt:i4>0</vt:i4>
      </vt:variant>
      <vt:variant>
        <vt:i4>5</vt:i4>
      </vt:variant>
      <vt:variant>
        <vt:lpwstr/>
      </vt:variant>
      <vt:variant>
        <vt:lpwstr>_Toc236559521</vt:lpwstr>
      </vt:variant>
      <vt:variant>
        <vt:i4>1703988</vt:i4>
      </vt:variant>
      <vt:variant>
        <vt:i4>122</vt:i4>
      </vt:variant>
      <vt:variant>
        <vt:i4>0</vt:i4>
      </vt:variant>
      <vt:variant>
        <vt:i4>5</vt:i4>
      </vt:variant>
      <vt:variant>
        <vt:lpwstr/>
      </vt:variant>
      <vt:variant>
        <vt:lpwstr>_Toc236559520</vt:lpwstr>
      </vt:variant>
      <vt:variant>
        <vt:i4>1638452</vt:i4>
      </vt:variant>
      <vt:variant>
        <vt:i4>116</vt:i4>
      </vt:variant>
      <vt:variant>
        <vt:i4>0</vt:i4>
      </vt:variant>
      <vt:variant>
        <vt:i4>5</vt:i4>
      </vt:variant>
      <vt:variant>
        <vt:lpwstr/>
      </vt:variant>
      <vt:variant>
        <vt:lpwstr>_Toc236559519</vt:lpwstr>
      </vt:variant>
      <vt:variant>
        <vt:i4>1638452</vt:i4>
      </vt:variant>
      <vt:variant>
        <vt:i4>110</vt:i4>
      </vt:variant>
      <vt:variant>
        <vt:i4>0</vt:i4>
      </vt:variant>
      <vt:variant>
        <vt:i4>5</vt:i4>
      </vt:variant>
      <vt:variant>
        <vt:lpwstr/>
      </vt:variant>
      <vt:variant>
        <vt:lpwstr>_Toc236559518</vt:lpwstr>
      </vt:variant>
      <vt:variant>
        <vt:i4>1638452</vt:i4>
      </vt:variant>
      <vt:variant>
        <vt:i4>104</vt:i4>
      </vt:variant>
      <vt:variant>
        <vt:i4>0</vt:i4>
      </vt:variant>
      <vt:variant>
        <vt:i4>5</vt:i4>
      </vt:variant>
      <vt:variant>
        <vt:lpwstr/>
      </vt:variant>
      <vt:variant>
        <vt:lpwstr>_Toc236559517</vt:lpwstr>
      </vt:variant>
      <vt:variant>
        <vt:i4>1638452</vt:i4>
      </vt:variant>
      <vt:variant>
        <vt:i4>98</vt:i4>
      </vt:variant>
      <vt:variant>
        <vt:i4>0</vt:i4>
      </vt:variant>
      <vt:variant>
        <vt:i4>5</vt:i4>
      </vt:variant>
      <vt:variant>
        <vt:lpwstr/>
      </vt:variant>
      <vt:variant>
        <vt:lpwstr>_Toc236559516</vt:lpwstr>
      </vt:variant>
      <vt:variant>
        <vt:i4>1638452</vt:i4>
      </vt:variant>
      <vt:variant>
        <vt:i4>92</vt:i4>
      </vt:variant>
      <vt:variant>
        <vt:i4>0</vt:i4>
      </vt:variant>
      <vt:variant>
        <vt:i4>5</vt:i4>
      </vt:variant>
      <vt:variant>
        <vt:lpwstr/>
      </vt:variant>
      <vt:variant>
        <vt:lpwstr>_Toc236559515</vt:lpwstr>
      </vt:variant>
      <vt:variant>
        <vt:i4>1638452</vt:i4>
      </vt:variant>
      <vt:variant>
        <vt:i4>86</vt:i4>
      </vt:variant>
      <vt:variant>
        <vt:i4>0</vt:i4>
      </vt:variant>
      <vt:variant>
        <vt:i4>5</vt:i4>
      </vt:variant>
      <vt:variant>
        <vt:lpwstr/>
      </vt:variant>
      <vt:variant>
        <vt:lpwstr>_Toc236559514</vt:lpwstr>
      </vt:variant>
      <vt:variant>
        <vt:i4>1638452</vt:i4>
      </vt:variant>
      <vt:variant>
        <vt:i4>80</vt:i4>
      </vt:variant>
      <vt:variant>
        <vt:i4>0</vt:i4>
      </vt:variant>
      <vt:variant>
        <vt:i4>5</vt:i4>
      </vt:variant>
      <vt:variant>
        <vt:lpwstr/>
      </vt:variant>
      <vt:variant>
        <vt:lpwstr>_Toc236559513</vt:lpwstr>
      </vt:variant>
      <vt:variant>
        <vt:i4>1638452</vt:i4>
      </vt:variant>
      <vt:variant>
        <vt:i4>74</vt:i4>
      </vt:variant>
      <vt:variant>
        <vt:i4>0</vt:i4>
      </vt:variant>
      <vt:variant>
        <vt:i4>5</vt:i4>
      </vt:variant>
      <vt:variant>
        <vt:lpwstr/>
      </vt:variant>
      <vt:variant>
        <vt:lpwstr>_Toc236559512</vt:lpwstr>
      </vt:variant>
      <vt:variant>
        <vt:i4>1638452</vt:i4>
      </vt:variant>
      <vt:variant>
        <vt:i4>68</vt:i4>
      </vt:variant>
      <vt:variant>
        <vt:i4>0</vt:i4>
      </vt:variant>
      <vt:variant>
        <vt:i4>5</vt:i4>
      </vt:variant>
      <vt:variant>
        <vt:lpwstr/>
      </vt:variant>
      <vt:variant>
        <vt:lpwstr>_Toc236559511</vt:lpwstr>
      </vt:variant>
      <vt:variant>
        <vt:i4>1638452</vt:i4>
      </vt:variant>
      <vt:variant>
        <vt:i4>62</vt:i4>
      </vt:variant>
      <vt:variant>
        <vt:i4>0</vt:i4>
      </vt:variant>
      <vt:variant>
        <vt:i4>5</vt:i4>
      </vt:variant>
      <vt:variant>
        <vt:lpwstr/>
      </vt:variant>
      <vt:variant>
        <vt:lpwstr>_Toc236559510</vt:lpwstr>
      </vt:variant>
      <vt:variant>
        <vt:i4>1572916</vt:i4>
      </vt:variant>
      <vt:variant>
        <vt:i4>56</vt:i4>
      </vt:variant>
      <vt:variant>
        <vt:i4>0</vt:i4>
      </vt:variant>
      <vt:variant>
        <vt:i4>5</vt:i4>
      </vt:variant>
      <vt:variant>
        <vt:lpwstr/>
      </vt:variant>
      <vt:variant>
        <vt:lpwstr>_Toc236559509</vt:lpwstr>
      </vt:variant>
      <vt:variant>
        <vt:i4>1572916</vt:i4>
      </vt:variant>
      <vt:variant>
        <vt:i4>50</vt:i4>
      </vt:variant>
      <vt:variant>
        <vt:i4>0</vt:i4>
      </vt:variant>
      <vt:variant>
        <vt:i4>5</vt:i4>
      </vt:variant>
      <vt:variant>
        <vt:lpwstr/>
      </vt:variant>
      <vt:variant>
        <vt:lpwstr>_Toc236559508</vt:lpwstr>
      </vt:variant>
      <vt:variant>
        <vt:i4>1572916</vt:i4>
      </vt:variant>
      <vt:variant>
        <vt:i4>44</vt:i4>
      </vt:variant>
      <vt:variant>
        <vt:i4>0</vt:i4>
      </vt:variant>
      <vt:variant>
        <vt:i4>5</vt:i4>
      </vt:variant>
      <vt:variant>
        <vt:lpwstr/>
      </vt:variant>
      <vt:variant>
        <vt:lpwstr>_Toc236559507</vt:lpwstr>
      </vt:variant>
      <vt:variant>
        <vt:i4>1572916</vt:i4>
      </vt:variant>
      <vt:variant>
        <vt:i4>38</vt:i4>
      </vt:variant>
      <vt:variant>
        <vt:i4>0</vt:i4>
      </vt:variant>
      <vt:variant>
        <vt:i4>5</vt:i4>
      </vt:variant>
      <vt:variant>
        <vt:lpwstr/>
      </vt:variant>
      <vt:variant>
        <vt:lpwstr>_Toc236559506</vt:lpwstr>
      </vt:variant>
      <vt:variant>
        <vt:i4>1572916</vt:i4>
      </vt:variant>
      <vt:variant>
        <vt:i4>32</vt:i4>
      </vt:variant>
      <vt:variant>
        <vt:i4>0</vt:i4>
      </vt:variant>
      <vt:variant>
        <vt:i4>5</vt:i4>
      </vt:variant>
      <vt:variant>
        <vt:lpwstr/>
      </vt:variant>
      <vt:variant>
        <vt:lpwstr>_Toc236559505</vt:lpwstr>
      </vt:variant>
      <vt:variant>
        <vt:i4>1572916</vt:i4>
      </vt:variant>
      <vt:variant>
        <vt:i4>26</vt:i4>
      </vt:variant>
      <vt:variant>
        <vt:i4>0</vt:i4>
      </vt:variant>
      <vt:variant>
        <vt:i4>5</vt:i4>
      </vt:variant>
      <vt:variant>
        <vt:lpwstr/>
      </vt:variant>
      <vt:variant>
        <vt:lpwstr>_Toc236559504</vt:lpwstr>
      </vt:variant>
      <vt:variant>
        <vt:i4>1572916</vt:i4>
      </vt:variant>
      <vt:variant>
        <vt:i4>20</vt:i4>
      </vt:variant>
      <vt:variant>
        <vt:i4>0</vt:i4>
      </vt:variant>
      <vt:variant>
        <vt:i4>5</vt:i4>
      </vt:variant>
      <vt:variant>
        <vt:lpwstr/>
      </vt:variant>
      <vt:variant>
        <vt:lpwstr>_Toc236559503</vt:lpwstr>
      </vt:variant>
      <vt:variant>
        <vt:i4>1572916</vt:i4>
      </vt:variant>
      <vt:variant>
        <vt:i4>14</vt:i4>
      </vt:variant>
      <vt:variant>
        <vt:i4>0</vt:i4>
      </vt:variant>
      <vt:variant>
        <vt:i4>5</vt:i4>
      </vt:variant>
      <vt:variant>
        <vt:lpwstr/>
      </vt:variant>
      <vt:variant>
        <vt:lpwstr>_Toc236559502</vt:lpwstr>
      </vt:variant>
      <vt:variant>
        <vt:i4>1572916</vt:i4>
      </vt:variant>
      <vt:variant>
        <vt:i4>8</vt:i4>
      </vt:variant>
      <vt:variant>
        <vt:i4>0</vt:i4>
      </vt:variant>
      <vt:variant>
        <vt:i4>5</vt:i4>
      </vt:variant>
      <vt:variant>
        <vt:lpwstr/>
      </vt:variant>
      <vt:variant>
        <vt:lpwstr>_Toc236559501</vt:lpwstr>
      </vt:variant>
      <vt:variant>
        <vt:i4>5373963</vt:i4>
      </vt:variant>
      <vt:variant>
        <vt:i4>3</vt:i4>
      </vt:variant>
      <vt:variant>
        <vt:i4>0</vt:i4>
      </vt:variant>
      <vt:variant>
        <vt:i4>5</vt:i4>
      </vt:variant>
      <vt:variant>
        <vt:lpwstr>http://www.ag.gov.au/cca</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1391 Assessment Report</dc:title>
  <dc:creator/>
  <cp:lastModifiedBy/>
  <cp:revision>1</cp:revision>
  <dcterms:created xsi:type="dcterms:W3CDTF">2016-09-28T05:43:00Z</dcterms:created>
  <dcterms:modified xsi:type="dcterms:W3CDTF">2016-10-06T00:31:00Z</dcterms:modified>
</cp:coreProperties>
</file>