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364" w:rsidRPr="00707064" w:rsidRDefault="00C67DD2" w:rsidP="00065623">
      <w:pPr>
        <w:jc w:val="center"/>
        <w:rPr>
          <w:b/>
          <w:i/>
          <w:szCs w:val="24"/>
          <w:highlight w:val="yellow"/>
        </w:rPr>
      </w:pPr>
      <w:r>
        <w:rPr>
          <w:rFonts w:ascii="Arial" w:hAnsi="Arial" w:cs="Arial"/>
          <w:b/>
          <w:noProof/>
          <w:color w:val="000080"/>
          <w:sz w:val="28"/>
          <w:szCs w:val="28"/>
        </w:rPr>
        <w:drawing>
          <wp:inline distT="0" distB="0" distL="0" distR="0" wp14:anchorId="64953572" wp14:editId="4B30441C">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rsidR="00C67DD2" w:rsidRPr="008D5885" w:rsidRDefault="00C67DD2" w:rsidP="008D5885"/>
    <w:p w:rsidR="00BC1364" w:rsidRPr="00A12136" w:rsidRDefault="00BF479B" w:rsidP="00A12136">
      <w:pPr>
        <w:pStyle w:val="Title"/>
      </w:pPr>
      <w:bookmarkStart w:id="0" w:name="_GoBack"/>
      <w:r w:rsidRPr="00A12136">
        <w:t>Public Summary Document</w:t>
      </w:r>
    </w:p>
    <w:bookmarkEnd w:id="0"/>
    <w:p w:rsidR="00BC1364" w:rsidRPr="00A12136" w:rsidRDefault="00BC1364" w:rsidP="00A12136">
      <w:pPr>
        <w:pStyle w:val="SubHeading"/>
      </w:pPr>
      <w:r w:rsidRPr="007B32D1">
        <w:t xml:space="preserve">Application No. </w:t>
      </w:r>
      <w:r w:rsidR="00AF3416">
        <w:t xml:space="preserve">1391 </w:t>
      </w:r>
      <w:r w:rsidR="00AF3416" w:rsidRPr="007B32D1">
        <w:t xml:space="preserve">– </w:t>
      </w:r>
      <w:r w:rsidR="00AF3416" w:rsidRPr="006B3695">
        <w:t>Rapid point</w:t>
      </w:r>
      <w:r w:rsidR="00AF3416">
        <w:t>-</w:t>
      </w:r>
      <w:r w:rsidR="00AF3416" w:rsidRPr="006B3695">
        <w:t>of</w:t>
      </w:r>
      <w:r w:rsidR="00AF3416">
        <w:t>-</w:t>
      </w:r>
      <w:r w:rsidR="00AF3416" w:rsidRPr="006B3695">
        <w:t>care combined Antigen/Antibody HIV test to aid in the diagnosis of HIV infection</w:t>
      </w:r>
    </w:p>
    <w:p w:rsidR="00BC1364" w:rsidRPr="00A12136" w:rsidRDefault="00B35595" w:rsidP="00A12136">
      <w:pPr>
        <w:tabs>
          <w:tab w:val="left" w:pos="3686"/>
        </w:tabs>
        <w:rPr>
          <w:rFonts w:ascii="Arial" w:hAnsi="Arial" w:cs="Arial"/>
          <w:b/>
          <w:szCs w:val="24"/>
        </w:rPr>
      </w:pPr>
      <w:r>
        <w:rPr>
          <w:rFonts w:ascii="Arial" w:hAnsi="Arial" w:cs="Arial"/>
          <w:b/>
          <w:szCs w:val="24"/>
        </w:rPr>
        <w:t>Applicant</w:t>
      </w:r>
      <w:r w:rsidR="00BC1364" w:rsidRPr="00D90A38">
        <w:rPr>
          <w:rFonts w:ascii="Arial" w:hAnsi="Arial" w:cs="Arial"/>
          <w:b/>
          <w:szCs w:val="24"/>
        </w:rPr>
        <w:t>:</w:t>
      </w:r>
      <w:r w:rsidR="005F1E45" w:rsidRPr="00D90A38" w:rsidDel="005F1E45">
        <w:rPr>
          <w:rFonts w:ascii="Arial" w:hAnsi="Arial" w:cs="Arial"/>
          <w:b/>
          <w:szCs w:val="24"/>
        </w:rPr>
        <w:t xml:space="preserve"> </w:t>
      </w:r>
      <w:r w:rsidR="005F1E45">
        <w:rPr>
          <w:rFonts w:ascii="Arial" w:hAnsi="Arial" w:cs="Arial"/>
          <w:b/>
          <w:szCs w:val="24"/>
        </w:rPr>
        <w:tab/>
      </w:r>
      <w:r w:rsidR="00AF3416" w:rsidRPr="008769BC">
        <w:rPr>
          <w:rFonts w:ascii="Arial" w:hAnsi="Arial" w:cs="Arial"/>
          <w:b/>
          <w:szCs w:val="24"/>
        </w:rPr>
        <w:t xml:space="preserve">ANZPI, </w:t>
      </w:r>
      <w:proofErr w:type="spellStart"/>
      <w:r w:rsidR="00AF3416" w:rsidRPr="008769BC">
        <w:rPr>
          <w:rFonts w:ascii="Arial" w:hAnsi="Arial" w:cs="Arial"/>
          <w:b/>
          <w:szCs w:val="24"/>
        </w:rPr>
        <w:t>Alere</w:t>
      </w:r>
      <w:proofErr w:type="spellEnd"/>
      <w:r w:rsidR="00AF3416" w:rsidRPr="008769BC">
        <w:rPr>
          <w:rFonts w:ascii="Arial" w:hAnsi="Arial" w:cs="Arial"/>
          <w:b/>
          <w:szCs w:val="24"/>
        </w:rPr>
        <w:t xml:space="preserve"> Pty Ltd</w:t>
      </w:r>
    </w:p>
    <w:p w:rsidR="00BC1364" w:rsidRPr="00A12136" w:rsidRDefault="00BC1364" w:rsidP="00A12136">
      <w:pPr>
        <w:tabs>
          <w:tab w:val="left" w:pos="3686"/>
        </w:tabs>
        <w:rPr>
          <w:rFonts w:ascii="Arial" w:hAnsi="Arial" w:cs="Arial"/>
          <w:b/>
          <w:szCs w:val="24"/>
        </w:rPr>
      </w:pPr>
      <w:r w:rsidRPr="00D90A38">
        <w:rPr>
          <w:rFonts w:ascii="Arial" w:hAnsi="Arial" w:cs="Arial"/>
          <w:b/>
          <w:szCs w:val="24"/>
        </w:rPr>
        <w:t>Date of MSAC consideration:</w:t>
      </w:r>
      <w:r w:rsidRPr="00D90A38">
        <w:rPr>
          <w:rFonts w:ascii="Arial" w:hAnsi="Arial" w:cs="Arial"/>
          <w:b/>
          <w:szCs w:val="24"/>
        </w:rPr>
        <w:tab/>
      </w:r>
      <w:r w:rsidR="00C67DD2" w:rsidRPr="00D90A38">
        <w:rPr>
          <w:rFonts w:ascii="Arial" w:hAnsi="Arial" w:cs="Arial"/>
          <w:b/>
          <w:szCs w:val="24"/>
        </w:rPr>
        <w:t xml:space="preserve">MSAC </w:t>
      </w:r>
      <w:r w:rsidR="00AF3416">
        <w:rPr>
          <w:rFonts w:ascii="Arial" w:hAnsi="Arial" w:cs="Arial"/>
          <w:b/>
          <w:szCs w:val="24"/>
        </w:rPr>
        <w:t>64</w:t>
      </w:r>
      <w:r w:rsidR="00AF3416" w:rsidRPr="00AF3416">
        <w:rPr>
          <w:rFonts w:ascii="Arial" w:hAnsi="Arial" w:cs="Arial"/>
          <w:b/>
          <w:szCs w:val="24"/>
          <w:vertAlign w:val="superscript"/>
        </w:rPr>
        <w:t>th</w:t>
      </w:r>
      <w:r w:rsidR="00AF3416">
        <w:rPr>
          <w:rFonts w:ascii="Arial" w:hAnsi="Arial" w:cs="Arial"/>
          <w:b/>
          <w:szCs w:val="24"/>
        </w:rPr>
        <w:t xml:space="preserve"> </w:t>
      </w:r>
      <w:r w:rsidRPr="00D90A38">
        <w:rPr>
          <w:rFonts w:ascii="Arial" w:hAnsi="Arial" w:cs="Arial"/>
          <w:b/>
          <w:szCs w:val="24"/>
        </w:rPr>
        <w:t xml:space="preserve">Meeting, </w:t>
      </w:r>
      <w:r w:rsidR="00AF3416">
        <w:rPr>
          <w:rFonts w:ascii="Arial" w:hAnsi="Arial" w:cs="Arial"/>
          <w:b/>
          <w:szCs w:val="24"/>
        </w:rPr>
        <w:t>30-31 July 2015</w:t>
      </w:r>
    </w:p>
    <w:p w:rsidR="00F41812" w:rsidRDefault="006A0D97" w:rsidP="00065623">
      <w:pPr>
        <w:rPr>
          <w:szCs w:val="24"/>
        </w:rPr>
      </w:pPr>
      <w:r>
        <w:rPr>
          <w:szCs w:val="24"/>
        </w:rPr>
        <w:t xml:space="preserve">Context for decision: MSAC makes its advice in accordance with its Terms of Reference, see at </w:t>
      </w:r>
      <w:hyperlink r:id="rId9" w:tooltip="Link to MSAC website" w:history="1">
        <w:r w:rsidRPr="000A74FE">
          <w:rPr>
            <w:rStyle w:val="Hyperlink"/>
            <w:szCs w:val="24"/>
          </w:rPr>
          <w:t>www.msac.gov.au</w:t>
        </w:r>
      </w:hyperlink>
      <w:r w:rsidR="005F1E45">
        <w:rPr>
          <w:rStyle w:val="Hyperlink"/>
          <w:szCs w:val="24"/>
        </w:rPr>
        <w:t>.</w:t>
      </w:r>
    </w:p>
    <w:p w:rsidR="003D7F29" w:rsidRPr="00A12136" w:rsidRDefault="003D7F29" w:rsidP="00A12136">
      <w:pPr>
        <w:pStyle w:val="Heading1"/>
        <w:numPr>
          <w:ilvl w:val="0"/>
          <w:numId w:val="23"/>
        </w:numPr>
        <w:ind w:hanging="720"/>
      </w:pPr>
      <w:r w:rsidRPr="00D90A38">
        <w:t>Purpose of application</w:t>
      </w:r>
      <w:r w:rsidR="00822C7E">
        <w:t xml:space="preserve"> and links to other applications</w:t>
      </w:r>
    </w:p>
    <w:p w:rsidR="003D7F29" w:rsidRPr="00A12136" w:rsidRDefault="001608FF" w:rsidP="003D7F29">
      <w:r>
        <w:t>An a</w:t>
      </w:r>
      <w:r w:rsidR="00EA3D59">
        <w:t xml:space="preserve">pplication was submitted by </w:t>
      </w:r>
      <w:r w:rsidR="00EA3D59" w:rsidRPr="0015008C">
        <w:t>Inverness Medical Innovations Australia Pty Ltd</w:t>
      </w:r>
      <w:r w:rsidR="00EA3D59">
        <w:t xml:space="preserve"> for MBS listing of a rapid point-of-care combined Antigen/Antibody test for diagnosis of human immunodeficiency virus (</w:t>
      </w:r>
      <w:r w:rsidR="00EA3D59" w:rsidRPr="000D445C">
        <w:t>HIV</w:t>
      </w:r>
      <w:r w:rsidR="00EA3D59">
        <w:t>) infection for use in GP and sexual health clinics. The test for HIV infection is intended to be used in individuals where a</w:t>
      </w:r>
      <w:r>
        <w:t>n</w:t>
      </w:r>
      <w:r w:rsidR="00EA3D59">
        <w:t xml:space="preserve"> HIV test is indicated and in those who are at high-risk of HIV infection.</w:t>
      </w:r>
      <w:r w:rsidR="009361B4">
        <w:t xml:space="preserve"> </w:t>
      </w:r>
      <w:r w:rsidR="009361B4">
        <w:rPr>
          <w:szCs w:val="24"/>
        </w:rPr>
        <w:t>The evidence for assessment of this application was submitted in May 2015.</w:t>
      </w:r>
    </w:p>
    <w:p w:rsidR="00E977EE" w:rsidRPr="00804DA4" w:rsidRDefault="00E977EE" w:rsidP="00804DA4">
      <w:pPr>
        <w:pStyle w:val="Heading1"/>
        <w:numPr>
          <w:ilvl w:val="0"/>
          <w:numId w:val="23"/>
        </w:numPr>
        <w:ind w:hanging="720"/>
      </w:pPr>
      <w:r w:rsidRPr="008D5885">
        <w:t>MSAC’s advice to the Minister</w:t>
      </w:r>
    </w:p>
    <w:p w:rsidR="00E977EE" w:rsidRPr="00A12136" w:rsidRDefault="007E7F69" w:rsidP="00A12136">
      <w:r>
        <w:t>After considering the available evidence presented in relation to safety, clinical effectiveness and cost-effectiveness of the rapid point</w:t>
      </w:r>
      <w:r w:rsidR="00BC1E9F">
        <w:t>-</w:t>
      </w:r>
      <w:r>
        <w:t>of</w:t>
      </w:r>
      <w:r w:rsidR="00BC1E9F">
        <w:t>-</w:t>
      </w:r>
      <w:r>
        <w:t xml:space="preserve">care combined antigen/antibody HIV test, </w:t>
      </w:r>
      <w:r w:rsidRPr="006E369E">
        <w:t xml:space="preserve">MSAC </w:t>
      </w:r>
      <w:r>
        <w:t xml:space="preserve">did not support public funding </w:t>
      </w:r>
      <w:r w:rsidRPr="006E369E">
        <w:t>because of un</w:t>
      </w:r>
      <w:r>
        <w:t xml:space="preserve">certain clinical effectiveness and </w:t>
      </w:r>
      <w:r w:rsidRPr="006E369E">
        <w:t>cost</w:t>
      </w:r>
      <w:r>
        <w:noBreakHyphen/>
      </w:r>
      <w:r w:rsidRPr="006E369E">
        <w:t>effectiveness</w:t>
      </w:r>
      <w:r>
        <w:t xml:space="preserve">. MSAC considered it was particularly unclear whether the necessary </w:t>
      </w:r>
      <w:r w:rsidRPr="002A61D8">
        <w:t>behaviour</w:t>
      </w:r>
      <w:r>
        <w:t>s</w:t>
      </w:r>
      <w:r w:rsidRPr="002A61D8">
        <w:t xml:space="preserve"> </w:t>
      </w:r>
      <w:r>
        <w:t>would change</w:t>
      </w:r>
      <w:r w:rsidRPr="002A61D8">
        <w:t xml:space="preserve"> (in the direction claimed)</w:t>
      </w:r>
      <w:r>
        <w:t xml:space="preserve"> across the spectrum of prevalence, and thus whether health</w:t>
      </w:r>
      <w:r w:rsidRPr="002A61D8">
        <w:t xml:space="preserve"> outcomes </w:t>
      </w:r>
      <w:r>
        <w:t>would be improved.</w:t>
      </w:r>
    </w:p>
    <w:p w:rsidR="00550354" w:rsidRPr="00A12136" w:rsidRDefault="00550354" w:rsidP="00550354">
      <w:pPr>
        <w:pStyle w:val="Heading1"/>
        <w:numPr>
          <w:ilvl w:val="0"/>
          <w:numId w:val="23"/>
        </w:numPr>
        <w:ind w:hanging="720"/>
      </w:pPr>
      <w:r w:rsidRPr="008D5885">
        <w:t>Summary of consideration and rationale for MSAC’s advice</w:t>
      </w:r>
      <w:r w:rsidRPr="00707064">
        <w:t xml:space="preserve"> </w:t>
      </w:r>
    </w:p>
    <w:p w:rsidR="00274FE3" w:rsidRDefault="006B0207" w:rsidP="00274FE3">
      <w:pPr>
        <w:rPr>
          <w:rFonts w:ascii="Tahoma" w:hAnsi="Tahoma" w:cs="Tahoma"/>
          <w:color w:val="000000"/>
          <w:sz w:val="20"/>
        </w:rPr>
      </w:pPr>
      <w:r w:rsidRPr="00322A46">
        <w:rPr>
          <w:iCs/>
        </w:rPr>
        <w:t xml:space="preserve">MSAC noted that the intended role for the rapid point-of-care testing </w:t>
      </w:r>
      <w:r>
        <w:rPr>
          <w:iCs/>
        </w:rPr>
        <w:t>was</w:t>
      </w:r>
      <w:r w:rsidRPr="00322A46">
        <w:rPr>
          <w:iCs/>
        </w:rPr>
        <w:t xml:space="preserve"> to increase HIV testing overall in the high-risk population and lead to earlier diagnoses for individuals who tend to delay testing</w:t>
      </w:r>
      <w:r>
        <w:rPr>
          <w:iCs/>
        </w:rPr>
        <w:t xml:space="preserve"> or have never been tested</w:t>
      </w:r>
      <w:r w:rsidRPr="00322A46">
        <w:rPr>
          <w:iCs/>
        </w:rPr>
        <w:t>.</w:t>
      </w:r>
      <w:r w:rsidRPr="00293E84">
        <w:t xml:space="preserve"> </w:t>
      </w:r>
      <w:r w:rsidR="00274FE3">
        <w:rPr>
          <w:color w:val="000000"/>
          <w:szCs w:val="24"/>
        </w:rPr>
        <w:t>However, MSAC noted that wide-spread use of the test in a low prevalence setting would not accrue any of the benefits of point</w:t>
      </w:r>
      <w:r w:rsidR="00F7571D">
        <w:rPr>
          <w:color w:val="000000"/>
          <w:szCs w:val="24"/>
        </w:rPr>
        <w:t>-</w:t>
      </w:r>
      <w:r w:rsidR="00274FE3">
        <w:rPr>
          <w:color w:val="000000"/>
          <w:szCs w:val="24"/>
        </w:rPr>
        <w:t>of</w:t>
      </w:r>
      <w:r w:rsidR="00F7571D">
        <w:rPr>
          <w:color w:val="000000"/>
          <w:szCs w:val="24"/>
        </w:rPr>
        <w:t>-</w:t>
      </w:r>
      <w:r w:rsidR="00274FE3">
        <w:rPr>
          <w:color w:val="000000"/>
          <w:szCs w:val="24"/>
        </w:rPr>
        <w:t>care testing for this population of high-risk individuals who otherwise would not have had the serology test, noting also that the number of these individuals having serology testing would vary across this population.</w:t>
      </w:r>
    </w:p>
    <w:p w:rsidR="006B0207" w:rsidRDefault="006B0207" w:rsidP="006B0207">
      <w:r w:rsidRPr="0067409F">
        <w:lastRenderedPageBreak/>
        <w:t xml:space="preserve">MSAC advised that an indication for a high risk, high prevalence population </w:t>
      </w:r>
      <w:r>
        <w:t xml:space="preserve">such as men who have sex with men (MSM) </w:t>
      </w:r>
      <w:r w:rsidRPr="00293E84">
        <w:t>may be more clinically</w:t>
      </w:r>
      <w:r w:rsidR="00C62D64">
        <w:t>-</w:t>
      </w:r>
      <w:r w:rsidRPr="00293E84">
        <w:t xml:space="preserve"> and cost</w:t>
      </w:r>
      <w:r w:rsidR="00C62D64">
        <w:t>-</w:t>
      </w:r>
      <w:r w:rsidRPr="00293E84">
        <w:t>effective</w:t>
      </w:r>
      <w:r w:rsidRPr="0067409F">
        <w:t xml:space="preserve">. </w:t>
      </w:r>
    </w:p>
    <w:p w:rsidR="006B0207" w:rsidRDefault="006B0207" w:rsidP="006B0207">
      <w:r>
        <w:t>MSAC considered the safety, efficacy and cost-effectiveness for HIV point</w:t>
      </w:r>
      <w:r w:rsidR="00F7571D">
        <w:t>-</w:t>
      </w:r>
      <w:r>
        <w:t>of</w:t>
      </w:r>
      <w:r w:rsidR="00F7571D">
        <w:t>-</w:t>
      </w:r>
      <w:r>
        <w:t>care tests in high risk patients where a HIV test is indicated compared to standard laboratory-based serology HIV testing. MSAC noted that standard laboratory-based testing is also required following a positive result on the point</w:t>
      </w:r>
      <w:r w:rsidR="00BC1E9F">
        <w:t>-</w:t>
      </w:r>
      <w:r>
        <w:t>of</w:t>
      </w:r>
      <w:r w:rsidR="00BC1E9F">
        <w:t>-</w:t>
      </w:r>
      <w:r>
        <w:t xml:space="preserve">care test. </w:t>
      </w:r>
    </w:p>
    <w:p w:rsidR="006B0207" w:rsidRDefault="006B0207" w:rsidP="006B0207">
      <w:r>
        <w:t>MSAC considered there were no real safety issues in regards to the point</w:t>
      </w:r>
      <w:r w:rsidR="00BC1E9F">
        <w:t>-</w:t>
      </w:r>
      <w:r>
        <w:t>of</w:t>
      </w:r>
      <w:r w:rsidR="00BC1E9F">
        <w:t>-</w:t>
      </w:r>
      <w:r>
        <w:t>care test procedure. A meta-analysis of two Australian studies showed that the point</w:t>
      </w:r>
      <w:r w:rsidR="00BC1E9F">
        <w:t>-</w:t>
      </w:r>
      <w:r>
        <w:t>of</w:t>
      </w:r>
      <w:r w:rsidR="00BC1E9F">
        <w:t>-</w:t>
      </w:r>
      <w:r>
        <w:t>care test had a sensitivity of 87.8% and a specificity of 99.4% compared to laboratory-based testing. MSAC was concerned that the lower specificity and sensitivity of the point</w:t>
      </w:r>
      <w:r w:rsidR="00BC1E9F">
        <w:t>-</w:t>
      </w:r>
      <w:r>
        <w:t>of</w:t>
      </w:r>
      <w:r w:rsidR="00BC1E9F">
        <w:t>-</w:t>
      </w:r>
      <w:r>
        <w:t xml:space="preserve">care tests compared to laboratory-based testing could result in more false positives with associated anxiety until confirmed </w:t>
      </w:r>
      <w:r w:rsidR="00C62D64">
        <w:t>(</w:t>
      </w:r>
      <w:r>
        <w:t>or not</w:t>
      </w:r>
      <w:r w:rsidR="00C62D64">
        <w:t>)</w:t>
      </w:r>
      <w:r>
        <w:t xml:space="preserve"> by serology HIV testing, and more false negatives with associated harms of undiagnosed HIV infection and the potential for infecting others. MSAC also noted that the point</w:t>
      </w:r>
      <w:r w:rsidR="00BC1E9F">
        <w:t>-</w:t>
      </w:r>
      <w:r>
        <w:t>of</w:t>
      </w:r>
      <w:r w:rsidR="00BC1E9F">
        <w:t>-</w:t>
      </w:r>
      <w:r>
        <w:t>care test returns a higher rate of false negatives in the early stages of infection. MSAC noted the pre-MSAC response which stated that the risk in early infections could be mitigated by current clinical practice for HIV serology to be routinely performed whenever a rapid HIV test is performed.</w:t>
      </w:r>
    </w:p>
    <w:p w:rsidR="006B0207" w:rsidRDefault="006B0207" w:rsidP="006B0207">
      <w:r>
        <w:t>MSAC noted that the randomised trial presenting impact</w:t>
      </w:r>
      <w:r w:rsidR="00C62D64">
        <w:t>s</w:t>
      </w:r>
      <w:r>
        <w:t xml:space="preserve"> on patient management indicated that for the primary outcome of HIV tests over 18 months, there was no statistically significant difference between the rapid point</w:t>
      </w:r>
      <w:r w:rsidR="00BC1E9F">
        <w:t>-</w:t>
      </w:r>
      <w:r>
        <w:t>of</w:t>
      </w:r>
      <w:r w:rsidR="00BC1E9F">
        <w:t>-</w:t>
      </w:r>
      <w:r>
        <w:t>care test and conventional HIV testing. An initial increase in the</w:t>
      </w:r>
      <w:r w:rsidRPr="002730FA">
        <w:t xml:space="preserve"> rate of testing </w:t>
      </w:r>
      <w:r>
        <w:t>with point</w:t>
      </w:r>
      <w:r w:rsidR="00BC1E9F">
        <w:t>-</w:t>
      </w:r>
      <w:r>
        <w:t>of</w:t>
      </w:r>
      <w:r w:rsidR="00BC1E9F">
        <w:t>-</w:t>
      </w:r>
      <w:r>
        <w:t xml:space="preserve">care tests </w:t>
      </w:r>
      <w:r w:rsidRPr="002730FA">
        <w:t>was not sustained</w:t>
      </w:r>
      <w:r>
        <w:t xml:space="preserve"> and did not result in a higher test volume over 18 months. However, MSAC also noted the results of a patient satisfaction questionnaire which showed that one in five men would not have been tested if the point</w:t>
      </w:r>
      <w:r w:rsidR="00C62D64">
        <w:t>-</w:t>
      </w:r>
      <w:r>
        <w:t>of</w:t>
      </w:r>
      <w:r w:rsidR="00C62D64">
        <w:t>-</w:t>
      </w:r>
      <w:r>
        <w:t xml:space="preserve">care test was not available. </w:t>
      </w:r>
    </w:p>
    <w:p w:rsidR="006B0207" w:rsidRDefault="006B0207" w:rsidP="006B0207">
      <w:r>
        <w:t>MSAC noted that current practice for laboratory-based serology HIV testing also includes testing for other sexually transmitted infections. MSAC considered that the use of the point</w:t>
      </w:r>
      <w:r w:rsidR="00C62D64">
        <w:t>-</w:t>
      </w:r>
      <w:r>
        <w:t>of</w:t>
      </w:r>
      <w:r w:rsidR="00C62D64">
        <w:t>-</w:t>
      </w:r>
      <w:r>
        <w:t>care test may reduce testing for these other infections</w:t>
      </w:r>
      <w:r w:rsidR="00C62D64">
        <w:t>,</w:t>
      </w:r>
      <w:r>
        <w:t xml:space="preserve"> because of the need for blood to be taken for testing</w:t>
      </w:r>
      <w:r w:rsidR="00C62D64">
        <w:t xml:space="preserve"> for other STIs</w:t>
      </w:r>
      <w:r>
        <w:t>.</w:t>
      </w:r>
    </w:p>
    <w:p w:rsidR="006B0207" w:rsidRDefault="006B0207" w:rsidP="006B0207">
      <w:r>
        <w:t>Overall, it was unclear to MSAC whether the availability of point</w:t>
      </w:r>
      <w:r w:rsidR="00BC1E9F">
        <w:t>-</w:t>
      </w:r>
      <w:r>
        <w:t>of</w:t>
      </w:r>
      <w:r w:rsidR="00BC1E9F">
        <w:t>-</w:t>
      </w:r>
      <w:r>
        <w:t>care testing in Australia would change testing behaviour across the spectrum of prevalence.</w:t>
      </w:r>
    </w:p>
    <w:p w:rsidR="006B0207" w:rsidRDefault="006B0207" w:rsidP="006B0207">
      <w:r>
        <w:t>MSAC noted that the point</w:t>
      </w:r>
      <w:r w:rsidR="003B7075">
        <w:t>-</w:t>
      </w:r>
      <w:r>
        <w:t>of</w:t>
      </w:r>
      <w:r w:rsidR="00F7571D">
        <w:t>-</w:t>
      </w:r>
      <w:r>
        <w:t>care test is not a replacement for laboratory-based serology investigation</w:t>
      </w:r>
      <w:r w:rsidR="00C62D64">
        <w:t>,</w:t>
      </w:r>
      <w:r>
        <w:t xml:space="preserve"> but </w:t>
      </w:r>
      <w:r w:rsidR="00C62D64">
        <w:t xml:space="preserve">rather </w:t>
      </w:r>
      <w:r>
        <w:t>an additional component of the diagnostic pathway. The base case economic model predicted that 10 fewer cases of HIV will be detected via screening with the point</w:t>
      </w:r>
      <w:r w:rsidR="00F7571D">
        <w:t>-</w:t>
      </w:r>
      <w:r>
        <w:t>of</w:t>
      </w:r>
      <w:r w:rsidR="00F7571D">
        <w:t>-</w:t>
      </w:r>
      <w:r>
        <w:t xml:space="preserve">care test compared to laboratory serology testing at an incremental cost of $941,454. This analysis was sensitive to the assumption that availability of the test would mean a greater proportion of </w:t>
      </w:r>
      <w:r w:rsidR="0017104C">
        <w:t>MSM</w:t>
      </w:r>
      <w:r>
        <w:t xml:space="preserve"> will be tested. </w:t>
      </w:r>
    </w:p>
    <w:p w:rsidR="006B0207" w:rsidRDefault="006B0207" w:rsidP="006B0207">
      <w:r>
        <w:t>MSAC were unclear what the uptake of the point</w:t>
      </w:r>
      <w:r w:rsidR="00BC1E9F">
        <w:t>-</w:t>
      </w:r>
      <w:r>
        <w:t>of</w:t>
      </w:r>
      <w:r w:rsidR="00BC1E9F">
        <w:t>-</w:t>
      </w:r>
      <w:r>
        <w:t>care tests would be, therefore considered that the financial and budgetary impacts were highly uncertain.</w:t>
      </w:r>
    </w:p>
    <w:p w:rsidR="00550354" w:rsidRPr="00A12136" w:rsidRDefault="006B0207" w:rsidP="00550354">
      <w:r>
        <w:t>MSAC noted the letter from the Kirby Institute discussing the falling numbers of men who have MSM who have been tested</w:t>
      </w:r>
      <w:r w:rsidR="0017104C">
        <w:t>,</w:t>
      </w:r>
      <w:r>
        <w:t xml:space="preserve"> and the fact that only half of individuals from high </w:t>
      </w:r>
      <w:r w:rsidR="00E568A6">
        <w:t>prevalence</w:t>
      </w:r>
      <w:r>
        <w:t xml:space="preserve"> countries have been tested. They also noted evidence of a strong preference for point</w:t>
      </w:r>
      <w:r w:rsidR="0017104C">
        <w:t>-</w:t>
      </w:r>
      <w:r>
        <w:t>of</w:t>
      </w:r>
      <w:r w:rsidR="0017104C">
        <w:t>-</w:t>
      </w:r>
      <w:r>
        <w:t xml:space="preserve">care testing. However, MSAC considered that the evidence presented in the application did not strongly support these points. </w:t>
      </w:r>
    </w:p>
    <w:p w:rsidR="00BC1364" w:rsidRPr="00A12136" w:rsidRDefault="00BC1364" w:rsidP="00DD2858">
      <w:pPr>
        <w:pStyle w:val="Heading1"/>
        <w:numPr>
          <w:ilvl w:val="0"/>
          <w:numId w:val="23"/>
        </w:numPr>
        <w:ind w:hanging="720"/>
      </w:pPr>
      <w:r w:rsidRPr="00D90A38">
        <w:lastRenderedPageBreak/>
        <w:t>Background</w:t>
      </w:r>
    </w:p>
    <w:p w:rsidR="005936D1" w:rsidRDefault="00EA3D59" w:rsidP="00A155BB">
      <w:r>
        <w:t>This application has not been previously considered by MSAC</w:t>
      </w:r>
      <w:r w:rsidR="005936D1">
        <w:t>.</w:t>
      </w:r>
    </w:p>
    <w:p w:rsidR="00A155BB" w:rsidRDefault="005E54EB" w:rsidP="009F3350">
      <w:pPr>
        <w:rPr>
          <w:bCs/>
        </w:rPr>
      </w:pPr>
      <w:r>
        <w:rPr>
          <w:bCs/>
        </w:rPr>
        <w:t>R</w:t>
      </w:r>
      <w:r w:rsidR="00A155BB" w:rsidRPr="00AF4C8D">
        <w:rPr>
          <w:bCs/>
        </w:rPr>
        <w:t>apid point-of-care testing is currently offered in a number of clinics Australia wide</w:t>
      </w:r>
      <w:r w:rsidR="006E607F">
        <w:rPr>
          <w:bCs/>
        </w:rPr>
        <w:t xml:space="preserve">. </w:t>
      </w:r>
      <w:r w:rsidR="00A155BB" w:rsidRPr="00BF559E">
        <w:rPr>
          <w:bCs/>
        </w:rPr>
        <w:t>Funding arrangements for rapid point-of-care HIV testing exist in some States and Territories</w:t>
      </w:r>
      <w:r w:rsidR="00A155BB">
        <w:rPr>
          <w:bCs/>
        </w:rPr>
        <w:t>, f</w:t>
      </w:r>
      <w:r w:rsidR="00A155BB" w:rsidRPr="00BF559E">
        <w:rPr>
          <w:bCs/>
        </w:rPr>
        <w:t>or example, the Queensla</w:t>
      </w:r>
      <w:r w:rsidR="00A155BB">
        <w:rPr>
          <w:bCs/>
        </w:rPr>
        <w:t>nd G</w:t>
      </w:r>
      <w:r w:rsidR="00A155BB" w:rsidRPr="00BF559E">
        <w:rPr>
          <w:bCs/>
        </w:rPr>
        <w:t xml:space="preserve">overnment provides rapid point-of-care HIV tests for free under the Community HIV Education </w:t>
      </w:r>
      <w:r w:rsidR="006E607F">
        <w:rPr>
          <w:bCs/>
        </w:rPr>
        <w:t xml:space="preserve">and Prevention (CHEP) program. </w:t>
      </w:r>
      <w:r w:rsidR="00A155BB" w:rsidRPr="00BF559E">
        <w:rPr>
          <w:bCs/>
        </w:rPr>
        <w:t xml:space="preserve">The Victorian PRONTO! Clinics also offer the test for free, in partnership with the Victorian AIDS Council and the Burnet </w:t>
      </w:r>
      <w:r w:rsidR="0017104C">
        <w:rPr>
          <w:bCs/>
        </w:rPr>
        <w:t>I</w:t>
      </w:r>
      <w:r w:rsidR="00A155BB" w:rsidRPr="00BF559E">
        <w:rPr>
          <w:bCs/>
        </w:rPr>
        <w:t>nstitute.</w:t>
      </w:r>
    </w:p>
    <w:p w:rsidR="00A155BB" w:rsidRPr="009F3350" w:rsidRDefault="00A155BB" w:rsidP="00A155BB">
      <w:pPr>
        <w:rPr>
          <w:bCs/>
        </w:rPr>
      </w:pPr>
      <w:r>
        <w:rPr>
          <w:bCs/>
        </w:rPr>
        <w:t>The applicant stated that i</w:t>
      </w:r>
      <w:r w:rsidRPr="00BF559E">
        <w:rPr>
          <w:bCs/>
        </w:rPr>
        <w:t>n clinics where no external funding arrangement exists</w:t>
      </w:r>
      <w:r>
        <w:rPr>
          <w:bCs/>
        </w:rPr>
        <w:t xml:space="preserve">, patients </w:t>
      </w:r>
      <w:r w:rsidRPr="00BF559E">
        <w:rPr>
          <w:bCs/>
        </w:rPr>
        <w:t>being tested currently pay for the test privately</w:t>
      </w:r>
      <w:r w:rsidR="006E607F">
        <w:rPr>
          <w:bCs/>
        </w:rPr>
        <w:t xml:space="preserve">. </w:t>
      </w:r>
      <w:r w:rsidR="005E54EB">
        <w:rPr>
          <w:bCs/>
        </w:rPr>
        <w:t>One clinic reported</w:t>
      </w:r>
      <w:r w:rsidRPr="00AF4C8D">
        <w:rPr>
          <w:bCs/>
        </w:rPr>
        <w:t xml:space="preserve"> </w:t>
      </w:r>
      <w:r w:rsidR="0017104C">
        <w:rPr>
          <w:bCs/>
        </w:rPr>
        <w:t xml:space="preserve">that </w:t>
      </w:r>
      <w:r w:rsidRPr="00AF4C8D">
        <w:rPr>
          <w:bCs/>
        </w:rPr>
        <w:t>the cost associated with the test</w:t>
      </w:r>
      <w:r w:rsidR="0017104C">
        <w:rPr>
          <w:bCs/>
        </w:rPr>
        <w:t xml:space="preserve"> is</w:t>
      </w:r>
      <w:r w:rsidRPr="00AF4C8D">
        <w:rPr>
          <w:bCs/>
        </w:rPr>
        <w:t xml:space="preserve"> $25 (for cost recovery).</w:t>
      </w:r>
      <w:r w:rsidR="006E607F">
        <w:rPr>
          <w:bCs/>
        </w:rPr>
        <w:t xml:space="preserve"> </w:t>
      </w:r>
      <w:r>
        <w:rPr>
          <w:bCs/>
        </w:rPr>
        <w:t>It is presumed that the funding arrangements in place for rapid point-of-care testing apply to all individuals who undergo the test (</w:t>
      </w:r>
      <w:proofErr w:type="spellStart"/>
      <w:r>
        <w:rPr>
          <w:bCs/>
        </w:rPr>
        <w:t>ie</w:t>
      </w:r>
      <w:proofErr w:type="spellEnd"/>
      <w:r>
        <w:rPr>
          <w:bCs/>
        </w:rPr>
        <w:t xml:space="preserve">. that </w:t>
      </w:r>
      <w:r w:rsidR="0017104C">
        <w:rPr>
          <w:bCs/>
        </w:rPr>
        <w:t xml:space="preserve">it </w:t>
      </w:r>
      <w:r>
        <w:rPr>
          <w:bCs/>
        </w:rPr>
        <w:t xml:space="preserve">is not only applicable to high-risk individuals). </w:t>
      </w:r>
    </w:p>
    <w:p w:rsidR="00BC1364" w:rsidRPr="009F3350" w:rsidRDefault="00BC1364" w:rsidP="009F3350">
      <w:pPr>
        <w:pStyle w:val="Heading1"/>
        <w:numPr>
          <w:ilvl w:val="0"/>
          <w:numId w:val="23"/>
        </w:numPr>
        <w:ind w:hanging="720"/>
      </w:pPr>
      <w:r w:rsidRPr="00D90A38">
        <w:t>Prerequisites to implementation of any funding advice</w:t>
      </w:r>
    </w:p>
    <w:p w:rsidR="006E607F" w:rsidRPr="006E607F" w:rsidRDefault="00EA3D59" w:rsidP="006E607F">
      <w:r>
        <w:t>The</w:t>
      </w:r>
      <w:r w:rsidR="0073102D">
        <w:t xml:space="preserve"> applicant’s</w:t>
      </w:r>
      <w:r>
        <w:t xml:space="preserve"> rapid test which detects both HIV antigen and antibodies to HIV </w:t>
      </w:r>
      <w:r w:rsidR="001608FF">
        <w:t xml:space="preserve">is </w:t>
      </w:r>
      <w:r>
        <w:t xml:space="preserve">currently approved by the TGA for point-of-care use by medical professionals trained in its use and interpretation of results in Australia. </w:t>
      </w:r>
      <w:r w:rsidR="0017104C">
        <w:t>The TGA has placed clear restrictions on the use of this test.</w:t>
      </w:r>
    </w:p>
    <w:p w:rsidR="00BC1364" w:rsidRPr="009F3350" w:rsidRDefault="00BC1364" w:rsidP="009F3350">
      <w:pPr>
        <w:pStyle w:val="Heading1"/>
        <w:numPr>
          <w:ilvl w:val="0"/>
          <w:numId w:val="23"/>
        </w:numPr>
        <w:ind w:hanging="720"/>
      </w:pPr>
      <w:r w:rsidRPr="007B32D1">
        <w:t>Proposal for public funding</w:t>
      </w:r>
    </w:p>
    <w:p w:rsidR="00EA3D59" w:rsidRDefault="00EA3D59" w:rsidP="009F3350">
      <w:pPr>
        <w:rPr>
          <w:bCs/>
        </w:rPr>
      </w:pPr>
      <w:r>
        <w:rPr>
          <w:bCs/>
        </w:rPr>
        <w:t>The proposed item descriptor by the a</w:t>
      </w:r>
      <w:r w:rsidRPr="003B4FC7">
        <w:rPr>
          <w:bCs/>
        </w:rPr>
        <w:t>pplicant</w:t>
      </w:r>
      <w:r>
        <w:rPr>
          <w:bCs/>
        </w:rPr>
        <w:t xml:space="preserve"> for </w:t>
      </w:r>
      <w:r>
        <w:t>rapid point-of-care testing for HIV is as follows:</w:t>
      </w:r>
    </w:p>
    <w:p w:rsidR="00EA3D59" w:rsidRDefault="00EA3D59" w:rsidP="00EA3D59">
      <w:pPr>
        <w:pStyle w:val="Caption"/>
        <w:ind w:left="0" w:firstLine="0"/>
      </w:pPr>
      <w:bookmarkStart w:id="1" w:name="_Toc418224990"/>
      <w:bookmarkStart w:id="2" w:name="_Toc418225635"/>
      <w:r>
        <w:t>Table 1</w:t>
      </w:r>
      <w:r>
        <w:tab/>
        <w:t>Proposed MBS item descriptor for rapid point-of-care testing for HIV</w:t>
      </w:r>
      <w:bookmarkEnd w:id="1"/>
      <w:bookmarkEnd w:id="2"/>
    </w:p>
    <w:tbl>
      <w:tblPr>
        <w:tblStyle w:val="TableGrid"/>
        <w:tblW w:w="0" w:type="auto"/>
        <w:tblLook w:val="04A0" w:firstRow="1" w:lastRow="0" w:firstColumn="1" w:lastColumn="0" w:noHBand="0" w:noVBand="1"/>
        <w:tblDescription w:val="Table 1 - Proposed MBS item descriptor for rapid point of care testing for HIV. Category 6 Pathology Group P9 Simple Basic Pathology Tests"/>
      </w:tblPr>
      <w:tblGrid>
        <w:gridCol w:w="8522"/>
      </w:tblGrid>
      <w:tr w:rsidR="00342B81" w:rsidRPr="00342B81" w:rsidTr="002905EE">
        <w:trPr>
          <w:trHeight w:val="373"/>
          <w:tblHeader/>
        </w:trPr>
        <w:tc>
          <w:tcPr>
            <w:tcW w:w="8522" w:type="dxa"/>
            <w:vAlign w:val="center"/>
          </w:tcPr>
          <w:p w:rsidR="00342B81" w:rsidRPr="00342B81" w:rsidRDefault="00342B81" w:rsidP="00342B81">
            <w:pPr>
              <w:rPr>
                <w:spacing w:val="5"/>
                <w:sz w:val="20"/>
                <w:lang w:eastAsia="en-US"/>
              </w:rPr>
            </w:pPr>
            <w:r w:rsidRPr="00342B81">
              <w:rPr>
                <w:rFonts w:ascii="Arial Narrow" w:hAnsi="Arial Narrow" w:cs="Arial"/>
                <w:b/>
                <w:spacing w:val="5"/>
                <w:sz w:val="20"/>
                <w:lang w:eastAsia="en-US"/>
              </w:rPr>
              <w:t>Category 6 - Pathology</w:t>
            </w:r>
            <w:r w:rsidRPr="00342B81">
              <w:rPr>
                <w:rFonts w:ascii="Arial Narrow" w:hAnsi="Arial Narrow" w:cs="Arial"/>
                <w:b/>
                <w:spacing w:val="5"/>
                <w:sz w:val="20"/>
                <w:lang w:eastAsia="en-US"/>
              </w:rPr>
              <w:tab/>
            </w:r>
            <w:r w:rsidRPr="00342B81">
              <w:rPr>
                <w:rFonts w:ascii="Arial Narrow" w:hAnsi="Arial Narrow" w:cs="Arial"/>
                <w:b/>
                <w:spacing w:val="5"/>
                <w:sz w:val="20"/>
                <w:lang w:eastAsia="en-US"/>
              </w:rPr>
              <w:tab/>
            </w:r>
            <w:r w:rsidRPr="00342B81">
              <w:rPr>
                <w:rFonts w:ascii="Arial Narrow" w:hAnsi="Arial Narrow" w:cs="Arial"/>
                <w:b/>
                <w:spacing w:val="5"/>
                <w:sz w:val="20"/>
                <w:lang w:eastAsia="en-US"/>
              </w:rPr>
              <w:tab/>
              <w:t>Group P9 – Simple Basic Pathology Tests</w:t>
            </w:r>
          </w:p>
        </w:tc>
      </w:tr>
      <w:tr w:rsidR="00342B81" w:rsidRPr="00342B81" w:rsidTr="00012FFA">
        <w:tc>
          <w:tcPr>
            <w:tcW w:w="8522" w:type="dxa"/>
          </w:tcPr>
          <w:p w:rsidR="00342B81" w:rsidRPr="00342B81" w:rsidRDefault="00342B81" w:rsidP="00342B81">
            <w:pPr>
              <w:rPr>
                <w:rFonts w:ascii="Arial Narrow" w:hAnsi="Arial Narrow" w:cs="Arial"/>
                <w:spacing w:val="5"/>
                <w:sz w:val="20"/>
                <w:lang w:eastAsia="en-US"/>
              </w:rPr>
            </w:pPr>
            <w:r w:rsidRPr="00342B81">
              <w:rPr>
                <w:spacing w:val="5"/>
                <w:sz w:val="20"/>
                <w:lang w:eastAsia="en-US"/>
              </w:rPr>
              <w:t xml:space="preserve">MBS </w:t>
            </w:r>
            <w:r w:rsidRPr="00342B81">
              <w:rPr>
                <w:rFonts w:ascii="Arial Narrow" w:hAnsi="Arial Narrow" w:cs="Arial"/>
                <w:spacing w:val="5"/>
                <w:sz w:val="20"/>
                <w:lang w:eastAsia="en-US"/>
              </w:rPr>
              <w:t>[item number]</w:t>
            </w:r>
          </w:p>
          <w:p w:rsidR="00342B81" w:rsidRPr="00342B81" w:rsidRDefault="00342B81" w:rsidP="00A65036">
            <w:pPr>
              <w:rPr>
                <w:rFonts w:ascii="Arial Narrow" w:hAnsi="Arial Narrow" w:cs="Arial"/>
                <w:spacing w:val="5"/>
                <w:sz w:val="20"/>
                <w:lang w:eastAsia="en-US"/>
              </w:rPr>
            </w:pPr>
            <w:r w:rsidRPr="00342B81">
              <w:rPr>
                <w:rFonts w:ascii="Arial Narrow" w:hAnsi="Arial Narrow" w:cs="Arial"/>
                <w:spacing w:val="5"/>
                <w:sz w:val="20"/>
                <w:lang w:eastAsia="en-US"/>
              </w:rPr>
              <w:t xml:space="preserve">Point of care HIV antigen/antibody test by one or more immunochemical methods in </w:t>
            </w:r>
            <w:r w:rsidR="00A65036">
              <w:rPr>
                <w:rFonts w:ascii="Arial Narrow" w:hAnsi="Arial Narrow" w:cs="Arial"/>
                <w:spacing w:val="5"/>
                <w:sz w:val="20"/>
                <w:lang w:eastAsia="en-US"/>
              </w:rPr>
              <w:t xml:space="preserve">a blood sample from a high-risk </w:t>
            </w:r>
            <w:r w:rsidRPr="00342B81">
              <w:rPr>
                <w:rFonts w:ascii="Arial Narrow" w:hAnsi="Arial Narrow" w:cs="Arial"/>
                <w:spacing w:val="5"/>
                <w:sz w:val="20"/>
                <w:lang w:eastAsia="en-US"/>
              </w:rPr>
              <w:t>patient.</w:t>
            </w:r>
          </w:p>
          <w:p w:rsidR="00342B81" w:rsidRPr="00342B81" w:rsidRDefault="00342B81" w:rsidP="00342B81">
            <w:pPr>
              <w:rPr>
                <w:spacing w:val="5"/>
                <w:sz w:val="20"/>
                <w:lang w:eastAsia="en-US"/>
              </w:rPr>
            </w:pPr>
            <w:r w:rsidRPr="00342B81">
              <w:rPr>
                <w:rFonts w:ascii="Arial Narrow" w:hAnsi="Arial Narrow" w:cs="Arial"/>
                <w:b/>
                <w:spacing w:val="5"/>
                <w:sz w:val="20"/>
                <w:lang w:eastAsia="en-US"/>
              </w:rPr>
              <w:t>Fee</w:t>
            </w:r>
            <w:r w:rsidRPr="00342B81">
              <w:rPr>
                <w:rFonts w:ascii="Arial Narrow" w:hAnsi="Arial Narrow" w:cs="Arial"/>
                <w:spacing w:val="5"/>
                <w:sz w:val="20"/>
                <w:lang w:eastAsia="en-US"/>
              </w:rPr>
              <w:t xml:space="preserve">:$30  </w:t>
            </w:r>
            <w:r w:rsidRPr="00342B81">
              <w:rPr>
                <w:rFonts w:ascii="Arial Narrow" w:hAnsi="Arial Narrow" w:cs="Arial"/>
                <w:b/>
                <w:spacing w:val="5"/>
                <w:sz w:val="20"/>
                <w:lang w:eastAsia="en-US"/>
              </w:rPr>
              <w:t>Benefit</w:t>
            </w:r>
            <w:r w:rsidRPr="00342B81">
              <w:rPr>
                <w:rFonts w:ascii="Arial Narrow" w:hAnsi="Arial Narrow" w:cs="Arial"/>
                <w:spacing w:val="5"/>
                <w:sz w:val="20"/>
                <w:lang w:eastAsia="en-US"/>
              </w:rPr>
              <w:t>: 75%=22.50  85%=$25.50</w:t>
            </w:r>
          </w:p>
        </w:tc>
      </w:tr>
    </w:tbl>
    <w:p w:rsidR="00BC1364" w:rsidRDefault="00EA3D59" w:rsidP="004B12A6">
      <w:pPr>
        <w:pStyle w:val="TableNotes"/>
        <w:spacing w:line="240" w:lineRule="auto"/>
        <w:ind w:left="0"/>
      </w:pPr>
      <w:r>
        <w:t>Source: p5 of the 1391 Protocol – specifies a fee of $30.00, the 75% and 85% benefits were calculated during the assessment</w:t>
      </w:r>
    </w:p>
    <w:p w:rsidR="00244036" w:rsidRDefault="00E72A2F" w:rsidP="005801AB">
      <w:r>
        <w:t>The applicant requested listing in Group P9- Simple Basic Pathology Tests. This category is for pathology tests performed and analysed</w:t>
      </w:r>
      <w:r w:rsidR="008B6B16">
        <w:t xml:space="preserve"> by a medical practitioner</w:t>
      </w:r>
      <w:r>
        <w:t xml:space="preserve"> in an approved practice rather than a pathology laboratory, As such a</w:t>
      </w:r>
      <w:r w:rsidR="005801AB" w:rsidRPr="003B4FC7">
        <w:t xml:space="preserve"> management fee is applicable to pathology tests if the service is bulk-billed</w:t>
      </w:r>
      <w:r>
        <w:t>. This fee is similar to the Patient Episode Incitation fee collected by pathology laboratories and</w:t>
      </w:r>
      <w:r w:rsidR="005801AB" w:rsidRPr="003B4FC7">
        <w:t xml:space="preserve"> </w:t>
      </w:r>
      <w:r w:rsidR="0017104C">
        <w:t>rang</w:t>
      </w:r>
      <w:r>
        <w:t>es</w:t>
      </w:r>
      <w:r w:rsidR="0017104C">
        <w:t xml:space="preserve"> from </w:t>
      </w:r>
      <w:r w:rsidR="005801AB" w:rsidRPr="003B4FC7">
        <w:t xml:space="preserve">$7.05 to $10.65 (85% benefit of $6.00 to $9.10) depending on </w:t>
      </w:r>
      <w:r w:rsidR="00832038">
        <w:t xml:space="preserve">the </w:t>
      </w:r>
      <w:r w:rsidR="005801AB" w:rsidRPr="003B4FC7">
        <w:t>location</w:t>
      </w:r>
      <w:r w:rsidR="00832038">
        <w:t xml:space="preserve"> of the practice</w:t>
      </w:r>
      <w:r w:rsidR="00244036">
        <w:t>.</w:t>
      </w:r>
    </w:p>
    <w:p w:rsidR="001A1698" w:rsidRDefault="00A43CFA" w:rsidP="005801AB">
      <w:r>
        <w:t xml:space="preserve">MSAC discussed the suitability of </w:t>
      </w:r>
      <w:r w:rsidR="008B6B16">
        <w:t xml:space="preserve">Group P9 as an appropriate place for the proposed service and the conditions that would be required outside the laboratory based accreditation framework to ensure safety and quality.  MSAC also considered that another funding model outside the MBS may be may be </w:t>
      </w:r>
      <w:r>
        <w:t xml:space="preserve">more appropriate. There was concern that </w:t>
      </w:r>
      <w:r w:rsidR="008B6B16">
        <w:t xml:space="preserve">a </w:t>
      </w:r>
      <w:r>
        <w:t>MBS listing would result in worse outcomes due to the issues around the sensitivity and specificity of the test.</w:t>
      </w:r>
    </w:p>
    <w:p w:rsidR="00BC1364" w:rsidRPr="009F3350" w:rsidRDefault="00BC1364" w:rsidP="00DD2858">
      <w:pPr>
        <w:pStyle w:val="Heading1"/>
        <w:numPr>
          <w:ilvl w:val="0"/>
          <w:numId w:val="23"/>
        </w:numPr>
        <w:ind w:hanging="720"/>
      </w:pPr>
      <w:r w:rsidRPr="007B32D1">
        <w:lastRenderedPageBreak/>
        <w:t xml:space="preserve">Summary of </w:t>
      </w:r>
      <w:r w:rsidR="003D7F29">
        <w:t>Public Consultation</w:t>
      </w:r>
      <w:r w:rsidRPr="007B32D1">
        <w:t xml:space="preserve"> Feedback</w:t>
      </w:r>
      <w:r w:rsidR="003D7F29">
        <w:t>/Consumer Issues</w:t>
      </w:r>
    </w:p>
    <w:p w:rsidR="003B7075" w:rsidRDefault="00F1402A" w:rsidP="00DD2858">
      <w:pPr>
        <w:rPr>
          <w:szCs w:val="24"/>
        </w:rPr>
      </w:pPr>
      <w:r>
        <w:rPr>
          <w:szCs w:val="24"/>
        </w:rPr>
        <w:t>Feedback</w:t>
      </w:r>
      <w:r w:rsidR="00501B1E">
        <w:rPr>
          <w:szCs w:val="24"/>
        </w:rPr>
        <w:t xml:space="preserve"> was provided</w:t>
      </w:r>
      <w:r>
        <w:rPr>
          <w:szCs w:val="24"/>
        </w:rPr>
        <w:t xml:space="preserve"> from five organisations</w:t>
      </w:r>
      <w:r w:rsidR="00501B1E">
        <w:rPr>
          <w:szCs w:val="24"/>
        </w:rPr>
        <w:t xml:space="preserve">, all supportive of the application. The feedback stated support for MBS </w:t>
      </w:r>
      <w:r w:rsidR="00501B1E" w:rsidRPr="00F1402A">
        <w:rPr>
          <w:szCs w:val="24"/>
        </w:rPr>
        <w:t>listi</w:t>
      </w:r>
      <w:r w:rsidR="00501B1E">
        <w:rPr>
          <w:szCs w:val="24"/>
        </w:rPr>
        <w:t>ng of any TGA registered rapid HIV test, not just limited to Ag/Ab tests. MBS listing of rapid HIV testing would increase</w:t>
      </w:r>
      <w:r>
        <w:rPr>
          <w:szCs w:val="24"/>
        </w:rPr>
        <w:t xml:space="preserve"> access</w:t>
      </w:r>
      <w:r w:rsidR="00501B1E">
        <w:rPr>
          <w:szCs w:val="24"/>
        </w:rPr>
        <w:t>,</w:t>
      </w:r>
      <w:r>
        <w:rPr>
          <w:szCs w:val="24"/>
        </w:rPr>
        <w:t xml:space="preserve"> </w:t>
      </w:r>
      <w:r w:rsidR="00501B1E">
        <w:rPr>
          <w:szCs w:val="24"/>
        </w:rPr>
        <w:t xml:space="preserve">particularly </w:t>
      </w:r>
      <w:r>
        <w:rPr>
          <w:szCs w:val="24"/>
        </w:rPr>
        <w:t xml:space="preserve">for </w:t>
      </w:r>
      <w:proofErr w:type="gramStart"/>
      <w:r w:rsidR="00501B1E">
        <w:rPr>
          <w:szCs w:val="24"/>
        </w:rPr>
        <w:t>an at</w:t>
      </w:r>
      <w:proofErr w:type="gramEnd"/>
      <w:r w:rsidR="00501B1E">
        <w:rPr>
          <w:szCs w:val="24"/>
        </w:rPr>
        <w:t xml:space="preserve"> risk population, and make rapid HIV testing more affordable and accessible. Support was also stated for rapid HIV testing to be offered with testing for other STIs where appropriate. </w:t>
      </w:r>
      <w:r>
        <w:rPr>
          <w:szCs w:val="24"/>
        </w:rPr>
        <w:t>Increased HIV testing should lead to earlier detection of HIV infections and allows a reduction of transmission to others due to awareness of the HIV status, modifying risk practices and commencement of treatment.</w:t>
      </w:r>
    </w:p>
    <w:p w:rsidR="00E81889" w:rsidRDefault="00BC1364" w:rsidP="00E81889">
      <w:pPr>
        <w:pStyle w:val="Heading1"/>
        <w:numPr>
          <w:ilvl w:val="0"/>
          <w:numId w:val="23"/>
        </w:numPr>
        <w:ind w:hanging="720"/>
      </w:pPr>
      <w:r w:rsidRPr="00D90A38">
        <w:t>Proposed intervention’s place in clinical management</w:t>
      </w:r>
    </w:p>
    <w:p w:rsidR="004B12A6" w:rsidRDefault="004B12A6" w:rsidP="00E81889">
      <w:r>
        <w:t>The test is a qualitative “reactive” or “non-reactive” immunoassay. This is in contrast to quantitative methods such as enzyme immun</w:t>
      </w:r>
      <w:r w:rsidR="00F7571D">
        <w:t>o</w:t>
      </w:r>
      <w:r>
        <w:t>assay (EIA) where a quantitative result is obtained and a diagnostic cut-off is used. Sample collection for the test is a finger prick procedure.</w:t>
      </w:r>
    </w:p>
    <w:p w:rsidR="00E81889" w:rsidRDefault="00E81889" w:rsidP="00E81889">
      <w:r>
        <w:t xml:space="preserve">The </w:t>
      </w:r>
      <w:r w:rsidR="00963976">
        <w:t xml:space="preserve">rapid point-of-care HIV Antigen/Antibody test </w:t>
      </w:r>
      <w:r>
        <w:t>for HIV infection is intended to be used in individuals where a</w:t>
      </w:r>
      <w:r w:rsidR="004B12A6">
        <w:t>n</w:t>
      </w:r>
      <w:r>
        <w:t xml:space="preserve"> HIV test is indicated and in those who are at a high-risk of HIV infection. The Protocol stated that there are a number of contexts where HIV testing would be indicated, including:</w:t>
      </w:r>
    </w:p>
    <w:p w:rsidR="00E81889" w:rsidRDefault="00E81889" w:rsidP="00E81889">
      <w:pPr>
        <w:pStyle w:val="ListParagraph"/>
        <w:numPr>
          <w:ilvl w:val="0"/>
          <w:numId w:val="26"/>
        </w:numPr>
        <w:spacing w:after="240"/>
        <w:ind w:left="993" w:hanging="284"/>
      </w:pPr>
      <w:r>
        <w:t>clinical suspicion of HIV infection;</w:t>
      </w:r>
    </w:p>
    <w:p w:rsidR="00E81889" w:rsidRDefault="00E81889" w:rsidP="00E81889">
      <w:pPr>
        <w:pStyle w:val="ListParagraph"/>
        <w:numPr>
          <w:ilvl w:val="0"/>
          <w:numId w:val="26"/>
        </w:numPr>
        <w:spacing w:after="240"/>
        <w:ind w:left="993" w:hanging="284"/>
      </w:pPr>
      <w:r>
        <w:t>inclusion of HIV within the differential diagnosis;</w:t>
      </w:r>
    </w:p>
    <w:p w:rsidR="00E81889" w:rsidRDefault="00E81889" w:rsidP="00E81889">
      <w:pPr>
        <w:pStyle w:val="ListParagraph"/>
        <w:numPr>
          <w:ilvl w:val="0"/>
          <w:numId w:val="26"/>
        </w:numPr>
        <w:spacing w:after="240"/>
        <w:ind w:left="993" w:hanging="284"/>
      </w:pPr>
      <w:r>
        <w:t>diagnosis of a condition with shared transmission route;</w:t>
      </w:r>
    </w:p>
    <w:p w:rsidR="00E81889" w:rsidRDefault="00E81889" w:rsidP="00E81889">
      <w:pPr>
        <w:pStyle w:val="ListParagraph"/>
        <w:numPr>
          <w:ilvl w:val="0"/>
          <w:numId w:val="26"/>
        </w:numPr>
        <w:spacing w:after="240"/>
        <w:ind w:left="993" w:hanging="284"/>
      </w:pPr>
      <w:r>
        <w:t>reported high-risk exposure;</w:t>
      </w:r>
    </w:p>
    <w:p w:rsidR="00E81889" w:rsidRDefault="00E81889" w:rsidP="00E81889">
      <w:pPr>
        <w:pStyle w:val="ListParagraph"/>
        <w:numPr>
          <w:ilvl w:val="0"/>
          <w:numId w:val="26"/>
        </w:numPr>
        <w:spacing w:after="240"/>
        <w:ind w:left="993" w:hanging="284"/>
      </w:pPr>
      <w:r>
        <w:t>unprotected sexual intercourse with a partner whose HIV status is unknown;</w:t>
      </w:r>
    </w:p>
    <w:p w:rsidR="00E81889" w:rsidRDefault="00E81889" w:rsidP="00E81889">
      <w:pPr>
        <w:pStyle w:val="ListParagraph"/>
        <w:numPr>
          <w:ilvl w:val="0"/>
          <w:numId w:val="26"/>
        </w:numPr>
        <w:spacing w:after="240"/>
        <w:ind w:left="993" w:hanging="284"/>
      </w:pPr>
      <w:r>
        <w:t>reported reuse of equipment used for skin penetration; and</w:t>
      </w:r>
    </w:p>
    <w:p w:rsidR="00E81889" w:rsidRDefault="00E81889" w:rsidP="00E81889">
      <w:pPr>
        <w:pStyle w:val="ListParagraph"/>
        <w:numPr>
          <w:ilvl w:val="0"/>
          <w:numId w:val="26"/>
        </w:numPr>
        <w:spacing w:after="240"/>
        <w:ind w:left="993" w:hanging="284"/>
      </w:pPr>
      <w:proofErr w:type="gramStart"/>
      <w:r>
        <w:t>in</w:t>
      </w:r>
      <w:proofErr w:type="gramEnd"/>
      <w:r>
        <w:t xml:space="preserve"> the setting of contact tracing.</w:t>
      </w:r>
    </w:p>
    <w:p w:rsidR="00E81889" w:rsidRDefault="00E81889" w:rsidP="00E81889">
      <w:r>
        <w:t>T</w:t>
      </w:r>
      <w:r w:rsidRPr="00644B4C">
        <w:t xml:space="preserve">he </w:t>
      </w:r>
      <w:r>
        <w:t>P</w:t>
      </w:r>
      <w:r w:rsidRPr="00644B4C">
        <w:t>rotocol define</w:t>
      </w:r>
      <w:r>
        <w:t>d</w:t>
      </w:r>
      <w:r w:rsidRPr="00644B4C">
        <w:t xml:space="preserve"> those at “high-risk of HIV infection”</w:t>
      </w:r>
      <w:r>
        <w:t xml:space="preserve"> to be those with</w:t>
      </w:r>
      <w:r w:rsidR="004B12A6">
        <w:t xml:space="preserve"> one</w:t>
      </w:r>
      <w:r>
        <w:t xml:space="preserve"> or more of the following risk factors:</w:t>
      </w:r>
    </w:p>
    <w:p w:rsidR="00E81889" w:rsidRDefault="00E81889" w:rsidP="00E81889">
      <w:pPr>
        <w:pStyle w:val="ListParagraph"/>
        <w:numPr>
          <w:ilvl w:val="0"/>
          <w:numId w:val="26"/>
        </w:numPr>
        <w:spacing w:after="240"/>
        <w:ind w:left="993" w:hanging="284"/>
      </w:pPr>
      <w:r>
        <w:t>men who have sex with men (MSM);</w:t>
      </w:r>
    </w:p>
    <w:p w:rsidR="00E81889" w:rsidRDefault="00E81889" w:rsidP="00E81889">
      <w:pPr>
        <w:pStyle w:val="ListParagraph"/>
        <w:numPr>
          <w:ilvl w:val="0"/>
          <w:numId w:val="26"/>
        </w:numPr>
        <w:spacing w:after="240"/>
        <w:ind w:left="993" w:hanging="284"/>
      </w:pPr>
      <w:r>
        <w:t>injecting drug use;</w:t>
      </w:r>
    </w:p>
    <w:p w:rsidR="00E81889" w:rsidRDefault="00E81889" w:rsidP="00E81889">
      <w:pPr>
        <w:pStyle w:val="ListParagraph"/>
        <w:numPr>
          <w:ilvl w:val="0"/>
          <w:numId w:val="26"/>
        </w:numPr>
        <w:spacing w:after="240"/>
        <w:ind w:left="993" w:hanging="284"/>
      </w:pPr>
      <w:r>
        <w:t xml:space="preserve">heterosexual contact with a person from a high prevalence country; </w:t>
      </w:r>
    </w:p>
    <w:p w:rsidR="00E81889" w:rsidRDefault="00E81889" w:rsidP="00E81889">
      <w:pPr>
        <w:pStyle w:val="ListParagraph"/>
        <w:numPr>
          <w:ilvl w:val="0"/>
          <w:numId w:val="26"/>
        </w:numPr>
        <w:spacing w:after="240"/>
        <w:ind w:left="993" w:hanging="284"/>
      </w:pPr>
      <w:r>
        <w:t>heterosexual contact with a partner with/at risk of HIV infection; and</w:t>
      </w:r>
    </w:p>
    <w:p w:rsidR="00E81889" w:rsidRDefault="00E81889" w:rsidP="00E81889">
      <w:pPr>
        <w:pStyle w:val="ListParagraph"/>
        <w:numPr>
          <w:ilvl w:val="0"/>
          <w:numId w:val="26"/>
        </w:numPr>
        <w:spacing w:after="240"/>
        <w:ind w:left="993" w:hanging="284"/>
      </w:pPr>
      <w:proofErr w:type="gramStart"/>
      <w:r>
        <w:t>needle-stick</w:t>
      </w:r>
      <w:proofErr w:type="gramEnd"/>
      <w:r>
        <w:t xml:space="preserve"> injury.</w:t>
      </w:r>
    </w:p>
    <w:p w:rsidR="00E81889" w:rsidRDefault="00E81889" w:rsidP="009F3350">
      <w:r>
        <w:t>Although</w:t>
      </w:r>
      <w:r w:rsidRPr="00644B4C">
        <w:t xml:space="preserve"> each of</w:t>
      </w:r>
      <w:r>
        <w:t xml:space="preserve"> the groups listed above could be considered to be at high-risk, a population that would be a particular target group for this diagnostic test would be MSM, given the prevalence of HIV in this population.</w:t>
      </w:r>
    </w:p>
    <w:p w:rsidR="004B12A6" w:rsidRDefault="00E81889" w:rsidP="00583EA4">
      <w:r w:rsidRPr="00D34CFF">
        <w:t>T</w:t>
      </w:r>
      <w:r>
        <w:t xml:space="preserve">he </w:t>
      </w:r>
      <w:r w:rsidR="00963976">
        <w:t xml:space="preserve">rapid point-of-care HIV Antigen/Antibody test </w:t>
      </w:r>
      <w:r>
        <w:t>is NOT intended for HIV testing performed on blood donations, for other organ or tissue donations or for routine microbiological serology during pregnancy. It is also not intended to be used as a HIV screening test.</w:t>
      </w:r>
    </w:p>
    <w:p w:rsidR="00583EA4" w:rsidRDefault="00583EA4" w:rsidP="009F3350">
      <w:r>
        <w:t>The proposed clinical pathway for rapid point-of-care testing for HIV</w:t>
      </w:r>
      <w:r w:rsidR="004B12A6">
        <w:t xml:space="preserve"> is shown below</w:t>
      </w:r>
      <w:r>
        <w:t>.</w:t>
      </w:r>
    </w:p>
    <w:p w:rsidR="0061117D" w:rsidRDefault="0061117D">
      <w:pPr>
        <w:rPr>
          <w:rStyle w:val="CaptionChar"/>
        </w:rPr>
      </w:pPr>
      <w:bookmarkStart w:id="3" w:name="_Toc418225643"/>
      <w:r>
        <w:rPr>
          <w:rStyle w:val="CaptionChar"/>
        </w:rPr>
        <w:br w:type="page"/>
      </w:r>
    </w:p>
    <w:p w:rsidR="00583EA4" w:rsidRDefault="00583EA4" w:rsidP="00583EA4">
      <w:pPr>
        <w:rPr>
          <w:rStyle w:val="CaptionChar"/>
        </w:rPr>
      </w:pPr>
      <w:r w:rsidRPr="009648A4">
        <w:rPr>
          <w:rStyle w:val="CaptionChar"/>
        </w:rPr>
        <w:t xml:space="preserve">Figure </w:t>
      </w:r>
      <w:r>
        <w:rPr>
          <w:rStyle w:val="CaptionChar"/>
        </w:rPr>
        <w:t>1</w:t>
      </w:r>
      <w:r w:rsidRPr="009648A4">
        <w:rPr>
          <w:rStyle w:val="CaptionChar"/>
        </w:rPr>
        <w:tab/>
        <w:t>Current and proposed clinical decision tree</w:t>
      </w:r>
      <w:bookmarkEnd w:id="3"/>
    </w:p>
    <w:p w:rsidR="00583EA4" w:rsidRPr="009F3350" w:rsidRDefault="00583EA4" w:rsidP="009F3350">
      <w:pPr>
        <w:rPr>
          <w:rFonts w:ascii="Arial Narrow" w:eastAsiaTheme="minorHAnsi" w:hAnsi="Arial Narrow" w:cstheme="minorBidi"/>
          <w:b/>
          <w:iCs/>
          <w:sz w:val="20"/>
          <w:szCs w:val="18"/>
          <w:lang w:eastAsia="en-US"/>
        </w:rPr>
      </w:pPr>
      <w:r>
        <w:rPr>
          <w:noProof/>
        </w:rPr>
        <w:drawing>
          <wp:inline distT="0" distB="0" distL="0" distR="0" wp14:anchorId="48DABC36" wp14:editId="0A734EFE">
            <wp:extent cx="5319422" cy="3222641"/>
            <wp:effectExtent l="0" t="0" r="0" b="0"/>
            <wp:docPr id="3" name="Picture 3" descr="Current and proposed clinical decision tree. Under the proposed algorithm, the patient has a choice between a point-of-care HIV test and a pathology test. If the point-of-care test is conducted and the result is negative, venepuncture is avoided. If the point-of-care test result is positive, the patient receives additional counseling and a venepuncture sample is collected for a confirmatory pathology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monash.edu\home\User057\pghijben\Desktop\Current clinical pathway.tiff"/>
                    <pic:cNvPicPr>
                      <a:picLocks noChangeAspect="1" noChangeArrowheads="1"/>
                    </pic:cNvPicPr>
                  </pic:nvPicPr>
                  <pic:blipFill rotWithShape="1">
                    <a:blip r:embed="rId10">
                      <a:extLst>
                        <a:ext uri="{28A0092B-C50C-407E-A947-70E740481C1C}">
                          <a14:useLocalDpi xmlns:a14="http://schemas.microsoft.com/office/drawing/2010/main" val="0"/>
                        </a:ext>
                      </a:extLst>
                    </a:blip>
                    <a:srcRect/>
                    <a:stretch/>
                  </pic:blipFill>
                  <pic:spPr bwMode="auto">
                    <a:xfrm>
                      <a:off x="0" y="0"/>
                      <a:ext cx="5319422" cy="3222641"/>
                    </a:xfrm>
                    <a:prstGeom prst="rect">
                      <a:avLst/>
                    </a:prstGeom>
                    <a:noFill/>
                    <a:ln>
                      <a:noFill/>
                    </a:ln>
                    <a:extLst>
                      <a:ext uri="{53640926-AAD7-44D8-BBD7-CCE9431645EC}">
                        <a14:shadowObscured xmlns:a14="http://schemas.microsoft.com/office/drawing/2010/main"/>
                      </a:ext>
                    </a:extLst>
                  </pic:spPr>
                </pic:pic>
              </a:graphicData>
            </a:graphic>
          </wp:inline>
        </w:drawing>
      </w:r>
    </w:p>
    <w:p w:rsidR="00985C10" w:rsidRDefault="00583EA4" w:rsidP="00583EA4">
      <w:r>
        <w:t>The proposed clinical management algorithm implies that rapid point-of-care testing will substitute for laboratory testing for HIV</w:t>
      </w:r>
      <w:r w:rsidR="00985C10">
        <w:t>, in patients with a negative point-of-care test result</w:t>
      </w:r>
      <w:r>
        <w:t xml:space="preserve">. </w:t>
      </w:r>
      <w:r w:rsidR="004B12A6">
        <w:t>MSAC</w:t>
      </w:r>
      <w:r w:rsidRPr="00583EA4">
        <w:t xml:space="preserve"> noted that the intended rationale for the rapid point-of-care testing would be to increase HIV testing overall in the high-risk population and also lead to earlier diagnoses for individuals who tend to delay testing.</w:t>
      </w:r>
    </w:p>
    <w:p w:rsidR="001B12F2" w:rsidRDefault="00985C10" w:rsidP="00985C10">
      <w:r>
        <w:t>MSAC</w:t>
      </w:r>
      <w:r w:rsidRPr="00095CFD">
        <w:t xml:space="preserve"> noted that a positive </w:t>
      </w:r>
      <w:r>
        <w:t xml:space="preserve">rapid point-of-care HIV Ag/Ab test </w:t>
      </w:r>
      <w:r w:rsidRPr="00095CFD">
        <w:t>result would require confirmation by serology testing.</w:t>
      </w:r>
    </w:p>
    <w:p w:rsidR="00E72A2F" w:rsidRDefault="00E72A2F" w:rsidP="00985C10">
      <w:r>
        <w:t xml:space="preserve">MSAC questioned the benefit of identifying HIV infections in people who would not seek treatment or change their behaviour based on the positive result. </w:t>
      </w:r>
    </w:p>
    <w:p w:rsidR="00985C10" w:rsidRDefault="001B12F2" w:rsidP="00583EA4">
      <w:r>
        <w:t>MS</w:t>
      </w:r>
      <w:r w:rsidR="00BC0FEA">
        <w:t>AC stated</w:t>
      </w:r>
      <w:r>
        <w:t xml:space="preserve"> that the proposal needs a clearer delineation </w:t>
      </w:r>
      <w:r w:rsidR="00E43C15">
        <w:t>between</w:t>
      </w:r>
      <w:r>
        <w:t xml:space="preserve"> the point-of-care test</w:t>
      </w:r>
      <w:r w:rsidR="00E43C15">
        <w:t xml:space="preserve">ing pathway and </w:t>
      </w:r>
      <w:r>
        <w:t>the current clinical pathway</w:t>
      </w:r>
      <w:r w:rsidR="00BC0FEA">
        <w:t xml:space="preserve">, however highlighted that in the correct circumstances the test could be valuable. </w:t>
      </w:r>
    </w:p>
    <w:p w:rsidR="00BC1364" w:rsidRPr="009F3350" w:rsidRDefault="00BC1364" w:rsidP="00DD2858">
      <w:pPr>
        <w:pStyle w:val="Heading1"/>
        <w:numPr>
          <w:ilvl w:val="0"/>
          <w:numId w:val="23"/>
        </w:numPr>
        <w:ind w:hanging="720"/>
      </w:pPr>
      <w:r w:rsidRPr="008D5885">
        <w:t xml:space="preserve">Comparator </w:t>
      </w:r>
    </w:p>
    <w:p w:rsidR="00095CFD" w:rsidRDefault="00583EA4" w:rsidP="00583EA4">
      <w:r>
        <w:t>The comparator to assess the safety, effectiveness and cost-effectiveness of the rapid point</w:t>
      </w:r>
      <w:r w:rsidR="00BC1E9F">
        <w:noBreakHyphen/>
      </w:r>
      <w:r>
        <w:t>of-c</w:t>
      </w:r>
      <w:r w:rsidR="00095CFD">
        <w:t>are HIV Antigen/Antibody</w:t>
      </w:r>
      <w:r w:rsidR="00F7571D">
        <w:t xml:space="preserve"> (Ag/Ab)</w:t>
      </w:r>
      <w:r w:rsidR="00095CFD">
        <w:t xml:space="preserve"> test was</w:t>
      </w:r>
      <w:r>
        <w:t xml:space="preserve"> pathology laboratory-based serology testing for HIV. </w:t>
      </w:r>
    </w:p>
    <w:p w:rsidR="00583EA4" w:rsidRDefault="00583EA4" w:rsidP="00583EA4">
      <w:r w:rsidRPr="002F56AA">
        <w:t>The</w:t>
      </w:r>
      <w:r>
        <w:t xml:space="preserve"> </w:t>
      </w:r>
      <w:r w:rsidRPr="002F56AA">
        <w:t>testing performed by the laboratory will depend on the diagnostic algorithm in use</w:t>
      </w:r>
      <w:r>
        <w:t>,</w:t>
      </w:r>
      <w:r w:rsidRPr="002F56AA">
        <w:t xml:space="preserve"> but</w:t>
      </w:r>
      <w:r>
        <w:t xml:space="preserve"> </w:t>
      </w:r>
      <w:r w:rsidRPr="002F56AA">
        <w:t xml:space="preserve">would typically consist of </w:t>
      </w:r>
      <w:r w:rsidR="00095CFD">
        <w:t xml:space="preserve">a </w:t>
      </w:r>
      <w:r w:rsidRPr="002F56AA">
        <w:t>full testing protocol</w:t>
      </w:r>
      <w:r>
        <w:t>,</w:t>
      </w:r>
      <w:r w:rsidRPr="002F56AA">
        <w:t xml:space="preserve"> </w:t>
      </w:r>
      <w:proofErr w:type="spellStart"/>
      <w:r w:rsidRPr="002F56AA">
        <w:t>ie</w:t>
      </w:r>
      <w:proofErr w:type="spellEnd"/>
      <w:r w:rsidRPr="002F56AA">
        <w:t xml:space="preserve">. </w:t>
      </w:r>
      <w:proofErr w:type="gramStart"/>
      <w:r w:rsidRPr="002F56AA">
        <w:t>initial</w:t>
      </w:r>
      <w:proofErr w:type="gramEnd"/>
      <w:r w:rsidRPr="002F56AA">
        <w:t xml:space="preserve"> and confirmatory testing.</w:t>
      </w:r>
      <w:r>
        <w:t xml:space="preserve"> Expert opinion sought during the assessment indicated that standard </w:t>
      </w:r>
      <w:r w:rsidRPr="006A4C35">
        <w:t xml:space="preserve">practice would be the use of a </w:t>
      </w:r>
      <w:r>
        <w:t>fourth</w:t>
      </w:r>
      <w:r w:rsidRPr="006A4C35">
        <w:t xml:space="preserve"> </w:t>
      </w:r>
      <w:r>
        <w:t>g</w:t>
      </w:r>
      <w:r w:rsidRPr="006A4C35">
        <w:t>eneration Ag/Ab screening assay</w:t>
      </w:r>
      <w:r>
        <w:t>. The advice also indicated that i</w:t>
      </w:r>
      <w:r w:rsidRPr="006A4C35">
        <w:t xml:space="preserve">n some instances, a reactive HIV sample might undergo (in total) testing in </w:t>
      </w:r>
      <w:r>
        <w:t xml:space="preserve">four </w:t>
      </w:r>
      <w:r w:rsidRPr="006A4C35">
        <w:t xml:space="preserve">different </w:t>
      </w:r>
      <w:r>
        <w:t>fourth</w:t>
      </w:r>
      <w:r w:rsidRPr="006A4C35">
        <w:t xml:space="preserve"> </w:t>
      </w:r>
      <w:r>
        <w:t>g</w:t>
      </w:r>
      <w:r w:rsidRPr="006A4C35">
        <w:t>en</w:t>
      </w:r>
      <w:r>
        <w:t>eration</w:t>
      </w:r>
      <w:r w:rsidRPr="006A4C35">
        <w:t xml:space="preserve"> HIV Ag/Ab EIAs</w:t>
      </w:r>
      <w:r>
        <w:t xml:space="preserve"> (where only a single MBS item billing applies),</w:t>
      </w:r>
      <w:r w:rsidRPr="006A4C35">
        <w:t xml:space="preserve"> as well as a HIV Western Blot </w:t>
      </w:r>
      <w:r>
        <w:t xml:space="preserve">(no MBS item number applies) </w:t>
      </w:r>
      <w:r w:rsidRPr="006A4C35">
        <w:t>and any other supplementary tests as indicated.</w:t>
      </w:r>
    </w:p>
    <w:p w:rsidR="00583EA4" w:rsidRPr="009F3350" w:rsidRDefault="00583EA4" w:rsidP="009F3350">
      <w:pPr>
        <w:rPr>
          <w:i/>
        </w:rPr>
      </w:pPr>
      <w:r>
        <w:t xml:space="preserve">Expert opinion sought during the assessment indicated that in a Melbourne clinic using the </w:t>
      </w:r>
      <w:r w:rsidR="00095CFD">
        <w:t>rapid point-of-care HIV A</w:t>
      </w:r>
      <w:r w:rsidR="00F7571D">
        <w:t>g/Ab</w:t>
      </w:r>
      <w:r w:rsidR="00095CFD">
        <w:t xml:space="preserve"> test</w:t>
      </w:r>
      <w:r>
        <w:t xml:space="preserve">, venous samples were still being collected on the same day as the rapid test for laboratory testing (regardless of whether the </w:t>
      </w:r>
      <w:r w:rsidR="00095CFD">
        <w:t>rapid point-of-care HIV A</w:t>
      </w:r>
      <w:r w:rsidR="00F7571D">
        <w:t>g/Ab</w:t>
      </w:r>
      <w:r w:rsidR="00095CFD">
        <w:t xml:space="preserve"> test </w:t>
      </w:r>
      <w:r>
        <w:t xml:space="preserve">was reactive or not); indicating that the </w:t>
      </w:r>
      <w:r w:rsidR="00095CFD">
        <w:t>rapid point-of-care HIV A</w:t>
      </w:r>
      <w:r w:rsidR="00F7571D">
        <w:t>g/Ab</w:t>
      </w:r>
      <w:r w:rsidR="00095CFD">
        <w:t xml:space="preserve"> test </w:t>
      </w:r>
      <w:r>
        <w:t>may be an additional, rather than an alternative test to serology.</w:t>
      </w:r>
    </w:p>
    <w:p w:rsidR="00BC1364" w:rsidRPr="009F3350" w:rsidRDefault="00583EA4" w:rsidP="00DD2858">
      <w:r>
        <w:t xml:space="preserve">The </w:t>
      </w:r>
      <w:r w:rsidR="00095CFD">
        <w:t xml:space="preserve">expert </w:t>
      </w:r>
      <w:r>
        <w:t xml:space="preserve">advice also indicated that this was an opt-out system for those who are adamant they do not want a venous sample taken (less than 10 in 100 would decline); and that individuals suspected of early HIV </w:t>
      </w:r>
      <w:proofErr w:type="spellStart"/>
      <w:r>
        <w:t>seroconversion</w:t>
      </w:r>
      <w:proofErr w:type="spellEnd"/>
      <w:r>
        <w:t xml:space="preserve"> were particularly encouraged to undergo additional laboratory testing or should not be tested with a rapid test at all. Given testing for syphilis and other sexually-transmitted infections is recommended at the time of HIV testing and requires venepuncture and serology, it is not unreasonable to use serology to test for HIV at the same time (and could be considered inappropriate not to do so</w:t>
      </w:r>
      <w:r w:rsidRPr="00583EA4">
        <w:t xml:space="preserve">). </w:t>
      </w:r>
      <w:r w:rsidR="00095CFD">
        <w:t>MSAC</w:t>
      </w:r>
      <w:r w:rsidRPr="00583EA4">
        <w:t xml:space="preserve"> noted that a shift to </w:t>
      </w:r>
      <w:r w:rsidR="00095CFD">
        <w:t>rapid point-of-care HIV A</w:t>
      </w:r>
      <w:r w:rsidR="00F7571D">
        <w:t>g/Ab</w:t>
      </w:r>
      <w:r w:rsidR="00095CFD">
        <w:t xml:space="preserve"> </w:t>
      </w:r>
      <w:r w:rsidRPr="00583EA4">
        <w:t>testing from serology testing could either decrease the rate of diagnosing other sexually-transmitted infections in high-risk individuals, or continue to require additional serology testing for these other infections anyway.</w:t>
      </w:r>
    </w:p>
    <w:p w:rsidR="00BC1364" w:rsidRPr="009F3350" w:rsidRDefault="00BC1364" w:rsidP="009F3350">
      <w:pPr>
        <w:pStyle w:val="Heading1"/>
        <w:numPr>
          <w:ilvl w:val="0"/>
          <w:numId w:val="23"/>
        </w:numPr>
        <w:ind w:hanging="720"/>
      </w:pPr>
      <w:r w:rsidRPr="008D5885">
        <w:t>Comparative safety</w:t>
      </w:r>
    </w:p>
    <w:p w:rsidR="00583EA4" w:rsidRDefault="00583EA4" w:rsidP="00583EA4">
      <w:r>
        <w:t>No studies assessing the comparative safety of rapid point-of-care testing and serology testing for HIV were identified.</w:t>
      </w:r>
    </w:p>
    <w:p w:rsidR="00583EA4" w:rsidRDefault="00583EA4" w:rsidP="009F3350">
      <w:r>
        <w:t>With re</w:t>
      </w:r>
      <w:r w:rsidR="00F7571D">
        <w:t>gard</w:t>
      </w:r>
      <w:r>
        <w:t xml:space="preserve"> to the procedures undertaken to collect specimens for testing, a finger-prick </w:t>
      </w:r>
      <w:r w:rsidR="00F7571D">
        <w:t>for rapid point-of-care testing or</w:t>
      </w:r>
      <w:r>
        <w:t xml:space="preserve"> venepuncture for serology, respectively, no real safety issues are associated with either,</w:t>
      </w:r>
      <w:r w:rsidRPr="004A00AA">
        <w:t xml:space="preserve"> </w:t>
      </w:r>
      <w:r w:rsidRPr="00DC4B53">
        <w:t>provided the person drawing the samples is trained and sterile equipment is used</w:t>
      </w:r>
      <w:r>
        <w:t xml:space="preserve">. In addition, as the </w:t>
      </w:r>
      <w:r w:rsidR="00095CFD">
        <w:t>rapid point-of-care HIV A</w:t>
      </w:r>
      <w:r w:rsidR="00F7571D">
        <w:t>g/Ab</w:t>
      </w:r>
      <w:r w:rsidR="00095CFD">
        <w:t xml:space="preserve"> test </w:t>
      </w:r>
      <w:r>
        <w:t>requires the same or fewer blood withdrawals than the comparators, it is reasonable to conclude that the test is safe</w:t>
      </w:r>
      <w:r w:rsidRPr="00DC4B53">
        <w:t>.</w:t>
      </w:r>
    </w:p>
    <w:p w:rsidR="00583EA4" w:rsidRDefault="00583EA4" w:rsidP="009F3350">
      <w:r>
        <w:t xml:space="preserve">However, as noted below, </w:t>
      </w:r>
      <w:r w:rsidRPr="00B4120C">
        <w:t>HIV rapid tests can be less specific (</w:t>
      </w:r>
      <w:proofErr w:type="spellStart"/>
      <w:r w:rsidRPr="00B4120C">
        <w:t>ie</w:t>
      </w:r>
      <w:proofErr w:type="spellEnd"/>
      <w:r w:rsidRPr="00B4120C">
        <w:t>. can have more false</w:t>
      </w:r>
      <w:r>
        <w:t>-</w:t>
      </w:r>
      <w:r w:rsidRPr="00B4120C">
        <w:t>positive</w:t>
      </w:r>
      <w:r>
        <w:t xml:space="preserve"> result</w:t>
      </w:r>
      <w:r w:rsidRPr="00B4120C">
        <w:t>s) and can be less sensitive (</w:t>
      </w:r>
      <w:proofErr w:type="spellStart"/>
      <w:r w:rsidRPr="00B4120C">
        <w:t>ie</w:t>
      </w:r>
      <w:proofErr w:type="spellEnd"/>
      <w:r w:rsidRPr="00B4120C">
        <w:t>. can miss more cases of infection) than conventional machine controlled tests used in contemporary laborator</w:t>
      </w:r>
      <w:r>
        <w:t>ies</w:t>
      </w:r>
      <w:r w:rsidRPr="00B4120C">
        <w:t>.</w:t>
      </w:r>
      <w:r>
        <w:t xml:space="preserve"> The consequences of false-positive or false-negative results from the rapid point-of-care test should therefore be considered.</w:t>
      </w:r>
    </w:p>
    <w:p w:rsidR="00583EA4" w:rsidRDefault="00583EA4" w:rsidP="009F3350">
      <w:r>
        <w:t>With r</w:t>
      </w:r>
      <w:r w:rsidR="00F7571D">
        <w:t>egard</w:t>
      </w:r>
      <w:r>
        <w:t xml:space="preserve"> to false-positive results, where the rapid point-of-care test indicates the presence of HIV infection, but confirmatory serology testing does not; it would be anticipated that the anxiety felt in the time period before delivery of the serology test results would be greater than for those who are undergoing routine testing with serology testing (with no rapid point</w:t>
      </w:r>
      <w:r w:rsidR="00E77408">
        <w:noBreakHyphen/>
      </w:r>
      <w:r>
        <w:t>of-care test result). The positive rapid point-of-care result would also be accompanied</w:t>
      </w:r>
      <w:r w:rsidR="00F7571D">
        <w:t xml:space="preserve"> by</w:t>
      </w:r>
      <w:r>
        <w:t xml:space="preserve"> counselling for the results according to the proposed clinical decision pathway.</w:t>
      </w:r>
    </w:p>
    <w:p w:rsidR="0061117D" w:rsidRPr="009F3350" w:rsidRDefault="00583EA4">
      <w:r>
        <w:t>With re</w:t>
      </w:r>
      <w:r w:rsidR="00621E8E">
        <w:t>gard</w:t>
      </w:r>
      <w:r>
        <w:t xml:space="preserve"> to false-negative results, where the rapid point-of-care test indicates no HIV infection, but confirmatory serology testing would; there is potential for those individuals to have worse health outcomes in the longer term due to having an undiagnosed HIV infection. There is also the potential for these individuals to unknowingly transmit HIV to other individuals until such time they undergo further testing and are diagnosed. </w:t>
      </w:r>
      <w:r w:rsidRPr="00E44BD6">
        <w:t>As noted above, the current practice in at least one Melbourne clinic is to collect a venous sample on the same day as rapid testing</w:t>
      </w:r>
      <w:r>
        <w:t xml:space="preserve"> for serology testing for HIV. </w:t>
      </w:r>
      <w:r w:rsidRPr="00E44BD6">
        <w:t>If this applies nationally, the risk of false</w:t>
      </w:r>
      <w:r>
        <w:t>-</w:t>
      </w:r>
      <w:r w:rsidRPr="00E44BD6">
        <w:t>negative results should be no great</w:t>
      </w:r>
      <w:r>
        <w:t xml:space="preserve">er than is currently the case. </w:t>
      </w:r>
      <w:r w:rsidRPr="00E44BD6">
        <w:t>The risk of false-negative results in practice may a</w:t>
      </w:r>
      <w:r>
        <w:t>lso</w:t>
      </w:r>
      <w:r w:rsidRPr="00E44BD6">
        <w:t xml:space="preserve"> be mitigated through information provided in the product’s instructions for use and through training of health professionals </w:t>
      </w:r>
      <w:r>
        <w:t xml:space="preserve">performing the test. </w:t>
      </w:r>
      <w:r w:rsidRPr="00E44BD6">
        <w:t xml:space="preserve">The product’s instructions for use detail the limitations of the test, including the limitation of the test </w:t>
      </w:r>
      <w:r w:rsidR="00621E8E">
        <w:t>during</w:t>
      </w:r>
      <w:r w:rsidRPr="00E44BD6">
        <w:t xml:space="preserve"> </w:t>
      </w:r>
      <w:r w:rsidR="00621E8E">
        <w:t xml:space="preserve">the </w:t>
      </w:r>
      <w:r w:rsidRPr="00E44BD6">
        <w:t xml:space="preserve">early stages of infection. These limitations are explained to health professionals performing the test when they are trained in the use of the product. </w:t>
      </w:r>
      <w:r>
        <w:t xml:space="preserve">Expert advice has suggested that individuals suspected of early HIV </w:t>
      </w:r>
      <w:proofErr w:type="spellStart"/>
      <w:r>
        <w:t>seroconversion</w:t>
      </w:r>
      <w:proofErr w:type="spellEnd"/>
      <w:r>
        <w:t xml:space="preserve"> were particularly encouraged to undergo additional laboratory testing</w:t>
      </w:r>
      <w:r w:rsidR="00621E8E">
        <w:t>,</w:t>
      </w:r>
      <w:r>
        <w:t xml:space="preserve"> or should not be tested with a rapid test at all.</w:t>
      </w:r>
    </w:p>
    <w:p w:rsidR="00BC1364" w:rsidRPr="009F3350" w:rsidRDefault="00BC1364" w:rsidP="00DD2858">
      <w:pPr>
        <w:pStyle w:val="Heading1"/>
        <w:numPr>
          <w:ilvl w:val="0"/>
          <w:numId w:val="23"/>
        </w:numPr>
        <w:ind w:hanging="720"/>
      </w:pPr>
      <w:r w:rsidRPr="008D5885">
        <w:t>Comparative effectiveness</w:t>
      </w:r>
    </w:p>
    <w:p w:rsidR="00583EA4" w:rsidRPr="0055683F" w:rsidRDefault="00583EA4" w:rsidP="009F3350">
      <w:pPr>
        <w:pStyle w:val="Heading2"/>
      </w:pPr>
      <w:r w:rsidRPr="0055683F">
        <w:t xml:space="preserve">Diagnostic </w:t>
      </w:r>
      <w:r w:rsidRPr="009F3350">
        <w:t>accuracy</w:t>
      </w:r>
    </w:p>
    <w:p w:rsidR="00963976" w:rsidRPr="009F3350" w:rsidRDefault="00583EA4" w:rsidP="00583EA4">
      <w:pPr>
        <w:rPr>
          <w:i/>
        </w:rPr>
      </w:pPr>
      <w:r>
        <w:t xml:space="preserve">A </w:t>
      </w:r>
      <w:r w:rsidRPr="00B6544D">
        <w:t xml:space="preserve">meta-analysis of the two </w:t>
      </w:r>
      <w:r>
        <w:t xml:space="preserve">identified Australian </w:t>
      </w:r>
      <w:r w:rsidRPr="00B6544D">
        <w:t xml:space="preserve">studies </w:t>
      </w:r>
      <w:r>
        <w:t xml:space="preserve">(Conway (2014) and </w:t>
      </w:r>
      <w:proofErr w:type="spellStart"/>
      <w:r>
        <w:t>Eu</w:t>
      </w:r>
      <w:proofErr w:type="spellEnd"/>
      <w:r>
        <w:t xml:space="preserve"> (2014))</w:t>
      </w:r>
      <w:r w:rsidRPr="00B6544D">
        <w:t xml:space="preserve"> indicated that the sensitivity of the </w:t>
      </w:r>
      <w:r w:rsidR="00095CFD">
        <w:t xml:space="preserve">rapid point-of-care HIV Antigen/Antibody test </w:t>
      </w:r>
      <w:r w:rsidRPr="00B6544D">
        <w:t>was 87.8% (95% CI: 75.2%, 95.4%) and the specificity was 99.4% (95% CI: 99.1%, 99.7%) compared with serology testing for t</w:t>
      </w:r>
      <w:r>
        <w:t xml:space="preserve">he diagnosis of HIV infection. </w:t>
      </w:r>
      <w:r w:rsidRPr="00B6544D">
        <w:t xml:space="preserve">These data differ from the sensitivity and specificity reported for the </w:t>
      </w:r>
      <w:r w:rsidR="00963976">
        <w:t xml:space="preserve">rapid point-of-care HIV Antigen/Antibody test </w:t>
      </w:r>
      <w:r w:rsidRPr="00B6544D">
        <w:t>provided in the pr</w:t>
      </w:r>
      <w:r w:rsidR="00D6339E">
        <w:t xml:space="preserve">oduct insert which states that </w:t>
      </w:r>
      <w:r w:rsidRPr="00B6544D">
        <w:t xml:space="preserve">the </w:t>
      </w:r>
      <w:r w:rsidR="00D6339E">
        <w:t>test</w:t>
      </w:r>
      <w:r w:rsidRPr="00B6544D">
        <w:t xml:space="preserve"> is 100.00% across 1,179 specimens positive for various types and subtypes of HIV. The specificity of the test is 99.61% for the antigen test line and the 99.21% for the antibody test line acro</w:t>
      </w:r>
      <w:r w:rsidR="00D6339E">
        <w:t>ss 1,783 HIV-negative specimens</w:t>
      </w:r>
      <w:r w:rsidRPr="00B6544D">
        <w:t xml:space="preserve">. </w:t>
      </w:r>
      <w:r w:rsidR="00D6339E">
        <w:t>MSAC</w:t>
      </w:r>
      <w:r w:rsidRPr="00D6339E">
        <w:t xml:space="preserve"> noted that the </w:t>
      </w:r>
      <w:r w:rsidR="00D6339E">
        <w:rPr>
          <w:szCs w:val="24"/>
        </w:rPr>
        <w:t>pre-ESC response</w:t>
      </w:r>
      <w:r w:rsidRPr="00D6339E">
        <w:rPr>
          <w:szCs w:val="24"/>
        </w:rPr>
        <w:t xml:space="preserve"> provided a third study (</w:t>
      </w:r>
      <w:proofErr w:type="spellStart"/>
      <w:r w:rsidRPr="00D6339E">
        <w:rPr>
          <w:szCs w:val="24"/>
        </w:rPr>
        <w:t>Debattista</w:t>
      </w:r>
      <w:proofErr w:type="spellEnd"/>
      <w:r w:rsidRPr="00D6339E">
        <w:rPr>
          <w:szCs w:val="24"/>
        </w:rPr>
        <w:t xml:space="preserve"> (2015)), but concluded that </w:t>
      </w:r>
      <w:r w:rsidR="00D6339E">
        <w:rPr>
          <w:szCs w:val="24"/>
        </w:rPr>
        <w:t xml:space="preserve">the additional data </w:t>
      </w:r>
      <w:r w:rsidRPr="00D6339E">
        <w:rPr>
          <w:szCs w:val="24"/>
        </w:rPr>
        <w:t>did not materially change the conclusions of the meta-analysis.</w:t>
      </w:r>
    </w:p>
    <w:p w:rsidR="00583EA4" w:rsidRPr="00B6544D" w:rsidRDefault="00583EA4" w:rsidP="009F3350">
      <w:r>
        <w:t xml:space="preserve">The </w:t>
      </w:r>
      <w:r w:rsidRPr="00B6544D">
        <w:t xml:space="preserve">differences in the reported sensitivity of the </w:t>
      </w:r>
      <w:r w:rsidR="00D6339E">
        <w:t xml:space="preserve">rapid point-of-care HIV Antigen/Antibody test </w:t>
      </w:r>
      <w:r w:rsidRPr="00B6544D">
        <w:t xml:space="preserve">from these Australian studies and the product insert are </w:t>
      </w:r>
      <w:r w:rsidR="00D6339E">
        <w:t xml:space="preserve">likely to be </w:t>
      </w:r>
      <w:r w:rsidRPr="00B6544D">
        <w:t>driven by a relatively high false</w:t>
      </w:r>
      <w:r>
        <w:t>-</w:t>
      </w:r>
      <w:r w:rsidRPr="00B6544D">
        <w:t xml:space="preserve">negative rate observed in the studies ((5/39; 12.8%) observed among men with early HIV infection (4/5; 80%) in Conway (2014) and among 1 of 10 (10%) cases and 1 of 3 (33%) </w:t>
      </w:r>
      <w:proofErr w:type="spellStart"/>
      <w:r w:rsidRPr="00B6544D">
        <w:t>seroconverters</w:t>
      </w:r>
      <w:proofErr w:type="spellEnd"/>
      <w:r w:rsidRPr="00B6544D">
        <w:t xml:space="preserve"> in </w:t>
      </w:r>
      <w:proofErr w:type="spellStart"/>
      <w:r w:rsidRPr="00B6544D">
        <w:t>Eu</w:t>
      </w:r>
      <w:proofErr w:type="spellEnd"/>
      <w:r w:rsidRPr="00B6544D">
        <w:t xml:space="preserve"> (2014)).</w:t>
      </w:r>
    </w:p>
    <w:p w:rsidR="00583EA4" w:rsidRPr="00B6544D" w:rsidRDefault="00D6339E" w:rsidP="009F3350">
      <w:r>
        <w:t>MSAC noted that t</w:t>
      </w:r>
      <w:r w:rsidR="00583EA4" w:rsidRPr="00D6339E">
        <w:t>he differences may be explained by differences in the sampling of cases and controls. Given HIV test results are affected by the time since infection, the proportion of newly infected patients tested is likely to influence diagnostic results (</w:t>
      </w:r>
      <w:proofErr w:type="spellStart"/>
      <w:r w:rsidR="00583EA4" w:rsidRPr="00D6339E">
        <w:t>eg</w:t>
      </w:r>
      <w:proofErr w:type="spellEnd"/>
      <w:r w:rsidR="00583EA4" w:rsidRPr="00D6339E">
        <w:t>. spectrum bias) because they will generate false-negative test results before becoming sufficiently seropositive to exceed detectable levels. In contrast, oversampling from the two extreme ends of the spectrum (</w:t>
      </w:r>
      <w:proofErr w:type="spellStart"/>
      <w:r w:rsidR="00583EA4" w:rsidRPr="00D6339E">
        <w:t>ie</w:t>
      </w:r>
      <w:proofErr w:type="spellEnd"/>
      <w:r w:rsidR="00583EA4" w:rsidRPr="00D6339E">
        <w:t>. confirmed seronegative and seropositive specimens), as relied upon in the product insert, tends to overestimate diagnostic accuracy (</w:t>
      </w:r>
      <w:proofErr w:type="spellStart"/>
      <w:r w:rsidR="00583EA4" w:rsidRPr="00D6339E">
        <w:t>Knottnerus</w:t>
      </w:r>
      <w:proofErr w:type="spellEnd"/>
      <w:r w:rsidR="00583EA4" w:rsidRPr="00D6339E">
        <w:t xml:space="preserve"> 2002).</w:t>
      </w:r>
    </w:p>
    <w:p w:rsidR="00583EA4" w:rsidRPr="00135BEF" w:rsidRDefault="00583EA4" w:rsidP="009F3350">
      <w:pPr>
        <w:pStyle w:val="Heading2"/>
      </w:pPr>
      <w:r w:rsidRPr="00135BEF">
        <w:t>Impact on patient management</w:t>
      </w:r>
    </w:p>
    <w:p w:rsidR="00583EA4" w:rsidRPr="00B6544D" w:rsidRDefault="00583EA4" w:rsidP="00583EA4">
      <w:r>
        <w:t>The</w:t>
      </w:r>
      <w:r w:rsidRPr="00B6544D">
        <w:t xml:space="preserve"> results of the </w:t>
      </w:r>
      <w:r>
        <w:t xml:space="preserve">single identified randomised </w:t>
      </w:r>
      <w:r w:rsidRPr="00B6544D">
        <w:t xml:space="preserve">trial </w:t>
      </w:r>
      <w:r>
        <w:t>by Read (2013)</w:t>
      </w:r>
      <w:r w:rsidRPr="00B6544D">
        <w:t xml:space="preserve"> indicate</w:t>
      </w:r>
      <w:r>
        <w:t>d</w:t>
      </w:r>
      <w:r w:rsidRPr="00B6544D">
        <w:t xml:space="preserve"> that there was no statistically significant difference between </w:t>
      </w:r>
      <w:r>
        <w:t>rapid point-of-care testing and serology testing</w:t>
      </w:r>
      <w:r w:rsidRPr="00B6544D">
        <w:t xml:space="preserve"> groups for the primary outcome of “HIV tests over 18 months” or the secondary outcomes of syphilis, chlamydia and gono</w:t>
      </w:r>
      <w:r>
        <w:t xml:space="preserve">rrhoea testing over 18 months. </w:t>
      </w:r>
      <w:r w:rsidRPr="00B6544D">
        <w:t>Hence, the possibility of having HIV tests by rapid point-of-care testing did not result in higher testing frequency over the study period of 18 months.</w:t>
      </w:r>
    </w:p>
    <w:p w:rsidR="00583EA4" w:rsidRDefault="00583EA4" w:rsidP="00945220">
      <w:r w:rsidRPr="00B6544D">
        <w:t xml:space="preserve">The authors also undertook </w:t>
      </w:r>
      <w:r w:rsidRPr="00B6544D">
        <w:rPr>
          <w:i/>
          <w:iCs/>
        </w:rPr>
        <w:t xml:space="preserve">post-hoc </w:t>
      </w:r>
      <w:r w:rsidRPr="00B6544D">
        <w:t xml:space="preserve">analyses considering only the first HIV test after enrolment and considering only subsequent HIV </w:t>
      </w:r>
      <w:r>
        <w:t xml:space="preserve">tests (excluding first tests). </w:t>
      </w:r>
      <w:r w:rsidRPr="00B6544D">
        <w:t>A statistically significantly greater number of first HIV tests/year after the enrolment test was observed in those randomised to the HIV testing by the rapid point-of-care test compared with conventional testing, however no differences were observed in the number of HIV tests/year when onl</w:t>
      </w:r>
      <w:r>
        <w:t>y considering subsequent tests.</w:t>
      </w:r>
      <w:r w:rsidRPr="00B6544D">
        <w:t xml:space="preserve"> Based on these results, the authors conclude</w:t>
      </w:r>
      <w:r w:rsidR="00945220">
        <w:t xml:space="preserve">d that </w:t>
      </w:r>
      <w:r w:rsidR="00945220" w:rsidRPr="00945220">
        <w:rPr>
          <w:i/>
        </w:rPr>
        <w:t>p</w:t>
      </w:r>
      <w:r w:rsidR="00945220">
        <w:rPr>
          <w:i/>
        </w:rPr>
        <w:t>ost-</w:t>
      </w:r>
      <w:r w:rsidRPr="00945220">
        <w:rPr>
          <w:i/>
        </w:rPr>
        <w:t>hoc</w:t>
      </w:r>
      <w:r w:rsidRPr="00B6544D">
        <w:t xml:space="preserve"> analysis sho</w:t>
      </w:r>
      <w:r w:rsidR="00945220">
        <w:t>wed an initial increase in the</w:t>
      </w:r>
      <w:r w:rsidRPr="00B6544D">
        <w:t xml:space="preserve"> rate of</w:t>
      </w:r>
      <w:r w:rsidR="00945220">
        <w:t xml:space="preserve"> testing that was not sustained</w:t>
      </w:r>
      <w:r w:rsidRPr="00B6544D">
        <w:t>.</w:t>
      </w:r>
    </w:p>
    <w:p w:rsidR="0061117D" w:rsidRPr="009F3350" w:rsidRDefault="00583EA4">
      <w:r w:rsidRPr="00B6544D">
        <w:t>The exclusion of “never” testers in the trial limits any increase in testing that may or may not have been observed i</w:t>
      </w:r>
      <w:r>
        <w:t xml:space="preserve">f they had also been enrolled. </w:t>
      </w:r>
      <w:r w:rsidRPr="00B6544D">
        <w:t xml:space="preserve">This is of particular relevance when considered in the context that the results of the patient satisfaction questionnaire reported in </w:t>
      </w:r>
      <w:proofErr w:type="spellStart"/>
      <w:r w:rsidRPr="00B6544D">
        <w:t>Eu</w:t>
      </w:r>
      <w:proofErr w:type="spellEnd"/>
      <w:r w:rsidRPr="00B6544D">
        <w:t xml:space="preserve"> (2014) indicated that one in five men would not have been tested if rapid point-of-care testing was not available.</w:t>
      </w:r>
    </w:p>
    <w:p w:rsidR="00BC1364" w:rsidRPr="009F3350" w:rsidRDefault="00BC1364" w:rsidP="00DD2858">
      <w:pPr>
        <w:pStyle w:val="Heading1"/>
        <w:numPr>
          <w:ilvl w:val="0"/>
          <w:numId w:val="23"/>
        </w:numPr>
        <w:ind w:hanging="720"/>
      </w:pPr>
      <w:r w:rsidRPr="008D5885">
        <w:t>Economic evaluation</w:t>
      </w:r>
    </w:p>
    <w:p w:rsidR="00583EA4" w:rsidRDefault="00583EA4" w:rsidP="00583EA4">
      <w:r>
        <w:t xml:space="preserve">The data reported in Conway (2014) and </w:t>
      </w:r>
      <w:proofErr w:type="spellStart"/>
      <w:r>
        <w:t>Eu</w:t>
      </w:r>
      <w:proofErr w:type="spellEnd"/>
      <w:r>
        <w:t xml:space="preserve"> (2014) indicated that </w:t>
      </w:r>
      <w:r w:rsidR="00945220">
        <w:t>the rapid point-of-care HIV A</w:t>
      </w:r>
      <w:r w:rsidR="00621E8E">
        <w:t>g/Ab</w:t>
      </w:r>
      <w:r w:rsidR="00945220">
        <w:t xml:space="preserve"> test</w:t>
      </w:r>
      <w:r>
        <w:t xml:space="preserve"> has inferior diagnostic accuracy for detecting HIV compared to serology testing; whereas data reported in Read (2013) indicated that there was no statistically significant difference between the groups randomised to rapid point-of-care testing and serology testing in terms of number of tests/year for HIV. </w:t>
      </w:r>
      <w:r w:rsidR="00945220">
        <w:t>Therefore, t</w:t>
      </w:r>
      <w:r>
        <w:t xml:space="preserve">o account for the differential diagnostic accuracy, a cost-effectiveness analysis </w:t>
      </w:r>
      <w:r w:rsidR="00945220">
        <w:t>was presented</w:t>
      </w:r>
      <w:r>
        <w:t>.</w:t>
      </w:r>
    </w:p>
    <w:p w:rsidR="00583EA4" w:rsidRDefault="00583EA4" w:rsidP="00583EA4">
      <w:r>
        <w:t xml:space="preserve">The base case of the model assumed no difference in testing frequency between the two arms of the model. Sensitivity analyses were conducted modifying some assumptions to attempt to capture other reasonable scenarios, including the qualitative patient satisfaction evidence in </w:t>
      </w:r>
      <w:proofErr w:type="spellStart"/>
      <w:r>
        <w:t>Eu</w:t>
      </w:r>
      <w:proofErr w:type="spellEnd"/>
      <w:r>
        <w:t xml:space="preserve"> (2014) and the </w:t>
      </w:r>
      <w:r w:rsidRPr="00A82411">
        <w:rPr>
          <w:i/>
        </w:rPr>
        <w:t>post-hoc</w:t>
      </w:r>
      <w:r>
        <w:t xml:space="preserve"> analysis in Read (2013).</w:t>
      </w:r>
    </w:p>
    <w:p w:rsidR="00583EA4" w:rsidRDefault="00583EA4" w:rsidP="00583EA4">
      <w:r>
        <w:t>T</w:t>
      </w:r>
      <w:r w:rsidRPr="0022302B">
        <w:t xml:space="preserve">he type of economic evaluation presented is a </w:t>
      </w:r>
      <w:r>
        <w:t xml:space="preserve">novel static </w:t>
      </w:r>
      <w:r w:rsidRPr="0022302B">
        <w:t xml:space="preserve">cost-consequences analysis which estimates cost per various test outcomes associated with the </w:t>
      </w:r>
      <w:r w:rsidR="00B713F5">
        <w:t>rapid point-of-care HIV Ag/Ab</w:t>
      </w:r>
      <w:r w:rsidRPr="0022302B">
        <w:t xml:space="preserve"> test and conventional testing (</w:t>
      </w:r>
      <w:r>
        <w:t>four</w:t>
      </w:r>
      <w:r w:rsidRPr="0022302B">
        <w:t>th generation EIA) over one year.</w:t>
      </w:r>
      <w:r>
        <w:t xml:space="preserve"> </w:t>
      </w:r>
      <w:r w:rsidRPr="00AC00C9">
        <w:t xml:space="preserve">The population in the model is assumed to be all Australian MSM without diagnosed HIV, and includes </w:t>
      </w:r>
      <w:r>
        <w:t>individuals</w:t>
      </w:r>
      <w:r w:rsidRPr="00AC00C9">
        <w:t xml:space="preserve"> who are seropositive, seroconverting and seronegative.</w:t>
      </w:r>
    </w:p>
    <w:p w:rsidR="00945220" w:rsidRDefault="00583EA4" w:rsidP="00583EA4">
      <w:r>
        <w:t xml:space="preserve">A </w:t>
      </w:r>
      <w:r w:rsidR="00945220">
        <w:t>decision analytic Markov model wa</w:t>
      </w:r>
      <w:r>
        <w:t xml:space="preserve">s used to estimate the cost per various test outcomes over a one year time horizon with three-monthly cycles, of a scenario where the </w:t>
      </w:r>
      <w:r w:rsidR="00945220">
        <w:t>rapid point</w:t>
      </w:r>
      <w:r w:rsidR="00DC58E9">
        <w:noBreakHyphen/>
      </w:r>
      <w:r w:rsidR="00945220">
        <w:t>of-care HIV A</w:t>
      </w:r>
      <w:r w:rsidR="00621E8E">
        <w:t>g/Ab</w:t>
      </w:r>
      <w:r w:rsidR="00945220">
        <w:t xml:space="preserve"> test </w:t>
      </w:r>
      <w:r>
        <w:t xml:space="preserve">is available for screening HIV in high-risk </w:t>
      </w:r>
      <w:r>
        <w:rPr>
          <w:bCs/>
        </w:rPr>
        <w:t>individual</w:t>
      </w:r>
      <w:r w:rsidRPr="00102204">
        <w:rPr>
          <w:bCs/>
        </w:rPr>
        <w:t>s</w:t>
      </w:r>
      <w:r>
        <w:t xml:space="preserve">. </w:t>
      </w:r>
      <w:r w:rsidRPr="005C55AB">
        <w:t>MSM without a diagnosis of HIV are assumed to commence each cycle in one of four health states</w:t>
      </w:r>
      <w:r>
        <w:t xml:space="preserve"> (</w:t>
      </w:r>
      <w:proofErr w:type="spellStart"/>
      <w:r>
        <w:t>i</w:t>
      </w:r>
      <w:proofErr w:type="spellEnd"/>
      <w:r>
        <w:t>) “Seropositive”, (ii) “Seroconverting”, (iii) “Seronegative” , (iv) “HIV diagnosed”. Monte Carlo simulation is used to accommodate the heterogeneous population, conditional transition state probabilities, and incorporates a tracker variable for number of tests required by t</w:t>
      </w:r>
      <w:r w:rsidR="00945220">
        <w:t>he clinical evidence available.</w:t>
      </w:r>
    </w:p>
    <w:p w:rsidR="00583EA4" w:rsidRDefault="00583EA4" w:rsidP="00583EA4">
      <w:r w:rsidRPr="00F4019F">
        <w:t xml:space="preserve">There is no precise “window period” </w:t>
      </w:r>
      <w:r w:rsidR="00621E8E">
        <w:t>during which</w:t>
      </w:r>
      <w:r>
        <w:t xml:space="preserve"> a HIV test will detect an</w:t>
      </w:r>
      <w:r w:rsidR="00945220">
        <w:t xml:space="preserve"> </w:t>
      </w:r>
      <w:r w:rsidRPr="00F4019F">
        <w:t>infection that it would not hav</w:t>
      </w:r>
      <w:r>
        <w:t xml:space="preserve">e detected prior to this time. </w:t>
      </w:r>
      <w:r w:rsidRPr="00F4019F">
        <w:t>Therefore, in the seroconverting state, the probability of a positive diagnosis is assumed to i</w:t>
      </w:r>
      <w:r>
        <w:t xml:space="preserve">ncrease over time (Owen 2008). </w:t>
      </w:r>
      <w:r w:rsidRPr="00F4019F">
        <w:t>Wilson (2011) model</w:t>
      </w:r>
      <w:r>
        <w:t>led</w:t>
      </w:r>
      <w:r w:rsidRPr="00F4019F">
        <w:t xml:space="preserve"> the window periods of the third and fourth generation EIA and point-of-care tests </w:t>
      </w:r>
      <w:r>
        <w:t>using a logistic growth curves.</w:t>
      </w:r>
      <w:r w:rsidRPr="00F4019F">
        <w:t xml:space="preserve"> The medians are set equal to the defined window periods for each test after the detection of HIV </w:t>
      </w:r>
      <w:r>
        <w:t>ribonucleic acid (</w:t>
      </w:r>
      <w:r w:rsidRPr="00F4019F">
        <w:t>RNA</w:t>
      </w:r>
      <w:r>
        <w:t>)</w:t>
      </w:r>
      <w:r w:rsidRPr="00F4019F">
        <w:t xml:space="preserve"> with the Nucleic Acid Test, 10 days for the </w:t>
      </w:r>
      <w:r w:rsidR="00B713F5">
        <w:t>rapid point-of-care HIV Ag/Ab</w:t>
      </w:r>
      <w:r w:rsidRPr="00F4019F">
        <w:t xml:space="preserve"> test and five d</w:t>
      </w:r>
      <w:r>
        <w:t xml:space="preserve">ays for fourth generation EIA. </w:t>
      </w:r>
      <w:r w:rsidRPr="00F4019F">
        <w:t xml:space="preserve">However, there is an eclipse period between the day of infection and </w:t>
      </w:r>
      <w:r w:rsidR="00621E8E">
        <w:t xml:space="preserve">the </w:t>
      </w:r>
      <w:r w:rsidRPr="00F4019F">
        <w:t>day w</w:t>
      </w:r>
      <w:r>
        <w:t>hen HIV markers are detectable.</w:t>
      </w:r>
      <w:r w:rsidRPr="00F4019F">
        <w:t xml:space="preserve"> The eclipse period is approximately 2 weeks from infection to antigen, suggesting the median window periods for fourth generation EIA and the </w:t>
      </w:r>
      <w:r w:rsidR="00B713F5">
        <w:t>rapid point-of-care HIV Ag/Ab</w:t>
      </w:r>
      <w:r w:rsidRPr="00F4019F">
        <w:t xml:space="preserve"> test are approximately 20 and 25 days respectively</w:t>
      </w:r>
      <w:r>
        <w:t xml:space="preserve"> </w:t>
      </w:r>
      <w:r w:rsidRPr="00F4019F">
        <w:t>(</w:t>
      </w:r>
      <w:r>
        <w:t xml:space="preserve">Figure 2, </w:t>
      </w:r>
      <w:r w:rsidRPr="00F4019F">
        <w:t>Cohen 2010)</w:t>
      </w:r>
      <w:r>
        <w:t>.</w:t>
      </w:r>
    </w:p>
    <w:p w:rsidR="00583EA4" w:rsidRDefault="00583EA4" w:rsidP="00583EA4">
      <w:pPr>
        <w:ind w:left="720"/>
      </w:pPr>
    </w:p>
    <w:p w:rsidR="00F00FF2" w:rsidRDefault="00F00FF2">
      <w:pPr>
        <w:rPr>
          <w:rStyle w:val="CaptionChar"/>
        </w:rPr>
      </w:pPr>
      <w:r>
        <w:rPr>
          <w:rStyle w:val="CaptionChar"/>
        </w:rPr>
        <w:br w:type="page"/>
      </w:r>
    </w:p>
    <w:p w:rsidR="00583EA4" w:rsidRDefault="00583EA4" w:rsidP="00583EA4">
      <w:pPr>
        <w:rPr>
          <w:rStyle w:val="CaptionChar"/>
        </w:rPr>
      </w:pPr>
      <w:r w:rsidRPr="009648A4">
        <w:rPr>
          <w:rStyle w:val="CaptionChar"/>
        </w:rPr>
        <w:t xml:space="preserve">Figure </w:t>
      </w:r>
      <w:r>
        <w:rPr>
          <w:rStyle w:val="CaptionChar"/>
        </w:rPr>
        <w:t>2</w:t>
      </w:r>
      <w:r w:rsidRPr="009648A4">
        <w:rPr>
          <w:rStyle w:val="CaptionChar"/>
        </w:rPr>
        <w:tab/>
      </w:r>
      <w:r w:rsidRPr="0064039F">
        <w:rPr>
          <w:rStyle w:val="CaptionChar"/>
        </w:rPr>
        <w:t>The median window periods for fourth generation EIA and the DHC test</w:t>
      </w:r>
    </w:p>
    <w:p w:rsidR="00583EA4" w:rsidRPr="00005494" w:rsidRDefault="00583EA4" w:rsidP="00005494">
      <w:pPr>
        <w:rPr>
          <w:rFonts w:ascii="Arial Narrow" w:eastAsiaTheme="minorHAnsi" w:hAnsi="Arial Narrow" w:cstheme="minorBidi"/>
          <w:b/>
          <w:iCs/>
          <w:sz w:val="20"/>
          <w:szCs w:val="18"/>
          <w:lang w:eastAsia="en-US"/>
        </w:rPr>
      </w:pPr>
      <w:r>
        <w:rPr>
          <w:noProof/>
        </w:rPr>
        <w:drawing>
          <wp:inline distT="0" distB="0" distL="0" distR="0" wp14:anchorId="04AA24EB" wp14:editId="0E56F928">
            <wp:extent cx="5295014" cy="2234311"/>
            <wp:effectExtent l="0" t="0" r="1270" b="0"/>
            <wp:docPr id="4" name="Picture 4" descr="The median window periods for fourth generation EIA and the DHC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monash.edu\home\User057\pghijben\Desktop\Doc6.tif"/>
                    <pic:cNvPicPr>
                      <a:picLocks noChangeAspect="1" noChangeArrowheads="1"/>
                    </pic:cNvPicPr>
                  </pic:nvPicPr>
                  <pic:blipFill rotWithShape="1">
                    <a:blip r:embed="rId11">
                      <a:extLst>
                        <a:ext uri="{28A0092B-C50C-407E-A947-70E740481C1C}">
                          <a14:useLocalDpi xmlns:a14="http://schemas.microsoft.com/office/drawing/2010/main" val="0"/>
                        </a:ext>
                      </a:extLst>
                    </a:blip>
                    <a:srcRect/>
                    <a:stretch/>
                  </pic:blipFill>
                  <pic:spPr bwMode="auto">
                    <a:xfrm>
                      <a:off x="0" y="0"/>
                      <a:ext cx="5295014" cy="2234311"/>
                    </a:xfrm>
                    <a:prstGeom prst="rect">
                      <a:avLst/>
                    </a:prstGeom>
                    <a:noFill/>
                    <a:ln>
                      <a:noFill/>
                    </a:ln>
                    <a:extLst>
                      <a:ext uri="{53640926-AAD7-44D8-BBD7-CCE9431645EC}">
                        <a14:shadowObscured xmlns:a14="http://schemas.microsoft.com/office/drawing/2010/main"/>
                      </a:ext>
                    </a:extLst>
                  </pic:spPr>
                </pic:pic>
              </a:graphicData>
            </a:graphic>
          </wp:inline>
        </w:drawing>
      </w:r>
    </w:p>
    <w:p w:rsidR="00583EA4" w:rsidRDefault="00583EA4" w:rsidP="00583EA4">
      <w:r>
        <w:t>The base case of the modelled economic evaluation predict</w:t>
      </w:r>
      <w:r w:rsidR="00945220">
        <w:t>ed</w:t>
      </w:r>
      <w:r w:rsidRPr="00FA4C45">
        <w:t xml:space="preserve"> 10 fewer cases of HIV will be detected via screening with the </w:t>
      </w:r>
      <w:r w:rsidR="00945220">
        <w:t>rapid point-of-care HIV A</w:t>
      </w:r>
      <w:r w:rsidR="00014027">
        <w:t>g/Ab</w:t>
      </w:r>
      <w:r w:rsidR="00945220">
        <w:t xml:space="preserve"> test</w:t>
      </w:r>
      <w:r w:rsidR="00945220" w:rsidRPr="00FA4C45">
        <w:t xml:space="preserve"> </w:t>
      </w:r>
      <w:r w:rsidRPr="00FA4C45">
        <w:t xml:space="preserve">compared to standard laboratory testing, largely due to the window </w:t>
      </w:r>
      <w:r>
        <w:t xml:space="preserve">periods assumed for the tests. </w:t>
      </w:r>
      <w:r w:rsidRPr="00FA4C45">
        <w:t>Of those not diagnosed, all commenced in the seronegative health state and</w:t>
      </w:r>
      <w:r>
        <w:t xml:space="preserve"> were infected within the year.</w:t>
      </w:r>
      <w:r w:rsidRPr="00FA4C45">
        <w:t xml:space="preserve"> The incremental cost of the </w:t>
      </w:r>
      <w:r w:rsidR="00945220">
        <w:t>rapid point-of-care HIV A</w:t>
      </w:r>
      <w:r w:rsidR="00014027">
        <w:t>g/Ab</w:t>
      </w:r>
      <w:r w:rsidR="00945220">
        <w:t xml:space="preserve"> test</w:t>
      </w:r>
      <w:r w:rsidR="00945220" w:rsidRPr="00FA4C45">
        <w:t xml:space="preserve"> </w:t>
      </w:r>
      <w:r w:rsidRPr="00FA4C45">
        <w:t>is $</w:t>
      </w:r>
      <w:proofErr w:type="gramStart"/>
      <w:r w:rsidRPr="00FA4C45">
        <w:t>941,454,</w:t>
      </w:r>
      <w:proofErr w:type="gramEnd"/>
      <w:r w:rsidRPr="00FA4C45">
        <w:t xml:space="preserve"> therefore the strategy is dominated</w:t>
      </w:r>
      <w:r>
        <w:t xml:space="preserve"> (</w:t>
      </w:r>
      <w:proofErr w:type="spellStart"/>
      <w:r>
        <w:t>ie</w:t>
      </w:r>
      <w:proofErr w:type="spellEnd"/>
      <w:r>
        <w:t>. less effective and more expensive)</w:t>
      </w:r>
      <w:r w:rsidRPr="00FA4C45">
        <w:t xml:space="preserve">. This result is consistent with the assumption of no differences in testing frequency, and with the increased cost/test for the </w:t>
      </w:r>
      <w:r w:rsidR="00945220">
        <w:t>rapid point-of-care HIV A</w:t>
      </w:r>
      <w:r w:rsidR="00014027">
        <w:t>g/Ab</w:t>
      </w:r>
      <w:r w:rsidR="00945220">
        <w:t xml:space="preserve"> test </w:t>
      </w:r>
      <w:r>
        <w:t>compared with serology testing.</w:t>
      </w:r>
    </w:p>
    <w:p w:rsidR="00BC1364" w:rsidRPr="00005494" w:rsidRDefault="00583EA4" w:rsidP="00DD2858">
      <w:r>
        <w:t xml:space="preserve">The results of the sensitivity analyses demonstrate that the ICER is most sensitive to the assumption that the availability of the </w:t>
      </w:r>
      <w:r w:rsidR="00945220">
        <w:t>rapid point-of-care HIV A</w:t>
      </w:r>
      <w:r w:rsidR="00014027">
        <w:t>g/Ab</w:t>
      </w:r>
      <w:r w:rsidR="00945220">
        <w:t xml:space="preserve"> test </w:t>
      </w:r>
      <w:r>
        <w:t xml:space="preserve">would encourage a greater proportion of MSM to be tested (ICER=$46,689/additional HIV detection; assuming an increase from 55% to 58% of MSM are tested) and assumed increases in testing frequency with the </w:t>
      </w:r>
      <w:r w:rsidR="00945220">
        <w:t>rapid point-of-care HIV A</w:t>
      </w:r>
      <w:r w:rsidR="00014027">
        <w:t>g/Ab</w:t>
      </w:r>
      <w:r w:rsidR="00945220">
        <w:t xml:space="preserve"> test </w:t>
      </w:r>
      <w:r>
        <w:t>compared with serology testing (ICER=$32,217/additional HIV detection).</w:t>
      </w:r>
    </w:p>
    <w:p w:rsidR="00BC1364" w:rsidRDefault="00BC1364" w:rsidP="00D340DE">
      <w:pPr>
        <w:pStyle w:val="Heading1"/>
        <w:numPr>
          <w:ilvl w:val="0"/>
          <w:numId w:val="23"/>
        </w:numPr>
        <w:ind w:hanging="720"/>
      </w:pPr>
      <w:r w:rsidRPr="008D5885">
        <w:t>Financial/budgetary impacts</w:t>
      </w:r>
    </w:p>
    <w:p w:rsidR="00945220" w:rsidRDefault="00583EA4" w:rsidP="00583EA4">
      <w:r>
        <w:t xml:space="preserve">The number of tests that are likely to be undertaken amongst high risk individuals is unknown. </w:t>
      </w:r>
    </w:p>
    <w:p w:rsidR="00945220" w:rsidRDefault="00945220" w:rsidP="00583EA4">
      <w:r>
        <w:t>A</w:t>
      </w:r>
      <w:r w:rsidR="00583EA4">
        <w:t xml:space="preserve">ssuming direct substitution and 45,000 rapid tests per year (Protocol, p5), the total cost to the Australian healthcare system would be approximately $249,300, where the additional cost is associated with fewer HIV diagnoses. </w:t>
      </w:r>
    </w:p>
    <w:p w:rsidR="00583EA4" w:rsidRDefault="00583EA4" w:rsidP="00583EA4">
      <w:r>
        <w:t>Assuming sequential use and 45,000 tests per year, the total cost would be approximately $1,175,850, where the additional cost would be associated with no differences in the number of HIV diagnoses.</w:t>
      </w:r>
    </w:p>
    <w:p w:rsidR="00BC1364" w:rsidRPr="00005494" w:rsidRDefault="00583EA4" w:rsidP="00D340DE">
      <w:pPr>
        <w:rPr>
          <w:bCs/>
        </w:rPr>
      </w:pPr>
      <w:r>
        <w:t>Based on the number of tests estimated in the base case of the modelled economic evaluation of 119,889 tests per year, assuming direct substitution, the total cost to the Australian healthcare system would be approximately $664,185 (additional cost with fewer HIV diagnoses); assuming sequential use, the total cost would be approximately $3,132,700 (additional cost is associated with no differences in the number of HIV diagnoses).</w:t>
      </w:r>
    </w:p>
    <w:p w:rsidR="003B7075" w:rsidRDefault="003B7075">
      <w:pPr>
        <w:rPr>
          <w:rFonts w:ascii="Arial" w:hAnsi="Arial"/>
          <w:b/>
          <w:bCs/>
          <w:szCs w:val="28"/>
        </w:rPr>
      </w:pPr>
      <w:r>
        <w:br w:type="page"/>
      </w:r>
    </w:p>
    <w:p w:rsidR="00583EA4" w:rsidRDefault="006A0D97" w:rsidP="00583EA4">
      <w:pPr>
        <w:pStyle w:val="Heading1"/>
        <w:numPr>
          <w:ilvl w:val="0"/>
          <w:numId w:val="23"/>
        </w:numPr>
        <w:ind w:hanging="720"/>
      </w:pPr>
      <w:r w:rsidRPr="006A0D97">
        <w:t>Key issues from ESC for MSAC</w:t>
      </w:r>
    </w:p>
    <w:p w:rsidR="00583EA4" w:rsidRDefault="00583EA4" w:rsidP="00005494">
      <w:r>
        <w:t>ESC noted that comparator issues were whether the public funding of point-of-care HIV testing would increase the overall volume of HIV testing and, if so, the extent to which this would represent increased testing of individuals who would be less inclined to be tested otherwise, and the extent to which this would represent additional testing of individuals already being tested. ESC noted the emphasis on these matt</w:t>
      </w:r>
      <w:r w:rsidR="005801AB">
        <w:t>ers in the a</w:t>
      </w:r>
      <w:r>
        <w:t xml:space="preserve">pplicant’s </w:t>
      </w:r>
      <w:r w:rsidR="005801AB">
        <w:t>pre-ESC response</w:t>
      </w:r>
      <w:r>
        <w:t>.</w:t>
      </w:r>
    </w:p>
    <w:p w:rsidR="00005494" w:rsidRDefault="00583EA4" w:rsidP="00005494">
      <w:r>
        <w:t xml:space="preserve">ESC advised that a key issue for consideration would therefore be the performance of the test in early infections, noting the Conway et al. paper suggested the sensitivity rate in these populations was 66.7%. Differences across the tests in the “window period” between acquiring an HIV infection and having detectable </w:t>
      </w:r>
      <w:proofErr w:type="spellStart"/>
      <w:r>
        <w:t>seropositivity</w:t>
      </w:r>
      <w:proofErr w:type="spellEnd"/>
      <w:r>
        <w:t xml:space="preserve"> are relevant considerations in judging the comparative performance of the test options and in judging the performance of the point-of-care test for high-risk individuals not getting or delaying serology testing.</w:t>
      </w:r>
    </w:p>
    <w:p w:rsidR="00583EA4" w:rsidRDefault="00583EA4" w:rsidP="00005494">
      <w:r>
        <w:t xml:space="preserve">ESC noted that the economic model had attempted to deal with poor performance of the test during the </w:t>
      </w:r>
      <w:proofErr w:type="spellStart"/>
      <w:r>
        <w:t>seroconversion</w:t>
      </w:r>
      <w:proofErr w:type="spellEnd"/>
      <w:r>
        <w:t xml:space="preserve"> period through the incorporation of the testing window. The base case concluded that funding the point-of-care test would increase costs and decrease HIV diagnoses, which has important negative consequences for subsequent health outcomes. However, ESC considered that, </w:t>
      </w:r>
      <w:proofErr w:type="gramStart"/>
      <w:r>
        <w:t>overall,</w:t>
      </w:r>
      <w:proofErr w:type="gramEnd"/>
      <w:r>
        <w:t xml:space="preserve"> the economic model did not reflect the clinical evidence well, particularly for early infections. Increasing the number of tests conducted overall increased costs further, but did suggest a decrease in HIV diagnoses.</w:t>
      </w:r>
    </w:p>
    <w:p w:rsidR="00583EA4" w:rsidRDefault="00583EA4" w:rsidP="00005494">
      <w:r>
        <w:t>ESC also noted that the model was highly sensitive to assumptions regarding behaviour change</w:t>
      </w:r>
      <w:r w:rsidR="00785E5F">
        <w:t>,</w:t>
      </w:r>
      <w:r>
        <w:t xml:space="preserve"> which might be attributed to the faster turnaround time of 20 to 30 minutes rather than two to three days with serology testing, and that there was no sensitivity analysis of diagnostic accuracy.</w:t>
      </w:r>
    </w:p>
    <w:p w:rsidR="008835A8" w:rsidRDefault="00583EA4" w:rsidP="00005494">
      <w:r>
        <w:t>ESC considered that key uncertainties in the financial analysis were whether, and to what degree</w:t>
      </w:r>
      <w:r w:rsidR="008E3D54">
        <w:t>,</w:t>
      </w:r>
      <w:r>
        <w:t xml:space="preserve"> point-of-care testing would substitute for serology testing or be provided sequentially as an additional test, and whether the availability of point-of-care testing would increase the proportion of the overall high-risk population which is tested. ESC noted the total financial implications of funding the point-of-care test was calculated to be up to $6 million with an increase in HIV diagnoses if testing were to increase by three per cent.</w:t>
      </w:r>
    </w:p>
    <w:p w:rsidR="008835A8" w:rsidRPr="00583EA4" w:rsidRDefault="008835A8" w:rsidP="00005494">
      <w:r w:rsidRPr="00583EA4">
        <w:t xml:space="preserve">The Protocol stated that the proposed MBS item descriptor </w:t>
      </w:r>
      <w:r>
        <w:t>(</w:t>
      </w:r>
      <w:r w:rsidRPr="00583EA4">
        <w:t>or an accompanying explanatory note</w:t>
      </w:r>
      <w:r>
        <w:t>)</w:t>
      </w:r>
      <w:r w:rsidRPr="00583EA4">
        <w:t xml:space="preserve"> would need to explain that the test must be performed at the point-of-care</w:t>
      </w:r>
      <w:r>
        <w:t>,</w:t>
      </w:r>
      <w:r w:rsidRPr="00583EA4">
        <w:t xml:space="preserve"> and that the MBS item cannot be claimed on laboratory testing.</w:t>
      </w:r>
    </w:p>
    <w:p w:rsidR="008835A8" w:rsidRPr="00583EA4" w:rsidRDefault="008835A8" w:rsidP="00005494">
      <w:r w:rsidRPr="00583EA4">
        <w:t xml:space="preserve">ESC considered that the proposed item descriptor would need an explanatory note which explicitly stated whether the test should be used in GP or sexual health clinics, </w:t>
      </w:r>
      <w:r>
        <w:t>as</w:t>
      </w:r>
      <w:r w:rsidRPr="00583EA4">
        <w:t xml:space="preserve"> intended, and should exclude the use for screening of blood or organ donation specimens or use in routine pre-natal testing (which is also intended).</w:t>
      </w:r>
    </w:p>
    <w:p w:rsidR="008835A8" w:rsidRPr="003B4FC7" w:rsidRDefault="008835A8" w:rsidP="00005494">
      <w:pPr>
        <w:rPr>
          <w:szCs w:val="24"/>
        </w:rPr>
      </w:pPr>
      <w:r w:rsidRPr="003B4FC7">
        <w:t xml:space="preserve">Consideration </w:t>
      </w:r>
      <w:r>
        <w:t>would also be</w:t>
      </w:r>
      <w:r w:rsidRPr="003B4FC7">
        <w:t xml:space="preserve"> required as to </w:t>
      </w:r>
      <w:r>
        <w:t>h</w:t>
      </w:r>
      <w:r w:rsidRPr="003B4FC7">
        <w:t>ow the test would be billed in the event of an invalid test result</w:t>
      </w:r>
      <w:r>
        <w:t>,</w:t>
      </w:r>
      <w:r w:rsidRPr="003B4FC7">
        <w:t xml:space="preserve"> or if a clinician decide</w:t>
      </w:r>
      <w:r>
        <w:t>d</w:t>
      </w:r>
      <w:r w:rsidRPr="003B4FC7">
        <w:t xml:space="preserve"> to repeat the test in the </w:t>
      </w:r>
      <w:r w:rsidRPr="003B4FC7">
        <w:rPr>
          <w:szCs w:val="24"/>
        </w:rPr>
        <w:t xml:space="preserve">event of an initial reactive </w:t>
      </w:r>
      <w:proofErr w:type="gramStart"/>
      <w:r w:rsidRPr="003B4FC7">
        <w:rPr>
          <w:szCs w:val="24"/>
        </w:rPr>
        <w:t>result</w:t>
      </w:r>
      <w:proofErr w:type="gramEnd"/>
      <w:r w:rsidRPr="003B4FC7">
        <w:rPr>
          <w:szCs w:val="24"/>
        </w:rPr>
        <w:t xml:space="preserve"> prior to referral for serology testing</w:t>
      </w:r>
      <w:r>
        <w:rPr>
          <w:szCs w:val="24"/>
        </w:rPr>
        <w:t xml:space="preserve">. </w:t>
      </w:r>
    </w:p>
    <w:p w:rsidR="008835A8" w:rsidRDefault="008835A8" w:rsidP="00985C10"/>
    <w:p w:rsidR="001B12F2" w:rsidRPr="003B4FC7" w:rsidRDefault="001B12F2" w:rsidP="001B12F2">
      <w:r w:rsidRPr="003B4FC7">
        <w:t xml:space="preserve">An additional management fee is applicable to Group P9 </w:t>
      </w:r>
      <w:r>
        <w:t>- S</w:t>
      </w:r>
      <w:r w:rsidRPr="003B4FC7">
        <w:t xml:space="preserve">imple basic pathology tests if the service is bulk-billed, </w:t>
      </w:r>
      <w:r>
        <w:t xml:space="preserve">ranging from </w:t>
      </w:r>
      <w:r w:rsidRPr="003B4FC7">
        <w:t>$7.05 to $10.65 (85% benefit of $6.00 to $9.10) depending on location.</w:t>
      </w:r>
    </w:p>
    <w:p w:rsidR="001B12F2" w:rsidRDefault="001B12F2" w:rsidP="003B7075">
      <w:r w:rsidRPr="003B4FC7">
        <w:t>There are numerous MBS item numbers applicable to serology-based HIV testing, with a relevant associated direct fee of $15.65 (85% benefit of $13.35) plus additional fees of $2.40 to $9.95 (85% benefit $2.05 to $8.50) depending on the circumstances of the test.</w:t>
      </w:r>
    </w:p>
    <w:p w:rsidR="00005494" w:rsidRDefault="00583EA4" w:rsidP="00005494">
      <w:r>
        <w:t xml:space="preserve">ESC considered that, should </w:t>
      </w:r>
      <w:r w:rsidR="005801AB">
        <w:t>this be</w:t>
      </w:r>
      <w:r>
        <w:t xml:space="preserve"> recommend</w:t>
      </w:r>
      <w:r w:rsidR="005801AB">
        <w:t>ed for</w:t>
      </w:r>
      <w:r>
        <w:t xml:space="preserve"> funding, the item descriptor could be improved by including clearer exclusion criteria for appropriate clinical settings and definitions of high-risk individuals, clarifying rules around billing for invalid and repeat tests, and restricting claims for confirmatory serology testing (which would impact cost-effectiveness).</w:t>
      </w:r>
    </w:p>
    <w:p w:rsidR="00583EA4" w:rsidRPr="00005494" w:rsidRDefault="00F00FF2" w:rsidP="00F00FF2">
      <w:r>
        <w:t xml:space="preserve">ESC agreed that further </w:t>
      </w:r>
      <w:r w:rsidR="00583EA4" w:rsidRPr="00583EA4">
        <w:t xml:space="preserve">clarification about the </w:t>
      </w:r>
      <w:r>
        <w:t xml:space="preserve">assessment report </w:t>
      </w:r>
      <w:r w:rsidR="00583EA4" w:rsidRPr="00583EA4">
        <w:t xml:space="preserve">modelled economic evaluation </w:t>
      </w:r>
      <w:r>
        <w:t>should be</w:t>
      </w:r>
      <w:r w:rsidR="00583EA4" w:rsidRPr="00583EA4">
        <w:t xml:space="preserve"> </w:t>
      </w:r>
      <w:r>
        <w:t>requested</w:t>
      </w:r>
      <w:r w:rsidR="00583EA4" w:rsidRPr="00583EA4">
        <w:t>.</w:t>
      </w:r>
    </w:p>
    <w:p w:rsidR="00D90A38" w:rsidRPr="00005494" w:rsidRDefault="00BC1364" w:rsidP="00DD2858">
      <w:pPr>
        <w:pStyle w:val="Heading1"/>
        <w:numPr>
          <w:ilvl w:val="0"/>
          <w:numId w:val="23"/>
        </w:numPr>
        <w:ind w:hanging="720"/>
      </w:pPr>
      <w:r w:rsidRPr="008D5885">
        <w:t>Other significant factors</w:t>
      </w:r>
    </w:p>
    <w:p w:rsidR="00BC1364" w:rsidRPr="00005494" w:rsidRDefault="006F20BD" w:rsidP="00005494">
      <w:proofErr w:type="gramStart"/>
      <w:r>
        <w:t>Nil</w:t>
      </w:r>
      <w:r w:rsidR="00F24D7D">
        <w:t>.</w:t>
      </w:r>
      <w:proofErr w:type="gramEnd"/>
    </w:p>
    <w:p w:rsidR="00BC1364" w:rsidRPr="00005494" w:rsidRDefault="00BC1364" w:rsidP="00005494">
      <w:pPr>
        <w:pStyle w:val="Heading1"/>
        <w:numPr>
          <w:ilvl w:val="0"/>
          <w:numId w:val="23"/>
        </w:numPr>
        <w:ind w:hanging="720"/>
      </w:pPr>
      <w:r w:rsidRPr="008D5885">
        <w:t xml:space="preserve">Applicant’s comments on MSAC’s </w:t>
      </w:r>
      <w:r w:rsidR="00DA56AA">
        <w:t>Public Summary Document</w:t>
      </w:r>
    </w:p>
    <w:p w:rsidR="00244036" w:rsidRDefault="00C17A06" w:rsidP="003A4187">
      <w:pPr>
        <w:rPr>
          <w:szCs w:val="24"/>
        </w:rPr>
      </w:pPr>
      <w:proofErr w:type="spellStart"/>
      <w:r w:rsidRPr="00D4266C">
        <w:rPr>
          <w:szCs w:val="24"/>
        </w:rPr>
        <w:t>Alere</w:t>
      </w:r>
      <w:proofErr w:type="spellEnd"/>
      <w:r w:rsidRPr="00D4266C">
        <w:rPr>
          <w:szCs w:val="24"/>
        </w:rPr>
        <w:t xml:space="preserve"> is disappointed with the decision not to recommend funding of rapid point of care HIV testing but acknowledges the areas of uncertainty that were identified by MSAC. New Australian evidence has recently been presented showing that the availability of rapid HIV testing significantly increases testing in high-risk groups and is cost-effective. </w:t>
      </w:r>
      <w:proofErr w:type="spellStart"/>
      <w:r w:rsidRPr="00D4266C">
        <w:rPr>
          <w:szCs w:val="24"/>
        </w:rPr>
        <w:t>Alere</w:t>
      </w:r>
      <w:proofErr w:type="spellEnd"/>
      <w:r w:rsidRPr="00D4266C">
        <w:rPr>
          <w:szCs w:val="24"/>
        </w:rPr>
        <w:t xml:space="preserve"> considers that this new evidence may address the areas of uncertainty identified by MSAC and will explore if a resubmission is possible</w:t>
      </w:r>
      <w:r w:rsidR="00244036">
        <w:rPr>
          <w:szCs w:val="24"/>
        </w:rPr>
        <w:t>.</w:t>
      </w:r>
    </w:p>
    <w:p w:rsidR="00BC1364" w:rsidRPr="00005494" w:rsidRDefault="00D819BA" w:rsidP="00005494">
      <w:pPr>
        <w:pStyle w:val="Heading1"/>
      </w:pPr>
      <w:r>
        <w:t>17.</w:t>
      </w:r>
      <w:r>
        <w:tab/>
      </w:r>
      <w:r w:rsidR="00271F18" w:rsidRPr="00D819BA">
        <w:t>Further information on MSAC</w:t>
      </w:r>
    </w:p>
    <w:p w:rsidR="00BC1364" w:rsidRPr="00DD2858" w:rsidRDefault="00271F18" w:rsidP="00DD2858">
      <w:pPr>
        <w:rPr>
          <w:szCs w:val="24"/>
        </w:rPr>
      </w:pPr>
      <w:r>
        <w:rPr>
          <w:szCs w:val="24"/>
        </w:rPr>
        <w:t xml:space="preserve">MSAC Terms of Reference and other </w:t>
      </w:r>
      <w:r w:rsidR="00BC1364" w:rsidRPr="00DD2858">
        <w:rPr>
          <w:szCs w:val="24"/>
        </w:rPr>
        <w:t xml:space="preserve">information </w:t>
      </w:r>
      <w:r w:rsidRPr="00DD2858">
        <w:rPr>
          <w:szCs w:val="24"/>
        </w:rPr>
        <w:t>are</w:t>
      </w:r>
      <w:r w:rsidR="00BC1364" w:rsidRPr="00DD2858">
        <w:rPr>
          <w:szCs w:val="24"/>
        </w:rPr>
        <w:t xml:space="preserve"> available on the MSAC Website at: </w:t>
      </w:r>
      <w:hyperlink r:id="rId12" w:tooltip="This is a link to the MSAC website" w:history="1">
        <w:r w:rsidR="00BC1364" w:rsidRPr="00DD2858">
          <w:rPr>
            <w:rStyle w:val="Hyperlink"/>
            <w:color w:val="auto"/>
            <w:szCs w:val="24"/>
          </w:rPr>
          <w:t>www.msac.gov.au</w:t>
        </w:r>
      </w:hyperlink>
      <w:r w:rsidR="006E607F">
        <w:rPr>
          <w:szCs w:val="24"/>
        </w:rPr>
        <w:t>.</w:t>
      </w:r>
    </w:p>
    <w:sectPr w:rsidR="00BC1364" w:rsidRPr="00DD2858" w:rsidSect="00271F18">
      <w:headerReference w:type="even" r:id="rId13"/>
      <w:headerReference w:type="default" r:id="rId14"/>
      <w:footerReference w:type="even" r:id="rId15"/>
      <w:footerReference w:type="default" r:id="rId16"/>
      <w:headerReference w:type="first" r:id="rId17"/>
      <w:footerReference w:type="first" r:id="rId18"/>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E3F" w:rsidRDefault="00031E3F" w:rsidP="00065623">
      <w:r>
        <w:separator/>
      </w:r>
    </w:p>
  </w:endnote>
  <w:endnote w:type="continuationSeparator" w:id="0">
    <w:p w:rsidR="00031E3F" w:rsidRDefault="00031E3F"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198" w:rsidRDefault="00D701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rsidR="00352224" w:rsidRDefault="00352224">
        <w:pPr>
          <w:pStyle w:val="Footer"/>
          <w:jc w:val="right"/>
        </w:pPr>
        <w:r>
          <w:fldChar w:fldCharType="begin"/>
        </w:r>
        <w:r>
          <w:instrText xml:space="preserve"> PAGE   \* MERGEFORMAT </w:instrText>
        </w:r>
        <w:r>
          <w:fldChar w:fldCharType="separate"/>
        </w:r>
        <w:r w:rsidR="00D70198">
          <w:rPr>
            <w:noProof/>
          </w:rPr>
          <w:t>1</w:t>
        </w:r>
        <w:r>
          <w:rPr>
            <w:noProof/>
          </w:rPr>
          <w:fldChar w:fldCharType="end"/>
        </w:r>
      </w:p>
    </w:sdtContent>
  </w:sdt>
  <w:p w:rsidR="00BC1364" w:rsidRDefault="00BC13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198" w:rsidRDefault="00D701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E3F" w:rsidRDefault="00031E3F" w:rsidP="00065623">
      <w:r>
        <w:separator/>
      </w:r>
    </w:p>
  </w:footnote>
  <w:footnote w:type="continuationSeparator" w:id="0">
    <w:p w:rsidR="00031E3F" w:rsidRDefault="00031E3F" w:rsidP="00065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198" w:rsidRDefault="00D701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198" w:rsidRDefault="00D701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198" w:rsidRDefault="00D701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FC65D09"/>
    <w:multiLevelType w:val="hybridMultilevel"/>
    <w:tmpl w:val="BA7E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5E2E5071"/>
    <w:multiLevelType w:val="hybridMultilevel"/>
    <w:tmpl w:val="8BF6F55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nsid w:val="7C5F1608"/>
    <w:multiLevelType w:val="hybridMultilevel"/>
    <w:tmpl w:val="B6D49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3"/>
  </w:num>
  <w:num w:numId="3">
    <w:abstractNumId w:val="1"/>
  </w:num>
  <w:num w:numId="4">
    <w:abstractNumId w:val="15"/>
  </w:num>
  <w:num w:numId="5">
    <w:abstractNumId w:val="9"/>
  </w:num>
  <w:num w:numId="6">
    <w:abstractNumId w:val="14"/>
  </w:num>
  <w:num w:numId="7">
    <w:abstractNumId w:val="19"/>
  </w:num>
  <w:num w:numId="8">
    <w:abstractNumId w:val="10"/>
  </w:num>
  <w:num w:numId="9">
    <w:abstractNumId w:val="26"/>
  </w:num>
  <w:num w:numId="10">
    <w:abstractNumId w:val="0"/>
  </w:num>
  <w:num w:numId="11">
    <w:abstractNumId w:val="18"/>
  </w:num>
  <w:num w:numId="12">
    <w:abstractNumId w:val="20"/>
  </w:num>
  <w:num w:numId="13">
    <w:abstractNumId w:val="4"/>
  </w:num>
  <w:num w:numId="14">
    <w:abstractNumId w:val="24"/>
  </w:num>
  <w:num w:numId="15">
    <w:abstractNumId w:val="16"/>
  </w:num>
  <w:num w:numId="16">
    <w:abstractNumId w:val="21"/>
  </w:num>
  <w:num w:numId="17">
    <w:abstractNumId w:val="11"/>
  </w:num>
  <w:num w:numId="18">
    <w:abstractNumId w:val="12"/>
  </w:num>
  <w:num w:numId="19">
    <w:abstractNumId w:val="23"/>
  </w:num>
  <w:num w:numId="20">
    <w:abstractNumId w:val="22"/>
  </w:num>
  <w:num w:numId="21">
    <w:abstractNumId w:val="3"/>
  </w:num>
  <w:num w:numId="22">
    <w:abstractNumId w:val="8"/>
  </w:num>
  <w:num w:numId="23">
    <w:abstractNumId w:val="2"/>
  </w:num>
  <w:num w:numId="24">
    <w:abstractNumId w:val="7"/>
  </w:num>
  <w:num w:numId="25">
    <w:abstractNumId w:val="5"/>
  </w:num>
  <w:num w:numId="26">
    <w:abstractNumId w:val="17"/>
  </w:num>
  <w:num w:numId="27">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pperfield, Hiram">
    <w15:presenceInfo w15:providerId="AD" w15:userId="S-1-5-21-2119859746-2147361636-634672238-1460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5494"/>
    <w:rsid w:val="00011A36"/>
    <w:rsid w:val="00014027"/>
    <w:rsid w:val="00031E3F"/>
    <w:rsid w:val="00047606"/>
    <w:rsid w:val="00050608"/>
    <w:rsid w:val="00065623"/>
    <w:rsid w:val="00072CFB"/>
    <w:rsid w:val="000756B9"/>
    <w:rsid w:val="00085403"/>
    <w:rsid w:val="00095CFD"/>
    <w:rsid w:val="00096B67"/>
    <w:rsid w:val="00096DAF"/>
    <w:rsid w:val="000B1656"/>
    <w:rsid w:val="000B2FA5"/>
    <w:rsid w:val="000B5AA5"/>
    <w:rsid w:val="000C2F47"/>
    <w:rsid w:val="000D6C00"/>
    <w:rsid w:val="000E4E04"/>
    <w:rsid w:val="000F14B4"/>
    <w:rsid w:val="000F75DF"/>
    <w:rsid w:val="001328FA"/>
    <w:rsid w:val="00147AAF"/>
    <w:rsid w:val="001552C0"/>
    <w:rsid w:val="001608FF"/>
    <w:rsid w:val="001640B1"/>
    <w:rsid w:val="0017104C"/>
    <w:rsid w:val="0018435E"/>
    <w:rsid w:val="001A1698"/>
    <w:rsid w:val="001B12F2"/>
    <w:rsid w:val="001E0D71"/>
    <w:rsid w:val="002041A1"/>
    <w:rsid w:val="002054F0"/>
    <w:rsid w:val="00230D6B"/>
    <w:rsid w:val="00232068"/>
    <w:rsid w:val="002330F2"/>
    <w:rsid w:val="00243D9E"/>
    <w:rsid w:val="00244036"/>
    <w:rsid w:val="00245E45"/>
    <w:rsid w:val="00253B66"/>
    <w:rsid w:val="00261DF1"/>
    <w:rsid w:val="00271F18"/>
    <w:rsid w:val="00274FE3"/>
    <w:rsid w:val="00281CC8"/>
    <w:rsid w:val="00282779"/>
    <w:rsid w:val="0028334D"/>
    <w:rsid w:val="002905EE"/>
    <w:rsid w:val="002B7FFA"/>
    <w:rsid w:val="002C2BCF"/>
    <w:rsid w:val="002D1E7B"/>
    <w:rsid w:val="002F279D"/>
    <w:rsid w:val="002F43B8"/>
    <w:rsid w:val="0032007D"/>
    <w:rsid w:val="00342B81"/>
    <w:rsid w:val="0034554D"/>
    <w:rsid w:val="00352224"/>
    <w:rsid w:val="00356D95"/>
    <w:rsid w:val="003671E6"/>
    <w:rsid w:val="00384272"/>
    <w:rsid w:val="00386D67"/>
    <w:rsid w:val="003945B8"/>
    <w:rsid w:val="003A4187"/>
    <w:rsid w:val="003B7075"/>
    <w:rsid w:val="003D7F29"/>
    <w:rsid w:val="00405A6B"/>
    <w:rsid w:val="00407B1F"/>
    <w:rsid w:val="00414C57"/>
    <w:rsid w:val="0041758C"/>
    <w:rsid w:val="0042407A"/>
    <w:rsid w:val="004374C1"/>
    <w:rsid w:val="004539DE"/>
    <w:rsid w:val="004A2CF1"/>
    <w:rsid w:val="004B12A6"/>
    <w:rsid w:val="004C26F4"/>
    <w:rsid w:val="004C3035"/>
    <w:rsid w:val="004C307F"/>
    <w:rsid w:val="004E4BA8"/>
    <w:rsid w:val="004F340F"/>
    <w:rsid w:val="004F7B7C"/>
    <w:rsid w:val="00501B1E"/>
    <w:rsid w:val="00506BF8"/>
    <w:rsid w:val="00513F16"/>
    <w:rsid w:val="0052243D"/>
    <w:rsid w:val="00532435"/>
    <w:rsid w:val="00550354"/>
    <w:rsid w:val="00571236"/>
    <w:rsid w:val="005801AB"/>
    <w:rsid w:val="00583EA4"/>
    <w:rsid w:val="005936D1"/>
    <w:rsid w:val="005953A1"/>
    <w:rsid w:val="005D0332"/>
    <w:rsid w:val="005D0D8C"/>
    <w:rsid w:val="005E54EB"/>
    <w:rsid w:val="005F1E45"/>
    <w:rsid w:val="0061117D"/>
    <w:rsid w:val="00616AC6"/>
    <w:rsid w:val="00621E8E"/>
    <w:rsid w:val="00632E78"/>
    <w:rsid w:val="00635FB3"/>
    <w:rsid w:val="0064515B"/>
    <w:rsid w:val="006776AE"/>
    <w:rsid w:val="006A0D97"/>
    <w:rsid w:val="006B0207"/>
    <w:rsid w:val="006B1F86"/>
    <w:rsid w:val="006C0A91"/>
    <w:rsid w:val="006E607F"/>
    <w:rsid w:val="006F20BD"/>
    <w:rsid w:val="00701542"/>
    <w:rsid w:val="007054BB"/>
    <w:rsid w:val="00707064"/>
    <w:rsid w:val="00730683"/>
    <w:rsid w:val="0073102D"/>
    <w:rsid w:val="0075261F"/>
    <w:rsid w:val="0075468E"/>
    <w:rsid w:val="007665D8"/>
    <w:rsid w:val="00766E36"/>
    <w:rsid w:val="007765F4"/>
    <w:rsid w:val="00776633"/>
    <w:rsid w:val="00784D53"/>
    <w:rsid w:val="00785E5F"/>
    <w:rsid w:val="00797797"/>
    <w:rsid w:val="007A4457"/>
    <w:rsid w:val="007A63C9"/>
    <w:rsid w:val="007B32D1"/>
    <w:rsid w:val="007B7095"/>
    <w:rsid w:val="007D24E1"/>
    <w:rsid w:val="007E302D"/>
    <w:rsid w:val="007E7F69"/>
    <w:rsid w:val="007F4CE9"/>
    <w:rsid w:val="007F4E20"/>
    <w:rsid w:val="00804DA4"/>
    <w:rsid w:val="00822C7E"/>
    <w:rsid w:val="00832038"/>
    <w:rsid w:val="00840270"/>
    <w:rsid w:val="00847060"/>
    <w:rsid w:val="00856A33"/>
    <w:rsid w:val="008835A8"/>
    <w:rsid w:val="00892620"/>
    <w:rsid w:val="008B6B16"/>
    <w:rsid w:val="008C7D37"/>
    <w:rsid w:val="008D5885"/>
    <w:rsid w:val="008E3D54"/>
    <w:rsid w:val="00922CB6"/>
    <w:rsid w:val="00923FA2"/>
    <w:rsid w:val="009361B4"/>
    <w:rsid w:val="00945220"/>
    <w:rsid w:val="0096060D"/>
    <w:rsid w:val="00963976"/>
    <w:rsid w:val="00974A50"/>
    <w:rsid w:val="0097585A"/>
    <w:rsid w:val="00985C10"/>
    <w:rsid w:val="009924B0"/>
    <w:rsid w:val="009942C9"/>
    <w:rsid w:val="009A1371"/>
    <w:rsid w:val="009B35C4"/>
    <w:rsid w:val="009C630A"/>
    <w:rsid w:val="009E0D98"/>
    <w:rsid w:val="009F3350"/>
    <w:rsid w:val="009F66E5"/>
    <w:rsid w:val="00A068A1"/>
    <w:rsid w:val="00A1207D"/>
    <w:rsid w:val="00A12136"/>
    <w:rsid w:val="00A12FD8"/>
    <w:rsid w:val="00A155BB"/>
    <w:rsid w:val="00A346FC"/>
    <w:rsid w:val="00A43CFA"/>
    <w:rsid w:val="00A4533D"/>
    <w:rsid w:val="00A65036"/>
    <w:rsid w:val="00A75867"/>
    <w:rsid w:val="00A8125D"/>
    <w:rsid w:val="00A84F93"/>
    <w:rsid w:val="00AB1AC5"/>
    <w:rsid w:val="00AB3BFC"/>
    <w:rsid w:val="00AC4F2E"/>
    <w:rsid w:val="00AC6719"/>
    <w:rsid w:val="00AD0C37"/>
    <w:rsid w:val="00AD385F"/>
    <w:rsid w:val="00AE6E2A"/>
    <w:rsid w:val="00AF3416"/>
    <w:rsid w:val="00B31E9C"/>
    <w:rsid w:val="00B35595"/>
    <w:rsid w:val="00B51C6D"/>
    <w:rsid w:val="00B713F5"/>
    <w:rsid w:val="00B74CEA"/>
    <w:rsid w:val="00B86D64"/>
    <w:rsid w:val="00BA4AC5"/>
    <w:rsid w:val="00BC0FEA"/>
    <w:rsid w:val="00BC1364"/>
    <w:rsid w:val="00BC1E9F"/>
    <w:rsid w:val="00BC356B"/>
    <w:rsid w:val="00BC7DE9"/>
    <w:rsid w:val="00BF479B"/>
    <w:rsid w:val="00C02577"/>
    <w:rsid w:val="00C12DC6"/>
    <w:rsid w:val="00C17A06"/>
    <w:rsid w:val="00C204FB"/>
    <w:rsid w:val="00C20BEE"/>
    <w:rsid w:val="00C2158D"/>
    <w:rsid w:val="00C332C3"/>
    <w:rsid w:val="00C45E7A"/>
    <w:rsid w:val="00C60C29"/>
    <w:rsid w:val="00C62D64"/>
    <w:rsid w:val="00C67DD2"/>
    <w:rsid w:val="00C725CB"/>
    <w:rsid w:val="00C76F5C"/>
    <w:rsid w:val="00C96BAD"/>
    <w:rsid w:val="00CA6944"/>
    <w:rsid w:val="00CB0F8E"/>
    <w:rsid w:val="00CB7E7D"/>
    <w:rsid w:val="00CC2911"/>
    <w:rsid w:val="00CF0C6D"/>
    <w:rsid w:val="00CF7307"/>
    <w:rsid w:val="00CF7C68"/>
    <w:rsid w:val="00D00CE2"/>
    <w:rsid w:val="00D124FA"/>
    <w:rsid w:val="00D340DE"/>
    <w:rsid w:val="00D4266C"/>
    <w:rsid w:val="00D55723"/>
    <w:rsid w:val="00D608B0"/>
    <w:rsid w:val="00D62FAD"/>
    <w:rsid w:val="00D6339E"/>
    <w:rsid w:val="00D70198"/>
    <w:rsid w:val="00D70450"/>
    <w:rsid w:val="00D819BA"/>
    <w:rsid w:val="00D83BFD"/>
    <w:rsid w:val="00D90A38"/>
    <w:rsid w:val="00DA0515"/>
    <w:rsid w:val="00DA171E"/>
    <w:rsid w:val="00DA36A2"/>
    <w:rsid w:val="00DA56AA"/>
    <w:rsid w:val="00DB5833"/>
    <w:rsid w:val="00DB6371"/>
    <w:rsid w:val="00DC58E9"/>
    <w:rsid w:val="00DD2858"/>
    <w:rsid w:val="00DD335E"/>
    <w:rsid w:val="00DE640C"/>
    <w:rsid w:val="00E03E33"/>
    <w:rsid w:val="00E3642A"/>
    <w:rsid w:val="00E415C4"/>
    <w:rsid w:val="00E43C15"/>
    <w:rsid w:val="00E50016"/>
    <w:rsid w:val="00E50EAA"/>
    <w:rsid w:val="00E568A6"/>
    <w:rsid w:val="00E656D6"/>
    <w:rsid w:val="00E72A2F"/>
    <w:rsid w:val="00E77408"/>
    <w:rsid w:val="00E81889"/>
    <w:rsid w:val="00E96AC9"/>
    <w:rsid w:val="00E977EE"/>
    <w:rsid w:val="00EA3D59"/>
    <w:rsid w:val="00EA67A2"/>
    <w:rsid w:val="00EC4F98"/>
    <w:rsid w:val="00F00FF2"/>
    <w:rsid w:val="00F12F02"/>
    <w:rsid w:val="00F1402A"/>
    <w:rsid w:val="00F24D7D"/>
    <w:rsid w:val="00F32E0D"/>
    <w:rsid w:val="00F35134"/>
    <w:rsid w:val="00F41812"/>
    <w:rsid w:val="00F73333"/>
    <w:rsid w:val="00F7571D"/>
    <w:rsid w:val="00F95D8F"/>
    <w:rsid w:val="00FB2082"/>
    <w:rsid w:val="00FB350A"/>
    <w:rsid w:val="00FE1E1F"/>
    <w:rsid w:val="00FE4D2A"/>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494"/>
    <w:pPr>
      <w:spacing w:after="200"/>
    </w:pPr>
    <w:rPr>
      <w:rFonts w:eastAsia="Times New Roman"/>
      <w:sz w:val="24"/>
      <w:szCs w:val="20"/>
    </w:rPr>
  </w:style>
  <w:style w:type="paragraph" w:styleId="Heading1">
    <w:name w:val="heading 1"/>
    <w:basedOn w:val="Normal"/>
    <w:next w:val="Normal"/>
    <w:link w:val="Heading1Char"/>
    <w:uiPriority w:val="99"/>
    <w:qFormat/>
    <w:rsid w:val="00C332C3"/>
    <w:pPr>
      <w:keepNext/>
      <w:keepLines/>
      <w:spacing w:after="220"/>
      <w:outlineLvl w:val="0"/>
    </w:pPr>
    <w:rPr>
      <w:rFonts w:ascii="Arial" w:hAnsi="Arial"/>
      <w:b/>
      <w:bCs/>
      <w:szCs w:val="28"/>
    </w:rPr>
  </w:style>
  <w:style w:type="paragraph" w:styleId="Heading2">
    <w:name w:val="heading 2"/>
    <w:basedOn w:val="Normal"/>
    <w:next w:val="Normal"/>
    <w:link w:val="Heading2Char"/>
    <w:unhideWhenUsed/>
    <w:qFormat/>
    <w:locked/>
    <w:rsid w:val="00005494"/>
    <w:pPr>
      <w:tabs>
        <w:tab w:val="left" w:pos="0"/>
        <w:tab w:val="left" w:pos="567"/>
        <w:tab w:val="left" w:pos="709"/>
      </w:tabs>
      <w:spacing w:after="0"/>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332C3"/>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005494"/>
    <w:rPr>
      <w:rFonts w:eastAsia="Times New Roman"/>
      <w:sz w:val="24"/>
      <w:szCs w:val="20"/>
      <w:u w:val="single"/>
    </w:rPr>
  </w:style>
  <w:style w:type="character" w:customStyle="1" w:styleId="ListParagraphChar">
    <w:name w:val="List Paragraph Char"/>
    <w:basedOn w:val="DefaultParagraphFont"/>
    <w:link w:val="ListParagraph"/>
    <w:uiPriority w:val="34"/>
    <w:rsid w:val="00EA3D59"/>
    <w:rPr>
      <w:rFonts w:eastAsia="Times New Roman"/>
      <w:sz w:val="24"/>
      <w:szCs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nhideWhenUsed/>
    <w:qFormat/>
    <w:locked/>
    <w:rsid w:val="00EA3D59"/>
    <w:pPr>
      <w:keepNext/>
      <w:spacing w:before="40" w:after="40"/>
      <w:ind w:left="1741" w:hanging="1021"/>
      <w:jc w:val="both"/>
    </w:pPr>
    <w:rPr>
      <w:rFonts w:ascii="Arial Narrow" w:eastAsiaTheme="minorHAnsi" w:hAnsi="Arial Narrow" w:cstheme="minorBidi"/>
      <w:b/>
      <w:iCs/>
      <w:sz w:val="20"/>
      <w:szCs w:val="18"/>
      <w:lang w:eastAsia="en-US"/>
    </w:rPr>
  </w:style>
  <w:style w:type="paragraph" w:customStyle="1" w:styleId="TableNotes">
    <w:name w:val="TableNotes"/>
    <w:basedOn w:val="Normal"/>
    <w:link w:val="TableNotesChar"/>
    <w:rsid w:val="00EA3D59"/>
    <w:pPr>
      <w:keepLines/>
      <w:spacing w:after="360" w:line="312" w:lineRule="auto"/>
      <w:ind w:left="720"/>
      <w:contextualSpacing/>
      <w:jc w:val="both"/>
    </w:pPr>
    <w:rPr>
      <w:rFonts w:ascii="Arial Narrow" w:hAnsi="Arial Narrow" w:cs="Tahoma"/>
      <w:sz w:val="16"/>
      <w:szCs w:val="22"/>
    </w:rPr>
  </w:style>
  <w:style w:type="character" w:customStyle="1" w:styleId="TableNotesChar">
    <w:name w:val="TableNotes Char"/>
    <w:link w:val="TableNotes"/>
    <w:rsid w:val="00EA3D59"/>
    <w:rPr>
      <w:rFonts w:ascii="Arial Narrow" w:eastAsia="Times New Roman" w:hAnsi="Arial Narrow" w:cs="Tahoma"/>
      <w:sz w:val="16"/>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link w:val="Caption"/>
    <w:rsid w:val="00EA3D59"/>
    <w:rPr>
      <w:rFonts w:ascii="Arial Narrow" w:eastAsiaTheme="minorHAnsi" w:hAnsi="Arial Narrow" w:cstheme="minorBidi"/>
      <w:b/>
      <w:iCs/>
      <w:sz w:val="20"/>
      <w:szCs w:val="18"/>
      <w:lang w:eastAsia="en-US"/>
    </w:rPr>
  </w:style>
  <w:style w:type="table" w:styleId="TableGrid">
    <w:name w:val="Table Grid"/>
    <w:basedOn w:val="TableNormal"/>
    <w:locked/>
    <w:rsid w:val="00342B81"/>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locked/>
    <w:rsid w:val="00A12136"/>
    <w:pPr>
      <w:spacing w:after="480"/>
      <w:jc w:val="center"/>
    </w:pPr>
    <w:rPr>
      <w:rFonts w:ascii="Arial" w:hAnsi="Arial" w:cs="Arial"/>
      <w:b/>
      <w:bCs/>
      <w:color w:val="000080"/>
      <w:sz w:val="36"/>
      <w:szCs w:val="36"/>
    </w:rPr>
  </w:style>
  <w:style w:type="character" w:customStyle="1" w:styleId="TitleChar">
    <w:name w:val="Title Char"/>
    <w:basedOn w:val="DefaultParagraphFont"/>
    <w:link w:val="Title"/>
    <w:rsid w:val="00A12136"/>
    <w:rPr>
      <w:rFonts w:ascii="Arial" w:eastAsia="Times New Roman" w:hAnsi="Arial" w:cs="Arial"/>
      <w:b/>
      <w:bCs/>
      <w:color w:val="000080"/>
      <w:sz w:val="36"/>
      <w:szCs w:val="36"/>
    </w:rPr>
  </w:style>
  <w:style w:type="paragraph" w:customStyle="1" w:styleId="SubHeading">
    <w:name w:val="Sub Heading"/>
    <w:basedOn w:val="Normal"/>
    <w:qFormat/>
    <w:rsid w:val="00A12136"/>
    <w:pPr>
      <w:tabs>
        <w:tab w:val="left" w:pos="4320"/>
      </w:tabs>
      <w:spacing w:before="120" w:after="360" w:line="360" w:lineRule="auto"/>
      <w:jc w:val="center"/>
    </w:pPr>
    <w:rPr>
      <w:rFonts w:ascii="Arial" w:hAnsi="Arial" w:cs="Arial"/>
      <w:b/>
      <w:bCs/>
      <w:i/>
      <w:color w:val="00008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494"/>
    <w:pPr>
      <w:spacing w:after="200"/>
    </w:pPr>
    <w:rPr>
      <w:rFonts w:eastAsia="Times New Roman"/>
      <w:sz w:val="24"/>
      <w:szCs w:val="20"/>
    </w:rPr>
  </w:style>
  <w:style w:type="paragraph" w:styleId="Heading1">
    <w:name w:val="heading 1"/>
    <w:basedOn w:val="Normal"/>
    <w:next w:val="Normal"/>
    <w:link w:val="Heading1Char"/>
    <w:uiPriority w:val="99"/>
    <w:qFormat/>
    <w:rsid w:val="00C332C3"/>
    <w:pPr>
      <w:keepNext/>
      <w:keepLines/>
      <w:spacing w:after="220"/>
      <w:outlineLvl w:val="0"/>
    </w:pPr>
    <w:rPr>
      <w:rFonts w:ascii="Arial" w:hAnsi="Arial"/>
      <w:b/>
      <w:bCs/>
      <w:szCs w:val="28"/>
    </w:rPr>
  </w:style>
  <w:style w:type="paragraph" w:styleId="Heading2">
    <w:name w:val="heading 2"/>
    <w:basedOn w:val="Normal"/>
    <w:next w:val="Normal"/>
    <w:link w:val="Heading2Char"/>
    <w:unhideWhenUsed/>
    <w:qFormat/>
    <w:locked/>
    <w:rsid w:val="00005494"/>
    <w:pPr>
      <w:tabs>
        <w:tab w:val="left" w:pos="0"/>
        <w:tab w:val="left" w:pos="567"/>
        <w:tab w:val="left" w:pos="709"/>
      </w:tabs>
      <w:spacing w:after="0"/>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332C3"/>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005494"/>
    <w:rPr>
      <w:rFonts w:eastAsia="Times New Roman"/>
      <w:sz w:val="24"/>
      <w:szCs w:val="20"/>
      <w:u w:val="single"/>
    </w:rPr>
  </w:style>
  <w:style w:type="character" w:customStyle="1" w:styleId="ListParagraphChar">
    <w:name w:val="List Paragraph Char"/>
    <w:basedOn w:val="DefaultParagraphFont"/>
    <w:link w:val="ListParagraph"/>
    <w:uiPriority w:val="34"/>
    <w:rsid w:val="00EA3D59"/>
    <w:rPr>
      <w:rFonts w:eastAsia="Times New Roman"/>
      <w:sz w:val="24"/>
      <w:szCs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nhideWhenUsed/>
    <w:qFormat/>
    <w:locked/>
    <w:rsid w:val="00EA3D59"/>
    <w:pPr>
      <w:keepNext/>
      <w:spacing w:before="40" w:after="40"/>
      <w:ind w:left="1741" w:hanging="1021"/>
      <w:jc w:val="both"/>
    </w:pPr>
    <w:rPr>
      <w:rFonts w:ascii="Arial Narrow" w:eastAsiaTheme="minorHAnsi" w:hAnsi="Arial Narrow" w:cstheme="minorBidi"/>
      <w:b/>
      <w:iCs/>
      <w:sz w:val="20"/>
      <w:szCs w:val="18"/>
      <w:lang w:eastAsia="en-US"/>
    </w:rPr>
  </w:style>
  <w:style w:type="paragraph" w:customStyle="1" w:styleId="TableNotes">
    <w:name w:val="TableNotes"/>
    <w:basedOn w:val="Normal"/>
    <w:link w:val="TableNotesChar"/>
    <w:rsid w:val="00EA3D59"/>
    <w:pPr>
      <w:keepLines/>
      <w:spacing w:after="360" w:line="312" w:lineRule="auto"/>
      <w:ind w:left="720"/>
      <w:contextualSpacing/>
      <w:jc w:val="both"/>
    </w:pPr>
    <w:rPr>
      <w:rFonts w:ascii="Arial Narrow" w:hAnsi="Arial Narrow" w:cs="Tahoma"/>
      <w:sz w:val="16"/>
      <w:szCs w:val="22"/>
    </w:rPr>
  </w:style>
  <w:style w:type="character" w:customStyle="1" w:styleId="TableNotesChar">
    <w:name w:val="TableNotes Char"/>
    <w:link w:val="TableNotes"/>
    <w:rsid w:val="00EA3D59"/>
    <w:rPr>
      <w:rFonts w:ascii="Arial Narrow" w:eastAsia="Times New Roman" w:hAnsi="Arial Narrow" w:cs="Tahoma"/>
      <w:sz w:val="16"/>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link w:val="Caption"/>
    <w:rsid w:val="00EA3D59"/>
    <w:rPr>
      <w:rFonts w:ascii="Arial Narrow" w:eastAsiaTheme="minorHAnsi" w:hAnsi="Arial Narrow" w:cstheme="minorBidi"/>
      <w:b/>
      <w:iCs/>
      <w:sz w:val="20"/>
      <w:szCs w:val="18"/>
      <w:lang w:eastAsia="en-US"/>
    </w:rPr>
  </w:style>
  <w:style w:type="table" w:styleId="TableGrid">
    <w:name w:val="Table Grid"/>
    <w:basedOn w:val="TableNormal"/>
    <w:locked/>
    <w:rsid w:val="00342B81"/>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locked/>
    <w:rsid w:val="00A12136"/>
    <w:pPr>
      <w:spacing w:after="480"/>
      <w:jc w:val="center"/>
    </w:pPr>
    <w:rPr>
      <w:rFonts w:ascii="Arial" w:hAnsi="Arial" w:cs="Arial"/>
      <w:b/>
      <w:bCs/>
      <w:color w:val="000080"/>
      <w:sz w:val="36"/>
      <w:szCs w:val="36"/>
    </w:rPr>
  </w:style>
  <w:style w:type="character" w:customStyle="1" w:styleId="TitleChar">
    <w:name w:val="Title Char"/>
    <w:basedOn w:val="DefaultParagraphFont"/>
    <w:link w:val="Title"/>
    <w:rsid w:val="00A12136"/>
    <w:rPr>
      <w:rFonts w:ascii="Arial" w:eastAsia="Times New Roman" w:hAnsi="Arial" w:cs="Arial"/>
      <w:b/>
      <w:bCs/>
      <w:color w:val="000080"/>
      <w:sz w:val="36"/>
      <w:szCs w:val="36"/>
    </w:rPr>
  </w:style>
  <w:style w:type="paragraph" w:customStyle="1" w:styleId="SubHeading">
    <w:name w:val="Sub Heading"/>
    <w:basedOn w:val="Normal"/>
    <w:qFormat/>
    <w:rsid w:val="00A12136"/>
    <w:pPr>
      <w:tabs>
        <w:tab w:val="left" w:pos="4320"/>
      </w:tabs>
      <w:spacing w:before="120" w:after="360" w:line="360" w:lineRule="auto"/>
      <w:jc w:val="center"/>
    </w:pPr>
    <w:rPr>
      <w:rFonts w:ascii="Arial" w:hAnsi="Arial" w:cs="Arial"/>
      <w:b/>
      <w:bCs/>
      <w:i/>
      <w:color w:val="00008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344977">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msac.gov.a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tif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tif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4721</Words>
  <Characters>26219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1391Public Summary Document</dc:title>
  <dc:creator/>
  <cp:lastModifiedBy/>
  <cp:revision>1</cp:revision>
  <dcterms:created xsi:type="dcterms:W3CDTF">2016-09-27T03:13:00Z</dcterms:created>
  <dcterms:modified xsi:type="dcterms:W3CDTF">2016-09-27T03:14:00Z</dcterms:modified>
</cp:coreProperties>
</file>