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DB" w:rsidRPr="00687D87" w:rsidRDefault="00216575" w:rsidP="006C650C">
      <w:pPr>
        <w:autoSpaceDE w:val="0"/>
        <w:autoSpaceDN w:val="0"/>
        <w:adjustRightInd w:val="0"/>
        <w:jc w:val="center"/>
        <w:rPr>
          <w:b/>
        </w:rPr>
      </w:pPr>
      <w:r>
        <w:rPr>
          <w:rFonts w:ascii="Arial" w:hAnsi="Arial" w:cs="Arial"/>
        </w:rPr>
        <w:t xml:space="preserve">Application </w:t>
      </w:r>
      <w:r w:rsidR="00EB3855">
        <w:rPr>
          <w:rFonts w:ascii="Arial" w:hAnsi="Arial" w:cs="Arial"/>
        </w:rPr>
        <w:t>1394 –</w:t>
      </w:r>
      <w:r w:rsidR="00EB3855">
        <w:rPr>
          <w:rFonts w:ascii="Arial" w:hAnsi="Arial" w:cs="Arial"/>
          <w:color w:val="000000"/>
        </w:rPr>
        <w:t xml:space="preserve"> C1 Esterase Inhibitor (C1-INH)</w:t>
      </w:r>
      <w:r w:rsidR="006C650C">
        <w:rPr>
          <w:b/>
        </w:rPr>
        <w:br/>
      </w:r>
    </w:p>
    <w:p w:rsidR="00B76E45" w:rsidRDefault="008B57B5" w:rsidP="000F0CDF">
      <w:pPr>
        <w:pBdr>
          <w:top w:val="single" w:sz="4" w:space="1" w:color="auto"/>
          <w:left w:val="single" w:sz="4" w:space="4" w:color="auto"/>
          <w:bottom w:val="single" w:sz="4" w:space="1" w:color="auto"/>
          <w:right w:val="single" w:sz="4" w:space="4" w:color="auto"/>
        </w:pBdr>
        <w:spacing w:after="100"/>
      </w:pPr>
      <w:r>
        <w:t xml:space="preserve">The Department of Health is seeking your feedback </w:t>
      </w:r>
      <w:r w:rsidR="00C418CF">
        <w:t>on the draft protocol</w:t>
      </w:r>
      <w:r w:rsidR="000F0CDF">
        <w:t xml:space="preserve"> for </w:t>
      </w:r>
      <w:r w:rsidR="000F0CDF" w:rsidRPr="000F0CDF">
        <w:t>Application 1394 – C1 Esterase</w:t>
      </w:r>
      <w:r w:rsidR="000F0CDF">
        <w:rPr>
          <w:rFonts w:ascii="Arial" w:hAnsi="Arial" w:cs="Arial"/>
          <w:color w:val="000000"/>
        </w:rPr>
        <w:t xml:space="preserve"> </w:t>
      </w:r>
      <w:r w:rsidR="000F0CDF" w:rsidRPr="000F0CDF">
        <w:t>Inhibitor (C1-INH)</w:t>
      </w:r>
      <w:r w:rsidR="00C418CF">
        <w:t xml:space="preserve">.  </w:t>
      </w:r>
      <w:r w:rsidR="00932623">
        <w:t>Please note</w:t>
      </w:r>
      <w:proofErr w:type="gramStart"/>
      <w:r w:rsidR="00932623">
        <w:t>,</w:t>
      </w:r>
      <w:proofErr w:type="gramEnd"/>
      <w:r w:rsidR="00932623">
        <w:t xml:space="preserve"> t</w:t>
      </w:r>
      <w:r w:rsidR="00C418CF">
        <w:t xml:space="preserve">his protocol is yet </w:t>
      </w:r>
      <w:r>
        <w:t xml:space="preserve">to be considered </w:t>
      </w:r>
      <w:r w:rsidR="00A360F9">
        <w:t>by the Protocol Advisory Sub-committee (PASC)</w:t>
      </w:r>
      <w:r w:rsidR="00C418CF">
        <w:t xml:space="preserve">, </w:t>
      </w:r>
      <w:r w:rsidR="00A360F9">
        <w:t xml:space="preserve">a sub-committee of the </w:t>
      </w:r>
      <w:r>
        <w:t>Medical Services Advisory Committee</w:t>
      </w:r>
      <w:r w:rsidR="00C45B9B">
        <w:t>.</w:t>
      </w:r>
      <w:bookmarkStart w:id="0" w:name="_GoBack"/>
      <w:bookmarkEnd w:id="0"/>
    </w:p>
    <w:p w:rsidR="008B57B5" w:rsidRDefault="008B57B5" w:rsidP="00B55A1A">
      <w:pPr>
        <w:rPr>
          <w:i/>
        </w:rPr>
      </w:pPr>
    </w:p>
    <w:p w:rsidR="00363CB1" w:rsidRPr="00687D87" w:rsidRDefault="004377AE" w:rsidP="006C650C">
      <w:pPr>
        <w:spacing w:after="100"/>
        <w:rPr>
          <w:i/>
        </w:rPr>
      </w:pPr>
      <w:r w:rsidRPr="00687D87">
        <w:rPr>
          <w:i/>
        </w:rPr>
        <w:t xml:space="preserve">Please reply </w:t>
      </w:r>
      <w:r w:rsidR="00363CB1" w:rsidRPr="00687D87">
        <w:rPr>
          <w:i/>
        </w:rPr>
        <w:t xml:space="preserve">to the </w:t>
      </w:r>
      <w:r w:rsidR="00216575">
        <w:rPr>
          <w:i/>
        </w:rPr>
        <w:t xml:space="preserve">HTA </w:t>
      </w:r>
      <w:r w:rsidR="006C650C">
        <w:rPr>
          <w:i/>
        </w:rPr>
        <w:t>Team</w:t>
      </w:r>
    </w:p>
    <w:p w:rsidR="00363CB1" w:rsidRPr="00687D87" w:rsidRDefault="00363CB1" w:rsidP="006C650C">
      <w:pPr>
        <w:spacing w:after="100"/>
        <w:ind w:left="567"/>
        <w:rPr>
          <w:i/>
          <w:lang w:val="pt-BR"/>
        </w:rPr>
      </w:pPr>
      <w:r w:rsidRPr="00687D87">
        <w:rPr>
          <w:i/>
          <w:lang w:val="pt-BR"/>
        </w:rPr>
        <w:t>Postal: MDP 853 GPO 9848</w:t>
      </w:r>
      <w:r w:rsidR="00C103B6" w:rsidRPr="00687D87">
        <w:rPr>
          <w:i/>
          <w:lang w:val="pt-BR"/>
        </w:rPr>
        <w:t xml:space="preserve"> </w:t>
      </w:r>
      <w:r w:rsidRPr="00687D87">
        <w:rPr>
          <w:i/>
          <w:lang w:val="pt-BR"/>
        </w:rPr>
        <w:t xml:space="preserve">Canberra ACT 2601 </w:t>
      </w:r>
    </w:p>
    <w:p w:rsidR="00363CB1" w:rsidRDefault="00363CB1" w:rsidP="006C650C">
      <w:pPr>
        <w:spacing w:after="100"/>
        <w:ind w:left="567"/>
        <w:rPr>
          <w:i/>
          <w:lang w:val="fr-FR"/>
        </w:rPr>
      </w:pPr>
      <w:r w:rsidRPr="00687D87">
        <w:rPr>
          <w:i/>
          <w:lang w:val="fr-FR"/>
        </w:rPr>
        <w:t>Fax: 02 6289 3561</w:t>
      </w:r>
    </w:p>
    <w:p w:rsidR="00216575" w:rsidRPr="00687D87" w:rsidRDefault="00FC0602" w:rsidP="006C650C">
      <w:pPr>
        <w:spacing w:after="100"/>
        <w:ind w:left="567"/>
        <w:rPr>
          <w:i/>
          <w:lang w:val="fr-FR"/>
        </w:rPr>
      </w:pPr>
      <w:r>
        <w:rPr>
          <w:i/>
          <w:lang w:val="fr-FR"/>
        </w:rPr>
        <w:t>Phone 02</w:t>
      </w:r>
      <w:r w:rsidR="00216575">
        <w:rPr>
          <w:i/>
          <w:lang w:val="fr-FR"/>
        </w:rPr>
        <w:t xml:space="preserve"> 6289 7550</w:t>
      </w:r>
    </w:p>
    <w:p w:rsidR="004377AE" w:rsidRDefault="00363CB1" w:rsidP="00B55A1A">
      <w:pPr>
        <w:ind w:firstLine="567"/>
        <w:rPr>
          <w:rStyle w:val="Hyperlink"/>
          <w:i/>
          <w:lang w:val="fr-FR"/>
        </w:rPr>
      </w:pPr>
      <w:r w:rsidRPr="00687D87">
        <w:rPr>
          <w:i/>
          <w:lang w:val="fr-FR"/>
        </w:rPr>
        <w:t xml:space="preserve">Email: </w:t>
      </w:r>
      <w:hyperlink r:id="rId9" w:history="1">
        <w:r w:rsidR="001D7ADC" w:rsidRPr="00264309">
          <w:rPr>
            <w:rStyle w:val="Hyperlink"/>
            <w:i/>
            <w:lang w:val="fr-FR"/>
          </w:rPr>
          <w:t>HTA@health.gov.au</w:t>
        </w:r>
      </w:hyperlink>
    </w:p>
    <w:p w:rsidR="00B55A1A" w:rsidRPr="00B55A1A" w:rsidRDefault="00B55A1A" w:rsidP="00B55A1A">
      <w:pPr>
        <w:rPr>
          <w:i/>
        </w:rPr>
      </w:pPr>
    </w:p>
    <w:p w:rsidR="000F0CDF" w:rsidRPr="00B76E45" w:rsidRDefault="000F0CDF" w:rsidP="000F0CDF">
      <w:pPr>
        <w:pBdr>
          <w:top w:val="single" w:sz="4" w:space="1" w:color="auto"/>
          <w:left w:val="single" w:sz="4" w:space="4" w:color="auto"/>
          <w:bottom w:val="single" w:sz="4" w:space="1" w:color="auto"/>
          <w:right w:val="single" w:sz="4" w:space="4" w:color="auto"/>
        </w:pBdr>
        <w:spacing w:after="100"/>
        <w:rPr>
          <w:i/>
        </w:rPr>
      </w:pPr>
      <w:r>
        <w:t xml:space="preserve">Your feedback is required </w:t>
      </w:r>
      <w:r w:rsidRPr="008B57B5">
        <w:t xml:space="preserve">by </w:t>
      </w:r>
      <w:r w:rsidRPr="008B57B5">
        <w:rPr>
          <w:b/>
        </w:rPr>
        <w:t>15 November 2014</w:t>
      </w:r>
      <w:r>
        <w:rPr>
          <w:b/>
        </w:rPr>
        <w:t xml:space="preserve"> </w:t>
      </w:r>
      <w:r w:rsidRPr="00B76E45">
        <w:t>to enable</w:t>
      </w:r>
      <w:r>
        <w:rPr>
          <w:b/>
        </w:rPr>
        <w:t xml:space="preserve"> </w:t>
      </w:r>
      <w:r w:rsidRPr="00B76E45">
        <w:t xml:space="preserve">PASC </w:t>
      </w:r>
      <w:r>
        <w:t xml:space="preserve">to consider, when it reviews this protocol, at its meeting of </w:t>
      </w:r>
      <w:r w:rsidRPr="00056050">
        <w:t>11-12 December 2014</w:t>
      </w:r>
      <w:r>
        <w:t>.</w:t>
      </w:r>
      <w:r w:rsidRPr="00B76E45">
        <w:rPr>
          <w:i/>
        </w:rPr>
        <w:t xml:space="preserve"> </w:t>
      </w:r>
    </w:p>
    <w:p w:rsidR="004C4331" w:rsidRPr="00687D87" w:rsidRDefault="00502911" w:rsidP="00E86135">
      <w:pPr>
        <w:pStyle w:val="Heading4"/>
      </w:pPr>
      <w:r w:rsidRPr="00687D87">
        <w:t xml:space="preserve">PERSONAL AND ORGANISATIONAL </w:t>
      </w:r>
      <w:r w:rsidR="009E7E1F" w:rsidRPr="00687D87">
        <w:t>INFORMATION</w:t>
      </w:r>
    </w:p>
    <w:p w:rsidR="009E7E1F" w:rsidRPr="00687D87" w:rsidRDefault="00D6021D" w:rsidP="006C650C">
      <w:pPr>
        <w:spacing w:after="80"/>
      </w:pPr>
      <w:r w:rsidRPr="00687D87">
        <w:t>1.</w:t>
      </w:r>
      <w:r w:rsidRPr="00687D87">
        <w:tab/>
        <w:t>What is your name</w:t>
      </w:r>
      <w:r w:rsidR="009E7E1F" w:rsidRPr="00687D87">
        <w:t>?</w:t>
      </w:r>
      <w:r w:rsidRPr="00687D87">
        <w:t xml:space="preserve"> </w:t>
      </w:r>
      <w:r w:rsidR="00D342F2" w:rsidRPr="00687D87">
        <w:t>___________________________</w:t>
      </w:r>
      <w:r w:rsidR="00D62C68" w:rsidRPr="00687D87">
        <w:t>_________________________________________</w:t>
      </w:r>
    </w:p>
    <w:p w:rsidR="00920B57" w:rsidRPr="00687D87" w:rsidRDefault="00920B57" w:rsidP="006C650C">
      <w:pPr>
        <w:spacing w:after="80"/>
      </w:pPr>
      <w:r w:rsidRPr="00687D87">
        <w:t>2.</w:t>
      </w:r>
      <w:r w:rsidRPr="00687D87">
        <w:tab/>
        <w:t xml:space="preserve">Is the feedback being provided </w:t>
      </w:r>
      <w:r w:rsidR="00AD560E" w:rsidRPr="00687D87">
        <w:t xml:space="preserve">on an </w:t>
      </w:r>
      <w:r w:rsidRPr="00687D87">
        <w:t xml:space="preserve">individual </w:t>
      </w:r>
      <w:r w:rsidR="00AD560E" w:rsidRPr="00687D87">
        <w:t xml:space="preserve">basis </w:t>
      </w:r>
      <w:r w:rsidRPr="00687D87">
        <w:t xml:space="preserve">or </w:t>
      </w:r>
      <w:r w:rsidR="00185124" w:rsidRPr="00687D87">
        <w:t xml:space="preserve">by a </w:t>
      </w:r>
      <w:r w:rsidRPr="00687D87">
        <w:t>collective group?</w:t>
      </w:r>
    </w:p>
    <w:p w:rsidR="00920B57" w:rsidRPr="00687D87" w:rsidRDefault="00920B57" w:rsidP="00083DE4">
      <w:pPr>
        <w:spacing w:after="80"/>
        <w:ind w:firstLine="567"/>
      </w:pPr>
      <w:r w:rsidRPr="00687D87">
        <w:sym w:font="Wingdings" w:char="F071"/>
      </w:r>
      <w:r w:rsidR="00D342F2" w:rsidRPr="00687D87">
        <w:t xml:space="preserve"> Individual</w:t>
      </w:r>
    </w:p>
    <w:p w:rsidR="00920B57" w:rsidRPr="00687D87" w:rsidRDefault="00920B57" w:rsidP="00083DE4">
      <w:pPr>
        <w:spacing w:after="80"/>
        <w:ind w:firstLine="567"/>
      </w:pPr>
      <w:r w:rsidRPr="00687D87">
        <w:sym w:font="Wingdings" w:char="F071"/>
      </w:r>
      <w:r w:rsidRPr="00687D87">
        <w:t xml:space="preserve"> </w:t>
      </w:r>
      <w:proofErr w:type="gramStart"/>
      <w:r w:rsidRPr="00687D87">
        <w:t>Collective</w:t>
      </w:r>
      <w:r w:rsidR="00AD560E" w:rsidRPr="00687D87">
        <w:t xml:space="preserve"> group.</w:t>
      </w:r>
      <w:proofErr w:type="gramEnd"/>
      <w:r w:rsidR="00AD560E" w:rsidRPr="00687D87">
        <w:t xml:space="preserve"> Specify name of group (if applicable)</w:t>
      </w:r>
      <w:r w:rsidR="00FC1CE3" w:rsidRPr="00687D87">
        <w:t xml:space="preserve"> </w:t>
      </w:r>
      <w:r w:rsidR="00D342F2" w:rsidRPr="00687D87">
        <w:t>______________</w:t>
      </w:r>
      <w:r w:rsidR="00083DE4">
        <w:t>____________________</w:t>
      </w:r>
      <w:r w:rsidR="00B55A1A">
        <w:t>___</w:t>
      </w:r>
    </w:p>
    <w:p w:rsidR="009E7E1F" w:rsidRPr="00687D87" w:rsidRDefault="00083DE4" w:rsidP="0003350C">
      <w:pPr>
        <w:spacing w:after="80"/>
      </w:pPr>
      <w:r>
        <w:t xml:space="preserve">3. </w:t>
      </w:r>
      <w:r>
        <w:tab/>
      </w:r>
      <w:r w:rsidR="00681AC6" w:rsidRPr="00687D87">
        <w:t>W</w:t>
      </w:r>
      <w:r w:rsidR="009E7E1F" w:rsidRPr="00687D87">
        <w:t>hat is the name of the organisation you work for</w:t>
      </w:r>
      <w:r w:rsidR="00681AC6" w:rsidRPr="00687D87">
        <w:t xml:space="preserve"> (if applicable)</w:t>
      </w:r>
      <w:r w:rsidR="009E7E1F" w:rsidRPr="00687D87">
        <w:t>?</w:t>
      </w:r>
      <w:r w:rsidR="00FC1CE3" w:rsidRPr="00687D87">
        <w:t xml:space="preserve"> </w:t>
      </w:r>
      <w:r w:rsidR="00D342F2" w:rsidRPr="00687D87">
        <w:t>__________</w:t>
      </w:r>
      <w:r w:rsidR="009E7E1F" w:rsidRPr="00687D87">
        <w:t>_____________________</w:t>
      </w:r>
    </w:p>
    <w:p w:rsidR="00502911" w:rsidRPr="00687D87" w:rsidRDefault="00192484" w:rsidP="006C650C">
      <w:pPr>
        <w:spacing w:after="80"/>
      </w:pPr>
      <w:r>
        <w:t>4.</w:t>
      </w:r>
      <w:r>
        <w:tab/>
      </w:r>
      <w:r w:rsidR="00502911" w:rsidRPr="00687D87">
        <w:t>What is your e-mail address?</w:t>
      </w:r>
      <w:r w:rsidR="00FC1CE3" w:rsidRPr="00687D87">
        <w:t xml:space="preserve"> ______________________</w:t>
      </w:r>
      <w:r w:rsidR="00D342F2" w:rsidRPr="00687D87">
        <w:t>_______________________________</w:t>
      </w:r>
      <w:r w:rsidR="00214984" w:rsidRPr="00687D87">
        <w:t>________</w:t>
      </w:r>
    </w:p>
    <w:p w:rsidR="009E7E1F" w:rsidRPr="00687D87" w:rsidRDefault="00192484" w:rsidP="006C650C">
      <w:pPr>
        <w:spacing w:after="80"/>
      </w:pPr>
      <w:r>
        <w:t>5</w:t>
      </w:r>
      <w:r w:rsidR="009E7E1F" w:rsidRPr="00687D87">
        <w:t>.</w:t>
      </w:r>
      <w:r w:rsidR="009E7E1F" w:rsidRPr="00687D87">
        <w:tab/>
        <w:t>Are you a:</w:t>
      </w:r>
      <w:r w:rsidR="00347751" w:rsidRPr="00687D87">
        <w:t xml:space="preserve"> </w:t>
      </w:r>
    </w:p>
    <w:p w:rsidR="009E7E1F" w:rsidRPr="00687D87" w:rsidRDefault="009E7E1F" w:rsidP="006C650C">
      <w:pPr>
        <w:numPr>
          <w:ilvl w:val="0"/>
          <w:numId w:val="36"/>
        </w:numPr>
        <w:tabs>
          <w:tab w:val="clear" w:pos="-450"/>
        </w:tabs>
        <w:spacing w:after="80"/>
        <w:ind w:left="1701" w:hanging="567"/>
      </w:pPr>
      <w:r w:rsidRPr="00687D87">
        <w:t xml:space="preserve">General </w:t>
      </w:r>
      <w:r w:rsidR="00D342F2" w:rsidRPr="00687D87">
        <w:t>p</w:t>
      </w:r>
      <w:r w:rsidRPr="00687D87">
        <w:t>ractitioner</w:t>
      </w:r>
    </w:p>
    <w:p w:rsidR="009730D1" w:rsidRPr="00687D87" w:rsidRDefault="009730D1" w:rsidP="006C650C">
      <w:pPr>
        <w:numPr>
          <w:ilvl w:val="0"/>
          <w:numId w:val="36"/>
        </w:numPr>
        <w:tabs>
          <w:tab w:val="clear" w:pos="-450"/>
        </w:tabs>
        <w:spacing w:after="80"/>
        <w:ind w:left="1701" w:hanging="567"/>
      </w:pPr>
      <w:r w:rsidRPr="00687D87">
        <w:t>Specialist</w:t>
      </w:r>
    </w:p>
    <w:p w:rsidR="009E7E1F" w:rsidRPr="00687D87" w:rsidRDefault="009E7E1F" w:rsidP="006C650C">
      <w:pPr>
        <w:numPr>
          <w:ilvl w:val="0"/>
          <w:numId w:val="36"/>
        </w:numPr>
        <w:tabs>
          <w:tab w:val="clear" w:pos="-450"/>
        </w:tabs>
        <w:spacing w:after="80"/>
        <w:ind w:left="1701" w:hanging="567"/>
      </w:pPr>
      <w:r w:rsidRPr="00687D87">
        <w:t>Researcher</w:t>
      </w:r>
    </w:p>
    <w:p w:rsidR="008B5265" w:rsidRPr="00687D87" w:rsidRDefault="009730D1" w:rsidP="006C650C">
      <w:pPr>
        <w:numPr>
          <w:ilvl w:val="0"/>
          <w:numId w:val="36"/>
        </w:numPr>
        <w:tabs>
          <w:tab w:val="clear" w:pos="-450"/>
        </w:tabs>
        <w:spacing w:after="80"/>
        <w:ind w:left="1701" w:hanging="567"/>
      </w:pPr>
      <w:r w:rsidRPr="00687D87">
        <w:t>Consumer</w:t>
      </w:r>
    </w:p>
    <w:p w:rsidR="008B5265" w:rsidRPr="00687D87" w:rsidRDefault="008B5265" w:rsidP="006C650C">
      <w:pPr>
        <w:numPr>
          <w:ilvl w:val="0"/>
          <w:numId w:val="36"/>
        </w:numPr>
        <w:tabs>
          <w:tab w:val="clear" w:pos="-450"/>
        </w:tabs>
        <w:spacing w:after="80"/>
        <w:ind w:left="1701" w:hanging="567"/>
      </w:pPr>
      <w:r w:rsidRPr="00687D87">
        <w:t>Care giver</w:t>
      </w:r>
      <w:r w:rsidR="00640664" w:rsidRPr="00687D87">
        <w:t xml:space="preserve"> </w:t>
      </w:r>
    </w:p>
    <w:p w:rsidR="009E7E1F" w:rsidRPr="00687D87" w:rsidRDefault="009E7E1F" w:rsidP="006C650C">
      <w:pPr>
        <w:numPr>
          <w:ilvl w:val="0"/>
          <w:numId w:val="36"/>
        </w:numPr>
        <w:tabs>
          <w:tab w:val="clear" w:pos="-450"/>
        </w:tabs>
        <w:spacing w:after="80"/>
        <w:ind w:left="1701" w:hanging="567"/>
      </w:pPr>
      <w:r w:rsidRPr="00687D87">
        <w:t>Other</w:t>
      </w:r>
      <w:r w:rsidR="008B5265" w:rsidRPr="00687D87">
        <w:t xml:space="preserve"> </w:t>
      </w:r>
      <w:r w:rsidR="00D342F2" w:rsidRPr="00687D87">
        <w:t>(p</w:t>
      </w:r>
      <w:r w:rsidR="008B5265" w:rsidRPr="00687D87">
        <w:t>lease specify</w:t>
      </w:r>
      <w:r w:rsidR="00D342F2" w:rsidRPr="00687D87">
        <w:t>)</w:t>
      </w:r>
      <w:r w:rsidRPr="00687D87">
        <w:t xml:space="preserve"> </w:t>
      </w:r>
      <w:r w:rsidR="00D342F2" w:rsidRPr="00687D87">
        <w:t>____________________________________________</w:t>
      </w:r>
      <w:r w:rsidRPr="00687D87">
        <w:t>___________________</w:t>
      </w:r>
      <w:r w:rsidR="00B55A1A">
        <w:t>____________</w:t>
      </w:r>
    </w:p>
    <w:p w:rsidR="009037F9" w:rsidRPr="006C650C" w:rsidRDefault="00D342F2" w:rsidP="00E86135">
      <w:pPr>
        <w:pStyle w:val="Heading4"/>
      </w:pPr>
      <w:r w:rsidRPr="00687D87">
        <w:t xml:space="preserve">MEDICAL </w:t>
      </w:r>
      <w:r w:rsidR="00363CB1" w:rsidRPr="00687D87">
        <w:t>CONDITION</w:t>
      </w:r>
      <w:r w:rsidRPr="00687D87">
        <w:t xml:space="preserve"> (DISEASE)</w:t>
      </w:r>
    </w:p>
    <w:p w:rsidR="00EB3855" w:rsidRDefault="00EB3855" w:rsidP="00FC2C1D">
      <w:pPr>
        <w:spacing w:before="120" w:after="120"/>
        <w:ind w:left="567"/>
      </w:pPr>
      <w:r>
        <w:t>Hereditary angioedema (</w:t>
      </w:r>
      <w:r w:rsidRPr="00EB3855">
        <w:t>HAE</w:t>
      </w:r>
      <w:r>
        <w:t>)</w:t>
      </w:r>
      <w:r w:rsidRPr="00EB3855">
        <w:t xml:space="preserve"> is an autosomal dominant disorder </w:t>
      </w:r>
      <w:proofErr w:type="spellStart"/>
      <w:r w:rsidRPr="00EB3855">
        <w:t>c</w:t>
      </w:r>
      <w:r w:rsidR="0057080F">
        <w:t>haracterised</w:t>
      </w:r>
      <w:proofErr w:type="spellEnd"/>
      <w:r w:rsidR="0057080F">
        <w:t xml:space="preserve"> by </w:t>
      </w:r>
      <w:r w:rsidR="00CE6FDF">
        <w:t xml:space="preserve">recurrent subcutaneous and </w:t>
      </w:r>
      <w:proofErr w:type="spellStart"/>
      <w:r w:rsidR="00CE6FDF">
        <w:t>submucosal</w:t>
      </w:r>
      <w:proofErr w:type="spellEnd"/>
      <w:r w:rsidR="00CE6FDF">
        <w:t xml:space="preserve"> </w:t>
      </w:r>
      <w:proofErr w:type="spellStart"/>
      <w:r w:rsidR="00CE6FDF">
        <w:t>oedema</w:t>
      </w:r>
      <w:proofErr w:type="spellEnd"/>
      <w:r w:rsidR="00CE6FDF">
        <w:t xml:space="preserve"> without </w:t>
      </w:r>
      <w:proofErr w:type="spellStart"/>
      <w:r w:rsidR="00CE6FDF">
        <w:t>urticaria</w:t>
      </w:r>
      <w:proofErr w:type="spellEnd"/>
      <w:r w:rsidRPr="00EB3855">
        <w:t xml:space="preserve">. One or more of various peripheral or central areas can be affected during an acute HAE attack, including limbs, trunk, face and sometimes genitals. Laryngeal swelling is the most serious manifestation as it can result in fatal asphyxiation. Attacks can be spontaneous or due to physical or psychological stress. </w:t>
      </w:r>
      <w:proofErr w:type="spellStart"/>
      <w:r w:rsidRPr="00EB3855">
        <w:t>Recognised</w:t>
      </w:r>
      <w:proofErr w:type="spellEnd"/>
      <w:r w:rsidRPr="00EB3855">
        <w:t xml:space="preserve"> triggers include dental procedures, mechanical trauma (e.g. a surgical procedure involving the head and neck area), mental stress, hormonal changes, infections and medicinal products (e.g. oral contraceptive pill).</w:t>
      </w:r>
    </w:p>
    <w:p w:rsidR="00363CB1" w:rsidRDefault="00EB3855" w:rsidP="00FC2C1D">
      <w:pPr>
        <w:spacing w:before="120" w:after="120"/>
        <w:ind w:left="567"/>
      </w:pPr>
      <w:r>
        <w:t xml:space="preserve">There are three types of HAE: types I, II and III. HAE type I constitutes 85% of patients while 15% have HAE type II. The type III form is extremely rare.  Patients with types I or II have insufficient levels of functional </w:t>
      </w:r>
      <w:r w:rsidR="00CE6FDF">
        <w:br/>
      </w:r>
      <w:r>
        <w:t xml:space="preserve">C1-INH, a serine protease inhibitor that acts on a number of complement proteases and contact system proteases. The pathogenesis of HAE type III has not been established, but patients have normal levels of </w:t>
      </w:r>
      <w:r>
        <w:lastRenderedPageBreak/>
        <w:t xml:space="preserve">functional C1-INH. Consequently C1-INH replacement therapy is indicated for patients with type I or type II HAE only. </w:t>
      </w:r>
    </w:p>
    <w:p w:rsidR="00EB3855" w:rsidRPr="00EB3855" w:rsidRDefault="003E1C20" w:rsidP="00FC2C1D">
      <w:pPr>
        <w:spacing w:before="120" w:after="120"/>
        <w:ind w:left="567"/>
      </w:pPr>
      <w:r w:rsidRPr="003E1C20">
        <w:t xml:space="preserve">In acquired angioedema (AAE), also referred to as acquired C1 esterase inhibitor deficiency or acquired </w:t>
      </w:r>
      <w:r w:rsidR="00CE6FDF">
        <w:br/>
      </w:r>
      <w:r w:rsidRPr="003E1C20">
        <w:t xml:space="preserve">C1-INH deficiency, patients have low levels of serum C1-INH. C1-INH protein function and rate of production is normal in these patients but it is </w:t>
      </w:r>
      <w:proofErr w:type="spellStart"/>
      <w:r w:rsidRPr="003E1C20">
        <w:t>catabolised</w:t>
      </w:r>
      <w:proofErr w:type="spellEnd"/>
      <w:r w:rsidRPr="003E1C20">
        <w:t xml:space="preserve"> at an increased rate. AAE is distinguished from HAE by low serum C1q levels, an absence of family history and late onset of symptoms, typically in middle age. AAE is commonly associated with lymphoma or other </w:t>
      </w:r>
      <w:proofErr w:type="spellStart"/>
      <w:r w:rsidRPr="003E1C20">
        <w:t>haematological</w:t>
      </w:r>
      <w:proofErr w:type="spellEnd"/>
      <w:r w:rsidRPr="003E1C20">
        <w:t xml:space="preserve"> malignancies.</w:t>
      </w:r>
      <w:r w:rsidR="00C964C6" w:rsidRPr="00355090">
        <w:t xml:space="preserve"> </w:t>
      </w:r>
      <w:r w:rsidR="00C964C6">
        <w:t xml:space="preserve"> </w:t>
      </w:r>
      <w:r w:rsidR="00C964C6" w:rsidRPr="009C6D29">
        <w:t>The number of patients with AAE is extremely low</w:t>
      </w:r>
      <w:r w:rsidR="00C964C6">
        <w:t>.</w:t>
      </w:r>
    </w:p>
    <w:p w:rsidR="009037F9" w:rsidRPr="006C650C" w:rsidRDefault="00363CB1" w:rsidP="00E86135">
      <w:pPr>
        <w:pStyle w:val="Heading4"/>
      </w:pPr>
      <w:r w:rsidRPr="00687D87">
        <w:t>PROPOSED INTERVENTION</w:t>
      </w:r>
    </w:p>
    <w:p w:rsidR="003E1C20" w:rsidRDefault="003E1C20" w:rsidP="00FC2C1D">
      <w:pPr>
        <w:spacing w:before="120" w:after="120"/>
        <w:ind w:left="567"/>
      </w:pPr>
      <w:r w:rsidRPr="00EB3855">
        <w:t xml:space="preserve">C1-INH concentrate is a serine protease inhibitor purified from pooled human donated plasma. </w:t>
      </w:r>
      <w:r w:rsidRPr="00965938">
        <w:t xml:space="preserve">Both </w:t>
      </w:r>
      <w:r>
        <w:t>proposed C1-INH products</w:t>
      </w:r>
      <w:r w:rsidRPr="00EB3855">
        <w:t xml:space="preserve"> are provided as powders to be reconstituted in water and administered intravenously</w:t>
      </w:r>
      <w:r>
        <w:t>, and have been</w:t>
      </w:r>
      <w:r w:rsidRPr="00965938">
        <w:t xml:space="preserve"> TGA-approved for the treatment of acute HAE attacks</w:t>
      </w:r>
      <w:r w:rsidRPr="003E1C20">
        <w:t xml:space="preserve"> </w:t>
      </w:r>
      <w:r>
        <w:t>(though one product has</w:t>
      </w:r>
      <w:r w:rsidRPr="003E1C20">
        <w:t xml:space="preserve"> also </w:t>
      </w:r>
      <w:r>
        <w:t xml:space="preserve">been </w:t>
      </w:r>
      <w:r w:rsidRPr="003E1C20">
        <w:t>TGA-approved for prophylactic use, both pre-procedural and ro</w:t>
      </w:r>
      <w:r>
        <w:t>utine)</w:t>
      </w:r>
      <w:r w:rsidRPr="00EB3855">
        <w:t xml:space="preserve">. </w:t>
      </w:r>
    </w:p>
    <w:p w:rsidR="00C964C6" w:rsidRDefault="00965938" w:rsidP="00FC2C1D">
      <w:pPr>
        <w:spacing w:before="120" w:after="120"/>
        <w:ind w:left="567"/>
      </w:pPr>
      <w:r w:rsidRPr="00965938">
        <w:t xml:space="preserve">C1-INH concentrate is proposed for </w:t>
      </w:r>
      <w:r w:rsidR="00CE6FDF">
        <w:t>inclusion</w:t>
      </w:r>
      <w:r w:rsidR="00CE6FDF" w:rsidRPr="00965938">
        <w:t xml:space="preserve"> </w:t>
      </w:r>
      <w:r w:rsidRPr="00965938">
        <w:t xml:space="preserve">on the </w:t>
      </w:r>
      <w:r w:rsidR="00CE6FDF">
        <w:t>National Products and Services List (</w:t>
      </w:r>
      <w:r w:rsidRPr="00965938">
        <w:t>NPSL</w:t>
      </w:r>
      <w:r w:rsidR="00CE6FDF">
        <w:t>)</w:t>
      </w:r>
      <w:r w:rsidR="003E4CB4">
        <w:rPr>
          <w:rStyle w:val="FootnoteReference"/>
        </w:rPr>
        <w:footnoteReference w:id="1"/>
      </w:r>
      <w:r w:rsidRPr="00965938">
        <w:t xml:space="preserve"> for the management of patients with a confirmed diagnosis of HAE type I or II.</w:t>
      </w:r>
      <w:r>
        <w:t xml:space="preserve"> </w:t>
      </w:r>
      <w:r w:rsidRPr="00965938">
        <w:t xml:space="preserve">Administration of human C1-INH to patients with HAE Type I or II replaces the missing or malfunctioning C1-INH protein resulting in relief from the symptoms of HAE.  </w:t>
      </w:r>
    </w:p>
    <w:p w:rsidR="00965938" w:rsidRDefault="003E1C20" w:rsidP="00FC2C1D">
      <w:pPr>
        <w:spacing w:before="120" w:after="120"/>
        <w:ind w:left="567"/>
      </w:pPr>
      <w:r>
        <w:t xml:space="preserve">Additionally, the potential use of C1-INH for HAE patients requiring pre-procedural prophylaxis will be evaluated. </w:t>
      </w:r>
      <w:r w:rsidRPr="003E1C20">
        <w:t xml:space="preserve">The frequency of use for pre-procedural prophylaxis could vary extensively depending on patient circumstances, but is likely to be occasional. </w:t>
      </w:r>
    </w:p>
    <w:p w:rsidR="00C964C6" w:rsidRDefault="00C964C6" w:rsidP="00FC2C1D">
      <w:pPr>
        <w:spacing w:before="120" w:after="120"/>
        <w:ind w:left="567"/>
      </w:pPr>
      <w:r>
        <w:t xml:space="preserve">Further, the potential use of C1-INH for patients with AAE will also be considered.   </w:t>
      </w:r>
      <w:r w:rsidRPr="009C6D29">
        <w:t>C1-INH concentrate is clinically indicated in these patients, although larger doses are sometimes required due to rapid consumption.</w:t>
      </w:r>
      <w:r>
        <w:t xml:space="preserve"> </w:t>
      </w:r>
      <w:r w:rsidRPr="009C6D29">
        <w:t xml:space="preserve"> </w:t>
      </w:r>
      <w:proofErr w:type="spellStart"/>
      <w:r w:rsidRPr="009C6D29">
        <w:t>Icatibant</w:t>
      </w:r>
      <w:proofErr w:type="spellEnd"/>
      <w:r w:rsidRPr="009C6D29">
        <w:t xml:space="preserve"> is effective at normal doses and may be preferred. Long-term prophylaxis with C1-INH concentrate is extremely rare, with AAE patients usually responding to treatment of the underlying disease</w:t>
      </w:r>
      <w:r>
        <w:t>.</w:t>
      </w:r>
    </w:p>
    <w:p w:rsidR="00363CB1" w:rsidRPr="00EB3855" w:rsidRDefault="00EB3855" w:rsidP="00FC2C1D">
      <w:pPr>
        <w:spacing w:before="120" w:after="120"/>
        <w:ind w:left="567"/>
      </w:pPr>
      <w:r w:rsidRPr="009C6D29">
        <w:t>Current C1-INH administration is generally limited to hospital or medi</w:t>
      </w:r>
      <w:r>
        <w:t>cal facility settings; however,</w:t>
      </w:r>
      <w:r w:rsidRPr="009C6D29">
        <w:t xml:space="preserve"> home or community use may be possible with appropriate training and facilities</w:t>
      </w:r>
      <w:r w:rsidR="00965938">
        <w:t>.</w:t>
      </w:r>
    </w:p>
    <w:p w:rsidR="00C32E94" w:rsidRPr="00E86135" w:rsidRDefault="00C32E94" w:rsidP="00E86135">
      <w:pPr>
        <w:pStyle w:val="Heading4"/>
      </w:pPr>
      <w:r w:rsidRPr="00E86135">
        <w:t>CLINICAL NEED AND PUBLIC HEALTH SIGNIFICANCE</w:t>
      </w:r>
    </w:p>
    <w:p w:rsidR="00FC1CE3" w:rsidRPr="006C650C" w:rsidRDefault="007D1159" w:rsidP="00E86135">
      <w:pPr>
        <w:numPr>
          <w:ilvl w:val="0"/>
          <w:numId w:val="37"/>
        </w:numPr>
      </w:pPr>
      <w:r w:rsidRPr="006C650C">
        <w:t xml:space="preserve">Describe your experience with the </w:t>
      </w:r>
      <w:r w:rsidR="00FF62B3" w:rsidRPr="006C650C">
        <w:t xml:space="preserve">medical </w:t>
      </w:r>
      <w:r w:rsidRPr="006C650C">
        <w:t xml:space="preserve">condition </w:t>
      </w:r>
      <w:r w:rsidR="00FF62B3" w:rsidRPr="006C650C">
        <w:t xml:space="preserve">(disease) </w:t>
      </w:r>
      <w:r w:rsidR="00D342F2" w:rsidRPr="006C650C">
        <w:t xml:space="preserve">and/or proposed intervention </w:t>
      </w:r>
      <w:r w:rsidRPr="006C650C">
        <w:t xml:space="preserve">relating to the </w:t>
      </w:r>
      <w:r w:rsidR="0091798D" w:rsidRPr="006C650C">
        <w:t>draft protocol</w:t>
      </w:r>
      <w:r w:rsidRPr="006C650C">
        <w:t>?</w:t>
      </w:r>
    </w:p>
    <w:p w:rsidR="00FC1CE3" w:rsidRPr="006C650C" w:rsidRDefault="00C45B9B" w:rsidP="00E86135">
      <w:pPr>
        <w:spacing w:before="100" w:beforeAutospacing="1" w:after="100" w:afterAutospacing="1"/>
        <w:ind w:left="720"/>
        <w:rPr>
          <w:bCs/>
        </w:rPr>
      </w:pPr>
      <w:r>
        <w:rPr>
          <w:bCs/>
        </w:rPr>
        <w:pict>
          <v:rect id="_x0000_i1025" style="width:0;height:1.5pt" o:hralign="center" o:hrstd="t" o:hr="t" fillcolor="#aca899" stroked="f"/>
        </w:pict>
      </w:r>
    </w:p>
    <w:p w:rsidR="00FC1CE3" w:rsidRPr="006C650C" w:rsidRDefault="009037F9" w:rsidP="00E86135">
      <w:pPr>
        <w:numPr>
          <w:ilvl w:val="0"/>
          <w:numId w:val="37"/>
        </w:numPr>
      </w:pPr>
      <w:r w:rsidRPr="006C650C">
        <w:t xml:space="preserve">What do you see as the </w:t>
      </w:r>
      <w:r w:rsidRPr="006C650C">
        <w:rPr>
          <w:u w:val="single"/>
        </w:rPr>
        <w:t>benefits</w:t>
      </w:r>
      <w:r w:rsidRPr="006C650C">
        <w:t xml:space="preserve"> of this </w:t>
      </w:r>
      <w:r w:rsidR="00214984" w:rsidRPr="006C650C">
        <w:t>proposed intervention</w:t>
      </w:r>
      <w:r w:rsidRPr="006C650C">
        <w:t xml:space="preserve"> for the person involved and/or their family and carers?</w:t>
      </w:r>
    </w:p>
    <w:p w:rsidR="00FC1CE3" w:rsidRPr="006C650C" w:rsidRDefault="00C45B9B" w:rsidP="00E86135">
      <w:pPr>
        <w:spacing w:before="100" w:beforeAutospacing="1" w:after="100" w:afterAutospacing="1"/>
        <w:ind w:left="720"/>
        <w:rPr>
          <w:bCs/>
        </w:rPr>
      </w:pPr>
      <w:r>
        <w:rPr>
          <w:bCs/>
        </w:rPr>
        <w:pict>
          <v:rect id="_x0000_i1026" style="width:0;height:1.5pt" o:hralign="center" o:hrstd="t" o:hr="t" fillcolor="#aca899" stroked="f"/>
        </w:pict>
      </w:r>
    </w:p>
    <w:p w:rsidR="00FC1CE3" w:rsidRPr="006C650C" w:rsidRDefault="009037F9" w:rsidP="00E86135">
      <w:pPr>
        <w:numPr>
          <w:ilvl w:val="0"/>
          <w:numId w:val="37"/>
        </w:numPr>
      </w:pPr>
      <w:r w:rsidRPr="006C650C">
        <w:t xml:space="preserve">What do you see as the </w:t>
      </w:r>
      <w:r w:rsidRPr="006C650C">
        <w:rPr>
          <w:u w:val="single"/>
        </w:rPr>
        <w:t>disadvantages</w:t>
      </w:r>
      <w:r w:rsidRPr="006C650C">
        <w:t xml:space="preserve"> of this </w:t>
      </w:r>
      <w:r w:rsidR="00214984" w:rsidRPr="006C650C">
        <w:t xml:space="preserve">proposed intervention </w:t>
      </w:r>
      <w:r w:rsidRPr="006C650C">
        <w:t>for the person involved and/or their family and carers?</w:t>
      </w:r>
    </w:p>
    <w:p w:rsidR="00FC1CE3" w:rsidRPr="006C650C" w:rsidRDefault="00C45B9B" w:rsidP="00E86135">
      <w:pPr>
        <w:spacing w:before="100" w:beforeAutospacing="1" w:after="100" w:afterAutospacing="1"/>
        <w:ind w:left="720"/>
        <w:rPr>
          <w:bCs/>
        </w:rPr>
      </w:pPr>
      <w:r>
        <w:rPr>
          <w:bCs/>
        </w:rPr>
        <w:pict>
          <v:rect id="_x0000_i1027" style="width:0;height:1.5pt" o:hralign="center" o:hrstd="t" o:hr="t" fillcolor="#aca899" stroked="f"/>
        </w:pict>
      </w:r>
    </w:p>
    <w:p w:rsidR="00B213F9" w:rsidRDefault="00B213F9">
      <w:r>
        <w:br w:type="page"/>
      </w:r>
    </w:p>
    <w:p w:rsidR="00FC1CE3" w:rsidRPr="006C650C" w:rsidRDefault="009037F9" w:rsidP="00E86135">
      <w:pPr>
        <w:numPr>
          <w:ilvl w:val="0"/>
          <w:numId w:val="37"/>
        </w:numPr>
      </w:pPr>
      <w:r w:rsidRPr="006C650C">
        <w:lastRenderedPageBreak/>
        <w:t xml:space="preserve">How do you think a person’s life and that of their family and/or carers can be improved by this </w:t>
      </w:r>
      <w:r w:rsidR="00214984" w:rsidRPr="006C650C">
        <w:t>proposed intervention</w:t>
      </w:r>
      <w:r w:rsidRPr="006C650C">
        <w:t>?</w:t>
      </w:r>
    </w:p>
    <w:p w:rsidR="00FC1CE3" w:rsidRPr="006C650C" w:rsidRDefault="00C45B9B" w:rsidP="00E86135">
      <w:pPr>
        <w:spacing w:before="100" w:beforeAutospacing="1" w:after="100" w:afterAutospacing="1"/>
        <w:ind w:left="720"/>
        <w:rPr>
          <w:bCs/>
        </w:rPr>
      </w:pPr>
      <w:r>
        <w:rPr>
          <w:bCs/>
        </w:rPr>
        <w:pict>
          <v:rect id="_x0000_i1028" style="width:0;height:1.5pt" o:hralign="center" o:hrstd="t" o:hr="t" fillcolor="#aca899" stroked="f"/>
        </w:pict>
      </w:r>
    </w:p>
    <w:p w:rsidR="00FC1CE3" w:rsidRPr="006C650C" w:rsidRDefault="009037F9" w:rsidP="00E86135">
      <w:pPr>
        <w:numPr>
          <w:ilvl w:val="0"/>
          <w:numId w:val="37"/>
        </w:numPr>
      </w:pPr>
      <w:r w:rsidRPr="006C650C">
        <w:t xml:space="preserve">What other benefits can you see from having this </w:t>
      </w:r>
      <w:r w:rsidR="00214984" w:rsidRPr="006C650C">
        <w:t xml:space="preserve">proposed intervention </w:t>
      </w:r>
      <w:r w:rsidR="004377AE" w:rsidRPr="006C650C">
        <w:t xml:space="preserve">publicly funded </w:t>
      </w:r>
      <w:r w:rsidRPr="006C650C">
        <w:t xml:space="preserve">on the </w:t>
      </w:r>
      <w:r w:rsidR="00965938">
        <w:t>NPSL</w:t>
      </w:r>
      <w:r w:rsidRPr="006C650C">
        <w:t>?</w:t>
      </w:r>
    </w:p>
    <w:p w:rsidR="00FC1CE3" w:rsidRDefault="005060BC" w:rsidP="00AF31F9">
      <w:pPr>
        <w:spacing w:before="100" w:beforeAutospacing="1" w:after="100" w:afterAutospacing="1"/>
        <w:ind w:left="360"/>
        <w:rPr>
          <w:bCs/>
        </w:rPr>
      </w:pPr>
      <w:r w:rsidRPr="005060BC">
        <w:rPr>
          <w:bCs/>
        </w:rPr>
        <w:t>The claim for the funding comparison is that listing C1-INH concentrate on the NPSL will provide patient benefits associated with greater access to the intervention</w:t>
      </w:r>
      <w:r>
        <w:rPr>
          <w:bCs/>
        </w:rPr>
        <w:t xml:space="preserve"> for acute attacks and pre-procedural prophylaxis.</w:t>
      </w:r>
      <w:r w:rsidRPr="005060BC">
        <w:t xml:space="preserve"> </w:t>
      </w:r>
      <w:r>
        <w:rPr>
          <w:bCs/>
        </w:rPr>
        <w:t>While t</w:t>
      </w:r>
      <w:r w:rsidRPr="005060BC">
        <w:rPr>
          <w:bCs/>
        </w:rPr>
        <w:t>here is no clinical or economic claim for the funding comparison</w:t>
      </w:r>
      <w:r>
        <w:rPr>
          <w:bCs/>
        </w:rPr>
        <w:t xml:space="preserve"> for routine prophylaxis</w:t>
      </w:r>
      <w:r w:rsidRPr="005060BC">
        <w:rPr>
          <w:bCs/>
        </w:rPr>
        <w:t xml:space="preserve">, listing </w:t>
      </w:r>
      <w:r w:rsidR="008F6B30">
        <w:rPr>
          <w:bCs/>
        </w:rPr>
        <w:br/>
      </w:r>
      <w:r w:rsidRPr="005060BC">
        <w:rPr>
          <w:bCs/>
        </w:rPr>
        <w:t xml:space="preserve">C1-INH concentrate on the NPSL </w:t>
      </w:r>
      <w:r>
        <w:rPr>
          <w:bCs/>
        </w:rPr>
        <w:t>is expected to</w:t>
      </w:r>
      <w:r w:rsidRPr="005060BC">
        <w:rPr>
          <w:bCs/>
        </w:rPr>
        <w:t xml:space="preserve"> provide patient benefits associated with gaining access to the intervention</w:t>
      </w:r>
      <w:r>
        <w:rPr>
          <w:bCs/>
        </w:rPr>
        <w:t xml:space="preserve">, for which this subpopulation </w:t>
      </w:r>
      <w:r w:rsidR="008F6B30">
        <w:rPr>
          <w:bCs/>
        </w:rPr>
        <w:t xml:space="preserve">do not </w:t>
      </w:r>
      <w:r w:rsidRPr="005060BC">
        <w:rPr>
          <w:bCs/>
        </w:rPr>
        <w:t>appear to have</w:t>
      </w:r>
      <w:r>
        <w:rPr>
          <w:bCs/>
        </w:rPr>
        <w:t>.</w:t>
      </w:r>
    </w:p>
    <w:p w:rsidR="00083DE4" w:rsidRPr="00687D87" w:rsidRDefault="00C45B9B" w:rsidP="00325AD8">
      <w:pPr>
        <w:spacing w:before="100" w:beforeAutospacing="1" w:after="100" w:afterAutospacing="1"/>
        <w:rPr>
          <w:bCs/>
        </w:rPr>
      </w:pPr>
      <w:r>
        <w:rPr>
          <w:bCs/>
        </w:rPr>
        <w:pict>
          <v:rect id="_x0000_i1029" style="width:0;height:1.5pt" o:hralign="center" o:hrstd="t" o:hr="t" fillcolor="#aca899" stroked="f"/>
        </w:pict>
      </w:r>
    </w:p>
    <w:p w:rsidR="007D1159" w:rsidRPr="00687D87" w:rsidRDefault="007D1159" w:rsidP="00D1065D">
      <w:pPr>
        <w:pStyle w:val="Heading4"/>
      </w:pPr>
      <w:r w:rsidRPr="00687D87">
        <w:t>INDI</w:t>
      </w:r>
      <w:r w:rsidR="00830766" w:rsidRPr="00687D87">
        <w:t>CATION</w:t>
      </w:r>
      <w:r w:rsidRPr="00687D87">
        <w:t xml:space="preserve">(S) FOR THE </w:t>
      </w:r>
      <w:r w:rsidR="00FF62B3" w:rsidRPr="00687D87">
        <w:t>PROPOSED INTERVENTION</w:t>
      </w:r>
      <w:r w:rsidRPr="00687D87">
        <w:t xml:space="preserve"> AND </w:t>
      </w:r>
      <w:r w:rsidR="00BF5C1C" w:rsidRPr="00687D87">
        <w:t>CLINICAL</w:t>
      </w:r>
      <w:r w:rsidRPr="00687D87">
        <w:t xml:space="preserve"> CLAIM</w:t>
      </w:r>
    </w:p>
    <w:p w:rsidR="00AA6BC4" w:rsidRDefault="00BF5C1C" w:rsidP="00AF31F9">
      <w:pPr>
        <w:ind w:left="567"/>
      </w:pPr>
      <w:proofErr w:type="gramStart"/>
      <w:r w:rsidRPr="006C650C">
        <w:t>Flowchart</w:t>
      </w:r>
      <w:r w:rsidR="00C32E94" w:rsidRPr="006C650C">
        <w:t xml:space="preserve"> of </w:t>
      </w:r>
      <w:r w:rsidR="008F6B30">
        <w:t>existing</w:t>
      </w:r>
      <w:r w:rsidR="008F6B30" w:rsidRPr="006C650C">
        <w:t xml:space="preserve"> </w:t>
      </w:r>
      <w:r w:rsidR="00C32E94" w:rsidRPr="006C650C">
        <w:t xml:space="preserve">and </w:t>
      </w:r>
      <w:r w:rsidR="00FF62B3" w:rsidRPr="006C650C">
        <w:t xml:space="preserve">potential management with the </w:t>
      </w:r>
      <w:r w:rsidR="00C32E94" w:rsidRPr="006C650C">
        <w:t xml:space="preserve">proposed </w:t>
      </w:r>
      <w:r w:rsidR="00FF62B3" w:rsidRPr="006C650C">
        <w:t xml:space="preserve">intervention </w:t>
      </w:r>
      <w:r w:rsidR="00C32E94" w:rsidRPr="006C650C">
        <w:t xml:space="preserve">for this </w:t>
      </w:r>
      <w:r w:rsidR="00FF62B3" w:rsidRPr="006C650C">
        <w:t xml:space="preserve">medical </w:t>
      </w:r>
      <w:r w:rsidR="00C32E94" w:rsidRPr="006C650C">
        <w:t>condition</w:t>
      </w:r>
      <w:r w:rsidR="008F6B30">
        <w:t>.</w:t>
      </w:r>
      <w:proofErr w:type="gramEnd"/>
    </w:p>
    <w:p w:rsidR="00AA6BC4" w:rsidRDefault="00AA6BC4" w:rsidP="00AF31F9">
      <w:pPr>
        <w:ind w:left="1287"/>
      </w:pPr>
    </w:p>
    <w:p w:rsidR="00AA6BC4" w:rsidRDefault="00965938" w:rsidP="00AF31F9">
      <w:pPr>
        <w:ind w:left="567"/>
      </w:pPr>
      <w:r>
        <w:t>Please refer to Figure</w:t>
      </w:r>
      <w:r w:rsidR="00AA6BC4">
        <w:t>s</w:t>
      </w:r>
      <w:r>
        <w:t xml:space="preserve"> 1</w:t>
      </w:r>
      <w:r w:rsidR="00AA6BC4">
        <w:t>, 2, 4 and 6</w:t>
      </w:r>
      <w:r>
        <w:t xml:space="preserve"> in the Draft Protocol for the current clinical management algorithm</w:t>
      </w:r>
      <w:r w:rsidR="00AA6BC4">
        <w:t>s for acute HAE attacks, pre-procedural prophylaxis and current funding arrangements</w:t>
      </w:r>
      <w:r>
        <w:t>.</w:t>
      </w:r>
    </w:p>
    <w:p w:rsidR="00AA6BC4" w:rsidRDefault="00AA6BC4" w:rsidP="00AF31F9">
      <w:pPr>
        <w:ind w:left="1287"/>
      </w:pPr>
    </w:p>
    <w:p w:rsidR="00AA6BC4" w:rsidRDefault="00AA6BC4" w:rsidP="00AF31F9">
      <w:pPr>
        <w:ind w:left="567"/>
      </w:pPr>
      <w:r>
        <w:t>Please refer to Figures 3, 5 and 7 for p</w:t>
      </w:r>
      <w:r w:rsidR="008F6B30">
        <w:t>roposed</w:t>
      </w:r>
      <w:r>
        <w:t xml:space="preserve"> management algorithms for acute attacks, pre-procedural prophylaxis and proposed funding arrangements.</w:t>
      </w:r>
    </w:p>
    <w:p w:rsidR="00B073B0" w:rsidRDefault="00B073B0" w:rsidP="00AF31F9">
      <w:pPr>
        <w:ind w:left="567"/>
      </w:pPr>
    </w:p>
    <w:p w:rsidR="00AA6BC4" w:rsidRDefault="00C45B9B" w:rsidP="00325AD8">
      <w:pPr>
        <w:rPr>
          <w:b/>
        </w:rPr>
      </w:pPr>
      <w:r>
        <w:rPr>
          <w:bCs/>
        </w:rPr>
        <w:pict>
          <v:rect id="_x0000_i1030" style="width:0;height:1.5pt" o:hralign="center" o:hrstd="t" o:hr="t" fillcolor="#aca899" stroked="f"/>
        </w:pict>
      </w:r>
    </w:p>
    <w:p w:rsidR="00AA6BC4" w:rsidRDefault="00AA6BC4" w:rsidP="00AA6BC4">
      <w:pPr>
        <w:rPr>
          <w:b/>
        </w:rPr>
      </w:pPr>
    </w:p>
    <w:p w:rsidR="009037F9" w:rsidRPr="006C650C" w:rsidRDefault="00BC6892" w:rsidP="007F3066">
      <w:pPr>
        <w:pStyle w:val="ListParagraph"/>
        <w:numPr>
          <w:ilvl w:val="0"/>
          <w:numId w:val="37"/>
        </w:numPr>
      </w:pPr>
      <w:r w:rsidRPr="006C650C">
        <w:t>Do you agree or disagree with the</w:t>
      </w:r>
      <w:r w:rsidR="00FF62B3" w:rsidRPr="006C650C">
        <w:t xml:space="preserve"> eligible</w:t>
      </w:r>
      <w:r w:rsidRPr="006C650C">
        <w:t xml:space="preserve"> </w:t>
      </w:r>
      <w:r w:rsidR="009037F9" w:rsidRPr="00CE6FDF">
        <w:rPr>
          <w:u w:val="single"/>
        </w:rPr>
        <w:t>population</w:t>
      </w:r>
      <w:r w:rsidRPr="006C650C">
        <w:t xml:space="preserve"> for the </w:t>
      </w:r>
      <w:r w:rsidR="00FF62B3" w:rsidRPr="006C650C">
        <w:t xml:space="preserve">proposed </w:t>
      </w:r>
      <w:r w:rsidR="00C32E94" w:rsidRPr="006C650C">
        <w:t>intervention</w:t>
      </w:r>
      <w:r w:rsidRPr="006C650C">
        <w:t xml:space="preserve"> as specified in the </w:t>
      </w:r>
      <w:r w:rsidR="00BF5C1C" w:rsidRPr="006C650C">
        <w:t>proposed management flowchart</w:t>
      </w:r>
      <w:r w:rsidR="00DC0934" w:rsidRPr="006C650C">
        <w:t>s</w:t>
      </w:r>
      <w:r w:rsidR="0091798D" w:rsidRPr="006C650C">
        <w:t>?</w:t>
      </w:r>
    </w:p>
    <w:p w:rsidR="0033276B" w:rsidRPr="0033276B" w:rsidRDefault="0033276B" w:rsidP="008A33C8">
      <w:pPr>
        <w:spacing w:before="120" w:after="120"/>
        <w:ind w:firstLine="360"/>
      </w:pPr>
      <w:r w:rsidRPr="0033276B">
        <w:t>There are three main indications for the management of HAE:</w:t>
      </w:r>
    </w:p>
    <w:p w:rsidR="0033276B" w:rsidRPr="0033276B" w:rsidRDefault="0033276B" w:rsidP="002A2BFD">
      <w:pPr>
        <w:pStyle w:val="ListParagraph"/>
        <w:numPr>
          <w:ilvl w:val="0"/>
          <w:numId w:val="44"/>
        </w:numPr>
        <w:spacing w:before="120" w:after="120"/>
      </w:pPr>
      <w:r w:rsidRPr="0033276B">
        <w:t xml:space="preserve">treatment of acute angioedema attacks; </w:t>
      </w:r>
    </w:p>
    <w:p w:rsidR="0033276B" w:rsidRPr="0033276B" w:rsidRDefault="0033276B" w:rsidP="002A2BFD">
      <w:pPr>
        <w:pStyle w:val="ListParagraph"/>
        <w:numPr>
          <w:ilvl w:val="0"/>
          <w:numId w:val="44"/>
        </w:numPr>
        <w:spacing w:before="120" w:after="120"/>
      </w:pPr>
      <w:r w:rsidRPr="0033276B">
        <w:t xml:space="preserve">pre-procedural (short-term) prophylaxis against angioedema attacks; and </w:t>
      </w:r>
    </w:p>
    <w:p w:rsidR="0033276B" w:rsidRPr="0033276B" w:rsidRDefault="0033276B" w:rsidP="002A2BFD">
      <w:pPr>
        <w:pStyle w:val="ListParagraph"/>
        <w:numPr>
          <w:ilvl w:val="0"/>
          <w:numId w:val="44"/>
        </w:numPr>
        <w:spacing w:before="120" w:after="120"/>
      </w:pPr>
      <w:proofErr w:type="gramStart"/>
      <w:r w:rsidRPr="0033276B">
        <w:t>routine</w:t>
      </w:r>
      <w:proofErr w:type="gramEnd"/>
      <w:r w:rsidRPr="0033276B">
        <w:t xml:space="preserve"> (long-term) prophylaxis against angioedema attacks. </w:t>
      </w:r>
    </w:p>
    <w:p w:rsidR="009037F9" w:rsidRPr="00687D87" w:rsidRDefault="0033276B" w:rsidP="008A33C8">
      <w:pPr>
        <w:spacing w:before="120" w:after="120"/>
        <w:ind w:left="360"/>
      </w:pPr>
      <w:r w:rsidRPr="0033276B">
        <w:t xml:space="preserve">Treatment options differ for each of these separate indications, and for various sub-populations of HAE patients (e.g. </w:t>
      </w:r>
      <w:proofErr w:type="spellStart"/>
      <w:r w:rsidRPr="0033276B">
        <w:t>paediatric</w:t>
      </w:r>
      <w:proofErr w:type="spellEnd"/>
      <w:r w:rsidRPr="0033276B">
        <w:t xml:space="preserve"> patients, pregnant women).</w:t>
      </w:r>
      <w:r>
        <w:t xml:space="preserve"> The flowcharts encompass all potential treatment episodes</w:t>
      </w:r>
      <w:r w:rsidR="00C964C6">
        <w:t xml:space="preserve"> for HAE</w:t>
      </w:r>
      <w:r>
        <w:t>, and outline all currently available pathways as registered by TGA and endorsed by Australasian Society of Clinical Immunology and Allergy (ASCIA), the peak professional body in the HAE field.</w:t>
      </w:r>
    </w:p>
    <w:p w:rsidR="00214984" w:rsidRPr="00687D87" w:rsidRDefault="00214984" w:rsidP="008A33C8">
      <w:pPr>
        <w:ind w:left="360"/>
      </w:pPr>
      <w:r w:rsidRPr="00687D87">
        <w:sym w:font="Wingdings" w:char="F071"/>
      </w:r>
      <w:r w:rsidRPr="00687D87">
        <w:t xml:space="preserve"> Strongly </w:t>
      </w:r>
      <w:r w:rsidR="00FF62B3" w:rsidRPr="00687D87">
        <w:t>a</w:t>
      </w:r>
      <w:r w:rsidRPr="00687D87">
        <w:t>gree</w:t>
      </w:r>
    </w:p>
    <w:p w:rsidR="00214984" w:rsidRPr="00687D87" w:rsidRDefault="00214984" w:rsidP="008A33C8">
      <w:pPr>
        <w:ind w:left="360"/>
      </w:pPr>
      <w:r w:rsidRPr="00687D87">
        <w:sym w:font="Wingdings" w:char="F071"/>
      </w:r>
      <w:r w:rsidRPr="00687D87">
        <w:t xml:space="preserve"> Agree</w:t>
      </w:r>
    </w:p>
    <w:p w:rsidR="00214984" w:rsidRPr="00687D87" w:rsidRDefault="00214984" w:rsidP="008A33C8">
      <w:pPr>
        <w:ind w:left="360"/>
      </w:pPr>
      <w:r w:rsidRPr="00687D87">
        <w:sym w:font="Wingdings" w:char="F071"/>
      </w:r>
      <w:r w:rsidRPr="00687D87">
        <w:t xml:space="preserve"> Disagree</w:t>
      </w:r>
    </w:p>
    <w:p w:rsidR="00214984" w:rsidRPr="00687D87" w:rsidRDefault="00214984" w:rsidP="008A33C8">
      <w:pPr>
        <w:ind w:left="360"/>
      </w:pPr>
      <w:r w:rsidRPr="00687D87">
        <w:sym w:font="Wingdings" w:char="F071"/>
      </w:r>
      <w:r w:rsidRPr="00687D87">
        <w:t xml:space="preserve"> Strongly </w:t>
      </w:r>
      <w:r w:rsidR="00FF62B3" w:rsidRPr="00687D87">
        <w:t>d</w:t>
      </w:r>
      <w:r w:rsidRPr="00687D87">
        <w:t>isagree</w:t>
      </w:r>
    </w:p>
    <w:p w:rsidR="00BC6892" w:rsidRPr="00687D87" w:rsidRDefault="00B7659B" w:rsidP="00CA64E0">
      <w:pPr>
        <w:spacing w:before="100" w:beforeAutospacing="1" w:after="100" w:afterAutospacing="1"/>
        <w:rPr>
          <w:bCs/>
        </w:rPr>
      </w:pPr>
      <w:r w:rsidRPr="00687D87">
        <w:tab/>
      </w:r>
      <w:r w:rsidRPr="00687D87">
        <w:rPr>
          <w:bCs/>
        </w:rPr>
        <w:t>Why or why not?</w:t>
      </w:r>
    </w:p>
    <w:p w:rsidR="00C32E94" w:rsidRPr="00687D87" w:rsidRDefault="00C45B9B" w:rsidP="00CA64E0">
      <w:pPr>
        <w:spacing w:before="100" w:beforeAutospacing="1" w:after="100" w:afterAutospacing="1"/>
        <w:rPr>
          <w:bCs/>
        </w:rPr>
      </w:pPr>
      <w:r>
        <w:rPr>
          <w:bCs/>
        </w:rPr>
        <w:pict>
          <v:rect id="_x0000_i1031" style="width:0;height:1.5pt" o:hralign="center" o:hrstd="t" o:hr="t" fillcolor="#aca899" stroked="f"/>
        </w:pict>
      </w:r>
    </w:p>
    <w:p w:rsidR="00214984" w:rsidRPr="006C650C" w:rsidRDefault="009037F9" w:rsidP="005548FB">
      <w:pPr>
        <w:numPr>
          <w:ilvl w:val="0"/>
          <w:numId w:val="37"/>
        </w:numPr>
      </w:pPr>
      <w:r w:rsidRPr="006C650C">
        <w:t xml:space="preserve">Do you agree or disagree with the </w:t>
      </w:r>
      <w:r w:rsidRPr="005548FB">
        <w:t>comparator</w:t>
      </w:r>
      <w:r w:rsidRPr="006C650C">
        <w:t xml:space="preserve"> for the proposed intervention as specified in the </w:t>
      </w:r>
      <w:r w:rsidR="00FF62B3" w:rsidRPr="006C650C">
        <w:t xml:space="preserve">current </w:t>
      </w:r>
      <w:r w:rsidR="00BF5C1C" w:rsidRPr="006C650C">
        <w:t>management flowchart</w:t>
      </w:r>
      <w:r w:rsidR="0091798D" w:rsidRPr="006C650C">
        <w:t>?</w:t>
      </w:r>
    </w:p>
    <w:p w:rsidR="009037F9" w:rsidRDefault="0033276B" w:rsidP="008A33C8">
      <w:pPr>
        <w:spacing w:before="120" w:after="120"/>
        <w:ind w:left="360"/>
      </w:pPr>
      <w:r>
        <w:lastRenderedPageBreak/>
        <w:t>The Protocol nominates three levels of comparison with a variation of comparators in order to comprehensively</w:t>
      </w:r>
      <w:r w:rsidR="0088368A">
        <w:t xml:space="preserve"> assess</w:t>
      </w:r>
      <w:r>
        <w:t xml:space="preserve"> proposed C1-INH products</w:t>
      </w:r>
      <w:r w:rsidR="0088368A">
        <w:t>, type of treatment (i.e. acute attack, pre-procedural or routine prophylaxis)</w:t>
      </w:r>
      <w:r w:rsidR="002E48A5">
        <w:t xml:space="preserve"> and the effect of potential management arrangements</w:t>
      </w:r>
      <w:r>
        <w:t>:</w:t>
      </w:r>
    </w:p>
    <w:p w:rsidR="0033276B" w:rsidRDefault="0033276B" w:rsidP="002A2BFD">
      <w:pPr>
        <w:pStyle w:val="ListParagraph"/>
        <w:numPr>
          <w:ilvl w:val="0"/>
          <w:numId w:val="45"/>
        </w:numPr>
        <w:spacing w:before="120" w:after="120"/>
      </w:pPr>
      <w:r w:rsidRPr="002A2BFD">
        <w:rPr>
          <w:u w:val="single"/>
        </w:rPr>
        <w:t>Treatment comparisons</w:t>
      </w:r>
      <w:r>
        <w:t xml:space="preserve"> (C1-INH concentrate(s) versus each other, </w:t>
      </w:r>
      <w:proofErr w:type="spellStart"/>
      <w:r>
        <w:t>icatibant</w:t>
      </w:r>
      <w:proofErr w:type="spellEnd"/>
      <w:r>
        <w:t xml:space="preserve">, </w:t>
      </w:r>
      <w:proofErr w:type="spellStart"/>
      <w:r>
        <w:t>danazol</w:t>
      </w:r>
      <w:proofErr w:type="spellEnd"/>
      <w:r>
        <w:t xml:space="preserve"> or </w:t>
      </w:r>
      <w:proofErr w:type="spellStart"/>
      <w:r>
        <w:t>tranexamic</w:t>
      </w:r>
      <w:proofErr w:type="spellEnd"/>
      <w:r>
        <w:t xml:space="preserve"> acid)</w:t>
      </w:r>
    </w:p>
    <w:p w:rsidR="0033276B" w:rsidRDefault="0033276B" w:rsidP="002A2BFD">
      <w:pPr>
        <w:pStyle w:val="ListParagraph"/>
        <w:numPr>
          <w:ilvl w:val="0"/>
          <w:numId w:val="45"/>
        </w:numPr>
        <w:spacing w:before="120" w:after="120"/>
      </w:pPr>
      <w:r w:rsidRPr="002A2BFD">
        <w:rPr>
          <w:u w:val="single"/>
        </w:rPr>
        <w:t>Setting comparisons</w:t>
      </w:r>
      <w:r>
        <w:t xml:space="preserve"> (community-administered C1-INH versus hospital-administered C1-INH)</w:t>
      </w:r>
    </w:p>
    <w:p w:rsidR="0033276B" w:rsidRPr="0033276B" w:rsidRDefault="0033276B" w:rsidP="002A2BFD">
      <w:pPr>
        <w:pStyle w:val="ListParagraph"/>
        <w:numPr>
          <w:ilvl w:val="0"/>
          <w:numId w:val="45"/>
        </w:numPr>
        <w:spacing w:before="120" w:after="120"/>
      </w:pPr>
      <w:r w:rsidRPr="002A2BFD">
        <w:rPr>
          <w:u w:val="single"/>
        </w:rPr>
        <w:t>Funding comparisons</w:t>
      </w:r>
      <w:r>
        <w:t xml:space="preserve"> (NPSL-funded versus hospital-funded)</w:t>
      </w:r>
    </w:p>
    <w:p w:rsidR="009037F9" w:rsidRPr="00687D87" w:rsidRDefault="009037F9" w:rsidP="008A33C8">
      <w:pPr>
        <w:ind w:left="360"/>
      </w:pPr>
      <w:r w:rsidRPr="00687D87">
        <w:sym w:font="Wingdings" w:char="F071"/>
      </w:r>
      <w:r w:rsidRPr="00687D87">
        <w:t xml:space="preserve"> Strongly </w:t>
      </w:r>
      <w:r w:rsidR="00FF62B3" w:rsidRPr="00687D87">
        <w:t>a</w:t>
      </w:r>
      <w:r w:rsidRPr="00687D87">
        <w:t>gree</w:t>
      </w:r>
    </w:p>
    <w:p w:rsidR="009037F9" w:rsidRPr="00687D87" w:rsidRDefault="009037F9" w:rsidP="008A33C8">
      <w:pPr>
        <w:ind w:left="360"/>
      </w:pPr>
      <w:r w:rsidRPr="00687D87">
        <w:sym w:font="Wingdings" w:char="F071"/>
      </w:r>
      <w:r w:rsidRPr="00687D87">
        <w:t xml:space="preserve"> Agree</w:t>
      </w:r>
    </w:p>
    <w:p w:rsidR="009037F9" w:rsidRPr="00687D87" w:rsidRDefault="009037F9" w:rsidP="008A33C8">
      <w:pPr>
        <w:ind w:left="360"/>
      </w:pPr>
      <w:r w:rsidRPr="00687D87">
        <w:sym w:font="Wingdings" w:char="F071"/>
      </w:r>
      <w:r w:rsidRPr="00687D87">
        <w:t xml:space="preserve"> Disagree</w:t>
      </w:r>
    </w:p>
    <w:p w:rsidR="009037F9" w:rsidRPr="00687D87" w:rsidRDefault="009037F9" w:rsidP="008A33C8">
      <w:pPr>
        <w:ind w:left="360"/>
      </w:pPr>
      <w:r w:rsidRPr="00687D87">
        <w:sym w:font="Wingdings" w:char="F071"/>
      </w:r>
      <w:r w:rsidRPr="00687D87">
        <w:t xml:space="preserve"> Strongly </w:t>
      </w:r>
      <w:r w:rsidR="00FF62B3" w:rsidRPr="00687D87">
        <w:t>d</w:t>
      </w:r>
      <w:r w:rsidRPr="00687D87">
        <w:t>isagree</w:t>
      </w:r>
    </w:p>
    <w:p w:rsidR="009037F9" w:rsidRPr="00687D87" w:rsidRDefault="009037F9" w:rsidP="00CA64E0">
      <w:pPr>
        <w:spacing w:before="100" w:beforeAutospacing="1" w:after="100" w:afterAutospacing="1"/>
        <w:rPr>
          <w:bCs/>
        </w:rPr>
      </w:pPr>
      <w:r w:rsidRPr="00687D87">
        <w:tab/>
      </w:r>
      <w:r w:rsidRPr="00687D87">
        <w:rPr>
          <w:bCs/>
        </w:rPr>
        <w:t>Why or why not?</w:t>
      </w:r>
    </w:p>
    <w:p w:rsidR="00FC1CE3" w:rsidRPr="00687D87" w:rsidRDefault="00C45B9B" w:rsidP="00CA64E0">
      <w:pPr>
        <w:spacing w:before="100" w:beforeAutospacing="1" w:after="100" w:afterAutospacing="1"/>
        <w:rPr>
          <w:bCs/>
        </w:rPr>
      </w:pPr>
      <w:r>
        <w:rPr>
          <w:bCs/>
        </w:rPr>
        <w:pict>
          <v:rect id="_x0000_i1032" style="width:0;height:1.5pt" o:hralign="center" o:hrstd="t" o:hr="t" fillcolor="#aca899" stroked="f"/>
        </w:pict>
      </w:r>
    </w:p>
    <w:p w:rsidR="00920B57" w:rsidRPr="006C650C" w:rsidRDefault="00920B57" w:rsidP="005548FB">
      <w:pPr>
        <w:numPr>
          <w:ilvl w:val="0"/>
          <w:numId w:val="37"/>
        </w:numPr>
      </w:pPr>
      <w:r w:rsidRPr="006C650C">
        <w:t xml:space="preserve">Do you agree or disagree with the </w:t>
      </w:r>
      <w:r w:rsidR="00BF5C1C" w:rsidRPr="005548FB">
        <w:t xml:space="preserve">clinical </w:t>
      </w:r>
      <w:r w:rsidRPr="005548FB">
        <w:t>claim</w:t>
      </w:r>
      <w:r w:rsidRPr="006C650C">
        <w:t xml:space="preserve"> </w:t>
      </w:r>
      <w:r w:rsidR="00FC0602" w:rsidRPr="006C650C">
        <w:t>(outcomes)</w:t>
      </w:r>
      <w:r w:rsidR="006C650C" w:rsidRPr="006C650C">
        <w:t xml:space="preserve"> </w:t>
      </w:r>
      <w:r w:rsidRPr="006C650C">
        <w:t xml:space="preserve">made </w:t>
      </w:r>
      <w:r w:rsidR="00FF62B3" w:rsidRPr="006C650C">
        <w:t xml:space="preserve">for </w:t>
      </w:r>
      <w:r w:rsidRPr="006C650C">
        <w:t xml:space="preserve">the </w:t>
      </w:r>
      <w:r w:rsidR="00FF62B3" w:rsidRPr="006C650C">
        <w:t>proposed intervention</w:t>
      </w:r>
      <w:r w:rsidRPr="006C650C">
        <w:t>?</w:t>
      </w:r>
    </w:p>
    <w:p w:rsidR="009037F9" w:rsidRDefault="0088368A" w:rsidP="008A33C8">
      <w:pPr>
        <w:spacing w:before="120" w:after="120"/>
        <w:ind w:left="360"/>
      </w:pPr>
      <w:r w:rsidRPr="0088368A">
        <w:t>For the treatment comparison</w:t>
      </w:r>
      <w:r>
        <w:t xml:space="preserve"> in acute attacks</w:t>
      </w:r>
      <w:r w:rsidRPr="0088368A">
        <w:t xml:space="preserve">, the clinical claim is that C1-INH concentrate is non-inferior to </w:t>
      </w:r>
      <w:proofErr w:type="spellStart"/>
      <w:r w:rsidRPr="0088368A">
        <w:t>icatibant</w:t>
      </w:r>
      <w:proofErr w:type="spellEnd"/>
      <w:r w:rsidRPr="0088368A">
        <w:t xml:space="preserve"> in efficacy and safety for acute HAE attacks in adults and adolescents (Table 8). This is based on the ASCIA management algorithm which recommends either </w:t>
      </w:r>
      <w:proofErr w:type="spellStart"/>
      <w:r w:rsidRPr="0088368A">
        <w:t>icatibant</w:t>
      </w:r>
      <w:proofErr w:type="spellEnd"/>
      <w:r w:rsidRPr="0088368A">
        <w:t xml:space="preserve"> or C1-INH concentrate for acute attacks. (For children, and during pregnancy and lactation, the appropriate treatment comparison claim would be that C1-INH concentrate is superior in efficacy and safety to no treatment.)</w:t>
      </w:r>
    </w:p>
    <w:p w:rsidR="0088368A" w:rsidRDefault="0088368A" w:rsidP="008A33C8">
      <w:pPr>
        <w:spacing w:before="120" w:after="120"/>
        <w:ind w:left="360"/>
      </w:pPr>
      <w:r w:rsidRPr="0088368A">
        <w:t xml:space="preserve">The clinical claim for prophylaxis prior to major procedures in adults and children is that C1-INH concentrate is superior to </w:t>
      </w:r>
      <w:proofErr w:type="spellStart"/>
      <w:r w:rsidRPr="0088368A">
        <w:t>danazol</w:t>
      </w:r>
      <w:proofErr w:type="spellEnd"/>
      <w:r w:rsidRPr="0088368A">
        <w:t xml:space="preserve"> in efficacy and non-inferior to </w:t>
      </w:r>
      <w:proofErr w:type="spellStart"/>
      <w:r w:rsidRPr="0088368A">
        <w:t>danazol</w:t>
      </w:r>
      <w:proofErr w:type="spellEnd"/>
      <w:r w:rsidRPr="0088368A">
        <w:t xml:space="preserve"> in safety. This is based on ASCIA advice which </w:t>
      </w:r>
      <w:proofErr w:type="spellStart"/>
      <w:r w:rsidRPr="0088368A">
        <w:t>favours</w:t>
      </w:r>
      <w:proofErr w:type="spellEnd"/>
      <w:r w:rsidRPr="0088368A">
        <w:t xml:space="preserve"> C1-INH concentrate over </w:t>
      </w:r>
      <w:proofErr w:type="spellStart"/>
      <w:r w:rsidRPr="0088368A">
        <w:t>danazol</w:t>
      </w:r>
      <w:proofErr w:type="spellEnd"/>
      <w:r w:rsidRPr="0088368A">
        <w:t xml:space="preserve"> for this indication. (For pregnant and lactating women, the appropriate clinical claim would be that C1-INH concentrate is superior in efficacy and safety to </w:t>
      </w:r>
      <w:proofErr w:type="spellStart"/>
      <w:r w:rsidRPr="0088368A">
        <w:t>tranexamic</w:t>
      </w:r>
      <w:proofErr w:type="spellEnd"/>
      <w:r w:rsidRPr="0088368A">
        <w:t xml:space="preserve"> acid.)</w:t>
      </w:r>
    </w:p>
    <w:p w:rsidR="0088368A" w:rsidRPr="00687D87" w:rsidRDefault="0088368A" w:rsidP="008A33C8">
      <w:pPr>
        <w:spacing w:before="120" w:after="120"/>
        <w:ind w:left="360"/>
      </w:pPr>
      <w:r w:rsidRPr="0088368A">
        <w:t xml:space="preserve">The clinical claim for routine prophylaxis is that C1-INH concentrate is superior to no prophylaxis in efficacy, and non-inferior in safety, in adults who have failed oral therapy. (For </w:t>
      </w:r>
      <w:proofErr w:type="gramStart"/>
      <w:r w:rsidRPr="0088368A">
        <w:t>children ,</w:t>
      </w:r>
      <w:proofErr w:type="gramEnd"/>
      <w:r w:rsidRPr="0088368A">
        <w:t xml:space="preserve"> pregnant and lactating women, the appropriate clinical claim would be that C1-INH concentrate is superior in efficacy  and safety to </w:t>
      </w:r>
      <w:proofErr w:type="spellStart"/>
      <w:r w:rsidRPr="0088368A">
        <w:t>tranexamic</w:t>
      </w:r>
      <w:proofErr w:type="spellEnd"/>
      <w:r w:rsidRPr="0088368A">
        <w:t xml:space="preserve"> acid.)</w:t>
      </w:r>
    </w:p>
    <w:p w:rsidR="00214984" w:rsidRPr="00687D87" w:rsidRDefault="00214984" w:rsidP="008A33C8">
      <w:pPr>
        <w:ind w:left="360"/>
      </w:pPr>
      <w:r w:rsidRPr="00687D87">
        <w:sym w:font="Wingdings" w:char="F071"/>
      </w:r>
      <w:r w:rsidRPr="00687D87">
        <w:t xml:space="preserve"> Strongly </w:t>
      </w:r>
      <w:r w:rsidR="00FF62B3" w:rsidRPr="00687D87">
        <w:t>a</w:t>
      </w:r>
      <w:r w:rsidRPr="00687D87">
        <w:t>gree</w:t>
      </w:r>
    </w:p>
    <w:p w:rsidR="00214984" w:rsidRPr="00687D87" w:rsidRDefault="00214984" w:rsidP="008A33C8">
      <w:pPr>
        <w:ind w:left="360"/>
      </w:pPr>
      <w:r w:rsidRPr="00687D87">
        <w:sym w:font="Wingdings" w:char="F071"/>
      </w:r>
      <w:r w:rsidRPr="00687D87">
        <w:t xml:space="preserve"> Agree</w:t>
      </w:r>
    </w:p>
    <w:p w:rsidR="00214984" w:rsidRPr="00687D87" w:rsidRDefault="00214984" w:rsidP="008A33C8">
      <w:pPr>
        <w:ind w:left="360"/>
      </w:pPr>
      <w:r w:rsidRPr="00687D87">
        <w:sym w:font="Wingdings" w:char="F071"/>
      </w:r>
      <w:r w:rsidRPr="00687D87">
        <w:t xml:space="preserve"> Disagree</w:t>
      </w:r>
    </w:p>
    <w:p w:rsidR="00214984" w:rsidRPr="00687D87" w:rsidRDefault="00214984" w:rsidP="008A33C8">
      <w:pPr>
        <w:ind w:left="360"/>
      </w:pPr>
      <w:r w:rsidRPr="00687D87">
        <w:sym w:font="Wingdings" w:char="F071"/>
      </w:r>
      <w:r w:rsidRPr="00687D87">
        <w:t xml:space="preserve"> Strongly </w:t>
      </w:r>
      <w:r w:rsidR="00FF62B3" w:rsidRPr="00687D87">
        <w:t>d</w:t>
      </w:r>
      <w:r w:rsidRPr="00687D87">
        <w:t>isagree</w:t>
      </w:r>
    </w:p>
    <w:p w:rsidR="007D1159" w:rsidRPr="00687D87" w:rsidRDefault="007D1159" w:rsidP="00CA64E0">
      <w:pPr>
        <w:spacing w:before="100" w:beforeAutospacing="1" w:after="100" w:afterAutospacing="1"/>
        <w:rPr>
          <w:bCs/>
        </w:rPr>
      </w:pPr>
      <w:r w:rsidRPr="00687D87">
        <w:tab/>
      </w:r>
      <w:r w:rsidRPr="00687D87">
        <w:rPr>
          <w:bCs/>
        </w:rPr>
        <w:t>Why or why not?</w:t>
      </w:r>
    </w:p>
    <w:p w:rsidR="00C32E94" w:rsidRPr="00687D87" w:rsidRDefault="00C45B9B" w:rsidP="00CA64E0">
      <w:pPr>
        <w:spacing w:before="100" w:beforeAutospacing="1" w:after="100" w:afterAutospacing="1"/>
        <w:rPr>
          <w:bCs/>
        </w:rPr>
      </w:pPr>
      <w:r>
        <w:rPr>
          <w:bCs/>
        </w:rPr>
        <w:pict>
          <v:rect id="_x0000_i1033" style="width:0;height:1.5pt" o:hralign="center" o:hrstd="t" o:hr="t" fillcolor="#aca899" stroked="f"/>
        </w:pict>
      </w:r>
    </w:p>
    <w:p w:rsidR="00DC0934" w:rsidRPr="006C650C" w:rsidRDefault="00DC0934" w:rsidP="005548FB">
      <w:pPr>
        <w:numPr>
          <w:ilvl w:val="0"/>
          <w:numId w:val="37"/>
        </w:numPr>
      </w:pPr>
      <w:r w:rsidRPr="006C650C">
        <w:t>Have all associated intervention</w:t>
      </w:r>
      <w:r w:rsidR="00723597">
        <w:t>s</w:t>
      </w:r>
      <w:r w:rsidRPr="006C650C">
        <w:t xml:space="preserve"> been adequately captured in the flowchart?</w:t>
      </w:r>
      <w:r w:rsidRPr="006C650C">
        <w:br/>
      </w:r>
    </w:p>
    <w:p w:rsidR="00DC0934" w:rsidRPr="00687D87" w:rsidRDefault="00DC0934" w:rsidP="008A33C8">
      <w:pPr>
        <w:ind w:firstLine="360"/>
      </w:pPr>
      <w:r w:rsidRPr="00687D87">
        <w:sym w:font="Wingdings" w:char="F071"/>
      </w:r>
      <w:r w:rsidRPr="00687D87">
        <w:t xml:space="preserve"> Yes</w:t>
      </w:r>
    </w:p>
    <w:p w:rsidR="00DC0934" w:rsidRPr="00687D87" w:rsidRDefault="00DC0934" w:rsidP="008A33C8">
      <w:pPr>
        <w:ind w:firstLine="360"/>
      </w:pPr>
      <w:r w:rsidRPr="00687D87">
        <w:sym w:font="Wingdings" w:char="F071"/>
      </w:r>
      <w:r w:rsidRPr="00687D87">
        <w:t xml:space="preserve"> No</w:t>
      </w:r>
    </w:p>
    <w:p w:rsidR="00DC0934" w:rsidRPr="00687D87" w:rsidRDefault="00DC0934" w:rsidP="00DC0934">
      <w:pPr>
        <w:ind w:left="360"/>
        <w:rPr>
          <w:bCs/>
        </w:rPr>
      </w:pPr>
    </w:p>
    <w:p w:rsidR="00FC1CE3" w:rsidRPr="00687D87" w:rsidRDefault="00DC0934" w:rsidP="00374A6F">
      <w:pPr>
        <w:ind w:left="570"/>
        <w:rPr>
          <w:bCs/>
        </w:rPr>
      </w:pPr>
      <w:r w:rsidRPr="00687D87">
        <w:rPr>
          <w:bCs/>
        </w:rPr>
        <w:t xml:space="preserve">If not, please move any misplaced interventions, </w:t>
      </w:r>
      <w:r w:rsidR="00FC1CE3" w:rsidRPr="00687D87">
        <w:rPr>
          <w:bCs/>
        </w:rPr>
        <w:t xml:space="preserve">remove any superfluous intervention, or </w:t>
      </w:r>
      <w:r w:rsidRPr="00687D87">
        <w:rPr>
          <w:bCs/>
        </w:rPr>
        <w:t>suggest any missing interventions</w:t>
      </w:r>
      <w:r w:rsidR="00FC1CE3" w:rsidRPr="00687D87">
        <w:rPr>
          <w:bCs/>
        </w:rPr>
        <w:t xml:space="preserve"> to indicate ho</w:t>
      </w:r>
      <w:r w:rsidR="00C96C52" w:rsidRPr="00687D87">
        <w:rPr>
          <w:bCs/>
        </w:rPr>
        <w:t>w</w:t>
      </w:r>
      <w:r w:rsidR="00FC1CE3" w:rsidRPr="00687D87">
        <w:rPr>
          <w:bCs/>
        </w:rPr>
        <w:t xml:space="preserve"> they should be captured on the flowcharts. Please explain the rationale behind each of your modifications.</w:t>
      </w:r>
    </w:p>
    <w:p w:rsidR="00DC0934" w:rsidRPr="00687D87" w:rsidRDefault="00DC0934" w:rsidP="00DC0934">
      <w:pPr>
        <w:ind w:left="360"/>
        <w:rPr>
          <w:bCs/>
        </w:rPr>
      </w:pPr>
    </w:p>
    <w:p w:rsidR="00177F22" w:rsidRPr="00687D87" w:rsidRDefault="00C45B9B" w:rsidP="009E1710">
      <w:pPr>
        <w:rPr>
          <w:bCs/>
        </w:rPr>
      </w:pPr>
      <w:r>
        <w:rPr>
          <w:bCs/>
        </w:rPr>
        <w:pict>
          <v:rect id="_x0000_i1034" style="width:0;height:1.5pt" o:hralign="center" o:hrstd="t" o:hr="t" fillcolor="#aca899" stroked="f"/>
        </w:pict>
      </w:r>
    </w:p>
    <w:p w:rsidR="00BC6892" w:rsidRPr="00687D87" w:rsidRDefault="00177F22" w:rsidP="00E86135">
      <w:pPr>
        <w:pStyle w:val="Heading4"/>
      </w:pPr>
      <w:r w:rsidRPr="00687D87">
        <w:lastRenderedPageBreak/>
        <w:t>A</w:t>
      </w:r>
      <w:r w:rsidR="00830766" w:rsidRPr="00687D87">
        <w:t>DDITIONAL COMMENTS</w:t>
      </w:r>
    </w:p>
    <w:p w:rsidR="00FC1CE3" w:rsidRPr="00687D87" w:rsidRDefault="00830766" w:rsidP="005548FB">
      <w:pPr>
        <w:numPr>
          <w:ilvl w:val="0"/>
          <w:numId w:val="37"/>
        </w:numPr>
      </w:pPr>
      <w:r w:rsidRPr="00687D87">
        <w:t xml:space="preserve">Do you have any additional comments on the </w:t>
      </w:r>
      <w:r w:rsidR="00FF62B3" w:rsidRPr="00687D87">
        <w:t>proposed intervention</w:t>
      </w:r>
      <w:r w:rsidRPr="00687D87">
        <w:t xml:space="preserve"> and/or </w:t>
      </w:r>
      <w:r w:rsidR="00FF62B3" w:rsidRPr="00687D87">
        <w:t xml:space="preserve">medical </w:t>
      </w:r>
      <w:r w:rsidRPr="00687D87">
        <w:t xml:space="preserve">condition </w:t>
      </w:r>
      <w:r w:rsidR="00FF62B3" w:rsidRPr="00687D87">
        <w:t xml:space="preserve">(disease) </w:t>
      </w:r>
      <w:r w:rsidRPr="00687D87">
        <w:t xml:space="preserve">relating to the </w:t>
      </w:r>
      <w:r w:rsidR="00FF62B3" w:rsidRPr="00687D87">
        <w:t>proposed intervention</w:t>
      </w:r>
      <w:r w:rsidRPr="00687D87">
        <w:t>?</w:t>
      </w:r>
    </w:p>
    <w:p w:rsidR="00FC1CE3" w:rsidRPr="00687D87" w:rsidRDefault="00C45B9B" w:rsidP="00FC1CE3">
      <w:pPr>
        <w:spacing w:before="100" w:beforeAutospacing="1" w:after="100" w:afterAutospacing="1"/>
        <w:rPr>
          <w:bCs/>
        </w:rPr>
      </w:pPr>
      <w:r>
        <w:rPr>
          <w:bCs/>
        </w:rPr>
        <w:pict>
          <v:rect id="_x0000_i1035" style="width:0;height:1.5pt" o:hralign="center" o:hrstd="t" o:hr="t" fillcolor="#aca899" stroked="f"/>
        </w:pict>
      </w:r>
    </w:p>
    <w:p w:rsidR="00FC1CE3" w:rsidRPr="00687D87" w:rsidRDefault="00830766" w:rsidP="005548FB">
      <w:pPr>
        <w:numPr>
          <w:ilvl w:val="0"/>
          <w:numId w:val="37"/>
        </w:numPr>
      </w:pPr>
      <w:r w:rsidRPr="00687D87">
        <w:t>And finally, d</w:t>
      </w:r>
      <w:r w:rsidR="00BC6892" w:rsidRPr="00687D87">
        <w:t xml:space="preserve">o you have any comments on this </w:t>
      </w:r>
      <w:r w:rsidR="004F01A4" w:rsidRPr="00687D87">
        <w:t xml:space="preserve">feedback form and </w:t>
      </w:r>
      <w:r w:rsidR="00BC6892" w:rsidRPr="00687D87">
        <w:t>process</w:t>
      </w:r>
      <w:r w:rsidR="00E74505" w:rsidRPr="00687D87">
        <w:t>?</w:t>
      </w:r>
      <w:r w:rsidR="004F01A4" w:rsidRPr="00687D87">
        <w:t xml:space="preserve">  Please provide comments or suggestions on how this process could be improved.</w:t>
      </w:r>
    </w:p>
    <w:p w:rsidR="00FC1CE3" w:rsidRPr="00687D87" w:rsidRDefault="00C45B9B" w:rsidP="00FC1CE3">
      <w:pPr>
        <w:spacing w:before="100" w:beforeAutospacing="1" w:after="100" w:afterAutospacing="1"/>
        <w:rPr>
          <w:bCs/>
        </w:rPr>
      </w:pPr>
      <w:r>
        <w:rPr>
          <w:bCs/>
        </w:rPr>
        <w:pict>
          <v:rect id="_x0000_i1036" style="width:0;height:1.5pt" o:hralign="center" o:hrstd="t" o:hr="t" fillcolor="#aca899" stroked="f"/>
        </w:pict>
      </w:r>
    </w:p>
    <w:p w:rsidR="00BC6892" w:rsidRPr="00687D87" w:rsidRDefault="00BC6892" w:rsidP="00CA64E0">
      <w:pPr>
        <w:spacing w:after="240"/>
        <w:rPr>
          <w:b/>
          <w:i/>
        </w:rPr>
      </w:pPr>
      <w:r w:rsidRPr="00687D87">
        <w:rPr>
          <w:b/>
          <w:i/>
        </w:rPr>
        <w:t xml:space="preserve">Thank you </w:t>
      </w:r>
      <w:r w:rsidR="00FF62B3" w:rsidRPr="00687D87">
        <w:rPr>
          <w:b/>
          <w:i/>
        </w:rPr>
        <w:t xml:space="preserve">again </w:t>
      </w:r>
      <w:r w:rsidRPr="00687D87">
        <w:rPr>
          <w:b/>
          <w:i/>
        </w:rPr>
        <w:t>for taking the time to provide your valuable feedback.</w:t>
      </w:r>
    </w:p>
    <w:p w:rsidR="00185124" w:rsidRPr="00687D87" w:rsidRDefault="00185124" w:rsidP="00CA64E0">
      <w:pPr>
        <w:spacing w:after="240"/>
        <w:rPr>
          <w:i/>
        </w:rPr>
      </w:pPr>
      <w:r w:rsidRPr="00687D87">
        <w:rPr>
          <w:i/>
        </w:rPr>
        <w:t>If you experience any problems completing this on-line survey</w:t>
      </w:r>
      <w:r w:rsidR="00BC6892" w:rsidRPr="00687D87">
        <w:rPr>
          <w:i/>
        </w:rPr>
        <w:t xml:space="preserve"> please contact </w:t>
      </w:r>
      <w:r w:rsidR="00C32E94" w:rsidRPr="00687D87">
        <w:rPr>
          <w:i/>
        </w:rPr>
        <w:t xml:space="preserve">the </w:t>
      </w:r>
      <w:r w:rsidR="006C650C">
        <w:rPr>
          <w:i/>
        </w:rPr>
        <w:t>HTA Team</w:t>
      </w:r>
    </w:p>
    <w:p w:rsidR="00177F22" w:rsidRPr="00687D87" w:rsidRDefault="00177F22" w:rsidP="00CA64E0">
      <w:pPr>
        <w:spacing w:after="240"/>
        <w:rPr>
          <w:i/>
          <w:lang w:val="pt-BR"/>
        </w:rPr>
      </w:pPr>
      <w:r w:rsidRPr="00687D87">
        <w:rPr>
          <w:i/>
          <w:lang w:val="pt-BR"/>
        </w:rPr>
        <w:t xml:space="preserve">Phone 02 6289 </w:t>
      </w:r>
      <w:r w:rsidR="00216575">
        <w:rPr>
          <w:i/>
          <w:lang w:val="pt-BR"/>
        </w:rPr>
        <w:t>7550</w:t>
      </w:r>
    </w:p>
    <w:p w:rsidR="005F3098" w:rsidRPr="00687D87" w:rsidRDefault="005F3098" w:rsidP="00CA64E0">
      <w:pPr>
        <w:spacing w:after="240"/>
        <w:rPr>
          <w:i/>
          <w:lang w:val="pt-BR"/>
        </w:rPr>
      </w:pPr>
      <w:r w:rsidRPr="00687D87">
        <w:rPr>
          <w:i/>
          <w:lang w:val="pt-BR"/>
        </w:rPr>
        <w:t>Postal:</w:t>
      </w:r>
      <w:r w:rsidR="00363CB1" w:rsidRPr="00687D87">
        <w:rPr>
          <w:i/>
          <w:lang w:val="pt-BR"/>
        </w:rPr>
        <w:t xml:space="preserve"> MDP 853 GPO 98</w:t>
      </w:r>
      <w:r w:rsidRPr="00687D87">
        <w:rPr>
          <w:i/>
          <w:lang w:val="pt-BR"/>
        </w:rPr>
        <w:t>48</w:t>
      </w:r>
      <w:r w:rsidR="00177F22" w:rsidRPr="00687D87">
        <w:rPr>
          <w:i/>
          <w:lang w:val="pt-BR"/>
        </w:rPr>
        <w:t xml:space="preserve"> </w:t>
      </w:r>
      <w:r w:rsidRPr="00687D87">
        <w:rPr>
          <w:i/>
          <w:lang w:val="pt-BR"/>
        </w:rPr>
        <w:t xml:space="preserve">Canberra ACT 2601 </w:t>
      </w:r>
    </w:p>
    <w:p w:rsidR="005F3098" w:rsidRPr="00687D87" w:rsidRDefault="005F3098" w:rsidP="00CA64E0">
      <w:pPr>
        <w:spacing w:after="240"/>
        <w:rPr>
          <w:i/>
          <w:lang w:val="fr-FR"/>
        </w:rPr>
      </w:pPr>
      <w:r w:rsidRPr="00687D87">
        <w:rPr>
          <w:i/>
          <w:lang w:val="fr-FR"/>
        </w:rPr>
        <w:t xml:space="preserve">Fax: </w:t>
      </w:r>
      <w:r w:rsidR="00363CB1" w:rsidRPr="00687D87">
        <w:rPr>
          <w:i/>
          <w:lang w:val="fr-FR"/>
        </w:rPr>
        <w:t>02 6289 3561</w:t>
      </w:r>
    </w:p>
    <w:p w:rsidR="00185124" w:rsidRPr="00687D87" w:rsidRDefault="005F3098" w:rsidP="00CA64E0">
      <w:pPr>
        <w:spacing w:after="240"/>
        <w:rPr>
          <w:i/>
          <w:lang w:val="fr-FR"/>
        </w:rPr>
      </w:pPr>
      <w:r w:rsidRPr="00687D87">
        <w:rPr>
          <w:i/>
          <w:lang w:val="fr-FR"/>
        </w:rPr>
        <w:t xml:space="preserve">Email: </w:t>
      </w:r>
      <w:r w:rsidR="00216575">
        <w:rPr>
          <w:i/>
          <w:lang w:val="fr-FR"/>
        </w:rPr>
        <w:t>HTA</w:t>
      </w:r>
      <w:r w:rsidRPr="00687D87">
        <w:rPr>
          <w:i/>
          <w:lang w:val="fr-FR"/>
        </w:rPr>
        <w:t>@health.gov.au</w:t>
      </w:r>
    </w:p>
    <w:sectPr w:rsidR="00185124" w:rsidRPr="00687D87" w:rsidSect="00E60AAC">
      <w:headerReference w:type="default" r:id="rId10"/>
      <w:footerReference w:type="default" r:id="rId11"/>
      <w:pgSz w:w="11906" w:h="16838"/>
      <w:pgMar w:top="567" w:right="567" w:bottom="567" w:left="567"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E4" w:rsidRDefault="006D13E4" w:rsidP="009647FA">
      <w:r>
        <w:separator/>
      </w:r>
    </w:p>
  </w:endnote>
  <w:endnote w:type="continuationSeparator" w:id="0">
    <w:p w:rsidR="006D13E4" w:rsidRDefault="006D13E4" w:rsidP="0096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D1" w:rsidRPr="009647FA" w:rsidRDefault="009730D1">
    <w:pPr>
      <w:pStyle w:val="Footer"/>
      <w:jc w:val="right"/>
      <w:rPr>
        <w:rFonts w:ascii="Tahoma" w:hAnsi="Tahoma" w:cs="Tahoma"/>
        <w:sz w:val="16"/>
        <w:szCs w:val="16"/>
      </w:rPr>
    </w:pPr>
    <w:r w:rsidRPr="009647FA">
      <w:rPr>
        <w:rFonts w:ascii="Tahoma" w:hAnsi="Tahoma" w:cs="Tahoma"/>
        <w:sz w:val="16"/>
        <w:szCs w:val="16"/>
      </w:rPr>
      <w:fldChar w:fldCharType="begin"/>
    </w:r>
    <w:r w:rsidRPr="009647FA">
      <w:rPr>
        <w:rFonts w:ascii="Tahoma" w:hAnsi="Tahoma" w:cs="Tahoma"/>
        <w:sz w:val="16"/>
        <w:szCs w:val="16"/>
      </w:rPr>
      <w:instrText xml:space="preserve"> PAGE   \* MERGEFORMAT </w:instrText>
    </w:r>
    <w:r w:rsidRPr="009647FA">
      <w:rPr>
        <w:rFonts w:ascii="Tahoma" w:hAnsi="Tahoma" w:cs="Tahoma"/>
        <w:sz w:val="16"/>
        <w:szCs w:val="16"/>
      </w:rPr>
      <w:fldChar w:fldCharType="separate"/>
    </w:r>
    <w:r w:rsidR="00C45B9B">
      <w:rPr>
        <w:rFonts w:ascii="Tahoma" w:hAnsi="Tahoma" w:cs="Tahoma"/>
        <w:noProof/>
        <w:sz w:val="16"/>
        <w:szCs w:val="16"/>
      </w:rPr>
      <w:t>1</w:t>
    </w:r>
    <w:r w:rsidRPr="009647FA">
      <w:rPr>
        <w:rFonts w:ascii="Tahoma" w:hAnsi="Tahoma" w:cs="Tahoma"/>
        <w:sz w:val="16"/>
        <w:szCs w:val="16"/>
      </w:rPr>
      <w:fldChar w:fldCharType="end"/>
    </w:r>
  </w:p>
  <w:p w:rsidR="009730D1" w:rsidRDefault="00973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E4" w:rsidRDefault="006D13E4" w:rsidP="009647FA">
      <w:r>
        <w:separator/>
      </w:r>
    </w:p>
  </w:footnote>
  <w:footnote w:type="continuationSeparator" w:id="0">
    <w:p w:rsidR="006D13E4" w:rsidRDefault="006D13E4" w:rsidP="009647FA">
      <w:r>
        <w:continuationSeparator/>
      </w:r>
    </w:p>
  </w:footnote>
  <w:footnote w:id="1">
    <w:p w:rsidR="003E4CB4" w:rsidRPr="007F3066" w:rsidRDefault="003E4CB4">
      <w:pPr>
        <w:pStyle w:val="FootnoteText"/>
        <w:rPr>
          <w:lang w:val="en-AU"/>
        </w:rPr>
      </w:pPr>
      <w:r>
        <w:rPr>
          <w:rStyle w:val="FootnoteReference"/>
        </w:rPr>
        <w:footnoteRef/>
      </w:r>
      <w:r>
        <w:t xml:space="preserve"> The NPSL is the list of blood and blood products funded and supplied under Schedule 4 of the National Blood Agreement</w:t>
      </w:r>
      <w:proofErr w:type="gramStart"/>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0C" w:rsidRDefault="006C650C" w:rsidP="00AC7421">
    <w:pPr>
      <w:pStyle w:val="Header"/>
      <w:tabs>
        <w:tab w:val="clear" w:pos="4680"/>
        <w:tab w:val="clear" w:pos="9360"/>
        <w:tab w:val="center" w:pos="8222"/>
      </w:tabs>
      <w:jc w:val="center"/>
      <w:rPr>
        <w:b/>
        <w:sz w:val="32"/>
        <w:szCs w:val="32"/>
      </w:rPr>
    </w:pPr>
    <w:r w:rsidRPr="00D342F2">
      <w:rPr>
        <w:b/>
        <w:sz w:val="32"/>
        <w:szCs w:val="32"/>
      </w:rPr>
      <w:t>Feedback Survey</w:t>
    </w:r>
  </w:p>
  <w:p w:rsidR="00B213F9" w:rsidRDefault="00B213F9" w:rsidP="00AC7421">
    <w:pPr>
      <w:pStyle w:val="Header"/>
      <w:tabs>
        <w:tab w:val="clear" w:pos="4680"/>
        <w:tab w:val="clear" w:pos="9360"/>
        <w:tab w:val="center" w:pos="822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0C202A"/>
    <w:lvl w:ilvl="0">
      <w:numFmt w:val="bullet"/>
      <w:lvlText w:val="*"/>
      <w:lvlJc w:val="left"/>
    </w:lvl>
  </w:abstractNum>
  <w:abstractNum w:abstractNumId="1">
    <w:nsid w:val="09AE0929"/>
    <w:multiLevelType w:val="hybridMultilevel"/>
    <w:tmpl w:val="10947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04C05"/>
    <w:multiLevelType w:val="multilevel"/>
    <w:tmpl w:val="6646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D42BB8"/>
    <w:multiLevelType w:val="hybridMultilevel"/>
    <w:tmpl w:val="D5640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D74B8"/>
    <w:multiLevelType w:val="multilevel"/>
    <w:tmpl w:val="BBDC907C"/>
    <w:styleLink w:val="StyleOutlinenumberedBold"/>
    <w:lvl w:ilvl="0">
      <w:start w:val="1"/>
      <w:numFmt w:val="decimal"/>
      <w:lvlText w:val="%1"/>
      <w:lvlJc w:val="left"/>
      <w:pPr>
        <w:tabs>
          <w:tab w:val="num" w:pos="720"/>
        </w:tabs>
        <w:ind w:left="720" w:hanging="720"/>
      </w:pPr>
      <w:rPr>
        <w:rFonts w:ascii="Tahoma" w:hAnsi="Tahoma" w:hint="default"/>
        <w:b/>
        <w:dstrike w:val="0"/>
        <w:sz w:val="20"/>
        <w:szCs w:val="20"/>
        <w:vertAlign w:val="baseline"/>
      </w:rPr>
    </w:lvl>
    <w:lvl w:ilvl="1">
      <w:start w:val="2"/>
      <w:numFmt w:val="decimal"/>
      <w:lvlText w:val="%1.%2"/>
      <w:lvlJc w:val="left"/>
      <w:pPr>
        <w:tabs>
          <w:tab w:val="num" w:pos="720"/>
        </w:tabs>
        <w:ind w:left="720" w:hanging="720"/>
      </w:pPr>
      <w:rPr>
        <w:rFonts w:ascii="Tahoma" w:hAnsi="Tahoma"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332266"/>
    <w:multiLevelType w:val="hybridMultilevel"/>
    <w:tmpl w:val="CC8CA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587050"/>
    <w:multiLevelType w:val="multilevel"/>
    <w:tmpl w:val="B288B422"/>
    <w:lvl w:ilvl="0">
      <w:start w:val="3"/>
      <w:numFmt w:val="decimal"/>
      <w:lvlText w:val="%1.1"/>
      <w:lvlJc w:val="left"/>
      <w:pPr>
        <w:tabs>
          <w:tab w:val="num" w:pos="360"/>
        </w:tabs>
        <w:ind w:left="360" w:hanging="360"/>
      </w:pPr>
      <w:rPr>
        <w:rFonts w:ascii="Tahoma" w:hAnsi="Tahoma" w:hint="default"/>
        <w:b/>
        <w:sz w:val="20"/>
        <w:szCs w:val="20"/>
      </w:rPr>
    </w:lvl>
    <w:lvl w:ilvl="1">
      <w:start w:val="1"/>
      <w:numFmt w:val="decimal"/>
      <w:pStyle w:val="Heading2"/>
      <w:lvlText w:val="%1.%2."/>
      <w:lvlJc w:val="left"/>
      <w:pPr>
        <w:tabs>
          <w:tab w:val="num" w:pos="1080"/>
        </w:tabs>
        <w:ind w:left="792" w:hanging="432"/>
      </w:pPr>
      <w:rPr>
        <w:rFonts w:hint="default"/>
      </w:rPr>
    </w:lvl>
    <w:lvl w:ilvl="2">
      <w:start w:val="1"/>
      <w:numFmt w:val="decimal"/>
      <w:lvlText w:val="%1.%2.%3."/>
      <w:lvlJc w:val="left"/>
      <w:pPr>
        <w:tabs>
          <w:tab w:val="num" w:pos="2040"/>
        </w:tabs>
        <w:ind w:left="18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FFB2654"/>
    <w:multiLevelType w:val="hybridMultilevel"/>
    <w:tmpl w:val="3A78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A951A4"/>
    <w:multiLevelType w:val="hybridMultilevel"/>
    <w:tmpl w:val="EB88846A"/>
    <w:lvl w:ilvl="0" w:tplc="AEE05344">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620FDF"/>
    <w:multiLevelType w:val="hybridMultilevel"/>
    <w:tmpl w:val="2A6CDE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A21520"/>
    <w:multiLevelType w:val="multilevel"/>
    <w:tmpl w:val="3CFAAE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277B69"/>
    <w:multiLevelType w:val="hybridMultilevel"/>
    <w:tmpl w:val="84BC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913B1B"/>
    <w:multiLevelType w:val="hybridMultilevel"/>
    <w:tmpl w:val="61764D42"/>
    <w:lvl w:ilvl="0" w:tplc="2C10ED82">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5A67A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A95898"/>
    <w:multiLevelType w:val="hybridMultilevel"/>
    <w:tmpl w:val="068A159C"/>
    <w:lvl w:ilvl="0" w:tplc="2C10ED82">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725F79"/>
    <w:multiLevelType w:val="hybridMultilevel"/>
    <w:tmpl w:val="099E443A"/>
    <w:lvl w:ilvl="0" w:tplc="B206295A">
      <w:start w:val="1"/>
      <w:numFmt w:val="decimal"/>
      <w:lvlText w:val="Q%1."/>
      <w:lvlJc w:val="left"/>
      <w:pPr>
        <w:tabs>
          <w:tab w:val="num" w:pos="709"/>
        </w:tabs>
        <w:ind w:left="709" w:hanging="709"/>
      </w:pPr>
      <w:rPr>
        <w:rFonts w:ascii="Verdana" w:hAnsi="Verdana" w:hint="default"/>
        <w:b/>
        <w:i w:val="0"/>
        <w:color w:val="auto"/>
        <w:sz w:val="20"/>
        <w:lang w:val="en-AU"/>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0B2994"/>
    <w:multiLevelType w:val="hybridMultilevel"/>
    <w:tmpl w:val="7940EC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386A61"/>
    <w:multiLevelType w:val="hybridMultilevel"/>
    <w:tmpl w:val="D904FB28"/>
    <w:lvl w:ilvl="0" w:tplc="E7E61310">
      <w:start w:val="1"/>
      <w:numFmt w:val="decimal"/>
      <w:lvlText w:val="%1.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B160D3"/>
    <w:multiLevelType w:val="multilevel"/>
    <w:tmpl w:val="46FA374A"/>
    <w:lvl w:ilvl="0">
      <w:start w:val="2"/>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2"/>
        </w:tabs>
        <w:ind w:left="72" w:hanging="432"/>
      </w:pPr>
      <w:rPr>
        <w:rFonts w:hint="default"/>
      </w:rPr>
    </w:lvl>
    <w:lvl w:ilvl="2">
      <w:start w:val="3"/>
      <w:numFmt w:val="none"/>
      <w:pStyle w:val="Heading3"/>
      <w:lvlText w:val="2.2.1"/>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2">
    <w:nsid w:val="510C0D42"/>
    <w:multiLevelType w:val="multilevel"/>
    <w:tmpl w:val="8526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D52E9"/>
    <w:multiLevelType w:val="hybridMultilevel"/>
    <w:tmpl w:val="8A2E79B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3C02921"/>
    <w:multiLevelType w:val="hybridMultilevel"/>
    <w:tmpl w:val="3DAA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4F310B"/>
    <w:multiLevelType w:val="hybridMultilevel"/>
    <w:tmpl w:val="2E3E5248"/>
    <w:lvl w:ilvl="0" w:tplc="2C10ED82">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954471"/>
    <w:multiLevelType w:val="multilevel"/>
    <w:tmpl w:val="7C72A2DA"/>
    <w:lvl w:ilvl="0">
      <w:start w:val="2"/>
      <w:numFmt w:val="decimal"/>
      <w:lvlText w:val="%1."/>
      <w:lvlJc w:val="left"/>
      <w:pPr>
        <w:tabs>
          <w:tab w:val="num" w:pos="-360"/>
        </w:tabs>
        <w:ind w:left="-360" w:hanging="360"/>
      </w:pPr>
      <w:rPr>
        <w:rFonts w:hint="default"/>
        <w:b/>
        <w:dstrike w:val="0"/>
        <w:sz w:val="20"/>
        <w:szCs w:val="20"/>
        <w:vertAlign w:val="baseline"/>
      </w:rPr>
    </w:lvl>
    <w:lvl w:ilvl="1">
      <w:start w:val="1"/>
      <w:numFmt w:val="decimal"/>
      <w:lvlText w:val="%1.%2."/>
      <w:lvlJc w:val="left"/>
      <w:pPr>
        <w:tabs>
          <w:tab w:val="num" w:pos="72"/>
        </w:tabs>
        <w:ind w:left="72" w:hanging="432"/>
      </w:pPr>
      <w:rPr>
        <w:rFonts w:hint="default"/>
        <w:b/>
        <w:bCs/>
      </w:rPr>
    </w:lvl>
    <w:lvl w:ilvl="2">
      <w:start w:val="3"/>
      <w:numFmt w:val="none"/>
      <w:lvlText w:val="1.1.1%1"/>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7">
    <w:nsid w:val="586279C3"/>
    <w:multiLevelType w:val="hybridMultilevel"/>
    <w:tmpl w:val="276E05AE"/>
    <w:lvl w:ilvl="0" w:tplc="FFFFFFF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B51E2C"/>
    <w:multiLevelType w:val="hybridMultilevel"/>
    <w:tmpl w:val="4C40B46A"/>
    <w:lvl w:ilvl="0" w:tplc="70F04600">
      <w:start w:val="3"/>
      <w:numFmt w:val="decimal"/>
      <w:lvlText w:val="%1.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F06479"/>
    <w:multiLevelType w:val="multilevel"/>
    <w:tmpl w:val="848A090A"/>
    <w:styleLink w:val="StyleOutlinenumberedBold1"/>
    <w:lvl w:ilvl="0">
      <w:start w:val="2"/>
      <w:numFmt w:val="decimal"/>
      <w:lvlText w:val="%1"/>
      <w:lvlJc w:val="left"/>
      <w:pPr>
        <w:tabs>
          <w:tab w:val="num" w:pos="720"/>
        </w:tabs>
        <w:ind w:left="720" w:hanging="720"/>
      </w:pPr>
      <w:rPr>
        <w:rFonts w:ascii="Tahoma" w:hAnsi="Tahoma" w:hint="default"/>
        <w:b/>
        <w:sz w:val="20"/>
      </w:rPr>
    </w:lvl>
    <w:lvl w:ilvl="1">
      <w:start w:val="1"/>
      <w:numFmt w:val="decimal"/>
      <w:lvlText w:val="%1.%2"/>
      <w:lvlJc w:val="left"/>
      <w:pPr>
        <w:tabs>
          <w:tab w:val="num" w:pos="720"/>
        </w:tabs>
        <w:ind w:left="720" w:hanging="720"/>
      </w:pPr>
      <w:rPr>
        <w:rFonts w:ascii="Tahoma" w:hAnsi="Tahoma"/>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5E3FBF"/>
    <w:multiLevelType w:val="multilevel"/>
    <w:tmpl w:val="AC4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CC09E5"/>
    <w:multiLevelType w:val="hybridMultilevel"/>
    <w:tmpl w:val="5A70DE84"/>
    <w:lvl w:ilvl="0" w:tplc="DD5CB234">
      <w:start w:val="1"/>
      <w:numFmt w:val="bullet"/>
      <w:lvlText w:val=""/>
      <w:lvlJc w:val="left"/>
      <w:pPr>
        <w:tabs>
          <w:tab w:val="num" w:pos="851"/>
        </w:tabs>
        <w:ind w:left="851" w:hanging="851"/>
      </w:pPr>
      <w:rPr>
        <w:rFonts w:ascii="Webdings" w:hAnsi="Webdings" w:hint="default"/>
        <w:b/>
        <w:i w:val="0"/>
        <w:color w:val="333399"/>
        <w:sz w:val="20"/>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b/>
        <w:i w:val="0"/>
        <w:color w:val="333399"/>
        <w:sz w:val="20"/>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nsid w:val="650837DC"/>
    <w:multiLevelType w:val="multilevel"/>
    <w:tmpl w:val="20280DFE"/>
    <w:lvl w:ilvl="0">
      <w:start w:val="2"/>
      <w:numFmt w:val="decimal"/>
      <w:lvlText w:val="%1."/>
      <w:lvlJc w:val="left"/>
      <w:pPr>
        <w:tabs>
          <w:tab w:val="num" w:pos="0"/>
        </w:tabs>
        <w:ind w:left="0" w:hanging="360"/>
      </w:pPr>
      <w:rPr>
        <w:rFonts w:hint="default"/>
        <w:b/>
        <w:sz w:val="20"/>
        <w:szCs w:val="20"/>
      </w:rPr>
    </w:lvl>
    <w:lvl w:ilvl="1">
      <w:start w:val="1"/>
      <w:numFmt w:val="decimal"/>
      <w:lvlText w:val="%1.%2."/>
      <w:lvlJc w:val="left"/>
      <w:pPr>
        <w:tabs>
          <w:tab w:val="num" w:pos="432"/>
        </w:tabs>
        <w:ind w:left="432" w:hanging="432"/>
      </w:pPr>
      <w:rPr>
        <w:rFonts w:hint="default"/>
      </w:rPr>
    </w:lvl>
    <w:lvl w:ilvl="2">
      <w:start w:val="3"/>
      <w:numFmt w:val="none"/>
      <w:lvlText w:val="2.1.2"/>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3">
    <w:nsid w:val="70331549"/>
    <w:multiLevelType w:val="multilevel"/>
    <w:tmpl w:val="3CFAAE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727ACE"/>
    <w:multiLevelType w:val="hybridMultilevel"/>
    <w:tmpl w:val="22F2E7D8"/>
    <w:lvl w:ilvl="0" w:tplc="25A46C82">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91189B"/>
    <w:multiLevelType w:val="multilevel"/>
    <w:tmpl w:val="F218423E"/>
    <w:styleLink w:val="111111"/>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rPr>
    </w:lvl>
    <w:lvl w:ilvl="2">
      <w:start w:val="1"/>
      <w:numFmt w:val="decimal"/>
      <w:lvlText w:val="4.%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5906F61"/>
    <w:multiLevelType w:val="hybridMultilevel"/>
    <w:tmpl w:val="5B3CA5A2"/>
    <w:lvl w:ilvl="0" w:tplc="E0FE083A">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0514C"/>
    <w:multiLevelType w:val="singleLevel"/>
    <w:tmpl w:val="AD6CB4C8"/>
    <w:lvl w:ilvl="0">
      <w:start w:val="1"/>
      <w:numFmt w:val="decimal"/>
      <w:lvlText w:val="%1."/>
      <w:lvlJc w:val="left"/>
      <w:pPr>
        <w:tabs>
          <w:tab w:val="num" w:pos="360"/>
        </w:tabs>
        <w:ind w:left="360" w:hanging="360"/>
      </w:pPr>
      <w:rPr>
        <w:rFonts w:hint="default"/>
      </w:rPr>
    </w:lvl>
  </w:abstractNum>
  <w:num w:numId="1">
    <w:abstractNumId w:val="37"/>
  </w:num>
  <w:num w:numId="2">
    <w:abstractNumId w:val="28"/>
  </w:num>
  <w:num w:numId="3">
    <w:abstractNumId w:val="5"/>
  </w:num>
  <w:num w:numId="4">
    <w:abstractNumId w:val="28"/>
  </w:num>
  <w:num w:numId="5">
    <w:abstractNumId w:val="14"/>
  </w:num>
  <w:num w:numId="6">
    <w:abstractNumId w:val="35"/>
  </w:num>
  <w:num w:numId="7">
    <w:abstractNumId w:val="26"/>
  </w:num>
  <w:num w:numId="8">
    <w:abstractNumId w:val="35"/>
  </w:num>
  <w:num w:numId="9">
    <w:abstractNumId w:val="26"/>
  </w:num>
  <w:num w:numId="10">
    <w:abstractNumId w:val="35"/>
  </w:num>
  <w:num w:numId="11">
    <w:abstractNumId w:val="29"/>
  </w:num>
  <w:num w:numId="12">
    <w:abstractNumId w:val="26"/>
  </w:num>
  <w:num w:numId="13">
    <w:abstractNumId w:val="32"/>
  </w:num>
  <w:num w:numId="14">
    <w:abstractNumId w:val="36"/>
  </w:num>
  <w:num w:numId="15">
    <w:abstractNumId w:val="32"/>
  </w:num>
  <w:num w:numId="16">
    <w:abstractNumId w:val="20"/>
  </w:num>
  <w:num w:numId="17">
    <w:abstractNumId w:val="7"/>
  </w:num>
  <w:num w:numId="18">
    <w:abstractNumId w:val="21"/>
  </w:num>
  <w:num w:numId="19">
    <w:abstractNumId w:val="21"/>
  </w:num>
  <w:num w:numId="20">
    <w:abstractNumId w:val="22"/>
  </w:num>
  <w:num w:numId="21">
    <w:abstractNumId w:val="2"/>
  </w:num>
  <w:num w:numId="22">
    <w:abstractNumId w:val="30"/>
  </w:num>
  <w:num w:numId="23">
    <w:abstractNumId w:val="27"/>
  </w:num>
  <w:num w:numId="24">
    <w:abstractNumId w:val="18"/>
  </w:num>
  <w:num w:numId="25">
    <w:abstractNumId w:val="31"/>
  </w:num>
  <w:num w:numId="26">
    <w:abstractNumId w:val="23"/>
  </w:num>
  <w:num w:numId="27">
    <w:abstractNumId w:val="9"/>
  </w:num>
  <w:num w:numId="28">
    <w:abstractNumId w:val="15"/>
  </w:num>
  <w:num w:numId="29">
    <w:abstractNumId w:val="34"/>
  </w:num>
  <w:num w:numId="30">
    <w:abstractNumId w:val="4"/>
  </w:num>
  <w:num w:numId="31">
    <w:abstractNumId w:val="1"/>
  </w:num>
  <w:num w:numId="32">
    <w:abstractNumId w:val="11"/>
  </w:num>
  <w:num w:numId="33">
    <w:abstractNumId w:val="33"/>
  </w:num>
  <w:num w:numId="34">
    <w:abstractNumId w:val="0"/>
    <w:lvlOverride w:ilvl="0">
      <w:lvl w:ilvl="0">
        <w:numFmt w:val="bullet"/>
        <w:lvlText w:val="•"/>
        <w:legacy w:legacy="1" w:legacySpace="0" w:legacyIndent="0"/>
        <w:lvlJc w:val="left"/>
        <w:rPr>
          <w:rFonts w:ascii="Helv" w:hAnsi="Helv" w:hint="default"/>
        </w:rPr>
      </w:lvl>
    </w:lvlOverride>
  </w:num>
  <w:num w:numId="35">
    <w:abstractNumId w:val="24"/>
  </w:num>
  <w:num w:numId="36">
    <w:abstractNumId w:val="3"/>
  </w:num>
  <w:num w:numId="37">
    <w:abstractNumId w:val="16"/>
  </w:num>
  <w:num w:numId="38">
    <w:abstractNumId w:val="19"/>
  </w:num>
  <w:num w:numId="39">
    <w:abstractNumId w:val="10"/>
  </w:num>
  <w:num w:numId="40">
    <w:abstractNumId w:val="6"/>
  </w:num>
  <w:num w:numId="41">
    <w:abstractNumId w:val="25"/>
  </w:num>
  <w:num w:numId="42">
    <w:abstractNumId w:val="17"/>
  </w:num>
  <w:num w:numId="43">
    <w:abstractNumId w:val="13"/>
  </w:num>
  <w:num w:numId="44">
    <w:abstractNumId w:val="1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C"/>
    <w:rsid w:val="00000EBE"/>
    <w:rsid w:val="00001832"/>
    <w:rsid w:val="00001E8F"/>
    <w:rsid w:val="0000421A"/>
    <w:rsid w:val="00004C95"/>
    <w:rsid w:val="0000556E"/>
    <w:rsid w:val="00007816"/>
    <w:rsid w:val="00010718"/>
    <w:rsid w:val="00010A94"/>
    <w:rsid w:val="0001199B"/>
    <w:rsid w:val="00011DF7"/>
    <w:rsid w:val="00013122"/>
    <w:rsid w:val="00013485"/>
    <w:rsid w:val="000135F4"/>
    <w:rsid w:val="00014353"/>
    <w:rsid w:val="00015384"/>
    <w:rsid w:val="000159A4"/>
    <w:rsid w:val="00015F70"/>
    <w:rsid w:val="00016511"/>
    <w:rsid w:val="00016ACF"/>
    <w:rsid w:val="00020286"/>
    <w:rsid w:val="0002195D"/>
    <w:rsid w:val="00022BD9"/>
    <w:rsid w:val="00023EA0"/>
    <w:rsid w:val="000244FB"/>
    <w:rsid w:val="0002608D"/>
    <w:rsid w:val="0003028F"/>
    <w:rsid w:val="00031503"/>
    <w:rsid w:val="000315B6"/>
    <w:rsid w:val="00032860"/>
    <w:rsid w:val="0003350C"/>
    <w:rsid w:val="00033605"/>
    <w:rsid w:val="00034EB8"/>
    <w:rsid w:val="000352EC"/>
    <w:rsid w:val="0003565B"/>
    <w:rsid w:val="000400B9"/>
    <w:rsid w:val="00040E0E"/>
    <w:rsid w:val="00043A5B"/>
    <w:rsid w:val="00043FBE"/>
    <w:rsid w:val="000500DD"/>
    <w:rsid w:val="00050255"/>
    <w:rsid w:val="000516EB"/>
    <w:rsid w:val="00051B3A"/>
    <w:rsid w:val="00051F30"/>
    <w:rsid w:val="000524C1"/>
    <w:rsid w:val="000545FD"/>
    <w:rsid w:val="00054C7F"/>
    <w:rsid w:val="00055427"/>
    <w:rsid w:val="00055808"/>
    <w:rsid w:val="00055F40"/>
    <w:rsid w:val="00056050"/>
    <w:rsid w:val="000571E6"/>
    <w:rsid w:val="0005795A"/>
    <w:rsid w:val="000611EA"/>
    <w:rsid w:val="00062667"/>
    <w:rsid w:val="000630E0"/>
    <w:rsid w:val="000649FB"/>
    <w:rsid w:val="00064DE6"/>
    <w:rsid w:val="000660C4"/>
    <w:rsid w:val="0006614A"/>
    <w:rsid w:val="00070F6E"/>
    <w:rsid w:val="00072812"/>
    <w:rsid w:val="000740C1"/>
    <w:rsid w:val="000755C9"/>
    <w:rsid w:val="00075D5C"/>
    <w:rsid w:val="00075E26"/>
    <w:rsid w:val="00075F8A"/>
    <w:rsid w:val="00076F50"/>
    <w:rsid w:val="000772FD"/>
    <w:rsid w:val="00077751"/>
    <w:rsid w:val="000804FD"/>
    <w:rsid w:val="000806D3"/>
    <w:rsid w:val="00081593"/>
    <w:rsid w:val="000817D1"/>
    <w:rsid w:val="00081A02"/>
    <w:rsid w:val="000825D0"/>
    <w:rsid w:val="00082700"/>
    <w:rsid w:val="00083DE4"/>
    <w:rsid w:val="00085407"/>
    <w:rsid w:val="00086F65"/>
    <w:rsid w:val="000873D8"/>
    <w:rsid w:val="000904CA"/>
    <w:rsid w:val="00090DB3"/>
    <w:rsid w:val="00091451"/>
    <w:rsid w:val="00091561"/>
    <w:rsid w:val="00091BA9"/>
    <w:rsid w:val="00092F5C"/>
    <w:rsid w:val="0009318E"/>
    <w:rsid w:val="00094CBB"/>
    <w:rsid w:val="000A0196"/>
    <w:rsid w:val="000A0B65"/>
    <w:rsid w:val="000A1192"/>
    <w:rsid w:val="000A1E33"/>
    <w:rsid w:val="000A4418"/>
    <w:rsid w:val="000A4C75"/>
    <w:rsid w:val="000A6F08"/>
    <w:rsid w:val="000B1223"/>
    <w:rsid w:val="000B12BD"/>
    <w:rsid w:val="000B2320"/>
    <w:rsid w:val="000B3011"/>
    <w:rsid w:val="000B41F3"/>
    <w:rsid w:val="000B62B3"/>
    <w:rsid w:val="000B6365"/>
    <w:rsid w:val="000B6E77"/>
    <w:rsid w:val="000B7E71"/>
    <w:rsid w:val="000C00D6"/>
    <w:rsid w:val="000C1B3B"/>
    <w:rsid w:val="000C44D8"/>
    <w:rsid w:val="000C4F6D"/>
    <w:rsid w:val="000C7DA3"/>
    <w:rsid w:val="000D118B"/>
    <w:rsid w:val="000D2160"/>
    <w:rsid w:val="000D2A2F"/>
    <w:rsid w:val="000D415B"/>
    <w:rsid w:val="000D4C91"/>
    <w:rsid w:val="000D4CA9"/>
    <w:rsid w:val="000D63B3"/>
    <w:rsid w:val="000E00EB"/>
    <w:rsid w:val="000E147D"/>
    <w:rsid w:val="000E2940"/>
    <w:rsid w:val="000E3873"/>
    <w:rsid w:val="000E459D"/>
    <w:rsid w:val="000E49A2"/>
    <w:rsid w:val="000F0CDF"/>
    <w:rsid w:val="000F713E"/>
    <w:rsid w:val="001008BA"/>
    <w:rsid w:val="00100A5B"/>
    <w:rsid w:val="00100B09"/>
    <w:rsid w:val="00100C87"/>
    <w:rsid w:val="00101E39"/>
    <w:rsid w:val="00104516"/>
    <w:rsid w:val="001066C5"/>
    <w:rsid w:val="001109D5"/>
    <w:rsid w:val="001110AE"/>
    <w:rsid w:val="0011118A"/>
    <w:rsid w:val="00111B7A"/>
    <w:rsid w:val="001135A2"/>
    <w:rsid w:val="00116221"/>
    <w:rsid w:val="00116815"/>
    <w:rsid w:val="00117C25"/>
    <w:rsid w:val="00120C52"/>
    <w:rsid w:val="001220FB"/>
    <w:rsid w:val="00122E36"/>
    <w:rsid w:val="00124D2D"/>
    <w:rsid w:val="00125410"/>
    <w:rsid w:val="00125531"/>
    <w:rsid w:val="00130F71"/>
    <w:rsid w:val="00131D64"/>
    <w:rsid w:val="00134178"/>
    <w:rsid w:val="001345F7"/>
    <w:rsid w:val="001361BC"/>
    <w:rsid w:val="00136524"/>
    <w:rsid w:val="001371C7"/>
    <w:rsid w:val="0013777E"/>
    <w:rsid w:val="00140BE5"/>
    <w:rsid w:val="00141DD2"/>
    <w:rsid w:val="001429BB"/>
    <w:rsid w:val="0014366E"/>
    <w:rsid w:val="00144D79"/>
    <w:rsid w:val="0014690D"/>
    <w:rsid w:val="0014714D"/>
    <w:rsid w:val="00151F7F"/>
    <w:rsid w:val="00153998"/>
    <w:rsid w:val="00153DB5"/>
    <w:rsid w:val="00155751"/>
    <w:rsid w:val="00155DCD"/>
    <w:rsid w:val="00156607"/>
    <w:rsid w:val="00156F82"/>
    <w:rsid w:val="00157905"/>
    <w:rsid w:val="00165169"/>
    <w:rsid w:val="00165912"/>
    <w:rsid w:val="00166BE5"/>
    <w:rsid w:val="001703B3"/>
    <w:rsid w:val="00172A09"/>
    <w:rsid w:val="001731E1"/>
    <w:rsid w:val="001731FB"/>
    <w:rsid w:val="00173257"/>
    <w:rsid w:val="0017516B"/>
    <w:rsid w:val="0017795C"/>
    <w:rsid w:val="00177F22"/>
    <w:rsid w:val="0018126C"/>
    <w:rsid w:val="00182A36"/>
    <w:rsid w:val="00183300"/>
    <w:rsid w:val="00185124"/>
    <w:rsid w:val="001856DD"/>
    <w:rsid w:val="00185DD4"/>
    <w:rsid w:val="00186DBC"/>
    <w:rsid w:val="001876D2"/>
    <w:rsid w:val="00190A87"/>
    <w:rsid w:val="00191306"/>
    <w:rsid w:val="001914AE"/>
    <w:rsid w:val="00192484"/>
    <w:rsid w:val="00193423"/>
    <w:rsid w:val="0019373A"/>
    <w:rsid w:val="001941BE"/>
    <w:rsid w:val="00195865"/>
    <w:rsid w:val="00196052"/>
    <w:rsid w:val="0019670D"/>
    <w:rsid w:val="00197532"/>
    <w:rsid w:val="001A135E"/>
    <w:rsid w:val="001A1607"/>
    <w:rsid w:val="001A1D10"/>
    <w:rsid w:val="001A2F6F"/>
    <w:rsid w:val="001A3EDF"/>
    <w:rsid w:val="001A452B"/>
    <w:rsid w:val="001A4BBE"/>
    <w:rsid w:val="001A56D9"/>
    <w:rsid w:val="001A5828"/>
    <w:rsid w:val="001A6E3D"/>
    <w:rsid w:val="001B0F78"/>
    <w:rsid w:val="001B408C"/>
    <w:rsid w:val="001B51BD"/>
    <w:rsid w:val="001C0FFF"/>
    <w:rsid w:val="001C1F2D"/>
    <w:rsid w:val="001C27AC"/>
    <w:rsid w:val="001C2828"/>
    <w:rsid w:val="001C4322"/>
    <w:rsid w:val="001C45F2"/>
    <w:rsid w:val="001C4967"/>
    <w:rsid w:val="001C6943"/>
    <w:rsid w:val="001C7B17"/>
    <w:rsid w:val="001D0A9E"/>
    <w:rsid w:val="001D2941"/>
    <w:rsid w:val="001D2A85"/>
    <w:rsid w:val="001D2B3D"/>
    <w:rsid w:val="001D31B7"/>
    <w:rsid w:val="001D38C8"/>
    <w:rsid w:val="001D5A9E"/>
    <w:rsid w:val="001D7ADC"/>
    <w:rsid w:val="001D7D7C"/>
    <w:rsid w:val="001E3009"/>
    <w:rsid w:val="001E3835"/>
    <w:rsid w:val="001E3CE7"/>
    <w:rsid w:val="001E3FCF"/>
    <w:rsid w:val="001E4BE3"/>
    <w:rsid w:val="001E4BF3"/>
    <w:rsid w:val="001E5649"/>
    <w:rsid w:val="001E6433"/>
    <w:rsid w:val="001E699E"/>
    <w:rsid w:val="001E6D1E"/>
    <w:rsid w:val="001E6E92"/>
    <w:rsid w:val="001F13AF"/>
    <w:rsid w:val="001F6597"/>
    <w:rsid w:val="001F71AB"/>
    <w:rsid w:val="001F7714"/>
    <w:rsid w:val="00200095"/>
    <w:rsid w:val="00202929"/>
    <w:rsid w:val="00202DD2"/>
    <w:rsid w:val="002039C6"/>
    <w:rsid w:val="00203AE7"/>
    <w:rsid w:val="00205795"/>
    <w:rsid w:val="00205ABD"/>
    <w:rsid w:val="00206A82"/>
    <w:rsid w:val="00207907"/>
    <w:rsid w:val="002100DF"/>
    <w:rsid w:val="002108BD"/>
    <w:rsid w:val="00213B27"/>
    <w:rsid w:val="0021432D"/>
    <w:rsid w:val="00214984"/>
    <w:rsid w:val="00215BCF"/>
    <w:rsid w:val="00216087"/>
    <w:rsid w:val="00216575"/>
    <w:rsid w:val="00220B2B"/>
    <w:rsid w:val="00223606"/>
    <w:rsid w:val="00223C78"/>
    <w:rsid w:val="00224BC2"/>
    <w:rsid w:val="00224ECA"/>
    <w:rsid w:val="00226D84"/>
    <w:rsid w:val="00226F02"/>
    <w:rsid w:val="0022706C"/>
    <w:rsid w:val="00227A9D"/>
    <w:rsid w:val="002302DA"/>
    <w:rsid w:val="002304F0"/>
    <w:rsid w:val="00231D5C"/>
    <w:rsid w:val="00233724"/>
    <w:rsid w:val="0023483B"/>
    <w:rsid w:val="002348AA"/>
    <w:rsid w:val="0023592E"/>
    <w:rsid w:val="00235D65"/>
    <w:rsid w:val="00236060"/>
    <w:rsid w:val="00240332"/>
    <w:rsid w:val="00240DC5"/>
    <w:rsid w:val="002422EB"/>
    <w:rsid w:val="002431A6"/>
    <w:rsid w:val="00245151"/>
    <w:rsid w:val="002453FB"/>
    <w:rsid w:val="002508AB"/>
    <w:rsid w:val="00250F76"/>
    <w:rsid w:val="00252C3F"/>
    <w:rsid w:val="002539C3"/>
    <w:rsid w:val="00257A4B"/>
    <w:rsid w:val="002605FA"/>
    <w:rsid w:val="00262E7F"/>
    <w:rsid w:val="002651E4"/>
    <w:rsid w:val="0026681E"/>
    <w:rsid w:val="00266A75"/>
    <w:rsid w:val="00267DDD"/>
    <w:rsid w:val="00270D7C"/>
    <w:rsid w:val="0027364F"/>
    <w:rsid w:val="00275506"/>
    <w:rsid w:val="00275E80"/>
    <w:rsid w:val="0027628A"/>
    <w:rsid w:val="00276ABA"/>
    <w:rsid w:val="00276C1B"/>
    <w:rsid w:val="00276F7A"/>
    <w:rsid w:val="002805C4"/>
    <w:rsid w:val="002810DB"/>
    <w:rsid w:val="002827FA"/>
    <w:rsid w:val="00291897"/>
    <w:rsid w:val="00291AC8"/>
    <w:rsid w:val="00291F2B"/>
    <w:rsid w:val="0029404B"/>
    <w:rsid w:val="00295013"/>
    <w:rsid w:val="002955BC"/>
    <w:rsid w:val="002A04CA"/>
    <w:rsid w:val="002A2581"/>
    <w:rsid w:val="002A2BFD"/>
    <w:rsid w:val="002A42FE"/>
    <w:rsid w:val="002A5510"/>
    <w:rsid w:val="002A7452"/>
    <w:rsid w:val="002B0C27"/>
    <w:rsid w:val="002B1047"/>
    <w:rsid w:val="002B1065"/>
    <w:rsid w:val="002B1BD9"/>
    <w:rsid w:val="002B2586"/>
    <w:rsid w:val="002B3591"/>
    <w:rsid w:val="002B3C8D"/>
    <w:rsid w:val="002B40A9"/>
    <w:rsid w:val="002B5281"/>
    <w:rsid w:val="002B59B3"/>
    <w:rsid w:val="002B5F2E"/>
    <w:rsid w:val="002B66DF"/>
    <w:rsid w:val="002B79D5"/>
    <w:rsid w:val="002C02E6"/>
    <w:rsid w:val="002C02FC"/>
    <w:rsid w:val="002C26CF"/>
    <w:rsid w:val="002C2A16"/>
    <w:rsid w:val="002C3559"/>
    <w:rsid w:val="002C3593"/>
    <w:rsid w:val="002C3E64"/>
    <w:rsid w:val="002C4870"/>
    <w:rsid w:val="002C487E"/>
    <w:rsid w:val="002C496F"/>
    <w:rsid w:val="002C7F82"/>
    <w:rsid w:val="002D24DD"/>
    <w:rsid w:val="002D293B"/>
    <w:rsid w:val="002D4E99"/>
    <w:rsid w:val="002D65EF"/>
    <w:rsid w:val="002E0E02"/>
    <w:rsid w:val="002E210B"/>
    <w:rsid w:val="002E24DC"/>
    <w:rsid w:val="002E28C9"/>
    <w:rsid w:val="002E48A5"/>
    <w:rsid w:val="002E50C6"/>
    <w:rsid w:val="002E5792"/>
    <w:rsid w:val="002F00F4"/>
    <w:rsid w:val="002F14FB"/>
    <w:rsid w:val="002F1A58"/>
    <w:rsid w:val="002F201C"/>
    <w:rsid w:val="002F2072"/>
    <w:rsid w:val="002F2FBF"/>
    <w:rsid w:val="002F7899"/>
    <w:rsid w:val="002F7C89"/>
    <w:rsid w:val="003008D6"/>
    <w:rsid w:val="00300F69"/>
    <w:rsid w:val="00303057"/>
    <w:rsid w:val="00303711"/>
    <w:rsid w:val="00305122"/>
    <w:rsid w:val="003059F3"/>
    <w:rsid w:val="003108B0"/>
    <w:rsid w:val="00310E0A"/>
    <w:rsid w:val="00311EAA"/>
    <w:rsid w:val="00312E5A"/>
    <w:rsid w:val="00312FE5"/>
    <w:rsid w:val="003137DB"/>
    <w:rsid w:val="00313E5A"/>
    <w:rsid w:val="00314700"/>
    <w:rsid w:val="00314B89"/>
    <w:rsid w:val="00315C3A"/>
    <w:rsid w:val="00316BA7"/>
    <w:rsid w:val="00320D36"/>
    <w:rsid w:val="00321319"/>
    <w:rsid w:val="0032290E"/>
    <w:rsid w:val="00322DAD"/>
    <w:rsid w:val="00323631"/>
    <w:rsid w:val="003259FB"/>
    <w:rsid w:val="00325AD8"/>
    <w:rsid w:val="00326099"/>
    <w:rsid w:val="00326620"/>
    <w:rsid w:val="003271B8"/>
    <w:rsid w:val="00330D51"/>
    <w:rsid w:val="0033179E"/>
    <w:rsid w:val="003325B6"/>
    <w:rsid w:val="0033276B"/>
    <w:rsid w:val="00332A88"/>
    <w:rsid w:val="0033433D"/>
    <w:rsid w:val="00335242"/>
    <w:rsid w:val="0033606A"/>
    <w:rsid w:val="00340405"/>
    <w:rsid w:val="00340551"/>
    <w:rsid w:val="00340EFC"/>
    <w:rsid w:val="00341BD5"/>
    <w:rsid w:val="00343DE7"/>
    <w:rsid w:val="00343F72"/>
    <w:rsid w:val="00345D94"/>
    <w:rsid w:val="0034631E"/>
    <w:rsid w:val="00346C72"/>
    <w:rsid w:val="00346F62"/>
    <w:rsid w:val="00347751"/>
    <w:rsid w:val="00347C4C"/>
    <w:rsid w:val="00350580"/>
    <w:rsid w:val="00355CEF"/>
    <w:rsid w:val="003561AB"/>
    <w:rsid w:val="0035627C"/>
    <w:rsid w:val="00356323"/>
    <w:rsid w:val="003626A8"/>
    <w:rsid w:val="00363CB1"/>
    <w:rsid w:val="0036416C"/>
    <w:rsid w:val="00364491"/>
    <w:rsid w:val="00365200"/>
    <w:rsid w:val="00366ABC"/>
    <w:rsid w:val="00366D9F"/>
    <w:rsid w:val="00366F91"/>
    <w:rsid w:val="00367099"/>
    <w:rsid w:val="00370471"/>
    <w:rsid w:val="00374A6F"/>
    <w:rsid w:val="00374AD7"/>
    <w:rsid w:val="00375C63"/>
    <w:rsid w:val="00375E25"/>
    <w:rsid w:val="00377A26"/>
    <w:rsid w:val="003810BF"/>
    <w:rsid w:val="00382346"/>
    <w:rsid w:val="0038448C"/>
    <w:rsid w:val="00385D00"/>
    <w:rsid w:val="0038660B"/>
    <w:rsid w:val="00386D97"/>
    <w:rsid w:val="00387217"/>
    <w:rsid w:val="00387CB2"/>
    <w:rsid w:val="00392866"/>
    <w:rsid w:val="00394BE5"/>
    <w:rsid w:val="003A01B2"/>
    <w:rsid w:val="003A0A83"/>
    <w:rsid w:val="003A46F3"/>
    <w:rsid w:val="003A5DE5"/>
    <w:rsid w:val="003A679D"/>
    <w:rsid w:val="003A7222"/>
    <w:rsid w:val="003B085B"/>
    <w:rsid w:val="003B594D"/>
    <w:rsid w:val="003B5A69"/>
    <w:rsid w:val="003B7578"/>
    <w:rsid w:val="003B75FE"/>
    <w:rsid w:val="003B785F"/>
    <w:rsid w:val="003C1971"/>
    <w:rsid w:val="003C53CD"/>
    <w:rsid w:val="003C579D"/>
    <w:rsid w:val="003C5B47"/>
    <w:rsid w:val="003C7F7E"/>
    <w:rsid w:val="003D102D"/>
    <w:rsid w:val="003D1289"/>
    <w:rsid w:val="003D2EC7"/>
    <w:rsid w:val="003D3D63"/>
    <w:rsid w:val="003D3DD5"/>
    <w:rsid w:val="003D5B68"/>
    <w:rsid w:val="003E06DA"/>
    <w:rsid w:val="003E0FF1"/>
    <w:rsid w:val="003E14BA"/>
    <w:rsid w:val="003E1C20"/>
    <w:rsid w:val="003E1DB8"/>
    <w:rsid w:val="003E26B5"/>
    <w:rsid w:val="003E2A1C"/>
    <w:rsid w:val="003E3C86"/>
    <w:rsid w:val="003E4689"/>
    <w:rsid w:val="003E4CB4"/>
    <w:rsid w:val="003E5EAC"/>
    <w:rsid w:val="003F22DC"/>
    <w:rsid w:val="003F32C8"/>
    <w:rsid w:val="003F5196"/>
    <w:rsid w:val="003F5FFA"/>
    <w:rsid w:val="003F6481"/>
    <w:rsid w:val="003F710A"/>
    <w:rsid w:val="003F75B4"/>
    <w:rsid w:val="00404960"/>
    <w:rsid w:val="0040576B"/>
    <w:rsid w:val="004103AB"/>
    <w:rsid w:val="00410B62"/>
    <w:rsid w:val="004115EE"/>
    <w:rsid w:val="00411E51"/>
    <w:rsid w:val="00412B3B"/>
    <w:rsid w:val="00412FC2"/>
    <w:rsid w:val="00416586"/>
    <w:rsid w:val="0041724C"/>
    <w:rsid w:val="00417F9A"/>
    <w:rsid w:val="00420D53"/>
    <w:rsid w:val="00420E9E"/>
    <w:rsid w:val="0042145E"/>
    <w:rsid w:val="00422A62"/>
    <w:rsid w:val="00422AC2"/>
    <w:rsid w:val="00422DD5"/>
    <w:rsid w:val="0042341E"/>
    <w:rsid w:val="00423DEB"/>
    <w:rsid w:val="00425934"/>
    <w:rsid w:val="00427491"/>
    <w:rsid w:val="00427EC5"/>
    <w:rsid w:val="004311AA"/>
    <w:rsid w:val="00431752"/>
    <w:rsid w:val="00431C6D"/>
    <w:rsid w:val="004343BB"/>
    <w:rsid w:val="004346A3"/>
    <w:rsid w:val="00435887"/>
    <w:rsid w:val="00435B88"/>
    <w:rsid w:val="00435BAA"/>
    <w:rsid w:val="004362C9"/>
    <w:rsid w:val="004377AE"/>
    <w:rsid w:val="00440214"/>
    <w:rsid w:val="00440808"/>
    <w:rsid w:val="0044096C"/>
    <w:rsid w:val="004410F2"/>
    <w:rsid w:val="00443DAC"/>
    <w:rsid w:val="0045059D"/>
    <w:rsid w:val="00450CE4"/>
    <w:rsid w:val="00451600"/>
    <w:rsid w:val="0045441E"/>
    <w:rsid w:val="004544D2"/>
    <w:rsid w:val="0045639E"/>
    <w:rsid w:val="00461629"/>
    <w:rsid w:val="00462B82"/>
    <w:rsid w:val="004677AA"/>
    <w:rsid w:val="00467DB8"/>
    <w:rsid w:val="004709AF"/>
    <w:rsid w:val="00472384"/>
    <w:rsid w:val="0047319D"/>
    <w:rsid w:val="00473999"/>
    <w:rsid w:val="004762FE"/>
    <w:rsid w:val="004805F6"/>
    <w:rsid w:val="00480D9F"/>
    <w:rsid w:val="00480F05"/>
    <w:rsid w:val="00482D6C"/>
    <w:rsid w:val="004834AF"/>
    <w:rsid w:val="00484A0A"/>
    <w:rsid w:val="004852C2"/>
    <w:rsid w:val="00486048"/>
    <w:rsid w:val="0048670E"/>
    <w:rsid w:val="00486DBA"/>
    <w:rsid w:val="00487393"/>
    <w:rsid w:val="00487CCE"/>
    <w:rsid w:val="004901FD"/>
    <w:rsid w:val="00491A74"/>
    <w:rsid w:val="00492332"/>
    <w:rsid w:val="004923AD"/>
    <w:rsid w:val="00493CCD"/>
    <w:rsid w:val="0049732C"/>
    <w:rsid w:val="00497C68"/>
    <w:rsid w:val="004A169B"/>
    <w:rsid w:val="004A1C25"/>
    <w:rsid w:val="004A47D9"/>
    <w:rsid w:val="004A542A"/>
    <w:rsid w:val="004A6E43"/>
    <w:rsid w:val="004A7BA1"/>
    <w:rsid w:val="004B06E8"/>
    <w:rsid w:val="004B0F86"/>
    <w:rsid w:val="004B171B"/>
    <w:rsid w:val="004B4459"/>
    <w:rsid w:val="004B4961"/>
    <w:rsid w:val="004B505D"/>
    <w:rsid w:val="004B634C"/>
    <w:rsid w:val="004B7890"/>
    <w:rsid w:val="004C25F8"/>
    <w:rsid w:val="004C3225"/>
    <w:rsid w:val="004C39BE"/>
    <w:rsid w:val="004C4331"/>
    <w:rsid w:val="004C5C9F"/>
    <w:rsid w:val="004C6FF9"/>
    <w:rsid w:val="004C7324"/>
    <w:rsid w:val="004D0CB7"/>
    <w:rsid w:val="004D0E76"/>
    <w:rsid w:val="004D49C3"/>
    <w:rsid w:val="004D67C6"/>
    <w:rsid w:val="004E030C"/>
    <w:rsid w:val="004E2FE3"/>
    <w:rsid w:val="004E38C9"/>
    <w:rsid w:val="004E411C"/>
    <w:rsid w:val="004E4C5E"/>
    <w:rsid w:val="004E6956"/>
    <w:rsid w:val="004E6C5F"/>
    <w:rsid w:val="004E749D"/>
    <w:rsid w:val="004F01A4"/>
    <w:rsid w:val="004F03A7"/>
    <w:rsid w:val="004F0423"/>
    <w:rsid w:val="004F16B6"/>
    <w:rsid w:val="004F3716"/>
    <w:rsid w:val="004F4DC1"/>
    <w:rsid w:val="004F6A64"/>
    <w:rsid w:val="004F6E48"/>
    <w:rsid w:val="005008C3"/>
    <w:rsid w:val="00500BA7"/>
    <w:rsid w:val="00500E1F"/>
    <w:rsid w:val="00502911"/>
    <w:rsid w:val="005033D1"/>
    <w:rsid w:val="00504DF1"/>
    <w:rsid w:val="00505254"/>
    <w:rsid w:val="00506071"/>
    <w:rsid w:val="005060BC"/>
    <w:rsid w:val="00506EFA"/>
    <w:rsid w:val="005121EB"/>
    <w:rsid w:val="00517DC8"/>
    <w:rsid w:val="00521FDA"/>
    <w:rsid w:val="00522A80"/>
    <w:rsid w:val="005271B8"/>
    <w:rsid w:val="0052751C"/>
    <w:rsid w:val="005276C3"/>
    <w:rsid w:val="00530D0B"/>
    <w:rsid w:val="00530DDA"/>
    <w:rsid w:val="00531B23"/>
    <w:rsid w:val="00533E32"/>
    <w:rsid w:val="00533F8F"/>
    <w:rsid w:val="00533F9C"/>
    <w:rsid w:val="00534550"/>
    <w:rsid w:val="005345B0"/>
    <w:rsid w:val="0053511F"/>
    <w:rsid w:val="00535634"/>
    <w:rsid w:val="00535BEB"/>
    <w:rsid w:val="005363DB"/>
    <w:rsid w:val="00536C36"/>
    <w:rsid w:val="00537485"/>
    <w:rsid w:val="005376B9"/>
    <w:rsid w:val="00546A79"/>
    <w:rsid w:val="0055155F"/>
    <w:rsid w:val="00551A10"/>
    <w:rsid w:val="00551BE1"/>
    <w:rsid w:val="00552062"/>
    <w:rsid w:val="00552F64"/>
    <w:rsid w:val="0055310A"/>
    <w:rsid w:val="00553269"/>
    <w:rsid w:val="0055410D"/>
    <w:rsid w:val="005548FB"/>
    <w:rsid w:val="005557A7"/>
    <w:rsid w:val="00556F6E"/>
    <w:rsid w:val="00557BFE"/>
    <w:rsid w:val="00557E1B"/>
    <w:rsid w:val="00560BB9"/>
    <w:rsid w:val="00561B31"/>
    <w:rsid w:val="00561BE6"/>
    <w:rsid w:val="00561D6D"/>
    <w:rsid w:val="005625CD"/>
    <w:rsid w:val="005629AF"/>
    <w:rsid w:val="00562ADD"/>
    <w:rsid w:val="00563099"/>
    <w:rsid w:val="0056537B"/>
    <w:rsid w:val="00565C4E"/>
    <w:rsid w:val="00570038"/>
    <w:rsid w:val="00570471"/>
    <w:rsid w:val="0057080F"/>
    <w:rsid w:val="00570BE7"/>
    <w:rsid w:val="00571341"/>
    <w:rsid w:val="00571BD5"/>
    <w:rsid w:val="00571CAE"/>
    <w:rsid w:val="005733F5"/>
    <w:rsid w:val="00573DC6"/>
    <w:rsid w:val="005749C5"/>
    <w:rsid w:val="00577C1D"/>
    <w:rsid w:val="005805F1"/>
    <w:rsid w:val="005813A5"/>
    <w:rsid w:val="005816A9"/>
    <w:rsid w:val="00581860"/>
    <w:rsid w:val="0058235D"/>
    <w:rsid w:val="0058247E"/>
    <w:rsid w:val="00584D29"/>
    <w:rsid w:val="005857AE"/>
    <w:rsid w:val="0058588C"/>
    <w:rsid w:val="00586035"/>
    <w:rsid w:val="0058642C"/>
    <w:rsid w:val="005870E7"/>
    <w:rsid w:val="005877AC"/>
    <w:rsid w:val="005877DD"/>
    <w:rsid w:val="005932F7"/>
    <w:rsid w:val="0059425C"/>
    <w:rsid w:val="00594B1F"/>
    <w:rsid w:val="00595E4B"/>
    <w:rsid w:val="00596EDD"/>
    <w:rsid w:val="00597D26"/>
    <w:rsid w:val="00597E80"/>
    <w:rsid w:val="005A058C"/>
    <w:rsid w:val="005A07C2"/>
    <w:rsid w:val="005A1628"/>
    <w:rsid w:val="005A16D8"/>
    <w:rsid w:val="005A25D3"/>
    <w:rsid w:val="005A2E12"/>
    <w:rsid w:val="005A4A7E"/>
    <w:rsid w:val="005A4E15"/>
    <w:rsid w:val="005A5727"/>
    <w:rsid w:val="005A5D82"/>
    <w:rsid w:val="005A6502"/>
    <w:rsid w:val="005A73D7"/>
    <w:rsid w:val="005A7718"/>
    <w:rsid w:val="005B0371"/>
    <w:rsid w:val="005B0AF0"/>
    <w:rsid w:val="005B196B"/>
    <w:rsid w:val="005B2ACA"/>
    <w:rsid w:val="005B35D8"/>
    <w:rsid w:val="005B45FD"/>
    <w:rsid w:val="005B54BA"/>
    <w:rsid w:val="005B5E3B"/>
    <w:rsid w:val="005B6B93"/>
    <w:rsid w:val="005B7881"/>
    <w:rsid w:val="005C1534"/>
    <w:rsid w:val="005C3B9D"/>
    <w:rsid w:val="005C4CF3"/>
    <w:rsid w:val="005C5E50"/>
    <w:rsid w:val="005C68AA"/>
    <w:rsid w:val="005C6AD9"/>
    <w:rsid w:val="005C7362"/>
    <w:rsid w:val="005C7FE6"/>
    <w:rsid w:val="005D1311"/>
    <w:rsid w:val="005D13C0"/>
    <w:rsid w:val="005D1B41"/>
    <w:rsid w:val="005D1C0C"/>
    <w:rsid w:val="005D2016"/>
    <w:rsid w:val="005D2268"/>
    <w:rsid w:val="005D4165"/>
    <w:rsid w:val="005D4585"/>
    <w:rsid w:val="005D5030"/>
    <w:rsid w:val="005D5375"/>
    <w:rsid w:val="005E0E0F"/>
    <w:rsid w:val="005E34B0"/>
    <w:rsid w:val="005E36A7"/>
    <w:rsid w:val="005E396B"/>
    <w:rsid w:val="005E3F59"/>
    <w:rsid w:val="005E44B6"/>
    <w:rsid w:val="005E48F7"/>
    <w:rsid w:val="005E4C5C"/>
    <w:rsid w:val="005E5188"/>
    <w:rsid w:val="005E59F4"/>
    <w:rsid w:val="005E612B"/>
    <w:rsid w:val="005E62B2"/>
    <w:rsid w:val="005E706A"/>
    <w:rsid w:val="005F0AD3"/>
    <w:rsid w:val="005F29E4"/>
    <w:rsid w:val="005F2E89"/>
    <w:rsid w:val="005F3098"/>
    <w:rsid w:val="005F3A58"/>
    <w:rsid w:val="005F3A6D"/>
    <w:rsid w:val="005F3B00"/>
    <w:rsid w:val="005F4503"/>
    <w:rsid w:val="005F784F"/>
    <w:rsid w:val="005F7B77"/>
    <w:rsid w:val="0060038C"/>
    <w:rsid w:val="00600E34"/>
    <w:rsid w:val="00601107"/>
    <w:rsid w:val="006021FA"/>
    <w:rsid w:val="00603C00"/>
    <w:rsid w:val="0060533C"/>
    <w:rsid w:val="00606210"/>
    <w:rsid w:val="006102AF"/>
    <w:rsid w:val="006104B9"/>
    <w:rsid w:val="00610A7A"/>
    <w:rsid w:val="006113D1"/>
    <w:rsid w:val="00611E46"/>
    <w:rsid w:val="0061259E"/>
    <w:rsid w:val="006127B8"/>
    <w:rsid w:val="00613443"/>
    <w:rsid w:val="00613A6C"/>
    <w:rsid w:val="00613EFE"/>
    <w:rsid w:val="006150DB"/>
    <w:rsid w:val="00615770"/>
    <w:rsid w:val="00615775"/>
    <w:rsid w:val="00616757"/>
    <w:rsid w:val="00616802"/>
    <w:rsid w:val="00616C86"/>
    <w:rsid w:val="006176AF"/>
    <w:rsid w:val="00621660"/>
    <w:rsid w:val="00621E69"/>
    <w:rsid w:val="00622659"/>
    <w:rsid w:val="00624445"/>
    <w:rsid w:val="00624836"/>
    <w:rsid w:val="006253BA"/>
    <w:rsid w:val="00625BF4"/>
    <w:rsid w:val="006260E2"/>
    <w:rsid w:val="00626CB0"/>
    <w:rsid w:val="006278AD"/>
    <w:rsid w:val="00627D02"/>
    <w:rsid w:val="006300DC"/>
    <w:rsid w:val="00630975"/>
    <w:rsid w:val="00630CA7"/>
    <w:rsid w:val="006316D7"/>
    <w:rsid w:val="00631721"/>
    <w:rsid w:val="00631D86"/>
    <w:rsid w:val="00632673"/>
    <w:rsid w:val="00633CB9"/>
    <w:rsid w:val="00633F51"/>
    <w:rsid w:val="00634669"/>
    <w:rsid w:val="00634E59"/>
    <w:rsid w:val="006359AF"/>
    <w:rsid w:val="006361C4"/>
    <w:rsid w:val="00636B1F"/>
    <w:rsid w:val="00636DF9"/>
    <w:rsid w:val="00640664"/>
    <w:rsid w:val="00641419"/>
    <w:rsid w:val="00644D65"/>
    <w:rsid w:val="006461CE"/>
    <w:rsid w:val="00646F19"/>
    <w:rsid w:val="0065134C"/>
    <w:rsid w:val="006525B8"/>
    <w:rsid w:val="00652BA3"/>
    <w:rsid w:val="00652EAB"/>
    <w:rsid w:val="0065310C"/>
    <w:rsid w:val="00653A44"/>
    <w:rsid w:val="006554D2"/>
    <w:rsid w:val="00655F98"/>
    <w:rsid w:val="00656418"/>
    <w:rsid w:val="00660454"/>
    <w:rsid w:val="00660644"/>
    <w:rsid w:val="00661119"/>
    <w:rsid w:val="0066293A"/>
    <w:rsid w:val="00662DC6"/>
    <w:rsid w:val="00665E62"/>
    <w:rsid w:val="00665EFF"/>
    <w:rsid w:val="00666CCD"/>
    <w:rsid w:val="0067055A"/>
    <w:rsid w:val="0067129F"/>
    <w:rsid w:val="00672FB9"/>
    <w:rsid w:val="00673246"/>
    <w:rsid w:val="0067363D"/>
    <w:rsid w:val="0067375F"/>
    <w:rsid w:val="00674485"/>
    <w:rsid w:val="006748D9"/>
    <w:rsid w:val="0067621B"/>
    <w:rsid w:val="00677CBF"/>
    <w:rsid w:val="0068093A"/>
    <w:rsid w:val="00681400"/>
    <w:rsid w:val="00681443"/>
    <w:rsid w:val="00681AC6"/>
    <w:rsid w:val="00684DEE"/>
    <w:rsid w:val="00684EB4"/>
    <w:rsid w:val="006858F1"/>
    <w:rsid w:val="006874D0"/>
    <w:rsid w:val="006875D4"/>
    <w:rsid w:val="00687709"/>
    <w:rsid w:val="00687BFB"/>
    <w:rsid w:val="00687D87"/>
    <w:rsid w:val="00694DB2"/>
    <w:rsid w:val="006950F6"/>
    <w:rsid w:val="0069533C"/>
    <w:rsid w:val="006965EA"/>
    <w:rsid w:val="006A053D"/>
    <w:rsid w:val="006A098B"/>
    <w:rsid w:val="006A0E1C"/>
    <w:rsid w:val="006A0F67"/>
    <w:rsid w:val="006A0F68"/>
    <w:rsid w:val="006A1001"/>
    <w:rsid w:val="006A1482"/>
    <w:rsid w:val="006A156E"/>
    <w:rsid w:val="006A1F9E"/>
    <w:rsid w:val="006A258E"/>
    <w:rsid w:val="006A2E89"/>
    <w:rsid w:val="006A5174"/>
    <w:rsid w:val="006A5E8E"/>
    <w:rsid w:val="006A67AD"/>
    <w:rsid w:val="006B045C"/>
    <w:rsid w:val="006B1310"/>
    <w:rsid w:val="006B6BE5"/>
    <w:rsid w:val="006B7F10"/>
    <w:rsid w:val="006B7F28"/>
    <w:rsid w:val="006C0057"/>
    <w:rsid w:val="006C0556"/>
    <w:rsid w:val="006C2AB1"/>
    <w:rsid w:val="006C650C"/>
    <w:rsid w:val="006C6C03"/>
    <w:rsid w:val="006C6F6A"/>
    <w:rsid w:val="006D05D5"/>
    <w:rsid w:val="006D0E36"/>
    <w:rsid w:val="006D13E4"/>
    <w:rsid w:val="006D4ED7"/>
    <w:rsid w:val="006D601E"/>
    <w:rsid w:val="006D6C0B"/>
    <w:rsid w:val="006D7098"/>
    <w:rsid w:val="006D7414"/>
    <w:rsid w:val="006D7FB7"/>
    <w:rsid w:val="006E06B3"/>
    <w:rsid w:val="006E15E3"/>
    <w:rsid w:val="006E2665"/>
    <w:rsid w:val="006E2687"/>
    <w:rsid w:val="006E2AE0"/>
    <w:rsid w:val="006E2BCF"/>
    <w:rsid w:val="006E408D"/>
    <w:rsid w:val="006E4237"/>
    <w:rsid w:val="006E476F"/>
    <w:rsid w:val="006E633F"/>
    <w:rsid w:val="006F1E58"/>
    <w:rsid w:val="006F1F5B"/>
    <w:rsid w:val="006F290F"/>
    <w:rsid w:val="006F2B2D"/>
    <w:rsid w:val="006F2DBD"/>
    <w:rsid w:val="006F5086"/>
    <w:rsid w:val="006F6F19"/>
    <w:rsid w:val="0070026F"/>
    <w:rsid w:val="007046F2"/>
    <w:rsid w:val="00705601"/>
    <w:rsid w:val="00705A5A"/>
    <w:rsid w:val="00705D34"/>
    <w:rsid w:val="007067EB"/>
    <w:rsid w:val="00707A80"/>
    <w:rsid w:val="00710B5A"/>
    <w:rsid w:val="00712CBB"/>
    <w:rsid w:val="0071326A"/>
    <w:rsid w:val="00715051"/>
    <w:rsid w:val="00715634"/>
    <w:rsid w:val="007161A6"/>
    <w:rsid w:val="00720290"/>
    <w:rsid w:val="00720A12"/>
    <w:rsid w:val="0072117A"/>
    <w:rsid w:val="007211C2"/>
    <w:rsid w:val="00721ED0"/>
    <w:rsid w:val="0072209D"/>
    <w:rsid w:val="00722579"/>
    <w:rsid w:val="00723597"/>
    <w:rsid w:val="00724091"/>
    <w:rsid w:val="007240FC"/>
    <w:rsid w:val="007243E5"/>
    <w:rsid w:val="00724CA4"/>
    <w:rsid w:val="00725289"/>
    <w:rsid w:val="00725485"/>
    <w:rsid w:val="007276E5"/>
    <w:rsid w:val="00727BE4"/>
    <w:rsid w:val="007303D1"/>
    <w:rsid w:val="00731E09"/>
    <w:rsid w:val="0073667D"/>
    <w:rsid w:val="007377FF"/>
    <w:rsid w:val="00740E91"/>
    <w:rsid w:val="00742B53"/>
    <w:rsid w:val="00743A8F"/>
    <w:rsid w:val="00744F44"/>
    <w:rsid w:val="007456F0"/>
    <w:rsid w:val="00746D97"/>
    <w:rsid w:val="00747502"/>
    <w:rsid w:val="00752567"/>
    <w:rsid w:val="00753974"/>
    <w:rsid w:val="00754C72"/>
    <w:rsid w:val="00755D93"/>
    <w:rsid w:val="00756169"/>
    <w:rsid w:val="0075774C"/>
    <w:rsid w:val="00757778"/>
    <w:rsid w:val="00761852"/>
    <w:rsid w:val="007619CE"/>
    <w:rsid w:val="00762E58"/>
    <w:rsid w:val="00762F07"/>
    <w:rsid w:val="007653D5"/>
    <w:rsid w:val="00770929"/>
    <w:rsid w:val="00770BAA"/>
    <w:rsid w:val="007724A3"/>
    <w:rsid w:val="007727D7"/>
    <w:rsid w:val="00772F76"/>
    <w:rsid w:val="0077386E"/>
    <w:rsid w:val="0077622C"/>
    <w:rsid w:val="007778DC"/>
    <w:rsid w:val="007809EC"/>
    <w:rsid w:val="00780C75"/>
    <w:rsid w:val="00781788"/>
    <w:rsid w:val="00782FEB"/>
    <w:rsid w:val="007837CB"/>
    <w:rsid w:val="00783AC8"/>
    <w:rsid w:val="00784E16"/>
    <w:rsid w:val="00784EC4"/>
    <w:rsid w:val="007850AB"/>
    <w:rsid w:val="007921D0"/>
    <w:rsid w:val="00794110"/>
    <w:rsid w:val="00794368"/>
    <w:rsid w:val="00794B7A"/>
    <w:rsid w:val="0079554A"/>
    <w:rsid w:val="00796350"/>
    <w:rsid w:val="00797B32"/>
    <w:rsid w:val="007A12FB"/>
    <w:rsid w:val="007A199A"/>
    <w:rsid w:val="007A1CDC"/>
    <w:rsid w:val="007A271D"/>
    <w:rsid w:val="007A43A0"/>
    <w:rsid w:val="007A43CB"/>
    <w:rsid w:val="007A5462"/>
    <w:rsid w:val="007A5691"/>
    <w:rsid w:val="007A63DA"/>
    <w:rsid w:val="007A67A7"/>
    <w:rsid w:val="007A7437"/>
    <w:rsid w:val="007B0DE1"/>
    <w:rsid w:val="007B2F3F"/>
    <w:rsid w:val="007B65FE"/>
    <w:rsid w:val="007C1A94"/>
    <w:rsid w:val="007C1EE5"/>
    <w:rsid w:val="007C2228"/>
    <w:rsid w:val="007C2958"/>
    <w:rsid w:val="007C3ABF"/>
    <w:rsid w:val="007C56C5"/>
    <w:rsid w:val="007C5D18"/>
    <w:rsid w:val="007C777C"/>
    <w:rsid w:val="007C7F24"/>
    <w:rsid w:val="007D1004"/>
    <w:rsid w:val="007D104D"/>
    <w:rsid w:val="007D1108"/>
    <w:rsid w:val="007D1159"/>
    <w:rsid w:val="007D1678"/>
    <w:rsid w:val="007D21A2"/>
    <w:rsid w:val="007D35E2"/>
    <w:rsid w:val="007D3950"/>
    <w:rsid w:val="007D4FA9"/>
    <w:rsid w:val="007D5B2F"/>
    <w:rsid w:val="007D5D8B"/>
    <w:rsid w:val="007D6374"/>
    <w:rsid w:val="007D6E74"/>
    <w:rsid w:val="007D76DE"/>
    <w:rsid w:val="007E0366"/>
    <w:rsid w:val="007E04F7"/>
    <w:rsid w:val="007E0C48"/>
    <w:rsid w:val="007E1851"/>
    <w:rsid w:val="007E2FD8"/>
    <w:rsid w:val="007E4C54"/>
    <w:rsid w:val="007E50A6"/>
    <w:rsid w:val="007E515E"/>
    <w:rsid w:val="007E7185"/>
    <w:rsid w:val="007E7BC2"/>
    <w:rsid w:val="007F175F"/>
    <w:rsid w:val="007F1E60"/>
    <w:rsid w:val="007F1F8A"/>
    <w:rsid w:val="007F2A8D"/>
    <w:rsid w:val="007F3066"/>
    <w:rsid w:val="007F30AF"/>
    <w:rsid w:val="007F41C3"/>
    <w:rsid w:val="007F489F"/>
    <w:rsid w:val="007F4957"/>
    <w:rsid w:val="007F4AB1"/>
    <w:rsid w:val="007F4D14"/>
    <w:rsid w:val="007F5512"/>
    <w:rsid w:val="007F68A0"/>
    <w:rsid w:val="007F76D3"/>
    <w:rsid w:val="007F7C7E"/>
    <w:rsid w:val="008029ED"/>
    <w:rsid w:val="008033FA"/>
    <w:rsid w:val="00803959"/>
    <w:rsid w:val="00804A85"/>
    <w:rsid w:val="00805E76"/>
    <w:rsid w:val="00806418"/>
    <w:rsid w:val="00806A8B"/>
    <w:rsid w:val="00806CE4"/>
    <w:rsid w:val="00806F4A"/>
    <w:rsid w:val="008101CE"/>
    <w:rsid w:val="00812B1B"/>
    <w:rsid w:val="00813134"/>
    <w:rsid w:val="008138FF"/>
    <w:rsid w:val="00813B9C"/>
    <w:rsid w:val="00814C47"/>
    <w:rsid w:val="00816683"/>
    <w:rsid w:val="008168FC"/>
    <w:rsid w:val="00816D73"/>
    <w:rsid w:val="00816ED2"/>
    <w:rsid w:val="00817E70"/>
    <w:rsid w:val="00822455"/>
    <w:rsid w:val="008275DA"/>
    <w:rsid w:val="00827977"/>
    <w:rsid w:val="008300C6"/>
    <w:rsid w:val="00830766"/>
    <w:rsid w:val="0083098C"/>
    <w:rsid w:val="008323AF"/>
    <w:rsid w:val="00832ADE"/>
    <w:rsid w:val="008354C0"/>
    <w:rsid w:val="00836045"/>
    <w:rsid w:val="00836758"/>
    <w:rsid w:val="00840697"/>
    <w:rsid w:val="008410FE"/>
    <w:rsid w:val="008415D0"/>
    <w:rsid w:val="00841883"/>
    <w:rsid w:val="00843710"/>
    <w:rsid w:val="008502F6"/>
    <w:rsid w:val="00851698"/>
    <w:rsid w:val="00851776"/>
    <w:rsid w:val="00853AA5"/>
    <w:rsid w:val="00854B45"/>
    <w:rsid w:val="008555C6"/>
    <w:rsid w:val="008563A5"/>
    <w:rsid w:val="008575FB"/>
    <w:rsid w:val="008578D8"/>
    <w:rsid w:val="008623E8"/>
    <w:rsid w:val="00862425"/>
    <w:rsid w:val="00862965"/>
    <w:rsid w:val="008641B8"/>
    <w:rsid w:val="0086467B"/>
    <w:rsid w:val="00865646"/>
    <w:rsid w:val="00870865"/>
    <w:rsid w:val="008712DB"/>
    <w:rsid w:val="00872895"/>
    <w:rsid w:val="00873F3E"/>
    <w:rsid w:val="00876A7B"/>
    <w:rsid w:val="00876B39"/>
    <w:rsid w:val="00877462"/>
    <w:rsid w:val="00877D86"/>
    <w:rsid w:val="00881CF5"/>
    <w:rsid w:val="008826E1"/>
    <w:rsid w:val="00883327"/>
    <w:rsid w:val="0088368A"/>
    <w:rsid w:val="00884961"/>
    <w:rsid w:val="00885A7C"/>
    <w:rsid w:val="00885DE4"/>
    <w:rsid w:val="00886DD5"/>
    <w:rsid w:val="008873DD"/>
    <w:rsid w:val="00891DB2"/>
    <w:rsid w:val="00893DB7"/>
    <w:rsid w:val="00894364"/>
    <w:rsid w:val="00896E24"/>
    <w:rsid w:val="00897E40"/>
    <w:rsid w:val="008A1D87"/>
    <w:rsid w:val="008A2ADF"/>
    <w:rsid w:val="008A2B62"/>
    <w:rsid w:val="008A33C8"/>
    <w:rsid w:val="008A466D"/>
    <w:rsid w:val="008A5637"/>
    <w:rsid w:val="008A7DEB"/>
    <w:rsid w:val="008B14D5"/>
    <w:rsid w:val="008B28D9"/>
    <w:rsid w:val="008B46FB"/>
    <w:rsid w:val="008B5265"/>
    <w:rsid w:val="008B52DF"/>
    <w:rsid w:val="008B57B5"/>
    <w:rsid w:val="008B69C0"/>
    <w:rsid w:val="008B7934"/>
    <w:rsid w:val="008B7A42"/>
    <w:rsid w:val="008C1A31"/>
    <w:rsid w:val="008C56DE"/>
    <w:rsid w:val="008C6188"/>
    <w:rsid w:val="008C648D"/>
    <w:rsid w:val="008C7097"/>
    <w:rsid w:val="008C7D78"/>
    <w:rsid w:val="008D29F1"/>
    <w:rsid w:val="008D35B7"/>
    <w:rsid w:val="008D3BB4"/>
    <w:rsid w:val="008D4EE6"/>
    <w:rsid w:val="008D5CE0"/>
    <w:rsid w:val="008D6E59"/>
    <w:rsid w:val="008E1483"/>
    <w:rsid w:val="008E15F5"/>
    <w:rsid w:val="008E190C"/>
    <w:rsid w:val="008E4612"/>
    <w:rsid w:val="008E6C84"/>
    <w:rsid w:val="008E7F4B"/>
    <w:rsid w:val="008F622C"/>
    <w:rsid w:val="008F688A"/>
    <w:rsid w:val="008F6B30"/>
    <w:rsid w:val="008F6C59"/>
    <w:rsid w:val="008F6E04"/>
    <w:rsid w:val="008F7214"/>
    <w:rsid w:val="008F7BAD"/>
    <w:rsid w:val="008F7F10"/>
    <w:rsid w:val="00901547"/>
    <w:rsid w:val="00901E90"/>
    <w:rsid w:val="0090376A"/>
    <w:rsid w:val="009037F9"/>
    <w:rsid w:val="009050F8"/>
    <w:rsid w:val="00905B09"/>
    <w:rsid w:val="00907922"/>
    <w:rsid w:val="00907945"/>
    <w:rsid w:val="009104D1"/>
    <w:rsid w:val="009158CA"/>
    <w:rsid w:val="00915931"/>
    <w:rsid w:val="00916555"/>
    <w:rsid w:val="00916973"/>
    <w:rsid w:val="00916CF3"/>
    <w:rsid w:val="0091798D"/>
    <w:rsid w:val="00917D6B"/>
    <w:rsid w:val="009205A9"/>
    <w:rsid w:val="00920B57"/>
    <w:rsid w:val="0092246F"/>
    <w:rsid w:val="00922A8A"/>
    <w:rsid w:val="009238FD"/>
    <w:rsid w:val="00924202"/>
    <w:rsid w:val="00924B6A"/>
    <w:rsid w:val="00924D53"/>
    <w:rsid w:val="009263C0"/>
    <w:rsid w:val="00930A64"/>
    <w:rsid w:val="009320D0"/>
    <w:rsid w:val="00932623"/>
    <w:rsid w:val="009332AE"/>
    <w:rsid w:val="0093478D"/>
    <w:rsid w:val="009355CF"/>
    <w:rsid w:val="009404F7"/>
    <w:rsid w:val="00941CD2"/>
    <w:rsid w:val="00942496"/>
    <w:rsid w:val="0094310C"/>
    <w:rsid w:val="009431E7"/>
    <w:rsid w:val="0094425C"/>
    <w:rsid w:val="00945BF3"/>
    <w:rsid w:val="00945F5E"/>
    <w:rsid w:val="009464C6"/>
    <w:rsid w:val="0094650B"/>
    <w:rsid w:val="00947B1A"/>
    <w:rsid w:val="009532AD"/>
    <w:rsid w:val="009548A4"/>
    <w:rsid w:val="00954BA9"/>
    <w:rsid w:val="00955015"/>
    <w:rsid w:val="009567C8"/>
    <w:rsid w:val="00957D11"/>
    <w:rsid w:val="009606C6"/>
    <w:rsid w:val="00961BFE"/>
    <w:rsid w:val="00961E0A"/>
    <w:rsid w:val="00963389"/>
    <w:rsid w:val="009647FA"/>
    <w:rsid w:val="00965938"/>
    <w:rsid w:val="0096655A"/>
    <w:rsid w:val="00967262"/>
    <w:rsid w:val="00970113"/>
    <w:rsid w:val="0097095D"/>
    <w:rsid w:val="009712BA"/>
    <w:rsid w:val="009730D1"/>
    <w:rsid w:val="009737EF"/>
    <w:rsid w:val="00975028"/>
    <w:rsid w:val="009773EF"/>
    <w:rsid w:val="009821CA"/>
    <w:rsid w:val="009832E3"/>
    <w:rsid w:val="00983BC4"/>
    <w:rsid w:val="00984538"/>
    <w:rsid w:val="00985194"/>
    <w:rsid w:val="00985F69"/>
    <w:rsid w:val="00986DEF"/>
    <w:rsid w:val="0098709F"/>
    <w:rsid w:val="00990751"/>
    <w:rsid w:val="0099091F"/>
    <w:rsid w:val="0099219D"/>
    <w:rsid w:val="00992256"/>
    <w:rsid w:val="009939B8"/>
    <w:rsid w:val="0099576D"/>
    <w:rsid w:val="00995E3B"/>
    <w:rsid w:val="00996472"/>
    <w:rsid w:val="00997F49"/>
    <w:rsid w:val="009A23AA"/>
    <w:rsid w:val="009A28EA"/>
    <w:rsid w:val="009A5509"/>
    <w:rsid w:val="009A5B75"/>
    <w:rsid w:val="009A5F8A"/>
    <w:rsid w:val="009A6A38"/>
    <w:rsid w:val="009B1963"/>
    <w:rsid w:val="009B1CB6"/>
    <w:rsid w:val="009B254E"/>
    <w:rsid w:val="009B31B0"/>
    <w:rsid w:val="009B4DCA"/>
    <w:rsid w:val="009B54A1"/>
    <w:rsid w:val="009B5685"/>
    <w:rsid w:val="009B6AB8"/>
    <w:rsid w:val="009B7371"/>
    <w:rsid w:val="009C2A4E"/>
    <w:rsid w:val="009C33C8"/>
    <w:rsid w:val="009C38A7"/>
    <w:rsid w:val="009C3B1E"/>
    <w:rsid w:val="009C3EDC"/>
    <w:rsid w:val="009C5651"/>
    <w:rsid w:val="009C6371"/>
    <w:rsid w:val="009C68BD"/>
    <w:rsid w:val="009C716C"/>
    <w:rsid w:val="009D1E5C"/>
    <w:rsid w:val="009D1E9F"/>
    <w:rsid w:val="009D25FD"/>
    <w:rsid w:val="009D3065"/>
    <w:rsid w:val="009D56F6"/>
    <w:rsid w:val="009E1710"/>
    <w:rsid w:val="009E17DD"/>
    <w:rsid w:val="009E1A4E"/>
    <w:rsid w:val="009E30CC"/>
    <w:rsid w:val="009E341B"/>
    <w:rsid w:val="009E486F"/>
    <w:rsid w:val="009E4C81"/>
    <w:rsid w:val="009E5B7D"/>
    <w:rsid w:val="009E7B5F"/>
    <w:rsid w:val="009E7E1F"/>
    <w:rsid w:val="009F08AF"/>
    <w:rsid w:val="009F0A42"/>
    <w:rsid w:val="009F2078"/>
    <w:rsid w:val="009F2234"/>
    <w:rsid w:val="009F5A67"/>
    <w:rsid w:val="009F5C9D"/>
    <w:rsid w:val="009F6D76"/>
    <w:rsid w:val="00A00DD6"/>
    <w:rsid w:val="00A02A48"/>
    <w:rsid w:val="00A02F3D"/>
    <w:rsid w:val="00A05857"/>
    <w:rsid w:val="00A059EF"/>
    <w:rsid w:val="00A06DAB"/>
    <w:rsid w:val="00A071B4"/>
    <w:rsid w:val="00A07B0A"/>
    <w:rsid w:val="00A11DD4"/>
    <w:rsid w:val="00A1200D"/>
    <w:rsid w:val="00A14515"/>
    <w:rsid w:val="00A15E44"/>
    <w:rsid w:val="00A16A3D"/>
    <w:rsid w:val="00A20E94"/>
    <w:rsid w:val="00A21602"/>
    <w:rsid w:val="00A2161C"/>
    <w:rsid w:val="00A21CAF"/>
    <w:rsid w:val="00A222CF"/>
    <w:rsid w:val="00A223A5"/>
    <w:rsid w:val="00A238C1"/>
    <w:rsid w:val="00A245E2"/>
    <w:rsid w:val="00A2462B"/>
    <w:rsid w:val="00A2495C"/>
    <w:rsid w:val="00A25541"/>
    <w:rsid w:val="00A26409"/>
    <w:rsid w:val="00A26619"/>
    <w:rsid w:val="00A26A8B"/>
    <w:rsid w:val="00A26E1E"/>
    <w:rsid w:val="00A26E2A"/>
    <w:rsid w:val="00A27AD5"/>
    <w:rsid w:val="00A309F1"/>
    <w:rsid w:val="00A32C28"/>
    <w:rsid w:val="00A35709"/>
    <w:rsid w:val="00A360F9"/>
    <w:rsid w:val="00A37224"/>
    <w:rsid w:val="00A4045A"/>
    <w:rsid w:val="00A4148D"/>
    <w:rsid w:val="00A424AE"/>
    <w:rsid w:val="00A431A1"/>
    <w:rsid w:val="00A43935"/>
    <w:rsid w:val="00A44D2F"/>
    <w:rsid w:val="00A44D7C"/>
    <w:rsid w:val="00A4531A"/>
    <w:rsid w:val="00A46684"/>
    <w:rsid w:val="00A516CD"/>
    <w:rsid w:val="00A53477"/>
    <w:rsid w:val="00A534FC"/>
    <w:rsid w:val="00A54619"/>
    <w:rsid w:val="00A55B97"/>
    <w:rsid w:val="00A55C48"/>
    <w:rsid w:val="00A55DCB"/>
    <w:rsid w:val="00A56639"/>
    <w:rsid w:val="00A56874"/>
    <w:rsid w:val="00A60614"/>
    <w:rsid w:val="00A6101A"/>
    <w:rsid w:val="00A62ED8"/>
    <w:rsid w:val="00A63008"/>
    <w:rsid w:val="00A63EDB"/>
    <w:rsid w:val="00A640A0"/>
    <w:rsid w:val="00A64D96"/>
    <w:rsid w:val="00A661B4"/>
    <w:rsid w:val="00A6744C"/>
    <w:rsid w:val="00A67B17"/>
    <w:rsid w:val="00A72603"/>
    <w:rsid w:val="00A73BF0"/>
    <w:rsid w:val="00A748EB"/>
    <w:rsid w:val="00A74FA9"/>
    <w:rsid w:val="00A75F62"/>
    <w:rsid w:val="00A762DB"/>
    <w:rsid w:val="00A80E53"/>
    <w:rsid w:val="00A81F85"/>
    <w:rsid w:val="00A823E6"/>
    <w:rsid w:val="00A8469D"/>
    <w:rsid w:val="00A84BB0"/>
    <w:rsid w:val="00A84C30"/>
    <w:rsid w:val="00A85812"/>
    <w:rsid w:val="00A858AD"/>
    <w:rsid w:val="00A865DD"/>
    <w:rsid w:val="00A86949"/>
    <w:rsid w:val="00A86A00"/>
    <w:rsid w:val="00A8704F"/>
    <w:rsid w:val="00A87FCE"/>
    <w:rsid w:val="00A904F0"/>
    <w:rsid w:val="00A913FA"/>
    <w:rsid w:val="00A92EE2"/>
    <w:rsid w:val="00A93247"/>
    <w:rsid w:val="00A94767"/>
    <w:rsid w:val="00A94BCA"/>
    <w:rsid w:val="00AA0876"/>
    <w:rsid w:val="00AA1782"/>
    <w:rsid w:val="00AA2611"/>
    <w:rsid w:val="00AA2931"/>
    <w:rsid w:val="00AA479A"/>
    <w:rsid w:val="00AA567D"/>
    <w:rsid w:val="00AA6BC4"/>
    <w:rsid w:val="00AA7E12"/>
    <w:rsid w:val="00AB0022"/>
    <w:rsid w:val="00AB2F50"/>
    <w:rsid w:val="00AB3945"/>
    <w:rsid w:val="00AB3A11"/>
    <w:rsid w:val="00AB7E27"/>
    <w:rsid w:val="00AB7E44"/>
    <w:rsid w:val="00AC0139"/>
    <w:rsid w:val="00AC619A"/>
    <w:rsid w:val="00AC661C"/>
    <w:rsid w:val="00AC6739"/>
    <w:rsid w:val="00AC6FB6"/>
    <w:rsid w:val="00AC7421"/>
    <w:rsid w:val="00AD17C5"/>
    <w:rsid w:val="00AD314C"/>
    <w:rsid w:val="00AD560E"/>
    <w:rsid w:val="00AD57F1"/>
    <w:rsid w:val="00AD5866"/>
    <w:rsid w:val="00AD5970"/>
    <w:rsid w:val="00AD6A64"/>
    <w:rsid w:val="00AD70A2"/>
    <w:rsid w:val="00AD79FE"/>
    <w:rsid w:val="00AE0943"/>
    <w:rsid w:val="00AE2427"/>
    <w:rsid w:val="00AE6DAD"/>
    <w:rsid w:val="00AF00C8"/>
    <w:rsid w:val="00AF03CA"/>
    <w:rsid w:val="00AF0653"/>
    <w:rsid w:val="00AF1142"/>
    <w:rsid w:val="00AF1F90"/>
    <w:rsid w:val="00AF20B3"/>
    <w:rsid w:val="00AF21F5"/>
    <w:rsid w:val="00AF31F9"/>
    <w:rsid w:val="00AF3C05"/>
    <w:rsid w:val="00AF3E6A"/>
    <w:rsid w:val="00AF3E84"/>
    <w:rsid w:val="00AF4A71"/>
    <w:rsid w:val="00AF5FC1"/>
    <w:rsid w:val="00AF6166"/>
    <w:rsid w:val="00AF77B3"/>
    <w:rsid w:val="00AF7E6A"/>
    <w:rsid w:val="00B00A05"/>
    <w:rsid w:val="00B01776"/>
    <w:rsid w:val="00B01E87"/>
    <w:rsid w:val="00B023A4"/>
    <w:rsid w:val="00B027FD"/>
    <w:rsid w:val="00B0577C"/>
    <w:rsid w:val="00B073B0"/>
    <w:rsid w:val="00B101E2"/>
    <w:rsid w:val="00B13659"/>
    <w:rsid w:val="00B13E03"/>
    <w:rsid w:val="00B15362"/>
    <w:rsid w:val="00B164BB"/>
    <w:rsid w:val="00B16F88"/>
    <w:rsid w:val="00B202F1"/>
    <w:rsid w:val="00B213F9"/>
    <w:rsid w:val="00B219E6"/>
    <w:rsid w:val="00B24229"/>
    <w:rsid w:val="00B25CBF"/>
    <w:rsid w:val="00B26405"/>
    <w:rsid w:val="00B2729A"/>
    <w:rsid w:val="00B27AAB"/>
    <w:rsid w:val="00B34BC4"/>
    <w:rsid w:val="00B35F96"/>
    <w:rsid w:val="00B37B7F"/>
    <w:rsid w:val="00B407BA"/>
    <w:rsid w:val="00B42302"/>
    <w:rsid w:val="00B447DE"/>
    <w:rsid w:val="00B4734B"/>
    <w:rsid w:val="00B47E78"/>
    <w:rsid w:val="00B507CF"/>
    <w:rsid w:val="00B50C4C"/>
    <w:rsid w:val="00B50C53"/>
    <w:rsid w:val="00B51A86"/>
    <w:rsid w:val="00B51EF8"/>
    <w:rsid w:val="00B55A1A"/>
    <w:rsid w:val="00B57B6E"/>
    <w:rsid w:val="00B605BF"/>
    <w:rsid w:val="00B63081"/>
    <w:rsid w:val="00B63AA2"/>
    <w:rsid w:val="00B65CBE"/>
    <w:rsid w:val="00B710B0"/>
    <w:rsid w:val="00B71E49"/>
    <w:rsid w:val="00B722F4"/>
    <w:rsid w:val="00B73B76"/>
    <w:rsid w:val="00B75425"/>
    <w:rsid w:val="00B7659B"/>
    <w:rsid w:val="00B76E45"/>
    <w:rsid w:val="00B819AF"/>
    <w:rsid w:val="00B82037"/>
    <w:rsid w:val="00B83AF8"/>
    <w:rsid w:val="00B85021"/>
    <w:rsid w:val="00B85081"/>
    <w:rsid w:val="00B85191"/>
    <w:rsid w:val="00B8533F"/>
    <w:rsid w:val="00B875C4"/>
    <w:rsid w:val="00B90B9B"/>
    <w:rsid w:val="00B91110"/>
    <w:rsid w:val="00BA2DFE"/>
    <w:rsid w:val="00BA3771"/>
    <w:rsid w:val="00BA38CC"/>
    <w:rsid w:val="00BA40AC"/>
    <w:rsid w:val="00BA7A75"/>
    <w:rsid w:val="00BB06C0"/>
    <w:rsid w:val="00BB2C83"/>
    <w:rsid w:val="00BC071C"/>
    <w:rsid w:val="00BC2015"/>
    <w:rsid w:val="00BC20A7"/>
    <w:rsid w:val="00BC269B"/>
    <w:rsid w:val="00BC32E5"/>
    <w:rsid w:val="00BC347B"/>
    <w:rsid w:val="00BC3FE1"/>
    <w:rsid w:val="00BC439D"/>
    <w:rsid w:val="00BC43BF"/>
    <w:rsid w:val="00BC5064"/>
    <w:rsid w:val="00BC57A6"/>
    <w:rsid w:val="00BC5D3E"/>
    <w:rsid w:val="00BC6662"/>
    <w:rsid w:val="00BC6892"/>
    <w:rsid w:val="00BD1BC0"/>
    <w:rsid w:val="00BD202E"/>
    <w:rsid w:val="00BD27D0"/>
    <w:rsid w:val="00BD2C59"/>
    <w:rsid w:val="00BD2CF0"/>
    <w:rsid w:val="00BD617E"/>
    <w:rsid w:val="00BD6FC4"/>
    <w:rsid w:val="00BD7F56"/>
    <w:rsid w:val="00BE074F"/>
    <w:rsid w:val="00BE08BE"/>
    <w:rsid w:val="00BE2E24"/>
    <w:rsid w:val="00BE3116"/>
    <w:rsid w:val="00BE610D"/>
    <w:rsid w:val="00BE653F"/>
    <w:rsid w:val="00BE65F8"/>
    <w:rsid w:val="00BF078E"/>
    <w:rsid w:val="00BF14C2"/>
    <w:rsid w:val="00BF1B98"/>
    <w:rsid w:val="00BF3A6B"/>
    <w:rsid w:val="00BF5C1C"/>
    <w:rsid w:val="00BF6770"/>
    <w:rsid w:val="00C0069F"/>
    <w:rsid w:val="00C01114"/>
    <w:rsid w:val="00C016D4"/>
    <w:rsid w:val="00C02E25"/>
    <w:rsid w:val="00C055D5"/>
    <w:rsid w:val="00C103B6"/>
    <w:rsid w:val="00C122BD"/>
    <w:rsid w:val="00C161BC"/>
    <w:rsid w:val="00C179D7"/>
    <w:rsid w:val="00C23B7F"/>
    <w:rsid w:val="00C24075"/>
    <w:rsid w:val="00C24A89"/>
    <w:rsid w:val="00C253B5"/>
    <w:rsid w:val="00C2591A"/>
    <w:rsid w:val="00C27480"/>
    <w:rsid w:val="00C32E94"/>
    <w:rsid w:val="00C36163"/>
    <w:rsid w:val="00C37547"/>
    <w:rsid w:val="00C377A7"/>
    <w:rsid w:val="00C37D1A"/>
    <w:rsid w:val="00C37F62"/>
    <w:rsid w:val="00C40380"/>
    <w:rsid w:val="00C40E9A"/>
    <w:rsid w:val="00C4186A"/>
    <w:rsid w:val="00C418CF"/>
    <w:rsid w:val="00C42192"/>
    <w:rsid w:val="00C42EF4"/>
    <w:rsid w:val="00C4585D"/>
    <w:rsid w:val="00C45B9B"/>
    <w:rsid w:val="00C4612C"/>
    <w:rsid w:val="00C47D41"/>
    <w:rsid w:val="00C50C6B"/>
    <w:rsid w:val="00C5140E"/>
    <w:rsid w:val="00C53981"/>
    <w:rsid w:val="00C546F1"/>
    <w:rsid w:val="00C5559E"/>
    <w:rsid w:val="00C57BBF"/>
    <w:rsid w:val="00C6071C"/>
    <w:rsid w:val="00C60F50"/>
    <w:rsid w:val="00C614FE"/>
    <w:rsid w:val="00C61971"/>
    <w:rsid w:val="00C61D6A"/>
    <w:rsid w:val="00C62068"/>
    <w:rsid w:val="00C64037"/>
    <w:rsid w:val="00C6429D"/>
    <w:rsid w:val="00C643FB"/>
    <w:rsid w:val="00C64B18"/>
    <w:rsid w:val="00C64C2D"/>
    <w:rsid w:val="00C64D0E"/>
    <w:rsid w:val="00C663B1"/>
    <w:rsid w:val="00C6702A"/>
    <w:rsid w:val="00C7081D"/>
    <w:rsid w:val="00C708E1"/>
    <w:rsid w:val="00C72A17"/>
    <w:rsid w:val="00C7318A"/>
    <w:rsid w:val="00C737FC"/>
    <w:rsid w:val="00C7387D"/>
    <w:rsid w:val="00C73906"/>
    <w:rsid w:val="00C745E4"/>
    <w:rsid w:val="00C7682E"/>
    <w:rsid w:val="00C8106D"/>
    <w:rsid w:val="00C81C24"/>
    <w:rsid w:val="00C82D4E"/>
    <w:rsid w:val="00C835CE"/>
    <w:rsid w:val="00C838DD"/>
    <w:rsid w:val="00C867C2"/>
    <w:rsid w:val="00C90A37"/>
    <w:rsid w:val="00C91B70"/>
    <w:rsid w:val="00C9374F"/>
    <w:rsid w:val="00C93D88"/>
    <w:rsid w:val="00C95303"/>
    <w:rsid w:val="00C95DD0"/>
    <w:rsid w:val="00C964C6"/>
    <w:rsid w:val="00C96502"/>
    <w:rsid w:val="00C96635"/>
    <w:rsid w:val="00C96C52"/>
    <w:rsid w:val="00C9713C"/>
    <w:rsid w:val="00C97C60"/>
    <w:rsid w:val="00C97F5F"/>
    <w:rsid w:val="00CA01DE"/>
    <w:rsid w:val="00CA6084"/>
    <w:rsid w:val="00CA64E0"/>
    <w:rsid w:val="00CA65BC"/>
    <w:rsid w:val="00CA67FF"/>
    <w:rsid w:val="00CA723F"/>
    <w:rsid w:val="00CB0F71"/>
    <w:rsid w:val="00CB37C8"/>
    <w:rsid w:val="00CB3CC8"/>
    <w:rsid w:val="00CB4342"/>
    <w:rsid w:val="00CB56B4"/>
    <w:rsid w:val="00CB612E"/>
    <w:rsid w:val="00CB646D"/>
    <w:rsid w:val="00CB7749"/>
    <w:rsid w:val="00CC0508"/>
    <w:rsid w:val="00CC109F"/>
    <w:rsid w:val="00CC14A4"/>
    <w:rsid w:val="00CC2C9F"/>
    <w:rsid w:val="00CC30A6"/>
    <w:rsid w:val="00CC4377"/>
    <w:rsid w:val="00CC4AA1"/>
    <w:rsid w:val="00CC4F6D"/>
    <w:rsid w:val="00CC6380"/>
    <w:rsid w:val="00CC6CE2"/>
    <w:rsid w:val="00CD004D"/>
    <w:rsid w:val="00CD01C0"/>
    <w:rsid w:val="00CD1469"/>
    <w:rsid w:val="00CD693E"/>
    <w:rsid w:val="00CD6B9B"/>
    <w:rsid w:val="00CD6C84"/>
    <w:rsid w:val="00CE3128"/>
    <w:rsid w:val="00CE4293"/>
    <w:rsid w:val="00CE4DB2"/>
    <w:rsid w:val="00CE6FDF"/>
    <w:rsid w:val="00CE7DB6"/>
    <w:rsid w:val="00CF01B8"/>
    <w:rsid w:val="00CF124B"/>
    <w:rsid w:val="00CF27F9"/>
    <w:rsid w:val="00CF34A6"/>
    <w:rsid w:val="00CF358F"/>
    <w:rsid w:val="00CF37E6"/>
    <w:rsid w:val="00CF3E0A"/>
    <w:rsid w:val="00CF3F72"/>
    <w:rsid w:val="00CF6CF0"/>
    <w:rsid w:val="00CF73DF"/>
    <w:rsid w:val="00CF7855"/>
    <w:rsid w:val="00D0121A"/>
    <w:rsid w:val="00D01A7B"/>
    <w:rsid w:val="00D01B3D"/>
    <w:rsid w:val="00D02055"/>
    <w:rsid w:val="00D02A6A"/>
    <w:rsid w:val="00D04467"/>
    <w:rsid w:val="00D04FA1"/>
    <w:rsid w:val="00D057BF"/>
    <w:rsid w:val="00D0583C"/>
    <w:rsid w:val="00D0588B"/>
    <w:rsid w:val="00D05E80"/>
    <w:rsid w:val="00D06015"/>
    <w:rsid w:val="00D062D6"/>
    <w:rsid w:val="00D06E22"/>
    <w:rsid w:val="00D078F0"/>
    <w:rsid w:val="00D07CF0"/>
    <w:rsid w:val="00D07D88"/>
    <w:rsid w:val="00D1065D"/>
    <w:rsid w:val="00D14993"/>
    <w:rsid w:val="00D15C1C"/>
    <w:rsid w:val="00D161C5"/>
    <w:rsid w:val="00D16989"/>
    <w:rsid w:val="00D17465"/>
    <w:rsid w:val="00D176C8"/>
    <w:rsid w:val="00D20C9A"/>
    <w:rsid w:val="00D21045"/>
    <w:rsid w:val="00D21A91"/>
    <w:rsid w:val="00D21CC1"/>
    <w:rsid w:val="00D23D8A"/>
    <w:rsid w:val="00D2536E"/>
    <w:rsid w:val="00D25CE0"/>
    <w:rsid w:val="00D26950"/>
    <w:rsid w:val="00D27A4A"/>
    <w:rsid w:val="00D27C9C"/>
    <w:rsid w:val="00D27D7D"/>
    <w:rsid w:val="00D32FE3"/>
    <w:rsid w:val="00D34029"/>
    <w:rsid w:val="00D342F2"/>
    <w:rsid w:val="00D34739"/>
    <w:rsid w:val="00D35605"/>
    <w:rsid w:val="00D3589D"/>
    <w:rsid w:val="00D36CE2"/>
    <w:rsid w:val="00D401D3"/>
    <w:rsid w:val="00D44A88"/>
    <w:rsid w:val="00D450FF"/>
    <w:rsid w:val="00D45460"/>
    <w:rsid w:val="00D45680"/>
    <w:rsid w:val="00D50F79"/>
    <w:rsid w:val="00D54A7F"/>
    <w:rsid w:val="00D54D99"/>
    <w:rsid w:val="00D54E5D"/>
    <w:rsid w:val="00D57546"/>
    <w:rsid w:val="00D6021D"/>
    <w:rsid w:val="00D628D7"/>
    <w:rsid w:val="00D62C68"/>
    <w:rsid w:val="00D62E63"/>
    <w:rsid w:val="00D63658"/>
    <w:rsid w:val="00D639DA"/>
    <w:rsid w:val="00D64941"/>
    <w:rsid w:val="00D64CD4"/>
    <w:rsid w:val="00D65ECC"/>
    <w:rsid w:val="00D66795"/>
    <w:rsid w:val="00D66B3C"/>
    <w:rsid w:val="00D71831"/>
    <w:rsid w:val="00D72636"/>
    <w:rsid w:val="00D72D26"/>
    <w:rsid w:val="00D73501"/>
    <w:rsid w:val="00D74EBB"/>
    <w:rsid w:val="00D7533F"/>
    <w:rsid w:val="00D75FDA"/>
    <w:rsid w:val="00D76491"/>
    <w:rsid w:val="00D774AC"/>
    <w:rsid w:val="00D77DB0"/>
    <w:rsid w:val="00D803B0"/>
    <w:rsid w:val="00D80A0D"/>
    <w:rsid w:val="00D818FF"/>
    <w:rsid w:val="00D826D4"/>
    <w:rsid w:val="00D82AA9"/>
    <w:rsid w:val="00D82C19"/>
    <w:rsid w:val="00D83855"/>
    <w:rsid w:val="00D83DDE"/>
    <w:rsid w:val="00D83F4F"/>
    <w:rsid w:val="00D841D5"/>
    <w:rsid w:val="00D85118"/>
    <w:rsid w:val="00D8716C"/>
    <w:rsid w:val="00D87178"/>
    <w:rsid w:val="00D873C5"/>
    <w:rsid w:val="00D910E7"/>
    <w:rsid w:val="00D91506"/>
    <w:rsid w:val="00D9175F"/>
    <w:rsid w:val="00D92F63"/>
    <w:rsid w:val="00D958C1"/>
    <w:rsid w:val="00D95BF9"/>
    <w:rsid w:val="00D95E06"/>
    <w:rsid w:val="00D97AA8"/>
    <w:rsid w:val="00D97CCA"/>
    <w:rsid w:val="00DA076A"/>
    <w:rsid w:val="00DA4457"/>
    <w:rsid w:val="00DB01B4"/>
    <w:rsid w:val="00DB0623"/>
    <w:rsid w:val="00DB0697"/>
    <w:rsid w:val="00DB16DE"/>
    <w:rsid w:val="00DB2FD3"/>
    <w:rsid w:val="00DB3A52"/>
    <w:rsid w:val="00DB5D77"/>
    <w:rsid w:val="00DB6605"/>
    <w:rsid w:val="00DB7069"/>
    <w:rsid w:val="00DB71C9"/>
    <w:rsid w:val="00DC0934"/>
    <w:rsid w:val="00DC1388"/>
    <w:rsid w:val="00DC18A0"/>
    <w:rsid w:val="00DC290A"/>
    <w:rsid w:val="00DC31C3"/>
    <w:rsid w:val="00DC331F"/>
    <w:rsid w:val="00DC33A0"/>
    <w:rsid w:val="00DC3492"/>
    <w:rsid w:val="00DD0570"/>
    <w:rsid w:val="00DD07D0"/>
    <w:rsid w:val="00DD4E7E"/>
    <w:rsid w:val="00DD7CA6"/>
    <w:rsid w:val="00DD7EB5"/>
    <w:rsid w:val="00DE03EC"/>
    <w:rsid w:val="00DE08A4"/>
    <w:rsid w:val="00DE133D"/>
    <w:rsid w:val="00DE22A1"/>
    <w:rsid w:val="00DE31F5"/>
    <w:rsid w:val="00DE391C"/>
    <w:rsid w:val="00DE3ADC"/>
    <w:rsid w:val="00DE493F"/>
    <w:rsid w:val="00DE4FFF"/>
    <w:rsid w:val="00DE5B44"/>
    <w:rsid w:val="00DE6C21"/>
    <w:rsid w:val="00DE7993"/>
    <w:rsid w:val="00DF0B21"/>
    <w:rsid w:val="00DF1CA6"/>
    <w:rsid w:val="00DF1EE2"/>
    <w:rsid w:val="00DF276B"/>
    <w:rsid w:val="00DF3789"/>
    <w:rsid w:val="00DF46D5"/>
    <w:rsid w:val="00DF6C7F"/>
    <w:rsid w:val="00DF7088"/>
    <w:rsid w:val="00DF7189"/>
    <w:rsid w:val="00E014DF"/>
    <w:rsid w:val="00E01C1E"/>
    <w:rsid w:val="00E02AC3"/>
    <w:rsid w:val="00E02E2D"/>
    <w:rsid w:val="00E03215"/>
    <w:rsid w:val="00E046FF"/>
    <w:rsid w:val="00E04839"/>
    <w:rsid w:val="00E04978"/>
    <w:rsid w:val="00E0569C"/>
    <w:rsid w:val="00E102F6"/>
    <w:rsid w:val="00E104A8"/>
    <w:rsid w:val="00E131F5"/>
    <w:rsid w:val="00E1516E"/>
    <w:rsid w:val="00E15AC6"/>
    <w:rsid w:val="00E17CC7"/>
    <w:rsid w:val="00E20E36"/>
    <w:rsid w:val="00E21254"/>
    <w:rsid w:val="00E2171E"/>
    <w:rsid w:val="00E21CE8"/>
    <w:rsid w:val="00E222CC"/>
    <w:rsid w:val="00E224AF"/>
    <w:rsid w:val="00E227AC"/>
    <w:rsid w:val="00E238AB"/>
    <w:rsid w:val="00E24A08"/>
    <w:rsid w:val="00E24FF0"/>
    <w:rsid w:val="00E2787E"/>
    <w:rsid w:val="00E30A46"/>
    <w:rsid w:val="00E3214A"/>
    <w:rsid w:val="00E34BB3"/>
    <w:rsid w:val="00E34DCF"/>
    <w:rsid w:val="00E36ED0"/>
    <w:rsid w:val="00E37187"/>
    <w:rsid w:val="00E378B7"/>
    <w:rsid w:val="00E40099"/>
    <w:rsid w:val="00E44B81"/>
    <w:rsid w:val="00E46298"/>
    <w:rsid w:val="00E4673E"/>
    <w:rsid w:val="00E473A6"/>
    <w:rsid w:val="00E528EB"/>
    <w:rsid w:val="00E53231"/>
    <w:rsid w:val="00E5667C"/>
    <w:rsid w:val="00E60451"/>
    <w:rsid w:val="00E60AAC"/>
    <w:rsid w:val="00E60BE3"/>
    <w:rsid w:val="00E6155A"/>
    <w:rsid w:val="00E6266C"/>
    <w:rsid w:val="00E62C58"/>
    <w:rsid w:val="00E64050"/>
    <w:rsid w:val="00E64CD3"/>
    <w:rsid w:val="00E654F1"/>
    <w:rsid w:val="00E661A8"/>
    <w:rsid w:val="00E678D5"/>
    <w:rsid w:val="00E70470"/>
    <w:rsid w:val="00E707CC"/>
    <w:rsid w:val="00E7100E"/>
    <w:rsid w:val="00E72256"/>
    <w:rsid w:val="00E72320"/>
    <w:rsid w:val="00E74505"/>
    <w:rsid w:val="00E802CB"/>
    <w:rsid w:val="00E82025"/>
    <w:rsid w:val="00E8343B"/>
    <w:rsid w:val="00E84647"/>
    <w:rsid w:val="00E84D54"/>
    <w:rsid w:val="00E86135"/>
    <w:rsid w:val="00E86317"/>
    <w:rsid w:val="00E917B1"/>
    <w:rsid w:val="00E92177"/>
    <w:rsid w:val="00E944D8"/>
    <w:rsid w:val="00E94CF6"/>
    <w:rsid w:val="00E95DDA"/>
    <w:rsid w:val="00E9653D"/>
    <w:rsid w:val="00E96665"/>
    <w:rsid w:val="00E9679B"/>
    <w:rsid w:val="00E96A60"/>
    <w:rsid w:val="00E96F00"/>
    <w:rsid w:val="00E97ADA"/>
    <w:rsid w:val="00EA0F59"/>
    <w:rsid w:val="00EA2E22"/>
    <w:rsid w:val="00EA5802"/>
    <w:rsid w:val="00EA663C"/>
    <w:rsid w:val="00EA7142"/>
    <w:rsid w:val="00EA7578"/>
    <w:rsid w:val="00EB0A86"/>
    <w:rsid w:val="00EB2C90"/>
    <w:rsid w:val="00EB3855"/>
    <w:rsid w:val="00EB3D57"/>
    <w:rsid w:val="00EB52EA"/>
    <w:rsid w:val="00EB5783"/>
    <w:rsid w:val="00EB70D4"/>
    <w:rsid w:val="00EB73D0"/>
    <w:rsid w:val="00EC1737"/>
    <w:rsid w:val="00EC18E2"/>
    <w:rsid w:val="00EC26DC"/>
    <w:rsid w:val="00EC4974"/>
    <w:rsid w:val="00EC7B3C"/>
    <w:rsid w:val="00ED0738"/>
    <w:rsid w:val="00ED30C6"/>
    <w:rsid w:val="00ED339D"/>
    <w:rsid w:val="00ED3FFD"/>
    <w:rsid w:val="00ED4E6F"/>
    <w:rsid w:val="00EE1117"/>
    <w:rsid w:val="00EE1DFF"/>
    <w:rsid w:val="00EE5863"/>
    <w:rsid w:val="00EE5E8E"/>
    <w:rsid w:val="00EE641B"/>
    <w:rsid w:val="00EF015B"/>
    <w:rsid w:val="00EF0911"/>
    <w:rsid w:val="00EF0A6F"/>
    <w:rsid w:val="00EF0F3B"/>
    <w:rsid w:val="00EF22D9"/>
    <w:rsid w:val="00EF39F9"/>
    <w:rsid w:val="00EF4417"/>
    <w:rsid w:val="00EF47CD"/>
    <w:rsid w:val="00F00DE0"/>
    <w:rsid w:val="00F00F3D"/>
    <w:rsid w:val="00F011A6"/>
    <w:rsid w:val="00F02F8F"/>
    <w:rsid w:val="00F03262"/>
    <w:rsid w:val="00F05A60"/>
    <w:rsid w:val="00F062F0"/>
    <w:rsid w:val="00F06464"/>
    <w:rsid w:val="00F065F1"/>
    <w:rsid w:val="00F068C2"/>
    <w:rsid w:val="00F06DFE"/>
    <w:rsid w:val="00F079C8"/>
    <w:rsid w:val="00F07B9A"/>
    <w:rsid w:val="00F123BB"/>
    <w:rsid w:val="00F12736"/>
    <w:rsid w:val="00F12AEA"/>
    <w:rsid w:val="00F13469"/>
    <w:rsid w:val="00F142BB"/>
    <w:rsid w:val="00F1676D"/>
    <w:rsid w:val="00F169EC"/>
    <w:rsid w:val="00F16BE4"/>
    <w:rsid w:val="00F1754B"/>
    <w:rsid w:val="00F210E5"/>
    <w:rsid w:val="00F247B0"/>
    <w:rsid w:val="00F24829"/>
    <w:rsid w:val="00F2598D"/>
    <w:rsid w:val="00F26033"/>
    <w:rsid w:val="00F26FD0"/>
    <w:rsid w:val="00F27F2E"/>
    <w:rsid w:val="00F3108A"/>
    <w:rsid w:val="00F32622"/>
    <w:rsid w:val="00F32C1C"/>
    <w:rsid w:val="00F32FF1"/>
    <w:rsid w:val="00F34E13"/>
    <w:rsid w:val="00F368D8"/>
    <w:rsid w:val="00F3698B"/>
    <w:rsid w:val="00F36AA4"/>
    <w:rsid w:val="00F46BF7"/>
    <w:rsid w:val="00F47686"/>
    <w:rsid w:val="00F51600"/>
    <w:rsid w:val="00F52173"/>
    <w:rsid w:val="00F53697"/>
    <w:rsid w:val="00F55468"/>
    <w:rsid w:val="00F56A37"/>
    <w:rsid w:val="00F6132F"/>
    <w:rsid w:val="00F61CD9"/>
    <w:rsid w:val="00F624D4"/>
    <w:rsid w:val="00F63DBC"/>
    <w:rsid w:val="00F67B99"/>
    <w:rsid w:val="00F704E0"/>
    <w:rsid w:val="00F70BB0"/>
    <w:rsid w:val="00F75457"/>
    <w:rsid w:val="00F7718D"/>
    <w:rsid w:val="00F8045D"/>
    <w:rsid w:val="00F835AF"/>
    <w:rsid w:val="00F83D35"/>
    <w:rsid w:val="00F84192"/>
    <w:rsid w:val="00F86DA4"/>
    <w:rsid w:val="00F90374"/>
    <w:rsid w:val="00F91473"/>
    <w:rsid w:val="00F915B2"/>
    <w:rsid w:val="00F91C2F"/>
    <w:rsid w:val="00F94258"/>
    <w:rsid w:val="00F94C42"/>
    <w:rsid w:val="00F94CAC"/>
    <w:rsid w:val="00F954C2"/>
    <w:rsid w:val="00F964B3"/>
    <w:rsid w:val="00F96862"/>
    <w:rsid w:val="00F96A8A"/>
    <w:rsid w:val="00FA15E7"/>
    <w:rsid w:val="00FA1B03"/>
    <w:rsid w:val="00FA31B6"/>
    <w:rsid w:val="00FA3CAC"/>
    <w:rsid w:val="00FA40A3"/>
    <w:rsid w:val="00FA73A0"/>
    <w:rsid w:val="00FA7A39"/>
    <w:rsid w:val="00FB0AFD"/>
    <w:rsid w:val="00FB1D99"/>
    <w:rsid w:val="00FB2C8A"/>
    <w:rsid w:val="00FB3C2C"/>
    <w:rsid w:val="00FB3E63"/>
    <w:rsid w:val="00FB6BA5"/>
    <w:rsid w:val="00FB6D58"/>
    <w:rsid w:val="00FB70E8"/>
    <w:rsid w:val="00FB7102"/>
    <w:rsid w:val="00FB71F3"/>
    <w:rsid w:val="00FB748A"/>
    <w:rsid w:val="00FC0602"/>
    <w:rsid w:val="00FC109E"/>
    <w:rsid w:val="00FC1449"/>
    <w:rsid w:val="00FC1CE3"/>
    <w:rsid w:val="00FC231A"/>
    <w:rsid w:val="00FC2C1D"/>
    <w:rsid w:val="00FC3D38"/>
    <w:rsid w:val="00FC612B"/>
    <w:rsid w:val="00FC7828"/>
    <w:rsid w:val="00FD064A"/>
    <w:rsid w:val="00FD0858"/>
    <w:rsid w:val="00FD1E8E"/>
    <w:rsid w:val="00FD4597"/>
    <w:rsid w:val="00FD7D32"/>
    <w:rsid w:val="00FE126A"/>
    <w:rsid w:val="00FE150C"/>
    <w:rsid w:val="00FE2738"/>
    <w:rsid w:val="00FE29F7"/>
    <w:rsid w:val="00FE470A"/>
    <w:rsid w:val="00FE582D"/>
    <w:rsid w:val="00FE5854"/>
    <w:rsid w:val="00FE5D9E"/>
    <w:rsid w:val="00FE7839"/>
    <w:rsid w:val="00FE7F17"/>
    <w:rsid w:val="00FF167E"/>
    <w:rsid w:val="00FF1A84"/>
    <w:rsid w:val="00FF3C70"/>
    <w:rsid w:val="00FF41C3"/>
    <w:rsid w:val="00FF62B3"/>
    <w:rsid w:val="00FF664A"/>
    <w:rsid w:val="00FF6801"/>
    <w:rsid w:val="00FF6E8C"/>
    <w:rsid w:val="00FF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Main,heading 1,Chapter Titles"/>
    <w:basedOn w:val="Normal"/>
    <w:next w:val="Normal"/>
    <w:autoRedefine/>
    <w:qFormat/>
    <w:rsid w:val="00E473A6"/>
    <w:pPr>
      <w:keepNext/>
      <w:widowControl w:val="0"/>
      <w:numPr>
        <w:numId w:val="14"/>
      </w:numPr>
      <w:spacing w:before="240" w:after="60"/>
      <w:outlineLvl w:val="0"/>
    </w:pPr>
    <w:rPr>
      <w:rFonts w:ascii="Tahoma" w:hAnsi="Tahoma"/>
      <w:b/>
      <w:bCs/>
      <w:caps/>
      <w:snapToGrid w:val="0"/>
      <w:kern w:val="28"/>
      <w:sz w:val="28"/>
      <w:szCs w:val="28"/>
      <w:lang w:val="en-AU"/>
    </w:rPr>
  </w:style>
  <w:style w:type="paragraph" w:styleId="Heading2">
    <w:name w:val="heading 2"/>
    <w:basedOn w:val="Normal"/>
    <w:next w:val="Normal"/>
    <w:autoRedefine/>
    <w:qFormat/>
    <w:rsid w:val="00641419"/>
    <w:pPr>
      <w:keepNext/>
      <w:widowControl w:val="0"/>
      <w:numPr>
        <w:ilvl w:val="1"/>
        <w:numId w:val="17"/>
      </w:numPr>
      <w:tabs>
        <w:tab w:val="left" w:pos="720"/>
      </w:tabs>
      <w:spacing w:before="240" w:after="60"/>
      <w:outlineLvl w:val="1"/>
    </w:pPr>
    <w:rPr>
      <w:rFonts w:ascii="Tahoma" w:hAnsi="Tahoma"/>
      <w:b/>
      <w:caps/>
      <w:snapToGrid w:val="0"/>
      <w:sz w:val="20"/>
      <w:szCs w:val="20"/>
      <w:lang w:val="en-AU"/>
    </w:rPr>
  </w:style>
  <w:style w:type="paragraph" w:styleId="Heading3">
    <w:name w:val="heading 3"/>
    <w:aliases w:val="h3"/>
    <w:basedOn w:val="Normal"/>
    <w:next w:val="Normal"/>
    <w:autoRedefine/>
    <w:qFormat/>
    <w:rsid w:val="00641419"/>
    <w:pPr>
      <w:keepNext/>
      <w:widowControl w:val="0"/>
      <w:numPr>
        <w:ilvl w:val="2"/>
        <w:numId w:val="19"/>
      </w:numPr>
      <w:jc w:val="both"/>
      <w:outlineLvl w:val="2"/>
    </w:pPr>
    <w:rPr>
      <w:rFonts w:ascii="Tahoma" w:eastAsia="Calibri" w:hAnsi="Tahoma"/>
      <w:b/>
      <w:snapToGrid w:val="0"/>
      <w:sz w:val="20"/>
      <w:szCs w:val="20"/>
      <w:lang w:val="en-AU"/>
    </w:rPr>
  </w:style>
  <w:style w:type="paragraph" w:styleId="Heading4">
    <w:name w:val="heading 4"/>
    <w:basedOn w:val="Normal"/>
    <w:qFormat/>
    <w:rsid w:val="001B40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rsid w:val="00C91B70"/>
    <w:pPr>
      <w:numPr>
        <w:numId w:val="3"/>
      </w:numPr>
    </w:pPr>
  </w:style>
  <w:style w:type="numbering" w:styleId="111111">
    <w:name w:val="Outline List 2"/>
    <w:basedOn w:val="NoList"/>
    <w:rsid w:val="00C40E9A"/>
    <w:pPr>
      <w:numPr>
        <w:numId w:val="6"/>
      </w:numPr>
    </w:pPr>
  </w:style>
  <w:style w:type="numbering" w:customStyle="1" w:styleId="StyleOutlinenumberedBold1">
    <w:name w:val="Style Outline numbered Bold1"/>
    <w:basedOn w:val="NoList"/>
    <w:rsid w:val="00C40E9A"/>
    <w:pPr>
      <w:numPr>
        <w:numId w:val="11"/>
      </w:numPr>
    </w:pPr>
  </w:style>
  <w:style w:type="paragraph" w:customStyle="1" w:styleId="section">
    <w:name w:val="section"/>
    <w:basedOn w:val="Normal"/>
    <w:rsid w:val="001B408C"/>
    <w:pPr>
      <w:spacing w:before="100" w:beforeAutospacing="1" w:after="100" w:afterAutospacing="1"/>
    </w:pPr>
  </w:style>
  <w:style w:type="paragraph" w:customStyle="1" w:styleId="summary">
    <w:name w:val="summary"/>
    <w:basedOn w:val="Normal"/>
    <w:rsid w:val="001B408C"/>
    <w:pPr>
      <w:spacing w:before="100" w:beforeAutospacing="1" w:after="100" w:afterAutospacing="1"/>
    </w:pPr>
  </w:style>
  <w:style w:type="character" w:styleId="Hyperlink">
    <w:name w:val="Hyperlink"/>
    <w:rsid w:val="001B408C"/>
    <w:rPr>
      <w:color w:val="0000FF"/>
      <w:u w:val="single"/>
    </w:rPr>
  </w:style>
  <w:style w:type="paragraph" w:styleId="NormalWeb">
    <w:name w:val="Normal (Web)"/>
    <w:basedOn w:val="Normal"/>
    <w:rsid w:val="001B408C"/>
    <w:pPr>
      <w:spacing w:before="100" w:beforeAutospacing="1" w:after="100" w:afterAutospacing="1"/>
    </w:pPr>
  </w:style>
  <w:style w:type="paragraph" w:styleId="z-TopofForm">
    <w:name w:val="HTML Top of Form"/>
    <w:basedOn w:val="Normal"/>
    <w:next w:val="Normal"/>
    <w:hidden/>
    <w:rsid w:val="001B408C"/>
    <w:pPr>
      <w:pBdr>
        <w:bottom w:val="single" w:sz="6" w:space="1" w:color="auto"/>
      </w:pBdr>
      <w:jc w:val="center"/>
    </w:pPr>
    <w:rPr>
      <w:rFonts w:ascii="Arial" w:hAnsi="Arial" w:cs="Arial"/>
      <w:vanish/>
      <w:sz w:val="16"/>
      <w:szCs w:val="16"/>
    </w:rPr>
  </w:style>
  <w:style w:type="character" w:styleId="Strong">
    <w:name w:val="Strong"/>
    <w:qFormat/>
    <w:rsid w:val="001B408C"/>
    <w:rPr>
      <w:b/>
      <w:bCs/>
    </w:rPr>
  </w:style>
  <w:style w:type="character" w:styleId="Emphasis">
    <w:name w:val="Emphasis"/>
    <w:qFormat/>
    <w:rsid w:val="001B408C"/>
    <w:rPr>
      <w:i/>
      <w:iCs/>
    </w:rPr>
  </w:style>
  <w:style w:type="paragraph" w:styleId="z-BottomofForm">
    <w:name w:val="HTML Bottom of Form"/>
    <w:basedOn w:val="Normal"/>
    <w:next w:val="Normal"/>
    <w:hidden/>
    <w:rsid w:val="001B408C"/>
    <w:pPr>
      <w:pBdr>
        <w:top w:val="single" w:sz="6" w:space="1" w:color="auto"/>
      </w:pBdr>
      <w:jc w:val="center"/>
    </w:pPr>
    <w:rPr>
      <w:rFonts w:ascii="Arial" w:hAnsi="Arial" w:cs="Arial"/>
      <w:vanish/>
      <w:sz w:val="16"/>
      <w:szCs w:val="16"/>
    </w:rPr>
  </w:style>
  <w:style w:type="paragraph" w:customStyle="1" w:styleId="currency">
    <w:name w:val="currency"/>
    <w:basedOn w:val="Normal"/>
    <w:rsid w:val="001B408C"/>
    <w:pPr>
      <w:spacing w:before="100" w:beforeAutospacing="1" w:after="100" w:afterAutospacing="1"/>
    </w:pPr>
  </w:style>
  <w:style w:type="paragraph" w:customStyle="1" w:styleId="Bodytextnew">
    <w:name w:val="Body text (new)"/>
    <w:basedOn w:val="Normal"/>
    <w:link w:val="BodytextnewCharChar"/>
    <w:rsid w:val="00075F8A"/>
    <w:pPr>
      <w:spacing w:before="240" w:after="240" w:line="360" w:lineRule="auto"/>
      <w:jc w:val="both"/>
    </w:pPr>
    <w:rPr>
      <w:rFonts w:ascii="Verdana" w:hAnsi="Verdana"/>
      <w:color w:val="1D174F"/>
      <w:sz w:val="18"/>
      <w:szCs w:val="20"/>
      <w:lang w:val="en-AU"/>
    </w:rPr>
  </w:style>
  <w:style w:type="character" w:customStyle="1" w:styleId="BodytextnewCharChar">
    <w:name w:val="Body text (new) Char Char"/>
    <w:link w:val="Bodytextnew"/>
    <w:rsid w:val="00075F8A"/>
    <w:rPr>
      <w:rFonts w:ascii="Verdana" w:hAnsi="Verdana"/>
      <w:color w:val="1D174F"/>
      <w:sz w:val="18"/>
      <w:lang w:val="en-AU" w:eastAsia="en-US" w:bidi="ar-SA"/>
    </w:rPr>
  </w:style>
  <w:style w:type="paragraph" w:styleId="Header">
    <w:name w:val="header"/>
    <w:basedOn w:val="Normal"/>
    <w:link w:val="HeaderChar"/>
    <w:rsid w:val="009647FA"/>
    <w:pPr>
      <w:tabs>
        <w:tab w:val="center" w:pos="4680"/>
        <w:tab w:val="right" w:pos="9360"/>
      </w:tabs>
    </w:pPr>
  </w:style>
  <w:style w:type="character" w:customStyle="1" w:styleId="HeaderChar">
    <w:name w:val="Header Char"/>
    <w:link w:val="Header"/>
    <w:rsid w:val="009647FA"/>
    <w:rPr>
      <w:sz w:val="24"/>
      <w:szCs w:val="24"/>
    </w:rPr>
  </w:style>
  <w:style w:type="paragraph" w:styleId="Footer">
    <w:name w:val="footer"/>
    <w:basedOn w:val="Normal"/>
    <w:link w:val="FooterChar"/>
    <w:uiPriority w:val="99"/>
    <w:rsid w:val="009647FA"/>
    <w:pPr>
      <w:tabs>
        <w:tab w:val="center" w:pos="4680"/>
        <w:tab w:val="right" w:pos="9360"/>
      </w:tabs>
    </w:pPr>
  </w:style>
  <w:style w:type="character" w:customStyle="1" w:styleId="FooterChar">
    <w:name w:val="Footer Char"/>
    <w:link w:val="Footer"/>
    <w:uiPriority w:val="99"/>
    <w:rsid w:val="009647FA"/>
    <w:rPr>
      <w:sz w:val="24"/>
      <w:szCs w:val="24"/>
    </w:rPr>
  </w:style>
  <w:style w:type="paragraph" w:styleId="BalloonText">
    <w:name w:val="Balloon Text"/>
    <w:basedOn w:val="Normal"/>
    <w:semiHidden/>
    <w:rsid w:val="006E2AE0"/>
    <w:rPr>
      <w:rFonts w:ascii="Tahoma" w:hAnsi="Tahoma" w:cs="Tahoma"/>
      <w:sz w:val="16"/>
      <w:szCs w:val="16"/>
    </w:rPr>
  </w:style>
  <w:style w:type="character" w:styleId="CommentReference">
    <w:name w:val="annotation reference"/>
    <w:semiHidden/>
    <w:rsid w:val="006E2AE0"/>
    <w:rPr>
      <w:sz w:val="16"/>
      <w:szCs w:val="16"/>
    </w:rPr>
  </w:style>
  <w:style w:type="paragraph" w:styleId="CommentText">
    <w:name w:val="annotation text"/>
    <w:basedOn w:val="Normal"/>
    <w:semiHidden/>
    <w:rsid w:val="006E2AE0"/>
    <w:rPr>
      <w:sz w:val="20"/>
      <w:szCs w:val="20"/>
    </w:rPr>
  </w:style>
  <w:style w:type="paragraph" w:styleId="CommentSubject">
    <w:name w:val="annotation subject"/>
    <w:basedOn w:val="CommentText"/>
    <w:next w:val="CommentText"/>
    <w:semiHidden/>
    <w:rsid w:val="006E2AE0"/>
    <w:rPr>
      <w:b/>
      <w:bCs/>
    </w:rPr>
  </w:style>
  <w:style w:type="paragraph" w:styleId="ListParagraph">
    <w:name w:val="List Paragraph"/>
    <w:basedOn w:val="Normal"/>
    <w:uiPriority w:val="34"/>
    <w:qFormat/>
    <w:rsid w:val="0033276B"/>
    <w:pPr>
      <w:ind w:left="720"/>
      <w:contextualSpacing/>
    </w:pPr>
  </w:style>
  <w:style w:type="paragraph" w:styleId="FootnoteText">
    <w:name w:val="footnote text"/>
    <w:basedOn w:val="Normal"/>
    <w:link w:val="FootnoteTextChar"/>
    <w:rsid w:val="003E4CB4"/>
    <w:rPr>
      <w:sz w:val="20"/>
      <w:szCs w:val="20"/>
    </w:rPr>
  </w:style>
  <w:style w:type="character" w:customStyle="1" w:styleId="FootnoteTextChar">
    <w:name w:val="Footnote Text Char"/>
    <w:basedOn w:val="DefaultParagraphFont"/>
    <w:link w:val="FootnoteText"/>
    <w:rsid w:val="003E4CB4"/>
    <w:rPr>
      <w:lang w:val="en-US" w:eastAsia="en-US"/>
    </w:rPr>
  </w:style>
  <w:style w:type="character" w:styleId="FootnoteReference">
    <w:name w:val="footnote reference"/>
    <w:basedOn w:val="DefaultParagraphFont"/>
    <w:rsid w:val="003E4C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Main,heading 1,Chapter Titles"/>
    <w:basedOn w:val="Normal"/>
    <w:next w:val="Normal"/>
    <w:autoRedefine/>
    <w:qFormat/>
    <w:rsid w:val="00E473A6"/>
    <w:pPr>
      <w:keepNext/>
      <w:widowControl w:val="0"/>
      <w:numPr>
        <w:numId w:val="14"/>
      </w:numPr>
      <w:spacing w:before="240" w:after="60"/>
      <w:outlineLvl w:val="0"/>
    </w:pPr>
    <w:rPr>
      <w:rFonts w:ascii="Tahoma" w:hAnsi="Tahoma"/>
      <w:b/>
      <w:bCs/>
      <w:caps/>
      <w:snapToGrid w:val="0"/>
      <w:kern w:val="28"/>
      <w:sz w:val="28"/>
      <w:szCs w:val="28"/>
      <w:lang w:val="en-AU"/>
    </w:rPr>
  </w:style>
  <w:style w:type="paragraph" w:styleId="Heading2">
    <w:name w:val="heading 2"/>
    <w:basedOn w:val="Normal"/>
    <w:next w:val="Normal"/>
    <w:autoRedefine/>
    <w:qFormat/>
    <w:rsid w:val="00641419"/>
    <w:pPr>
      <w:keepNext/>
      <w:widowControl w:val="0"/>
      <w:numPr>
        <w:ilvl w:val="1"/>
        <w:numId w:val="17"/>
      </w:numPr>
      <w:tabs>
        <w:tab w:val="left" w:pos="720"/>
      </w:tabs>
      <w:spacing w:before="240" w:after="60"/>
      <w:outlineLvl w:val="1"/>
    </w:pPr>
    <w:rPr>
      <w:rFonts w:ascii="Tahoma" w:hAnsi="Tahoma"/>
      <w:b/>
      <w:caps/>
      <w:snapToGrid w:val="0"/>
      <w:sz w:val="20"/>
      <w:szCs w:val="20"/>
      <w:lang w:val="en-AU"/>
    </w:rPr>
  </w:style>
  <w:style w:type="paragraph" w:styleId="Heading3">
    <w:name w:val="heading 3"/>
    <w:aliases w:val="h3"/>
    <w:basedOn w:val="Normal"/>
    <w:next w:val="Normal"/>
    <w:autoRedefine/>
    <w:qFormat/>
    <w:rsid w:val="00641419"/>
    <w:pPr>
      <w:keepNext/>
      <w:widowControl w:val="0"/>
      <w:numPr>
        <w:ilvl w:val="2"/>
        <w:numId w:val="19"/>
      </w:numPr>
      <w:jc w:val="both"/>
      <w:outlineLvl w:val="2"/>
    </w:pPr>
    <w:rPr>
      <w:rFonts w:ascii="Tahoma" w:eastAsia="Calibri" w:hAnsi="Tahoma"/>
      <w:b/>
      <w:snapToGrid w:val="0"/>
      <w:sz w:val="20"/>
      <w:szCs w:val="20"/>
      <w:lang w:val="en-AU"/>
    </w:rPr>
  </w:style>
  <w:style w:type="paragraph" w:styleId="Heading4">
    <w:name w:val="heading 4"/>
    <w:basedOn w:val="Normal"/>
    <w:qFormat/>
    <w:rsid w:val="001B40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rsid w:val="00C91B70"/>
    <w:pPr>
      <w:numPr>
        <w:numId w:val="3"/>
      </w:numPr>
    </w:pPr>
  </w:style>
  <w:style w:type="numbering" w:styleId="111111">
    <w:name w:val="Outline List 2"/>
    <w:basedOn w:val="NoList"/>
    <w:rsid w:val="00C40E9A"/>
    <w:pPr>
      <w:numPr>
        <w:numId w:val="6"/>
      </w:numPr>
    </w:pPr>
  </w:style>
  <w:style w:type="numbering" w:customStyle="1" w:styleId="StyleOutlinenumberedBold1">
    <w:name w:val="Style Outline numbered Bold1"/>
    <w:basedOn w:val="NoList"/>
    <w:rsid w:val="00C40E9A"/>
    <w:pPr>
      <w:numPr>
        <w:numId w:val="11"/>
      </w:numPr>
    </w:pPr>
  </w:style>
  <w:style w:type="paragraph" w:customStyle="1" w:styleId="section">
    <w:name w:val="section"/>
    <w:basedOn w:val="Normal"/>
    <w:rsid w:val="001B408C"/>
    <w:pPr>
      <w:spacing w:before="100" w:beforeAutospacing="1" w:after="100" w:afterAutospacing="1"/>
    </w:pPr>
  </w:style>
  <w:style w:type="paragraph" w:customStyle="1" w:styleId="summary">
    <w:name w:val="summary"/>
    <w:basedOn w:val="Normal"/>
    <w:rsid w:val="001B408C"/>
    <w:pPr>
      <w:spacing w:before="100" w:beforeAutospacing="1" w:after="100" w:afterAutospacing="1"/>
    </w:pPr>
  </w:style>
  <w:style w:type="character" w:styleId="Hyperlink">
    <w:name w:val="Hyperlink"/>
    <w:rsid w:val="001B408C"/>
    <w:rPr>
      <w:color w:val="0000FF"/>
      <w:u w:val="single"/>
    </w:rPr>
  </w:style>
  <w:style w:type="paragraph" w:styleId="NormalWeb">
    <w:name w:val="Normal (Web)"/>
    <w:basedOn w:val="Normal"/>
    <w:rsid w:val="001B408C"/>
    <w:pPr>
      <w:spacing w:before="100" w:beforeAutospacing="1" w:after="100" w:afterAutospacing="1"/>
    </w:pPr>
  </w:style>
  <w:style w:type="paragraph" w:styleId="z-TopofForm">
    <w:name w:val="HTML Top of Form"/>
    <w:basedOn w:val="Normal"/>
    <w:next w:val="Normal"/>
    <w:hidden/>
    <w:rsid w:val="001B408C"/>
    <w:pPr>
      <w:pBdr>
        <w:bottom w:val="single" w:sz="6" w:space="1" w:color="auto"/>
      </w:pBdr>
      <w:jc w:val="center"/>
    </w:pPr>
    <w:rPr>
      <w:rFonts w:ascii="Arial" w:hAnsi="Arial" w:cs="Arial"/>
      <w:vanish/>
      <w:sz w:val="16"/>
      <w:szCs w:val="16"/>
    </w:rPr>
  </w:style>
  <w:style w:type="character" w:styleId="Strong">
    <w:name w:val="Strong"/>
    <w:qFormat/>
    <w:rsid w:val="001B408C"/>
    <w:rPr>
      <w:b/>
      <w:bCs/>
    </w:rPr>
  </w:style>
  <w:style w:type="character" w:styleId="Emphasis">
    <w:name w:val="Emphasis"/>
    <w:qFormat/>
    <w:rsid w:val="001B408C"/>
    <w:rPr>
      <w:i/>
      <w:iCs/>
    </w:rPr>
  </w:style>
  <w:style w:type="paragraph" w:styleId="z-BottomofForm">
    <w:name w:val="HTML Bottom of Form"/>
    <w:basedOn w:val="Normal"/>
    <w:next w:val="Normal"/>
    <w:hidden/>
    <w:rsid w:val="001B408C"/>
    <w:pPr>
      <w:pBdr>
        <w:top w:val="single" w:sz="6" w:space="1" w:color="auto"/>
      </w:pBdr>
      <w:jc w:val="center"/>
    </w:pPr>
    <w:rPr>
      <w:rFonts w:ascii="Arial" w:hAnsi="Arial" w:cs="Arial"/>
      <w:vanish/>
      <w:sz w:val="16"/>
      <w:szCs w:val="16"/>
    </w:rPr>
  </w:style>
  <w:style w:type="paragraph" w:customStyle="1" w:styleId="currency">
    <w:name w:val="currency"/>
    <w:basedOn w:val="Normal"/>
    <w:rsid w:val="001B408C"/>
    <w:pPr>
      <w:spacing w:before="100" w:beforeAutospacing="1" w:after="100" w:afterAutospacing="1"/>
    </w:pPr>
  </w:style>
  <w:style w:type="paragraph" w:customStyle="1" w:styleId="Bodytextnew">
    <w:name w:val="Body text (new)"/>
    <w:basedOn w:val="Normal"/>
    <w:link w:val="BodytextnewCharChar"/>
    <w:rsid w:val="00075F8A"/>
    <w:pPr>
      <w:spacing w:before="240" w:after="240" w:line="360" w:lineRule="auto"/>
      <w:jc w:val="both"/>
    </w:pPr>
    <w:rPr>
      <w:rFonts w:ascii="Verdana" w:hAnsi="Verdana"/>
      <w:color w:val="1D174F"/>
      <w:sz w:val="18"/>
      <w:szCs w:val="20"/>
      <w:lang w:val="en-AU"/>
    </w:rPr>
  </w:style>
  <w:style w:type="character" w:customStyle="1" w:styleId="BodytextnewCharChar">
    <w:name w:val="Body text (new) Char Char"/>
    <w:link w:val="Bodytextnew"/>
    <w:rsid w:val="00075F8A"/>
    <w:rPr>
      <w:rFonts w:ascii="Verdana" w:hAnsi="Verdana"/>
      <w:color w:val="1D174F"/>
      <w:sz w:val="18"/>
      <w:lang w:val="en-AU" w:eastAsia="en-US" w:bidi="ar-SA"/>
    </w:rPr>
  </w:style>
  <w:style w:type="paragraph" w:styleId="Header">
    <w:name w:val="header"/>
    <w:basedOn w:val="Normal"/>
    <w:link w:val="HeaderChar"/>
    <w:rsid w:val="009647FA"/>
    <w:pPr>
      <w:tabs>
        <w:tab w:val="center" w:pos="4680"/>
        <w:tab w:val="right" w:pos="9360"/>
      </w:tabs>
    </w:pPr>
  </w:style>
  <w:style w:type="character" w:customStyle="1" w:styleId="HeaderChar">
    <w:name w:val="Header Char"/>
    <w:link w:val="Header"/>
    <w:rsid w:val="009647FA"/>
    <w:rPr>
      <w:sz w:val="24"/>
      <w:szCs w:val="24"/>
    </w:rPr>
  </w:style>
  <w:style w:type="paragraph" w:styleId="Footer">
    <w:name w:val="footer"/>
    <w:basedOn w:val="Normal"/>
    <w:link w:val="FooterChar"/>
    <w:uiPriority w:val="99"/>
    <w:rsid w:val="009647FA"/>
    <w:pPr>
      <w:tabs>
        <w:tab w:val="center" w:pos="4680"/>
        <w:tab w:val="right" w:pos="9360"/>
      </w:tabs>
    </w:pPr>
  </w:style>
  <w:style w:type="character" w:customStyle="1" w:styleId="FooterChar">
    <w:name w:val="Footer Char"/>
    <w:link w:val="Footer"/>
    <w:uiPriority w:val="99"/>
    <w:rsid w:val="009647FA"/>
    <w:rPr>
      <w:sz w:val="24"/>
      <w:szCs w:val="24"/>
    </w:rPr>
  </w:style>
  <w:style w:type="paragraph" w:styleId="BalloonText">
    <w:name w:val="Balloon Text"/>
    <w:basedOn w:val="Normal"/>
    <w:semiHidden/>
    <w:rsid w:val="006E2AE0"/>
    <w:rPr>
      <w:rFonts w:ascii="Tahoma" w:hAnsi="Tahoma" w:cs="Tahoma"/>
      <w:sz w:val="16"/>
      <w:szCs w:val="16"/>
    </w:rPr>
  </w:style>
  <w:style w:type="character" w:styleId="CommentReference">
    <w:name w:val="annotation reference"/>
    <w:semiHidden/>
    <w:rsid w:val="006E2AE0"/>
    <w:rPr>
      <w:sz w:val="16"/>
      <w:szCs w:val="16"/>
    </w:rPr>
  </w:style>
  <w:style w:type="paragraph" w:styleId="CommentText">
    <w:name w:val="annotation text"/>
    <w:basedOn w:val="Normal"/>
    <w:semiHidden/>
    <w:rsid w:val="006E2AE0"/>
    <w:rPr>
      <w:sz w:val="20"/>
      <w:szCs w:val="20"/>
    </w:rPr>
  </w:style>
  <w:style w:type="paragraph" w:styleId="CommentSubject">
    <w:name w:val="annotation subject"/>
    <w:basedOn w:val="CommentText"/>
    <w:next w:val="CommentText"/>
    <w:semiHidden/>
    <w:rsid w:val="006E2AE0"/>
    <w:rPr>
      <w:b/>
      <w:bCs/>
    </w:rPr>
  </w:style>
  <w:style w:type="paragraph" w:styleId="ListParagraph">
    <w:name w:val="List Paragraph"/>
    <w:basedOn w:val="Normal"/>
    <w:uiPriority w:val="34"/>
    <w:qFormat/>
    <w:rsid w:val="0033276B"/>
    <w:pPr>
      <w:ind w:left="720"/>
      <w:contextualSpacing/>
    </w:pPr>
  </w:style>
  <w:style w:type="paragraph" w:styleId="FootnoteText">
    <w:name w:val="footnote text"/>
    <w:basedOn w:val="Normal"/>
    <w:link w:val="FootnoteTextChar"/>
    <w:rsid w:val="003E4CB4"/>
    <w:rPr>
      <w:sz w:val="20"/>
      <w:szCs w:val="20"/>
    </w:rPr>
  </w:style>
  <w:style w:type="character" w:customStyle="1" w:styleId="FootnoteTextChar">
    <w:name w:val="Footnote Text Char"/>
    <w:basedOn w:val="DefaultParagraphFont"/>
    <w:link w:val="FootnoteText"/>
    <w:rsid w:val="003E4CB4"/>
    <w:rPr>
      <w:lang w:val="en-US" w:eastAsia="en-US"/>
    </w:rPr>
  </w:style>
  <w:style w:type="character" w:styleId="FootnoteReference">
    <w:name w:val="footnote reference"/>
    <w:basedOn w:val="DefaultParagraphFont"/>
    <w:rsid w:val="003E4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289">
      <w:bodyDiv w:val="1"/>
      <w:marLeft w:val="0"/>
      <w:marRight w:val="0"/>
      <w:marTop w:val="0"/>
      <w:marBottom w:val="0"/>
      <w:divBdr>
        <w:top w:val="none" w:sz="0" w:space="0" w:color="auto"/>
        <w:left w:val="none" w:sz="0" w:space="0" w:color="auto"/>
        <w:bottom w:val="none" w:sz="0" w:space="0" w:color="auto"/>
        <w:right w:val="none" w:sz="0" w:space="0" w:color="auto"/>
      </w:divBdr>
      <w:divsChild>
        <w:div w:id="662700456">
          <w:marLeft w:val="0"/>
          <w:marRight w:val="0"/>
          <w:marTop w:val="0"/>
          <w:marBottom w:val="0"/>
          <w:divBdr>
            <w:top w:val="none" w:sz="0" w:space="0" w:color="auto"/>
            <w:left w:val="none" w:sz="0" w:space="0" w:color="auto"/>
            <w:bottom w:val="none" w:sz="0" w:space="0" w:color="auto"/>
            <w:right w:val="none" w:sz="0" w:space="0" w:color="auto"/>
          </w:divBdr>
          <w:divsChild>
            <w:div w:id="1175341032">
              <w:marLeft w:val="0"/>
              <w:marRight w:val="0"/>
              <w:marTop w:val="0"/>
              <w:marBottom w:val="0"/>
              <w:divBdr>
                <w:top w:val="none" w:sz="0" w:space="0" w:color="auto"/>
                <w:left w:val="none" w:sz="0" w:space="0" w:color="auto"/>
                <w:bottom w:val="none" w:sz="0" w:space="0" w:color="auto"/>
                <w:right w:val="none" w:sz="0" w:space="0" w:color="auto"/>
              </w:divBdr>
              <w:divsChild>
                <w:div w:id="1447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3827">
      <w:bodyDiv w:val="1"/>
      <w:marLeft w:val="0"/>
      <w:marRight w:val="0"/>
      <w:marTop w:val="0"/>
      <w:marBottom w:val="0"/>
      <w:divBdr>
        <w:top w:val="none" w:sz="0" w:space="0" w:color="auto"/>
        <w:left w:val="none" w:sz="0" w:space="0" w:color="auto"/>
        <w:bottom w:val="none" w:sz="0" w:space="0" w:color="auto"/>
        <w:right w:val="none" w:sz="0" w:space="0" w:color="auto"/>
      </w:divBdr>
      <w:divsChild>
        <w:div w:id="593244741">
          <w:marLeft w:val="0"/>
          <w:marRight w:val="0"/>
          <w:marTop w:val="0"/>
          <w:marBottom w:val="0"/>
          <w:divBdr>
            <w:top w:val="none" w:sz="0" w:space="0" w:color="auto"/>
            <w:left w:val="none" w:sz="0" w:space="0" w:color="auto"/>
            <w:bottom w:val="none" w:sz="0" w:space="0" w:color="auto"/>
            <w:right w:val="none" w:sz="0" w:space="0" w:color="auto"/>
          </w:divBdr>
          <w:divsChild>
            <w:div w:id="1735733609">
              <w:marLeft w:val="0"/>
              <w:marRight w:val="0"/>
              <w:marTop w:val="0"/>
              <w:marBottom w:val="0"/>
              <w:divBdr>
                <w:top w:val="none" w:sz="0" w:space="0" w:color="auto"/>
                <w:left w:val="none" w:sz="0" w:space="0" w:color="auto"/>
                <w:bottom w:val="none" w:sz="0" w:space="0" w:color="auto"/>
                <w:right w:val="none" w:sz="0" w:space="0" w:color="auto"/>
              </w:divBdr>
              <w:divsChild>
                <w:div w:id="473525618">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 w:id="1204487299">
      <w:bodyDiv w:val="1"/>
      <w:marLeft w:val="0"/>
      <w:marRight w:val="0"/>
      <w:marTop w:val="0"/>
      <w:marBottom w:val="0"/>
      <w:divBdr>
        <w:top w:val="none" w:sz="0" w:space="0" w:color="auto"/>
        <w:left w:val="none" w:sz="0" w:space="0" w:color="auto"/>
        <w:bottom w:val="none" w:sz="0" w:space="0" w:color="auto"/>
        <w:right w:val="none" w:sz="0" w:space="0" w:color="auto"/>
      </w:divBdr>
      <w:divsChild>
        <w:div w:id="1328941455">
          <w:marLeft w:val="0"/>
          <w:marRight w:val="0"/>
          <w:marTop w:val="0"/>
          <w:marBottom w:val="0"/>
          <w:divBdr>
            <w:top w:val="none" w:sz="0" w:space="0" w:color="auto"/>
            <w:left w:val="none" w:sz="0" w:space="0" w:color="auto"/>
            <w:bottom w:val="none" w:sz="0" w:space="0" w:color="auto"/>
            <w:right w:val="none" w:sz="0" w:space="0" w:color="auto"/>
          </w:divBdr>
          <w:divsChild>
            <w:div w:id="980576012">
              <w:marLeft w:val="0"/>
              <w:marRight w:val="0"/>
              <w:marTop w:val="0"/>
              <w:marBottom w:val="0"/>
              <w:divBdr>
                <w:top w:val="none" w:sz="0" w:space="0" w:color="auto"/>
                <w:left w:val="none" w:sz="0" w:space="0" w:color="auto"/>
                <w:bottom w:val="none" w:sz="0" w:space="0" w:color="auto"/>
                <w:right w:val="none" w:sz="0" w:space="0" w:color="auto"/>
              </w:divBdr>
              <w:divsChild>
                <w:div w:id="3170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0095">
      <w:bodyDiv w:val="1"/>
      <w:marLeft w:val="0"/>
      <w:marRight w:val="0"/>
      <w:marTop w:val="0"/>
      <w:marBottom w:val="0"/>
      <w:divBdr>
        <w:top w:val="none" w:sz="0" w:space="0" w:color="auto"/>
        <w:left w:val="none" w:sz="0" w:space="0" w:color="auto"/>
        <w:bottom w:val="none" w:sz="0" w:space="0" w:color="auto"/>
        <w:right w:val="none" w:sz="0" w:space="0" w:color="auto"/>
      </w:divBdr>
      <w:divsChild>
        <w:div w:id="112987446">
          <w:marLeft w:val="0"/>
          <w:marRight w:val="0"/>
          <w:marTop w:val="0"/>
          <w:marBottom w:val="0"/>
          <w:divBdr>
            <w:top w:val="none" w:sz="0" w:space="0" w:color="auto"/>
            <w:left w:val="none" w:sz="0" w:space="0" w:color="auto"/>
            <w:bottom w:val="none" w:sz="0" w:space="0" w:color="auto"/>
            <w:right w:val="none" w:sz="0" w:space="0" w:color="auto"/>
          </w:divBdr>
          <w:divsChild>
            <w:div w:id="1474062280">
              <w:marLeft w:val="0"/>
              <w:marRight w:val="0"/>
              <w:marTop w:val="0"/>
              <w:marBottom w:val="0"/>
              <w:divBdr>
                <w:top w:val="none" w:sz="0" w:space="0" w:color="auto"/>
                <w:left w:val="none" w:sz="0" w:space="0" w:color="auto"/>
                <w:bottom w:val="none" w:sz="0" w:space="0" w:color="auto"/>
                <w:right w:val="none" w:sz="0" w:space="0" w:color="auto"/>
              </w:divBdr>
            </w:div>
            <w:div w:id="1888839454">
              <w:marLeft w:val="0"/>
              <w:marRight w:val="0"/>
              <w:marTop w:val="0"/>
              <w:marBottom w:val="0"/>
              <w:divBdr>
                <w:top w:val="none" w:sz="0" w:space="0" w:color="auto"/>
                <w:left w:val="none" w:sz="0" w:space="0" w:color="auto"/>
                <w:bottom w:val="none" w:sz="0" w:space="0" w:color="auto"/>
                <w:right w:val="none" w:sz="0" w:space="0" w:color="auto"/>
              </w:divBdr>
              <w:divsChild>
                <w:div w:id="362218532">
                  <w:marLeft w:val="0"/>
                  <w:marRight w:val="0"/>
                  <w:marTop w:val="0"/>
                  <w:marBottom w:val="0"/>
                  <w:divBdr>
                    <w:top w:val="none" w:sz="0" w:space="0" w:color="auto"/>
                    <w:left w:val="none" w:sz="0" w:space="0" w:color="auto"/>
                    <w:bottom w:val="none" w:sz="0" w:space="0" w:color="auto"/>
                    <w:right w:val="none" w:sz="0" w:space="0" w:color="auto"/>
                  </w:divBdr>
                  <w:divsChild>
                    <w:div w:id="13566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5219">
      <w:bodyDiv w:val="1"/>
      <w:marLeft w:val="0"/>
      <w:marRight w:val="0"/>
      <w:marTop w:val="0"/>
      <w:marBottom w:val="0"/>
      <w:divBdr>
        <w:top w:val="none" w:sz="0" w:space="0" w:color="auto"/>
        <w:left w:val="none" w:sz="0" w:space="0" w:color="auto"/>
        <w:bottom w:val="none" w:sz="0" w:space="0" w:color="auto"/>
        <w:right w:val="none" w:sz="0" w:space="0" w:color="auto"/>
      </w:divBdr>
      <w:divsChild>
        <w:div w:id="513879910">
          <w:marLeft w:val="0"/>
          <w:marRight w:val="0"/>
          <w:marTop w:val="0"/>
          <w:marBottom w:val="0"/>
          <w:divBdr>
            <w:top w:val="none" w:sz="0" w:space="0" w:color="auto"/>
            <w:left w:val="none" w:sz="0" w:space="0" w:color="auto"/>
            <w:bottom w:val="none" w:sz="0" w:space="0" w:color="auto"/>
            <w:right w:val="none" w:sz="0" w:space="0" w:color="auto"/>
          </w:divBdr>
          <w:divsChild>
            <w:div w:id="1555235290">
              <w:marLeft w:val="0"/>
              <w:marRight w:val="0"/>
              <w:marTop w:val="0"/>
              <w:marBottom w:val="0"/>
              <w:divBdr>
                <w:top w:val="none" w:sz="0" w:space="0" w:color="auto"/>
                <w:left w:val="none" w:sz="0" w:space="0" w:color="auto"/>
                <w:bottom w:val="none" w:sz="0" w:space="0" w:color="auto"/>
                <w:right w:val="none" w:sz="0" w:space="0" w:color="auto"/>
              </w:divBdr>
              <w:divsChild>
                <w:div w:id="1958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A196-F83E-4E2C-B0DE-4D12F5DB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1522</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Medical Services Advisory Committee (MSAC)</vt:lpstr>
    </vt:vector>
  </TitlesOfParts>
  <Company>DHA</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(MSAC)</dc:title>
  <dc:creator>Natalie Barbir</dc:creator>
  <cp:lastModifiedBy>McCandless Sean</cp:lastModifiedBy>
  <cp:revision>2</cp:revision>
  <cp:lastPrinted>2014-10-10T04:55:00Z</cp:lastPrinted>
  <dcterms:created xsi:type="dcterms:W3CDTF">2014-10-10T06:24:00Z</dcterms:created>
  <dcterms:modified xsi:type="dcterms:W3CDTF">2014-10-10T06:24:00Z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