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25E94" w14:textId="77777777"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E088C83" wp14:editId="090361C6">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4433BEA" w14:textId="77777777" w:rsidR="00BC1364" w:rsidRPr="008D5885" w:rsidRDefault="00BC1364" w:rsidP="008D5885"/>
    <w:p w14:paraId="325E6C48" w14:textId="77777777" w:rsidR="00C67DD2" w:rsidRPr="008D5885" w:rsidRDefault="00C67DD2" w:rsidP="008D5885"/>
    <w:p w14:paraId="6B6CCBB0"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47CF0E5B" w14:textId="77777777" w:rsidR="00BC1364" w:rsidRPr="007B32D1" w:rsidRDefault="00BC1364" w:rsidP="007B32D1"/>
    <w:p w14:paraId="6D6696CB" w14:textId="77777777" w:rsidR="00BC1364" w:rsidRDefault="00BC1364" w:rsidP="00B93C1B">
      <w:pPr>
        <w:jc w:val="center"/>
        <w:rPr>
          <w:szCs w:val="24"/>
        </w:rPr>
      </w:pPr>
      <w:r w:rsidRPr="007B32D1">
        <w:rPr>
          <w:rFonts w:ascii="Arial" w:hAnsi="Arial" w:cs="Arial"/>
          <w:b/>
          <w:bCs/>
          <w:i/>
          <w:color w:val="000080"/>
          <w:sz w:val="28"/>
          <w:szCs w:val="28"/>
        </w:rPr>
        <w:t xml:space="preserve">Application No. </w:t>
      </w:r>
      <w:r w:rsidR="00B93C1B">
        <w:rPr>
          <w:rFonts w:ascii="Arial" w:hAnsi="Arial" w:cs="Arial"/>
          <w:b/>
          <w:bCs/>
          <w:i/>
          <w:color w:val="000080"/>
          <w:sz w:val="28"/>
          <w:szCs w:val="28"/>
        </w:rPr>
        <w:t xml:space="preserve">1394 </w:t>
      </w:r>
      <w:r w:rsidR="00B93C1B" w:rsidRPr="007B32D1">
        <w:rPr>
          <w:rFonts w:ascii="Arial" w:hAnsi="Arial" w:cs="Arial"/>
          <w:b/>
          <w:bCs/>
          <w:i/>
          <w:color w:val="000080"/>
          <w:sz w:val="28"/>
          <w:szCs w:val="28"/>
        </w:rPr>
        <w:t xml:space="preserve">– </w:t>
      </w:r>
      <w:r w:rsidR="00B93C1B">
        <w:rPr>
          <w:rFonts w:ascii="Arial" w:hAnsi="Arial" w:cs="Arial"/>
          <w:b/>
          <w:i/>
          <w:color w:val="000080"/>
          <w:sz w:val="28"/>
          <w:szCs w:val="28"/>
        </w:rPr>
        <w:t>C1 Esterase Inhibitor concentrate for hereditary angioedema</w:t>
      </w:r>
    </w:p>
    <w:p w14:paraId="13B3CC81" w14:textId="77777777" w:rsidR="00BC1364" w:rsidRPr="00707064" w:rsidRDefault="00BC1364" w:rsidP="00065623">
      <w:pPr>
        <w:tabs>
          <w:tab w:val="left" w:pos="3600"/>
        </w:tabs>
        <w:ind w:left="3600" w:hanging="3600"/>
        <w:rPr>
          <w:szCs w:val="24"/>
        </w:rPr>
      </w:pPr>
    </w:p>
    <w:p w14:paraId="73B933EC" w14:textId="0702023D" w:rsidR="00BC1364" w:rsidRPr="00D90A38" w:rsidRDefault="00B35595" w:rsidP="00B13659">
      <w:pPr>
        <w:tabs>
          <w:tab w:val="left" w:pos="3544"/>
        </w:tabs>
        <w:rPr>
          <w:rFonts w:ascii="Arial" w:hAnsi="Arial" w:cs="Arial"/>
          <w:b/>
          <w:szCs w:val="24"/>
        </w:rPr>
      </w:pPr>
      <w:r>
        <w:rPr>
          <w:rFonts w:ascii="Arial" w:hAnsi="Arial" w:cs="Arial"/>
          <w:b/>
          <w:szCs w:val="24"/>
        </w:rPr>
        <w:t>Applicant</w:t>
      </w:r>
      <w:r w:rsidR="00B13659">
        <w:rPr>
          <w:rFonts w:ascii="Arial" w:hAnsi="Arial" w:cs="Arial"/>
          <w:b/>
          <w:szCs w:val="24"/>
        </w:rPr>
        <w:t>:</w:t>
      </w:r>
      <w:r w:rsidR="00B13659">
        <w:rPr>
          <w:rFonts w:ascii="Arial" w:hAnsi="Arial" w:cs="Arial"/>
          <w:b/>
          <w:szCs w:val="24"/>
        </w:rPr>
        <w:tab/>
      </w:r>
      <w:r>
        <w:rPr>
          <w:rFonts w:ascii="Arial" w:hAnsi="Arial" w:cs="Arial"/>
          <w:b/>
          <w:szCs w:val="24"/>
        </w:rPr>
        <w:tab/>
      </w:r>
      <w:r w:rsidR="002F2D67">
        <w:rPr>
          <w:rFonts w:ascii="Arial" w:hAnsi="Arial" w:cs="Arial"/>
          <w:b/>
          <w:szCs w:val="24"/>
        </w:rPr>
        <w:t>Health Services</w:t>
      </w:r>
      <w:r w:rsidR="00B93C1B">
        <w:rPr>
          <w:rFonts w:ascii="Arial" w:hAnsi="Arial" w:cs="Arial"/>
          <w:b/>
          <w:szCs w:val="24"/>
        </w:rPr>
        <w:t xml:space="preserve"> Division</w:t>
      </w:r>
    </w:p>
    <w:p w14:paraId="2309D461" w14:textId="77777777" w:rsidR="00BC1364" w:rsidRPr="00D77AF7" w:rsidRDefault="00BC1364" w:rsidP="00065623">
      <w:pPr>
        <w:tabs>
          <w:tab w:val="left" w:pos="2265"/>
          <w:tab w:val="left" w:pos="3420"/>
          <w:tab w:val="left" w:pos="4320"/>
        </w:tabs>
      </w:pPr>
    </w:p>
    <w:p w14:paraId="4B255997"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93C1B">
        <w:rPr>
          <w:rFonts w:ascii="Arial" w:hAnsi="Arial" w:cs="Arial"/>
          <w:b/>
          <w:szCs w:val="24"/>
        </w:rPr>
        <w:t>64</w:t>
      </w:r>
      <w:r w:rsidR="00B93C1B" w:rsidRPr="00B93C1B">
        <w:rPr>
          <w:rFonts w:ascii="Arial" w:hAnsi="Arial" w:cs="Arial"/>
          <w:b/>
          <w:szCs w:val="24"/>
          <w:vertAlign w:val="superscript"/>
        </w:rPr>
        <w:t>th</w:t>
      </w:r>
      <w:r w:rsidR="00B93C1B">
        <w:rPr>
          <w:rFonts w:ascii="Arial" w:hAnsi="Arial" w:cs="Arial"/>
          <w:b/>
          <w:szCs w:val="24"/>
        </w:rPr>
        <w:t xml:space="preserve"> </w:t>
      </w:r>
      <w:r w:rsidRPr="00D90A38">
        <w:rPr>
          <w:rFonts w:ascii="Arial" w:hAnsi="Arial" w:cs="Arial"/>
          <w:b/>
          <w:szCs w:val="24"/>
        </w:rPr>
        <w:t xml:space="preserve">Meeting, </w:t>
      </w:r>
      <w:r w:rsidR="00B93C1B">
        <w:rPr>
          <w:rFonts w:ascii="Arial" w:hAnsi="Arial" w:cs="Arial"/>
          <w:b/>
          <w:szCs w:val="24"/>
        </w:rPr>
        <w:t>30-31 July 2015</w:t>
      </w:r>
    </w:p>
    <w:p w14:paraId="72EAD337" w14:textId="77777777" w:rsidR="00BC1364" w:rsidRDefault="00BC1364" w:rsidP="00065623">
      <w:pPr>
        <w:rPr>
          <w:szCs w:val="24"/>
        </w:rPr>
      </w:pPr>
    </w:p>
    <w:p w14:paraId="35B5CB42" w14:textId="4260D8B4" w:rsidR="0041758C" w:rsidRDefault="006A0D97" w:rsidP="00065623">
      <w:pPr>
        <w:rPr>
          <w:szCs w:val="24"/>
        </w:rPr>
      </w:pPr>
      <w:r>
        <w:rPr>
          <w:szCs w:val="24"/>
        </w:rPr>
        <w:t xml:space="preserve">Context for decision: MSAC makes its advice in accordance with its Terms of Reference, see at </w:t>
      </w:r>
      <w:hyperlink r:id="rId10" w:tooltip="MSAC weblink" w:history="1">
        <w:r w:rsidRPr="000A74FE">
          <w:rPr>
            <w:rStyle w:val="Hyperlink"/>
            <w:szCs w:val="24"/>
          </w:rPr>
          <w:t>www.msac.gov.au</w:t>
        </w:r>
      </w:hyperlink>
    </w:p>
    <w:p w14:paraId="1A437A92" w14:textId="77777777" w:rsidR="0041758C" w:rsidRDefault="0041758C" w:rsidP="00065623">
      <w:pPr>
        <w:rPr>
          <w:szCs w:val="24"/>
        </w:rPr>
      </w:pPr>
    </w:p>
    <w:p w14:paraId="29C1F37B" w14:textId="77777777" w:rsidR="00F41812" w:rsidRDefault="00F41812" w:rsidP="00065623">
      <w:pPr>
        <w:rPr>
          <w:szCs w:val="24"/>
        </w:rPr>
      </w:pPr>
    </w:p>
    <w:p w14:paraId="10A67141"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5C538D99" w14:textId="77777777" w:rsidR="003D7F29" w:rsidRPr="00D77AF7" w:rsidRDefault="003D7F29" w:rsidP="00D77AF7">
      <w:pPr>
        <w:tabs>
          <w:tab w:val="left" w:pos="720"/>
          <w:tab w:val="left" w:pos="1140"/>
        </w:tabs>
        <w:rPr>
          <w:bCs/>
          <w:szCs w:val="24"/>
        </w:rPr>
      </w:pPr>
    </w:p>
    <w:p w14:paraId="0C6C0F43" w14:textId="77777777" w:rsidR="008F79CC" w:rsidRPr="00547BCC" w:rsidRDefault="008F79CC" w:rsidP="008F79CC">
      <w:pPr>
        <w:tabs>
          <w:tab w:val="num" w:pos="426"/>
        </w:tabs>
      </w:pPr>
      <w:r>
        <w:t xml:space="preserve">Two applications were received by the National Blood Authority (NBA) for the inclusion of C1 esterase inhibitor (C1-INH) </w:t>
      </w:r>
      <w:r w:rsidR="00D932DD">
        <w:t xml:space="preserve">concentrate </w:t>
      </w:r>
      <w:r>
        <w:t xml:space="preserve">in the </w:t>
      </w:r>
      <w:r w:rsidRPr="00703F32">
        <w:t>National Product and Services List</w:t>
      </w:r>
      <w:r>
        <w:t xml:space="preserve"> (NPSL) for the management of hereditary angioedema (HAE).</w:t>
      </w:r>
    </w:p>
    <w:p w14:paraId="2892274D" w14:textId="77777777" w:rsidR="003D7F29" w:rsidRPr="00D77AF7" w:rsidRDefault="003D7F29" w:rsidP="003D7F29">
      <w:pPr>
        <w:rPr>
          <w:szCs w:val="24"/>
        </w:rPr>
      </w:pPr>
    </w:p>
    <w:p w14:paraId="09FA8407" w14:textId="77777777" w:rsidR="00E977EE" w:rsidRDefault="00E977EE" w:rsidP="00E977EE">
      <w:pPr>
        <w:pStyle w:val="Heading1"/>
        <w:numPr>
          <w:ilvl w:val="0"/>
          <w:numId w:val="23"/>
        </w:numPr>
        <w:ind w:hanging="720"/>
      </w:pPr>
      <w:r w:rsidRPr="008D5885">
        <w:t>MSAC’s advice to the Minister</w:t>
      </w:r>
    </w:p>
    <w:p w14:paraId="6AA7A5DB" w14:textId="77777777" w:rsidR="00D77AF7" w:rsidRDefault="00D77AF7" w:rsidP="00D77AF7">
      <w:pPr>
        <w:rPr>
          <w:szCs w:val="24"/>
        </w:rPr>
      </w:pPr>
    </w:p>
    <w:p w14:paraId="3C92ADEE" w14:textId="1DEA6F22" w:rsidR="00D77AF7" w:rsidRPr="00D77AF7" w:rsidRDefault="00D77AF7" w:rsidP="00D77AF7">
      <w:pPr>
        <w:rPr>
          <w:szCs w:val="24"/>
        </w:rPr>
      </w:pPr>
      <w:r w:rsidRPr="00D77AF7">
        <w:rPr>
          <w:szCs w:val="24"/>
        </w:rPr>
        <w:t xml:space="preserve">After considering the </w:t>
      </w:r>
      <w:r>
        <w:rPr>
          <w:szCs w:val="24"/>
        </w:rPr>
        <w:t xml:space="preserve">strength of the </w:t>
      </w:r>
      <w:r w:rsidRPr="00D77AF7">
        <w:rPr>
          <w:szCs w:val="24"/>
        </w:rPr>
        <w:t xml:space="preserve">available evidence presented in relation to safety, clinical effectiveness and cost-effectiveness of C1 </w:t>
      </w:r>
      <w:r w:rsidR="00E12272">
        <w:rPr>
          <w:szCs w:val="24"/>
        </w:rPr>
        <w:t>e</w:t>
      </w:r>
      <w:r w:rsidRPr="00D77AF7">
        <w:rPr>
          <w:szCs w:val="24"/>
        </w:rPr>
        <w:t>sterase inhibitor</w:t>
      </w:r>
      <w:r w:rsidR="00E12272">
        <w:rPr>
          <w:szCs w:val="24"/>
        </w:rPr>
        <w:t xml:space="preserve"> concentrate</w:t>
      </w:r>
      <w:r w:rsidRPr="00D77AF7">
        <w:rPr>
          <w:szCs w:val="24"/>
        </w:rPr>
        <w:t xml:space="preserve">, MSAC advised the Minister and the Jurisdictional Blood Committee (JBC) that it supported listing C1 esterase inhibitor concentrate in the National Products and Services </w:t>
      </w:r>
      <w:r w:rsidR="002F2D67">
        <w:rPr>
          <w:szCs w:val="24"/>
        </w:rPr>
        <w:t>L</w:t>
      </w:r>
      <w:r w:rsidRPr="00D77AF7">
        <w:rPr>
          <w:szCs w:val="24"/>
        </w:rPr>
        <w:t>ist (NPSL) under the National Blood Agreement (NBA) for the treatment of acute attacks of Types I or II hereditary angioedema, with pricing determined on a cost-minimisation basis against icatibant.</w:t>
      </w:r>
    </w:p>
    <w:p w14:paraId="62276876" w14:textId="77777777" w:rsidR="00D77AF7" w:rsidRPr="00D77AF7" w:rsidRDefault="00D77AF7" w:rsidP="00D77AF7">
      <w:pPr>
        <w:rPr>
          <w:szCs w:val="24"/>
        </w:rPr>
      </w:pPr>
    </w:p>
    <w:p w14:paraId="1CDF7161" w14:textId="78033575" w:rsidR="00D77AF7" w:rsidRPr="00D77AF7" w:rsidRDefault="00D77AF7" w:rsidP="00D77AF7">
      <w:pPr>
        <w:rPr>
          <w:szCs w:val="24"/>
        </w:rPr>
      </w:pPr>
      <w:r w:rsidRPr="00D77AF7">
        <w:rPr>
          <w:szCs w:val="24"/>
        </w:rPr>
        <w:t xml:space="preserve">MSAC </w:t>
      </w:r>
      <w:r w:rsidR="00E12272">
        <w:rPr>
          <w:szCs w:val="24"/>
        </w:rPr>
        <w:t xml:space="preserve">further </w:t>
      </w:r>
      <w:r w:rsidRPr="00D77AF7">
        <w:rPr>
          <w:szCs w:val="24"/>
        </w:rPr>
        <w:t>advised that C1 esterase inhibitor concentrate should also be listed in the NPSL for pre-procedural and routine prophylaxis of Types I and II hereditary angioedema at this reduced price</w:t>
      </w:r>
      <w:r w:rsidR="00DF6470">
        <w:rPr>
          <w:szCs w:val="24"/>
        </w:rPr>
        <w:t>.</w:t>
      </w:r>
      <w:r w:rsidRPr="00D77AF7">
        <w:rPr>
          <w:szCs w:val="24"/>
        </w:rPr>
        <w:t xml:space="preserve"> </w:t>
      </w:r>
      <w:r w:rsidR="00DF6470">
        <w:rPr>
          <w:szCs w:val="24"/>
        </w:rPr>
        <w:t>C</w:t>
      </w:r>
      <w:r w:rsidRPr="00D77AF7">
        <w:rPr>
          <w:szCs w:val="24"/>
        </w:rPr>
        <w:t xml:space="preserve">onsistent with </w:t>
      </w:r>
      <w:r w:rsidR="00DF6470">
        <w:rPr>
          <w:szCs w:val="24"/>
        </w:rPr>
        <w:t xml:space="preserve">the </w:t>
      </w:r>
      <w:r w:rsidRPr="00D77AF7">
        <w:rPr>
          <w:szCs w:val="24"/>
        </w:rPr>
        <w:t>TGA approval</w:t>
      </w:r>
      <w:r w:rsidR="00DF6470">
        <w:rPr>
          <w:szCs w:val="24"/>
        </w:rPr>
        <w:t xml:space="preserve">s, this advice in relation to prophylaxis only applies to the </w:t>
      </w:r>
      <w:proofErr w:type="spellStart"/>
      <w:r w:rsidR="00DF6470">
        <w:rPr>
          <w:szCs w:val="24"/>
        </w:rPr>
        <w:t>Cinryze</w:t>
      </w:r>
      <w:proofErr w:type="spellEnd"/>
      <w:r w:rsidR="00DF6470">
        <w:rPr>
          <w:szCs w:val="24"/>
        </w:rPr>
        <w:t xml:space="preserve"> product</w:t>
      </w:r>
      <w:r w:rsidRPr="00D77AF7">
        <w:rPr>
          <w:szCs w:val="24"/>
        </w:rPr>
        <w:t xml:space="preserve">. MSAC </w:t>
      </w:r>
      <w:r w:rsidR="00E12272">
        <w:rPr>
          <w:szCs w:val="24"/>
        </w:rPr>
        <w:t>also</w:t>
      </w:r>
      <w:r w:rsidRPr="00D77AF7">
        <w:rPr>
          <w:szCs w:val="24"/>
        </w:rPr>
        <w:t xml:space="preserve"> advised that guidance should be given to prescribers that </w:t>
      </w:r>
      <w:r w:rsidR="0009417D">
        <w:rPr>
          <w:szCs w:val="24"/>
        </w:rPr>
        <w:t xml:space="preserve">pre-procedural prophylaxis should be limited to at-risk surgery and that </w:t>
      </w:r>
      <w:r w:rsidRPr="00D77AF7">
        <w:rPr>
          <w:szCs w:val="24"/>
        </w:rPr>
        <w:t>routine prophylaxis is only justified in terms of cost-effectiveness beyond a pre-prophylaxis rate of 8 acute attacks per month</w:t>
      </w:r>
      <w:r w:rsidR="0009417D">
        <w:rPr>
          <w:szCs w:val="24"/>
        </w:rPr>
        <w:t>. MSAC suggested</w:t>
      </w:r>
      <w:r w:rsidRPr="00D77AF7">
        <w:rPr>
          <w:szCs w:val="24"/>
        </w:rPr>
        <w:t xml:space="preserve"> that consideration should be given to introducing a rebating arrangement such that any expenditure on C1 esterase inhibitor concentrate beyond the financial projections </w:t>
      </w:r>
      <w:proofErr w:type="gramStart"/>
      <w:r w:rsidRPr="00D77AF7">
        <w:rPr>
          <w:szCs w:val="24"/>
        </w:rPr>
        <w:t>are</w:t>
      </w:r>
      <w:proofErr w:type="gramEnd"/>
      <w:r w:rsidRPr="00D77AF7">
        <w:rPr>
          <w:szCs w:val="24"/>
        </w:rPr>
        <w:t xml:space="preserve"> borne by Shire.</w:t>
      </w:r>
    </w:p>
    <w:p w14:paraId="430D490A" w14:textId="77777777" w:rsidR="00D77AF7" w:rsidRPr="00D77AF7" w:rsidRDefault="00D77AF7" w:rsidP="00D77AF7">
      <w:pPr>
        <w:rPr>
          <w:szCs w:val="24"/>
        </w:rPr>
      </w:pPr>
    </w:p>
    <w:p w14:paraId="6FB7E450" w14:textId="5D6C9B90" w:rsidR="00D77AF7" w:rsidRPr="00D77AF7" w:rsidRDefault="00D77AF7" w:rsidP="00D77AF7">
      <w:pPr>
        <w:rPr>
          <w:szCs w:val="24"/>
        </w:rPr>
      </w:pPr>
      <w:r w:rsidRPr="00D77AF7">
        <w:rPr>
          <w:szCs w:val="24"/>
        </w:rPr>
        <w:t xml:space="preserve">MSAC recommended that the JBC/NBA work with the Australasian Society of Clinical Immunology and Allergy (ASCIA) to develop guidelines and governance arrangements for use of C1 esterase inhibitor </w:t>
      </w:r>
      <w:r w:rsidR="00D932DD">
        <w:rPr>
          <w:szCs w:val="24"/>
        </w:rPr>
        <w:t xml:space="preserve">concentrate </w:t>
      </w:r>
      <w:r w:rsidR="005A0E68">
        <w:rPr>
          <w:szCs w:val="24"/>
        </w:rPr>
        <w:t>for the clinical circumstances which reflect MSAC’s</w:t>
      </w:r>
      <w:r w:rsidRPr="00D77AF7">
        <w:rPr>
          <w:szCs w:val="24"/>
        </w:rPr>
        <w:t xml:space="preserve"> advice.</w:t>
      </w:r>
    </w:p>
    <w:p w14:paraId="3F2CD25A" w14:textId="77777777" w:rsidR="00550354" w:rsidRDefault="00550354" w:rsidP="00550354">
      <w:pPr>
        <w:pStyle w:val="Heading1"/>
        <w:numPr>
          <w:ilvl w:val="0"/>
          <w:numId w:val="23"/>
        </w:numPr>
        <w:ind w:hanging="720"/>
      </w:pPr>
      <w:r w:rsidRPr="008D5885">
        <w:lastRenderedPageBreak/>
        <w:t>Summary of consideration and rationale for MSAC’s advice</w:t>
      </w:r>
    </w:p>
    <w:p w14:paraId="358E8BDB" w14:textId="77777777" w:rsidR="00550354" w:rsidRDefault="00550354" w:rsidP="00550354">
      <w:pPr>
        <w:rPr>
          <w:szCs w:val="24"/>
        </w:rPr>
      </w:pPr>
    </w:p>
    <w:p w14:paraId="38981D23" w14:textId="77777777" w:rsidR="00D77AF7" w:rsidRDefault="00D77AF7" w:rsidP="00D77AF7">
      <w:r>
        <w:t xml:space="preserve">MSAC noted that hereditary angioedema is a rare disorder that has a prevalent pool of </w:t>
      </w:r>
      <w:r w:rsidR="00536B04">
        <w:t xml:space="preserve">about </w:t>
      </w:r>
      <w:r>
        <w:t>500 individuals in Australia with around 100 individuals requiring treatment annually. It was also noted that, although there is a variable spectrum of disease, the involvement of the airways can be life threatening. MSAC also noted that C1 esterase inhibitor concentrate is currently available to be injected in a hospital setting.</w:t>
      </w:r>
    </w:p>
    <w:p w14:paraId="3EA2939E" w14:textId="77777777" w:rsidR="00D77AF7" w:rsidRDefault="00D77AF7" w:rsidP="00D77AF7"/>
    <w:p w14:paraId="7E05EE4F" w14:textId="2A98D894" w:rsidR="00D77AF7" w:rsidRDefault="00D77AF7" w:rsidP="00D77AF7">
      <w:r>
        <w:t xml:space="preserve">MSAC noted that the clinical need </w:t>
      </w:r>
      <w:r w:rsidR="00A36F84">
        <w:t xml:space="preserve">appears evident </w:t>
      </w:r>
      <w:r>
        <w:t>because it is already in use as a first-line alternative to subcutaneous icatibant for acute attacks, and as a second-line option for pre-procedural and routine prophylaxis of hereditary angioedema. MSAC accepted that, although icatibant is not effective for pre-procedural or routine prophylaxis due to its short half-life, icatibant is the appropriate comparator for acute attacks.</w:t>
      </w:r>
    </w:p>
    <w:p w14:paraId="44944BB4" w14:textId="77777777" w:rsidR="00D77AF7" w:rsidRDefault="00D77AF7" w:rsidP="00D77AF7"/>
    <w:p w14:paraId="08290DBD" w14:textId="77777777" w:rsidR="00D77AF7" w:rsidRDefault="00D77AF7" w:rsidP="00D77AF7">
      <w:r>
        <w:t>MSAC noted that the C1 esterase inhibitor concentrates are derived from human plasma with similar safety to icatibant, noting that no cases of blood borne disease have been reported following use of the concentrate despite the theoretical risk.</w:t>
      </w:r>
    </w:p>
    <w:p w14:paraId="2A00BADE" w14:textId="77777777" w:rsidR="00D77AF7" w:rsidRDefault="00D77AF7" w:rsidP="00D77AF7"/>
    <w:p w14:paraId="790D9AC1" w14:textId="172B3F7B" w:rsidR="00D77AF7" w:rsidRDefault="00D77AF7" w:rsidP="00D77AF7">
      <w:r>
        <w:t xml:space="preserve">MSAC concluded that it had moderate confidence </w:t>
      </w:r>
      <w:r w:rsidR="005A0E68">
        <w:t xml:space="preserve">that the use of C1 esterase inhibitor concentrates offered </w:t>
      </w:r>
      <w:r>
        <w:t xml:space="preserve">clinically important improvements over placebo for </w:t>
      </w:r>
      <w:r w:rsidR="005A0E68">
        <w:t xml:space="preserve">the treatment of </w:t>
      </w:r>
      <w:r>
        <w:t>acute attacks</w:t>
      </w:r>
      <w:r w:rsidR="005A0E68">
        <w:t xml:space="preserve"> of hereditary angioedema</w:t>
      </w:r>
      <w:r>
        <w:t>. MSAC noted that the comparative effectiveness against icatibant is uncertain due to the small trials involved in the indirect comparisons, with varying baseline characteristics of participants and varying outcome measures. MSAC noted that there is a view that the mode of action of C1 esterase inhibitor concentrate is more physiological than that of icatibant.</w:t>
      </w:r>
    </w:p>
    <w:p w14:paraId="19F6E297" w14:textId="77777777" w:rsidR="00D77AF7" w:rsidRDefault="00D77AF7" w:rsidP="00D77AF7"/>
    <w:p w14:paraId="2F5F73BA" w14:textId="35755597" w:rsidR="00D77AF7" w:rsidRDefault="00D77AF7" w:rsidP="00D77AF7">
      <w:r>
        <w:t xml:space="preserve">MSAC concluded that it had low confidence </w:t>
      </w:r>
      <w:r w:rsidR="005A0E68">
        <w:t xml:space="preserve">that the use of C1 esterase inhibitor concentrates offered </w:t>
      </w:r>
      <w:r>
        <w:t>clinically important improvements for pre-procedural and routine prophylaxis of hereditary angioedema. MSAC noted the small studies without an active comparator and only retrospective observational studies in pre-procedural prophylaxis.</w:t>
      </w:r>
    </w:p>
    <w:p w14:paraId="7BE77B3C" w14:textId="77777777" w:rsidR="00D77AF7" w:rsidRDefault="00D77AF7" w:rsidP="00D77AF7"/>
    <w:p w14:paraId="7A6FB6BD" w14:textId="77777777" w:rsidR="00D77AF7" w:rsidRDefault="00D77AF7" w:rsidP="00D77AF7">
      <w:r>
        <w:t>In relation to claims that C1 esterase inhibitor concentrates might be more suitable than its alternatives in paediatric, pregnant and lactating populations, MSAC noted that they relied on the TGA-approved product information documents, for which the most notable feature is the absence of clinical data for any of the alternatives in these populations.</w:t>
      </w:r>
    </w:p>
    <w:p w14:paraId="2AC259F0" w14:textId="77777777" w:rsidR="00D77AF7" w:rsidRDefault="00D77AF7" w:rsidP="00D77AF7"/>
    <w:p w14:paraId="7D01079A" w14:textId="77777777" w:rsidR="00D77AF7" w:rsidRDefault="00D77AF7" w:rsidP="00D77AF7">
      <w:r>
        <w:t>MSAC noted that despite training in intravenous self-administration for C1 esterase inhibitor concentrate, icatibant would still be more conveniently given by subcutaneous injection for acute attacks in remote and emergency situations.</w:t>
      </w:r>
    </w:p>
    <w:p w14:paraId="2B8DA0B9" w14:textId="77777777" w:rsidR="00D77AF7" w:rsidRDefault="00D77AF7" w:rsidP="00D77AF7"/>
    <w:p w14:paraId="735BA3C2" w14:textId="0382563F" w:rsidR="00D77AF7" w:rsidRDefault="00D77AF7" w:rsidP="00D77AF7">
      <w:r>
        <w:t xml:space="preserve">MSAC was concerned with the issue of patients stockpiling both C1 esterase inhibitor and icatibant at home to treat attacks, possibly using different treatments for different types of attacks. MSAC noted that this would add to the expense due to the increased risk of wastage if the dispensed product expires before it can be used, and therefore recommended that </w:t>
      </w:r>
      <w:r w:rsidR="002F2D67">
        <w:t>the NB</w:t>
      </w:r>
      <w:r w:rsidR="00103BB9">
        <w:t>A</w:t>
      </w:r>
      <w:r w:rsidR="002F2D67">
        <w:t xml:space="preserve"> </w:t>
      </w:r>
      <w:r>
        <w:t>take this into account when negotiating the pricing agreement with the sponsor.</w:t>
      </w:r>
    </w:p>
    <w:p w14:paraId="1DA63F6B" w14:textId="77777777" w:rsidR="00D77AF7" w:rsidRDefault="00D77AF7" w:rsidP="00D77AF7"/>
    <w:p w14:paraId="045F685D" w14:textId="69888DE1" w:rsidR="00234E6C" w:rsidRDefault="00D77AF7" w:rsidP="00D77AF7">
      <w:r>
        <w:t>MSAC noted that the main source of uncertainty for the proposed cost-minimisation analysis against icatibant for acute attacks was frequenc</w:t>
      </w:r>
      <w:r w:rsidR="00234E6C">
        <w:t>y of acute angioedema episodes.</w:t>
      </w:r>
    </w:p>
    <w:p w14:paraId="5C1A385E" w14:textId="77777777" w:rsidR="00234E6C" w:rsidRDefault="00234E6C" w:rsidP="00D77AF7"/>
    <w:p w14:paraId="43ADF89E" w14:textId="4F4E85D4" w:rsidR="00234E6C" w:rsidRDefault="00D77AF7" w:rsidP="00D77AF7">
      <w:r>
        <w:t xml:space="preserve">The economic evaluation for pre-procedural prophylaxis was less relevant because it compared NPSL-funded C1 esterase inhibitor (including community use) against the current arrangements (not including community use) rather than against not using pre-procedural </w:t>
      </w:r>
      <w:r>
        <w:lastRenderedPageBreak/>
        <w:t>prophylaxis. However it provided reassurance, that at the reduced price to match icatibant in the cost-minimisation for acute attacks, the incremental costs for this small volume</w:t>
      </w:r>
      <w:r w:rsidR="00234E6C">
        <w:t xml:space="preserve"> of second-line use applying to </w:t>
      </w:r>
      <w:proofErr w:type="spellStart"/>
      <w:r w:rsidR="00234E6C">
        <w:t>Cinryze</w:t>
      </w:r>
      <w:proofErr w:type="spellEnd"/>
      <w:r w:rsidR="00234E6C">
        <w:t xml:space="preserve"> only would not be excessive</w:t>
      </w:r>
      <w:r w:rsidR="006F53C8">
        <w:t>.</w:t>
      </w:r>
      <w:r w:rsidR="00234E6C">
        <w:t xml:space="preserve"> </w:t>
      </w:r>
      <w:r w:rsidR="006F53C8">
        <w:t>N</w:t>
      </w:r>
      <w:r w:rsidR="00234E6C">
        <w:t>oting that the intention is to reserve this use to high risk procedures of dental work, head or neck surgery, or surgery requiring intubation</w:t>
      </w:r>
      <w:r w:rsidR="006F53C8">
        <w:t>, MSAC recommended that the JBC/NBA work with the Australasian Society of Clinical Immunology and Allergy (ASCIA) to develop guidelines and governance arrangements for second-line use of C1 esterase inhibitor as pre-procedural prophylaxis that reflects this intention</w:t>
      </w:r>
      <w:r w:rsidR="00234E6C">
        <w:t>.</w:t>
      </w:r>
    </w:p>
    <w:p w14:paraId="7F6DD4D2" w14:textId="77777777" w:rsidR="00234E6C" w:rsidRDefault="00234E6C" w:rsidP="00D77AF7"/>
    <w:p w14:paraId="0DDB9BC1" w14:textId="3A336BA7" w:rsidR="00D77AF7" w:rsidRDefault="00D77AF7" w:rsidP="00D77AF7">
      <w:r>
        <w:t xml:space="preserve">MSAC advised that, at a base case ICER per QALY of more than $500,000 for routine prophylaxis, the cost-utility analysis did not support funding of this indication without further targeting. MSAC noted that this analysis was particularly sensitive to the incremental attack rate per month. Noting the caveats </w:t>
      </w:r>
      <w:r w:rsidR="000D7BB1">
        <w:t>with the corresponding sensitivity analysis</w:t>
      </w:r>
      <w:r>
        <w:t xml:space="preserve">, MSAC considered that routine prophylaxis would be likely to be acceptably cost-effective if limited to those individuals who suffer from at least 8 attacks per month without routine prophylaxis. In the absence of clear arrangements to reinforce such a limitation, MSAC recommended that the JBC/NBA work with ASCIA to develop guidelines and governance arrangements for </w:t>
      </w:r>
      <w:r w:rsidR="00234E6C">
        <w:t xml:space="preserve">second-line </w:t>
      </w:r>
      <w:r>
        <w:t xml:space="preserve">use of C1 esterase inhibitor as routine prophylaxis </w:t>
      </w:r>
      <w:r w:rsidR="009E089E">
        <w:t xml:space="preserve">(see Figure 2 </w:t>
      </w:r>
      <w:r w:rsidR="00103BB9">
        <w:t>on page 13</w:t>
      </w:r>
      <w:r w:rsidR="009E089E">
        <w:t xml:space="preserve">), </w:t>
      </w:r>
      <w:r>
        <w:t>that reflects this limitation. Noting that the source of evidence for this analysis (</w:t>
      </w:r>
      <w:proofErr w:type="spellStart"/>
      <w:r>
        <w:t>Zuraw</w:t>
      </w:r>
      <w:proofErr w:type="spellEnd"/>
      <w:r>
        <w:t xml:space="preserve"> et al, 2012) reported 19 of a total of 146 participants in the CHANGE 3 study who suffered from at least 8 attacks per month</w:t>
      </w:r>
      <w:r w:rsidR="00244133">
        <w:t xml:space="preserve"> without routine prophylaxis</w:t>
      </w:r>
      <w:r>
        <w:t xml:space="preserve">, MSAC anticipated that the population eligible for routine prophylaxis could be reduced by up to 87%, whilst also ensuring that the </w:t>
      </w:r>
      <w:r w:rsidR="000D7BB1">
        <w:t xml:space="preserve">extent of reduction in the </w:t>
      </w:r>
      <w:r>
        <w:t>number of attacks per person for this smaller eligible population would be greater than for the larger eligible population in the initial base case analysis.</w:t>
      </w:r>
    </w:p>
    <w:p w14:paraId="3CF2F136" w14:textId="77777777" w:rsidR="00D77AF7" w:rsidRDefault="00D77AF7" w:rsidP="00D77AF7"/>
    <w:p w14:paraId="4F1C8400" w14:textId="6B5E7C28" w:rsidR="00D77AF7" w:rsidRDefault="00D77AF7" w:rsidP="00D77AF7">
      <w:r>
        <w:t>In view of these uncertainties and caveats</w:t>
      </w:r>
      <w:r w:rsidR="00DF6470">
        <w:t xml:space="preserve"> particularly relating to the extent of use </w:t>
      </w:r>
      <w:r w:rsidR="0009417D">
        <w:t>as</w:t>
      </w:r>
      <w:r w:rsidR="00DF6470">
        <w:t xml:space="preserve"> prophylaxis</w:t>
      </w:r>
      <w:r>
        <w:t xml:space="preserve">, and in the context of moderate financial implications for a rare condition, MSAC </w:t>
      </w:r>
      <w:r w:rsidR="0009417D">
        <w:t>suggested</w:t>
      </w:r>
      <w:r>
        <w:t xml:space="preserve"> that consideration should be given to introducing a rebating arrangement such that any expenditure on C1 esterase inhibitor concentrate beyond these financial projections are borne by Shire</w:t>
      </w:r>
      <w:r w:rsidR="00DF6470">
        <w:t xml:space="preserve"> given that use </w:t>
      </w:r>
      <w:r w:rsidR="0009417D">
        <w:t>as prophylaxis should apply</w:t>
      </w:r>
      <w:r w:rsidR="00DF6470">
        <w:t xml:space="preserve"> to </w:t>
      </w:r>
      <w:proofErr w:type="spellStart"/>
      <w:r w:rsidR="00DF6470">
        <w:t>Cinryze</w:t>
      </w:r>
      <w:proofErr w:type="spellEnd"/>
      <w:r w:rsidR="00DF6470">
        <w:t xml:space="preserve"> only</w:t>
      </w:r>
      <w:r>
        <w:t>. Such arrangements are now a routine aspect of new listings in the Schedule of Pharmaceutical Benefits.</w:t>
      </w:r>
    </w:p>
    <w:p w14:paraId="1400D69C" w14:textId="77777777" w:rsidR="00D77AF7" w:rsidRDefault="00D77AF7" w:rsidP="00550354">
      <w:pPr>
        <w:rPr>
          <w:szCs w:val="24"/>
        </w:rPr>
      </w:pPr>
    </w:p>
    <w:p w14:paraId="7F35D3A5" w14:textId="77777777" w:rsidR="00BC1364" w:rsidRPr="00D90A38" w:rsidRDefault="00BC1364" w:rsidP="007B32D1">
      <w:pPr>
        <w:pStyle w:val="Heading1"/>
        <w:numPr>
          <w:ilvl w:val="0"/>
          <w:numId w:val="23"/>
        </w:numPr>
        <w:ind w:hanging="720"/>
      </w:pPr>
      <w:r w:rsidRPr="00D90A38">
        <w:t>Background</w:t>
      </w:r>
    </w:p>
    <w:p w14:paraId="4F054AE4" w14:textId="77777777" w:rsidR="00BC1364" w:rsidRPr="00D77AF7" w:rsidRDefault="00BC1364" w:rsidP="00DD2858">
      <w:pPr>
        <w:rPr>
          <w:szCs w:val="24"/>
        </w:rPr>
      </w:pPr>
    </w:p>
    <w:p w14:paraId="1916E0AD" w14:textId="77777777" w:rsidR="007864AD" w:rsidRDefault="00625700" w:rsidP="007864AD">
      <w:pPr>
        <w:pStyle w:val="BodyText"/>
        <w:spacing w:after="0"/>
      </w:pPr>
      <w:r>
        <w:t xml:space="preserve">Two proposals were </w:t>
      </w:r>
      <w:r w:rsidR="007864AD" w:rsidRPr="00703F32">
        <w:t>received by the NBA requesting the inclusion of purified human C1 esterase inhibitor (C1-INH</w:t>
      </w:r>
      <w:r w:rsidR="00D932DD">
        <w:t>)</w:t>
      </w:r>
      <w:r w:rsidR="007864AD" w:rsidRPr="00703F32">
        <w:t xml:space="preserve"> concentrate for the management of hereditary angioedema (HAE) </w:t>
      </w:r>
      <w:r w:rsidR="007864AD">
        <w:t>i</w:t>
      </w:r>
      <w:r w:rsidR="007864AD" w:rsidRPr="00703F32">
        <w:t xml:space="preserve">n the NPSL; one from </w:t>
      </w:r>
      <w:proofErr w:type="spellStart"/>
      <w:r w:rsidR="007864AD" w:rsidRPr="00703F32">
        <w:t>Cedarglen</w:t>
      </w:r>
      <w:proofErr w:type="spellEnd"/>
      <w:r w:rsidR="007864AD" w:rsidRPr="00703F32">
        <w:t xml:space="preserve"> Investments (on behalf of </w:t>
      </w:r>
      <w:proofErr w:type="spellStart"/>
      <w:r w:rsidR="007864AD" w:rsidRPr="00703F32">
        <w:t>ViroPharma</w:t>
      </w:r>
      <w:proofErr w:type="spellEnd"/>
      <w:r w:rsidR="007864AD" w:rsidRPr="00703F32">
        <w:t xml:space="preserve"> SPRL, now Shire Australia) for </w:t>
      </w:r>
      <w:proofErr w:type="spellStart"/>
      <w:r w:rsidR="007864AD" w:rsidRPr="00703F32">
        <w:t>Cinryze</w:t>
      </w:r>
      <w:proofErr w:type="spellEnd"/>
      <w:r w:rsidR="007864AD" w:rsidRPr="00703F32">
        <w:rPr>
          <w:vertAlign w:val="superscript"/>
        </w:rPr>
        <w:t>®</w:t>
      </w:r>
      <w:r w:rsidR="007864AD" w:rsidRPr="00703F32">
        <w:t xml:space="preserve"> in December 2012 and the other from CSL Behring for </w:t>
      </w:r>
      <w:proofErr w:type="spellStart"/>
      <w:r w:rsidR="007864AD" w:rsidRPr="00703F32">
        <w:t>Berinert</w:t>
      </w:r>
      <w:proofErr w:type="spellEnd"/>
      <w:r w:rsidR="007864AD" w:rsidRPr="00703F32">
        <w:rPr>
          <w:vertAlign w:val="superscript"/>
        </w:rPr>
        <w:t>®</w:t>
      </w:r>
      <w:r w:rsidR="007864AD">
        <w:t xml:space="preserve"> in May 2013.</w:t>
      </w:r>
      <w:r w:rsidR="00D77AF7" w:rsidRPr="001A4AF9">
        <w:t xml:space="preserve"> Listing </w:t>
      </w:r>
      <w:r w:rsidR="00D77AF7">
        <w:t>i</w:t>
      </w:r>
      <w:r w:rsidR="00D77AF7" w:rsidRPr="001A4AF9">
        <w:t xml:space="preserve">n the NPSL </w:t>
      </w:r>
      <w:r w:rsidR="00D77AF7">
        <w:t>would allow</w:t>
      </w:r>
      <w:r w:rsidR="00D77AF7" w:rsidRPr="001A4AF9">
        <w:t xml:space="preserve"> full government subsidy of the product in Australia, through cost shared arrangements between the Commonwealth</w:t>
      </w:r>
      <w:r w:rsidR="00D77AF7">
        <w:t xml:space="preserve"> and</w:t>
      </w:r>
      <w:r w:rsidR="00D77AF7" w:rsidRPr="001A4AF9">
        <w:t xml:space="preserve"> State and Territory governments. The mechanism for the subsidy is centralised tendering and supply contracting by the NBA.</w:t>
      </w:r>
    </w:p>
    <w:p w14:paraId="1DB60A24" w14:textId="77777777" w:rsidR="007864AD" w:rsidRDefault="007864AD" w:rsidP="00D77AF7">
      <w:pPr>
        <w:pStyle w:val="BodyText"/>
        <w:spacing w:after="0"/>
      </w:pPr>
    </w:p>
    <w:p w14:paraId="6BAFD0E1" w14:textId="77777777" w:rsidR="007864AD" w:rsidRDefault="00EC72CF" w:rsidP="007864AD">
      <w:pPr>
        <w:pStyle w:val="BodyText"/>
        <w:spacing w:after="0"/>
      </w:pPr>
      <w:r>
        <w:t>The JBC</w:t>
      </w:r>
      <w:r w:rsidRPr="00AF5D61">
        <w:t xml:space="preserve"> </w:t>
      </w:r>
      <w:r>
        <w:t xml:space="preserve">assesses and endorses new listings in the NPSL </w:t>
      </w:r>
      <w:r w:rsidRPr="00AF5D61">
        <w:t xml:space="preserve">under Schedule 4 </w:t>
      </w:r>
      <w:r>
        <w:t>of the National Blood Agreement through a Multi-Criteria</w:t>
      </w:r>
      <w:r w:rsidRPr="00AF5D61">
        <w:t xml:space="preserve"> </w:t>
      </w:r>
      <w:r>
        <w:t xml:space="preserve">Analysis (MCA) process. </w:t>
      </w:r>
      <w:r w:rsidR="007864AD">
        <w:t xml:space="preserve">The </w:t>
      </w:r>
      <w:r w:rsidR="007864AD" w:rsidRPr="00703F32">
        <w:t>proposals for C1-INH concentrate were originally intended to be evaluated according to the Schedule 4 Cycle 1 MCA. However, after a briefing on the two proposals on 16 June 2014, the JBC Working Group advised that the evaluation of C1-INH concentrate is more complex than would typically constitute a Cycle 1 MCA and recommended that the assessment be referred to MSAC</w:t>
      </w:r>
      <w:r w:rsidRPr="004D4FE9">
        <w:rPr>
          <w:szCs w:val="24"/>
        </w:rPr>
        <w:t xml:space="preserve"> </w:t>
      </w:r>
      <w:r>
        <w:t>for advice to supplement the initial MCA process</w:t>
      </w:r>
      <w:r w:rsidR="007864AD" w:rsidRPr="00703F32">
        <w:t xml:space="preserve">. </w:t>
      </w:r>
      <w:r>
        <w:t>A</w:t>
      </w:r>
      <w:r w:rsidRPr="00703F32">
        <w:t xml:space="preserve">t </w:t>
      </w:r>
      <w:r>
        <w:t>its</w:t>
      </w:r>
      <w:r w:rsidRPr="00703F32">
        <w:t xml:space="preserve"> </w:t>
      </w:r>
      <w:r>
        <w:t xml:space="preserve">5 </w:t>
      </w:r>
      <w:r w:rsidRPr="00703F32">
        <w:t>September 2014 meeting</w:t>
      </w:r>
      <w:r>
        <w:t>,</w:t>
      </w:r>
      <w:r w:rsidRPr="00703F32">
        <w:t xml:space="preserve"> </w:t>
      </w:r>
      <w:r>
        <w:t>t</w:t>
      </w:r>
      <w:r w:rsidR="007864AD" w:rsidRPr="00703F32">
        <w:t xml:space="preserve">he JBC agreed </w:t>
      </w:r>
      <w:r>
        <w:t>to this referral via the Commonwealth member of the JBC</w:t>
      </w:r>
      <w:r w:rsidR="007864AD" w:rsidRPr="00703F32">
        <w:t>.</w:t>
      </w:r>
    </w:p>
    <w:p w14:paraId="73721FC8" w14:textId="77777777" w:rsidR="007864AD" w:rsidRPr="00703F32" w:rsidRDefault="007864AD" w:rsidP="007864AD">
      <w:pPr>
        <w:pStyle w:val="BodyText"/>
        <w:spacing w:after="0"/>
      </w:pPr>
      <w:r w:rsidRPr="00703F32">
        <w:lastRenderedPageBreak/>
        <w:t xml:space="preserve">On behalf of the NBA, </w:t>
      </w:r>
      <w:proofErr w:type="spellStart"/>
      <w:r w:rsidRPr="00703F32">
        <w:t>HealthConsult</w:t>
      </w:r>
      <w:proofErr w:type="spellEnd"/>
      <w:r w:rsidRPr="00703F32">
        <w:t xml:space="preserve"> drafted a Protocol that was considered by PASC in December 2014. The Protocol (finalised on 6 February 2015) outlines the framework for this assessment of the safety, effectiveness and cost-effectiveness of C1-INH concentrate for three indications:</w:t>
      </w:r>
    </w:p>
    <w:p w14:paraId="7C3A2CCB" w14:textId="77777777" w:rsidR="007864AD" w:rsidRPr="00D77AF7" w:rsidRDefault="007864AD" w:rsidP="00D77AF7">
      <w:pPr>
        <w:pStyle w:val="BulletText0"/>
        <w:keepNext/>
        <w:spacing w:before="0" w:line="240" w:lineRule="auto"/>
        <w:ind w:left="709"/>
        <w:jc w:val="left"/>
        <w:rPr>
          <w:rFonts w:ascii="Times New Roman" w:hAnsi="Times New Roman" w:cs="Times New Roman"/>
          <w:sz w:val="24"/>
          <w:szCs w:val="24"/>
        </w:rPr>
      </w:pPr>
      <w:r w:rsidRPr="00D77AF7">
        <w:rPr>
          <w:rFonts w:ascii="Times New Roman" w:hAnsi="Times New Roman" w:cs="Times New Roman"/>
          <w:sz w:val="24"/>
          <w:szCs w:val="24"/>
        </w:rPr>
        <w:t xml:space="preserve">treatment of acute angioedema attacks; </w:t>
      </w:r>
    </w:p>
    <w:p w14:paraId="5ED572BD" w14:textId="77777777" w:rsidR="007864AD" w:rsidRPr="00D77AF7" w:rsidRDefault="007864AD" w:rsidP="00D77AF7">
      <w:pPr>
        <w:pStyle w:val="BulletText0"/>
        <w:keepNext/>
        <w:spacing w:before="0" w:line="240" w:lineRule="auto"/>
        <w:ind w:left="709"/>
        <w:jc w:val="left"/>
        <w:rPr>
          <w:rFonts w:ascii="Times New Roman" w:hAnsi="Times New Roman" w:cs="Times New Roman"/>
          <w:sz w:val="24"/>
          <w:szCs w:val="24"/>
        </w:rPr>
      </w:pPr>
      <w:r w:rsidRPr="00D77AF7">
        <w:rPr>
          <w:rFonts w:ascii="Times New Roman" w:hAnsi="Times New Roman" w:cs="Times New Roman"/>
          <w:sz w:val="24"/>
          <w:szCs w:val="24"/>
        </w:rPr>
        <w:t xml:space="preserve">pre-procedural (short-term) prophylaxis </w:t>
      </w:r>
      <w:r w:rsidR="00D77AF7">
        <w:rPr>
          <w:rFonts w:ascii="Times New Roman" w:hAnsi="Times New Roman" w:cs="Times New Roman"/>
          <w:sz w:val="24"/>
          <w:szCs w:val="24"/>
        </w:rPr>
        <w:t>against angioedema attacks; and</w:t>
      </w:r>
    </w:p>
    <w:p w14:paraId="3D9F9467" w14:textId="77777777" w:rsidR="007864AD" w:rsidRPr="00D77AF7" w:rsidRDefault="007864AD" w:rsidP="00D77AF7">
      <w:pPr>
        <w:pStyle w:val="BulletText0"/>
        <w:keepNext/>
        <w:spacing w:before="0" w:line="240" w:lineRule="auto"/>
        <w:ind w:left="709"/>
        <w:jc w:val="left"/>
        <w:rPr>
          <w:rFonts w:ascii="Times New Roman" w:hAnsi="Times New Roman" w:cs="Times New Roman"/>
          <w:sz w:val="24"/>
          <w:szCs w:val="24"/>
        </w:rPr>
      </w:pPr>
      <w:proofErr w:type="gramStart"/>
      <w:r w:rsidRPr="00D77AF7">
        <w:rPr>
          <w:rFonts w:ascii="Times New Roman" w:hAnsi="Times New Roman" w:cs="Times New Roman"/>
          <w:sz w:val="24"/>
          <w:szCs w:val="24"/>
        </w:rPr>
        <w:t>routine</w:t>
      </w:r>
      <w:proofErr w:type="gramEnd"/>
      <w:r w:rsidRPr="00D77AF7">
        <w:rPr>
          <w:rFonts w:ascii="Times New Roman" w:hAnsi="Times New Roman" w:cs="Times New Roman"/>
          <w:sz w:val="24"/>
          <w:szCs w:val="24"/>
        </w:rPr>
        <w:t xml:space="preserve"> (long-term) prophylaxis against angioedema attacks.</w:t>
      </w:r>
    </w:p>
    <w:p w14:paraId="2E0D01CB" w14:textId="77777777" w:rsidR="007864AD" w:rsidRPr="00D77AF7" w:rsidRDefault="007864AD" w:rsidP="00D77AF7">
      <w:pPr>
        <w:pStyle w:val="BodyText"/>
        <w:spacing w:after="0"/>
        <w:rPr>
          <w:szCs w:val="24"/>
        </w:rPr>
      </w:pPr>
    </w:p>
    <w:p w14:paraId="440AA26F" w14:textId="77777777" w:rsidR="007864AD" w:rsidRDefault="00EC72CF" w:rsidP="007864AD">
      <w:pPr>
        <w:pStyle w:val="BodyText"/>
        <w:spacing w:after="0"/>
      </w:pPr>
      <w:r>
        <w:t xml:space="preserve">An </w:t>
      </w:r>
      <w:r w:rsidR="007864AD" w:rsidRPr="00703F32">
        <w:t xml:space="preserve">Assessment Report </w:t>
      </w:r>
      <w:r>
        <w:t xml:space="preserve">was prepared to </w:t>
      </w:r>
      <w:r w:rsidR="007864AD" w:rsidRPr="00703F32">
        <w:t xml:space="preserve">inform MSAC’s evaluation and </w:t>
      </w:r>
      <w:r>
        <w:t>advice</w:t>
      </w:r>
      <w:r w:rsidR="007864AD" w:rsidRPr="00703F32">
        <w:t xml:space="preserve"> regarding public funding of C1-INH concentrate under the National Blood Agreement.</w:t>
      </w:r>
    </w:p>
    <w:p w14:paraId="6706666C" w14:textId="77777777" w:rsidR="007B32D1" w:rsidRPr="007B32D1" w:rsidRDefault="007B32D1" w:rsidP="007B32D1"/>
    <w:p w14:paraId="7B941EDD" w14:textId="77777777" w:rsidR="00BC1364" w:rsidRPr="00D90A38" w:rsidRDefault="00BC1364" w:rsidP="007B32D1">
      <w:pPr>
        <w:pStyle w:val="Heading1"/>
        <w:numPr>
          <w:ilvl w:val="0"/>
          <w:numId w:val="23"/>
        </w:numPr>
        <w:ind w:hanging="720"/>
      </w:pPr>
      <w:r w:rsidRPr="00D90A38">
        <w:t>Prerequisites to implementation of any funding advice</w:t>
      </w:r>
    </w:p>
    <w:p w14:paraId="7C70F81F" w14:textId="77777777" w:rsidR="00BC1364" w:rsidRPr="00D77AF7" w:rsidRDefault="00BC1364" w:rsidP="00D77AF7">
      <w:pPr>
        <w:tabs>
          <w:tab w:val="left" w:pos="720"/>
          <w:tab w:val="left" w:pos="1140"/>
        </w:tabs>
        <w:rPr>
          <w:szCs w:val="24"/>
        </w:rPr>
      </w:pPr>
    </w:p>
    <w:p w14:paraId="14EBB693" w14:textId="0699676F" w:rsidR="00B0133C" w:rsidRPr="009426F1" w:rsidRDefault="00B0133C" w:rsidP="00B0133C">
      <w:pPr>
        <w:tabs>
          <w:tab w:val="left" w:pos="720"/>
          <w:tab w:val="left" w:pos="1140"/>
        </w:tabs>
        <w:rPr>
          <w:szCs w:val="24"/>
        </w:rPr>
      </w:pPr>
      <w:r w:rsidRPr="009426F1">
        <w:rPr>
          <w:szCs w:val="24"/>
        </w:rPr>
        <w:t xml:space="preserve">Both </w:t>
      </w:r>
      <w:r w:rsidR="00595A0E" w:rsidRPr="00D77AF7">
        <w:rPr>
          <w:szCs w:val="24"/>
        </w:rPr>
        <w:t>C1 esterase inhibitor concentrate</w:t>
      </w:r>
      <w:r w:rsidRPr="009426F1">
        <w:rPr>
          <w:szCs w:val="24"/>
        </w:rPr>
        <w:t xml:space="preserve"> products are TGA-approved for administration in the following settings:</w:t>
      </w:r>
    </w:p>
    <w:p w14:paraId="31C7DBE0" w14:textId="77777777" w:rsidR="00B0133C" w:rsidRDefault="00B0133C" w:rsidP="00B0133C">
      <w:pPr>
        <w:pStyle w:val="BulletText0"/>
        <w:keepNext/>
        <w:spacing w:before="0" w:line="240" w:lineRule="auto"/>
        <w:ind w:left="709"/>
        <w:jc w:val="left"/>
        <w:rPr>
          <w:rFonts w:ascii="Times New Roman" w:hAnsi="Times New Roman" w:cs="Times New Roman"/>
          <w:sz w:val="24"/>
          <w:szCs w:val="24"/>
        </w:rPr>
      </w:pPr>
      <w:r w:rsidRPr="002635FE">
        <w:rPr>
          <w:rFonts w:ascii="Times New Roman" w:hAnsi="Times New Roman" w:cs="Times New Roman"/>
          <w:sz w:val="24"/>
          <w:szCs w:val="24"/>
        </w:rPr>
        <w:t>in hospital;</w:t>
      </w:r>
    </w:p>
    <w:p w14:paraId="5B4AFC3C" w14:textId="77777777" w:rsidR="00B0133C" w:rsidRDefault="00B0133C" w:rsidP="00B0133C">
      <w:pPr>
        <w:pStyle w:val="BulletText0"/>
        <w:keepNext/>
        <w:spacing w:before="0" w:line="240" w:lineRule="auto"/>
        <w:ind w:left="709"/>
        <w:jc w:val="left"/>
        <w:rPr>
          <w:rFonts w:ascii="Times New Roman" w:hAnsi="Times New Roman" w:cs="Times New Roman"/>
          <w:sz w:val="24"/>
          <w:szCs w:val="24"/>
        </w:rPr>
      </w:pPr>
      <w:r w:rsidRPr="002635FE">
        <w:rPr>
          <w:rFonts w:ascii="Times New Roman" w:hAnsi="Times New Roman" w:cs="Times New Roman"/>
          <w:sz w:val="24"/>
          <w:szCs w:val="24"/>
        </w:rPr>
        <w:t>out-of-hospital by a health practitioner or nurse (community administration); and</w:t>
      </w:r>
    </w:p>
    <w:p w14:paraId="66BB7E29" w14:textId="77777777" w:rsidR="00B0133C" w:rsidRPr="002635FE" w:rsidRDefault="00B0133C" w:rsidP="00B0133C">
      <w:pPr>
        <w:pStyle w:val="BulletText0"/>
        <w:keepNext/>
        <w:spacing w:before="0" w:line="240" w:lineRule="auto"/>
        <w:ind w:left="709"/>
        <w:jc w:val="left"/>
        <w:rPr>
          <w:rFonts w:ascii="Times New Roman" w:hAnsi="Times New Roman" w:cs="Times New Roman"/>
          <w:sz w:val="24"/>
          <w:szCs w:val="24"/>
        </w:rPr>
      </w:pPr>
      <w:proofErr w:type="gramStart"/>
      <w:r>
        <w:rPr>
          <w:rFonts w:ascii="Times New Roman" w:hAnsi="Times New Roman" w:cs="Times New Roman"/>
          <w:sz w:val="24"/>
          <w:szCs w:val="24"/>
        </w:rPr>
        <w:t>self/home-administered</w:t>
      </w:r>
      <w:proofErr w:type="gramEnd"/>
      <w:r>
        <w:rPr>
          <w:rFonts w:ascii="Times New Roman" w:hAnsi="Times New Roman" w:cs="Times New Roman"/>
          <w:sz w:val="24"/>
          <w:szCs w:val="24"/>
        </w:rPr>
        <w:t>.</w:t>
      </w:r>
    </w:p>
    <w:p w14:paraId="3661E1AC" w14:textId="77777777" w:rsidR="00BC1364" w:rsidRPr="00D77AF7" w:rsidRDefault="00BC1364" w:rsidP="009E0D98">
      <w:pPr>
        <w:tabs>
          <w:tab w:val="left" w:pos="720"/>
          <w:tab w:val="left" w:pos="1140"/>
        </w:tabs>
        <w:rPr>
          <w:szCs w:val="24"/>
        </w:rPr>
      </w:pPr>
    </w:p>
    <w:p w14:paraId="641B4DE3" w14:textId="77777777" w:rsidR="00BC1364" w:rsidRPr="007B32D1" w:rsidRDefault="00BC1364" w:rsidP="007B32D1">
      <w:pPr>
        <w:pStyle w:val="Heading1"/>
        <w:numPr>
          <w:ilvl w:val="0"/>
          <w:numId w:val="23"/>
        </w:numPr>
        <w:ind w:hanging="720"/>
      </w:pPr>
      <w:r w:rsidRPr="007B32D1">
        <w:t>Proposal for public funding</w:t>
      </w:r>
    </w:p>
    <w:p w14:paraId="0687E578" w14:textId="77777777" w:rsidR="00BC1364" w:rsidRDefault="00BC1364" w:rsidP="00AB3BFC">
      <w:pPr>
        <w:tabs>
          <w:tab w:val="left" w:pos="720"/>
          <w:tab w:val="left" w:pos="1140"/>
        </w:tabs>
        <w:rPr>
          <w:sz w:val="23"/>
          <w:szCs w:val="23"/>
        </w:rPr>
      </w:pPr>
    </w:p>
    <w:p w14:paraId="267AE491" w14:textId="0F3462CB" w:rsidR="00561EA7" w:rsidRDefault="00561EA7" w:rsidP="00D77AF7">
      <w:pPr>
        <w:pStyle w:val="BodyText"/>
        <w:spacing w:after="0"/>
      </w:pPr>
      <w:proofErr w:type="spellStart"/>
      <w:r w:rsidRPr="00703F32">
        <w:t>Cinryze</w:t>
      </w:r>
      <w:proofErr w:type="spellEnd"/>
      <w:r w:rsidRPr="00703F32">
        <w:t xml:space="preserve"> is TGA-approved for routine prophylaxis, </w:t>
      </w:r>
      <w:r>
        <w:t xml:space="preserve">but </w:t>
      </w:r>
      <w:r w:rsidRPr="00703F32">
        <w:t>approval is restricted to patients 12</w:t>
      </w:r>
      <w:r w:rsidR="00694838">
        <w:t> </w:t>
      </w:r>
      <w:r w:rsidRPr="00703F32">
        <w:t xml:space="preserve">years of age and older. </w:t>
      </w:r>
      <w:r>
        <w:t xml:space="preserve">The </w:t>
      </w:r>
      <w:r w:rsidR="00103BB9">
        <w:t>ASCIA</w:t>
      </w:r>
      <w:r w:rsidRPr="00703F32">
        <w:t xml:space="preserve"> does not specify age restrictions on the use of C1-INH concentrate for routine prophylaxis</w:t>
      </w:r>
      <w:r>
        <w:t>, however i</w:t>
      </w:r>
      <w:r w:rsidRPr="00703F32">
        <w:t xml:space="preserve">f listed on the </w:t>
      </w:r>
      <w:r w:rsidR="00103BB9">
        <w:t>NPSL</w:t>
      </w:r>
      <w:r w:rsidRPr="00703F32">
        <w:t xml:space="preserve">, it is possible that </w:t>
      </w:r>
      <w:proofErr w:type="spellStart"/>
      <w:r w:rsidRPr="00703F32">
        <w:t>Cinryze</w:t>
      </w:r>
      <w:proofErr w:type="spellEnd"/>
      <w:r w:rsidRPr="00703F32">
        <w:t xml:space="preserve"> will be used in paediatric patients for routine prophylaxis.</w:t>
      </w:r>
    </w:p>
    <w:p w14:paraId="539F5C73" w14:textId="77777777" w:rsidR="00D77AF7" w:rsidRDefault="00D77AF7" w:rsidP="00D77AF7">
      <w:pPr>
        <w:pStyle w:val="BodyText"/>
        <w:spacing w:after="0"/>
      </w:pPr>
    </w:p>
    <w:p w14:paraId="23AA9673" w14:textId="77777777" w:rsidR="00561EA7" w:rsidRDefault="00561EA7" w:rsidP="00D77AF7">
      <w:pPr>
        <w:pStyle w:val="BodyText"/>
        <w:spacing w:after="0"/>
        <w:rPr>
          <w:lang w:val="en-GB" w:eastAsia="ja-JP"/>
        </w:rPr>
      </w:pPr>
      <w:r>
        <w:rPr>
          <w:lang w:val="en-GB" w:eastAsia="ja-JP"/>
        </w:rPr>
        <w:t>The supply of C1-INH concentrate will need to be managed by, or be in consultation with, a clinical immunologist, a respiratory physician, specialist allergist or general physician experienced in the management of patients with HAE.</w:t>
      </w:r>
    </w:p>
    <w:p w14:paraId="625A781E" w14:textId="77777777" w:rsidR="00EC72CF" w:rsidRDefault="00EC72CF" w:rsidP="00D77AF7">
      <w:pPr>
        <w:pStyle w:val="BodyText"/>
        <w:spacing w:after="0"/>
        <w:rPr>
          <w:lang w:val="en-GB" w:eastAsia="ja-JP"/>
        </w:rPr>
      </w:pPr>
    </w:p>
    <w:p w14:paraId="43BEF588" w14:textId="77777777" w:rsidR="00561EA7" w:rsidRDefault="00561EA7" w:rsidP="00EC72CF">
      <w:pPr>
        <w:pStyle w:val="BodyText"/>
        <w:spacing w:after="0"/>
        <w:rPr>
          <w:lang w:val="en-GB" w:eastAsia="ja-JP"/>
        </w:rPr>
      </w:pPr>
      <w:proofErr w:type="spellStart"/>
      <w:r>
        <w:rPr>
          <w:lang w:val="en-GB" w:eastAsia="ja-JP"/>
        </w:rPr>
        <w:t>Cinryze</w:t>
      </w:r>
      <w:proofErr w:type="spellEnd"/>
      <w:r>
        <w:rPr>
          <w:lang w:val="en-GB" w:eastAsia="ja-JP"/>
        </w:rPr>
        <w:t xml:space="preserve"> and </w:t>
      </w:r>
      <w:proofErr w:type="spellStart"/>
      <w:r>
        <w:rPr>
          <w:lang w:val="en-GB" w:eastAsia="ja-JP"/>
        </w:rPr>
        <w:t>Berinert</w:t>
      </w:r>
      <w:proofErr w:type="spellEnd"/>
      <w:r>
        <w:rPr>
          <w:lang w:val="en-GB" w:eastAsia="ja-JP"/>
        </w:rPr>
        <w:t xml:space="preserve"> are both supplied as a complete administration </w:t>
      </w:r>
      <w:proofErr w:type="gramStart"/>
      <w:r>
        <w:rPr>
          <w:lang w:val="en-GB" w:eastAsia="ja-JP"/>
        </w:rPr>
        <w:t>kit,</w:t>
      </w:r>
      <w:proofErr w:type="gramEnd"/>
      <w:r>
        <w:rPr>
          <w:lang w:val="en-GB" w:eastAsia="ja-JP"/>
        </w:rPr>
        <w:t xml:space="preserve"> however patients wishing to self/ home administer will require guidance and training. Product information instructions for the self/ home administration kit are as follows:</w:t>
      </w:r>
    </w:p>
    <w:p w14:paraId="0FDE4C0F" w14:textId="77777777" w:rsidR="00EC72CF" w:rsidRDefault="00EC72CF" w:rsidP="00EC72CF">
      <w:pPr>
        <w:pStyle w:val="BodyText"/>
        <w:spacing w:after="0"/>
        <w:rPr>
          <w:lang w:val="en-GB" w:eastAsia="ja-JP"/>
        </w:rPr>
      </w:pPr>
    </w:p>
    <w:p w14:paraId="5E189345" w14:textId="48ACED22" w:rsidR="00561EA7" w:rsidRDefault="00561EA7" w:rsidP="00D77AF7">
      <w:pPr>
        <w:pStyle w:val="Caption"/>
        <w:spacing w:before="0" w:after="0"/>
        <w:ind w:left="0" w:firstLine="0"/>
      </w:pPr>
      <w:bookmarkStart w:id="1" w:name="_Ref415561769"/>
      <w:bookmarkStart w:id="2" w:name="_Toc415654570"/>
      <w:bookmarkStart w:id="3" w:name="_Toc416340196"/>
      <w:bookmarkStart w:id="4" w:name="_Toc417862301"/>
      <w:bookmarkStart w:id="5" w:name="_Toc419428703"/>
      <w:r w:rsidRPr="00703F32">
        <w:t>Table</w:t>
      </w:r>
      <w:bookmarkEnd w:id="1"/>
      <w:r w:rsidR="000D57A3">
        <w:t xml:space="preserve"> 1</w:t>
      </w:r>
      <w:r w:rsidRPr="00703F32">
        <w:tab/>
        <w:t xml:space="preserve">Product Information instructions for the self/home-administration of </w:t>
      </w:r>
      <w:proofErr w:type="spellStart"/>
      <w:r w:rsidRPr="00703F32">
        <w:t>Cinryze</w:t>
      </w:r>
      <w:proofErr w:type="spellEnd"/>
      <w:r w:rsidRPr="00703F32">
        <w:t xml:space="preserve"> and </w:t>
      </w:r>
      <w:proofErr w:type="spellStart"/>
      <w:r w:rsidRPr="00703F32">
        <w:t>Berinert</w:t>
      </w:r>
      <w:bookmarkEnd w:id="2"/>
      <w:bookmarkEnd w:id="3"/>
      <w:bookmarkEnd w:id="4"/>
      <w:bookmarkEnd w:id="5"/>
      <w:proofErr w:type="spellEnd"/>
    </w:p>
    <w:tbl>
      <w:tblPr>
        <w:tblStyle w:val="TableGrid1"/>
        <w:tblpPr w:leftFromText="180" w:rightFromText="180" w:vertAnchor="text" w:horzAnchor="margin" w:tblpX="108" w:tblpY="167"/>
        <w:tblW w:w="0" w:type="auto"/>
        <w:tblLook w:val="04A0" w:firstRow="1" w:lastRow="0" w:firstColumn="1" w:lastColumn="0" w:noHBand="0" w:noVBand="1"/>
        <w:tblCaption w:val="Product Information instructions for the self/home-administration"/>
        <w:tblDescription w:val="Product Information instructions for the self/home-administration of Cinryze and Berinert"/>
      </w:tblPr>
      <w:tblGrid>
        <w:gridCol w:w="1135"/>
        <w:gridCol w:w="2387"/>
        <w:gridCol w:w="5091"/>
      </w:tblGrid>
      <w:tr w:rsidR="00561EA7" w:rsidRPr="00703F32" w14:paraId="60760475" w14:textId="77777777" w:rsidTr="002758A8">
        <w:trPr>
          <w:cnfStyle w:val="100000000000" w:firstRow="1" w:lastRow="0" w:firstColumn="0" w:lastColumn="0" w:oddVBand="0" w:evenVBand="0" w:oddHBand="0" w:evenHBand="0" w:firstRowFirstColumn="0" w:firstRowLastColumn="0" w:lastRowFirstColumn="0" w:lastRowLastColumn="0"/>
          <w:tblHeader/>
        </w:trPr>
        <w:tc>
          <w:tcPr>
            <w:tcW w:w="1135" w:type="dxa"/>
            <w:tcBorders>
              <w:bottom w:val="single" w:sz="4" w:space="0" w:color="auto"/>
            </w:tcBorders>
          </w:tcPr>
          <w:p w14:paraId="6FD6A444" w14:textId="77777777" w:rsidR="00561EA7" w:rsidRPr="00703F32" w:rsidRDefault="00561EA7" w:rsidP="00D77AF7">
            <w:pPr>
              <w:spacing w:before="0" w:after="0"/>
              <w:rPr>
                <w:rFonts w:ascii="Arial Narrow" w:hAnsi="Arial Narrow"/>
                <w:b/>
                <w:sz w:val="18"/>
              </w:rPr>
            </w:pPr>
            <w:r w:rsidRPr="00703F32">
              <w:rPr>
                <w:rFonts w:ascii="Arial Narrow" w:hAnsi="Arial Narrow"/>
                <w:b/>
                <w:sz w:val="18"/>
              </w:rPr>
              <w:t>Instructions from PI</w:t>
            </w:r>
          </w:p>
        </w:tc>
        <w:tc>
          <w:tcPr>
            <w:tcW w:w="2387" w:type="dxa"/>
            <w:tcBorders>
              <w:bottom w:val="single" w:sz="4" w:space="0" w:color="auto"/>
            </w:tcBorders>
          </w:tcPr>
          <w:p w14:paraId="1868BB9E" w14:textId="77777777" w:rsidR="00561EA7" w:rsidRPr="00703F32" w:rsidRDefault="00561EA7" w:rsidP="00D77AF7">
            <w:pPr>
              <w:spacing w:before="0" w:after="0"/>
              <w:rPr>
                <w:rFonts w:ascii="Arial Narrow" w:hAnsi="Arial Narrow"/>
                <w:b/>
                <w:sz w:val="18"/>
              </w:rPr>
            </w:pPr>
            <w:proofErr w:type="spellStart"/>
            <w:r w:rsidRPr="00703F32">
              <w:rPr>
                <w:rFonts w:ascii="Arial Narrow" w:hAnsi="Arial Narrow"/>
                <w:b/>
                <w:sz w:val="18"/>
              </w:rPr>
              <w:t>Cinryze</w:t>
            </w:r>
            <w:proofErr w:type="spellEnd"/>
          </w:p>
        </w:tc>
        <w:tc>
          <w:tcPr>
            <w:tcW w:w="5091" w:type="dxa"/>
            <w:tcBorders>
              <w:bottom w:val="single" w:sz="4" w:space="0" w:color="auto"/>
            </w:tcBorders>
          </w:tcPr>
          <w:p w14:paraId="04F25A11" w14:textId="77777777" w:rsidR="00561EA7" w:rsidRPr="00703F32" w:rsidRDefault="00561EA7" w:rsidP="00D77AF7">
            <w:pPr>
              <w:spacing w:before="0" w:after="0"/>
              <w:rPr>
                <w:rFonts w:ascii="Arial Narrow" w:hAnsi="Arial Narrow"/>
                <w:b/>
                <w:sz w:val="18"/>
              </w:rPr>
            </w:pPr>
            <w:proofErr w:type="spellStart"/>
            <w:r w:rsidRPr="00703F32">
              <w:rPr>
                <w:rFonts w:ascii="Arial Narrow" w:hAnsi="Arial Narrow"/>
                <w:b/>
                <w:sz w:val="18"/>
              </w:rPr>
              <w:t>Berinert</w:t>
            </w:r>
            <w:proofErr w:type="spellEnd"/>
          </w:p>
        </w:tc>
      </w:tr>
      <w:tr w:rsidR="00561EA7" w:rsidRPr="00703F32" w14:paraId="6AC8EA20" w14:textId="77777777" w:rsidTr="002758A8">
        <w:tc>
          <w:tcPr>
            <w:tcW w:w="1135" w:type="dxa"/>
            <w:tcBorders>
              <w:bottom w:val="single" w:sz="4" w:space="0" w:color="auto"/>
            </w:tcBorders>
          </w:tcPr>
          <w:p w14:paraId="2A95E4E1" w14:textId="77777777" w:rsidR="00561EA7" w:rsidRPr="00703F32" w:rsidRDefault="00561EA7" w:rsidP="00D77AF7">
            <w:pPr>
              <w:spacing w:before="0" w:after="0"/>
              <w:rPr>
                <w:sz w:val="18"/>
              </w:rPr>
            </w:pPr>
            <w:r w:rsidRPr="00703F32">
              <w:rPr>
                <w:sz w:val="18"/>
              </w:rPr>
              <w:t>Self/home-administration</w:t>
            </w:r>
          </w:p>
        </w:tc>
        <w:tc>
          <w:tcPr>
            <w:tcW w:w="2387" w:type="dxa"/>
            <w:tcBorders>
              <w:bottom w:val="single" w:sz="4" w:space="0" w:color="auto"/>
            </w:tcBorders>
          </w:tcPr>
          <w:p w14:paraId="537A668D" w14:textId="77777777" w:rsidR="00561EA7" w:rsidRPr="00703F32" w:rsidRDefault="00561EA7" w:rsidP="00D77AF7">
            <w:pPr>
              <w:spacing w:before="0" w:after="0"/>
              <w:rPr>
                <w:sz w:val="18"/>
              </w:rPr>
            </w:pPr>
            <w:r w:rsidRPr="00703F32">
              <w:rPr>
                <w:sz w:val="18"/>
              </w:rPr>
              <w:t xml:space="preserve">It is the responsibility of the prescribing physician to determine which patients may be suitable for self-administration of </w:t>
            </w:r>
            <w:proofErr w:type="spellStart"/>
            <w:r w:rsidRPr="00703F32">
              <w:rPr>
                <w:sz w:val="18"/>
              </w:rPr>
              <w:t>Cinryze</w:t>
            </w:r>
            <w:proofErr w:type="spellEnd"/>
            <w:r w:rsidRPr="00703F32">
              <w:rPr>
                <w:sz w:val="18"/>
              </w:rPr>
              <w:t xml:space="preserve"> and to provide training.</w:t>
            </w:r>
          </w:p>
        </w:tc>
        <w:tc>
          <w:tcPr>
            <w:tcW w:w="5091" w:type="dxa"/>
            <w:tcBorders>
              <w:bottom w:val="single" w:sz="4" w:space="0" w:color="auto"/>
            </w:tcBorders>
          </w:tcPr>
          <w:p w14:paraId="19BD0EC2" w14:textId="77777777" w:rsidR="00561EA7" w:rsidRPr="00703F32" w:rsidRDefault="00561EA7" w:rsidP="00D77AF7">
            <w:pPr>
              <w:spacing w:before="0" w:after="0"/>
              <w:rPr>
                <w:sz w:val="18"/>
              </w:rPr>
            </w:pPr>
            <w:r w:rsidRPr="00703F32">
              <w:rPr>
                <w:sz w:val="18"/>
              </w:rPr>
              <w:t xml:space="preserve">If deemed appropriate by the treating physician, </w:t>
            </w:r>
            <w:proofErr w:type="spellStart"/>
            <w:r w:rsidRPr="00703F32">
              <w:rPr>
                <w:sz w:val="18"/>
              </w:rPr>
              <w:t>Berinert</w:t>
            </w:r>
            <w:proofErr w:type="spellEnd"/>
            <w:r w:rsidRPr="00703F32">
              <w:rPr>
                <w:sz w:val="18"/>
              </w:rPr>
              <w:t xml:space="preserve"> may be self-administered by the patient (or carer) following adequate training. This includes its administration in the home or other appropriate setting.</w:t>
            </w:r>
          </w:p>
          <w:p w14:paraId="04EBF2A9" w14:textId="77777777" w:rsidR="00561EA7" w:rsidRPr="00703F32" w:rsidRDefault="00561EA7" w:rsidP="00D77AF7">
            <w:pPr>
              <w:spacing w:before="0" w:after="0"/>
              <w:rPr>
                <w:sz w:val="18"/>
              </w:rPr>
            </w:pPr>
            <w:r w:rsidRPr="00703F32">
              <w:rPr>
                <w:sz w:val="18"/>
              </w:rPr>
              <w:t>If self-administration/home treatment is deemed appropriate, ensure that the patient/carer receives clear instructions, adequate training on intravenous administration and has demonstrated the ability to perform intravenous infusions.</w:t>
            </w:r>
          </w:p>
        </w:tc>
      </w:tr>
    </w:tbl>
    <w:p w14:paraId="38CAB853" w14:textId="77777777" w:rsidR="00561EA7" w:rsidRDefault="00561EA7" w:rsidP="00D77AF7">
      <w:pPr>
        <w:pStyle w:val="BodyText"/>
        <w:spacing w:after="0"/>
        <w:rPr>
          <w:lang w:val="en-GB" w:eastAsia="ja-JP"/>
        </w:rPr>
      </w:pPr>
    </w:p>
    <w:p w14:paraId="540E14CE" w14:textId="77777777" w:rsidR="00561EA7" w:rsidRDefault="00561EA7" w:rsidP="00D77AF7">
      <w:pPr>
        <w:pStyle w:val="BodyText"/>
        <w:spacing w:after="0"/>
        <w:rPr>
          <w:lang w:val="en-GB" w:eastAsia="ja-JP"/>
        </w:rPr>
      </w:pPr>
      <w:r>
        <w:rPr>
          <w:lang w:val="en-GB" w:eastAsia="ja-JP"/>
        </w:rPr>
        <w:t>Patients who are unable to self-administer</w:t>
      </w:r>
      <w:r w:rsidR="004858E3">
        <w:rPr>
          <w:lang w:val="en-GB" w:eastAsia="ja-JP"/>
        </w:rPr>
        <w:t>, and do not have the option</w:t>
      </w:r>
      <w:r>
        <w:rPr>
          <w:lang w:val="en-GB" w:eastAsia="ja-JP"/>
        </w:rPr>
        <w:t xml:space="preserve"> of administration by another person such as a family member or a career, can access on demand </w:t>
      </w:r>
      <w:r w:rsidR="004858E3">
        <w:rPr>
          <w:lang w:val="en-GB" w:eastAsia="ja-JP"/>
        </w:rPr>
        <w:t>administration</w:t>
      </w:r>
      <w:r>
        <w:rPr>
          <w:lang w:val="en-GB" w:eastAsia="ja-JP"/>
        </w:rPr>
        <w:t xml:space="preserve"> using the service of a c</w:t>
      </w:r>
      <w:r w:rsidR="004858E3">
        <w:rPr>
          <w:lang w:val="en-GB" w:eastAsia="ja-JP"/>
        </w:rPr>
        <w:t>ommunity nurse, GP or other out-of-</w:t>
      </w:r>
      <w:r>
        <w:rPr>
          <w:lang w:val="en-GB" w:eastAsia="ja-JP"/>
        </w:rPr>
        <w:t>hospital health professional.</w:t>
      </w:r>
    </w:p>
    <w:p w14:paraId="3B40F5B5" w14:textId="77777777" w:rsidR="00B60CB7" w:rsidRPr="00703F32" w:rsidRDefault="00B60CB7" w:rsidP="00D77AF7">
      <w:pPr>
        <w:pStyle w:val="BodyText"/>
        <w:spacing w:after="0"/>
      </w:pPr>
    </w:p>
    <w:p w14:paraId="461EF68C" w14:textId="77777777"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2CE531E0" w14:textId="77777777" w:rsidR="00BC1364" w:rsidRPr="00D77AF7" w:rsidRDefault="00BC1364" w:rsidP="00DD2858">
      <w:pPr>
        <w:rPr>
          <w:szCs w:val="24"/>
        </w:rPr>
      </w:pPr>
    </w:p>
    <w:p w14:paraId="4AC5E5C6" w14:textId="2EB4DD82" w:rsidR="002F2D67" w:rsidRPr="00924F61" w:rsidRDefault="00027046" w:rsidP="00DF4DDA">
      <w:pPr>
        <w:tabs>
          <w:tab w:val="left" w:pos="720"/>
          <w:tab w:val="left" w:pos="1140"/>
        </w:tabs>
        <w:rPr>
          <w:iCs/>
        </w:rPr>
      </w:pPr>
      <w:r>
        <w:rPr>
          <w:szCs w:val="24"/>
        </w:rPr>
        <w:t>PASC received eighteen</w:t>
      </w:r>
      <w:r w:rsidR="00F751B0">
        <w:rPr>
          <w:szCs w:val="24"/>
        </w:rPr>
        <w:t xml:space="preserve"> public responses including </w:t>
      </w:r>
      <w:r>
        <w:rPr>
          <w:szCs w:val="24"/>
        </w:rPr>
        <w:t>one general practitioner, eleven consumers and 6 peak organisations</w:t>
      </w:r>
      <w:r w:rsidR="00F751B0">
        <w:rPr>
          <w:szCs w:val="24"/>
        </w:rPr>
        <w:t xml:space="preserve">. </w:t>
      </w:r>
      <w:r w:rsidR="002F2D67" w:rsidRPr="00924F61">
        <w:rPr>
          <w:iCs/>
        </w:rPr>
        <w:t xml:space="preserve">The feedback received confirmed the potential positive </w:t>
      </w:r>
      <w:r w:rsidR="002F2D67" w:rsidRPr="00924F61">
        <w:rPr>
          <w:iCs/>
        </w:rPr>
        <w:lastRenderedPageBreak/>
        <w:t xml:space="preserve">impact for treatment and quality of life of the small number of relevant patients with HAE and associated conditions, particularly for whom currently available therapies are not adequate (such as: children, pregnant and lactating women). </w:t>
      </w:r>
    </w:p>
    <w:p w14:paraId="61BDF59E" w14:textId="77777777" w:rsidR="00BC1364" w:rsidRPr="00D77AF7" w:rsidRDefault="00BC1364" w:rsidP="00DD2858">
      <w:pPr>
        <w:rPr>
          <w:szCs w:val="24"/>
        </w:rPr>
      </w:pPr>
    </w:p>
    <w:p w14:paraId="4F849F04" w14:textId="77777777" w:rsidR="00BC1364" w:rsidRDefault="00BC1364" w:rsidP="007B32D1">
      <w:pPr>
        <w:pStyle w:val="Heading1"/>
        <w:numPr>
          <w:ilvl w:val="0"/>
          <w:numId w:val="23"/>
        </w:numPr>
        <w:ind w:hanging="720"/>
      </w:pPr>
      <w:r w:rsidRPr="00D90A38">
        <w:t>Proposed intervention’s place in clinical management</w:t>
      </w:r>
    </w:p>
    <w:p w14:paraId="2DD53685" w14:textId="77777777" w:rsidR="00BC1364" w:rsidRPr="00D77AF7" w:rsidRDefault="00BC1364" w:rsidP="00DD2858">
      <w:pPr>
        <w:rPr>
          <w:szCs w:val="24"/>
        </w:rPr>
      </w:pPr>
    </w:p>
    <w:p w14:paraId="67994C87" w14:textId="77777777" w:rsidR="00561EA7" w:rsidRDefault="00561EA7" w:rsidP="00561EA7">
      <w:pPr>
        <w:pStyle w:val="BodyText"/>
        <w:spacing w:after="0"/>
      </w:pPr>
      <w:r>
        <w:t xml:space="preserve">The </w:t>
      </w:r>
      <w:r w:rsidRPr="00703F32">
        <w:t xml:space="preserve">clinical management algorithm </w:t>
      </w:r>
      <w:r>
        <w:t xml:space="preserve">below describes </w:t>
      </w:r>
      <w:r w:rsidRPr="00703F32">
        <w:t>the option</w:t>
      </w:r>
      <w:r>
        <w:t>s</w:t>
      </w:r>
      <w:r w:rsidRPr="00703F32">
        <w:t xml:space="preserve"> of self-administration of either icatibant or C1-INH concentrate </w:t>
      </w:r>
      <w:r>
        <w:t xml:space="preserve">for an acute attack of HAE </w:t>
      </w:r>
      <w:r w:rsidRPr="00703F32">
        <w:t>prior to presentation at hospital, if they are at hand</w:t>
      </w:r>
      <w:r>
        <w:t>. Corresponding clinical management algorithms</w:t>
      </w:r>
      <w:r w:rsidR="004858E3">
        <w:t xml:space="preserve"> for pre-procedural prophylaxis and routine prophylaxis, which do not involve a comparison with icatibant and reserve C1-INH </w:t>
      </w:r>
      <w:r w:rsidR="00D932DD">
        <w:t xml:space="preserve">concentrate </w:t>
      </w:r>
      <w:r w:rsidR="004858E3">
        <w:t>to second-line therapy,</w:t>
      </w:r>
      <w:r>
        <w:t xml:space="preserve"> are available </w:t>
      </w:r>
      <w:r w:rsidR="004858E3">
        <w:t>in the Protocol</w:t>
      </w:r>
      <w:r>
        <w:t>.</w:t>
      </w:r>
    </w:p>
    <w:p w14:paraId="7F19CA6E" w14:textId="77777777" w:rsidR="00561EA7" w:rsidRPr="00703F32" w:rsidRDefault="00561EA7" w:rsidP="00561EA7">
      <w:pPr>
        <w:pStyle w:val="Caption"/>
        <w:ind w:left="0" w:firstLine="0"/>
      </w:pPr>
      <w:bookmarkStart w:id="6" w:name="_Ref415562979"/>
      <w:bookmarkStart w:id="7" w:name="_Toc415654578"/>
      <w:bookmarkStart w:id="8" w:name="_Toc416340263"/>
      <w:bookmarkStart w:id="9" w:name="_Toc417862445"/>
      <w:bookmarkStart w:id="10" w:name="_Toc417901570"/>
      <w:bookmarkStart w:id="11" w:name="_Toc419428847"/>
      <w:r w:rsidRPr="00703F32">
        <w:t>Figure</w:t>
      </w:r>
      <w:bookmarkEnd w:id="6"/>
      <w:r>
        <w:t xml:space="preserve"> 1</w:t>
      </w:r>
      <w:r w:rsidRPr="00703F32">
        <w:tab/>
      </w:r>
      <w:r w:rsidR="004858E3">
        <w:t>C</w:t>
      </w:r>
      <w:r w:rsidRPr="00703F32">
        <w:t>linical management algorithm for an acute attack of HAE</w:t>
      </w:r>
      <w:bookmarkEnd w:id="7"/>
      <w:bookmarkEnd w:id="8"/>
      <w:bookmarkEnd w:id="9"/>
      <w:bookmarkEnd w:id="10"/>
      <w:bookmarkEnd w:id="11"/>
    </w:p>
    <w:p w14:paraId="1B77D3AD" w14:textId="77777777" w:rsidR="00561EA7" w:rsidRPr="00703F32" w:rsidRDefault="00561EA7" w:rsidP="00561EA7">
      <w:pPr>
        <w:keepNext/>
        <w:pBdr>
          <w:top w:val="single" w:sz="4" w:space="1" w:color="auto"/>
          <w:left w:val="single" w:sz="4" w:space="4" w:color="auto"/>
          <w:bottom w:val="single" w:sz="4" w:space="1" w:color="auto"/>
          <w:right w:val="single" w:sz="4" w:space="4" w:color="auto"/>
        </w:pBdr>
        <w:spacing w:after="40" w:line="259" w:lineRule="auto"/>
        <w:jc w:val="center"/>
        <w:rPr>
          <w:sz w:val="22"/>
          <w:szCs w:val="24"/>
        </w:rPr>
      </w:pPr>
      <w:r w:rsidRPr="00703F32">
        <w:rPr>
          <w:noProof/>
          <w:sz w:val="22"/>
          <w:szCs w:val="24"/>
        </w:rPr>
        <w:drawing>
          <wp:inline distT="0" distB="0" distL="0" distR="0" wp14:anchorId="1E591CBC" wp14:editId="61E93758">
            <wp:extent cx="4640003" cy="5677786"/>
            <wp:effectExtent l="0" t="0" r="8255" b="0"/>
            <wp:docPr id="1" name="Picture 1" descr="A peripheral HAE attack may affect the head, neck, hands, feet or urogenital area, treatment would be with icatibant or C1-INH concentrate. The patient may recover, if the patient becomes worse/complications they will go to hospital. The resulting outcomes are that the patient improves – observe and discharge, immunologist review &amp; renew supply of icatibant or C1-INH concentrate, or if the patient is no better or worse – reassess, supportive treatment (eg fluids) or repeat icatibant or C1-INH concentrate. If the episode terminates – the patient may be discharged, immunologist review and renew supply of icatibant or C1-INH concentrate. The same clinical management would be used for a moderate/severe HAE attack with abdominal pain.&#10;A peripheral HAE attack in other areas or a very mild HAE attack with abdominal pain would receive supportive treatment.&#10;An HAE attack with oropharyngeal or voice change/laryngeal would receive treatment with icatibant or C1-INH concentrate AND/OR early transfer to hospital. In hospital the outcomes are as stated above.&#10;" title="ASCIA clinical management algorithm for an acute attack of H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IA clinical treatment algorit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7148" cy="5686530"/>
                    </a:xfrm>
                    <a:prstGeom prst="rect">
                      <a:avLst/>
                    </a:prstGeom>
                    <a:noFill/>
                    <a:ln>
                      <a:noFill/>
                    </a:ln>
                  </pic:spPr>
                </pic:pic>
              </a:graphicData>
            </a:graphic>
          </wp:inline>
        </w:drawing>
      </w:r>
    </w:p>
    <w:p w14:paraId="5F00551C" w14:textId="77777777" w:rsidR="00561EA7" w:rsidRPr="00BE4198" w:rsidRDefault="00561EA7" w:rsidP="00561EA7">
      <w:pPr>
        <w:pStyle w:val="09Tablefootnotes"/>
        <w:ind w:left="0"/>
        <w:rPr>
          <w:rFonts w:ascii="Arial" w:hAnsi="Arial" w:cs="Arial"/>
          <w:sz w:val="18"/>
          <w:szCs w:val="18"/>
        </w:rPr>
      </w:pPr>
      <w:r w:rsidRPr="00BE4198">
        <w:rPr>
          <w:rFonts w:ascii="Arial" w:hAnsi="Arial" w:cs="Arial"/>
          <w:b/>
          <w:sz w:val="18"/>
          <w:szCs w:val="18"/>
        </w:rPr>
        <w:t>Source:</w:t>
      </w:r>
      <w:r w:rsidRPr="00BE4198">
        <w:rPr>
          <w:rFonts w:ascii="Arial" w:hAnsi="Arial" w:cs="Arial"/>
          <w:sz w:val="18"/>
          <w:szCs w:val="18"/>
        </w:rPr>
        <w:t xml:space="preserve"> ASCIA Position Paper on Hereditary Angioedema (</w:t>
      </w:r>
      <w:proofErr w:type="spellStart"/>
      <w:r w:rsidRPr="00BE4198">
        <w:rPr>
          <w:rFonts w:ascii="Arial" w:hAnsi="Arial" w:cs="Arial"/>
          <w:sz w:val="18"/>
          <w:szCs w:val="18"/>
        </w:rPr>
        <w:t>Katelaris</w:t>
      </w:r>
      <w:proofErr w:type="spellEnd"/>
      <w:r w:rsidRPr="00BE4198">
        <w:rPr>
          <w:rFonts w:ascii="Arial" w:hAnsi="Arial" w:cs="Arial"/>
          <w:sz w:val="18"/>
          <w:szCs w:val="18"/>
        </w:rPr>
        <w:t xml:space="preserve"> et al, 2012).</w:t>
      </w:r>
    </w:p>
    <w:p w14:paraId="2ACDF508" w14:textId="77777777" w:rsidR="00561EA7" w:rsidRPr="00BE4198" w:rsidRDefault="00561EA7" w:rsidP="00561EA7">
      <w:pPr>
        <w:rPr>
          <w:rFonts w:ascii="Arial" w:hAnsi="Arial" w:cs="Arial"/>
          <w:sz w:val="18"/>
          <w:szCs w:val="18"/>
        </w:rPr>
      </w:pPr>
      <w:r w:rsidRPr="00BE4198">
        <w:rPr>
          <w:rFonts w:ascii="Arial" w:hAnsi="Arial" w:cs="Arial"/>
          <w:b/>
          <w:sz w:val="18"/>
          <w:szCs w:val="18"/>
        </w:rPr>
        <w:t xml:space="preserve">Abbreviations: </w:t>
      </w:r>
      <w:r w:rsidRPr="00BE4198">
        <w:rPr>
          <w:rFonts w:ascii="Arial" w:hAnsi="Arial" w:cs="Arial"/>
          <w:sz w:val="18"/>
          <w:szCs w:val="18"/>
        </w:rPr>
        <w:t>ASCIA, Australasian Society of Clinical Immunology and Allergy; C1-INH, C1 esterase inhibitor; HAE, hereditary angioedema.</w:t>
      </w:r>
    </w:p>
    <w:p w14:paraId="3A3DEFED" w14:textId="77777777" w:rsidR="00BC1364" w:rsidRPr="004858E3" w:rsidRDefault="00BC1364" w:rsidP="00DD2858">
      <w:pPr>
        <w:rPr>
          <w:szCs w:val="24"/>
        </w:rPr>
      </w:pPr>
    </w:p>
    <w:p w14:paraId="7B525A40" w14:textId="77777777" w:rsidR="00694838" w:rsidRDefault="00694838">
      <w:pPr>
        <w:rPr>
          <w:rFonts w:ascii="Arial" w:hAnsi="Arial"/>
          <w:b/>
          <w:bCs/>
          <w:szCs w:val="28"/>
        </w:rPr>
      </w:pPr>
      <w:r>
        <w:br w:type="page"/>
      </w:r>
    </w:p>
    <w:p w14:paraId="752A1D87" w14:textId="55500EBD" w:rsidR="00BC1364" w:rsidRPr="008D5885" w:rsidRDefault="004858E3" w:rsidP="007B32D1">
      <w:pPr>
        <w:pStyle w:val="Heading1"/>
        <w:numPr>
          <w:ilvl w:val="0"/>
          <w:numId w:val="23"/>
        </w:numPr>
        <w:ind w:hanging="720"/>
      </w:pPr>
      <w:r>
        <w:lastRenderedPageBreak/>
        <w:t>Comparator</w:t>
      </w:r>
    </w:p>
    <w:p w14:paraId="6BBBBA5A" w14:textId="77777777" w:rsidR="00BC1364" w:rsidRPr="004858E3" w:rsidRDefault="00BC1364" w:rsidP="00DD2858">
      <w:pPr>
        <w:rPr>
          <w:szCs w:val="24"/>
        </w:rPr>
      </w:pPr>
    </w:p>
    <w:p w14:paraId="1BE907B5" w14:textId="77777777" w:rsidR="00561EA7" w:rsidRDefault="00561EA7" w:rsidP="004858E3">
      <w:pPr>
        <w:tabs>
          <w:tab w:val="left" w:pos="720"/>
          <w:tab w:val="left" w:pos="1140"/>
        </w:tabs>
        <w:rPr>
          <w:szCs w:val="24"/>
        </w:rPr>
      </w:pPr>
      <w:r>
        <w:rPr>
          <w:szCs w:val="24"/>
        </w:rPr>
        <w:t xml:space="preserve">The </w:t>
      </w:r>
      <w:r w:rsidRPr="00C863BE">
        <w:rPr>
          <w:szCs w:val="24"/>
        </w:rPr>
        <w:t>comparators for each of the indications and populations of interest are</w:t>
      </w:r>
      <w:r>
        <w:rPr>
          <w:szCs w:val="24"/>
        </w:rPr>
        <w:t xml:space="preserve"> as follows:</w:t>
      </w:r>
    </w:p>
    <w:p w14:paraId="55D96BB7" w14:textId="77777777" w:rsidR="00561EA7" w:rsidRPr="00C863BE" w:rsidRDefault="00561EA7" w:rsidP="004858E3">
      <w:pPr>
        <w:tabs>
          <w:tab w:val="left" w:pos="720"/>
          <w:tab w:val="left" w:pos="1140"/>
        </w:tabs>
        <w:rPr>
          <w:szCs w:val="24"/>
        </w:rPr>
      </w:pPr>
    </w:p>
    <w:p w14:paraId="110637D4" w14:textId="6DCF54D7" w:rsidR="00561EA7" w:rsidRDefault="00561EA7" w:rsidP="00561EA7">
      <w:pPr>
        <w:pStyle w:val="Caption"/>
        <w:ind w:left="0" w:firstLine="0"/>
      </w:pPr>
      <w:bookmarkStart w:id="12" w:name="_Ref416440563"/>
      <w:bookmarkStart w:id="13" w:name="_Toc417862280"/>
      <w:bookmarkStart w:id="14" w:name="_Toc419428682"/>
      <w:r w:rsidRPr="00703F32">
        <w:t>Table</w:t>
      </w:r>
      <w:bookmarkEnd w:id="12"/>
      <w:r w:rsidR="000D57A3">
        <w:t xml:space="preserve"> 2</w:t>
      </w:r>
      <w:r w:rsidRPr="00703F32">
        <w:tab/>
        <w:t>Comparator treatments for C1-INH concentrate for various HAE indications and populations</w:t>
      </w:r>
      <w:bookmarkEnd w:id="13"/>
      <w:bookmarkEnd w:id="14"/>
    </w:p>
    <w:tbl>
      <w:tblPr>
        <w:tblStyle w:val="TableGrid1"/>
        <w:tblpPr w:leftFromText="180" w:rightFromText="180" w:vertAnchor="text" w:horzAnchor="margin" w:tblpX="108" w:tblpY="108"/>
        <w:tblW w:w="4720" w:type="pct"/>
        <w:tblLayout w:type="fixed"/>
        <w:tblLook w:val="04A0" w:firstRow="1" w:lastRow="0" w:firstColumn="1" w:lastColumn="0" w:noHBand="0" w:noVBand="1"/>
        <w:tblCaption w:val="Comparator treatments for C1-INH concentrate"/>
        <w:tblDescription w:val="Comparator treatments for C1-INH concentrate for various HAE indications and populations"/>
      </w:tblPr>
      <w:tblGrid>
        <w:gridCol w:w="1735"/>
        <w:gridCol w:w="1980"/>
        <w:gridCol w:w="1846"/>
        <w:gridCol w:w="3163"/>
      </w:tblGrid>
      <w:tr w:rsidR="00561EA7" w:rsidRPr="00703F32" w14:paraId="505EB367" w14:textId="77777777" w:rsidTr="002758A8">
        <w:trPr>
          <w:cnfStyle w:val="100000000000" w:firstRow="1" w:lastRow="0" w:firstColumn="0" w:lastColumn="0" w:oddVBand="0" w:evenVBand="0" w:oddHBand="0" w:evenHBand="0" w:firstRowFirstColumn="0" w:firstRowLastColumn="0" w:lastRowFirstColumn="0" w:lastRowLastColumn="0"/>
          <w:tblHeader/>
        </w:trPr>
        <w:tc>
          <w:tcPr>
            <w:tcW w:w="994" w:type="pct"/>
            <w:tcBorders>
              <w:bottom w:val="single" w:sz="4" w:space="0" w:color="auto"/>
            </w:tcBorders>
            <w:vAlign w:val="bottom"/>
          </w:tcPr>
          <w:p w14:paraId="36988C85" w14:textId="77777777" w:rsidR="00561EA7" w:rsidRPr="00703F32" w:rsidRDefault="00561EA7" w:rsidP="002758A8">
            <w:pPr>
              <w:spacing w:before="20"/>
              <w:rPr>
                <w:rFonts w:ascii="Arial Narrow" w:hAnsi="Arial Narrow"/>
                <w:b/>
                <w:sz w:val="18"/>
              </w:rPr>
            </w:pPr>
            <w:r w:rsidRPr="00703F32">
              <w:rPr>
                <w:rFonts w:ascii="Arial Narrow" w:hAnsi="Arial Narrow"/>
                <w:b/>
                <w:sz w:val="18"/>
              </w:rPr>
              <w:t>Population</w:t>
            </w:r>
          </w:p>
          <w:p w14:paraId="15538F41" w14:textId="77777777" w:rsidR="00561EA7" w:rsidRPr="00703F32" w:rsidRDefault="00561EA7" w:rsidP="002758A8">
            <w:pPr>
              <w:tabs>
                <w:tab w:val="left" w:pos="284"/>
              </w:tabs>
              <w:spacing w:before="20"/>
              <w:rPr>
                <w:rFonts w:ascii="Arial Narrow" w:hAnsi="Arial Narrow"/>
                <w:sz w:val="18"/>
              </w:rPr>
            </w:pPr>
            <w:r w:rsidRPr="00703F32">
              <w:rPr>
                <w:rFonts w:ascii="Arial Narrow" w:hAnsi="Arial Narrow"/>
                <w:b/>
                <w:sz w:val="18"/>
              </w:rPr>
              <w:tab/>
            </w:r>
            <w:r w:rsidRPr="00703F32">
              <w:rPr>
                <w:rFonts w:ascii="Arial Narrow" w:hAnsi="Arial Narrow"/>
                <w:sz w:val="18"/>
              </w:rPr>
              <w:t>Indication</w:t>
            </w:r>
          </w:p>
        </w:tc>
        <w:tc>
          <w:tcPr>
            <w:tcW w:w="1135" w:type="pct"/>
            <w:tcBorders>
              <w:bottom w:val="single" w:sz="4" w:space="0" w:color="auto"/>
            </w:tcBorders>
            <w:vAlign w:val="bottom"/>
          </w:tcPr>
          <w:p w14:paraId="41AB6849" w14:textId="77777777" w:rsidR="00561EA7" w:rsidRPr="00703F32" w:rsidRDefault="00561EA7" w:rsidP="002758A8">
            <w:pPr>
              <w:spacing w:before="20"/>
              <w:rPr>
                <w:rFonts w:ascii="Arial Narrow" w:hAnsi="Arial Narrow"/>
                <w:b/>
                <w:sz w:val="18"/>
              </w:rPr>
            </w:pPr>
            <w:r w:rsidRPr="00703F32">
              <w:rPr>
                <w:rFonts w:ascii="Arial Narrow" w:hAnsi="Arial Narrow"/>
                <w:b/>
                <w:sz w:val="18"/>
              </w:rPr>
              <w:t>Comparator</w:t>
            </w:r>
          </w:p>
        </w:tc>
        <w:tc>
          <w:tcPr>
            <w:tcW w:w="1058" w:type="pct"/>
            <w:tcBorders>
              <w:bottom w:val="single" w:sz="4" w:space="0" w:color="auto"/>
            </w:tcBorders>
            <w:vAlign w:val="bottom"/>
          </w:tcPr>
          <w:p w14:paraId="67CC90C8" w14:textId="77777777" w:rsidR="00561EA7" w:rsidRPr="00703F32" w:rsidRDefault="00561EA7" w:rsidP="002758A8">
            <w:pPr>
              <w:spacing w:before="20"/>
              <w:rPr>
                <w:rFonts w:ascii="Arial Narrow" w:hAnsi="Arial Narrow"/>
                <w:b/>
                <w:sz w:val="18"/>
              </w:rPr>
            </w:pPr>
            <w:r w:rsidRPr="00703F32">
              <w:rPr>
                <w:rFonts w:ascii="Arial Narrow" w:hAnsi="Arial Narrow"/>
                <w:b/>
                <w:sz w:val="18"/>
              </w:rPr>
              <w:t xml:space="preserve">Is C1-INH concentrate currently </w:t>
            </w:r>
            <w:proofErr w:type="spellStart"/>
            <w:r w:rsidRPr="00703F32">
              <w:rPr>
                <w:rFonts w:ascii="Arial Narrow" w:hAnsi="Arial Narrow"/>
                <w:b/>
                <w:sz w:val="18"/>
              </w:rPr>
              <w:t>used?</w:t>
            </w:r>
            <w:r w:rsidRPr="00703F32">
              <w:rPr>
                <w:rFonts w:ascii="Arial Narrow" w:hAnsi="Arial Narrow"/>
                <w:b/>
                <w:sz w:val="18"/>
                <w:vertAlign w:val="superscript"/>
              </w:rPr>
              <w:t>a</w:t>
            </w:r>
            <w:proofErr w:type="spellEnd"/>
          </w:p>
        </w:tc>
        <w:tc>
          <w:tcPr>
            <w:tcW w:w="1813" w:type="pct"/>
            <w:tcBorders>
              <w:bottom w:val="single" w:sz="4" w:space="0" w:color="auto"/>
            </w:tcBorders>
            <w:vAlign w:val="bottom"/>
          </w:tcPr>
          <w:p w14:paraId="2DDB47D0" w14:textId="77777777" w:rsidR="00561EA7" w:rsidRPr="00703F32" w:rsidRDefault="00561EA7" w:rsidP="002758A8">
            <w:pPr>
              <w:spacing w:before="20"/>
              <w:rPr>
                <w:rFonts w:ascii="Arial Narrow" w:hAnsi="Arial Narrow"/>
                <w:b/>
                <w:sz w:val="18"/>
              </w:rPr>
            </w:pPr>
            <w:r w:rsidRPr="00703F32">
              <w:rPr>
                <w:rFonts w:ascii="Arial Narrow" w:hAnsi="Arial Narrow"/>
                <w:b/>
                <w:sz w:val="18"/>
              </w:rPr>
              <w:t>Comments</w:t>
            </w:r>
          </w:p>
        </w:tc>
      </w:tr>
      <w:tr w:rsidR="00561EA7" w:rsidRPr="00703F32" w14:paraId="40996391" w14:textId="77777777" w:rsidTr="002758A8">
        <w:tc>
          <w:tcPr>
            <w:tcW w:w="994" w:type="pct"/>
            <w:tcBorders>
              <w:right w:val="nil"/>
            </w:tcBorders>
            <w:shd w:val="clear" w:color="auto" w:fill="auto"/>
          </w:tcPr>
          <w:p w14:paraId="5C156323" w14:textId="77777777" w:rsidR="00561EA7" w:rsidRPr="00703F32" w:rsidRDefault="00561EA7" w:rsidP="002758A8">
            <w:pPr>
              <w:pStyle w:val="02Tabletextboldleft"/>
            </w:pPr>
            <w:r w:rsidRPr="00703F32">
              <w:t xml:space="preserve">Adults </w:t>
            </w:r>
            <w:r>
              <w:t>/</w:t>
            </w:r>
            <w:r w:rsidRPr="00703F32">
              <w:t>adolescents</w:t>
            </w:r>
          </w:p>
        </w:tc>
        <w:tc>
          <w:tcPr>
            <w:tcW w:w="1135" w:type="pct"/>
            <w:tcBorders>
              <w:left w:val="nil"/>
              <w:right w:val="nil"/>
            </w:tcBorders>
            <w:shd w:val="clear" w:color="auto" w:fill="auto"/>
          </w:tcPr>
          <w:p w14:paraId="3B89250F" w14:textId="77777777" w:rsidR="00561EA7" w:rsidRPr="00703F32" w:rsidRDefault="00561EA7" w:rsidP="002758A8">
            <w:pPr>
              <w:pStyle w:val="02Tabletextboldleft"/>
            </w:pPr>
          </w:p>
        </w:tc>
        <w:tc>
          <w:tcPr>
            <w:tcW w:w="1058" w:type="pct"/>
            <w:tcBorders>
              <w:left w:val="nil"/>
              <w:right w:val="nil"/>
            </w:tcBorders>
            <w:shd w:val="clear" w:color="auto" w:fill="auto"/>
          </w:tcPr>
          <w:p w14:paraId="175F8725" w14:textId="77777777" w:rsidR="00561EA7" w:rsidRPr="00703F32" w:rsidRDefault="00561EA7" w:rsidP="002758A8">
            <w:pPr>
              <w:pStyle w:val="02Tabletextboldleft"/>
            </w:pPr>
          </w:p>
        </w:tc>
        <w:tc>
          <w:tcPr>
            <w:tcW w:w="1813" w:type="pct"/>
            <w:tcBorders>
              <w:left w:val="nil"/>
            </w:tcBorders>
            <w:shd w:val="clear" w:color="auto" w:fill="auto"/>
          </w:tcPr>
          <w:p w14:paraId="46D04FFC" w14:textId="77777777" w:rsidR="00561EA7" w:rsidRPr="00703F32" w:rsidRDefault="00561EA7" w:rsidP="002758A8">
            <w:pPr>
              <w:pStyle w:val="02Tabletextboldleft"/>
            </w:pPr>
          </w:p>
        </w:tc>
      </w:tr>
      <w:tr w:rsidR="00561EA7" w:rsidRPr="00703F32" w14:paraId="6EE0FCB4" w14:textId="77777777" w:rsidTr="002758A8">
        <w:tc>
          <w:tcPr>
            <w:tcW w:w="994" w:type="pct"/>
          </w:tcPr>
          <w:p w14:paraId="578D9687" w14:textId="77777777" w:rsidR="00561EA7" w:rsidRPr="00703F32" w:rsidRDefault="00561EA7" w:rsidP="002758A8">
            <w:pPr>
              <w:pStyle w:val="01Tabletext"/>
              <w:ind w:left="283"/>
            </w:pPr>
            <w:r w:rsidRPr="00703F32">
              <w:t>Acute attack</w:t>
            </w:r>
          </w:p>
        </w:tc>
        <w:tc>
          <w:tcPr>
            <w:tcW w:w="1135" w:type="pct"/>
          </w:tcPr>
          <w:p w14:paraId="6DD4A59D" w14:textId="77777777" w:rsidR="00561EA7" w:rsidRPr="00703F32" w:rsidRDefault="00561EA7" w:rsidP="002758A8">
            <w:pPr>
              <w:pStyle w:val="01Tabletext"/>
            </w:pPr>
            <w:r w:rsidRPr="00703F32">
              <w:t>Icatibant</w:t>
            </w:r>
          </w:p>
        </w:tc>
        <w:tc>
          <w:tcPr>
            <w:tcW w:w="1058" w:type="pct"/>
          </w:tcPr>
          <w:p w14:paraId="11E25972" w14:textId="77777777" w:rsidR="00561EA7" w:rsidRPr="00703F32" w:rsidRDefault="00561EA7" w:rsidP="002758A8">
            <w:pPr>
              <w:pStyle w:val="01Tabletext"/>
              <w:jc w:val="center"/>
            </w:pPr>
            <w:r w:rsidRPr="00703F32">
              <w:t>Yes</w:t>
            </w:r>
          </w:p>
        </w:tc>
        <w:tc>
          <w:tcPr>
            <w:tcW w:w="1813" w:type="pct"/>
          </w:tcPr>
          <w:p w14:paraId="338E22FC" w14:textId="77777777" w:rsidR="00561EA7" w:rsidRPr="00703F32" w:rsidRDefault="00561EA7" w:rsidP="002758A8">
            <w:pPr>
              <w:pStyle w:val="01Tabletext"/>
            </w:pPr>
            <w:r w:rsidRPr="00703F32">
              <w:t>Recommended alongside C1-INH concentrate.</w:t>
            </w:r>
          </w:p>
        </w:tc>
      </w:tr>
      <w:tr w:rsidR="00561EA7" w:rsidRPr="00703F32" w14:paraId="19408E38" w14:textId="77777777" w:rsidTr="002758A8">
        <w:tc>
          <w:tcPr>
            <w:tcW w:w="994" w:type="pct"/>
          </w:tcPr>
          <w:p w14:paraId="484B7974" w14:textId="77777777" w:rsidR="00561EA7" w:rsidRPr="00703F32" w:rsidRDefault="00561EA7" w:rsidP="002758A8">
            <w:pPr>
              <w:pStyle w:val="01Tabletext"/>
              <w:ind w:left="283"/>
              <w:rPr>
                <w:b/>
              </w:rPr>
            </w:pPr>
            <w:r w:rsidRPr="00703F32">
              <w:t>Pre-procedural prophylaxis, major procedures</w:t>
            </w:r>
            <w:r w:rsidRPr="00703F32">
              <w:rPr>
                <w:b/>
                <w:vertAlign w:val="superscript"/>
              </w:rPr>
              <w:t xml:space="preserve"> </w:t>
            </w:r>
          </w:p>
        </w:tc>
        <w:tc>
          <w:tcPr>
            <w:tcW w:w="1135" w:type="pct"/>
          </w:tcPr>
          <w:p w14:paraId="127F3EEB" w14:textId="77777777" w:rsidR="00561EA7" w:rsidRPr="00703F32" w:rsidRDefault="00561EA7" w:rsidP="002758A8">
            <w:pPr>
              <w:pStyle w:val="01Tabletext"/>
            </w:pPr>
            <w:r w:rsidRPr="00703F32">
              <w:t>No prophylaxis in patients who are intolerant to, or insufficie</w:t>
            </w:r>
            <w:r>
              <w:t>ntly protected by, oral therapy</w:t>
            </w:r>
          </w:p>
        </w:tc>
        <w:tc>
          <w:tcPr>
            <w:tcW w:w="1058" w:type="pct"/>
          </w:tcPr>
          <w:p w14:paraId="369D86CD" w14:textId="77777777" w:rsidR="00561EA7" w:rsidRPr="00703F32" w:rsidRDefault="00561EA7" w:rsidP="002758A8">
            <w:pPr>
              <w:pStyle w:val="01Tabletext"/>
              <w:jc w:val="center"/>
            </w:pPr>
            <w:r w:rsidRPr="00703F32">
              <w:t>Yes</w:t>
            </w:r>
          </w:p>
        </w:tc>
        <w:tc>
          <w:tcPr>
            <w:tcW w:w="1813" w:type="pct"/>
          </w:tcPr>
          <w:p w14:paraId="5449409C" w14:textId="77777777" w:rsidR="00561EA7" w:rsidRPr="00703F32" w:rsidRDefault="00561EA7" w:rsidP="002758A8">
            <w:pPr>
              <w:pStyle w:val="01Tabletext"/>
            </w:pPr>
            <w:r w:rsidRPr="00703F32">
              <w:t xml:space="preserve">PASC has advised that C1-INH concentrate </w:t>
            </w:r>
            <w:r>
              <w:t>(</w:t>
            </w:r>
            <w:proofErr w:type="spellStart"/>
            <w:r>
              <w:t>Cinryze</w:t>
            </w:r>
            <w:proofErr w:type="spellEnd"/>
            <w:r>
              <w:t xml:space="preserve">) </w:t>
            </w:r>
            <w:r w:rsidRPr="00703F32">
              <w:t>should be positioned after oral therapy for this indication due to lack of evidence.</w:t>
            </w:r>
          </w:p>
        </w:tc>
      </w:tr>
      <w:tr w:rsidR="00561EA7" w:rsidRPr="00703F32" w14:paraId="011E50AE" w14:textId="77777777" w:rsidTr="002758A8">
        <w:tc>
          <w:tcPr>
            <w:tcW w:w="994" w:type="pct"/>
            <w:tcBorders>
              <w:bottom w:val="single" w:sz="4" w:space="0" w:color="auto"/>
            </w:tcBorders>
          </w:tcPr>
          <w:p w14:paraId="5C9CC33F" w14:textId="77777777" w:rsidR="00561EA7" w:rsidRPr="00703F32" w:rsidRDefault="00561EA7" w:rsidP="002758A8">
            <w:pPr>
              <w:pStyle w:val="01Tabletext"/>
              <w:ind w:left="283"/>
            </w:pPr>
            <w:r w:rsidRPr="00703F32">
              <w:t>Routine prophylaxis</w:t>
            </w:r>
          </w:p>
        </w:tc>
        <w:tc>
          <w:tcPr>
            <w:tcW w:w="1135" w:type="pct"/>
            <w:tcBorders>
              <w:bottom w:val="single" w:sz="4" w:space="0" w:color="auto"/>
            </w:tcBorders>
          </w:tcPr>
          <w:p w14:paraId="04FB3DFA" w14:textId="77777777" w:rsidR="00561EA7" w:rsidRPr="00703F32" w:rsidRDefault="00561EA7" w:rsidP="002758A8">
            <w:pPr>
              <w:pStyle w:val="01Tabletext"/>
            </w:pPr>
            <w:r w:rsidRPr="00703F32">
              <w:t>No prophylaxis in patients who are intolerant to, or insufficiently protected by, oral therapy</w:t>
            </w:r>
          </w:p>
        </w:tc>
        <w:tc>
          <w:tcPr>
            <w:tcW w:w="1058" w:type="pct"/>
            <w:tcBorders>
              <w:bottom w:val="single" w:sz="4" w:space="0" w:color="auto"/>
            </w:tcBorders>
          </w:tcPr>
          <w:p w14:paraId="35855D7D" w14:textId="77777777" w:rsidR="00561EA7" w:rsidRPr="00703F32" w:rsidRDefault="00561EA7" w:rsidP="002758A8">
            <w:pPr>
              <w:pStyle w:val="01Tabletext"/>
              <w:jc w:val="center"/>
            </w:pPr>
            <w:r w:rsidRPr="00703F32">
              <w:t>No</w:t>
            </w:r>
            <w:r w:rsidRPr="00703F32">
              <w:rPr>
                <w:vertAlign w:val="superscript"/>
              </w:rPr>
              <w:t>b</w:t>
            </w:r>
          </w:p>
        </w:tc>
        <w:tc>
          <w:tcPr>
            <w:tcW w:w="1813" w:type="pct"/>
            <w:tcBorders>
              <w:bottom w:val="single" w:sz="4" w:space="0" w:color="auto"/>
            </w:tcBorders>
          </w:tcPr>
          <w:p w14:paraId="58604AB1" w14:textId="77777777" w:rsidR="00561EA7" w:rsidRPr="006440BA" w:rsidRDefault="00561EA7" w:rsidP="002758A8">
            <w:pPr>
              <w:pStyle w:val="01Tabletext"/>
            </w:pPr>
            <w:r w:rsidRPr="00703F32">
              <w:t xml:space="preserve">C1-INH concentrate </w:t>
            </w:r>
            <w:r>
              <w:t>(</w:t>
            </w:r>
            <w:proofErr w:type="spellStart"/>
            <w:r>
              <w:t>Cinryze</w:t>
            </w:r>
            <w:proofErr w:type="spellEnd"/>
            <w:r>
              <w:t xml:space="preserve">) </w:t>
            </w:r>
            <w:r w:rsidRPr="00703F32">
              <w:t xml:space="preserve">is recommended second line, after failure of oral therapy such as </w:t>
            </w:r>
            <w:proofErr w:type="spellStart"/>
            <w:r w:rsidRPr="00703F32">
              <w:t>danazol</w:t>
            </w:r>
            <w:proofErr w:type="spellEnd"/>
            <w:r w:rsidRPr="00703F32">
              <w:t>.</w:t>
            </w:r>
          </w:p>
        </w:tc>
      </w:tr>
      <w:tr w:rsidR="00561EA7" w:rsidRPr="00703F32" w14:paraId="30AE5A1A" w14:textId="77777777" w:rsidTr="002758A8">
        <w:tc>
          <w:tcPr>
            <w:tcW w:w="994" w:type="pct"/>
            <w:tcBorders>
              <w:right w:val="nil"/>
            </w:tcBorders>
            <w:shd w:val="clear" w:color="auto" w:fill="auto"/>
          </w:tcPr>
          <w:p w14:paraId="0309D7AA" w14:textId="77777777" w:rsidR="00561EA7" w:rsidRPr="00703F32" w:rsidRDefault="00561EA7" w:rsidP="002758A8">
            <w:pPr>
              <w:pStyle w:val="02Tabletextboldleft"/>
            </w:pPr>
            <w:r w:rsidRPr="00703F32">
              <w:t>Children</w:t>
            </w:r>
          </w:p>
        </w:tc>
        <w:tc>
          <w:tcPr>
            <w:tcW w:w="1135" w:type="pct"/>
            <w:tcBorders>
              <w:left w:val="nil"/>
              <w:right w:val="nil"/>
            </w:tcBorders>
            <w:shd w:val="clear" w:color="auto" w:fill="auto"/>
          </w:tcPr>
          <w:p w14:paraId="2BA34DEE" w14:textId="77777777" w:rsidR="00561EA7" w:rsidRPr="00703F32" w:rsidRDefault="00561EA7" w:rsidP="002758A8">
            <w:pPr>
              <w:pStyle w:val="02Tabletextboldleft"/>
              <w:rPr>
                <w:color w:val="D0CECE"/>
              </w:rPr>
            </w:pPr>
            <w:r w:rsidRPr="00703F32">
              <w:rPr>
                <w:color w:val="D0CECE"/>
              </w:rPr>
              <w:t>-</w:t>
            </w:r>
          </w:p>
        </w:tc>
        <w:tc>
          <w:tcPr>
            <w:tcW w:w="1058" w:type="pct"/>
            <w:tcBorders>
              <w:left w:val="nil"/>
              <w:right w:val="nil"/>
            </w:tcBorders>
            <w:shd w:val="clear" w:color="auto" w:fill="auto"/>
          </w:tcPr>
          <w:p w14:paraId="32F17924" w14:textId="77777777" w:rsidR="00561EA7" w:rsidRPr="00703F32" w:rsidRDefault="00561EA7" w:rsidP="002758A8">
            <w:pPr>
              <w:pStyle w:val="02Tabletextboldleft"/>
              <w:jc w:val="center"/>
              <w:rPr>
                <w:color w:val="D0CECE"/>
              </w:rPr>
            </w:pPr>
            <w:r w:rsidRPr="00703F32">
              <w:rPr>
                <w:color w:val="D0CECE"/>
              </w:rPr>
              <w:t>-</w:t>
            </w:r>
          </w:p>
        </w:tc>
        <w:tc>
          <w:tcPr>
            <w:tcW w:w="1813" w:type="pct"/>
            <w:tcBorders>
              <w:left w:val="nil"/>
            </w:tcBorders>
            <w:shd w:val="clear" w:color="auto" w:fill="auto"/>
          </w:tcPr>
          <w:p w14:paraId="74C124D1" w14:textId="77777777" w:rsidR="00561EA7" w:rsidRPr="00703F32" w:rsidRDefault="00561EA7" w:rsidP="002758A8">
            <w:pPr>
              <w:pStyle w:val="02Tabletextboldleft"/>
              <w:rPr>
                <w:color w:val="D0CECE"/>
              </w:rPr>
            </w:pPr>
            <w:r w:rsidRPr="00703F32">
              <w:rPr>
                <w:color w:val="D0CECE"/>
              </w:rPr>
              <w:t>-</w:t>
            </w:r>
          </w:p>
        </w:tc>
      </w:tr>
      <w:tr w:rsidR="00561EA7" w:rsidRPr="00703F32" w14:paraId="73130E1F" w14:textId="77777777" w:rsidTr="002758A8">
        <w:tc>
          <w:tcPr>
            <w:tcW w:w="994" w:type="pct"/>
          </w:tcPr>
          <w:p w14:paraId="2BC37688" w14:textId="77777777" w:rsidR="00561EA7" w:rsidRPr="00703F32" w:rsidRDefault="00561EA7" w:rsidP="002758A8">
            <w:pPr>
              <w:pStyle w:val="01Tabletext"/>
              <w:keepNext/>
              <w:ind w:left="283"/>
            </w:pPr>
            <w:r w:rsidRPr="00703F32">
              <w:t>Acute attack</w:t>
            </w:r>
          </w:p>
        </w:tc>
        <w:tc>
          <w:tcPr>
            <w:tcW w:w="1135" w:type="pct"/>
          </w:tcPr>
          <w:p w14:paraId="04A70624" w14:textId="77777777" w:rsidR="00561EA7" w:rsidRPr="00703F32" w:rsidRDefault="00561EA7" w:rsidP="002758A8">
            <w:pPr>
              <w:pStyle w:val="01Tabletext"/>
              <w:keepNext/>
            </w:pPr>
            <w:r w:rsidRPr="00703F32">
              <w:t xml:space="preserve">No </w:t>
            </w:r>
            <w:proofErr w:type="spellStart"/>
            <w:r w:rsidRPr="00703F32">
              <w:t>treatment</w:t>
            </w:r>
            <w:r w:rsidRPr="00703F32">
              <w:rPr>
                <w:vertAlign w:val="superscript"/>
              </w:rPr>
              <w:t>c</w:t>
            </w:r>
            <w:proofErr w:type="spellEnd"/>
          </w:p>
        </w:tc>
        <w:tc>
          <w:tcPr>
            <w:tcW w:w="1058" w:type="pct"/>
          </w:tcPr>
          <w:p w14:paraId="16A3588A" w14:textId="77777777" w:rsidR="00561EA7" w:rsidRPr="00703F32" w:rsidRDefault="00561EA7" w:rsidP="002758A8">
            <w:pPr>
              <w:pStyle w:val="01Tabletext"/>
              <w:keepNext/>
              <w:jc w:val="center"/>
            </w:pPr>
            <w:r w:rsidRPr="00703F32">
              <w:t>Yes</w:t>
            </w:r>
          </w:p>
        </w:tc>
        <w:tc>
          <w:tcPr>
            <w:tcW w:w="1813" w:type="pct"/>
          </w:tcPr>
          <w:p w14:paraId="13886839" w14:textId="77777777" w:rsidR="00561EA7" w:rsidRPr="00703F32" w:rsidRDefault="00561EA7" w:rsidP="002758A8">
            <w:pPr>
              <w:pStyle w:val="01Tabletext"/>
              <w:keepNext/>
            </w:pPr>
            <w:r w:rsidRPr="00703F32">
              <w:t>-</w:t>
            </w:r>
          </w:p>
        </w:tc>
      </w:tr>
      <w:tr w:rsidR="00561EA7" w:rsidRPr="00703F32" w14:paraId="7BD2A656" w14:textId="77777777" w:rsidTr="002758A8">
        <w:tc>
          <w:tcPr>
            <w:tcW w:w="994" w:type="pct"/>
            <w:tcBorders>
              <w:bottom w:val="single" w:sz="4" w:space="0" w:color="auto"/>
            </w:tcBorders>
          </w:tcPr>
          <w:p w14:paraId="3D11BD0A" w14:textId="77777777" w:rsidR="00561EA7" w:rsidRPr="00703F32" w:rsidRDefault="00561EA7" w:rsidP="002758A8">
            <w:pPr>
              <w:pStyle w:val="01Tabletext"/>
              <w:ind w:left="283"/>
            </w:pPr>
            <w:r w:rsidRPr="00703F32">
              <w:t>Pre-procedural prophylaxis, major procedures</w:t>
            </w:r>
          </w:p>
        </w:tc>
        <w:tc>
          <w:tcPr>
            <w:tcW w:w="1135" w:type="pct"/>
            <w:tcBorders>
              <w:bottom w:val="single" w:sz="4" w:space="0" w:color="auto"/>
            </w:tcBorders>
          </w:tcPr>
          <w:p w14:paraId="6C8DF32F" w14:textId="77777777" w:rsidR="00561EA7" w:rsidRPr="00703F32" w:rsidRDefault="00561EA7" w:rsidP="002758A8">
            <w:pPr>
              <w:pStyle w:val="01Tabletext"/>
            </w:pPr>
            <w:r w:rsidRPr="00703F32">
              <w:t>No prophylaxis in patients who are intolerant to or insufficiently protected by oral therapy</w:t>
            </w:r>
          </w:p>
        </w:tc>
        <w:tc>
          <w:tcPr>
            <w:tcW w:w="1058" w:type="pct"/>
            <w:tcBorders>
              <w:bottom w:val="single" w:sz="4" w:space="0" w:color="auto"/>
            </w:tcBorders>
          </w:tcPr>
          <w:p w14:paraId="1CB74804" w14:textId="77777777" w:rsidR="00561EA7" w:rsidRPr="00703F32" w:rsidRDefault="00561EA7" w:rsidP="002758A8">
            <w:pPr>
              <w:pStyle w:val="01Tabletext"/>
              <w:jc w:val="center"/>
            </w:pPr>
            <w:r w:rsidRPr="00703F32">
              <w:t>Yes</w:t>
            </w:r>
          </w:p>
        </w:tc>
        <w:tc>
          <w:tcPr>
            <w:tcW w:w="1813" w:type="pct"/>
            <w:tcBorders>
              <w:bottom w:val="single" w:sz="4" w:space="0" w:color="auto"/>
            </w:tcBorders>
          </w:tcPr>
          <w:p w14:paraId="3E527155" w14:textId="77777777" w:rsidR="00561EA7" w:rsidRPr="00703F32" w:rsidRDefault="00561EA7" w:rsidP="002758A8">
            <w:pPr>
              <w:pStyle w:val="01Tabletext"/>
            </w:pPr>
            <w:proofErr w:type="spellStart"/>
            <w:r w:rsidRPr="00703F32">
              <w:t>Cinryze</w:t>
            </w:r>
            <w:proofErr w:type="spellEnd"/>
            <w:r w:rsidRPr="00703F32">
              <w:t xml:space="preserve"> is not TGA-approved for children</w:t>
            </w:r>
            <w:r>
              <w:t xml:space="preserve"> &lt;12 years</w:t>
            </w:r>
            <w:r w:rsidRPr="00703F32">
              <w:t>.</w:t>
            </w:r>
          </w:p>
        </w:tc>
      </w:tr>
      <w:tr w:rsidR="00561EA7" w:rsidRPr="00703F32" w14:paraId="17F01C48" w14:textId="77777777" w:rsidTr="002758A8">
        <w:tc>
          <w:tcPr>
            <w:tcW w:w="994" w:type="pct"/>
            <w:tcBorders>
              <w:bottom w:val="single" w:sz="4" w:space="0" w:color="auto"/>
            </w:tcBorders>
          </w:tcPr>
          <w:p w14:paraId="5B4436FD" w14:textId="77777777" w:rsidR="00561EA7" w:rsidRPr="00703F32" w:rsidRDefault="00561EA7" w:rsidP="002758A8">
            <w:pPr>
              <w:pStyle w:val="01Tabletext"/>
              <w:ind w:left="283"/>
            </w:pPr>
            <w:r w:rsidRPr="00703F32">
              <w:t>Routine prophylaxis</w:t>
            </w:r>
          </w:p>
        </w:tc>
        <w:tc>
          <w:tcPr>
            <w:tcW w:w="1135" w:type="pct"/>
            <w:tcBorders>
              <w:bottom w:val="single" w:sz="4" w:space="0" w:color="auto"/>
            </w:tcBorders>
          </w:tcPr>
          <w:p w14:paraId="62FE6A97" w14:textId="77777777" w:rsidR="00561EA7" w:rsidRPr="00703F32" w:rsidRDefault="00561EA7" w:rsidP="002758A8">
            <w:pPr>
              <w:pStyle w:val="01Tabletext"/>
            </w:pPr>
            <w:r w:rsidRPr="00703F32">
              <w:t xml:space="preserve">No prophylaxis in patients who are intolerant to or insufficiently protected by oral </w:t>
            </w:r>
            <w:proofErr w:type="spellStart"/>
            <w:r w:rsidRPr="00703F32">
              <w:t>therapy</w:t>
            </w:r>
            <w:r w:rsidRPr="00703F32">
              <w:rPr>
                <w:vertAlign w:val="superscript"/>
              </w:rPr>
              <w:t>d</w:t>
            </w:r>
            <w:proofErr w:type="spellEnd"/>
          </w:p>
        </w:tc>
        <w:tc>
          <w:tcPr>
            <w:tcW w:w="1058" w:type="pct"/>
            <w:tcBorders>
              <w:bottom w:val="single" w:sz="4" w:space="0" w:color="auto"/>
            </w:tcBorders>
          </w:tcPr>
          <w:p w14:paraId="554C0529" w14:textId="77777777" w:rsidR="00561EA7" w:rsidRPr="00703F32" w:rsidRDefault="00561EA7" w:rsidP="002758A8">
            <w:pPr>
              <w:pStyle w:val="01Tabletext"/>
              <w:jc w:val="center"/>
            </w:pPr>
            <w:r w:rsidRPr="00703F32">
              <w:t>No</w:t>
            </w:r>
            <w:r w:rsidRPr="00703F32">
              <w:rPr>
                <w:vertAlign w:val="superscript"/>
              </w:rPr>
              <w:t>b</w:t>
            </w:r>
          </w:p>
        </w:tc>
        <w:tc>
          <w:tcPr>
            <w:tcW w:w="1813" w:type="pct"/>
            <w:tcBorders>
              <w:bottom w:val="single" w:sz="4" w:space="0" w:color="auto"/>
            </w:tcBorders>
          </w:tcPr>
          <w:p w14:paraId="606EDBB8" w14:textId="77777777" w:rsidR="00561EA7" w:rsidRPr="00703F32" w:rsidRDefault="00561EA7" w:rsidP="002758A8">
            <w:pPr>
              <w:pStyle w:val="01Tabletext"/>
            </w:pPr>
            <w:proofErr w:type="spellStart"/>
            <w:r w:rsidRPr="00703F32">
              <w:t>Cinryze</w:t>
            </w:r>
            <w:proofErr w:type="spellEnd"/>
            <w:r w:rsidRPr="00703F32">
              <w:t xml:space="preserve"> is not TGA-approved for children</w:t>
            </w:r>
            <w:r>
              <w:t xml:space="preserve"> &lt;12 years</w:t>
            </w:r>
            <w:r w:rsidRPr="00703F32">
              <w:t>.</w:t>
            </w:r>
          </w:p>
        </w:tc>
      </w:tr>
      <w:tr w:rsidR="00561EA7" w:rsidRPr="00703F32" w14:paraId="49122A51" w14:textId="77777777" w:rsidTr="002758A8">
        <w:tc>
          <w:tcPr>
            <w:tcW w:w="994" w:type="pct"/>
            <w:tcBorders>
              <w:right w:val="nil"/>
            </w:tcBorders>
            <w:shd w:val="clear" w:color="auto" w:fill="auto"/>
          </w:tcPr>
          <w:p w14:paraId="7179A1FD" w14:textId="77777777" w:rsidR="00561EA7" w:rsidRPr="00703F32" w:rsidRDefault="00561EA7" w:rsidP="002758A8">
            <w:pPr>
              <w:keepNext/>
              <w:spacing w:before="20"/>
              <w:rPr>
                <w:b/>
                <w:sz w:val="18"/>
              </w:rPr>
            </w:pPr>
            <w:r w:rsidRPr="00703F32">
              <w:rPr>
                <w:b/>
                <w:sz w:val="18"/>
              </w:rPr>
              <w:t>Pregnancy /lactation</w:t>
            </w:r>
          </w:p>
        </w:tc>
        <w:tc>
          <w:tcPr>
            <w:tcW w:w="1135" w:type="pct"/>
            <w:tcBorders>
              <w:left w:val="nil"/>
              <w:right w:val="nil"/>
            </w:tcBorders>
            <w:shd w:val="clear" w:color="auto" w:fill="auto"/>
          </w:tcPr>
          <w:p w14:paraId="62484AB6" w14:textId="77777777" w:rsidR="00561EA7" w:rsidRPr="00703F32" w:rsidRDefault="00561EA7" w:rsidP="002758A8">
            <w:pPr>
              <w:spacing w:before="20"/>
              <w:rPr>
                <w:color w:val="D0CECE"/>
                <w:sz w:val="18"/>
              </w:rPr>
            </w:pPr>
            <w:r w:rsidRPr="00703F32">
              <w:rPr>
                <w:color w:val="D0CECE"/>
                <w:sz w:val="18"/>
              </w:rPr>
              <w:t>-</w:t>
            </w:r>
          </w:p>
        </w:tc>
        <w:tc>
          <w:tcPr>
            <w:tcW w:w="1058" w:type="pct"/>
            <w:tcBorders>
              <w:left w:val="nil"/>
              <w:right w:val="nil"/>
            </w:tcBorders>
            <w:shd w:val="clear" w:color="auto" w:fill="auto"/>
          </w:tcPr>
          <w:p w14:paraId="0A67263A" w14:textId="77777777" w:rsidR="00561EA7" w:rsidRPr="00703F32" w:rsidRDefault="00561EA7" w:rsidP="002758A8">
            <w:pPr>
              <w:spacing w:before="20"/>
              <w:jc w:val="center"/>
              <w:rPr>
                <w:color w:val="D0CECE"/>
                <w:sz w:val="18"/>
              </w:rPr>
            </w:pPr>
            <w:r w:rsidRPr="00703F32">
              <w:rPr>
                <w:color w:val="D0CECE"/>
                <w:sz w:val="18"/>
              </w:rPr>
              <w:t>-</w:t>
            </w:r>
          </w:p>
        </w:tc>
        <w:tc>
          <w:tcPr>
            <w:tcW w:w="1813" w:type="pct"/>
            <w:tcBorders>
              <w:left w:val="nil"/>
            </w:tcBorders>
            <w:shd w:val="clear" w:color="auto" w:fill="auto"/>
          </w:tcPr>
          <w:p w14:paraId="32322715" w14:textId="77777777" w:rsidR="00561EA7" w:rsidRPr="00703F32" w:rsidRDefault="00561EA7" w:rsidP="002758A8">
            <w:pPr>
              <w:spacing w:before="20"/>
              <w:rPr>
                <w:color w:val="D0CECE"/>
                <w:sz w:val="18"/>
              </w:rPr>
            </w:pPr>
            <w:r w:rsidRPr="00703F32">
              <w:rPr>
                <w:color w:val="D0CECE"/>
                <w:sz w:val="18"/>
              </w:rPr>
              <w:t>-</w:t>
            </w:r>
          </w:p>
        </w:tc>
      </w:tr>
      <w:tr w:rsidR="00561EA7" w:rsidRPr="00703F32" w14:paraId="1F20E04A" w14:textId="77777777" w:rsidTr="002758A8">
        <w:tc>
          <w:tcPr>
            <w:tcW w:w="994" w:type="pct"/>
          </w:tcPr>
          <w:p w14:paraId="58EE4F86" w14:textId="77777777" w:rsidR="00561EA7" w:rsidRPr="00703F32" w:rsidRDefault="00561EA7" w:rsidP="002758A8">
            <w:pPr>
              <w:pStyle w:val="01Tabletext"/>
              <w:ind w:left="283"/>
            </w:pPr>
            <w:r w:rsidRPr="00703F32">
              <w:t>Acute attack</w:t>
            </w:r>
          </w:p>
        </w:tc>
        <w:tc>
          <w:tcPr>
            <w:tcW w:w="1135" w:type="pct"/>
          </w:tcPr>
          <w:p w14:paraId="496DA950" w14:textId="77777777" w:rsidR="00561EA7" w:rsidRPr="00703F32" w:rsidRDefault="00561EA7" w:rsidP="002758A8">
            <w:pPr>
              <w:pStyle w:val="01Tabletext"/>
            </w:pPr>
            <w:r w:rsidRPr="00703F32">
              <w:t xml:space="preserve">No </w:t>
            </w:r>
            <w:proofErr w:type="spellStart"/>
            <w:r w:rsidRPr="00703F32">
              <w:t>treatment</w:t>
            </w:r>
            <w:r w:rsidRPr="00703F32">
              <w:rPr>
                <w:vertAlign w:val="superscript"/>
              </w:rPr>
              <w:t>c</w:t>
            </w:r>
            <w:proofErr w:type="spellEnd"/>
          </w:p>
        </w:tc>
        <w:tc>
          <w:tcPr>
            <w:tcW w:w="1058" w:type="pct"/>
          </w:tcPr>
          <w:p w14:paraId="0F052F8B" w14:textId="77777777" w:rsidR="00561EA7" w:rsidRPr="00703F32" w:rsidRDefault="00561EA7" w:rsidP="002758A8">
            <w:pPr>
              <w:pStyle w:val="01Tabletext"/>
              <w:jc w:val="center"/>
            </w:pPr>
            <w:r w:rsidRPr="00703F32">
              <w:t>Yes</w:t>
            </w:r>
          </w:p>
        </w:tc>
        <w:tc>
          <w:tcPr>
            <w:tcW w:w="1813" w:type="pct"/>
          </w:tcPr>
          <w:p w14:paraId="54FD93ED" w14:textId="77777777" w:rsidR="00561EA7" w:rsidRPr="00703F32" w:rsidRDefault="00561EA7" w:rsidP="002758A8">
            <w:pPr>
              <w:pStyle w:val="01Tabletext"/>
            </w:pPr>
            <w:r w:rsidRPr="00703F32">
              <w:t>-</w:t>
            </w:r>
          </w:p>
        </w:tc>
      </w:tr>
      <w:tr w:rsidR="00561EA7" w:rsidRPr="00703F32" w14:paraId="634F3C0F" w14:textId="77777777" w:rsidTr="002758A8">
        <w:tc>
          <w:tcPr>
            <w:tcW w:w="994" w:type="pct"/>
          </w:tcPr>
          <w:p w14:paraId="4B492DA8" w14:textId="77777777" w:rsidR="00561EA7" w:rsidRPr="00703F32" w:rsidRDefault="00561EA7" w:rsidP="002758A8">
            <w:pPr>
              <w:pStyle w:val="01Tabletext"/>
              <w:ind w:left="283"/>
            </w:pPr>
            <w:r w:rsidRPr="00703F32">
              <w:t>Pre-procedural prophylaxis, major procedures</w:t>
            </w:r>
          </w:p>
        </w:tc>
        <w:tc>
          <w:tcPr>
            <w:tcW w:w="1135" w:type="pct"/>
          </w:tcPr>
          <w:p w14:paraId="51695767" w14:textId="77777777" w:rsidR="00561EA7" w:rsidRPr="00703F32" w:rsidRDefault="00561EA7" w:rsidP="002758A8">
            <w:pPr>
              <w:pStyle w:val="01Tabletext"/>
            </w:pPr>
            <w:r w:rsidRPr="00703F32">
              <w:t>No prophylaxis in patients who are intolerant to or insufficiently protected by oral therapy</w:t>
            </w:r>
          </w:p>
        </w:tc>
        <w:tc>
          <w:tcPr>
            <w:tcW w:w="1058" w:type="pct"/>
          </w:tcPr>
          <w:p w14:paraId="514AEE4C" w14:textId="77777777" w:rsidR="00561EA7" w:rsidRPr="00703F32" w:rsidRDefault="00561EA7" w:rsidP="002758A8">
            <w:pPr>
              <w:pStyle w:val="01Tabletext"/>
              <w:jc w:val="center"/>
            </w:pPr>
            <w:r w:rsidRPr="00703F32">
              <w:t>Yes</w:t>
            </w:r>
          </w:p>
        </w:tc>
        <w:tc>
          <w:tcPr>
            <w:tcW w:w="1813" w:type="pct"/>
          </w:tcPr>
          <w:p w14:paraId="42A4B852" w14:textId="77777777" w:rsidR="00561EA7" w:rsidRPr="00703F32" w:rsidRDefault="00561EA7" w:rsidP="002758A8">
            <w:pPr>
              <w:pStyle w:val="01Tabletext"/>
            </w:pPr>
            <w:r w:rsidRPr="00703F32">
              <w:t>TA may be used in pregnancy</w:t>
            </w:r>
            <w:r>
              <w:t>,</w:t>
            </w:r>
            <w:r w:rsidRPr="00703F32">
              <w:t xml:space="preserve"> but is a Category B1 pharmaceutical and caution is advised in lactating </w:t>
            </w:r>
            <w:proofErr w:type="spellStart"/>
            <w:r w:rsidRPr="00703F32">
              <w:t>women.</w:t>
            </w:r>
            <w:r w:rsidRPr="00703F32">
              <w:rPr>
                <w:vertAlign w:val="superscript"/>
              </w:rPr>
              <w:t>e</w:t>
            </w:r>
            <w:proofErr w:type="spellEnd"/>
          </w:p>
          <w:p w14:paraId="443FEC0B" w14:textId="77777777" w:rsidR="00561EA7" w:rsidRPr="00703F32" w:rsidRDefault="00561EA7" w:rsidP="002758A8">
            <w:pPr>
              <w:pStyle w:val="01Tabletext"/>
            </w:pPr>
            <w:r w:rsidRPr="00703F32">
              <w:t xml:space="preserve">PASC has advised that C1-INH concentrate </w:t>
            </w:r>
            <w:r>
              <w:t>(</w:t>
            </w:r>
            <w:proofErr w:type="spellStart"/>
            <w:r>
              <w:t>Cinryze</w:t>
            </w:r>
            <w:proofErr w:type="spellEnd"/>
            <w:r>
              <w:t>)</w:t>
            </w:r>
            <w:r w:rsidRPr="00703F32">
              <w:t xml:space="preserve"> should be positioned </w:t>
            </w:r>
            <w:r>
              <w:t>after oral therapy for this indication</w:t>
            </w:r>
            <w:r w:rsidRPr="00703F32">
              <w:t xml:space="preserve"> due to lack of evidence.</w:t>
            </w:r>
          </w:p>
        </w:tc>
      </w:tr>
      <w:tr w:rsidR="00561EA7" w:rsidRPr="00703F32" w14:paraId="58512AB6" w14:textId="77777777" w:rsidTr="002758A8">
        <w:tc>
          <w:tcPr>
            <w:tcW w:w="994" w:type="pct"/>
            <w:tcBorders>
              <w:bottom w:val="single" w:sz="4" w:space="0" w:color="auto"/>
            </w:tcBorders>
          </w:tcPr>
          <w:p w14:paraId="71BFF206" w14:textId="77777777" w:rsidR="00561EA7" w:rsidRPr="00703F32" w:rsidRDefault="00561EA7" w:rsidP="002758A8">
            <w:pPr>
              <w:pStyle w:val="01Tabletext"/>
              <w:ind w:left="283"/>
            </w:pPr>
            <w:r w:rsidRPr="00703F32">
              <w:t>Routine prophylaxis</w:t>
            </w:r>
          </w:p>
        </w:tc>
        <w:tc>
          <w:tcPr>
            <w:tcW w:w="1135" w:type="pct"/>
            <w:tcBorders>
              <w:bottom w:val="single" w:sz="4" w:space="0" w:color="auto"/>
            </w:tcBorders>
          </w:tcPr>
          <w:p w14:paraId="6BB4C391" w14:textId="77777777" w:rsidR="00561EA7" w:rsidRPr="00703F32" w:rsidRDefault="00561EA7" w:rsidP="002758A8">
            <w:pPr>
              <w:pStyle w:val="01Tabletext"/>
            </w:pPr>
            <w:r w:rsidRPr="00703F32">
              <w:t>No prophylaxis in patients who are intolerant to or insufficiently protected by oral therapy</w:t>
            </w:r>
          </w:p>
        </w:tc>
        <w:tc>
          <w:tcPr>
            <w:tcW w:w="1058" w:type="pct"/>
            <w:tcBorders>
              <w:bottom w:val="single" w:sz="4" w:space="0" w:color="auto"/>
            </w:tcBorders>
          </w:tcPr>
          <w:p w14:paraId="10BF8764" w14:textId="77777777" w:rsidR="00561EA7" w:rsidRPr="00703F32" w:rsidRDefault="00561EA7" w:rsidP="002758A8">
            <w:pPr>
              <w:pStyle w:val="01Tabletext"/>
              <w:jc w:val="center"/>
            </w:pPr>
            <w:r w:rsidRPr="00703F32">
              <w:t>No</w:t>
            </w:r>
            <w:r w:rsidRPr="00703F32">
              <w:rPr>
                <w:vertAlign w:val="superscript"/>
              </w:rPr>
              <w:t>b</w:t>
            </w:r>
          </w:p>
        </w:tc>
        <w:tc>
          <w:tcPr>
            <w:tcW w:w="1813" w:type="pct"/>
            <w:tcBorders>
              <w:bottom w:val="single" w:sz="4" w:space="0" w:color="auto"/>
            </w:tcBorders>
          </w:tcPr>
          <w:p w14:paraId="1EB9C898" w14:textId="77777777" w:rsidR="00561EA7" w:rsidRPr="00703F32" w:rsidRDefault="00561EA7" w:rsidP="002758A8">
            <w:pPr>
              <w:pStyle w:val="01Tabletext"/>
            </w:pPr>
            <w:r w:rsidRPr="00703F32">
              <w:t>TA may be used in pregnancy</w:t>
            </w:r>
            <w:r>
              <w:t>,</w:t>
            </w:r>
            <w:r w:rsidRPr="00703F32">
              <w:t xml:space="preserve"> but is a Category B1 pharmaceutical and caution is advised in lactating </w:t>
            </w:r>
            <w:proofErr w:type="spellStart"/>
            <w:r w:rsidRPr="00703F32">
              <w:t>women.</w:t>
            </w:r>
            <w:r w:rsidRPr="00703F32">
              <w:rPr>
                <w:vertAlign w:val="superscript"/>
              </w:rPr>
              <w:t>e</w:t>
            </w:r>
            <w:proofErr w:type="spellEnd"/>
          </w:p>
        </w:tc>
      </w:tr>
    </w:tbl>
    <w:p w14:paraId="3CE06A80" w14:textId="77777777" w:rsidR="00561EA7" w:rsidRPr="00703F32" w:rsidRDefault="00561EA7" w:rsidP="00561EA7">
      <w:pPr>
        <w:pStyle w:val="09Tablefootnotes"/>
        <w:ind w:left="0"/>
      </w:pPr>
      <w:r w:rsidRPr="00703F32">
        <w:rPr>
          <w:b/>
        </w:rPr>
        <w:t xml:space="preserve">Abbreviations: </w:t>
      </w:r>
      <w:r w:rsidRPr="00703F32">
        <w:rPr>
          <w:lang w:val="en-GB" w:eastAsia="ja-JP"/>
        </w:rPr>
        <w:t xml:space="preserve">C1-INH, C1 esterase inhibitor; conc., concentrate; HAE, hereditary angioedema; </w:t>
      </w:r>
      <w:r w:rsidRPr="00703F32">
        <w:t xml:space="preserve">TA, </w:t>
      </w:r>
      <w:proofErr w:type="spellStart"/>
      <w:r w:rsidRPr="00703F32">
        <w:t>tranexamic</w:t>
      </w:r>
      <w:proofErr w:type="spellEnd"/>
      <w:r w:rsidRPr="00703F32">
        <w:t xml:space="preserve"> acid</w:t>
      </w:r>
    </w:p>
    <w:p w14:paraId="086276F0" w14:textId="77777777" w:rsidR="00561EA7" w:rsidRPr="00703F32" w:rsidRDefault="00561EA7" w:rsidP="00561EA7">
      <w:pPr>
        <w:pStyle w:val="09Tablefootnotes"/>
        <w:ind w:left="0"/>
      </w:pPr>
      <w:proofErr w:type="spellStart"/>
      <w:proofErr w:type="gramStart"/>
      <w:r w:rsidRPr="00703F32">
        <w:rPr>
          <w:b/>
        </w:rPr>
        <w:t>a</w:t>
      </w:r>
      <w:proofErr w:type="spellEnd"/>
      <w:proofErr w:type="gramEnd"/>
      <w:r w:rsidRPr="00703F32">
        <w:t xml:space="preserve"> Indicates where hospital-funded C1-INH concentrate currently may be used.</w:t>
      </w:r>
    </w:p>
    <w:p w14:paraId="44797EC6" w14:textId="77777777" w:rsidR="00561EA7" w:rsidRPr="00703F32" w:rsidRDefault="00561EA7" w:rsidP="00561EA7">
      <w:pPr>
        <w:pStyle w:val="09Tablefootnotes"/>
        <w:ind w:left="0"/>
      </w:pPr>
      <w:proofErr w:type="gramStart"/>
      <w:r w:rsidRPr="00703F32">
        <w:rPr>
          <w:b/>
        </w:rPr>
        <w:t>b</w:t>
      </w:r>
      <w:proofErr w:type="gramEnd"/>
      <w:r w:rsidRPr="00703F32">
        <w:t xml:space="preserve"> This is an assumption. It is possible that some patients are using C1-INH concentrate routinely but it seems highly unlikely given the financial burden it would place on either the patient or the hospital. Comments made in the ASCIA Position Paper (</w:t>
      </w:r>
      <w:proofErr w:type="spellStart"/>
      <w:r w:rsidRPr="00703F32">
        <w:t>Katelaris</w:t>
      </w:r>
      <w:proofErr w:type="spellEnd"/>
      <w:r w:rsidRPr="00703F32">
        <w:t xml:space="preserve"> et al, 2012) are consistent with this assumption.</w:t>
      </w:r>
    </w:p>
    <w:p w14:paraId="04014481" w14:textId="77777777" w:rsidR="00561EA7" w:rsidRPr="00703F32" w:rsidRDefault="00561EA7" w:rsidP="00561EA7">
      <w:pPr>
        <w:pStyle w:val="09Tablefootnotes"/>
        <w:ind w:left="0"/>
      </w:pPr>
      <w:proofErr w:type="gramStart"/>
      <w:r w:rsidRPr="00703F32">
        <w:rPr>
          <w:b/>
        </w:rPr>
        <w:t>c</w:t>
      </w:r>
      <w:proofErr w:type="gramEnd"/>
      <w:r w:rsidRPr="00703F32">
        <w:t xml:space="preserve"> While TA is not contraindicated in these populations, it is of very limited benefit for acute attacks and the ASCIA Position Paper makes no mention of its use for this indication.</w:t>
      </w:r>
    </w:p>
    <w:p w14:paraId="3FADC2C8" w14:textId="77777777" w:rsidR="00561EA7" w:rsidRPr="00703F32" w:rsidRDefault="00561EA7" w:rsidP="00561EA7">
      <w:pPr>
        <w:pStyle w:val="09Tablefootnotes"/>
        <w:ind w:left="0"/>
      </w:pPr>
      <w:r w:rsidRPr="00703F32">
        <w:rPr>
          <w:b/>
        </w:rPr>
        <w:t>d</w:t>
      </w:r>
      <w:r w:rsidRPr="00703F32">
        <w:t xml:space="preserve"> Oral therapy in children would usually be TA but the ASCIA Position Paper states ‘In some cases the benefits of routine </w:t>
      </w:r>
      <w:proofErr w:type="spellStart"/>
      <w:r w:rsidRPr="00703F32">
        <w:t>danazol</w:t>
      </w:r>
      <w:proofErr w:type="spellEnd"/>
      <w:r w:rsidRPr="00703F32">
        <w:t xml:space="preserve"> in children outweigh the risks’, so </w:t>
      </w:r>
      <w:proofErr w:type="spellStart"/>
      <w:r w:rsidRPr="00703F32">
        <w:t>danazol</w:t>
      </w:r>
      <w:proofErr w:type="spellEnd"/>
      <w:r w:rsidRPr="00703F32">
        <w:t xml:space="preserve"> may be used routinely in some children.</w:t>
      </w:r>
    </w:p>
    <w:p w14:paraId="08165C29" w14:textId="77777777" w:rsidR="00561EA7" w:rsidRPr="00703F32" w:rsidRDefault="00561EA7" w:rsidP="004858E3">
      <w:pPr>
        <w:pStyle w:val="10Tablelastfootnote-nostick"/>
        <w:spacing w:after="0"/>
        <w:ind w:left="0"/>
      </w:pPr>
      <w:proofErr w:type="gramStart"/>
      <w:r w:rsidRPr="00703F32">
        <w:rPr>
          <w:b/>
        </w:rPr>
        <w:t>e</w:t>
      </w:r>
      <w:proofErr w:type="gramEnd"/>
      <w:r w:rsidRPr="00703F32">
        <w:t xml:space="preserve"> The PI for TA states that caution should be exercised when administered to a nursing woman. Not for 12 hours prior to breastfeeding.</w:t>
      </w:r>
    </w:p>
    <w:p w14:paraId="5CDA3AC7" w14:textId="77777777" w:rsidR="00BC1364" w:rsidRPr="004858E3" w:rsidRDefault="00BC1364" w:rsidP="00DD2858">
      <w:pPr>
        <w:rPr>
          <w:szCs w:val="24"/>
        </w:rPr>
      </w:pPr>
    </w:p>
    <w:p w14:paraId="3B0DD2BD" w14:textId="77777777" w:rsidR="00BC1364" w:rsidRDefault="00BC1364" w:rsidP="007B32D1">
      <w:pPr>
        <w:pStyle w:val="Heading1"/>
        <w:numPr>
          <w:ilvl w:val="0"/>
          <w:numId w:val="23"/>
        </w:numPr>
        <w:ind w:hanging="720"/>
      </w:pPr>
      <w:r w:rsidRPr="008D5885">
        <w:t>Comparative safety</w:t>
      </w:r>
    </w:p>
    <w:p w14:paraId="1C5A6C76" w14:textId="77777777" w:rsidR="000449BB" w:rsidRDefault="000449BB" w:rsidP="000449BB"/>
    <w:p w14:paraId="53FFAF80" w14:textId="77777777" w:rsidR="000449BB" w:rsidRDefault="00807C04" w:rsidP="000449BB">
      <w:r>
        <w:t xml:space="preserve">In </w:t>
      </w:r>
      <w:r w:rsidR="004858E3">
        <w:t xml:space="preserve">a </w:t>
      </w:r>
      <w:r w:rsidR="004858E3" w:rsidRPr="008E39E7">
        <w:t xml:space="preserve">study by </w:t>
      </w:r>
      <w:proofErr w:type="spellStart"/>
      <w:r w:rsidR="004858E3" w:rsidRPr="008E39E7">
        <w:t>Farkas</w:t>
      </w:r>
      <w:proofErr w:type="spellEnd"/>
      <w:r w:rsidR="004858E3" w:rsidRPr="008E39E7">
        <w:t xml:space="preserve"> et al (2012)</w:t>
      </w:r>
      <w:r w:rsidR="004858E3">
        <w:t>,</w:t>
      </w:r>
      <w:r w:rsidR="000449BB">
        <w:t xml:space="preserve"> </w:t>
      </w:r>
      <w:r w:rsidR="008A6229">
        <w:t xml:space="preserve">patients </w:t>
      </w:r>
      <w:r w:rsidR="000449BB">
        <w:t xml:space="preserve">presented no adverse side effects with the administration of </w:t>
      </w:r>
      <w:proofErr w:type="spellStart"/>
      <w:r w:rsidR="000449BB">
        <w:t>Berinert</w:t>
      </w:r>
      <w:proofErr w:type="spellEnd"/>
      <w:r w:rsidR="000449BB">
        <w:t xml:space="preserve"> and neither viral transmission or development of anti-C1-INH antibodies. </w:t>
      </w:r>
      <w:r w:rsidR="008A6229">
        <w:t>Similarly</w:t>
      </w:r>
      <w:r w:rsidR="004858E3">
        <w:t>,</w:t>
      </w:r>
      <w:r w:rsidR="008A6229">
        <w:t xml:space="preserve"> </w:t>
      </w:r>
      <w:r w:rsidR="004858E3">
        <w:t>in a</w:t>
      </w:r>
      <w:r w:rsidR="004858E3" w:rsidRPr="008E39E7">
        <w:t xml:space="preserve"> study by Bork et al (2011)</w:t>
      </w:r>
      <w:r w:rsidR="004858E3">
        <w:t>,</w:t>
      </w:r>
      <w:r w:rsidR="008A6229">
        <w:t xml:space="preserve"> patients showed no drug-related side effects.</w:t>
      </w:r>
    </w:p>
    <w:p w14:paraId="12FCAA07" w14:textId="77777777" w:rsidR="008A6229" w:rsidRDefault="008A6229" w:rsidP="000449BB"/>
    <w:p w14:paraId="021390EF" w14:textId="322EFFC8" w:rsidR="008A6229" w:rsidRDefault="008A6229" w:rsidP="008A6229">
      <w:pPr>
        <w:pStyle w:val="BodyText"/>
        <w:spacing w:after="0"/>
      </w:pPr>
      <w:r>
        <w:t xml:space="preserve">The </w:t>
      </w:r>
      <w:r w:rsidRPr="008E39E7">
        <w:t xml:space="preserve">three studies that investigated the safety of </w:t>
      </w:r>
      <w:proofErr w:type="spellStart"/>
      <w:r w:rsidRPr="008E39E7">
        <w:t>Cinryze</w:t>
      </w:r>
      <w:proofErr w:type="spellEnd"/>
      <w:r w:rsidRPr="008E39E7">
        <w:t xml:space="preserve"> found no evidence of viral transmission related to </w:t>
      </w:r>
      <w:proofErr w:type="spellStart"/>
      <w:r w:rsidRPr="008E39E7">
        <w:t>Cinryze</w:t>
      </w:r>
      <w:proofErr w:type="spellEnd"/>
      <w:r w:rsidRPr="008E39E7">
        <w:t xml:space="preserve"> exposure or detection of clinically relevant antibodies to </w:t>
      </w:r>
      <w:proofErr w:type="spellStart"/>
      <w:r w:rsidRPr="008E39E7">
        <w:lastRenderedPageBreak/>
        <w:t>Cinryze</w:t>
      </w:r>
      <w:proofErr w:type="spellEnd"/>
      <w:r w:rsidRPr="008E39E7">
        <w:t xml:space="preserve">. None of the studies reported serious adverse events </w:t>
      </w:r>
      <w:r w:rsidR="00103BB9">
        <w:t xml:space="preserve">(AEs) </w:t>
      </w:r>
      <w:r w:rsidRPr="008E39E7">
        <w:t xml:space="preserve">that were related to the use of </w:t>
      </w:r>
      <w:proofErr w:type="spellStart"/>
      <w:r w:rsidRPr="008E39E7">
        <w:t>Cinryze</w:t>
      </w:r>
      <w:proofErr w:type="spellEnd"/>
      <w:r w:rsidRPr="008E39E7">
        <w:t xml:space="preserve"> as prophylaxis.</w:t>
      </w:r>
    </w:p>
    <w:p w14:paraId="43ABD1C1" w14:textId="77777777" w:rsidR="00BC1364" w:rsidRPr="004858E3" w:rsidRDefault="00BC1364" w:rsidP="00DD2858">
      <w:pPr>
        <w:pStyle w:val="ListParagraph"/>
        <w:ind w:left="0"/>
        <w:rPr>
          <w:szCs w:val="24"/>
        </w:rPr>
      </w:pPr>
    </w:p>
    <w:p w14:paraId="319AA40C" w14:textId="55BAB8A1" w:rsidR="008A6229" w:rsidRPr="008E39E7" w:rsidRDefault="008A6229" w:rsidP="008A6229">
      <w:pPr>
        <w:pStyle w:val="BodyText"/>
        <w:spacing w:after="0"/>
      </w:pPr>
      <w:r w:rsidRPr="008E39E7">
        <w:t xml:space="preserve">In the study by Baker et al (2013), the most commonly reported </w:t>
      </w:r>
      <w:r w:rsidR="00103BB9">
        <w:t>AEs</w:t>
      </w:r>
      <w:r w:rsidR="00BE4198">
        <w:t xml:space="preserve"> </w:t>
      </w:r>
      <w:r w:rsidRPr="008E39E7">
        <w:t xml:space="preserve">were infection, gastrointestinal disorders, headache, and rash. However, none of the AEs was considered by the investigators to be related to the use of </w:t>
      </w:r>
      <w:proofErr w:type="spellStart"/>
      <w:r w:rsidRPr="008E39E7">
        <w:t>Cinryze</w:t>
      </w:r>
      <w:proofErr w:type="spellEnd"/>
      <w:r w:rsidRPr="008E39E7">
        <w:t>.</w:t>
      </w:r>
    </w:p>
    <w:p w14:paraId="14941D0E" w14:textId="77777777" w:rsidR="008A6229" w:rsidRDefault="008A6229" w:rsidP="008A6229">
      <w:pPr>
        <w:pStyle w:val="BodyText"/>
        <w:spacing w:after="0"/>
      </w:pPr>
    </w:p>
    <w:p w14:paraId="112B5A83" w14:textId="6F21467A" w:rsidR="008A6229" w:rsidRDefault="008A6229" w:rsidP="008A6229">
      <w:pPr>
        <w:pStyle w:val="BodyText"/>
        <w:spacing w:after="0"/>
      </w:pPr>
      <w:r w:rsidRPr="008E39E7">
        <w:t xml:space="preserve">In the study by </w:t>
      </w:r>
      <w:proofErr w:type="spellStart"/>
      <w:r w:rsidRPr="008E39E7">
        <w:t>Lumry</w:t>
      </w:r>
      <w:proofErr w:type="spellEnd"/>
      <w:r w:rsidRPr="008E39E7">
        <w:t xml:space="preserve"> et al (2013), there were no serious or severe </w:t>
      </w:r>
      <w:r w:rsidR="00103BB9">
        <w:t>AEs</w:t>
      </w:r>
      <w:r w:rsidRPr="008E39E7">
        <w:t xml:space="preserve"> that were associated with </w:t>
      </w:r>
      <w:proofErr w:type="spellStart"/>
      <w:r w:rsidRPr="008E39E7">
        <w:t>Cinryze</w:t>
      </w:r>
      <w:proofErr w:type="spellEnd"/>
      <w:r w:rsidRPr="008E39E7">
        <w:t xml:space="preserve">. Further, there was no evidence of HIV or viral hepatitis transmission or development of clinically relevant antibodies to </w:t>
      </w:r>
      <w:proofErr w:type="spellStart"/>
      <w:r w:rsidRPr="008E39E7">
        <w:t>Cinryze</w:t>
      </w:r>
      <w:proofErr w:type="spellEnd"/>
      <w:r w:rsidRPr="008E39E7">
        <w:t>.</w:t>
      </w:r>
    </w:p>
    <w:p w14:paraId="473BFE73" w14:textId="77777777" w:rsidR="008A6229" w:rsidRPr="008E39E7" w:rsidRDefault="008A6229" w:rsidP="004858E3">
      <w:pPr>
        <w:pStyle w:val="BodyText"/>
        <w:spacing w:after="0"/>
      </w:pPr>
    </w:p>
    <w:p w14:paraId="639D57B8" w14:textId="77777777" w:rsidR="008A6229" w:rsidRDefault="008A6229" w:rsidP="008A6229">
      <w:pPr>
        <w:pStyle w:val="BodyText"/>
        <w:spacing w:after="0"/>
      </w:pPr>
      <w:r>
        <w:t xml:space="preserve">In </w:t>
      </w:r>
      <w:r w:rsidR="004858E3">
        <w:t>the</w:t>
      </w:r>
      <w:r>
        <w:t xml:space="preserve"> study </w:t>
      </w:r>
      <w:r w:rsidRPr="008E39E7">
        <w:t xml:space="preserve">by Grant et al (2012), of the 41 subjects who received pre-procedural </w:t>
      </w:r>
      <w:proofErr w:type="spellStart"/>
      <w:r w:rsidRPr="008E39E7">
        <w:t>Cinryze</w:t>
      </w:r>
      <w:proofErr w:type="spellEnd"/>
      <w:r w:rsidRPr="008E39E7">
        <w:t xml:space="preserve">, a total of 12 AEs in seven subjects were reported within seven days after dosing. There were three AEs that were considered serious (procedural pain, intestinal perforation, and B-cell lymphoma). Other events included single reports of coronary artery disease, back pain, adenoidal hypertrophy, increased blood glucose, herpes simplex virus, upper abdominal pain, and renal transplant. However, most of these events were caused by the condition for which the procedure was being performed or were the result of other pre-existing conditions; none of the AEs </w:t>
      </w:r>
      <w:r>
        <w:t>were</w:t>
      </w:r>
      <w:r w:rsidRPr="008E39E7">
        <w:t xml:space="preserve"> considered by the investigators to be related to </w:t>
      </w:r>
      <w:proofErr w:type="spellStart"/>
      <w:r w:rsidRPr="008E39E7">
        <w:t>Cinryze</w:t>
      </w:r>
      <w:proofErr w:type="spellEnd"/>
      <w:r w:rsidRPr="008E39E7">
        <w:t xml:space="preserve"> and none was associated with an HAE attack.</w:t>
      </w:r>
    </w:p>
    <w:p w14:paraId="263B14CC" w14:textId="77777777" w:rsidR="008A6229" w:rsidRPr="008E39E7" w:rsidRDefault="008A6229" w:rsidP="004858E3">
      <w:pPr>
        <w:pStyle w:val="BodyText"/>
        <w:spacing w:after="0"/>
      </w:pPr>
    </w:p>
    <w:p w14:paraId="43999F9D" w14:textId="77777777" w:rsidR="008A6229" w:rsidRDefault="008A6229" w:rsidP="008A6229">
      <w:pPr>
        <w:pStyle w:val="BodyText"/>
        <w:spacing w:after="0"/>
      </w:pPr>
      <w:r w:rsidRPr="008E39E7">
        <w:t>Overall,</w:t>
      </w:r>
      <w:r w:rsidRPr="008E39E7">
        <w:rPr>
          <w:rStyle w:val="BodyTextChar"/>
        </w:rPr>
        <w:t xml:space="preserve"> </w:t>
      </w:r>
      <w:r>
        <w:rPr>
          <w:rStyle w:val="BodyTextChar"/>
        </w:rPr>
        <w:t xml:space="preserve">the </w:t>
      </w:r>
      <w:r w:rsidRPr="008E39E7">
        <w:t xml:space="preserve">pre-procedural use of C1-INH </w:t>
      </w:r>
      <w:r w:rsidR="00D932DD">
        <w:t xml:space="preserve">concentrate </w:t>
      </w:r>
      <w:r w:rsidRPr="008E39E7">
        <w:t>as prophylaxi</w:t>
      </w:r>
      <w:r>
        <w:t>s appeared</w:t>
      </w:r>
      <w:r w:rsidRPr="008E39E7">
        <w:t xml:space="preserve"> to be safe, with no HIV or viral hepatitis transmission or detection of clinically relevant anti-C1-INH antibodies.</w:t>
      </w:r>
    </w:p>
    <w:p w14:paraId="778D2B24" w14:textId="77777777" w:rsidR="00BC1364" w:rsidRPr="00D932DD" w:rsidRDefault="00BC1364" w:rsidP="00DD2858">
      <w:pPr>
        <w:pStyle w:val="ListParagraph"/>
        <w:ind w:left="0"/>
        <w:rPr>
          <w:szCs w:val="24"/>
        </w:rPr>
      </w:pPr>
    </w:p>
    <w:p w14:paraId="7DBCED80" w14:textId="77777777" w:rsidR="00BC1364" w:rsidRPr="008D5885" w:rsidRDefault="00BC1364" w:rsidP="007B32D1">
      <w:pPr>
        <w:pStyle w:val="Heading1"/>
        <w:numPr>
          <w:ilvl w:val="0"/>
          <w:numId w:val="23"/>
        </w:numPr>
        <w:ind w:hanging="720"/>
      </w:pPr>
      <w:r w:rsidRPr="008D5885">
        <w:t>Comparative effectiveness</w:t>
      </w:r>
    </w:p>
    <w:p w14:paraId="53F03738" w14:textId="77777777" w:rsidR="00BC1364" w:rsidRPr="00D932DD" w:rsidRDefault="00BC1364" w:rsidP="00DD2858"/>
    <w:p w14:paraId="41833297" w14:textId="77777777" w:rsidR="008A6229" w:rsidRPr="008A6229" w:rsidRDefault="008A6229" w:rsidP="008A6229">
      <w:pPr>
        <w:rPr>
          <w:szCs w:val="24"/>
        </w:rPr>
      </w:pPr>
      <w:r w:rsidRPr="008A6229">
        <w:t xml:space="preserve">Randomised trial evidence for the two </w:t>
      </w:r>
      <w:r w:rsidRPr="008A6229">
        <w:rPr>
          <w:szCs w:val="24"/>
        </w:rPr>
        <w:t xml:space="preserve">C1-INH products and icatibant is limited to place-controlled trials for the treatment of acute attacks. </w:t>
      </w:r>
      <w:r w:rsidRPr="008A6229">
        <w:t>There</w:t>
      </w:r>
      <w:r w:rsidRPr="008A6229">
        <w:rPr>
          <w:szCs w:val="24"/>
        </w:rPr>
        <w:t xml:space="preserve"> were no randomised trials comparing the two C1-INH products with each other or with icatibant. Indirect comparisons across randomised trials were hindered by the trials assessing different outcomes and recruiting different study populations. There were no randomised trials of any C1-INH </w:t>
      </w:r>
      <w:r w:rsidR="00D932DD">
        <w:rPr>
          <w:szCs w:val="24"/>
        </w:rPr>
        <w:t xml:space="preserve">concentrate </w:t>
      </w:r>
      <w:r w:rsidRPr="008A6229">
        <w:rPr>
          <w:szCs w:val="24"/>
        </w:rPr>
        <w:t xml:space="preserve">in pre-procedural prophylaxis. There was one randomised placebo-controlled trial of </w:t>
      </w:r>
      <w:proofErr w:type="spellStart"/>
      <w:r w:rsidRPr="008A6229">
        <w:rPr>
          <w:szCs w:val="24"/>
        </w:rPr>
        <w:t>Cinryze</w:t>
      </w:r>
      <w:proofErr w:type="spellEnd"/>
      <w:r w:rsidRPr="008A6229">
        <w:rPr>
          <w:szCs w:val="24"/>
        </w:rPr>
        <w:t xml:space="preserve"> for routine prophylaxis.</w:t>
      </w:r>
    </w:p>
    <w:p w14:paraId="61389D20" w14:textId="77777777" w:rsidR="008A6229" w:rsidRPr="008A6229" w:rsidRDefault="008A6229" w:rsidP="00D932DD">
      <w:pPr>
        <w:rPr>
          <w:szCs w:val="24"/>
        </w:rPr>
      </w:pPr>
    </w:p>
    <w:p w14:paraId="53F0BF66" w14:textId="77777777" w:rsidR="008A6229" w:rsidRPr="008A6229" w:rsidRDefault="008A6229" w:rsidP="008A6229">
      <w:pPr>
        <w:rPr>
          <w:szCs w:val="24"/>
          <w:u w:val="single"/>
        </w:rPr>
      </w:pPr>
      <w:r w:rsidRPr="008A6229">
        <w:rPr>
          <w:szCs w:val="24"/>
          <w:u w:val="single"/>
        </w:rPr>
        <w:t>Treatment of acute attacks</w:t>
      </w:r>
    </w:p>
    <w:p w14:paraId="55EB7FAC" w14:textId="297FE4FE" w:rsidR="008A6229" w:rsidRPr="008A6229" w:rsidRDefault="008A6229" w:rsidP="008A6229">
      <w:pPr>
        <w:rPr>
          <w:szCs w:val="24"/>
        </w:rPr>
      </w:pPr>
      <w:r w:rsidRPr="008A6229">
        <w:rPr>
          <w:szCs w:val="24"/>
        </w:rPr>
        <w:t xml:space="preserve">Individual trial results show that </w:t>
      </w:r>
      <w:proofErr w:type="spellStart"/>
      <w:r w:rsidRPr="008A6229">
        <w:rPr>
          <w:szCs w:val="24"/>
        </w:rPr>
        <w:t>Cinryze</w:t>
      </w:r>
      <w:proofErr w:type="spellEnd"/>
      <w:r w:rsidRPr="008A6229">
        <w:rPr>
          <w:szCs w:val="24"/>
        </w:rPr>
        <w:t xml:space="preserve">, </w:t>
      </w:r>
      <w:proofErr w:type="spellStart"/>
      <w:r w:rsidRPr="008A6229">
        <w:rPr>
          <w:szCs w:val="24"/>
        </w:rPr>
        <w:t>Berinert</w:t>
      </w:r>
      <w:proofErr w:type="spellEnd"/>
      <w:r w:rsidRPr="008A6229">
        <w:rPr>
          <w:szCs w:val="24"/>
        </w:rPr>
        <w:t xml:space="preserve"> and </w:t>
      </w:r>
      <w:proofErr w:type="spellStart"/>
      <w:r w:rsidRPr="008A6229">
        <w:rPr>
          <w:szCs w:val="24"/>
        </w:rPr>
        <w:t>icatibant</w:t>
      </w:r>
      <w:proofErr w:type="spellEnd"/>
      <w:r w:rsidRPr="008A6229">
        <w:rPr>
          <w:szCs w:val="24"/>
        </w:rPr>
        <w:t xml:space="preserve"> significantly reduce the median time to onset of reli</w:t>
      </w:r>
      <w:r w:rsidR="00694838">
        <w:rPr>
          <w:szCs w:val="24"/>
        </w:rPr>
        <w:t>ef of acute HAE attacks (Table 3</w:t>
      </w:r>
      <w:r w:rsidRPr="008A6229">
        <w:rPr>
          <w:szCs w:val="24"/>
        </w:rPr>
        <w:t>) and the median ti</w:t>
      </w:r>
      <w:r w:rsidR="00694838">
        <w:rPr>
          <w:szCs w:val="24"/>
        </w:rPr>
        <w:t>me to attack resolution (Table 4</w:t>
      </w:r>
      <w:r w:rsidRPr="008A6229">
        <w:rPr>
          <w:szCs w:val="24"/>
        </w:rPr>
        <w:t>). However, there are large differences between placebo arms across the trials, which may reflect differences between the studies in the type/location of attacks, the way in which rescue medication was used, and the differences in how the outcomes were defined and measured.</w:t>
      </w:r>
      <w:r w:rsidRPr="008A6229">
        <w:t xml:space="preserve"> </w:t>
      </w:r>
      <w:r w:rsidRPr="008A6229">
        <w:rPr>
          <w:szCs w:val="24"/>
        </w:rPr>
        <w:t>Given the heterogeneity among the three sets of trials, a robust comparative assessment of their effectiveness and toxicity profiles is difficult and therefore a claim of non-inferiority across the three products, although seemingly reasonable, cannot be confirmed.</w:t>
      </w:r>
    </w:p>
    <w:p w14:paraId="468DDE99" w14:textId="77777777" w:rsidR="008A6229" w:rsidRPr="008A6229" w:rsidRDefault="008A6229" w:rsidP="00D932DD">
      <w:pPr>
        <w:rPr>
          <w:szCs w:val="24"/>
        </w:rPr>
      </w:pPr>
    </w:p>
    <w:p w14:paraId="460E1789" w14:textId="77777777" w:rsidR="000D57A3" w:rsidRDefault="000D57A3">
      <w:pPr>
        <w:rPr>
          <w:rFonts w:ascii="Arial Narrow" w:eastAsiaTheme="minorHAnsi" w:hAnsi="Arial Narrow" w:cstheme="minorBidi"/>
          <w:b/>
          <w:iCs/>
          <w:sz w:val="20"/>
          <w:szCs w:val="18"/>
          <w:lang w:eastAsia="en-US"/>
        </w:rPr>
      </w:pPr>
      <w:bookmarkStart w:id="15" w:name="_Ref417744265"/>
      <w:bookmarkStart w:id="16" w:name="_Toc417862283"/>
      <w:bookmarkStart w:id="17" w:name="_Toc419428685"/>
      <w:r>
        <w:rPr>
          <w:rFonts w:ascii="Arial Narrow" w:eastAsiaTheme="minorHAnsi" w:hAnsi="Arial Narrow" w:cstheme="minorBidi"/>
          <w:b/>
          <w:iCs/>
          <w:sz w:val="20"/>
          <w:szCs w:val="18"/>
          <w:lang w:eastAsia="en-US"/>
        </w:rPr>
        <w:br w:type="page"/>
      </w:r>
    </w:p>
    <w:p w14:paraId="4BA169C0" w14:textId="18CE8697" w:rsidR="008A6229" w:rsidRPr="008A6229" w:rsidRDefault="008A6229" w:rsidP="008A6229">
      <w:pPr>
        <w:keepNext/>
        <w:spacing w:before="40" w:after="40"/>
        <w:jc w:val="both"/>
        <w:rPr>
          <w:rFonts w:ascii="Arial Narrow" w:eastAsiaTheme="minorHAnsi" w:hAnsi="Arial Narrow" w:cstheme="minorBidi"/>
          <w:b/>
          <w:iCs/>
          <w:sz w:val="20"/>
          <w:szCs w:val="18"/>
          <w:lang w:eastAsia="en-US"/>
        </w:rPr>
      </w:pPr>
      <w:r w:rsidRPr="008A6229">
        <w:rPr>
          <w:rFonts w:ascii="Arial Narrow" w:eastAsiaTheme="minorHAnsi" w:hAnsi="Arial Narrow" w:cstheme="minorBidi"/>
          <w:b/>
          <w:iCs/>
          <w:sz w:val="20"/>
          <w:szCs w:val="18"/>
          <w:lang w:eastAsia="en-US"/>
        </w:rPr>
        <w:lastRenderedPageBreak/>
        <w:t xml:space="preserve">Table </w:t>
      </w:r>
      <w:bookmarkEnd w:id="15"/>
      <w:r w:rsidR="000D57A3">
        <w:rPr>
          <w:rFonts w:ascii="Arial Narrow" w:eastAsiaTheme="minorHAnsi" w:hAnsi="Arial Narrow" w:cstheme="minorBidi"/>
          <w:b/>
          <w:iCs/>
          <w:sz w:val="20"/>
          <w:szCs w:val="18"/>
          <w:lang w:eastAsia="en-US"/>
        </w:rPr>
        <w:t>3</w:t>
      </w:r>
      <w:r w:rsidRPr="008A6229">
        <w:rPr>
          <w:rFonts w:ascii="Arial Narrow" w:eastAsiaTheme="minorHAnsi" w:hAnsi="Arial Narrow" w:cstheme="minorBidi"/>
          <w:b/>
          <w:iCs/>
          <w:sz w:val="20"/>
          <w:szCs w:val="18"/>
          <w:lang w:eastAsia="en-US"/>
        </w:rPr>
        <w:tab/>
        <w:t>Time to onset of relief outcomes from the pivotal RCTs for acute attacks</w:t>
      </w:r>
      <w:bookmarkEnd w:id="16"/>
      <w:bookmarkEnd w:id="17"/>
    </w:p>
    <w:tbl>
      <w:tblPr>
        <w:tblStyle w:val="TableGrid2"/>
        <w:tblpPr w:leftFromText="180" w:rightFromText="180" w:vertAnchor="text" w:horzAnchor="margin" w:tblpX="108" w:tblpY="94"/>
        <w:tblW w:w="4798" w:type="pct"/>
        <w:tblLayout w:type="fixed"/>
        <w:tblLook w:val="04A0" w:firstRow="1" w:lastRow="0" w:firstColumn="1" w:lastColumn="0" w:noHBand="0" w:noVBand="1"/>
        <w:tblCaption w:val="Time to onset of relief outcomes"/>
        <w:tblDescription w:val="Time to onset of relief outcomes from the pivotal RCTs for acute attacks"/>
      </w:tblPr>
      <w:tblGrid>
        <w:gridCol w:w="1102"/>
        <w:gridCol w:w="3260"/>
        <w:gridCol w:w="1133"/>
        <w:gridCol w:w="568"/>
        <w:gridCol w:w="1985"/>
        <w:gridCol w:w="821"/>
      </w:tblGrid>
      <w:tr w:rsidR="008A6229" w:rsidRPr="008A6229" w14:paraId="02F2620A" w14:textId="77777777" w:rsidTr="00E20F30">
        <w:trPr>
          <w:tblHeader/>
        </w:trPr>
        <w:tc>
          <w:tcPr>
            <w:tcW w:w="621" w:type="pct"/>
            <w:tcBorders>
              <w:bottom w:val="single" w:sz="4" w:space="0" w:color="auto"/>
            </w:tcBorders>
            <w:shd w:val="clear" w:color="auto" w:fill="auto"/>
          </w:tcPr>
          <w:p w14:paraId="0A62C03F"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Trial ID</w:t>
            </w:r>
          </w:p>
        </w:tc>
        <w:tc>
          <w:tcPr>
            <w:tcW w:w="1838" w:type="pct"/>
            <w:tcBorders>
              <w:bottom w:val="single" w:sz="4" w:space="0" w:color="auto"/>
            </w:tcBorders>
            <w:shd w:val="clear" w:color="auto" w:fill="auto"/>
          </w:tcPr>
          <w:p w14:paraId="0975EE08"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Analogous outcome</w:t>
            </w:r>
          </w:p>
        </w:tc>
        <w:tc>
          <w:tcPr>
            <w:tcW w:w="639" w:type="pct"/>
            <w:tcBorders>
              <w:bottom w:val="single" w:sz="4" w:space="0" w:color="auto"/>
            </w:tcBorders>
            <w:shd w:val="clear" w:color="auto" w:fill="auto"/>
          </w:tcPr>
          <w:p w14:paraId="0C3964C7"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Study group</w:t>
            </w:r>
          </w:p>
        </w:tc>
        <w:tc>
          <w:tcPr>
            <w:tcW w:w="320" w:type="pct"/>
            <w:tcBorders>
              <w:bottom w:val="single" w:sz="4" w:space="0" w:color="auto"/>
            </w:tcBorders>
          </w:tcPr>
          <w:p w14:paraId="10DBDECB"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N</w:t>
            </w:r>
          </w:p>
        </w:tc>
        <w:tc>
          <w:tcPr>
            <w:tcW w:w="1119" w:type="pct"/>
            <w:tcBorders>
              <w:bottom w:val="single" w:sz="4" w:space="0" w:color="auto"/>
            </w:tcBorders>
          </w:tcPr>
          <w:p w14:paraId="5DFEC392"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Median time-to-event (h)</w:t>
            </w:r>
          </w:p>
        </w:tc>
        <w:tc>
          <w:tcPr>
            <w:tcW w:w="463" w:type="pct"/>
            <w:tcBorders>
              <w:bottom w:val="single" w:sz="4" w:space="0" w:color="auto"/>
            </w:tcBorders>
            <w:shd w:val="clear" w:color="auto" w:fill="auto"/>
          </w:tcPr>
          <w:p w14:paraId="11A1B03A"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P-value</w:t>
            </w:r>
          </w:p>
        </w:tc>
      </w:tr>
      <w:tr w:rsidR="008A6229" w:rsidRPr="008A6229" w14:paraId="4BD02D55" w14:textId="77777777" w:rsidTr="00E20F30">
        <w:tc>
          <w:tcPr>
            <w:tcW w:w="621" w:type="pct"/>
            <w:tcBorders>
              <w:top w:val="nil"/>
              <w:bottom w:val="nil"/>
            </w:tcBorders>
            <w:shd w:val="clear" w:color="auto" w:fill="auto"/>
          </w:tcPr>
          <w:p w14:paraId="27A7B941"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 xml:space="preserve">CHANGE </w:t>
            </w:r>
          </w:p>
        </w:tc>
        <w:tc>
          <w:tcPr>
            <w:tcW w:w="1838" w:type="pct"/>
            <w:tcBorders>
              <w:bottom w:val="nil"/>
            </w:tcBorders>
            <w:shd w:val="clear" w:color="auto" w:fill="auto"/>
          </w:tcPr>
          <w:p w14:paraId="687ABF1E"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time to onset of unequivocal relief of </w:t>
            </w:r>
          </w:p>
        </w:tc>
        <w:tc>
          <w:tcPr>
            <w:tcW w:w="639" w:type="pct"/>
            <w:tcBorders>
              <w:bottom w:val="nil"/>
            </w:tcBorders>
            <w:shd w:val="clear" w:color="auto" w:fill="auto"/>
          </w:tcPr>
          <w:p w14:paraId="4802BDD6" w14:textId="77777777" w:rsidR="008A6229" w:rsidRPr="008A6229" w:rsidRDefault="008A6229" w:rsidP="008A6229">
            <w:pPr>
              <w:keepNext/>
              <w:spacing w:before="20"/>
              <w:jc w:val="center"/>
              <w:rPr>
                <w:rFonts w:ascii="Arial Narrow" w:eastAsiaTheme="minorEastAsia" w:hAnsi="Arial Narrow"/>
                <w:sz w:val="18"/>
                <w:lang w:eastAsia="en-US"/>
              </w:rPr>
            </w:pPr>
            <w:proofErr w:type="spellStart"/>
            <w:r w:rsidRPr="008A6229">
              <w:rPr>
                <w:rFonts w:ascii="Arial Narrow" w:eastAsiaTheme="minorEastAsia" w:hAnsi="Arial Narrow"/>
                <w:sz w:val="18"/>
                <w:lang w:eastAsia="en-US"/>
              </w:rPr>
              <w:t>Cinryze</w:t>
            </w:r>
            <w:proofErr w:type="spellEnd"/>
          </w:p>
        </w:tc>
        <w:tc>
          <w:tcPr>
            <w:tcW w:w="320" w:type="pct"/>
            <w:tcBorders>
              <w:bottom w:val="nil"/>
            </w:tcBorders>
          </w:tcPr>
          <w:p w14:paraId="2C398FB6"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35</w:t>
            </w:r>
          </w:p>
        </w:tc>
        <w:tc>
          <w:tcPr>
            <w:tcW w:w="1119" w:type="pct"/>
            <w:tcBorders>
              <w:bottom w:val="nil"/>
            </w:tcBorders>
          </w:tcPr>
          <w:p w14:paraId="374B1235"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w:t>
            </w:r>
            <w:r w:rsidRPr="008A6229">
              <w:rPr>
                <w:rFonts w:ascii="Arial Narrow" w:eastAsiaTheme="minorEastAsia" w:hAnsi="Arial Narrow"/>
                <w:sz w:val="18"/>
                <w:vertAlign w:val="superscript"/>
                <w:lang w:eastAsia="en-US"/>
              </w:rPr>
              <w:t>a</w:t>
            </w:r>
          </w:p>
        </w:tc>
        <w:tc>
          <w:tcPr>
            <w:tcW w:w="463" w:type="pct"/>
            <w:tcBorders>
              <w:bottom w:val="nil"/>
            </w:tcBorders>
            <w:shd w:val="clear" w:color="auto" w:fill="auto"/>
          </w:tcPr>
          <w:p w14:paraId="560653F8"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0.02</w:t>
            </w:r>
          </w:p>
        </w:tc>
      </w:tr>
      <w:tr w:rsidR="008A6229" w:rsidRPr="008A6229" w14:paraId="5DFF7B71" w14:textId="77777777" w:rsidTr="00E20F30">
        <w:tc>
          <w:tcPr>
            <w:tcW w:w="621" w:type="pct"/>
            <w:tcBorders>
              <w:top w:val="nil"/>
              <w:bottom w:val="single" w:sz="4" w:space="0" w:color="auto"/>
            </w:tcBorders>
            <w:shd w:val="clear" w:color="auto" w:fill="auto"/>
          </w:tcPr>
          <w:p w14:paraId="0C67E05C" w14:textId="77777777" w:rsidR="008A6229" w:rsidRPr="008A6229" w:rsidRDefault="008A6229" w:rsidP="008A6229">
            <w:pPr>
              <w:keepNext/>
              <w:rPr>
                <w:rFonts w:ascii="Arial Narrow" w:eastAsiaTheme="minorEastAsia" w:hAnsi="Arial Narrow"/>
                <w:b/>
                <w:sz w:val="18"/>
                <w:lang w:eastAsia="en-US"/>
              </w:rPr>
            </w:pPr>
            <w:r w:rsidRPr="008A6229">
              <w:rPr>
                <w:rFonts w:ascii="Arial Narrow" w:eastAsiaTheme="minorEastAsia" w:hAnsi="Arial Narrow"/>
                <w:b/>
                <w:sz w:val="18"/>
                <w:lang w:eastAsia="en-US"/>
              </w:rPr>
              <w:t>Part A</w:t>
            </w:r>
          </w:p>
        </w:tc>
        <w:tc>
          <w:tcPr>
            <w:tcW w:w="1838" w:type="pct"/>
            <w:tcBorders>
              <w:top w:val="nil"/>
              <w:bottom w:val="single" w:sz="4" w:space="0" w:color="auto"/>
            </w:tcBorders>
            <w:shd w:val="clear" w:color="auto" w:fill="auto"/>
          </w:tcPr>
          <w:p w14:paraId="0816F208"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symptoms at defining site</w:t>
            </w:r>
          </w:p>
        </w:tc>
        <w:tc>
          <w:tcPr>
            <w:tcW w:w="639" w:type="pct"/>
            <w:tcBorders>
              <w:top w:val="nil"/>
              <w:bottom w:val="single" w:sz="4" w:space="0" w:color="auto"/>
            </w:tcBorders>
            <w:shd w:val="clear" w:color="auto" w:fill="auto"/>
          </w:tcPr>
          <w:p w14:paraId="734FD0C1"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20" w:type="pct"/>
            <w:tcBorders>
              <w:top w:val="nil"/>
              <w:bottom w:val="single" w:sz="4" w:space="0" w:color="auto"/>
            </w:tcBorders>
          </w:tcPr>
          <w:p w14:paraId="580870A0"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33</w:t>
            </w:r>
          </w:p>
        </w:tc>
        <w:tc>
          <w:tcPr>
            <w:tcW w:w="1119" w:type="pct"/>
            <w:tcBorders>
              <w:top w:val="nil"/>
              <w:bottom w:val="single" w:sz="4" w:space="0" w:color="auto"/>
            </w:tcBorders>
          </w:tcPr>
          <w:p w14:paraId="56D59559"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&gt;4</w:t>
            </w:r>
            <w:r w:rsidRPr="008A6229">
              <w:rPr>
                <w:rFonts w:ascii="Arial Narrow" w:eastAsiaTheme="minorEastAsia" w:hAnsi="Arial Narrow"/>
                <w:sz w:val="18"/>
                <w:vertAlign w:val="superscript"/>
                <w:lang w:eastAsia="en-US"/>
              </w:rPr>
              <w:t>a,b</w:t>
            </w:r>
          </w:p>
        </w:tc>
        <w:tc>
          <w:tcPr>
            <w:tcW w:w="463" w:type="pct"/>
            <w:tcBorders>
              <w:top w:val="nil"/>
              <w:bottom w:val="single" w:sz="4" w:space="0" w:color="auto"/>
            </w:tcBorders>
            <w:shd w:val="clear" w:color="auto" w:fill="auto"/>
          </w:tcPr>
          <w:p w14:paraId="5ACF4E66"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7DC8BAA6" w14:textId="77777777" w:rsidTr="00E20F30">
        <w:tc>
          <w:tcPr>
            <w:tcW w:w="621" w:type="pct"/>
            <w:tcBorders>
              <w:top w:val="single" w:sz="4" w:space="0" w:color="auto"/>
              <w:bottom w:val="nil"/>
            </w:tcBorders>
            <w:shd w:val="clear" w:color="auto" w:fill="auto"/>
          </w:tcPr>
          <w:p w14:paraId="2D2F7678"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IMPACT 1</w:t>
            </w:r>
          </w:p>
        </w:tc>
        <w:tc>
          <w:tcPr>
            <w:tcW w:w="1838" w:type="pct"/>
            <w:tcBorders>
              <w:bottom w:val="nil"/>
            </w:tcBorders>
            <w:shd w:val="clear" w:color="auto" w:fill="auto"/>
          </w:tcPr>
          <w:p w14:paraId="10E099F6"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(range) time to onset of symptom </w:t>
            </w:r>
          </w:p>
        </w:tc>
        <w:tc>
          <w:tcPr>
            <w:tcW w:w="639" w:type="pct"/>
            <w:tcBorders>
              <w:bottom w:val="nil"/>
            </w:tcBorders>
            <w:shd w:val="clear" w:color="auto" w:fill="auto"/>
          </w:tcPr>
          <w:p w14:paraId="137F26F8" w14:textId="77777777" w:rsidR="008A6229" w:rsidRPr="008A6229" w:rsidRDefault="008A6229" w:rsidP="008A6229">
            <w:pPr>
              <w:keepNext/>
              <w:spacing w:before="20"/>
              <w:jc w:val="center"/>
              <w:rPr>
                <w:rFonts w:ascii="Arial Narrow" w:eastAsiaTheme="minorEastAsia" w:hAnsi="Arial Narrow"/>
                <w:sz w:val="18"/>
                <w:lang w:eastAsia="en-US"/>
              </w:rPr>
            </w:pPr>
            <w:proofErr w:type="spellStart"/>
            <w:r w:rsidRPr="008A6229">
              <w:rPr>
                <w:rFonts w:ascii="Arial Narrow" w:eastAsiaTheme="minorEastAsia" w:hAnsi="Arial Narrow"/>
                <w:sz w:val="18"/>
                <w:lang w:eastAsia="en-US"/>
              </w:rPr>
              <w:t>Berinert</w:t>
            </w:r>
            <w:proofErr w:type="spellEnd"/>
          </w:p>
        </w:tc>
        <w:tc>
          <w:tcPr>
            <w:tcW w:w="320" w:type="pct"/>
            <w:tcBorders>
              <w:bottom w:val="nil"/>
            </w:tcBorders>
          </w:tcPr>
          <w:p w14:paraId="1006BF34"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43</w:t>
            </w:r>
          </w:p>
        </w:tc>
        <w:tc>
          <w:tcPr>
            <w:tcW w:w="1119" w:type="pct"/>
            <w:tcBorders>
              <w:bottom w:val="nil"/>
            </w:tcBorders>
          </w:tcPr>
          <w:p w14:paraId="6DE1EFD3"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0.5 (0.17 – 24.00)</w:t>
            </w:r>
          </w:p>
        </w:tc>
        <w:tc>
          <w:tcPr>
            <w:tcW w:w="463" w:type="pct"/>
            <w:tcBorders>
              <w:bottom w:val="nil"/>
            </w:tcBorders>
            <w:shd w:val="clear" w:color="auto" w:fill="auto"/>
          </w:tcPr>
          <w:p w14:paraId="0FBA6BDD"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0.0025</w:t>
            </w:r>
          </w:p>
        </w:tc>
      </w:tr>
      <w:tr w:rsidR="008A6229" w:rsidRPr="008A6229" w14:paraId="7B548A10" w14:textId="77777777" w:rsidTr="00E20F30">
        <w:tc>
          <w:tcPr>
            <w:tcW w:w="621" w:type="pct"/>
            <w:tcBorders>
              <w:top w:val="nil"/>
              <w:bottom w:val="single" w:sz="4" w:space="0" w:color="auto"/>
            </w:tcBorders>
            <w:shd w:val="clear" w:color="auto" w:fill="auto"/>
          </w:tcPr>
          <w:p w14:paraId="18AD6972" w14:textId="77777777" w:rsidR="008A6229" w:rsidRPr="008A6229" w:rsidRDefault="008A6229" w:rsidP="008A6229">
            <w:pPr>
              <w:keepNext/>
              <w:spacing w:before="20"/>
              <w:rPr>
                <w:rFonts w:ascii="Arial Narrow" w:eastAsiaTheme="minorEastAsia" w:hAnsi="Arial Narrow"/>
                <w:b/>
                <w:sz w:val="18"/>
                <w:lang w:eastAsia="en-US"/>
              </w:rPr>
            </w:pPr>
          </w:p>
        </w:tc>
        <w:tc>
          <w:tcPr>
            <w:tcW w:w="1838" w:type="pct"/>
            <w:tcBorders>
              <w:top w:val="nil"/>
              <w:bottom w:val="single" w:sz="4" w:space="0" w:color="auto"/>
            </w:tcBorders>
            <w:shd w:val="clear" w:color="auto" w:fill="auto"/>
          </w:tcPr>
          <w:p w14:paraId="4FB2E6B2"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relief</w:t>
            </w:r>
          </w:p>
        </w:tc>
        <w:tc>
          <w:tcPr>
            <w:tcW w:w="639" w:type="pct"/>
            <w:tcBorders>
              <w:top w:val="nil"/>
              <w:bottom w:val="single" w:sz="4" w:space="0" w:color="auto"/>
            </w:tcBorders>
            <w:shd w:val="clear" w:color="auto" w:fill="auto"/>
          </w:tcPr>
          <w:p w14:paraId="1D4921EB"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20" w:type="pct"/>
            <w:tcBorders>
              <w:top w:val="nil"/>
              <w:bottom w:val="single" w:sz="4" w:space="0" w:color="auto"/>
            </w:tcBorders>
          </w:tcPr>
          <w:p w14:paraId="19A6F363"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42</w:t>
            </w:r>
          </w:p>
        </w:tc>
        <w:tc>
          <w:tcPr>
            <w:tcW w:w="1119" w:type="pct"/>
            <w:tcBorders>
              <w:top w:val="nil"/>
              <w:bottom w:val="single" w:sz="4" w:space="0" w:color="auto"/>
            </w:tcBorders>
          </w:tcPr>
          <w:p w14:paraId="34D3ED97"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1.5 (0.20 – 24.00)</w:t>
            </w:r>
          </w:p>
        </w:tc>
        <w:tc>
          <w:tcPr>
            <w:tcW w:w="463" w:type="pct"/>
            <w:tcBorders>
              <w:top w:val="nil"/>
              <w:bottom w:val="single" w:sz="4" w:space="0" w:color="auto"/>
            </w:tcBorders>
            <w:shd w:val="clear" w:color="auto" w:fill="auto"/>
          </w:tcPr>
          <w:p w14:paraId="414E7E6A"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7F3A5343" w14:textId="77777777" w:rsidTr="00E20F30">
        <w:tc>
          <w:tcPr>
            <w:tcW w:w="621" w:type="pct"/>
            <w:tcBorders>
              <w:top w:val="nil"/>
              <w:bottom w:val="nil"/>
            </w:tcBorders>
            <w:shd w:val="clear" w:color="auto" w:fill="auto"/>
          </w:tcPr>
          <w:p w14:paraId="754174AE"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FAST 1</w:t>
            </w:r>
          </w:p>
        </w:tc>
        <w:tc>
          <w:tcPr>
            <w:tcW w:w="1838" w:type="pct"/>
            <w:tcBorders>
              <w:bottom w:val="nil"/>
            </w:tcBorders>
            <w:shd w:val="clear" w:color="auto" w:fill="auto"/>
          </w:tcPr>
          <w:p w14:paraId="6B263490"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[IQR] time to first improvement of the </w:t>
            </w:r>
          </w:p>
        </w:tc>
        <w:tc>
          <w:tcPr>
            <w:tcW w:w="639" w:type="pct"/>
            <w:tcBorders>
              <w:bottom w:val="nil"/>
            </w:tcBorders>
            <w:shd w:val="clear" w:color="auto" w:fill="auto"/>
          </w:tcPr>
          <w:p w14:paraId="33BB742C"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Icatibant</w:t>
            </w:r>
          </w:p>
        </w:tc>
        <w:tc>
          <w:tcPr>
            <w:tcW w:w="320" w:type="pct"/>
            <w:tcBorders>
              <w:bottom w:val="nil"/>
            </w:tcBorders>
          </w:tcPr>
          <w:p w14:paraId="39647934"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27</w:t>
            </w:r>
          </w:p>
        </w:tc>
        <w:tc>
          <w:tcPr>
            <w:tcW w:w="1119" w:type="pct"/>
            <w:tcBorders>
              <w:bottom w:val="nil"/>
            </w:tcBorders>
          </w:tcPr>
          <w:p w14:paraId="5E8A82BA"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0.8 [0.5, 2.0]</w:t>
            </w:r>
          </w:p>
        </w:tc>
        <w:tc>
          <w:tcPr>
            <w:tcW w:w="463" w:type="pct"/>
            <w:tcBorders>
              <w:bottom w:val="nil"/>
            </w:tcBorders>
            <w:shd w:val="clear" w:color="auto" w:fill="auto"/>
          </w:tcPr>
          <w:p w14:paraId="02C5F450"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&lt;0.001</w:t>
            </w:r>
          </w:p>
        </w:tc>
      </w:tr>
      <w:tr w:rsidR="008A6229" w:rsidRPr="008A6229" w14:paraId="06084AAF" w14:textId="77777777" w:rsidTr="00E20F30">
        <w:tc>
          <w:tcPr>
            <w:tcW w:w="621" w:type="pct"/>
            <w:tcBorders>
              <w:top w:val="nil"/>
              <w:bottom w:val="single" w:sz="4" w:space="0" w:color="auto"/>
            </w:tcBorders>
            <w:shd w:val="clear" w:color="auto" w:fill="auto"/>
          </w:tcPr>
          <w:p w14:paraId="7B992601" w14:textId="77777777" w:rsidR="008A6229" w:rsidRPr="008A6229" w:rsidRDefault="008A6229" w:rsidP="008A6229">
            <w:pPr>
              <w:keepNext/>
              <w:spacing w:before="20"/>
              <w:rPr>
                <w:rFonts w:ascii="Arial Narrow" w:eastAsiaTheme="minorEastAsia" w:hAnsi="Arial Narrow"/>
                <w:b/>
                <w:sz w:val="18"/>
                <w:lang w:eastAsia="en-US"/>
              </w:rPr>
            </w:pPr>
          </w:p>
        </w:tc>
        <w:tc>
          <w:tcPr>
            <w:tcW w:w="1838" w:type="pct"/>
            <w:tcBorders>
              <w:top w:val="nil"/>
              <w:bottom w:val="single" w:sz="4" w:space="0" w:color="auto"/>
            </w:tcBorders>
            <w:shd w:val="clear" w:color="auto" w:fill="auto"/>
          </w:tcPr>
          <w:p w14:paraId="3D53DE16"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 xml:space="preserve">index symptom according to the </w:t>
            </w:r>
            <w:proofErr w:type="spellStart"/>
            <w:r w:rsidRPr="008A6229">
              <w:rPr>
                <w:rFonts w:ascii="Arial Narrow" w:eastAsiaTheme="minorEastAsia" w:hAnsi="Arial Narrow"/>
                <w:sz w:val="18"/>
                <w:lang w:eastAsia="en-US"/>
              </w:rPr>
              <w:t>patient</w:t>
            </w:r>
            <w:r w:rsidRPr="008A6229">
              <w:rPr>
                <w:rFonts w:ascii="Arial Narrow" w:eastAsiaTheme="minorEastAsia" w:hAnsi="Arial Narrow"/>
                <w:sz w:val="18"/>
                <w:vertAlign w:val="superscript"/>
                <w:lang w:eastAsia="en-US"/>
              </w:rPr>
              <w:t>c</w:t>
            </w:r>
            <w:proofErr w:type="spellEnd"/>
          </w:p>
        </w:tc>
        <w:tc>
          <w:tcPr>
            <w:tcW w:w="639" w:type="pct"/>
            <w:tcBorders>
              <w:top w:val="nil"/>
              <w:bottom w:val="single" w:sz="4" w:space="0" w:color="auto"/>
            </w:tcBorders>
            <w:shd w:val="clear" w:color="auto" w:fill="auto"/>
          </w:tcPr>
          <w:p w14:paraId="557BD738"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20" w:type="pct"/>
            <w:tcBorders>
              <w:top w:val="nil"/>
              <w:bottom w:val="single" w:sz="4" w:space="0" w:color="auto"/>
            </w:tcBorders>
          </w:tcPr>
          <w:p w14:paraId="0AFC6866"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29</w:t>
            </w:r>
          </w:p>
        </w:tc>
        <w:tc>
          <w:tcPr>
            <w:tcW w:w="1119" w:type="pct"/>
            <w:tcBorders>
              <w:top w:val="nil"/>
              <w:bottom w:val="single" w:sz="4" w:space="0" w:color="auto"/>
            </w:tcBorders>
          </w:tcPr>
          <w:p w14:paraId="103DB77F"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16.9 [3.2, NA]</w:t>
            </w:r>
          </w:p>
        </w:tc>
        <w:tc>
          <w:tcPr>
            <w:tcW w:w="463" w:type="pct"/>
            <w:tcBorders>
              <w:top w:val="nil"/>
              <w:bottom w:val="single" w:sz="4" w:space="0" w:color="auto"/>
            </w:tcBorders>
            <w:shd w:val="clear" w:color="auto" w:fill="auto"/>
          </w:tcPr>
          <w:p w14:paraId="2AB53D95"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096B105D" w14:textId="77777777" w:rsidTr="00E20F30">
        <w:tc>
          <w:tcPr>
            <w:tcW w:w="621" w:type="pct"/>
            <w:tcBorders>
              <w:top w:val="nil"/>
              <w:bottom w:val="nil"/>
            </w:tcBorders>
            <w:shd w:val="clear" w:color="auto" w:fill="auto"/>
          </w:tcPr>
          <w:p w14:paraId="0725CEFB"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FAST 3</w:t>
            </w:r>
          </w:p>
        </w:tc>
        <w:tc>
          <w:tcPr>
            <w:tcW w:w="1838" w:type="pct"/>
            <w:tcBorders>
              <w:top w:val="nil"/>
              <w:bottom w:val="nil"/>
            </w:tcBorders>
            <w:shd w:val="clear" w:color="auto" w:fill="auto"/>
          </w:tcPr>
          <w:p w14:paraId="50821786"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(95% CI) time to initial symptom </w:t>
            </w:r>
          </w:p>
        </w:tc>
        <w:tc>
          <w:tcPr>
            <w:tcW w:w="639" w:type="pct"/>
            <w:tcBorders>
              <w:top w:val="nil"/>
              <w:bottom w:val="nil"/>
            </w:tcBorders>
            <w:shd w:val="clear" w:color="auto" w:fill="auto"/>
          </w:tcPr>
          <w:p w14:paraId="29CD4D31"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Icatibant</w:t>
            </w:r>
          </w:p>
        </w:tc>
        <w:tc>
          <w:tcPr>
            <w:tcW w:w="320" w:type="pct"/>
            <w:tcBorders>
              <w:top w:val="nil"/>
              <w:bottom w:val="nil"/>
            </w:tcBorders>
          </w:tcPr>
          <w:p w14:paraId="44171EA7"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43</w:t>
            </w:r>
          </w:p>
        </w:tc>
        <w:tc>
          <w:tcPr>
            <w:tcW w:w="1119" w:type="pct"/>
            <w:tcBorders>
              <w:top w:val="nil"/>
              <w:bottom w:val="nil"/>
            </w:tcBorders>
          </w:tcPr>
          <w:p w14:paraId="45FFBBF1"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0.8 (0.5, 1.0)</w:t>
            </w:r>
          </w:p>
        </w:tc>
        <w:tc>
          <w:tcPr>
            <w:tcW w:w="463" w:type="pct"/>
            <w:tcBorders>
              <w:top w:val="nil"/>
              <w:bottom w:val="nil"/>
            </w:tcBorders>
            <w:shd w:val="clear" w:color="auto" w:fill="auto"/>
          </w:tcPr>
          <w:p w14:paraId="7ED9ED21"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&lt;0.001</w:t>
            </w:r>
          </w:p>
        </w:tc>
      </w:tr>
      <w:tr w:rsidR="008A6229" w:rsidRPr="008A6229" w14:paraId="622781DB" w14:textId="77777777" w:rsidTr="00E20F30">
        <w:tc>
          <w:tcPr>
            <w:tcW w:w="621" w:type="pct"/>
            <w:tcBorders>
              <w:top w:val="nil"/>
              <w:bottom w:val="single" w:sz="4" w:space="0" w:color="auto"/>
            </w:tcBorders>
            <w:shd w:val="clear" w:color="auto" w:fill="auto"/>
          </w:tcPr>
          <w:p w14:paraId="6B5F7F8C" w14:textId="77777777" w:rsidR="008A6229" w:rsidRPr="008A6229" w:rsidRDefault="008A6229" w:rsidP="008A6229">
            <w:pPr>
              <w:keepNext/>
              <w:spacing w:before="20"/>
              <w:rPr>
                <w:rFonts w:ascii="Arial Narrow" w:eastAsiaTheme="minorEastAsia" w:hAnsi="Arial Narrow"/>
                <w:b/>
                <w:sz w:val="18"/>
                <w:lang w:eastAsia="en-US"/>
              </w:rPr>
            </w:pPr>
          </w:p>
        </w:tc>
        <w:tc>
          <w:tcPr>
            <w:tcW w:w="1838" w:type="pct"/>
            <w:tcBorders>
              <w:top w:val="nil"/>
              <w:bottom w:val="single" w:sz="4" w:space="0" w:color="auto"/>
            </w:tcBorders>
            <w:shd w:val="clear" w:color="auto" w:fill="auto"/>
          </w:tcPr>
          <w:p w14:paraId="49AD0DCD"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 xml:space="preserve">relief according to the </w:t>
            </w:r>
            <w:proofErr w:type="spellStart"/>
            <w:r w:rsidRPr="008A6229">
              <w:rPr>
                <w:rFonts w:ascii="Arial Narrow" w:eastAsiaTheme="minorEastAsia" w:hAnsi="Arial Narrow"/>
                <w:sz w:val="18"/>
                <w:lang w:eastAsia="en-US"/>
              </w:rPr>
              <w:t>patient</w:t>
            </w:r>
            <w:r w:rsidRPr="008A6229">
              <w:rPr>
                <w:rFonts w:ascii="Arial Narrow" w:eastAsiaTheme="minorEastAsia" w:hAnsi="Arial Narrow"/>
                <w:sz w:val="18"/>
                <w:vertAlign w:val="superscript"/>
                <w:lang w:eastAsia="en-US"/>
              </w:rPr>
              <w:t>c</w:t>
            </w:r>
            <w:proofErr w:type="spellEnd"/>
          </w:p>
        </w:tc>
        <w:tc>
          <w:tcPr>
            <w:tcW w:w="639" w:type="pct"/>
            <w:tcBorders>
              <w:top w:val="nil"/>
              <w:bottom w:val="single" w:sz="4" w:space="0" w:color="auto"/>
            </w:tcBorders>
            <w:shd w:val="clear" w:color="auto" w:fill="auto"/>
          </w:tcPr>
          <w:p w14:paraId="0EF759B4"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20" w:type="pct"/>
            <w:tcBorders>
              <w:top w:val="nil"/>
              <w:bottom w:val="single" w:sz="4" w:space="0" w:color="auto"/>
            </w:tcBorders>
          </w:tcPr>
          <w:p w14:paraId="4238F4E7"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45</w:t>
            </w:r>
          </w:p>
        </w:tc>
        <w:tc>
          <w:tcPr>
            <w:tcW w:w="1119" w:type="pct"/>
            <w:tcBorders>
              <w:top w:val="nil"/>
              <w:bottom w:val="single" w:sz="4" w:space="0" w:color="auto"/>
            </w:tcBorders>
          </w:tcPr>
          <w:p w14:paraId="1E1829B2"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3.5 (1.9, 5.4)</w:t>
            </w:r>
          </w:p>
        </w:tc>
        <w:tc>
          <w:tcPr>
            <w:tcW w:w="463" w:type="pct"/>
            <w:tcBorders>
              <w:top w:val="nil"/>
              <w:bottom w:val="single" w:sz="4" w:space="0" w:color="auto"/>
            </w:tcBorders>
            <w:shd w:val="clear" w:color="auto" w:fill="auto"/>
          </w:tcPr>
          <w:p w14:paraId="20045B19" w14:textId="77777777" w:rsidR="008A6229" w:rsidRPr="008A6229" w:rsidRDefault="008A6229" w:rsidP="008A6229">
            <w:pPr>
              <w:keepNext/>
              <w:spacing w:before="20"/>
              <w:jc w:val="center"/>
              <w:rPr>
                <w:rFonts w:ascii="Arial Narrow" w:eastAsiaTheme="minorEastAsia" w:hAnsi="Arial Narrow"/>
                <w:sz w:val="18"/>
                <w:lang w:eastAsia="en-US"/>
              </w:rPr>
            </w:pPr>
          </w:p>
        </w:tc>
      </w:tr>
    </w:tbl>
    <w:p w14:paraId="20AD9C1B" w14:textId="57B68DEF"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Source</w:t>
      </w:r>
      <w:r w:rsidRPr="008A6229">
        <w:rPr>
          <w:rFonts w:ascii="Arial Narrow" w:eastAsia="Calibri" w:hAnsi="Arial Narrow"/>
          <w:sz w:val="16"/>
          <w:szCs w:val="16"/>
          <w:lang w:eastAsia="en-US"/>
        </w:rPr>
        <w:t xml:space="preserve">: </w:t>
      </w:r>
      <w:r w:rsidR="002F2D67">
        <w:rPr>
          <w:rFonts w:ascii="Arial Narrow" w:eastAsia="Calibri" w:hAnsi="Arial Narrow"/>
          <w:sz w:val="16"/>
          <w:szCs w:val="16"/>
          <w:lang w:eastAsia="en-US"/>
        </w:rPr>
        <w:t xml:space="preserve">Table B.6.2 </w:t>
      </w:r>
      <w:r w:rsidRPr="008A6229">
        <w:rPr>
          <w:rFonts w:ascii="Arial Narrow" w:eastAsia="Calibri" w:hAnsi="Arial Narrow"/>
          <w:sz w:val="16"/>
          <w:szCs w:val="16"/>
          <w:lang w:eastAsia="en-US"/>
        </w:rPr>
        <w:t>of the Assessment Report (</w:t>
      </w:r>
      <w:proofErr w:type="spellStart"/>
      <w:r w:rsidRPr="008A6229">
        <w:rPr>
          <w:rFonts w:ascii="Arial Narrow" w:eastAsia="Calibri" w:hAnsi="Arial Narrow"/>
          <w:sz w:val="16"/>
          <w:szCs w:val="16"/>
          <w:lang w:eastAsia="en-US"/>
        </w:rPr>
        <w:t>Zuraw</w:t>
      </w:r>
      <w:proofErr w:type="spellEnd"/>
      <w:r w:rsidRPr="008A6229">
        <w:rPr>
          <w:rFonts w:ascii="Arial Narrow" w:eastAsia="Calibri" w:hAnsi="Arial Narrow"/>
          <w:sz w:val="16"/>
          <w:szCs w:val="16"/>
          <w:lang w:eastAsia="en-US"/>
        </w:rPr>
        <w:t xml:space="preserve"> et al, 2010; Craig et al, 2009; </w:t>
      </w:r>
      <w:proofErr w:type="spellStart"/>
      <w:r w:rsidRPr="008A6229">
        <w:rPr>
          <w:rFonts w:ascii="Arial Narrow" w:eastAsia="Calibri" w:hAnsi="Arial Narrow"/>
          <w:sz w:val="16"/>
          <w:szCs w:val="16"/>
          <w:lang w:eastAsia="en-US"/>
        </w:rPr>
        <w:t>Cicardi</w:t>
      </w:r>
      <w:proofErr w:type="spellEnd"/>
      <w:r w:rsidRPr="008A6229">
        <w:rPr>
          <w:rFonts w:ascii="Arial Narrow" w:eastAsia="Calibri" w:hAnsi="Arial Narrow"/>
          <w:sz w:val="16"/>
          <w:szCs w:val="16"/>
          <w:lang w:eastAsia="en-US"/>
        </w:rPr>
        <w:t xml:space="preserve"> et al, 2010; </w:t>
      </w:r>
      <w:proofErr w:type="spellStart"/>
      <w:r w:rsidRPr="008A6229">
        <w:rPr>
          <w:rFonts w:ascii="Arial Narrow" w:eastAsia="Calibri" w:hAnsi="Arial Narrow"/>
          <w:sz w:val="16"/>
          <w:szCs w:val="16"/>
          <w:lang w:eastAsia="en-US"/>
        </w:rPr>
        <w:t>Lumry</w:t>
      </w:r>
      <w:proofErr w:type="spellEnd"/>
      <w:r w:rsidRPr="008A6229">
        <w:rPr>
          <w:rFonts w:ascii="Arial Narrow" w:eastAsia="Calibri" w:hAnsi="Arial Narrow"/>
          <w:sz w:val="16"/>
          <w:szCs w:val="16"/>
          <w:lang w:eastAsia="en-US"/>
        </w:rPr>
        <w:t xml:space="preserve"> et al, 2011)</w:t>
      </w:r>
    </w:p>
    <w:p w14:paraId="3F4A80B7" w14:textId="0E9A2A1F"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Note</w:t>
      </w:r>
      <w:r w:rsidRPr="008A6229">
        <w:rPr>
          <w:rFonts w:ascii="Arial Narrow" w:eastAsia="Calibri" w:hAnsi="Arial Narrow"/>
          <w:sz w:val="16"/>
          <w:szCs w:val="16"/>
          <w:lang w:eastAsia="en-US"/>
        </w:rPr>
        <w:t xml:space="preserve">: Detailed outcome definitions are provided in Section </w:t>
      </w:r>
      <w:r w:rsidR="002F2D67">
        <w:rPr>
          <w:rFonts w:ascii="Arial Narrow" w:eastAsia="Calibri" w:hAnsi="Arial Narrow"/>
          <w:sz w:val="16"/>
          <w:szCs w:val="16"/>
          <w:lang w:eastAsia="en-US"/>
        </w:rPr>
        <w:t xml:space="preserve">B.5.1 </w:t>
      </w:r>
      <w:r w:rsidRPr="008A6229">
        <w:rPr>
          <w:rFonts w:ascii="Arial Narrow" w:eastAsia="Calibri" w:hAnsi="Arial Narrow"/>
          <w:sz w:val="16"/>
          <w:szCs w:val="16"/>
          <w:lang w:eastAsia="en-US"/>
        </w:rPr>
        <w:t>of the Assessment Report.</w:t>
      </w:r>
    </w:p>
    <w:p w14:paraId="2838BC35" w14:textId="77777777"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Abbreviations</w:t>
      </w:r>
      <w:r w:rsidRPr="008A6229">
        <w:rPr>
          <w:rFonts w:ascii="Arial Narrow" w:eastAsia="Calibri" w:hAnsi="Arial Narrow"/>
          <w:sz w:val="16"/>
          <w:szCs w:val="16"/>
          <w:lang w:eastAsia="en-US"/>
        </w:rPr>
        <w:t>: CI, confidence interval; h, hours; IQR, interquartile range; NA, not applicable</w:t>
      </w:r>
    </w:p>
    <w:p w14:paraId="2398FAEC" w14:textId="77777777" w:rsidR="008A6229" w:rsidRPr="008A6229" w:rsidRDefault="008A6229" w:rsidP="008A6229">
      <w:pPr>
        <w:keepNext/>
        <w:rPr>
          <w:rFonts w:ascii="Arial Narrow" w:eastAsia="Calibri" w:hAnsi="Arial Narrow"/>
          <w:sz w:val="16"/>
          <w:szCs w:val="16"/>
          <w:lang w:eastAsia="en-US"/>
        </w:rPr>
      </w:pPr>
      <w:proofErr w:type="gramStart"/>
      <w:r w:rsidRPr="008A6229">
        <w:rPr>
          <w:rFonts w:ascii="Arial Narrow" w:eastAsia="Calibri" w:hAnsi="Arial Narrow"/>
          <w:b/>
          <w:sz w:val="16"/>
          <w:szCs w:val="16"/>
          <w:lang w:eastAsia="en-US"/>
        </w:rPr>
        <w:t>a</w:t>
      </w:r>
      <w:proofErr w:type="gramEnd"/>
      <w:r w:rsidRPr="008A6229">
        <w:rPr>
          <w:rFonts w:ascii="Arial Narrow" w:eastAsia="Calibri" w:hAnsi="Arial Narrow"/>
          <w:sz w:val="16"/>
          <w:szCs w:val="16"/>
          <w:lang w:eastAsia="en-US"/>
        </w:rPr>
        <w:t xml:space="preserve"> Variance not reported</w:t>
      </w:r>
    </w:p>
    <w:p w14:paraId="3EDEF604" w14:textId="77777777" w:rsidR="008A6229" w:rsidRPr="008A6229" w:rsidRDefault="008A6229" w:rsidP="008A6229">
      <w:pPr>
        <w:keepNext/>
        <w:rPr>
          <w:rFonts w:ascii="Arial Narrow" w:eastAsia="Calibri" w:hAnsi="Arial Narrow"/>
          <w:sz w:val="16"/>
          <w:szCs w:val="16"/>
          <w:lang w:eastAsia="en-US"/>
        </w:rPr>
      </w:pPr>
      <w:proofErr w:type="gramStart"/>
      <w:r w:rsidRPr="008A6229">
        <w:rPr>
          <w:rFonts w:ascii="Arial Narrow" w:eastAsia="Calibri" w:hAnsi="Arial Narrow"/>
          <w:b/>
          <w:sz w:val="16"/>
          <w:szCs w:val="16"/>
          <w:lang w:eastAsia="en-US"/>
        </w:rPr>
        <w:t>b</w:t>
      </w:r>
      <w:proofErr w:type="gramEnd"/>
      <w:r w:rsidRPr="008A6229">
        <w:rPr>
          <w:rFonts w:ascii="Arial Narrow" w:eastAsia="Calibri" w:hAnsi="Arial Narrow"/>
          <w:sz w:val="16"/>
          <w:szCs w:val="16"/>
          <w:lang w:eastAsia="en-US"/>
        </w:rPr>
        <w:t xml:space="preserve"> All patients not achieving onset of symptom relief at 4 hours were censored at 4 hours for the primary outcome.</w:t>
      </w:r>
    </w:p>
    <w:p w14:paraId="0A90DFD5" w14:textId="77777777" w:rsidR="008A6229" w:rsidRDefault="008A6229" w:rsidP="00E20F30">
      <w:pPr>
        <w:rPr>
          <w:rFonts w:ascii="Arial Narrow" w:eastAsia="Calibri" w:hAnsi="Arial Narrow"/>
          <w:sz w:val="16"/>
          <w:lang w:eastAsia="en-US"/>
        </w:rPr>
      </w:pPr>
      <w:proofErr w:type="gramStart"/>
      <w:r w:rsidRPr="008A6229">
        <w:rPr>
          <w:rFonts w:ascii="Arial Narrow" w:eastAsia="Calibri" w:hAnsi="Arial Narrow"/>
          <w:b/>
          <w:sz w:val="16"/>
          <w:lang w:eastAsia="en-US"/>
        </w:rPr>
        <w:t>c</w:t>
      </w:r>
      <w:proofErr w:type="gramEnd"/>
      <w:r w:rsidRPr="008A6229">
        <w:rPr>
          <w:rFonts w:ascii="Arial Narrow" w:eastAsia="Calibri" w:hAnsi="Arial Narrow"/>
          <w:sz w:val="16"/>
          <w:lang w:eastAsia="en-US"/>
        </w:rPr>
        <w:t xml:space="preserve"> Data are shown for patient-selected pre-defined measures of improvement. This outcome was also assess</w:t>
      </w:r>
      <w:r w:rsidR="00E20F30">
        <w:rPr>
          <w:rFonts w:ascii="Arial Narrow" w:eastAsia="Calibri" w:hAnsi="Arial Narrow"/>
          <w:sz w:val="16"/>
          <w:lang w:eastAsia="en-US"/>
        </w:rPr>
        <w:t xml:space="preserve">ed using a Visual </w:t>
      </w:r>
      <w:proofErr w:type="spellStart"/>
      <w:r w:rsidR="00E20F30">
        <w:rPr>
          <w:rFonts w:ascii="Arial Narrow" w:eastAsia="Calibri" w:hAnsi="Arial Narrow"/>
          <w:sz w:val="16"/>
          <w:lang w:eastAsia="en-US"/>
        </w:rPr>
        <w:t>Analog</w:t>
      </w:r>
      <w:proofErr w:type="spellEnd"/>
      <w:r w:rsidR="00E20F30">
        <w:rPr>
          <w:rFonts w:ascii="Arial Narrow" w:eastAsia="Calibri" w:hAnsi="Arial Narrow"/>
          <w:sz w:val="16"/>
          <w:lang w:eastAsia="en-US"/>
        </w:rPr>
        <w:t xml:space="preserve"> Scale.</w:t>
      </w:r>
    </w:p>
    <w:p w14:paraId="72E7A2D3" w14:textId="77777777" w:rsidR="00E20F30" w:rsidRPr="00E20F30" w:rsidRDefault="00E20F30" w:rsidP="00E20F30">
      <w:pPr>
        <w:rPr>
          <w:rFonts w:eastAsia="Calibri"/>
          <w:szCs w:val="24"/>
          <w:lang w:eastAsia="en-US"/>
        </w:rPr>
      </w:pPr>
    </w:p>
    <w:p w14:paraId="3B5E7E8D" w14:textId="259323BB" w:rsidR="008A6229" w:rsidRPr="008A6229" w:rsidRDefault="008A6229" w:rsidP="008A6229">
      <w:pPr>
        <w:keepNext/>
        <w:spacing w:before="40" w:after="40"/>
        <w:jc w:val="both"/>
        <w:rPr>
          <w:rFonts w:ascii="Arial Narrow" w:eastAsiaTheme="minorHAnsi" w:hAnsi="Arial Narrow" w:cstheme="minorBidi"/>
          <w:b/>
          <w:iCs/>
          <w:sz w:val="20"/>
          <w:szCs w:val="18"/>
          <w:lang w:eastAsia="en-US"/>
        </w:rPr>
      </w:pPr>
      <w:bookmarkStart w:id="18" w:name="_Ref417732764"/>
      <w:bookmarkStart w:id="19" w:name="_Toc417862284"/>
      <w:bookmarkStart w:id="20" w:name="_Toc419428686"/>
      <w:r w:rsidRPr="008A6229">
        <w:rPr>
          <w:rFonts w:ascii="Arial Narrow" w:eastAsiaTheme="minorHAnsi" w:hAnsi="Arial Narrow" w:cstheme="minorBidi"/>
          <w:b/>
          <w:iCs/>
          <w:sz w:val="20"/>
          <w:szCs w:val="18"/>
          <w:lang w:eastAsia="en-US"/>
        </w:rPr>
        <w:t xml:space="preserve">Table </w:t>
      </w:r>
      <w:bookmarkEnd w:id="18"/>
      <w:r w:rsidR="000D57A3">
        <w:rPr>
          <w:rFonts w:ascii="Arial Narrow" w:eastAsiaTheme="minorHAnsi" w:hAnsi="Arial Narrow" w:cstheme="minorBidi"/>
          <w:b/>
          <w:iCs/>
          <w:sz w:val="20"/>
          <w:szCs w:val="18"/>
          <w:lang w:eastAsia="en-US"/>
        </w:rPr>
        <w:t>4</w:t>
      </w:r>
      <w:r w:rsidRPr="008A6229">
        <w:rPr>
          <w:rFonts w:ascii="Arial Narrow" w:eastAsiaTheme="minorHAnsi" w:hAnsi="Arial Narrow" w:cstheme="minorBidi"/>
          <w:b/>
          <w:iCs/>
          <w:sz w:val="20"/>
          <w:szCs w:val="18"/>
          <w:lang w:eastAsia="en-US"/>
        </w:rPr>
        <w:tab/>
        <w:t>Time to attack resolution outcomes from the pivotal RCTs for acute attacks</w:t>
      </w:r>
      <w:bookmarkEnd w:id="19"/>
      <w:bookmarkEnd w:id="20"/>
    </w:p>
    <w:tbl>
      <w:tblPr>
        <w:tblStyle w:val="TableGrid2"/>
        <w:tblpPr w:leftFromText="180" w:rightFromText="180" w:vertAnchor="text" w:horzAnchor="margin" w:tblpX="108" w:tblpY="122"/>
        <w:tblW w:w="4813" w:type="pct"/>
        <w:tblLayout w:type="fixed"/>
        <w:tblLook w:val="04A0" w:firstRow="1" w:lastRow="0" w:firstColumn="1" w:lastColumn="0" w:noHBand="0" w:noVBand="1"/>
        <w:tblCaption w:val="Time to attack resolution outcomes"/>
        <w:tblDescription w:val="Time to attack resolution outcomes from the pivotal RCTs for acute attacks"/>
      </w:tblPr>
      <w:tblGrid>
        <w:gridCol w:w="1101"/>
        <w:gridCol w:w="3261"/>
        <w:gridCol w:w="1133"/>
        <w:gridCol w:w="566"/>
        <w:gridCol w:w="1986"/>
        <w:gridCol w:w="849"/>
      </w:tblGrid>
      <w:tr w:rsidR="008A6229" w:rsidRPr="008A6229" w14:paraId="2437C2D5" w14:textId="77777777" w:rsidTr="00E20F30">
        <w:trPr>
          <w:tblHeader/>
        </w:trPr>
        <w:tc>
          <w:tcPr>
            <w:tcW w:w="619" w:type="pct"/>
            <w:tcBorders>
              <w:bottom w:val="single" w:sz="4" w:space="0" w:color="auto"/>
            </w:tcBorders>
            <w:shd w:val="clear" w:color="auto" w:fill="auto"/>
          </w:tcPr>
          <w:p w14:paraId="3329B17A"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Trial ID</w:t>
            </w:r>
          </w:p>
        </w:tc>
        <w:tc>
          <w:tcPr>
            <w:tcW w:w="1833" w:type="pct"/>
            <w:tcBorders>
              <w:bottom w:val="single" w:sz="4" w:space="0" w:color="auto"/>
            </w:tcBorders>
            <w:shd w:val="clear" w:color="auto" w:fill="auto"/>
          </w:tcPr>
          <w:p w14:paraId="618A6F62"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Analogous outcome</w:t>
            </w:r>
          </w:p>
        </w:tc>
        <w:tc>
          <w:tcPr>
            <w:tcW w:w="637" w:type="pct"/>
            <w:tcBorders>
              <w:bottom w:val="single" w:sz="4" w:space="0" w:color="auto"/>
            </w:tcBorders>
            <w:shd w:val="clear" w:color="auto" w:fill="auto"/>
          </w:tcPr>
          <w:p w14:paraId="16DFE92E"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Study group</w:t>
            </w:r>
          </w:p>
        </w:tc>
        <w:tc>
          <w:tcPr>
            <w:tcW w:w="318" w:type="pct"/>
            <w:tcBorders>
              <w:bottom w:val="single" w:sz="4" w:space="0" w:color="auto"/>
            </w:tcBorders>
          </w:tcPr>
          <w:p w14:paraId="270156BD"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N</w:t>
            </w:r>
          </w:p>
        </w:tc>
        <w:tc>
          <w:tcPr>
            <w:tcW w:w="1116" w:type="pct"/>
            <w:tcBorders>
              <w:bottom w:val="single" w:sz="4" w:space="0" w:color="auto"/>
            </w:tcBorders>
          </w:tcPr>
          <w:p w14:paraId="79696002"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Median time-to-event (h)</w:t>
            </w:r>
          </w:p>
        </w:tc>
        <w:tc>
          <w:tcPr>
            <w:tcW w:w="477" w:type="pct"/>
            <w:tcBorders>
              <w:bottom w:val="single" w:sz="4" w:space="0" w:color="auto"/>
            </w:tcBorders>
            <w:shd w:val="clear" w:color="auto" w:fill="auto"/>
          </w:tcPr>
          <w:p w14:paraId="5A951447" w14:textId="77777777" w:rsidR="008A6229" w:rsidRPr="008A6229" w:rsidRDefault="008A6229" w:rsidP="008A6229">
            <w:pPr>
              <w:keepNext/>
              <w:spacing w:before="20"/>
              <w:jc w:val="center"/>
              <w:rPr>
                <w:rFonts w:ascii="Arial Narrow" w:eastAsiaTheme="minorEastAsia" w:hAnsi="Arial Narrow"/>
                <w:b/>
                <w:sz w:val="18"/>
                <w:lang w:eastAsia="en-US"/>
              </w:rPr>
            </w:pPr>
            <w:r w:rsidRPr="008A6229">
              <w:rPr>
                <w:rFonts w:ascii="Arial Narrow" w:eastAsiaTheme="minorEastAsia" w:hAnsi="Arial Narrow"/>
                <w:b/>
                <w:sz w:val="18"/>
                <w:lang w:eastAsia="en-US"/>
              </w:rPr>
              <w:t>P-value</w:t>
            </w:r>
          </w:p>
        </w:tc>
      </w:tr>
      <w:tr w:rsidR="008A6229" w:rsidRPr="008A6229" w14:paraId="6985465A" w14:textId="77777777" w:rsidTr="00E20F30">
        <w:tc>
          <w:tcPr>
            <w:tcW w:w="619" w:type="pct"/>
            <w:tcBorders>
              <w:top w:val="nil"/>
              <w:bottom w:val="nil"/>
            </w:tcBorders>
            <w:shd w:val="clear" w:color="auto" w:fill="auto"/>
          </w:tcPr>
          <w:p w14:paraId="0A3A3375"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 xml:space="preserve">CHANGE </w:t>
            </w:r>
          </w:p>
        </w:tc>
        <w:tc>
          <w:tcPr>
            <w:tcW w:w="1833" w:type="pct"/>
            <w:tcBorders>
              <w:bottom w:val="nil"/>
            </w:tcBorders>
            <w:shd w:val="clear" w:color="auto" w:fill="auto"/>
          </w:tcPr>
          <w:p w14:paraId="75D4CD51"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time to complete resolution of the </w:t>
            </w:r>
          </w:p>
        </w:tc>
        <w:tc>
          <w:tcPr>
            <w:tcW w:w="637" w:type="pct"/>
            <w:tcBorders>
              <w:bottom w:val="nil"/>
            </w:tcBorders>
            <w:shd w:val="clear" w:color="auto" w:fill="auto"/>
          </w:tcPr>
          <w:p w14:paraId="7FD59701" w14:textId="77777777" w:rsidR="008A6229" w:rsidRPr="008A6229" w:rsidRDefault="008A6229" w:rsidP="008A6229">
            <w:pPr>
              <w:keepNext/>
              <w:spacing w:before="20"/>
              <w:jc w:val="center"/>
              <w:rPr>
                <w:rFonts w:ascii="Arial Narrow" w:eastAsiaTheme="minorEastAsia" w:hAnsi="Arial Narrow"/>
                <w:sz w:val="18"/>
                <w:lang w:eastAsia="en-US"/>
              </w:rPr>
            </w:pPr>
            <w:proofErr w:type="spellStart"/>
            <w:r w:rsidRPr="008A6229">
              <w:rPr>
                <w:rFonts w:ascii="Arial Narrow" w:eastAsiaTheme="minorEastAsia" w:hAnsi="Arial Narrow"/>
                <w:sz w:val="18"/>
                <w:lang w:eastAsia="en-US"/>
              </w:rPr>
              <w:t>Cinryze</w:t>
            </w:r>
            <w:proofErr w:type="spellEnd"/>
          </w:p>
        </w:tc>
        <w:tc>
          <w:tcPr>
            <w:tcW w:w="318" w:type="pct"/>
            <w:tcBorders>
              <w:bottom w:val="nil"/>
            </w:tcBorders>
          </w:tcPr>
          <w:p w14:paraId="400F07DC"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35</w:t>
            </w:r>
          </w:p>
        </w:tc>
        <w:tc>
          <w:tcPr>
            <w:tcW w:w="1116" w:type="pct"/>
            <w:tcBorders>
              <w:bottom w:val="nil"/>
            </w:tcBorders>
          </w:tcPr>
          <w:p w14:paraId="1BAD5E90"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12.3</w:t>
            </w:r>
            <w:r w:rsidRPr="008A6229">
              <w:rPr>
                <w:rFonts w:ascii="Arial Narrow" w:eastAsiaTheme="minorEastAsia" w:hAnsi="Arial Narrow"/>
                <w:sz w:val="18"/>
                <w:vertAlign w:val="superscript"/>
                <w:lang w:eastAsia="en-US"/>
              </w:rPr>
              <w:t>a</w:t>
            </w:r>
          </w:p>
        </w:tc>
        <w:tc>
          <w:tcPr>
            <w:tcW w:w="477" w:type="pct"/>
            <w:tcBorders>
              <w:bottom w:val="nil"/>
            </w:tcBorders>
            <w:shd w:val="clear" w:color="auto" w:fill="auto"/>
          </w:tcPr>
          <w:p w14:paraId="65117368"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0.004</w:t>
            </w:r>
          </w:p>
        </w:tc>
      </w:tr>
      <w:tr w:rsidR="008A6229" w:rsidRPr="008A6229" w14:paraId="7714934C" w14:textId="77777777" w:rsidTr="00E20F30">
        <w:tc>
          <w:tcPr>
            <w:tcW w:w="619" w:type="pct"/>
            <w:tcBorders>
              <w:top w:val="nil"/>
              <w:bottom w:val="single" w:sz="4" w:space="0" w:color="auto"/>
            </w:tcBorders>
            <w:shd w:val="clear" w:color="auto" w:fill="auto"/>
          </w:tcPr>
          <w:p w14:paraId="38E8E847" w14:textId="77777777" w:rsidR="008A6229" w:rsidRPr="008A6229" w:rsidRDefault="008A6229" w:rsidP="008A6229">
            <w:pPr>
              <w:keepNext/>
              <w:rPr>
                <w:rFonts w:ascii="Arial Narrow" w:eastAsiaTheme="minorEastAsia" w:hAnsi="Arial Narrow"/>
                <w:b/>
                <w:sz w:val="18"/>
                <w:lang w:eastAsia="en-US"/>
              </w:rPr>
            </w:pPr>
            <w:r w:rsidRPr="008A6229">
              <w:rPr>
                <w:rFonts w:ascii="Arial Narrow" w:eastAsiaTheme="minorEastAsia" w:hAnsi="Arial Narrow"/>
                <w:b/>
                <w:sz w:val="18"/>
                <w:lang w:eastAsia="en-US"/>
              </w:rPr>
              <w:t>Part A</w:t>
            </w:r>
          </w:p>
        </w:tc>
        <w:tc>
          <w:tcPr>
            <w:tcW w:w="1833" w:type="pct"/>
            <w:tcBorders>
              <w:top w:val="nil"/>
              <w:bottom w:val="single" w:sz="4" w:space="0" w:color="auto"/>
            </w:tcBorders>
            <w:shd w:val="clear" w:color="auto" w:fill="auto"/>
          </w:tcPr>
          <w:p w14:paraId="5A23AFC0"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attack</w:t>
            </w:r>
          </w:p>
        </w:tc>
        <w:tc>
          <w:tcPr>
            <w:tcW w:w="637" w:type="pct"/>
            <w:tcBorders>
              <w:top w:val="nil"/>
              <w:bottom w:val="single" w:sz="4" w:space="0" w:color="auto"/>
            </w:tcBorders>
            <w:shd w:val="clear" w:color="auto" w:fill="auto"/>
          </w:tcPr>
          <w:p w14:paraId="261A4F4A"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18" w:type="pct"/>
            <w:tcBorders>
              <w:top w:val="nil"/>
              <w:bottom w:val="single" w:sz="4" w:space="0" w:color="auto"/>
            </w:tcBorders>
          </w:tcPr>
          <w:p w14:paraId="5A608AFF"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33</w:t>
            </w:r>
          </w:p>
        </w:tc>
        <w:tc>
          <w:tcPr>
            <w:tcW w:w="1116" w:type="pct"/>
            <w:tcBorders>
              <w:top w:val="nil"/>
              <w:bottom w:val="single" w:sz="4" w:space="0" w:color="auto"/>
            </w:tcBorders>
          </w:tcPr>
          <w:p w14:paraId="44C12C8E"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25.0</w:t>
            </w:r>
            <w:r w:rsidRPr="008A6229">
              <w:rPr>
                <w:rFonts w:ascii="Arial Narrow" w:eastAsiaTheme="minorEastAsia" w:hAnsi="Arial Narrow"/>
                <w:sz w:val="18"/>
                <w:vertAlign w:val="superscript"/>
                <w:lang w:eastAsia="en-US"/>
              </w:rPr>
              <w:t xml:space="preserve"> a</w:t>
            </w:r>
          </w:p>
        </w:tc>
        <w:tc>
          <w:tcPr>
            <w:tcW w:w="477" w:type="pct"/>
            <w:tcBorders>
              <w:top w:val="nil"/>
              <w:bottom w:val="single" w:sz="4" w:space="0" w:color="auto"/>
            </w:tcBorders>
            <w:shd w:val="clear" w:color="auto" w:fill="auto"/>
          </w:tcPr>
          <w:p w14:paraId="41D72E36"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68A9BB2A" w14:textId="77777777" w:rsidTr="00E20F30">
        <w:tc>
          <w:tcPr>
            <w:tcW w:w="619" w:type="pct"/>
            <w:tcBorders>
              <w:top w:val="single" w:sz="4" w:space="0" w:color="auto"/>
              <w:bottom w:val="nil"/>
            </w:tcBorders>
            <w:shd w:val="clear" w:color="auto" w:fill="auto"/>
          </w:tcPr>
          <w:p w14:paraId="6B63C7F6"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IMPACT 1</w:t>
            </w:r>
          </w:p>
        </w:tc>
        <w:tc>
          <w:tcPr>
            <w:tcW w:w="1833" w:type="pct"/>
            <w:tcBorders>
              <w:bottom w:val="nil"/>
            </w:tcBorders>
            <w:shd w:val="clear" w:color="auto" w:fill="auto"/>
          </w:tcPr>
          <w:p w14:paraId="6DFB2439"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(range) time to complete resolution </w:t>
            </w:r>
          </w:p>
        </w:tc>
        <w:tc>
          <w:tcPr>
            <w:tcW w:w="637" w:type="pct"/>
            <w:tcBorders>
              <w:bottom w:val="nil"/>
            </w:tcBorders>
            <w:shd w:val="clear" w:color="auto" w:fill="auto"/>
          </w:tcPr>
          <w:p w14:paraId="56A98249" w14:textId="77777777" w:rsidR="008A6229" w:rsidRPr="008A6229" w:rsidRDefault="008A6229" w:rsidP="008A6229">
            <w:pPr>
              <w:keepNext/>
              <w:spacing w:before="20"/>
              <w:jc w:val="center"/>
              <w:rPr>
                <w:rFonts w:ascii="Arial Narrow" w:eastAsiaTheme="minorEastAsia" w:hAnsi="Arial Narrow"/>
                <w:sz w:val="18"/>
                <w:lang w:eastAsia="en-US"/>
              </w:rPr>
            </w:pPr>
            <w:proofErr w:type="spellStart"/>
            <w:r w:rsidRPr="008A6229">
              <w:rPr>
                <w:rFonts w:ascii="Arial Narrow" w:eastAsiaTheme="minorEastAsia" w:hAnsi="Arial Narrow"/>
                <w:sz w:val="18"/>
                <w:lang w:eastAsia="en-US"/>
              </w:rPr>
              <w:t>Berinert</w:t>
            </w:r>
            <w:proofErr w:type="spellEnd"/>
          </w:p>
        </w:tc>
        <w:tc>
          <w:tcPr>
            <w:tcW w:w="318" w:type="pct"/>
            <w:tcBorders>
              <w:bottom w:val="nil"/>
            </w:tcBorders>
          </w:tcPr>
          <w:p w14:paraId="3FF813CB"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43</w:t>
            </w:r>
          </w:p>
        </w:tc>
        <w:tc>
          <w:tcPr>
            <w:tcW w:w="1116" w:type="pct"/>
            <w:tcBorders>
              <w:bottom w:val="nil"/>
            </w:tcBorders>
          </w:tcPr>
          <w:p w14:paraId="2B1C3474"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4.92 (0.47 – 1486.17)</w:t>
            </w:r>
          </w:p>
        </w:tc>
        <w:tc>
          <w:tcPr>
            <w:tcW w:w="477" w:type="pct"/>
            <w:tcBorders>
              <w:bottom w:val="nil"/>
            </w:tcBorders>
            <w:shd w:val="clear" w:color="auto" w:fill="auto"/>
          </w:tcPr>
          <w:p w14:paraId="74151A95"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0.0237</w:t>
            </w:r>
          </w:p>
        </w:tc>
      </w:tr>
      <w:tr w:rsidR="008A6229" w:rsidRPr="008A6229" w14:paraId="619E6804" w14:textId="77777777" w:rsidTr="00E20F30">
        <w:tc>
          <w:tcPr>
            <w:tcW w:w="619" w:type="pct"/>
            <w:tcBorders>
              <w:top w:val="nil"/>
              <w:bottom w:val="single" w:sz="4" w:space="0" w:color="auto"/>
            </w:tcBorders>
            <w:shd w:val="clear" w:color="auto" w:fill="auto"/>
          </w:tcPr>
          <w:p w14:paraId="527E2FF8" w14:textId="77777777" w:rsidR="008A6229" w:rsidRPr="008A6229" w:rsidRDefault="008A6229" w:rsidP="008A6229">
            <w:pPr>
              <w:keepNext/>
              <w:spacing w:before="20"/>
              <w:rPr>
                <w:rFonts w:ascii="Arial Narrow" w:eastAsiaTheme="minorEastAsia" w:hAnsi="Arial Narrow"/>
                <w:b/>
                <w:sz w:val="18"/>
                <w:lang w:eastAsia="en-US"/>
              </w:rPr>
            </w:pPr>
          </w:p>
        </w:tc>
        <w:tc>
          <w:tcPr>
            <w:tcW w:w="1833" w:type="pct"/>
            <w:tcBorders>
              <w:top w:val="nil"/>
              <w:bottom w:val="single" w:sz="4" w:space="0" w:color="auto"/>
            </w:tcBorders>
            <w:shd w:val="clear" w:color="auto" w:fill="auto"/>
          </w:tcPr>
          <w:p w14:paraId="4E0324A5"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 xml:space="preserve">of all </w:t>
            </w:r>
            <w:proofErr w:type="spellStart"/>
            <w:r w:rsidRPr="008A6229">
              <w:rPr>
                <w:rFonts w:ascii="Arial Narrow" w:eastAsiaTheme="minorEastAsia" w:hAnsi="Arial Narrow"/>
                <w:sz w:val="18"/>
                <w:lang w:eastAsia="en-US"/>
              </w:rPr>
              <w:t>symptoms</w:t>
            </w:r>
            <w:r w:rsidRPr="008A6229">
              <w:rPr>
                <w:rFonts w:ascii="Arial Narrow" w:eastAsiaTheme="minorEastAsia" w:hAnsi="Arial Narrow"/>
                <w:sz w:val="18"/>
                <w:vertAlign w:val="superscript"/>
                <w:lang w:eastAsia="en-US"/>
              </w:rPr>
              <w:t>b</w:t>
            </w:r>
            <w:proofErr w:type="spellEnd"/>
          </w:p>
        </w:tc>
        <w:tc>
          <w:tcPr>
            <w:tcW w:w="637" w:type="pct"/>
            <w:tcBorders>
              <w:top w:val="nil"/>
              <w:bottom w:val="single" w:sz="4" w:space="0" w:color="auto"/>
            </w:tcBorders>
            <w:shd w:val="clear" w:color="auto" w:fill="auto"/>
          </w:tcPr>
          <w:p w14:paraId="69A1A8D4"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18" w:type="pct"/>
            <w:tcBorders>
              <w:top w:val="nil"/>
              <w:bottom w:val="single" w:sz="4" w:space="0" w:color="auto"/>
            </w:tcBorders>
          </w:tcPr>
          <w:p w14:paraId="79D6B384"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42</w:t>
            </w:r>
          </w:p>
        </w:tc>
        <w:tc>
          <w:tcPr>
            <w:tcW w:w="1116" w:type="pct"/>
            <w:tcBorders>
              <w:top w:val="nil"/>
              <w:bottom w:val="single" w:sz="4" w:space="0" w:color="auto"/>
            </w:tcBorders>
          </w:tcPr>
          <w:p w14:paraId="3CB1BB60"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7.79 (0.33 – 1486.17)</w:t>
            </w:r>
          </w:p>
        </w:tc>
        <w:tc>
          <w:tcPr>
            <w:tcW w:w="477" w:type="pct"/>
            <w:tcBorders>
              <w:top w:val="nil"/>
              <w:bottom w:val="single" w:sz="4" w:space="0" w:color="auto"/>
            </w:tcBorders>
            <w:shd w:val="clear" w:color="auto" w:fill="auto"/>
          </w:tcPr>
          <w:p w14:paraId="096E256C"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0AE9F727" w14:textId="77777777" w:rsidTr="00E20F30">
        <w:tc>
          <w:tcPr>
            <w:tcW w:w="619" w:type="pct"/>
            <w:tcBorders>
              <w:top w:val="nil"/>
              <w:bottom w:val="nil"/>
            </w:tcBorders>
            <w:shd w:val="clear" w:color="auto" w:fill="auto"/>
          </w:tcPr>
          <w:p w14:paraId="15093BBF"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FAST 1</w:t>
            </w:r>
          </w:p>
        </w:tc>
        <w:tc>
          <w:tcPr>
            <w:tcW w:w="1833" w:type="pct"/>
            <w:tcBorders>
              <w:bottom w:val="nil"/>
            </w:tcBorders>
            <w:shd w:val="clear" w:color="auto" w:fill="auto"/>
          </w:tcPr>
          <w:p w14:paraId="1E45BD25"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[IQR] time to almost complete relief </w:t>
            </w:r>
          </w:p>
        </w:tc>
        <w:tc>
          <w:tcPr>
            <w:tcW w:w="637" w:type="pct"/>
            <w:tcBorders>
              <w:bottom w:val="nil"/>
            </w:tcBorders>
            <w:shd w:val="clear" w:color="auto" w:fill="auto"/>
          </w:tcPr>
          <w:p w14:paraId="7475F51A"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Icatibant</w:t>
            </w:r>
          </w:p>
        </w:tc>
        <w:tc>
          <w:tcPr>
            <w:tcW w:w="318" w:type="pct"/>
            <w:tcBorders>
              <w:bottom w:val="nil"/>
            </w:tcBorders>
          </w:tcPr>
          <w:p w14:paraId="6C48DD47"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27</w:t>
            </w:r>
          </w:p>
        </w:tc>
        <w:tc>
          <w:tcPr>
            <w:tcW w:w="1116" w:type="pct"/>
            <w:tcBorders>
              <w:bottom w:val="nil"/>
            </w:tcBorders>
          </w:tcPr>
          <w:p w14:paraId="425DF04B"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8.5 [2.5, 31.5]</w:t>
            </w:r>
          </w:p>
        </w:tc>
        <w:tc>
          <w:tcPr>
            <w:tcW w:w="477" w:type="pct"/>
            <w:tcBorders>
              <w:bottom w:val="nil"/>
            </w:tcBorders>
            <w:shd w:val="clear" w:color="auto" w:fill="auto"/>
          </w:tcPr>
          <w:p w14:paraId="28D83EB2"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0.08</w:t>
            </w:r>
          </w:p>
        </w:tc>
      </w:tr>
      <w:tr w:rsidR="008A6229" w:rsidRPr="008A6229" w14:paraId="520B7FE7" w14:textId="77777777" w:rsidTr="00E20F30">
        <w:tc>
          <w:tcPr>
            <w:tcW w:w="619" w:type="pct"/>
            <w:tcBorders>
              <w:top w:val="nil"/>
              <w:bottom w:val="single" w:sz="4" w:space="0" w:color="auto"/>
            </w:tcBorders>
            <w:shd w:val="clear" w:color="auto" w:fill="auto"/>
          </w:tcPr>
          <w:p w14:paraId="4CBB4764" w14:textId="77777777" w:rsidR="008A6229" w:rsidRPr="008A6229" w:rsidRDefault="008A6229" w:rsidP="008A6229">
            <w:pPr>
              <w:keepNext/>
              <w:spacing w:before="20"/>
              <w:rPr>
                <w:rFonts w:ascii="Arial Narrow" w:eastAsiaTheme="minorEastAsia" w:hAnsi="Arial Narrow"/>
                <w:b/>
                <w:sz w:val="18"/>
                <w:lang w:eastAsia="en-US"/>
              </w:rPr>
            </w:pPr>
          </w:p>
        </w:tc>
        <w:tc>
          <w:tcPr>
            <w:tcW w:w="1833" w:type="pct"/>
            <w:tcBorders>
              <w:top w:val="nil"/>
              <w:bottom w:val="single" w:sz="4" w:space="0" w:color="auto"/>
            </w:tcBorders>
            <w:shd w:val="clear" w:color="auto" w:fill="auto"/>
          </w:tcPr>
          <w:p w14:paraId="47AEB852"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of all symptoms</w:t>
            </w:r>
          </w:p>
        </w:tc>
        <w:tc>
          <w:tcPr>
            <w:tcW w:w="637" w:type="pct"/>
            <w:tcBorders>
              <w:top w:val="nil"/>
              <w:bottom w:val="single" w:sz="4" w:space="0" w:color="auto"/>
            </w:tcBorders>
            <w:shd w:val="clear" w:color="auto" w:fill="auto"/>
          </w:tcPr>
          <w:p w14:paraId="14E1F856"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18" w:type="pct"/>
            <w:tcBorders>
              <w:top w:val="nil"/>
              <w:bottom w:val="single" w:sz="4" w:space="0" w:color="auto"/>
            </w:tcBorders>
          </w:tcPr>
          <w:p w14:paraId="3C00A6DA"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29</w:t>
            </w:r>
          </w:p>
        </w:tc>
        <w:tc>
          <w:tcPr>
            <w:tcW w:w="1116" w:type="pct"/>
            <w:tcBorders>
              <w:top w:val="nil"/>
              <w:bottom w:val="single" w:sz="4" w:space="0" w:color="auto"/>
            </w:tcBorders>
          </w:tcPr>
          <w:p w14:paraId="000DC819"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19.4 [10.2, 55.7]</w:t>
            </w:r>
          </w:p>
        </w:tc>
        <w:tc>
          <w:tcPr>
            <w:tcW w:w="477" w:type="pct"/>
            <w:tcBorders>
              <w:top w:val="nil"/>
              <w:bottom w:val="single" w:sz="4" w:space="0" w:color="auto"/>
            </w:tcBorders>
            <w:shd w:val="clear" w:color="auto" w:fill="auto"/>
          </w:tcPr>
          <w:p w14:paraId="2BC224D3" w14:textId="77777777" w:rsidR="008A6229" w:rsidRPr="008A6229" w:rsidRDefault="008A6229" w:rsidP="008A6229">
            <w:pPr>
              <w:keepNext/>
              <w:spacing w:before="20"/>
              <w:jc w:val="center"/>
              <w:rPr>
                <w:rFonts w:ascii="Arial Narrow" w:eastAsiaTheme="minorEastAsia" w:hAnsi="Arial Narrow"/>
                <w:sz w:val="18"/>
                <w:lang w:eastAsia="en-US"/>
              </w:rPr>
            </w:pPr>
          </w:p>
        </w:tc>
      </w:tr>
      <w:tr w:rsidR="008A6229" w:rsidRPr="008A6229" w14:paraId="50B4B6D9" w14:textId="77777777" w:rsidTr="00E20F30">
        <w:tc>
          <w:tcPr>
            <w:tcW w:w="619" w:type="pct"/>
            <w:tcBorders>
              <w:top w:val="nil"/>
              <w:bottom w:val="nil"/>
            </w:tcBorders>
            <w:shd w:val="clear" w:color="auto" w:fill="auto"/>
          </w:tcPr>
          <w:p w14:paraId="1E36B2D0" w14:textId="77777777" w:rsidR="008A6229" w:rsidRPr="008A6229" w:rsidRDefault="008A6229" w:rsidP="008A6229">
            <w:pPr>
              <w:keepNext/>
              <w:spacing w:before="20"/>
              <w:rPr>
                <w:rFonts w:ascii="Arial Narrow" w:eastAsiaTheme="minorEastAsia" w:hAnsi="Arial Narrow"/>
                <w:b/>
                <w:sz w:val="18"/>
                <w:lang w:eastAsia="en-US"/>
              </w:rPr>
            </w:pPr>
            <w:r w:rsidRPr="008A6229">
              <w:rPr>
                <w:rFonts w:ascii="Arial Narrow" w:eastAsiaTheme="minorEastAsia" w:hAnsi="Arial Narrow"/>
                <w:b/>
                <w:sz w:val="18"/>
                <w:lang w:eastAsia="en-US"/>
              </w:rPr>
              <w:t>FAST 3</w:t>
            </w:r>
          </w:p>
        </w:tc>
        <w:tc>
          <w:tcPr>
            <w:tcW w:w="1833" w:type="pct"/>
            <w:tcBorders>
              <w:top w:val="nil"/>
              <w:bottom w:val="nil"/>
            </w:tcBorders>
            <w:shd w:val="clear" w:color="auto" w:fill="auto"/>
          </w:tcPr>
          <w:p w14:paraId="33768CA3" w14:textId="77777777" w:rsidR="008A6229" w:rsidRPr="008A6229" w:rsidRDefault="008A6229" w:rsidP="008A6229">
            <w:pPr>
              <w:keepNext/>
              <w:spacing w:before="20"/>
              <w:rPr>
                <w:rFonts w:ascii="Arial Narrow" w:eastAsiaTheme="minorEastAsia" w:hAnsi="Arial Narrow"/>
                <w:sz w:val="18"/>
                <w:lang w:eastAsia="en-US"/>
              </w:rPr>
            </w:pPr>
            <w:r w:rsidRPr="008A6229">
              <w:rPr>
                <w:rFonts w:ascii="Arial Narrow" w:eastAsiaTheme="minorEastAsia" w:hAnsi="Arial Narrow"/>
                <w:sz w:val="18"/>
                <w:lang w:eastAsia="en-US"/>
              </w:rPr>
              <w:t xml:space="preserve">Median (95% CI) time to almost complete </w:t>
            </w:r>
          </w:p>
        </w:tc>
        <w:tc>
          <w:tcPr>
            <w:tcW w:w="637" w:type="pct"/>
            <w:tcBorders>
              <w:top w:val="nil"/>
              <w:bottom w:val="nil"/>
            </w:tcBorders>
            <w:shd w:val="clear" w:color="auto" w:fill="auto"/>
          </w:tcPr>
          <w:p w14:paraId="65FE1018"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Icatibant</w:t>
            </w:r>
          </w:p>
        </w:tc>
        <w:tc>
          <w:tcPr>
            <w:tcW w:w="318" w:type="pct"/>
            <w:tcBorders>
              <w:top w:val="nil"/>
              <w:bottom w:val="nil"/>
            </w:tcBorders>
          </w:tcPr>
          <w:p w14:paraId="5EBC627A"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43</w:t>
            </w:r>
          </w:p>
        </w:tc>
        <w:tc>
          <w:tcPr>
            <w:tcW w:w="1116" w:type="pct"/>
            <w:tcBorders>
              <w:top w:val="nil"/>
              <w:bottom w:val="nil"/>
            </w:tcBorders>
          </w:tcPr>
          <w:p w14:paraId="7C1AC286"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8.0 (5.0, 42.5)</w:t>
            </w:r>
          </w:p>
        </w:tc>
        <w:tc>
          <w:tcPr>
            <w:tcW w:w="477" w:type="pct"/>
            <w:tcBorders>
              <w:top w:val="nil"/>
              <w:bottom w:val="nil"/>
            </w:tcBorders>
            <w:shd w:val="clear" w:color="auto" w:fill="auto"/>
          </w:tcPr>
          <w:p w14:paraId="29A59793"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0.012</w:t>
            </w:r>
          </w:p>
        </w:tc>
      </w:tr>
      <w:tr w:rsidR="008A6229" w:rsidRPr="008A6229" w14:paraId="2F721E08" w14:textId="77777777" w:rsidTr="00E20F30">
        <w:tc>
          <w:tcPr>
            <w:tcW w:w="619" w:type="pct"/>
            <w:tcBorders>
              <w:top w:val="nil"/>
              <w:bottom w:val="single" w:sz="4" w:space="0" w:color="auto"/>
            </w:tcBorders>
            <w:shd w:val="clear" w:color="auto" w:fill="auto"/>
          </w:tcPr>
          <w:p w14:paraId="3FD77182" w14:textId="77777777" w:rsidR="008A6229" w:rsidRPr="008A6229" w:rsidRDefault="008A6229" w:rsidP="008A6229">
            <w:pPr>
              <w:keepNext/>
              <w:spacing w:before="20"/>
              <w:rPr>
                <w:rFonts w:ascii="Arial Narrow" w:eastAsiaTheme="minorEastAsia" w:hAnsi="Arial Narrow"/>
                <w:b/>
                <w:sz w:val="18"/>
                <w:lang w:eastAsia="en-US"/>
              </w:rPr>
            </w:pPr>
          </w:p>
        </w:tc>
        <w:tc>
          <w:tcPr>
            <w:tcW w:w="1833" w:type="pct"/>
            <w:tcBorders>
              <w:top w:val="nil"/>
              <w:bottom w:val="single" w:sz="4" w:space="0" w:color="auto"/>
            </w:tcBorders>
            <w:shd w:val="clear" w:color="auto" w:fill="auto"/>
          </w:tcPr>
          <w:p w14:paraId="472A576D" w14:textId="77777777" w:rsidR="008A6229" w:rsidRPr="008A6229" w:rsidRDefault="008A6229" w:rsidP="008A6229">
            <w:pPr>
              <w:keepNext/>
              <w:rPr>
                <w:rFonts w:ascii="Arial Narrow" w:eastAsiaTheme="minorEastAsia" w:hAnsi="Arial Narrow"/>
                <w:sz w:val="18"/>
                <w:lang w:eastAsia="en-US"/>
              </w:rPr>
            </w:pPr>
            <w:r w:rsidRPr="008A6229">
              <w:rPr>
                <w:rFonts w:ascii="Arial Narrow" w:eastAsiaTheme="minorEastAsia" w:hAnsi="Arial Narrow"/>
                <w:sz w:val="18"/>
                <w:lang w:eastAsia="en-US"/>
              </w:rPr>
              <w:t>symptom relief</w:t>
            </w:r>
          </w:p>
        </w:tc>
        <w:tc>
          <w:tcPr>
            <w:tcW w:w="637" w:type="pct"/>
            <w:tcBorders>
              <w:top w:val="nil"/>
              <w:bottom w:val="single" w:sz="4" w:space="0" w:color="auto"/>
            </w:tcBorders>
            <w:shd w:val="clear" w:color="auto" w:fill="auto"/>
          </w:tcPr>
          <w:p w14:paraId="3E68CA36"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Placebo</w:t>
            </w:r>
          </w:p>
        </w:tc>
        <w:tc>
          <w:tcPr>
            <w:tcW w:w="318" w:type="pct"/>
            <w:tcBorders>
              <w:top w:val="nil"/>
              <w:bottom w:val="single" w:sz="4" w:space="0" w:color="auto"/>
            </w:tcBorders>
          </w:tcPr>
          <w:p w14:paraId="55225CBF" w14:textId="77777777" w:rsidR="008A6229" w:rsidRPr="008A6229" w:rsidRDefault="008A6229" w:rsidP="008A6229">
            <w:pPr>
              <w:keepNext/>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45</w:t>
            </w:r>
          </w:p>
        </w:tc>
        <w:tc>
          <w:tcPr>
            <w:tcW w:w="1116" w:type="pct"/>
            <w:tcBorders>
              <w:top w:val="nil"/>
              <w:bottom w:val="single" w:sz="4" w:space="0" w:color="auto"/>
            </w:tcBorders>
          </w:tcPr>
          <w:p w14:paraId="224CF124" w14:textId="77777777" w:rsidR="008A6229" w:rsidRPr="008A6229" w:rsidRDefault="008A6229" w:rsidP="008A6229">
            <w:pPr>
              <w:keepNext/>
              <w:tabs>
                <w:tab w:val="right" w:pos="567"/>
                <w:tab w:val="left" w:pos="851"/>
              </w:tabs>
              <w:spacing w:before="20"/>
              <w:jc w:val="center"/>
              <w:rPr>
                <w:rFonts w:ascii="Arial Narrow" w:eastAsiaTheme="minorEastAsia" w:hAnsi="Arial Narrow"/>
                <w:sz w:val="18"/>
                <w:lang w:eastAsia="en-US"/>
              </w:rPr>
            </w:pPr>
            <w:r w:rsidRPr="008A6229">
              <w:rPr>
                <w:rFonts w:ascii="Arial Narrow" w:eastAsiaTheme="minorEastAsia" w:hAnsi="Arial Narrow"/>
                <w:sz w:val="18"/>
                <w:lang w:eastAsia="en-US"/>
              </w:rPr>
              <w:t>36.0 (29.0, 50.9)</w:t>
            </w:r>
          </w:p>
        </w:tc>
        <w:tc>
          <w:tcPr>
            <w:tcW w:w="477" w:type="pct"/>
            <w:tcBorders>
              <w:top w:val="nil"/>
              <w:bottom w:val="single" w:sz="4" w:space="0" w:color="auto"/>
            </w:tcBorders>
            <w:shd w:val="clear" w:color="auto" w:fill="auto"/>
          </w:tcPr>
          <w:p w14:paraId="7CCBBF2D" w14:textId="77777777" w:rsidR="008A6229" w:rsidRPr="008A6229" w:rsidRDefault="008A6229" w:rsidP="008A6229">
            <w:pPr>
              <w:keepNext/>
              <w:spacing w:before="20"/>
              <w:jc w:val="center"/>
              <w:rPr>
                <w:rFonts w:ascii="Arial Narrow" w:eastAsiaTheme="minorEastAsia" w:hAnsi="Arial Narrow"/>
                <w:sz w:val="18"/>
                <w:lang w:eastAsia="en-US"/>
              </w:rPr>
            </w:pPr>
          </w:p>
        </w:tc>
      </w:tr>
    </w:tbl>
    <w:p w14:paraId="47F6D5F9" w14:textId="2062640B"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Source</w:t>
      </w:r>
      <w:r w:rsidRPr="008A6229">
        <w:rPr>
          <w:rFonts w:ascii="Arial Narrow" w:eastAsia="Calibri" w:hAnsi="Arial Narrow"/>
          <w:sz w:val="16"/>
          <w:szCs w:val="16"/>
          <w:lang w:eastAsia="en-US"/>
        </w:rPr>
        <w:t xml:space="preserve">: </w:t>
      </w:r>
      <w:r w:rsidR="002F2D67">
        <w:rPr>
          <w:rFonts w:ascii="Arial Narrow" w:eastAsia="Calibri" w:hAnsi="Arial Narrow"/>
          <w:sz w:val="16"/>
          <w:szCs w:val="16"/>
          <w:lang w:eastAsia="en-US"/>
        </w:rPr>
        <w:t xml:space="preserve">Table B.6.4 </w:t>
      </w:r>
      <w:r w:rsidRPr="008A6229">
        <w:rPr>
          <w:rFonts w:ascii="Arial Narrow" w:eastAsia="Calibri" w:hAnsi="Arial Narrow"/>
          <w:sz w:val="16"/>
          <w:szCs w:val="16"/>
          <w:lang w:eastAsia="en-US"/>
        </w:rPr>
        <w:t>of the Assessment Report (</w:t>
      </w:r>
      <w:proofErr w:type="spellStart"/>
      <w:r w:rsidRPr="008A6229">
        <w:rPr>
          <w:rFonts w:ascii="Arial Narrow" w:eastAsia="Calibri" w:hAnsi="Arial Narrow"/>
          <w:sz w:val="16"/>
          <w:szCs w:val="16"/>
          <w:lang w:eastAsia="en-US"/>
        </w:rPr>
        <w:t>Zuraw</w:t>
      </w:r>
      <w:proofErr w:type="spellEnd"/>
      <w:r w:rsidRPr="008A6229">
        <w:rPr>
          <w:rFonts w:ascii="Arial Narrow" w:eastAsia="Calibri" w:hAnsi="Arial Narrow"/>
          <w:sz w:val="16"/>
          <w:szCs w:val="16"/>
          <w:lang w:eastAsia="en-US"/>
        </w:rPr>
        <w:t xml:space="preserve"> et al, 2010; Craig et al, 2009; </w:t>
      </w:r>
      <w:proofErr w:type="spellStart"/>
      <w:r w:rsidRPr="008A6229">
        <w:rPr>
          <w:rFonts w:ascii="Arial Narrow" w:eastAsia="Calibri" w:hAnsi="Arial Narrow"/>
          <w:sz w:val="16"/>
          <w:szCs w:val="16"/>
          <w:lang w:eastAsia="en-US"/>
        </w:rPr>
        <w:t>Cicardi</w:t>
      </w:r>
      <w:proofErr w:type="spellEnd"/>
      <w:r w:rsidRPr="008A6229">
        <w:rPr>
          <w:rFonts w:ascii="Arial Narrow" w:eastAsia="Calibri" w:hAnsi="Arial Narrow"/>
          <w:sz w:val="16"/>
          <w:szCs w:val="16"/>
          <w:lang w:eastAsia="en-US"/>
        </w:rPr>
        <w:t xml:space="preserve"> et al, 2010); </w:t>
      </w:r>
      <w:proofErr w:type="spellStart"/>
      <w:r w:rsidRPr="008A6229">
        <w:rPr>
          <w:rFonts w:ascii="Arial Narrow" w:eastAsia="Calibri" w:hAnsi="Arial Narrow"/>
          <w:sz w:val="16"/>
          <w:szCs w:val="16"/>
          <w:lang w:eastAsia="en-US"/>
        </w:rPr>
        <w:t>Lumry</w:t>
      </w:r>
      <w:proofErr w:type="spellEnd"/>
      <w:r w:rsidRPr="008A6229">
        <w:rPr>
          <w:rFonts w:ascii="Arial Narrow" w:eastAsia="Calibri" w:hAnsi="Arial Narrow"/>
          <w:sz w:val="16"/>
          <w:szCs w:val="16"/>
          <w:lang w:eastAsia="en-US"/>
        </w:rPr>
        <w:t xml:space="preserve"> et al, 2011)</w:t>
      </w:r>
    </w:p>
    <w:p w14:paraId="637B8CB8" w14:textId="3FC7B3CC"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Note</w:t>
      </w:r>
      <w:r w:rsidRPr="008A6229">
        <w:rPr>
          <w:rFonts w:ascii="Arial Narrow" w:eastAsia="Calibri" w:hAnsi="Arial Narrow"/>
          <w:sz w:val="16"/>
          <w:szCs w:val="16"/>
          <w:lang w:eastAsia="en-US"/>
        </w:rPr>
        <w:t xml:space="preserve">: Detailed outcome definitions are provided in Section </w:t>
      </w:r>
      <w:r w:rsidR="002F2D67">
        <w:rPr>
          <w:rFonts w:ascii="Arial Narrow" w:eastAsia="Calibri" w:hAnsi="Arial Narrow"/>
          <w:sz w:val="16"/>
          <w:szCs w:val="16"/>
          <w:lang w:eastAsia="en-US"/>
        </w:rPr>
        <w:t xml:space="preserve">B.5.1 </w:t>
      </w:r>
      <w:r w:rsidRPr="008A6229">
        <w:rPr>
          <w:rFonts w:ascii="Arial Narrow" w:eastAsia="Calibri" w:hAnsi="Arial Narrow"/>
          <w:sz w:val="16"/>
          <w:szCs w:val="16"/>
          <w:lang w:eastAsia="en-US"/>
        </w:rPr>
        <w:t>of the Assessment Report.</w:t>
      </w:r>
    </w:p>
    <w:p w14:paraId="15D251D4" w14:textId="77777777"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Abbreviations</w:t>
      </w:r>
      <w:r w:rsidRPr="008A6229">
        <w:rPr>
          <w:rFonts w:ascii="Arial Narrow" w:eastAsia="Calibri" w:hAnsi="Arial Narrow"/>
          <w:sz w:val="16"/>
          <w:szCs w:val="16"/>
          <w:lang w:eastAsia="en-US"/>
        </w:rPr>
        <w:t>: CI, confidence interval; h, hours; IQR, interquartile range; RCT, randomised controlled trial</w:t>
      </w:r>
    </w:p>
    <w:p w14:paraId="4099E378" w14:textId="77777777" w:rsidR="008A6229" w:rsidRPr="008A6229" w:rsidRDefault="008A6229" w:rsidP="008A6229">
      <w:pPr>
        <w:keepNext/>
        <w:rPr>
          <w:rFonts w:ascii="Arial Narrow" w:eastAsia="Calibri" w:hAnsi="Arial Narrow"/>
          <w:sz w:val="16"/>
          <w:szCs w:val="16"/>
          <w:lang w:eastAsia="en-US"/>
        </w:rPr>
      </w:pPr>
      <w:proofErr w:type="gramStart"/>
      <w:r w:rsidRPr="008A6229">
        <w:rPr>
          <w:rFonts w:ascii="Arial Narrow" w:eastAsia="Calibri" w:hAnsi="Arial Narrow"/>
          <w:b/>
          <w:sz w:val="16"/>
          <w:szCs w:val="16"/>
          <w:lang w:eastAsia="en-US"/>
        </w:rPr>
        <w:t>a</w:t>
      </w:r>
      <w:proofErr w:type="gramEnd"/>
      <w:r w:rsidRPr="008A6229">
        <w:rPr>
          <w:rFonts w:ascii="Arial Narrow" w:eastAsia="Calibri" w:hAnsi="Arial Narrow"/>
          <w:sz w:val="16"/>
          <w:szCs w:val="16"/>
          <w:lang w:eastAsia="en-US"/>
        </w:rPr>
        <w:t xml:space="preserve"> Variance not reported</w:t>
      </w:r>
    </w:p>
    <w:p w14:paraId="6AB847EF" w14:textId="77777777" w:rsidR="008A6229" w:rsidRDefault="008A6229" w:rsidP="00E20F30">
      <w:pPr>
        <w:rPr>
          <w:rFonts w:ascii="Arial Narrow" w:eastAsia="Calibri" w:hAnsi="Arial Narrow"/>
          <w:sz w:val="16"/>
          <w:lang w:val="en-US" w:eastAsia="en-US"/>
        </w:rPr>
      </w:pPr>
      <w:proofErr w:type="gramStart"/>
      <w:r w:rsidRPr="008A6229">
        <w:rPr>
          <w:rFonts w:ascii="Arial Narrow" w:eastAsia="Calibri" w:hAnsi="Arial Narrow"/>
          <w:b/>
          <w:sz w:val="16"/>
          <w:lang w:eastAsia="en-US"/>
        </w:rPr>
        <w:t>b</w:t>
      </w:r>
      <w:proofErr w:type="gramEnd"/>
      <w:r w:rsidRPr="008A6229">
        <w:rPr>
          <w:rFonts w:ascii="Arial Narrow" w:eastAsia="Calibri" w:hAnsi="Arial Narrow"/>
          <w:b/>
          <w:sz w:val="16"/>
          <w:lang w:eastAsia="en-US"/>
        </w:rPr>
        <w:t xml:space="preserve"> </w:t>
      </w:r>
      <w:r w:rsidRPr="008A6229">
        <w:rPr>
          <w:rFonts w:ascii="Arial Narrow" w:eastAsia="Calibri" w:hAnsi="Arial Narrow"/>
          <w:sz w:val="16"/>
          <w:lang w:val="en-US" w:eastAsia="en-US"/>
        </w:rPr>
        <w:t>Described as an exploratory variable, and includes resolution of pain</w:t>
      </w:r>
    </w:p>
    <w:p w14:paraId="3AAC97C2" w14:textId="77777777" w:rsidR="00E20F30" w:rsidRPr="00E20F30" w:rsidRDefault="00E20F30" w:rsidP="00E20F30">
      <w:pPr>
        <w:rPr>
          <w:rFonts w:eastAsia="Calibri"/>
          <w:szCs w:val="24"/>
          <w:lang w:eastAsia="en-US"/>
        </w:rPr>
      </w:pPr>
    </w:p>
    <w:p w14:paraId="0A46B197" w14:textId="25722E15" w:rsidR="008A6229" w:rsidRPr="008A6229" w:rsidRDefault="008A6229" w:rsidP="008A6229">
      <w:pPr>
        <w:rPr>
          <w:szCs w:val="24"/>
        </w:rPr>
      </w:pPr>
      <w:r w:rsidRPr="008A6229">
        <w:rPr>
          <w:szCs w:val="24"/>
          <w:u w:val="single"/>
        </w:rPr>
        <w:t>Pre-procedural prophylaxis</w:t>
      </w:r>
      <w:r w:rsidRPr="008A6229">
        <w:rPr>
          <w:szCs w:val="24"/>
        </w:rPr>
        <w:br/>
      </w:r>
      <w:proofErr w:type="gramStart"/>
      <w:r w:rsidRPr="008A6229">
        <w:rPr>
          <w:szCs w:val="24"/>
        </w:rPr>
        <w:t>There</w:t>
      </w:r>
      <w:proofErr w:type="gramEnd"/>
      <w:r w:rsidRPr="008A6229">
        <w:rPr>
          <w:szCs w:val="24"/>
        </w:rPr>
        <w:t xml:space="preserve"> were two retrospective observational studies that evaluated the pre-procedural use of </w:t>
      </w:r>
      <w:proofErr w:type="spellStart"/>
      <w:r w:rsidRPr="008A6229">
        <w:rPr>
          <w:szCs w:val="24"/>
        </w:rPr>
        <w:t>Berinert</w:t>
      </w:r>
      <w:proofErr w:type="spellEnd"/>
      <w:r w:rsidRPr="008A6229">
        <w:rPr>
          <w:szCs w:val="24"/>
        </w:rPr>
        <w:t xml:space="preserve"> in the prevention of HAE attacks (Table </w:t>
      </w:r>
      <w:r w:rsidR="00694838">
        <w:rPr>
          <w:szCs w:val="24"/>
        </w:rPr>
        <w:t>5</w:t>
      </w:r>
      <w:r w:rsidRPr="008A6229">
        <w:rPr>
          <w:szCs w:val="24"/>
        </w:rPr>
        <w:t xml:space="preserve">). Based on the available evidence, pre-procedural prophylaxis with </w:t>
      </w:r>
      <w:proofErr w:type="spellStart"/>
      <w:r w:rsidRPr="008A6229">
        <w:rPr>
          <w:szCs w:val="24"/>
        </w:rPr>
        <w:t>Berinert</w:t>
      </w:r>
      <w:proofErr w:type="spellEnd"/>
      <w:r w:rsidRPr="008A6229">
        <w:rPr>
          <w:szCs w:val="24"/>
        </w:rPr>
        <w:t xml:space="preserve"> significantly reduced the frequency of HAE attacks compared to no prophylaxis.</w:t>
      </w:r>
    </w:p>
    <w:p w14:paraId="5517A59A" w14:textId="77777777" w:rsidR="008A6229" w:rsidRPr="008A6229" w:rsidRDefault="008A6229" w:rsidP="00E20F30">
      <w:pPr>
        <w:rPr>
          <w:szCs w:val="24"/>
        </w:rPr>
      </w:pPr>
    </w:p>
    <w:p w14:paraId="0738E42F" w14:textId="7CCF31AB" w:rsidR="008A6229" w:rsidRPr="008A6229" w:rsidRDefault="008A6229" w:rsidP="008A6229">
      <w:pPr>
        <w:keepNext/>
        <w:spacing w:before="40" w:after="40"/>
        <w:jc w:val="both"/>
        <w:rPr>
          <w:rFonts w:ascii="Arial Narrow" w:eastAsiaTheme="minorHAnsi" w:hAnsi="Arial Narrow" w:cstheme="minorBidi"/>
          <w:b/>
          <w:iCs/>
          <w:sz w:val="20"/>
          <w:szCs w:val="18"/>
          <w:lang w:eastAsia="en-US"/>
        </w:rPr>
      </w:pPr>
      <w:bookmarkStart w:id="21" w:name="_Ref417686022"/>
      <w:bookmarkStart w:id="22" w:name="_Toc417862286"/>
      <w:bookmarkStart w:id="23" w:name="_Toc419428688"/>
      <w:r w:rsidRPr="008A6229">
        <w:rPr>
          <w:rFonts w:ascii="Arial Narrow" w:eastAsiaTheme="minorHAnsi" w:hAnsi="Arial Narrow" w:cstheme="minorBidi"/>
          <w:b/>
          <w:iCs/>
          <w:sz w:val="20"/>
          <w:szCs w:val="18"/>
          <w:lang w:eastAsia="en-US"/>
        </w:rPr>
        <w:t xml:space="preserve">Table </w:t>
      </w:r>
      <w:bookmarkEnd w:id="21"/>
      <w:r w:rsidR="000D57A3">
        <w:rPr>
          <w:rFonts w:ascii="Arial Narrow" w:eastAsiaTheme="minorHAnsi" w:hAnsi="Arial Narrow" w:cstheme="minorBidi"/>
          <w:b/>
          <w:iCs/>
          <w:sz w:val="20"/>
          <w:szCs w:val="18"/>
          <w:lang w:eastAsia="en-US"/>
        </w:rPr>
        <w:t>5</w:t>
      </w:r>
      <w:r w:rsidRPr="008A6229">
        <w:rPr>
          <w:rFonts w:ascii="Arial Narrow" w:eastAsiaTheme="minorHAnsi" w:hAnsi="Arial Narrow" w:cstheme="minorBidi"/>
          <w:b/>
          <w:iCs/>
          <w:sz w:val="20"/>
          <w:szCs w:val="18"/>
          <w:lang w:eastAsia="en-US"/>
        </w:rPr>
        <w:tab/>
        <w:t xml:space="preserve">Post-procedural oedema attacks with and without the use of </w:t>
      </w:r>
      <w:proofErr w:type="spellStart"/>
      <w:r w:rsidRPr="008A6229">
        <w:rPr>
          <w:rFonts w:ascii="Arial Narrow" w:eastAsiaTheme="minorHAnsi" w:hAnsi="Arial Narrow" w:cstheme="minorBidi"/>
          <w:b/>
          <w:iCs/>
          <w:sz w:val="20"/>
          <w:szCs w:val="18"/>
          <w:lang w:eastAsia="en-US"/>
        </w:rPr>
        <w:t>Berinert</w:t>
      </w:r>
      <w:bookmarkEnd w:id="22"/>
      <w:bookmarkEnd w:id="23"/>
      <w:proofErr w:type="spellEnd"/>
      <w:r w:rsidRPr="008A6229">
        <w:rPr>
          <w:rFonts w:ascii="Arial Narrow" w:eastAsiaTheme="minorHAnsi" w:hAnsi="Arial Narrow" w:cstheme="minorBidi"/>
          <w:b/>
          <w:iCs/>
          <w:sz w:val="20"/>
          <w:szCs w:val="18"/>
          <w:lang w:eastAsia="en-US"/>
        </w:rPr>
        <w:t xml:space="preserve"> </w:t>
      </w:r>
    </w:p>
    <w:tbl>
      <w:tblPr>
        <w:tblStyle w:val="TableGrid2"/>
        <w:tblpPr w:leftFromText="180" w:rightFromText="180" w:vertAnchor="text" w:horzAnchor="margin" w:tblpX="108" w:tblpY="95"/>
        <w:tblW w:w="8897" w:type="dxa"/>
        <w:tblLayout w:type="fixed"/>
        <w:tblLook w:val="04A0" w:firstRow="1" w:lastRow="0" w:firstColumn="1" w:lastColumn="0" w:noHBand="0" w:noVBand="1"/>
        <w:tblCaption w:val="Post-procedural oedema attacks with and without the use of Berinert "/>
        <w:tblDescription w:val="Post-procedural oedema attacks with and without the use of Berinert "/>
      </w:tblPr>
      <w:tblGrid>
        <w:gridCol w:w="1668"/>
        <w:gridCol w:w="2409"/>
        <w:gridCol w:w="1418"/>
        <w:gridCol w:w="1417"/>
        <w:gridCol w:w="1134"/>
        <w:gridCol w:w="851"/>
      </w:tblGrid>
      <w:tr w:rsidR="008A6229" w:rsidRPr="008A6229" w14:paraId="19CA1A48" w14:textId="77777777" w:rsidTr="00E20F30">
        <w:trPr>
          <w:tblHeader/>
        </w:trPr>
        <w:tc>
          <w:tcPr>
            <w:tcW w:w="1668" w:type="dxa"/>
            <w:vAlign w:val="center"/>
          </w:tcPr>
          <w:p w14:paraId="2C968D62" w14:textId="77777777" w:rsidR="008A6229" w:rsidRPr="008A6229" w:rsidRDefault="008A6229" w:rsidP="008A6229">
            <w:pPr>
              <w:rPr>
                <w:rFonts w:ascii="Arial Narrow" w:hAnsi="Arial Narrow"/>
                <w:b/>
                <w:sz w:val="18"/>
                <w:szCs w:val="18"/>
              </w:rPr>
            </w:pPr>
            <w:r w:rsidRPr="008A6229">
              <w:rPr>
                <w:rFonts w:ascii="Arial Narrow" w:hAnsi="Arial Narrow"/>
                <w:b/>
                <w:sz w:val="18"/>
                <w:szCs w:val="18"/>
              </w:rPr>
              <w:t>Study</w:t>
            </w:r>
          </w:p>
          <w:p w14:paraId="26BAA5D2" w14:textId="77777777" w:rsidR="008A6229" w:rsidRPr="008A6229" w:rsidRDefault="008A6229" w:rsidP="008A6229">
            <w:pPr>
              <w:rPr>
                <w:rFonts w:ascii="Arial Narrow" w:hAnsi="Arial Narrow"/>
                <w:b/>
                <w:i/>
                <w:sz w:val="18"/>
                <w:szCs w:val="18"/>
              </w:rPr>
            </w:pPr>
            <w:r w:rsidRPr="008A6229">
              <w:rPr>
                <w:rFonts w:ascii="Arial Narrow" w:hAnsi="Arial Narrow"/>
                <w:b/>
                <w:i/>
                <w:sz w:val="18"/>
                <w:szCs w:val="18"/>
              </w:rPr>
              <w:t>Population</w:t>
            </w:r>
          </w:p>
        </w:tc>
        <w:tc>
          <w:tcPr>
            <w:tcW w:w="2409" w:type="dxa"/>
            <w:vAlign w:val="center"/>
          </w:tcPr>
          <w:p w14:paraId="61782C20" w14:textId="77777777" w:rsidR="008A6229" w:rsidRPr="008A6229" w:rsidRDefault="008A6229" w:rsidP="008A6229">
            <w:pPr>
              <w:jc w:val="center"/>
              <w:rPr>
                <w:rFonts w:ascii="Arial Narrow" w:hAnsi="Arial Narrow"/>
                <w:b/>
                <w:sz w:val="18"/>
                <w:szCs w:val="18"/>
              </w:rPr>
            </w:pPr>
            <w:r w:rsidRPr="008A6229">
              <w:rPr>
                <w:rFonts w:ascii="Arial Narrow" w:hAnsi="Arial Narrow"/>
                <w:b/>
                <w:sz w:val="18"/>
                <w:szCs w:val="18"/>
              </w:rPr>
              <w:t>Outcome</w:t>
            </w:r>
          </w:p>
        </w:tc>
        <w:tc>
          <w:tcPr>
            <w:tcW w:w="1418" w:type="dxa"/>
            <w:vAlign w:val="center"/>
          </w:tcPr>
          <w:p w14:paraId="5A41A25D" w14:textId="77777777" w:rsidR="008A6229" w:rsidRPr="008A6229" w:rsidRDefault="008A6229" w:rsidP="008A6229">
            <w:pPr>
              <w:jc w:val="center"/>
              <w:rPr>
                <w:rFonts w:ascii="Arial Narrow" w:hAnsi="Arial Narrow"/>
                <w:b/>
                <w:sz w:val="18"/>
                <w:szCs w:val="18"/>
              </w:rPr>
            </w:pPr>
            <w:r w:rsidRPr="008A6229">
              <w:rPr>
                <w:rFonts w:ascii="Arial Narrow" w:hAnsi="Arial Narrow"/>
                <w:b/>
                <w:sz w:val="18"/>
                <w:szCs w:val="18"/>
              </w:rPr>
              <w:t xml:space="preserve">Prophylaxis with </w:t>
            </w:r>
            <w:proofErr w:type="spellStart"/>
            <w:r w:rsidRPr="008A6229">
              <w:rPr>
                <w:rFonts w:ascii="Arial Narrow" w:hAnsi="Arial Narrow"/>
                <w:b/>
                <w:sz w:val="18"/>
                <w:szCs w:val="18"/>
              </w:rPr>
              <w:t>Berinert</w:t>
            </w:r>
            <w:proofErr w:type="spellEnd"/>
            <w:r w:rsidRPr="008A6229">
              <w:rPr>
                <w:rFonts w:ascii="Arial Narrow" w:hAnsi="Arial Narrow"/>
                <w:b/>
                <w:sz w:val="18"/>
                <w:szCs w:val="18"/>
              </w:rPr>
              <w:t xml:space="preserve"> 500 U</w:t>
            </w:r>
          </w:p>
        </w:tc>
        <w:tc>
          <w:tcPr>
            <w:tcW w:w="1417" w:type="dxa"/>
            <w:vAlign w:val="center"/>
          </w:tcPr>
          <w:p w14:paraId="22FEA25A" w14:textId="77777777" w:rsidR="008A6229" w:rsidRPr="008A6229" w:rsidRDefault="008A6229" w:rsidP="008A6229">
            <w:pPr>
              <w:jc w:val="center"/>
              <w:rPr>
                <w:rFonts w:ascii="Arial Narrow" w:hAnsi="Arial Narrow"/>
                <w:b/>
                <w:sz w:val="18"/>
                <w:szCs w:val="18"/>
              </w:rPr>
            </w:pPr>
            <w:r w:rsidRPr="008A6229">
              <w:rPr>
                <w:rFonts w:ascii="Arial Narrow" w:hAnsi="Arial Narrow"/>
                <w:b/>
                <w:sz w:val="18"/>
                <w:szCs w:val="18"/>
              </w:rPr>
              <w:t xml:space="preserve">Prophylaxis with </w:t>
            </w:r>
            <w:proofErr w:type="spellStart"/>
            <w:r w:rsidRPr="008A6229">
              <w:rPr>
                <w:rFonts w:ascii="Arial Narrow" w:hAnsi="Arial Narrow"/>
                <w:b/>
                <w:sz w:val="18"/>
                <w:szCs w:val="18"/>
              </w:rPr>
              <w:t>Berinert</w:t>
            </w:r>
            <w:proofErr w:type="spellEnd"/>
            <w:r w:rsidRPr="008A6229">
              <w:rPr>
                <w:rFonts w:ascii="Arial Narrow" w:hAnsi="Arial Narrow"/>
                <w:b/>
                <w:sz w:val="18"/>
                <w:szCs w:val="18"/>
              </w:rPr>
              <w:t xml:space="preserve"> 1000 U</w:t>
            </w:r>
          </w:p>
        </w:tc>
        <w:tc>
          <w:tcPr>
            <w:tcW w:w="1134" w:type="dxa"/>
            <w:vAlign w:val="center"/>
          </w:tcPr>
          <w:p w14:paraId="1DA724FF" w14:textId="77777777" w:rsidR="008A6229" w:rsidRPr="008A6229" w:rsidRDefault="008A6229" w:rsidP="008A6229">
            <w:pPr>
              <w:jc w:val="center"/>
              <w:rPr>
                <w:rFonts w:ascii="Arial Narrow" w:hAnsi="Arial Narrow"/>
                <w:b/>
                <w:sz w:val="18"/>
                <w:szCs w:val="18"/>
              </w:rPr>
            </w:pPr>
            <w:r w:rsidRPr="008A6229">
              <w:rPr>
                <w:rFonts w:ascii="Arial Narrow" w:hAnsi="Arial Narrow"/>
                <w:b/>
                <w:sz w:val="18"/>
                <w:szCs w:val="18"/>
              </w:rPr>
              <w:t>Without prophylaxis</w:t>
            </w:r>
          </w:p>
        </w:tc>
        <w:tc>
          <w:tcPr>
            <w:tcW w:w="851" w:type="dxa"/>
            <w:vAlign w:val="center"/>
          </w:tcPr>
          <w:p w14:paraId="30431D5C" w14:textId="77777777" w:rsidR="008A6229" w:rsidRPr="008A6229" w:rsidRDefault="008A6229" w:rsidP="008A6229">
            <w:pPr>
              <w:jc w:val="center"/>
              <w:rPr>
                <w:rFonts w:ascii="Arial Narrow" w:hAnsi="Arial Narrow"/>
                <w:b/>
                <w:sz w:val="18"/>
                <w:szCs w:val="18"/>
              </w:rPr>
            </w:pPr>
            <w:r w:rsidRPr="008A6229">
              <w:rPr>
                <w:rFonts w:ascii="Arial Narrow" w:hAnsi="Arial Narrow"/>
                <w:b/>
                <w:sz w:val="18"/>
                <w:szCs w:val="18"/>
              </w:rPr>
              <w:t>P-value</w:t>
            </w:r>
          </w:p>
        </w:tc>
      </w:tr>
      <w:tr w:rsidR="008A6229" w:rsidRPr="008A6229" w14:paraId="2D22F611" w14:textId="77777777" w:rsidTr="00E20F30">
        <w:tc>
          <w:tcPr>
            <w:tcW w:w="1668" w:type="dxa"/>
            <w:vAlign w:val="center"/>
          </w:tcPr>
          <w:p w14:paraId="795EF70C" w14:textId="77777777" w:rsidR="008A6229" w:rsidRPr="008A6229" w:rsidRDefault="008A6229" w:rsidP="008A6229">
            <w:pPr>
              <w:keepNext/>
              <w:rPr>
                <w:rFonts w:ascii="Arial Narrow" w:hAnsi="Arial Narrow"/>
                <w:sz w:val="18"/>
                <w:szCs w:val="18"/>
              </w:rPr>
            </w:pPr>
            <w:r w:rsidRPr="008A6229">
              <w:rPr>
                <w:rFonts w:ascii="Arial Narrow" w:hAnsi="Arial Narrow"/>
                <w:sz w:val="18"/>
                <w:szCs w:val="18"/>
              </w:rPr>
              <w:t>Bork et al (2011)</w:t>
            </w:r>
          </w:p>
          <w:p w14:paraId="4B387EB8" w14:textId="77777777" w:rsidR="008A6229" w:rsidRPr="008A6229" w:rsidRDefault="008A6229" w:rsidP="008A6229">
            <w:pPr>
              <w:keepNext/>
              <w:rPr>
                <w:rFonts w:ascii="Arial Narrow" w:hAnsi="Arial Narrow"/>
                <w:sz w:val="18"/>
                <w:szCs w:val="18"/>
              </w:rPr>
            </w:pPr>
            <w:r w:rsidRPr="008A6229">
              <w:rPr>
                <w:rFonts w:ascii="Arial Narrow" w:hAnsi="Arial Narrow"/>
                <w:i/>
                <w:sz w:val="18"/>
                <w:szCs w:val="18"/>
              </w:rPr>
              <w:t>- Adults</w:t>
            </w:r>
          </w:p>
        </w:tc>
        <w:tc>
          <w:tcPr>
            <w:tcW w:w="2409" w:type="dxa"/>
            <w:vAlign w:val="center"/>
          </w:tcPr>
          <w:p w14:paraId="51624052" w14:textId="77777777" w:rsidR="008A6229" w:rsidRPr="008A6229" w:rsidRDefault="008A6229" w:rsidP="008A6229">
            <w:pPr>
              <w:rPr>
                <w:rFonts w:ascii="Arial Narrow" w:hAnsi="Arial Narrow"/>
                <w:sz w:val="18"/>
                <w:szCs w:val="18"/>
              </w:rPr>
            </w:pPr>
            <w:r w:rsidRPr="008A6229">
              <w:rPr>
                <w:rFonts w:ascii="Arial Narrow" w:hAnsi="Arial Narrow"/>
                <w:sz w:val="18"/>
                <w:szCs w:val="18"/>
              </w:rPr>
              <w:t>HAE attacks per tooth extraction procedure, n/N (%)</w:t>
            </w:r>
          </w:p>
        </w:tc>
        <w:tc>
          <w:tcPr>
            <w:tcW w:w="1418" w:type="dxa"/>
            <w:vAlign w:val="center"/>
          </w:tcPr>
          <w:p w14:paraId="414A5DB6"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12/75 (16)</w:t>
            </w:r>
          </w:p>
        </w:tc>
        <w:tc>
          <w:tcPr>
            <w:tcW w:w="1417" w:type="dxa"/>
            <w:vAlign w:val="center"/>
          </w:tcPr>
          <w:p w14:paraId="5CF9D360"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4/53 (8)</w:t>
            </w:r>
          </w:p>
        </w:tc>
        <w:tc>
          <w:tcPr>
            <w:tcW w:w="1134" w:type="dxa"/>
            <w:tcBorders>
              <w:bottom w:val="single" w:sz="4" w:space="0" w:color="auto"/>
            </w:tcBorders>
            <w:vAlign w:val="center"/>
          </w:tcPr>
          <w:p w14:paraId="772EF5EB"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124/577 (21)</w:t>
            </w:r>
          </w:p>
        </w:tc>
        <w:tc>
          <w:tcPr>
            <w:tcW w:w="851" w:type="dxa"/>
            <w:tcBorders>
              <w:bottom w:val="single" w:sz="4" w:space="0" w:color="auto"/>
            </w:tcBorders>
            <w:vAlign w:val="center"/>
          </w:tcPr>
          <w:p w14:paraId="5F9D35B9"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NR</w:t>
            </w:r>
          </w:p>
        </w:tc>
      </w:tr>
      <w:tr w:rsidR="008A6229" w:rsidRPr="008A6229" w14:paraId="220976ED" w14:textId="77777777" w:rsidTr="00E20F30">
        <w:tc>
          <w:tcPr>
            <w:tcW w:w="1668" w:type="dxa"/>
            <w:vAlign w:val="center"/>
          </w:tcPr>
          <w:p w14:paraId="3146A752" w14:textId="77777777" w:rsidR="008A6229" w:rsidRPr="008A6229" w:rsidRDefault="008A6229" w:rsidP="008A6229">
            <w:pPr>
              <w:keepNext/>
              <w:ind w:right="-108"/>
              <w:rPr>
                <w:rFonts w:ascii="Arial Narrow" w:hAnsi="Arial Narrow"/>
                <w:sz w:val="18"/>
                <w:szCs w:val="18"/>
              </w:rPr>
            </w:pPr>
            <w:proofErr w:type="spellStart"/>
            <w:r w:rsidRPr="008A6229">
              <w:rPr>
                <w:rFonts w:ascii="Arial Narrow" w:hAnsi="Arial Narrow"/>
                <w:sz w:val="18"/>
                <w:szCs w:val="18"/>
              </w:rPr>
              <w:t>Farkas</w:t>
            </w:r>
            <w:proofErr w:type="spellEnd"/>
            <w:r w:rsidRPr="008A6229">
              <w:rPr>
                <w:rFonts w:ascii="Arial Narrow" w:hAnsi="Arial Narrow"/>
                <w:sz w:val="18"/>
                <w:szCs w:val="18"/>
              </w:rPr>
              <w:t xml:space="preserve"> et al (2012)</w:t>
            </w:r>
          </w:p>
          <w:p w14:paraId="7E8DB0A7" w14:textId="77777777" w:rsidR="008A6229" w:rsidRPr="008A6229" w:rsidRDefault="008A6229" w:rsidP="008A6229">
            <w:pPr>
              <w:keepNext/>
              <w:rPr>
                <w:rFonts w:ascii="Arial Narrow" w:hAnsi="Arial Narrow"/>
                <w:i/>
                <w:sz w:val="18"/>
                <w:szCs w:val="18"/>
              </w:rPr>
            </w:pPr>
            <w:r w:rsidRPr="008A6229">
              <w:rPr>
                <w:rFonts w:ascii="Arial Narrow" w:hAnsi="Arial Narrow"/>
                <w:i/>
                <w:sz w:val="18"/>
                <w:szCs w:val="18"/>
              </w:rPr>
              <w:t>- Adults</w:t>
            </w:r>
          </w:p>
        </w:tc>
        <w:tc>
          <w:tcPr>
            <w:tcW w:w="2409" w:type="dxa"/>
            <w:vAlign w:val="center"/>
          </w:tcPr>
          <w:p w14:paraId="1CBEFBE5" w14:textId="77777777" w:rsidR="008A6229" w:rsidRPr="008A6229" w:rsidRDefault="008A6229" w:rsidP="008A6229">
            <w:pPr>
              <w:rPr>
                <w:rFonts w:ascii="Arial Narrow" w:hAnsi="Arial Narrow"/>
                <w:sz w:val="18"/>
                <w:szCs w:val="18"/>
              </w:rPr>
            </w:pPr>
            <w:r w:rsidRPr="008A6229">
              <w:rPr>
                <w:rFonts w:ascii="Arial Narrow" w:hAnsi="Arial Narrow"/>
                <w:sz w:val="18"/>
                <w:szCs w:val="18"/>
              </w:rPr>
              <w:t>HAE attacks per surgical/ diagnostic intervention, n/N (%)</w:t>
            </w:r>
          </w:p>
        </w:tc>
        <w:tc>
          <w:tcPr>
            <w:tcW w:w="1418" w:type="dxa"/>
            <w:vAlign w:val="center"/>
          </w:tcPr>
          <w:p w14:paraId="65D2322B"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4/51 (8)</w:t>
            </w:r>
          </w:p>
        </w:tc>
        <w:tc>
          <w:tcPr>
            <w:tcW w:w="1417" w:type="dxa"/>
            <w:vAlign w:val="center"/>
          </w:tcPr>
          <w:p w14:paraId="4BDB7B61"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w:t>
            </w:r>
          </w:p>
        </w:tc>
        <w:tc>
          <w:tcPr>
            <w:tcW w:w="1134" w:type="dxa"/>
            <w:tcBorders>
              <w:bottom w:val="nil"/>
            </w:tcBorders>
            <w:vAlign w:val="center"/>
          </w:tcPr>
          <w:p w14:paraId="3E191753"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39/89 (44)</w:t>
            </w:r>
            <w:r w:rsidRPr="008A6229">
              <w:rPr>
                <w:rFonts w:ascii="Arial Narrow" w:hAnsi="Arial Narrow"/>
                <w:sz w:val="18"/>
                <w:szCs w:val="18"/>
                <w:vertAlign w:val="superscript"/>
              </w:rPr>
              <w:t>a</w:t>
            </w:r>
          </w:p>
        </w:tc>
        <w:tc>
          <w:tcPr>
            <w:tcW w:w="851" w:type="dxa"/>
            <w:tcBorders>
              <w:bottom w:val="nil"/>
            </w:tcBorders>
            <w:vAlign w:val="center"/>
          </w:tcPr>
          <w:p w14:paraId="63A091E2"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NR</w:t>
            </w:r>
          </w:p>
        </w:tc>
      </w:tr>
      <w:tr w:rsidR="008A6229" w:rsidRPr="008A6229" w14:paraId="6451176A" w14:textId="77777777" w:rsidTr="00E20F30">
        <w:tc>
          <w:tcPr>
            <w:tcW w:w="1668" w:type="dxa"/>
            <w:vAlign w:val="center"/>
          </w:tcPr>
          <w:p w14:paraId="6024242F" w14:textId="77777777" w:rsidR="008A6229" w:rsidRPr="008A6229" w:rsidRDefault="008A6229" w:rsidP="008A6229">
            <w:pPr>
              <w:keepNext/>
              <w:ind w:right="-108"/>
              <w:rPr>
                <w:rFonts w:ascii="Arial Narrow" w:hAnsi="Arial Narrow"/>
                <w:sz w:val="18"/>
                <w:szCs w:val="18"/>
              </w:rPr>
            </w:pPr>
            <w:proofErr w:type="spellStart"/>
            <w:r w:rsidRPr="008A6229">
              <w:rPr>
                <w:rFonts w:ascii="Arial Narrow" w:hAnsi="Arial Narrow"/>
                <w:sz w:val="18"/>
                <w:szCs w:val="18"/>
              </w:rPr>
              <w:t>Farkas</w:t>
            </w:r>
            <w:proofErr w:type="spellEnd"/>
            <w:r w:rsidRPr="008A6229">
              <w:rPr>
                <w:rFonts w:ascii="Arial Narrow" w:hAnsi="Arial Narrow"/>
                <w:sz w:val="18"/>
                <w:szCs w:val="18"/>
              </w:rPr>
              <w:t xml:space="preserve"> et al (2012)</w:t>
            </w:r>
          </w:p>
          <w:p w14:paraId="658D00DB" w14:textId="77777777" w:rsidR="008A6229" w:rsidRPr="008A6229" w:rsidRDefault="008A6229" w:rsidP="008A6229">
            <w:pPr>
              <w:keepNext/>
              <w:rPr>
                <w:rFonts w:ascii="Arial Narrow" w:hAnsi="Arial Narrow"/>
                <w:i/>
                <w:sz w:val="18"/>
                <w:szCs w:val="18"/>
              </w:rPr>
            </w:pPr>
            <w:r w:rsidRPr="008A6229">
              <w:rPr>
                <w:rFonts w:ascii="Arial Narrow" w:hAnsi="Arial Narrow"/>
                <w:i/>
                <w:sz w:val="18"/>
                <w:szCs w:val="18"/>
              </w:rPr>
              <w:t>- Children</w:t>
            </w:r>
          </w:p>
        </w:tc>
        <w:tc>
          <w:tcPr>
            <w:tcW w:w="2409" w:type="dxa"/>
            <w:vAlign w:val="center"/>
          </w:tcPr>
          <w:p w14:paraId="6D66ACF8" w14:textId="77777777" w:rsidR="008A6229" w:rsidRPr="008A6229" w:rsidRDefault="008A6229" w:rsidP="008A6229">
            <w:pPr>
              <w:rPr>
                <w:rFonts w:ascii="Arial Narrow" w:hAnsi="Arial Narrow"/>
                <w:sz w:val="18"/>
                <w:szCs w:val="18"/>
              </w:rPr>
            </w:pPr>
            <w:r w:rsidRPr="008A6229">
              <w:rPr>
                <w:rFonts w:ascii="Arial Narrow" w:hAnsi="Arial Narrow"/>
                <w:sz w:val="18"/>
                <w:szCs w:val="18"/>
              </w:rPr>
              <w:t>HAE attacks per surgical/ diagnostic intervention, n/N (%)</w:t>
            </w:r>
          </w:p>
        </w:tc>
        <w:tc>
          <w:tcPr>
            <w:tcW w:w="1418" w:type="dxa"/>
            <w:vAlign w:val="center"/>
          </w:tcPr>
          <w:p w14:paraId="17069703"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1/36 (3)</w:t>
            </w:r>
          </w:p>
        </w:tc>
        <w:tc>
          <w:tcPr>
            <w:tcW w:w="1417" w:type="dxa"/>
            <w:vAlign w:val="center"/>
          </w:tcPr>
          <w:p w14:paraId="72DC1DBC" w14:textId="77777777" w:rsidR="008A6229" w:rsidRPr="008A6229" w:rsidRDefault="008A6229" w:rsidP="008A6229">
            <w:pPr>
              <w:keepNext/>
              <w:jc w:val="center"/>
              <w:rPr>
                <w:rFonts w:ascii="Arial Narrow" w:hAnsi="Arial Narrow"/>
                <w:sz w:val="18"/>
                <w:szCs w:val="18"/>
              </w:rPr>
            </w:pPr>
            <w:r w:rsidRPr="008A6229">
              <w:rPr>
                <w:rFonts w:ascii="Arial Narrow" w:hAnsi="Arial Narrow"/>
                <w:sz w:val="18"/>
                <w:szCs w:val="18"/>
              </w:rPr>
              <w:t>-</w:t>
            </w:r>
          </w:p>
        </w:tc>
        <w:tc>
          <w:tcPr>
            <w:tcW w:w="1134" w:type="dxa"/>
            <w:tcBorders>
              <w:top w:val="nil"/>
            </w:tcBorders>
            <w:vAlign w:val="center"/>
          </w:tcPr>
          <w:p w14:paraId="016DB8BA" w14:textId="77777777" w:rsidR="008A6229" w:rsidRPr="008A6229" w:rsidRDefault="008A6229" w:rsidP="008A6229">
            <w:pPr>
              <w:keepNext/>
              <w:jc w:val="center"/>
              <w:rPr>
                <w:rFonts w:ascii="Arial Narrow" w:hAnsi="Arial Narrow"/>
                <w:sz w:val="18"/>
                <w:szCs w:val="18"/>
              </w:rPr>
            </w:pPr>
          </w:p>
        </w:tc>
        <w:tc>
          <w:tcPr>
            <w:tcW w:w="851" w:type="dxa"/>
            <w:tcBorders>
              <w:top w:val="nil"/>
            </w:tcBorders>
            <w:vAlign w:val="center"/>
          </w:tcPr>
          <w:p w14:paraId="69545BC2" w14:textId="77777777" w:rsidR="008A6229" w:rsidRPr="008A6229" w:rsidRDefault="008A6229" w:rsidP="008A6229">
            <w:pPr>
              <w:keepNext/>
              <w:jc w:val="center"/>
              <w:rPr>
                <w:rFonts w:ascii="Arial Narrow" w:hAnsi="Arial Narrow"/>
                <w:sz w:val="18"/>
                <w:szCs w:val="18"/>
              </w:rPr>
            </w:pPr>
          </w:p>
        </w:tc>
      </w:tr>
    </w:tbl>
    <w:p w14:paraId="15FC1F11" w14:textId="7DE24DE4"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 xml:space="preserve">Source: </w:t>
      </w:r>
      <w:proofErr w:type="gramStart"/>
      <w:r w:rsidRPr="008A6229">
        <w:rPr>
          <w:rFonts w:ascii="Arial Narrow" w:eastAsia="Calibri" w:hAnsi="Arial Narrow"/>
          <w:sz w:val="16"/>
          <w:szCs w:val="16"/>
          <w:lang w:eastAsia="en-US"/>
        </w:rPr>
        <w:t>Section</w:t>
      </w:r>
      <w:r w:rsidR="002F2D67">
        <w:rPr>
          <w:rFonts w:ascii="Arial Narrow" w:eastAsia="Calibri" w:hAnsi="Arial Narrow"/>
          <w:sz w:val="16"/>
          <w:szCs w:val="16"/>
          <w:lang w:eastAsia="en-US"/>
        </w:rPr>
        <w:t xml:space="preserve">B.6.2 </w:t>
      </w:r>
      <w:r w:rsidRPr="008A6229">
        <w:rPr>
          <w:rFonts w:ascii="Arial Narrow" w:eastAsia="Calibri" w:hAnsi="Arial Narrow"/>
          <w:sz w:val="16"/>
          <w:szCs w:val="16"/>
          <w:lang w:eastAsia="en-US"/>
        </w:rPr>
        <w:t xml:space="preserve"> of</w:t>
      </w:r>
      <w:proofErr w:type="gramEnd"/>
      <w:r w:rsidRPr="008A6229">
        <w:rPr>
          <w:rFonts w:ascii="Arial Narrow" w:eastAsia="Calibri" w:hAnsi="Arial Narrow"/>
          <w:sz w:val="16"/>
          <w:szCs w:val="16"/>
          <w:lang w:eastAsia="en-US"/>
        </w:rPr>
        <w:t xml:space="preserve"> the Assessment Report</w:t>
      </w:r>
    </w:p>
    <w:p w14:paraId="044095B0" w14:textId="77777777"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Abbreviations</w:t>
      </w:r>
      <w:r w:rsidRPr="008A6229">
        <w:rPr>
          <w:rFonts w:ascii="Arial Narrow" w:eastAsia="Calibri" w:hAnsi="Arial Narrow"/>
          <w:sz w:val="16"/>
          <w:szCs w:val="16"/>
          <w:lang w:eastAsia="en-US"/>
        </w:rPr>
        <w:t>: HAE, hereditary angioedema; NR, not reported</w:t>
      </w:r>
    </w:p>
    <w:p w14:paraId="3CBB317E" w14:textId="77777777" w:rsidR="008A6229" w:rsidRPr="008A6229" w:rsidRDefault="008A6229" w:rsidP="00E20F30">
      <w:pPr>
        <w:rPr>
          <w:rFonts w:ascii="Arial Narrow" w:eastAsia="Calibri" w:hAnsi="Arial Narrow"/>
          <w:sz w:val="16"/>
          <w:lang w:eastAsia="en-US"/>
        </w:rPr>
      </w:pPr>
      <w:proofErr w:type="gramStart"/>
      <w:r w:rsidRPr="008A6229">
        <w:rPr>
          <w:rFonts w:ascii="Arial Narrow" w:eastAsia="Calibri" w:hAnsi="Arial Narrow"/>
          <w:b/>
          <w:sz w:val="16"/>
          <w:lang w:eastAsia="en-US"/>
        </w:rPr>
        <w:t>a</w:t>
      </w:r>
      <w:proofErr w:type="gramEnd"/>
      <w:r w:rsidRPr="008A6229">
        <w:rPr>
          <w:rFonts w:ascii="Arial Narrow" w:eastAsia="Calibri" w:hAnsi="Arial Narrow"/>
          <w:sz w:val="16"/>
          <w:lang w:eastAsia="en-US"/>
        </w:rPr>
        <w:t xml:space="preserve"> Retrospective data in a broader population informed the rate of attacks without prophylaxis. Breakdown for children/adults not reported.</w:t>
      </w:r>
    </w:p>
    <w:p w14:paraId="74667D38" w14:textId="77777777" w:rsidR="00E20F30" w:rsidRDefault="00E20F30" w:rsidP="008A6229">
      <w:pPr>
        <w:rPr>
          <w:szCs w:val="24"/>
        </w:rPr>
      </w:pPr>
    </w:p>
    <w:p w14:paraId="1ADED45E" w14:textId="77777777" w:rsidR="008A6229" w:rsidRPr="008A6229" w:rsidRDefault="008A6229" w:rsidP="008A6229">
      <w:pPr>
        <w:rPr>
          <w:szCs w:val="24"/>
        </w:rPr>
      </w:pPr>
      <w:r w:rsidRPr="008A6229">
        <w:rPr>
          <w:szCs w:val="24"/>
        </w:rPr>
        <w:t xml:space="preserve">No comparative evidence is available for the pre-procedural use of </w:t>
      </w:r>
      <w:proofErr w:type="spellStart"/>
      <w:r w:rsidRPr="008A6229">
        <w:rPr>
          <w:szCs w:val="24"/>
        </w:rPr>
        <w:t>Cinryze</w:t>
      </w:r>
      <w:proofErr w:type="spellEnd"/>
      <w:r w:rsidRPr="008A6229">
        <w:rPr>
          <w:szCs w:val="24"/>
        </w:rPr>
        <w:t xml:space="preserve">, but </w:t>
      </w:r>
      <w:r w:rsidRPr="008A6229">
        <w:rPr>
          <w:i/>
          <w:szCs w:val="24"/>
        </w:rPr>
        <w:t>post-hoc</w:t>
      </w:r>
      <w:r w:rsidRPr="008A6229">
        <w:rPr>
          <w:szCs w:val="24"/>
        </w:rPr>
        <w:t xml:space="preserve"> analyses of open-label use in the pivotal studies shows low rates of post-procedure attacks: 2 attacks in 91 procedures in CHANGE 2; 1 attack in 40 procedures in children in CHANGE Part A and CHANGE 2.</w:t>
      </w:r>
    </w:p>
    <w:p w14:paraId="7185D9E9" w14:textId="77777777" w:rsidR="008A6229" w:rsidRPr="008A6229" w:rsidRDefault="008A6229" w:rsidP="00E20F30">
      <w:pPr>
        <w:rPr>
          <w:szCs w:val="24"/>
        </w:rPr>
      </w:pPr>
    </w:p>
    <w:p w14:paraId="3705AF97" w14:textId="77777777" w:rsidR="008A6229" w:rsidRPr="008A6229" w:rsidRDefault="008A6229" w:rsidP="008A6229">
      <w:pPr>
        <w:rPr>
          <w:szCs w:val="24"/>
          <w:u w:val="single"/>
        </w:rPr>
      </w:pPr>
      <w:r w:rsidRPr="008A6229">
        <w:rPr>
          <w:szCs w:val="24"/>
          <w:u w:val="single"/>
        </w:rPr>
        <w:t>Routine prophylaxis</w:t>
      </w:r>
    </w:p>
    <w:p w14:paraId="702DF5B7" w14:textId="53423B54" w:rsidR="008A6229" w:rsidRPr="008A6229" w:rsidRDefault="008A6229" w:rsidP="008A6229">
      <w:pPr>
        <w:rPr>
          <w:szCs w:val="24"/>
        </w:rPr>
      </w:pPr>
      <w:r w:rsidRPr="008A6229">
        <w:rPr>
          <w:szCs w:val="24"/>
        </w:rPr>
        <w:t xml:space="preserve">One randomised, placebo-controlled crossover clinical trial (CHANGE Part B) compared the effectiveness and safety of </w:t>
      </w:r>
      <w:proofErr w:type="spellStart"/>
      <w:r w:rsidRPr="008A6229">
        <w:rPr>
          <w:szCs w:val="24"/>
        </w:rPr>
        <w:t>Cinryze</w:t>
      </w:r>
      <w:proofErr w:type="spellEnd"/>
      <w:r w:rsidRPr="008A6229">
        <w:rPr>
          <w:szCs w:val="24"/>
        </w:rPr>
        <w:t xml:space="preserve"> with no prophylaxis for the overall prevention of attacks </w:t>
      </w:r>
      <w:r w:rsidRPr="008A6229">
        <w:rPr>
          <w:szCs w:val="24"/>
        </w:rPr>
        <w:lastRenderedPageBreak/>
        <w:t xml:space="preserve">in patients with HAE. The efficacy results, summarised in Table </w:t>
      </w:r>
      <w:r w:rsidR="00694838">
        <w:rPr>
          <w:szCs w:val="24"/>
        </w:rPr>
        <w:t>6</w:t>
      </w:r>
      <w:r w:rsidRPr="008A6229">
        <w:rPr>
          <w:szCs w:val="24"/>
        </w:rPr>
        <w:t xml:space="preserve">, show that subjects experienced a significant reduction in attack frequency, severity and duration when treated with </w:t>
      </w:r>
      <w:proofErr w:type="spellStart"/>
      <w:r w:rsidRPr="008A6229">
        <w:rPr>
          <w:szCs w:val="24"/>
        </w:rPr>
        <w:t>Cinryze</w:t>
      </w:r>
      <w:proofErr w:type="spellEnd"/>
      <w:r w:rsidRPr="008A6229">
        <w:rPr>
          <w:szCs w:val="24"/>
        </w:rPr>
        <w:t xml:space="preserve"> compared with placebo.</w:t>
      </w:r>
    </w:p>
    <w:p w14:paraId="2E3860B9" w14:textId="77777777" w:rsidR="008A6229" w:rsidRPr="008A6229" w:rsidRDefault="008A6229" w:rsidP="00E20F30">
      <w:pPr>
        <w:rPr>
          <w:szCs w:val="24"/>
        </w:rPr>
      </w:pPr>
    </w:p>
    <w:p w14:paraId="43E35AC5" w14:textId="35A27E98" w:rsidR="008A6229" w:rsidRPr="008A6229" w:rsidRDefault="008A6229" w:rsidP="008A6229">
      <w:pPr>
        <w:keepNext/>
        <w:spacing w:before="40" w:after="40"/>
        <w:jc w:val="both"/>
        <w:rPr>
          <w:rFonts w:ascii="Arial Narrow" w:eastAsiaTheme="minorHAnsi" w:hAnsi="Arial Narrow" w:cstheme="minorBidi"/>
          <w:b/>
          <w:iCs/>
          <w:sz w:val="20"/>
          <w:szCs w:val="18"/>
          <w:lang w:eastAsia="en-US"/>
        </w:rPr>
      </w:pPr>
      <w:bookmarkStart w:id="24" w:name="_Ref417646864"/>
      <w:bookmarkStart w:id="25" w:name="_Toc417862287"/>
      <w:bookmarkStart w:id="26" w:name="_Toc419428689"/>
      <w:r w:rsidRPr="008A6229">
        <w:rPr>
          <w:rFonts w:ascii="Arial Narrow" w:eastAsiaTheme="minorHAnsi" w:hAnsi="Arial Narrow" w:cstheme="minorBidi"/>
          <w:b/>
          <w:iCs/>
          <w:sz w:val="20"/>
          <w:szCs w:val="18"/>
          <w:lang w:eastAsia="en-US"/>
        </w:rPr>
        <w:t xml:space="preserve">Table </w:t>
      </w:r>
      <w:bookmarkEnd w:id="24"/>
      <w:r w:rsidR="000D57A3">
        <w:rPr>
          <w:rFonts w:ascii="Arial Narrow" w:eastAsiaTheme="minorHAnsi" w:hAnsi="Arial Narrow" w:cstheme="minorBidi"/>
          <w:b/>
          <w:iCs/>
          <w:sz w:val="20"/>
          <w:szCs w:val="18"/>
          <w:lang w:eastAsia="en-US"/>
        </w:rPr>
        <w:t>6</w:t>
      </w:r>
      <w:r w:rsidRPr="008A6229">
        <w:rPr>
          <w:rFonts w:ascii="Arial Narrow" w:eastAsiaTheme="minorHAnsi" w:hAnsi="Arial Narrow" w:cstheme="minorBidi"/>
          <w:b/>
          <w:iCs/>
          <w:sz w:val="20"/>
          <w:szCs w:val="18"/>
          <w:lang w:eastAsia="en-US"/>
        </w:rPr>
        <w:tab/>
        <w:t>Summary of efficacy results from CHANGE Part B – crossover RCT routine prophylaxis</w:t>
      </w:r>
      <w:bookmarkEnd w:id="25"/>
      <w:bookmarkEnd w:id="26"/>
    </w:p>
    <w:p w14:paraId="041E0EF0" w14:textId="77777777" w:rsidR="008A6229" w:rsidRPr="008A6229" w:rsidRDefault="008A6229" w:rsidP="008A6229">
      <w:pPr>
        <w:keepNext/>
        <w:rPr>
          <w:rFonts w:ascii="Arial Narrow" w:eastAsia="Calibri" w:hAnsi="Arial Narrow"/>
          <w:b/>
          <w:sz w:val="16"/>
          <w:szCs w:val="16"/>
          <w:lang w:eastAsia="en-US"/>
        </w:rPr>
      </w:pPr>
      <w:r w:rsidRPr="008A6229">
        <w:rPr>
          <w:rFonts w:ascii="Arial Narrow" w:eastAsia="Calibri" w:hAnsi="Arial Narrow"/>
          <w:b/>
          <w:noProof/>
          <w:sz w:val="16"/>
          <w:szCs w:val="16"/>
        </w:rPr>
        <w:drawing>
          <wp:inline distT="0" distB="0" distL="0" distR="0" wp14:anchorId="0B8CBEEF" wp14:editId="3185874E">
            <wp:extent cx="5610225" cy="981075"/>
            <wp:effectExtent l="0" t="0" r="9525" b="9525"/>
            <wp:docPr id="3" name="Picture 3" title="summary of efficacy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981075"/>
                    </a:xfrm>
                    <a:prstGeom prst="rect">
                      <a:avLst/>
                    </a:prstGeom>
                    <a:noFill/>
                    <a:ln>
                      <a:noFill/>
                    </a:ln>
                  </pic:spPr>
                </pic:pic>
              </a:graphicData>
            </a:graphic>
          </wp:inline>
        </w:drawing>
      </w:r>
    </w:p>
    <w:p w14:paraId="102FB8B9" w14:textId="58259822" w:rsidR="008A6229" w:rsidRPr="008A6229" w:rsidRDefault="008A6229" w:rsidP="008A6229">
      <w:pPr>
        <w:keepNext/>
        <w:rPr>
          <w:rFonts w:ascii="Arial Narrow" w:eastAsia="Calibri" w:hAnsi="Arial Narrow"/>
          <w:sz w:val="16"/>
          <w:szCs w:val="16"/>
          <w:lang w:eastAsia="en-US"/>
        </w:rPr>
      </w:pPr>
      <w:proofErr w:type="spellStart"/>
      <w:r w:rsidRPr="008A6229">
        <w:rPr>
          <w:rFonts w:ascii="Arial Narrow" w:eastAsia="Calibri" w:hAnsi="Arial Narrow"/>
          <w:b/>
          <w:sz w:val="16"/>
          <w:szCs w:val="16"/>
          <w:lang w:eastAsia="en-US"/>
        </w:rPr>
        <w:t>Source</w:t>
      </w:r>
      <w:proofErr w:type="gramStart"/>
      <w:r w:rsidRPr="008A6229">
        <w:rPr>
          <w:rFonts w:ascii="Arial Narrow" w:eastAsia="Calibri" w:hAnsi="Arial Narrow"/>
          <w:b/>
          <w:sz w:val="16"/>
          <w:szCs w:val="16"/>
          <w:lang w:eastAsia="en-US"/>
        </w:rPr>
        <w:t>:</w:t>
      </w:r>
      <w:r w:rsidR="002F2D67">
        <w:rPr>
          <w:rFonts w:ascii="Arial Narrow" w:eastAsia="Calibri" w:hAnsi="Arial Narrow"/>
          <w:sz w:val="16"/>
          <w:szCs w:val="16"/>
          <w:lang w:eastAsia="en-US"/>
        </w:rPr>
        <w:t>Table</w:t>
      </w:r>
      <w:proofErr w:type="spellEnd"/>
      <w:proofErr w:type="gramEnd"/>
      <w:r w:rsidR="002F2D67">
        <w:rPr>
          <w:rFonts w:ascii="Arial Narrow" w:eastAsia="Calibri" w:hAnsi="Arial Narrow"/>
          <w:sz w:val="16"/>
          <w:szCs w:val="16"/>
          <w:lang w:eastAsia="en-US"/>
        </w:rPr>
        <w:t xml:space="preserve"> B.6.16 </w:t>
      </w:r>
      <w:r w:rsidRPr="008A6229">
        <w:rPr>
          <w:rFonts w:ascii="Arial Narrow" w:eastAsia="Calibri" w:hAnsi="Arial Narrow"/>
          <w:sz w:val="16"/>
          <w:szCs w:val="16"/>
          <w:lang w:eastAsia="en-US"/>
        </w:rPr>
        <w:t xml:space="preserve"> of the Assessment Report (</w:t>
      </w:r>
      <w:proofErr w:type="spellStart"/>
      <w:r w:rsidRPr="008A6229">
        <w:rPr>
          <w:rFonts w:ascii="Arial Narrow" w:eastAsia="Calibri" w:hAnsi="Arial Narrow"/>
          <w:sz w:val="16"/>
          <w:szCs w:val="16"/>
          <w:lang w:eastAsia="en-US"/>
        </w:rPr>
        <w:t>Zuraw</w:t>
      </w:r>
      <w:proofErr w:type="spellEnd"/>
      <w:r w:rsidRPr="008A6229">
        <w:rPr>
          <w:rFonts w:ascii="Arial Narrow" w:eastAsia="Calibri" w:hAnsi="Arial Narrow"/>
          <w:sz w:val="16"/>
          <w:szCs w:val="16"/>
          <w:lang w:eastAsia="en-US"/>
        </w:rPr>
        <w:t xml:space="preserve"> et al, 2010)</w:t>
      </w:r>
    </w:p>
    <w:p w14:paraId="11CE5924" w14:textId="77777777"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Abbreviations</w:t>
      </w:r>
      <w:r w:rsidRPr="008A6229">
        <w:rPr>
          <w:rFonts w:ascii="Arial Narrow" w:eastAsia="Calibri" w:hAnsi="Arial Narrow"/>
          <w:sz w:val="16"/>
          <w:szCs w:val="16"/>
          <w:lang w:eastAsia="en-US"/>
        </w:rPr>
        <w:t>: C1-INH, C1 esterase inhibitor; NR, not reported; RCT, randomised controlled trials; SD, standard deviation</w:t>
      </w:r>
    </w:p>
    <w:p w14:paraId="343E7BF1" w14:textId="77777777" w:rsidR="008A6229" w:rsidRPr="008A6229" w:rsidRDefault="008A6229" w:rsidP="008A6229">
      <w:pPr>
        <w:keepNext/>
        <w:rPr>
          <w:rFonts w:ascii="Arial Narrow" w:eastAsia="Calibri" w:hAnsi="Arial Narrow"/>
          <w:sz w:val="16"/>
          <w:szCs w:val="16"/>
          <w:lang w:eastAsia="en-US"/>
        </w:rPr>
      </w:pPr>
      <w:r w:rsidRPr="008A6229">
        <w:rPr>
          <w:rFonts w:ascii="Arial Narrow" w:eastAsia="Calibri" w:hAnsi="Arial Narrow"/>
          <w:b/>
          <w:sz w:val="16"/>
          <w:szCs w:val="16"/>
          <w:lang w:eastAsia="en-US"/>
        </w:rPr>
        <w:t xml:space="preserve">Note: </w:t>
      </w:r>
      <w:r w:rsidRPr="008A6229">
        <w:rPr>
          <w:rFonts w:ascii="Arial Narrow" w:eastAsia="Calibri" w:hAnsi="Arial Narrow"/>
          <w:sz w:val="16"/>
          <w:szCs w:val="16"/>
          <w:lang w:eastAsia="en-US"/>
        </w:rPr>
        <w:t>There was no evidence of a significant sequence effect (P=0.54) or period effect (P=0.42).</w:t>
      </w:r>
    </w:p>
    <w:p w14:paraId="5C25996D" w14:textId="77777777" w:rsidR="008A6229" w:rsidRDefault="008A6229" w:rsidP="00E20F30">
      <w:pPr>
        <w:rPr>
          <w:rFonts w:ascii="Arial Narrow" w:eastAsia="Calibri" w:hAnsi="Arial Narrow"/>
          <w:sz w:val="16"/>
          <w:lang w:eastAsia="en-US"/>
        </w:rPr>
      </w:pPr>
      <w:proofErr w:type="gramStart"/>
      <w:r w:rsidRPr="008A6229">
        <w:rPr>
          <w:rFonts w:ascii="Arial Narrow" w:eastAsia="Calibri" w:hAnsi="Arial Narrow"/>
          <w:b/>
          <w:sz w:val="16"/>
          <w:lang w:eastAsia="en-US"/>
        </w:rPr>
        <w:t>a</w:t>
      </w:r>
      <w:proofErr w:type="gramEnd"/>
      <w:r w:rsidRPr="008A6229">
        <w:rPr>
          <w:rFonts w:ascii="Arial Narrow" w:eastAsia="Calibri" w:hAnsi="Arial Narrow"/>
          <w:sz w:val="16"/>
          <w:lang w:eastAsia="en-US"/>
        </w:rPr>
        <w:t xml:space="preserve"> Measured on a 3-point scale with 1 indicating mild, 2 moderate, and 3 severe</w:t>
      </w:r>
    </w:p>
    <w:p w14:paraId="35DF6017" w14:textId="77777777" w:rsidR="000D57A3" w:rsidRDefault="000D57A3" w:rsidP="00E20F30">
      <w:pPr>
        <w:rPr>
          <w:rFonts w:ascii="Arial Narrow" w:eastAsia="Calibri" w:hAnsi="Arial Narrow"/>
          <w:sz w:val="16"/>
          <w:lang w:eastAsia="en-US"/>
        </w:rPr>
      </w:pPr>
    </w:p>
    <w:p w14:paraId="0E42764F" w14:textId="77777777" w:rsidR="00BC1364" w:rsidRDefault="00BC1364" w:rsidP="007B32D1">
      <w:pPr>
        <w:pStyle w:val="Heading1"/>
        <w:numPr>
          <w:ilvl w:val="0"/>
          <w:numId w:val="23"/>
        </w:numPr>
        <w:ind w:hanging="720"/>
      </w:pPr>
      <w:r w:rsidRPr="008D5885">
        <w:t>Economic evaluation</w:t>
      </w:r>
    </w:p>
    <w:p w14:paraId="26C1687A" w14:textId="77777777" w:rsidR="00BC1364" w:rsidRPr="00E20F30" w:rsidRDefault="00BC1364" w:rsidP="00DD2858">
      <w:pPr>
        <w:rPr>
          <w:szCs w:val="24"/>
        </w:rPr>
      </w:pPr>
    </w:p>
    <w:p w14:paraId="64D1D780" w14:textId="77777777" w:rsidR="002758A8" w:rsidRPr="002758A8" w:rsidRDefault="002758A8" w:rsidP="002758A8">
      <w:r w:rsidRPr="002758A8">
        <w:t>The economic evaluation consisted of three discrete analyses:</w:t>
      </w:r>
    </w:p>
    <w:p w14:paraId="614538C4" w14:textId="77777777" w:rsidR="002758A8" w:rsidRPr="00325B1E" w:rsidRDefault="002758A8" w:rsidP="00325B1E">
      <w:pPr>
        <w:pStyle w:val="BulletText0"/>
        <w:spacing w:before="0" w:line="240" w:lineRule="auto"/>
        <w:ind w:left="709" w:hanging="357"/>
        <w:jc w:val="left"/>
        <w:rPr>
          <w:rFonts w:ascii="Times New Roman" w:eastAsia="Calibri" w:hAnsi="Times New Roman" w:cs="Times New Roman"/>
          <w:sz w:val="24"/>
          <w:szCs w:val="24"/>
          <w:lang w:eastAsia="en-US"/>
        </w:rPr>
      </w:pPr>
      <w:r w:rsidRPr="00325B1E">
        <w:rPr>
          <w:rFonts w:ascii="Times New Roman" w:eastAsia="Calibri" w:hAnsi="Times New Roman" w:cs="Times New Roman"/>
          <w:sz w:val="24"/>
          <w:szCs w:val="24"/>
          <w:lang w:eastAsia="en-US"/>
        </w:rPr>
        <w:t>C1-</w:t>
      </w:r>
      <w:r w:rsidRPr="00325B1E">
        <w:rPr>
          <w:rFonts w:ascii="Times New Roman" w:hAnsi="Times New Roman" w:cs="Times New Roman"/>
          <w:sz w:val="24"/>
          <w:szCs w:val="24"/>
        </w:rPr>
        <w:t>INH</w:t>
      </w:r>
      <w:r w:rsidRPr="00325B1E">
        <w:rPr>
          <w:rFonts w:ascii="Times New Roman" w:eastAsia="Calibri" w:hAnsi="Times New Roman" w:cs="Times New Roman"/>
          <w:sz w:val="24"/>
          <w:szCs w:val="24"/>
          <w:lang w:eastAsia="en-US"/>
        </w:rPr>
        <w:t xml:space="preserve"> </w:t>
      </w:r>
      <w:proofErr w:type="gramStart"/>
      <w:r w:rsidRPr="00325B1E">
        <w:rPr>
          <w:rFonts w:ascii="Times New Roman" w:eastAsia="Calibri" w:hAnsi="Times New Roman" w:cs="Times New Roman"/>
          <w:sz w:val="24"/>
          <w:szCs w:val="24"/>
          <w:lang w:eastAsia="en-US"/>
        </w:rPr>
        <w:t>concentrate</w:t>
      </w:r>
      <w:proofErr w:type="gramEnd"/>
      <w:r w:rsidRPr="00325B1E">
        <w:rPr>
          <w:rFonts w:ascii="Times New Roman" w:eastAsia="Calibri" w:hAnsi="Times New Roman" w:cs="Times New Roman"/>
          <w:sz w:val="24"/>
          <w:szCs w:val="24"/>
          <w:lang w:eastAsia="en-US"/>
        </w:rPr>
        <w:t xml:space="preserve"> versus icatibant to treat acute HAE attacks in adults and adolescents (the ‘acute attack model’).</w:t>
      </w:r>
    </w:p>
    <w:p w14:paraId="379FAD4A" w14:textId="77777777" w:rsidR="002758A8" w:rsidRPr="00325B1E" w:rsidRDefault="002758A8" w:rsidP="00325B1E">
      <w:pPr>
        <w:pStyle w:val="BulletText0"/>
        <w:spacing w:before="0" w:line="240" w:lineRule="auto"/>
        <w:ind w:left="709" w:hanging="357"/>
        <w:jc w:val="left"/>
        <w:rPr>
          <w:rFonts w:ascii="Times New Roman" w:eastAsia="Calibri" w:hAnsi="Times New Roman" w:cs="Times New Roman"/>
          <w:sz w:val="24"/>
          <w:szCs w:val="24"/>
          <w:lang w:eastAsia="en-US"/>
        </w:rPr>
      </w:pPr>
      <w:r w:rsidRPr="00325B1E">
        <w:rPr>
          <w:rFonts w:ascii="Times New Roman" w:eastAsia="Calibri" w:hAnsi="Times New Roman" w:cs="Times New Roman"/>
          <w:sz w:val="24"/>
          <w:szCs w:val="24"/>
          <w:lang w:eastAsia="en-US"/>
        </w:rPr>
        <w:t>Pre-</w:t>
      </w:r>
      <w:r w:rsidRPr="00325B1E">
        <w:rPr>
          <w:rFonts w:ascii="Times New Roman" w:hAnsi="Times New Roman" w:cs="Times New Roman"/>
          <w:sz w:val="24"/>
          <w:szCs w:val="24"/>
        </w:rPr>
        <w:t>procedural</w:t>
      </w:r>
      <w:r w:rsidRPr="00325B1E">
        <w:rPr>
          <w:rFonts w:ascii="Times New Roman" w:eastAsia="Calibri" w:hAnsi="Times New Roman" w:cs="Times New Roman"/>
          <w:sz w:val="24"/>
          <w:szCs w:val="24"/>
          <w:lang w:eastAsia="en-US"/>
        </w:rPr>
        <w:t xml:space="preserve"> prophylaxis with C1-INH concentrate with the option of community- (or self-) administration versus hospital-administered C1-INH concentrate in patients who are intolerant to, or insufficiently protected by, oral therapy (the ‘pre-procedural prophylaxis model’).</w:t>
      </w:r>
    </w:p>
    <w:p w14:paraId="03C7D3EB" w14:textId="77777777" w:rsidR="002758A8" w:rsidRDefault="002758A8" w:rsidP="00325B1E">
      <w:pPr>
        <w:pStyle w:val="BulletText0"/>
        <w:spacing w:before="0" w:line="240" w:lineRule="auto"/>
        <w:ind w:left="709" w:hanging="357"/>
        <w:jc w:val="left"/>
        <w:rPr>
          <w:rFonts w:ascii="Times New Roman" w:eastAsia="Calibri" w:hAnsi="Times New Roman" w:cs="Times New Roman"/>
          <w:sz w:val="24"/>
          <w:szCs w:val="24"/>
          <w:lang w:eastAsia="en-US"/>
        </w:rPr>
      </w:pPr>
      <w:r w:rsidRPr="00325B1E">
        <w:rPr>
          <w:rFonts w:ascii="Times New Roman" w:eastAsia="Calibri" w:hAnsi="Times New Roman" w:cs="Times New Roman"/>
          <w:sz w:val="24"/>
          <w:szCs w:val="24"/>
          <w:lang w:eastAsia="en-US"/>
        </w:rPr>
        <w:t xml:space="preserve">Routine </w:t>
      </w:r>
      <w:proofErr w:type="gramStart"/>
      <w:r w:rsidRPr="00325B1E">
        <w:rPr>
          <w:rFonts w:ascii="Times New Roman" w:hAnsi="Times New Roman" w:cs="Times New Roman"/>
          <w:sz w:val="24"/>
          <w:szCs w:val="24"/>
        </w:rPr>
        <w:t>prophylaxis</w:t>
      </w:r>
      <w:r w:rsidRPr="00325B1E">
        <w:rPr>
          <w:rFonts w:ascii="Times New Roman" w:eastAsia="Calibri" w:hAnsi="Times New Roman" w:cs="Times New Roman"/>
          <w:sz w:val="24"/>
          <w:szCs w:val="24"/>
          <w:lang w:eastAsia="en-US"/>
        </w:rPr>
        <w:t xml:space="preserve"> with C1-INH concentrate</w:t>
      </w:r>
      <w:proofErr w:type="gramEnd"/>
      <w:r w:rsidRPr="00325B1E">
        <w:rPr>
          <w:rFonts w:ascii="Times New Roman" w:eastAsia="Calibri" w:hAnsi="Times New Roman" w:cs="Times New Roman"/>
          <w:sz w:val="24"/>
          <w:szCs w:val="24"/>
          <w:lang w:eastAsia="en-US"/>
        </w:rPr>
        <w:t xml:space="preserve"> versus no prophylaxis in patients who are intolerant to, or insufficiently protected by, oral therapy (the ‘routine prophylaxis model’).</w:t>
      </w:r>
    </w:p>
    <w:p w14:paraId="24197E4B" w14:textId="77777777" w:rsidR="00325B1E" w:rsidRPr="00325B1E" w:rsidRDefault="00325B1E" w:rsidP="00325B1E">
      <w:pPr>
        <w:pStyle w:val="BulletText0"/>
        <w:numPr>
          <w:ilvl w:val="0"/>
          <w:numId w:val="0"/>
        </w:numPr>
        <w:spacing w:before="0" w:line="240" w:lineRule="auto"/>
        <w:jc w:val="left"/>
        <w:rPr>
          <w:rFonts w:ascii="Times New Roman" w:eastAsia="Calibri" w:hAnsi="Times New Roman" w:cs="Times New Roman"/>
          <w:sz w:val="24"/>
          <w:szCs w:val="24"/>
          <w:lang w:eastAsia="en-US"/>
        </w:rPr>
      </w:pPr>
    </w:p>
    <w:p w14:paraId="010EC543" w14:textId="3E34C566" w:rsidR="002758A8" w:rsidRPr="002758A8" w:rsidRDefault="002758A8" w:rsidP="00E20F30">
      <w:pPr>
        <w:keepNext/>
        <w:rPr>
          <w:u w:val="single"/>
        </w:rPr>
      </w:pPr>
      <w:r w:rsidRPr="002758A8">
        <w:rPr>
          <w:u w:val="single"/>
        </w:rPr>
        <w:t>Treatment of acute attacks model (cost-minimisation analysis</w:t>
      </w:r>
      <w:proofErr w:type="gramStart"/>
      <w:r w:rsidRPr="002758A8">
        <w:rPr>
          <w:u w:val="single"/>
        </w:rPr>
        <w:t>)</w:t>
      </w:r>
      <w:proofErr w:type="gramEnd"/>
      <w:r w:rsidRPr="002758A8">
        <w:rPr>
          <w:u w:val="single"/>
        </w:rPr>
        <w:br/>
      </w:r>
      <w:r w:rsidRPr="002758A8">
        <w:t xml:space="preserve">The results of the acute attack analyses are presented </w:t>
      </w:r>
      <w:r w:rsidR="00694838">
        <w:t>in Table 7</w:t>
      </w:r>
      <w:r w:rsidRPr="002758A8">
        <w:t xml:space="preserve">. The analyses took into consideration the average number of vials required to treat an acute attack plus the need for re-dosing in a proportion of patients as well as other health care resources depending on attack severity. The base case analysis assumed that the average cost of an initial dose of </w:t>
      </w:r>
      <w:proofErr w:type="spellStart"/>
      <w:r w:rsidRPr="002758A8">
        <w:t>Cinryze</w:t>
      </w:r>
      <w:proofErr w:type="spellEnd"/>
      <w:r w:rsidRPr="002758A8">
        <w:t xml:space="preserve"> is $</w:t>
      </w:r>
      <w:r w:rsidR="00155940" w:rsidRPr="00155940">
        <w:rPr>
          <w:b/>
        </w:rPr>
        <w:t>redacted</w:t>
      </w:r>
      <w:r w:rsidR="00BE4198">
        <w:rPr>
          <w:b/>
          <w:color w:val="FFFFFF" w:themeColor="background1"/>
        </w:rPr>
        <w:t xml:space="preserve"> </w:t>
      </w:r>
      <w:r w:rsidRPr="002758A8">
        <w:t>(2 x 500 U vials at $</w:t>
      </w:r>
      <w:r w:rsidR="00155940" w:rsidRPr="00155940">
        <w:rPr>
          <w:b/>
        </w:rPr>
        <w:t>redacted</w:t>
      </w:r>
      <w:r w:rsidRPr="002758A8">
        <w:t>/vial), or $</w:t>
      </w:r>
      <w:r w:rsidR="00DB6CC3" w:rsidRPr="00155940">
        <w:rPr>
          <w:b/>
        </w:rPr>
        <w:t>redacted</w:t>
      </w:r>
      <w:r w:rsidR="00BE4198">
        <w:rPr>
          <w:b/>
          <w:color w:val="FFFFFF" w:themeColor="background1"/>
        </w:rPr>
        <w:t xml:space="preserve"> </w:t>
      </w:r>
      <w:r w:rsidRPr="002758A8">
        <w:t xml:space="preserve">with re-dosing in 30.9% of patients. The total average cost of an initial dose of </w:t>
      </w:r>
      <w:proofErr w:type="spellStart"/>
      <w:r w:rsidRPr="002758A8">
        <w:t>Berinert</w:t>
      </w:r>
      <w:proofErr w:type="spellEnd"/>
      <w:r w:rsidRPr="002758A8">
        <w:t xml:space="preserve"> is $</w:t>
      </w:r>
      <w:r w:rsidR="00DB6CC3" w:rsidRPr="00155940">
        <w:rPr>
          <w:b/>
        </w:rPr>
        <w:t>redacted</w:t>
      </w:r>
      <w:r w:rsidR="00BE4198">
        <w:rPr>
          <w:b/>
          <w:color w:val="FFFFFF" w:themeColor="background1"/>
        </w:rPr>
        <w:t xml:space="preserve"> </w:t>
      </w:r>
      <w:r w:rsidRPr="002758A8">
        <w:t>(3.1370 x 500 IU vials at $</w:t>
      </w:r>
      <w:r w:rsidR="00DB6CC3" w:rsidRPr="00155940">
        <w:rPr>
          <w:b/>
        </w:rPr>
        <w:t>redacted</w:t>
      </w:r>
      <w:r w:rsidR="00DB6CC3" w:rsidRPr="00560D54" w:rsidDel="00DB6CC3">
        <w:rPr>
          <w:b/>
          <w:color w:val="FFFFFF" w:themeColor="background1"/>
        </w:rPr>
        <w:t xml:space="preserve"> </w:t>
      </w:r>
      <w:r w:rsidRPr="002758A8">
        <w:t>/vial), or $</w:t>
      </w:r>
      <w:r w:rsidR="00DB6CC3" w:rsidRPr="00155940">
        <w:rPr>
          <w:b/>
        </w:rPr>
        <w:t>redacted</w:t>
      </w:r>
      <w:r w:rsidR="00BE4198">
        <w:rPr>
          <w:color w:val="FFFFFF" w:themeColor="background1"/>
        </w:rPr>
        <w:t xml:space="preserve"> </w:t>
      </w:r>
      <w:r w:rsidRPr="002758A8">
        <w:t>with re-dosing in 1% of patients.</w:t>
      </w:r>
    </w:p>
    <w:p w14:paraId="2EB24FCB" w14:textId="77777777" w:rsidR="00E20F30" w:rsidRDefault="00E20F30" w:rsidP="00E20F30"/>
    <w:p w14:paraId="09ABD7EC" w14:textId="1716C0B0" w:rsidR="002758A8" w:rsidRDefault="002758A8" w:rsidP="00E20F30">
      <w:r w:rsidRPr="002758A8">
        <w:t xml:space="preserve">For both </w:t>
      </w:r>
      <w:proofErr w:type="spellStart"/>
      <w:r w:rsidRPr="002758A8">
        <w:t>Cinryze</w:t>
      </w:r>
      <w:proofErr w:type="spellEnd"/>
      <w:r w:rsidRPr="002758A8">
        <w:t xml:space="preserve"> and </w:t>
      </w:r>
      <w:proofErr w:type="spellStart"/>
      <w:r w:rsidRPr="002758A8">
        <w:t>Berinert</w:t>
      </w:r>
      <w:proofErr w:type="spellEnd"/>
      <w:r w:rsidRPr="002758A8">
        <w:t xml:space="preserve">, treatment of acute attacks is associated with a greater cost than treatment with icatibant. To achieve a cost-neutral result, the price per vial of </w:t>
      </w:r>
      <w:proofErr w:type="spellStart"/>
      <w:r w:rsidRPr="002758A8">
        <w:t>Cinryze</w:t>
      </w:r>
      <w:proofErr w:type="spellEnd"/>
      <w:r w:rsidRPr="002758A8">
        <w:t xml:space="preserve"> would need to be reduced from $</w:t>
      </w:r>
      <w:r w:rsidR="00DB6CC3" w:rsidRPr="00155940">
        <w:rPr>
          <w:b/>
        </w:rPr>
        <w:t>redacted</w:t>
      </w:r>
      <w:r w:rsidR="00BE4198">
        <w:rPr>
          <w:color w:val="FFFFFF" w:themeColor="background1"/>
        </w:rPr>
        <w:t xml:space="preserve"> </w:t>
      </w:r>
      <w:r w:rsidRPr="002758A8">
        <w:t>to $</w:t>
      </w:r>
      <w:r w:rsidR="00DB6CC3" w:rsidRPr="00155940">
        <w:rPr>
          <w:b/>
        </w:rPr>
        <w:t>redacted</w:t>
      </w:r>
      <w:r w:rsidR="00DB6CC3" w:rsidRPr="00560D54" w:rsidDel="00DB6CC3">
        <w:rPr>
          <w:b/>
          <w:color w:val="FFFFFF" w:themeColor="background1"/>
        </w:rPr>
        <w:t xml:space="preserve"> </w:t>
      </w:r>
      <w:r w:rsidRPr="002758A8">
        <w:t xml:space="preserve">under the current set of assumptions, while the price per vial of </w:t>
      </w:r>
      <w:proofErr w:type="spellStart"/>
      <w:r w:rsidRPr="002758A8">
        <w:t>Berinert</w:t>
      </w:r>
      <w:proofErr w:type="spellEnd"/>
      <w:r w:rsidRPr="002758A8">
        <w:t xml:space="preserve"> would need to be reduced from $</w:t>
      </w:r>
      <w:r w:rsidR="00DB6CC3" w:rsidRPr="00155940">
        <w:rPr>
          <w:b/>
        </w:rPr>
        <w:t>redacted</w:t>
      </w:r>
      <w:r w:rsidR="00BE4198">
        <w:rPr>
          <w:color w:val="FFFFFF" w:themeColor="background1"/>
        </w:rPr>
        <w:t xml:space="preserve"> </w:t>
      </w:r>
      <w:r w:rsidRPr="002758A8">
        <w:t>to $</w:t>
      </w:r>
      <w:r w:rsidR="00DB6CC3" w:rsidRPr="00155940">
        <w:rPr>
          <w:b/>
        </w:rPr>
        <w:t>redacted</w:t>
      </w:r>
      <w:r w:rsidRPr="002758A8">
        <w:t>. Note that these reductions would be smaller if a difference in attack rates or attack severity could be proven. Without such a benefit, the cost difference is driven by the cost of the medication only.</w:t>
      </w:r>
    </w:p>
    <w:p w14:paraId="2087280E" w14:textId="77777777" w:rsidR="00E20F30" w:rsidRPr="002758A8" w:rsidRDefault="00E20F30" w:rsidP="00E20F30"/>
    <w:p w14:paraId="78A0F4FC" w14:textId="5EB1D409" w:rsidR="0033217F" w:rsidRPr="002758A8" w:rsidRDefault="002758A8" w:rsidP="00B5763C">
      <w:pPr>
        <w:keepNext/>
        <w:jc w:val="both"/>
        <w:rPr>
          <w:rFonts w:ascii="Arial Narrow" w:eastAsiaTheme="minorHAnsi" w:hAnsi="Arial Narrow" w:cstheme="minorBidi"/>
          <w:b/>
          <w:iCs/>
          <w:sz w:val="20"/>
          <w:szCs w:val="18"/>
          <w:lang w:eastAsia="en-US"/>
        </w:rPr>
      </w:pPr>
      <w:bookmarkStart w:id="27" w:name="_Ref416444463"/>
      <w:bookmarkStart w:id="28" w:name="_Toc417862290"/>
      <w:bookmarkStart w:id="29" w:name="_Toc419428692"/>
      <w:r w:rsidRPr="002758A8">
        <w:rPr>
          <w:rFonts w:ascii="Arial Narrow" w:eastAsiaTheme="minorHAnsi" w:hAnsi="Arial Narrow" w:cstheme="minorBidi"/>
          <w:b/>
          <w:iCs/>
          <w:sz w:val="20"/>
          <w:szCs w:val="18"/>
          <w:lang w:eastAsia="en-US"/>
        </w:rPr>
        <w:t>Table</w:t>
      </w:r>
      <w:bookmarkEnd w:id="27"/>
      <w:r w:rsidR="000D57A3">
        <w:rPr>
          <w:rFonts w:ascii="Arial Narrow" w:eastAsiaTheme="minorHAnsi" w:hAnsi="Arial Narrow" w:cstheme="minorBidi"/>
          <w:b/>
          <w:iCs/>
          <w:sz w:val="20"/>
          <w:szCs w:val="18"/>
          <w:lang w:eastAsia="en-US"/>
        </w:rPr>
        <w:t xml:space="preserve"> 7</w:t>
      </w:r>
      <w:r w:rsidRPr="002758A8">
        <w:rPr>
          <w:rFonts w:ascii="Arial Narrow" w:eastAsiaTheme="minorHAnsi" w:hAnsi="Arial Narrow" w:cstheme="minorBidi"/>
          <w:b/>
          <w:iCs/>
          <w:sz w:val="20"/>
          <w:szCs w:val="18"/>
          <w:lang w:eastAsia="en-US"/>
        </w:rPr>
        <w:tab/>
        <w:t>C1-INH concentrate (manufacturer’s requested price) versus icatibant: treatment of acute attacks</w:t>
      </w:r>
      <w:bookmarkEnd w:id="28"/>
      <w:bookmarkEnd w:id="29"/>
    </w:p>
    <w:tbl>
      <w:tblPr>
        <w:tblStyle w:val="TableGrid3"/>
        <w:tblpPr w:leftFromText="180" w:rightFromText="180" w:vertAnchor="text" w:horzAnchor="margin" w:tblpX="108" w:tblpY="113"/>
        <w:tblW w:w="4720" w:type="pct"/>
        <w:tblLook w:val="04A0" w:firstRow="1" w:lastRow="0" w:firstColumn="1" w:lastColumn="0" w:noHBand="0" w:noVBand="1"/>
        <w:tblCaption w:val="C1-INH concentrate versus icatibant"/>
        <w:tblDescription w:val="C1-INH concentrate (manufacturer’s requested price) versus icatibant: treatment of acute attacks"/>
      </w:tblPr>
      <w:tblGrid>
        <w:gridCol w:w="3513"/>
        <w:gridCol w:w="2404"/>
        <w:gridCol w:w="2807"/>
      </w:tblGrid>
      <w:tr w:rsidR="002758A8" w:rsidRPr="002758A8" w14:paraId="06A33EA3" w14:textId="77777777" w:rsidTr="002758A8">
        <w:trPr>
          <w:tblHeader/>
        </w:trPr>
        <w:tc>
          <w:tcPr>
            <w:tcW w:w="2013" w:type="pct"/>
            <w:tcBorders>
              <w:bottom w:val="single" w:sz="4" w:space="0" w:color="auto"/>
            </w:tcBorders>
            <w:vAlign w:val="bottom"/>
          </w:tcPr>
          <w:p w14:paraId="4DA02C57" w14:textId="77777777" w:rsidR="002758A8" w:rsidRPr="002758A8" w:rsidRDefault="002758A8" w:rsidP="002758A8">
            <w:pPr>
              <w:spacing w:before="20"/>
              <w:rPr>
                <w:rFonts w:ascii="Arial Narrow" w:eastAsiaTheme="minorEastAsia" w:hAnsi="Arial Narrow"/>
                <w:b/>
                <w:sz w:val="20"/>
                <w:lang w:eastAsia="en-US"/>
              </w:rPr>
            </w:pPr>
            <w:r w:rsidRPr="002758A8">
              <w:rPr>
                <w:rFonts w:ascii="Arial Narrow" w:eastAsiaTheme="minorEastAsia" w:hAnsi="Arial Narrow"/>
                <w:b/>
                <w:sz w:val="20"/>
                <w:lang w:eastAsia="en-US"/>
              </w:rPr>
              <w:t>Total cost per acute HAE attack</w:t>
            </w:r>
          </w:p>
        </w:tc>
        <w:tc>
          <w:tcPr>
            <w:tcW w:w="1378" w:type="pct"/>
            <w:tcBorders>
              <w:bottom w:val="single" w:sz="4" w:space="0" w:color="auto"/>
            </w:tcBorders>
            <w:vAlign w:val="bottom"/>
          </w:tcPr>
          <w:p w14:paraId="14D1E571" w14:textId="77777777" w:rsidR="002758A8" w:rsidRPr="002758A8" w:rsidRDefault="002758A8" w:rsidP="002758A8">
            <w:pPr>
              <w:spacing w:before="20"/>
              <w:jc w:val="center"/>
              <w:rPr>
                <w:rFonts w:ascii="Arial Narrow" w:eastAsiaTheme="minorEastAsia" w:hAnsi="Arial Narrow"/>
                <w:b/>
                <w:sz w:val="20"/>
                <w:lang w:eastAsia="en-US"/>
              </w:rPr>
            </w:pPr>
            <w:r w:rsidRPr="002758A8">
              <w:rPr>
                <w:rFonts w:ascii="Arial Narrow" w:eastAsiaTheme="minorEastAsia" w:hAnsi="Arial Narrow"/>
                <w:b/>
                <w:sz w:val="20"/>
                <w:lang w:eastAsia="en-US"/>
              </w:rPr>
              <w:t>C1-INH concentrate</w:t>
            </w:r>
          </w:p>
        </w:tc>
        <w:tc>
          <w:tcPr>
            <w:tcW w:w="1609" w:type="pct"/>
            <w:tcBorders>
              <w:bottom w:val="single" w:sz="4" w:space="0" w:color="auto"/>
            </w:tcBorders>
            <w:vAlign w:val="bottom"/>
          </w:tcPr>
          <w:p w14:paraId="535BDFBD" w14:textId="77777777" w:rsidR="002758A8" w:rsidRPr="002758A8" w:rsidRDefault="002758A8" w:rsidP="002758A8">
            <w:pPr>
              <w:spacing w:before="20"/>
              <w:jc w:val="center"/>
              <w:rPr>
                <w:rFonts w:ascii="Arial Narrow" w:eastAsiaTheme="minorEastAsia" w:hAnsi="Arial Narrow"/>
                <w:b/>
                <w:sz w:val="20"/>
                <w:lang w:eastAsia="en-US"/>
              </w:rPr>
            </w:pPr>
            <w:r w:rsidRPr="002758A8">
              <w:rPr>
                <w:rFonts w:ascii="Arial Narrow" w:eastAsiaTheme="minorEastAsia" w:hAnsi="Arial Narrow"/>
                <w:b/>
                <w:sz w:val="20"/>
                <w:lang w:eastAsia="en-US"/>
              </w:rPr>
              <w:t>Icatibant</w:t>
            </w:r>
          </w:p>
        </w:tc>
      </w:tr>
      <w:tr w:rsidR="002758A8" w:rsidRPr="002758A8" w14:paraId="1E9486E3" w14:textId="77777777" w:rsidTr="002758A8">
        <w:tc>
          <w:tcPr>
            <w:tcW w:w="2013" w:type="pct"/>
            <w:tcBorders>
              <w:bottom w:val="single" w:sz="4" w:space="0" w:color="auto"/>
            </w:tcBorders>
            <w:vAlign w:val="bottom"/>
          </w:tcPr>
          <w:p w14:paraId="3FA6B90C" w14:textId="77777777" w:rsidR="002758A8" w:rsidRPr="002758A8" w:rsidRDefault="002758A8" w:rsidP="002758A8">
            <w:pPr>
              <w:keepNext/>
              <w:spacing w:before="20"/>
              <w:rPr>
                <w:rFonts w:ascii="Arial Narrow" w:eastAsiaTheme="minorEastAsia" w:hAnsi="Arial Narrow"/>
                <w:sz w:val="20"/>
                <w:lang w:eastAsia="en-US"/>
              </w:rPr>
            </w:pPr>
            <w:proofErr w:type="spellStart"/>
            <w:r w:rsidRPr="002758A8">
              <w:rPr>
                <w:rFonts w:ascii="Arial Narrow" w:eastAsiaTheme="minorEastAsia" w:hAnsi="Arial Narrow"/>
                <w:sz w:val="20"/>
                <w:lang w:eastAsia="en-US"/>
              </w:rPr>
              <w:t>Cinryze</w:t>
            </w:r>
            <w:proofErr w:type="spellEnd"/>
          </w:p>
        </w:tc>
        <w:tc>
          <w:tcPr>
            <w:tcW w:w="1378" w:type="pct"/>
            <w:tcBorders>
              <w:bottom w:val="single" w:sz="4" w:space="0" w:color="auto"/>
            </w:tcBorders>
            <w:vAlign w:val="bottom"/>
          </w:tcPr>
          <w:p w14:paraId="7A15E649" w14:textId="024DC998" w:rsidR="002758A8" w:rsidRPr="002A78A4" w:rsidRDefault="00B5763C" w:rsidP="002758A8">
            <w:pPr>
              <w:spacing w:before="20"/>
              <w:jc w:val="center"/>
              <w:rPr>
                <w:rFonts w:ascii="Arial Narrow" w:eastAsiaTheme="minorEastAsia" w:hAnsi="Arial Narrow"/>
                <w:color w:val="FFFFFF" w:themeColor="background1"/>
                <w:sz w:val="20"/>
                <w:highlight w:val="black"/>
                <w:lang w:eastAsia="en-US"/>
              </w:rPr>
            </w:pPr>
            <w:r w:rsidRPr="00155940">
              <w:rPr>
                <w:b/>
              </w:rPr>
              <w:t>redacted</w:t>
            </w:r>
          </w:p>
        </w:tc>
        <w:tc>
          <w:tcPr>
            <w:tcW w:w="1609" w:type="pct"/>
            <w:tcBorders>
              <w:bottom w:val="single" w:sz="4" w:space="0" w:color="auto"/>
            </w:tcBorders>
            <w:vAlign w:val="bottom"/>
          </w:tcPr>
          <w:p w14:paraId="3530720F" w14:textId="66D059EC" w:rsidR="002758A8" w:rsidRPr="002A78A4" w:rsidRDefault="00B5763C" w:rsidP="002758A8">
            <w:pPr>
              <w:keepNext/>
              <w:spacing w:before="20"/>
              <w:jc w:val="center"/>
              <w:rPr>
                <w:rFonts w:ascii="Arial Narrow" w:eastAsiaTheme="minorEastAsia" w:hAnsi="Arial Narrow"/>
                <w:color w:val="FFFFFF" w:themeColor="background1"/>
                <w:sz w:val="20"/>
                <w:highlight w:val="black"/>
                <w:lang w:eastAsia="en-US"/>
              </w:rPr>
            </w:pPr>
            <w:r w:rsidRPr="00155940">
              <w:rPr>
                <w:b/>
              </w:rPr>
              <w:t>redacted</w:t>
            </w:r>
          </w:p>
        </w:tc>
      </w:tr>
      <w:tr w:rsidR="002758A8" w:rsidRPr="002758A8" w14:paraId="14CEA5D4" w14:textId="77777777" w:rsidTr="002758A8">
        <w:tc>
          <w:tcPr>
            <w:tcW w:w="2013" w:type="pct"/>
            <w:tcBorders>
              <w:bottom w:val="single" w:sz="4" w:space="0" w:color="auto"/>
            </w:tcBorders>
          </w:tcPr>
          <w:p w14:paraId="43077959" w14:textId="77777777" w:rsidR="002758A8" w:rsidRPr="002758A8" w:rsidRDefault="002758A8" w:rsidP="002758A8">
            <w:pPr>
              <w:keepNext/>
              <w:spacing w:before="20"/>
              <w:rPr>
                <w:rFonts w:ascii="Arial Narrow" w:eastAsiaTheme="minorEastAsia" w:hAnsi="Arial Narrow"/>
                <w:sz w:val="20"/>
                <w:lang w:eastAsia="en-US"/>
              </w:rPr>
            </w:pPr>
            <w:proofErr w:type="spellStart"/>
            <w:r w:rsidRPr="002758A8">
              <w:rPr>
                <w:rFonts w:ascii="Arial Narrow" w:eastAsiaTheme="minorEastAsia" w:hAnsi="Arial Narrow"/>
                <w:sz w:val="20"/>
                <w:lang w:eastAsia="en-US"/>
              </w:rPr>
              <w:t>Berinert</w:t>
            </w:r>
            <w:proofErr w:type="spellEnd"/>
          </w:p>
        </w:tc>
        <w:tc>
          <w:tcPr>
            <w:tcW w:w="1378" w:type="pct"/>
            <w:tcBorders>
              <w:bottom w:val="single" w:sz="4" w:space="0" w:color="auto"/>
            </w:tcBorders>
          </w:tcPr>
          <w:p w14:paraId="10C71EBB" w14:textId="3F058A70" w:rsidR="002758A8" w:rsidRPr="002A78A4" w:rsidRDefault="00B5763C" w:rsidP="002758A8">
            <w:pPr>
              <w:keepNext/>
              <w:spacing w:before="20"/>
              <w:jc w:val="center"/>
              <w:rPr>
                <w:rFonts w:ascii="Arial Narrow" w:eastAsiaTheme="minorEastAsia" w:hAnsi="Arial Narrow"/>
                <w:color w:val="FFFFFF" w:themeColor="background1"/>
                <w:sz w:val="20"/>
                <w:highlight w:val="black"/>
                <w:lang w:eastAsia="en-US"/>
              </w:rPr>
            </w:pPr>
            <w:r w:rsidRPr="00155940">
              <w:rPr>
                <w:b/>
              </w:rPr>
              <w:t>redacted</w:t>
            </w:r>
          </w:p>
        </w:tc>
        <w:tc>
          <w:tcPr>
            <w:tcW w:w="1609" w:type="pct"/>
            <w:tcBorders>
              <w:bottom w:val="single" w:sz="4" w:space="0" w:color="auto"/>
            </w:tcBorders>
          </w:tcPr>
          <w:p w14:paraId="41F2A5C7" w14:textId="2A19F472" w:rsidR="002758A8" w:rsidRPr="002A78A4" w:rsidRDefault="00B5763C" w:rsidP="002758A8">
            <w:pPr>
              <w:keepNext/>
              <w:spacing w:before="20"/>
              <w:jc w:val="center"/>
              <w:rPr>
                <w:rFonts w:ascii="Arial Narrow" w:eastAsiaTheme="minorEastAsia" w:hAnsi="Arial Narrow"/>
                <w:color w:val="FFFFFF" w:themeColor="background1"/>
                <w:sz w:val="20"/>
                <w:highlight w:val="black"/>
                <w:lang w:eastAsia="en-US"/>
              </w:rPr>
            </w:pPr>
            <w:r w:rsidRPr="00155940">
              <w:rPr>
                <w:b/>
              </w:rPr>
              <w:t>redacted</w:t>
            </w:r>
          </w:p>
        </w:tc>
      </w:tr>
    </w:tbl>
    <w:p w14:paraId="56BC6405" w14:textId="6A8F2266" w:rsidR="002758A8" w:rsidRPr="002758A8" w:rsidRDefault="002758A8" w:rsidP="00E20F30">
      <w:pPr>
        <w:rPr>
          <w:rFonts w:ascii="Arial Narrow" w:eastAsia="Calibri" w:hAnsi="Arial Narrow"/>
          <w:sz w:val="16"/>
          <w:szCs w:val="16"/>
          <w:lang w:eastAsia="en-US"/>
        </w:rPr>
      </w:pPr>
      <w:r w:rsidRPr="002758A8">
        <w:rPr>
          <w:rFonts w:ascii="Arial Narrow" w:eastAsia="Calibri" w:hAnsi="Arial Narrow"/>
          <w:b/>
          <w:sz w:val="16"/>
          <w:szCs w:val="16"/>
          <w:lang w:eastAsia="en-US"/>
        </w:rPr>
        <w:t>Source:</w:t>
      </w:r>
      <w:r w:rsidRPr="002758A8">
        <w:rPr>
          <w:rFonts w:ascii="Arial Narrow" w:eastAsia="Calibri" w:hAnsi="Arial Narrow"/>
          <w:sz w:val="16"/>
          <w:szCs w:val="16"/>
          <w:lang w:eastAsia="en-US"/>
        </w:rPr>
        <w:t xml:space="preserve"> Disaggregated costs are shown in </w:t>
      </w:r>
      <w:r w:rsidR="002F2D67">
        <w:rPr>
          <w:rFonts w:ascii="Arial Narrow" w:eastAsia="Calibri" w:hAnsi="Arial Narrow"/>
          <w:sz w:val="16"/>
          <w:szCs w:val="16"/>
          <w:lang w:eastAsia="en-US"/>
        </w:rPr>
        <w:t xml:space="preserve">Table B.6.4 </w:t>
      </w:r>
      <w:r w:rsidRPr="002758A8">
        <w:rPr>
          <w:rFonts w:ascii="Arial Narrow" w:eastAsia="Calibri" w:hAnsi="Arial Narrow"/>
          <w:sz w:val="16"/>
          <w:szCs w:val="16"/>
          <w:lang w:eastAsia="en-US"/>
        </w:rPr>
        <w:t xml:space="preserve">and </w:t>
      </w:r>
      <w:r w:rsidR="00D12188">
        <w:rPr>
          <w:rFonts w:ascii="Arial Narrow" w:eastAsia="Calibri" w:hAnsi="Arial Narrow"/>
          <w:sz w:val="16"/>
          <w:szCs w:val="16"/>
          <w:lang w:eastAsia="en-US"/>
        </w:rPr>
        <w:t>Table B</w:t>
      </w:r>
      <w:r w:rsidR="0025549B">
        <w:rPr>
          <w:rFonts w:ascii="Arial Narrow" w:eastAsia="Calibri" w:hAnsi="Arial Narrow"/>
          <w:sz w:val="16"/>
          <w:szCs w:val="16"/>
          <w:lang w:eastAsia="en-US"/>
        </w:rPr>
        <w:t xml:space="preserve">.6.4 </w:t>
      </w:r>
      <w:r w:rsidRPr="002758A8">
        <w:rPr>
          <w:rFonts w:ascii="Arial Narrow" w:eastAsia="Calibri" w:hAnsi="Arial Narrow"/>
          <w:sz w:val="16"/>
          <w:szCs w:val="16"/>
          <w:lang w:eastAsia="en-US"/>
        </w:rPr>
        <w:t xml:space="preserve">of the Assessment Report. The disaggregated costs for the “cost-neutral” pricing analysis are shown </w:t>
      </w:r>
      <w:proofErr w:type="spellStart"/>
      <w:r w:rsidRPr="002758A8">
        <w:rPr>
          <w:rFonts w:ascii="Arial Narrow" w:eastAsia="Calibri" w:hAnsi="Arial Narrow"/>
          <w:sz w:val="16"/>
          <w:szCs w:val="16"/>
          <w:lang w:eastAsia="en-US"/>
        </w:rPr>
        <w:t>in</w:t>
      </w:r>
      <w:r w:rsidR="0025549B">
        <w:rPr>
          <w:rFonts w:ascii="Arial Narrow" w:eastAsia="Calibri" w:hAnsi="Arial Narrow"/>
          <w:sz w:val="16"/>
          <w:szCs w:val="16"/>
          <w:lang w:eastAsia="en-US"/>
        </w:rPr>
        <w:t>Table</w:t>
      </w:r>
      <w:proofErr w:type="spellEnd"/>
      <w:r w:rsidR="0025549B">
        <w:rPr>
          <w:rFonts w:ascii="Arial Narrow" w:eastAsia="Calibri" w:hAnsi="Arial Narrow"/>
          <w:sz w:val="16"/>
          <w:szCs w:val="16"/>
          <w:lang w:eastAsia="en-US"/>
        </w:rPr>
        <w:t xml:space="preserve"> D.5.</w:t>
      </w:r>
      <w:r w:rsidR="00B34DF1">
        <w:rPr>
          <w:rFonts w:ascii="Arial Narrow" w:eastAsia="Calibri" w:hAnsi="Arial Narrow"/>
          <w:sz w:val="16"/>
          <w:szCs w:val="16"/>
          <w:lang w:eastAsia="en-US"/>
        </w:rPr>
        <w:t>3</w:t>
      </w:r>
      <w:r w:rsidRPr="002758A8">
        <w:rPr>
          <w:rFonts w:ascii="Arial Narrow" w:eastAsia="Calibri" w:hAnsi="Arial Narrow"/>
          <w:sz w:val="16"/>
          <w:szCs w:val="16"/>
          <w:lang w:eastAsia="en-US"/>
        </w:rPr>
        <w:t xml:space="preserve"> and </w:t>
      </w:r>
      <w:r w:rsidR="002F2D67">
        <w:rPr>
          <w:rFonts w:ascii="Arial Narrow" w:eastAsia="Calibri" w:hAnsi="Arial Narrow"/>
          <w:sz w:val="16"/>
          <w:szCs w:val="16"/>
          <w:lang w:eastAsia="en-US"/>
        </w:rPr>
        <w:t xml:space="preserve">Table D.5.4 </w:t>
      </w:r>
      <w:r w:rsidRPr="002758A8">
        <w:rPr>
          <w:rFonts w:ascii="Arial Narrow" w:eastAsia="Calibri" w:hAnsi="Arial Narrow"/>
          <w:sz w:val="16"/>
          <w:szCs w:val="16"/>
          <w:lang w:eastAsia="en-US"/>
        </w:rPr>
        <w:t>of the Assessment Report.</w:t>
      </w:r>
    </w:p>
    <w:p w14:paraId="145601E4" w14:textId="77777777" w:rsidR="00E20F30" w:rsidRDefault="00E20F30" w:rsidP="00E20F30">
      <w:bookmarkStart w:id="30" w:name="_Ref416443855"/>
    </w:p>
    <w:p w14:paraId="429334C9" w14:textId="77777777" w:rsidR="002758A8" w:rsidRDefault="002758A8" w:rsidP="00E20F30">
      <w:r w:rsidRPr="002758A8">
        <w:lastRenderedPageBreak/>
        <w:t xml:space="preserve">The acute attack model appears to be sensitive to the number of vials required for each treatment, the re-dosing assumptions and the proportion of individuals who use self-administration. It is noted that there are poor data supporting each of these assumptions in the base case and the result of the base case analysis should, therefore, be interpreted with caution. In particular, the uncertainty around the number of vials of </w:t>
      </w:r>
      <w:proofErr w:type="spellStart"/>
      <w:r w:rsidRPr="002758A8">
        <w:t>Berinert</w:t>
      </w:r>
      <w:proofErr w:type="spellEnd"/>
      <w:r w:rsidRPr="002758A8">
        <w:t xml:space="preserve"> required to adequately treat patients suffering an acute attack could have a profound impact on the conclusions drawn.</w:t>
      </w:r>
    </w:p>
    <w:p w14:paraId="245CDC43" w14:textId="77777777" w:rsidR="00E20F30" w:rsidRPr="002758A8" w:rsidRDefault="00E20F30" w:rsidP="00E20F30"/>
    <w:p w14:paraId="197AB6A2" w14:textId="714F0C56" w:rsidR="002758A8" w:rsidRDefault="002758A8" w:rsidP="00E20F30">
      <w:r w:rsidRPr="002758A8">
        <w:t xml:space="preserve">Of relevance to considerations of setting, if the proportion of patients that self-administer C1-INH </w:t>
      </w:r>
      <w:r w:rsidR="00D932DD">
        <w:t xml:space="preserve">concentrate </w:t>
      </w:r>
      <w:r w:rsidRPr="002758A8">
        <w:t xml:space="preserve">is reduced from 100% to 25%, the incremental cost of </w:t>
      </w:r>
      <w:proofErr w:type="spellStart"/>
      <w:r w:rsidRPr="002758A8">
        <w:t>Cinryze</w:t>
      </w:r>
      <w:proofErr w:type="spellEnd"/>
      <w:r w:rsidRPr="002758A8">
        <w:t xml:space="preserve"> over </w:t>
      </w:r>
      <w:proofErr w:type="spellStart"/>
      <w:r w:rsidRPr="002758A8">
        <w:t>icatibant</w:t>
      </w:r>
      <w:proofErr w:type="spellEnd"/>
      <w:r w:rsidRPr="002758A8">
        <w:t xml:space="preserve"> decreases from $</w:t>
      </w:r>
      <w:r w:rsidR="00B5763C" w:rsidRPr="00155940">
        <w:rPr>
          <w:b/>
        </w:rPr>
        <w:t>redacted</w:t>
      </w:r>
      <w:r w:rsidR="00BE4198">
        <w:rPr>
          <w:b/>
          <w:color w:val="FFFFFF" w:themeColor="background1"/>
        </w:rPr>
        <w:t xml:space="preserve"> </w:t>
      </w:r>
      <w:r w:rsidRPr="002758A8">
        <w:t>to $</w:t>
      </w:r>
      <w:r w:rsidR="00B5763C" w:rsidRPr="00155940">
        <w:rPr>
          <w:b/>
        </w:rPr>
        <w:t>redacted</w:t>
      </w:r>
      <w:r w:rsidRPr="002758A8">
        <w:t xml:space="preserve">, and the incremental cost of </w:t>
      </w:r>
      <w:proofErr w:type="spellStart"/>
      <w:r w:rsidRPr="002758A8">
        <w:t>Berinert</w:t>
      </w:r>
      <w:proofErr w:type="spellEnd"/>
      <w:r w:rsidRPr="002758A8">
        <w:t xml:space="preserve"> over </w:t>
      </w:r>
      <w:proofErr w:type="spellStart"/>
      <w:r w:rsidRPr="002758A8">
        <w:t>icatibant</w:t>
      </w:r>
      <w:proofErr w:type="spellEnd"/>
      <w:r w:rsidRPr="002758A8">
        <w:t xml:space="preserve"> decreases from $</w:t>
      </w:r>
      <w:r w:rsidR="00B5763C" w:rsidRPr="00155940">
        <w:rPr>
          <w:b/>
        </w:rPr>
        <w:t>redacted</w:t>
      </w:r>
      <w:r w:rsidR="00BE4198">
        <w:rPr>
          <w:color w:val="FFFFFF" w:themeColor="background1"/>
        </w:rPr>
        <w:t xml:space="preserve"> </w:t>
      </w:r>
      <w:r w:rsidRPr="002758A8">
        <w:t>to $</w:t>
      </w:r>
      <w:r w:rsidR="00B5763C" w:rsidRPr="00155940">
        <w:rPr>
          <w:b/>
        </w:rPr>
        <w:t>redacted</w:t>
      </w:r>
      <w:r w:rsidRPr="002758A8">
        <w:t>.</w:t>
      </w:r>
    </w:p>
    <w:p w14:paraId="13BD127C" w14:textId="77777777" w:rsidR="00E20F30" w:rsidRPr="002758A8" w:rsidRDefault="00E20F30" w:rsidP="00E20F30"/>
    <w:p w14:paraId="577AEA46" w14:textId="77777777" w:rsidR="002758A8" w:rsidRDefault="002758A8" w:rsidP="00E20F30">
      <w:pPr>
        <w:keepNext/>
      </w:pPr>
      <w:r w:rsidRPr="002758A8">
        <w:rPr>
          <w:u w:val="single"/>
        </w:rPr>
        <w:t>Pre-procedural prophylaxis model (cost-minimisation analysis</w:t>
      </w:r>
      <w:proofErr w:type="gramStart"/>
      <w:r w:rsidRPr="002758A8">
        <w:rPr>
          <w:u w:val="single"/>
        </w:rPr>
        <w:t>)</w:t>
      </w:r>
      <w:proofErr w:type="gramEnd"/>
      <w:r w:rsidRPr="002758A8">
        <w:rPr>
          <w:u w:val="single"/>
        </w:rPr>
        <w:br/>
      </w:r>
      <w:r w:rsidRPr="002758A8">
        <w:t>This model compared C1-INH concentrate being available in the NPSL for pre-procedural prophylaxis with hospital-funded and administered C1-INH concentrate. In the intervention arm, community use C1-INH concentrate is assumed for 50% of individuals (hospital-administered C1-INH concentrate is assumed for the other 50%), while the comparator arm assumes 100% hospital-administration in the base case. Alternative assumptions regarding community-administered C1-INH concentrate are tested in sensitivity analyses in Section D.6 of the Assessment Report, together with varying assumptions around the proportion of patients not receiving pre-procedural prophylaxis.</w:t>
      </w:r>
    </w:p>
    <w:p w14:paraId="217A675B" w14:textId="77777777" w:rsidR="00E20F30" w:rsidRPr="00E20F30" w:rsidRDefault="00E20F30" w:rsidP="00E20F30"/>
    <w:p w14:paraId="6FDBE56C" w14:textId="77777777" w:rsidR="002758A8" w:rsidRDefault="002758A8" w:rsidP="00E20F30">
      <w:r w:rsidRPr="002758A8">
        <w:t>The model assumed that major surgical and dental procedures are associated with a risk of HAE attacks, although there is a lower risk in patients who receive prophylaxis. In those who suffer an attack, a mix of medication and other treatment is administered until the attack is resolved. The resources required are a function of the severity of the attack. Individuals costs are tracked within the model until their attack-free procedure or until the attack is resolved.</w:t>
      </w:r>
    </w:p>
    <w:p w14:paraId="61FD587E" w14:textId="77777777" w:rsidR="00E20F30" w:rsidRPr="002758A8" w:rsidRDefault="00E20F30" w:rsidP="00E20F30"/>
    <w:p w14:paraId="4F38C824" w14:textId="3DF85750" w:rsidR="002758A8" w:rsidRDefault="002758A8" w:rsidP="00E20F30">
      <w:r w:rsidRPr="002758A8">
        <w:t xml:space="preserve">The results of the pre-procedural prophylaxis analyses are provided in </w:t>
      </w:r>
      <w:r w:rsidR="00694838">
        <w:t>Table 8</w:t>
      </w:r>
      <w:r w:rsidRPr="002758A8">
        <w:t>. Where community use of C1-INH concentrate is available, there is a cost saving of $</w:t>
      </w:r>
      <w:r w:rsidR="00B5763C" w:rsidRPr="00155940">
        <w:rPr>
          <w:b/>
        </w:rPr>
        <w:t>redacted</w:t>
      </w:r>
      <w:r w:rsidR="00BE4198">
        <w:rPr>
          <w:b/>
          <w:color w:val="FFFFFF" w:themeColor="background1"/>
        </w:rPr>
        <w:t xml:space="preserve"> </w:t>
      </w:r>
      <w:r w:rsidRPr="002758A8">
        <w:t xml:space="preserve">per breakthrough attack for both products. </w:t>
      </w:r>
      <w:proofErr w:type="spellStart"/>
      <w:r w:rsidRPr="002758A8">
        <w:t>Cinryze</w:t>
      </w:r>
      <w:proofErr w:type="spellEnd"/>
      <w:r w:rsidRPr="002758A8">
        <w:t xml:space="preserve"> and </w:t>
      </w:r>
      <w:proofErr w:type="spellStart"/>
      <w:r w:rsidRPr="002758A8">
        <w:t>Berinert</w:t>
      </w:r>
      <w:proofErr w:type="spellEnd"/>
      <w:r w:rsidRPr="002758A8">
        <w:t xml:space="preserve"> are therefore already cost-minimising at the requested price.</w:t>
      </w:r>
    </w:p>
    <w:p w14:paraId="5062FC45" w14:textId="77777777" w:rsidR="00E20F30" w:rsidRPr="002758A8" w:rsidRDefault="00E20F30" w:rsidP="00E20F30"/>
    <w:p w14:paraId="0074D230" w14:textId="5AE91397" w:rsidR="002758A8" w:rsidRPr="002758A8" w:rsidRDefault="002758A8" w:rsidP="002758A8">
      <w:pPr>
        <w:keepNext/>
        <w:spacing w:before="40" w:after="40"/>
        <w:jc w:val="both"/>
        <w:rPr>
          <w:rFonts w:ascii="Arial Narrow" w:eastAsiaTheme="minorHAnsi" w:hAnsi="Arial Narrow" w:cstheme="minorBidi"/>
          <w:b/>
          <w:iCs/>
          <w:sz w:val="20"/>
          <w:szCs w:val="18"/>
          <w:lang w:eastAsia="en-US"/>
        </w:rPr>
      </w:pPr>
      <w:bookmarkStart w:id="31" w:name="_Ref416444859"/>
      <w:bookmarkStart w:id="32" w:name="_Toc417862291"/>
      <w:bookmarkStart w:id="33" w:name="_Toc419428693"/>
      <w:r w:rsidRPr="002758A8">
        <w:rPr>
          <w:rFonts w:ascii="Arial Narrow" w:eastAsiaTheme="minorHAnsi" w:hAnsi="Arial Narrow" w:cstheme="minorBidi"/>
          <w:b/>
          <w:iCs/>
          <w:sz w:val="20"/>
          <w:szCs w:val="18"/>
          <w:lang w:eastAsia="en-US"/>
        </w:rPr>
        <w:t>Table</w:t>
      </w:r>
      <w:bookmarkEnd w:id="31"/>
      <w:r w:rsidRPr="002758A8">
        <w:rPr>
          <w:rFonts w:ascii="Arial Narrow" w:eastAsiaTheme="minorHAnsi" w:hAnsi="Arial Narrow" w:cstheme="minorBidi"/>
          <w:b/>
          <w:iCs/>
          <w:sz w:val="20"/>
          <w:szCs w:val="18"/>
          <w:lang w:eastAsia="en-US"/>
        </w:rPr>
        <w:t xml:space="preserve"> </w:t>
      </w:r>
      <w:r w:rsidR="000D57A3">
        <w:rPr>
          <w:rFonts w:ascii="Arial Narrow" w:eastAsiaTheme="minorHAnsi" w:hAnsi="Arial Narrow" w:cstheme="minorBidi"/>
          <w:b/>
          <w:iCs/>
          <w:sz w:val="20"/>
          <w:szCs w:val="18"/>
          <w:lang w:eastAsia="en-US"/>
        </w:rPr>
        <w:t>8</w:t>
      </w:r>
      <w:r w:rsidRPr="002758A8">
        <w:rPr>
          <w:rFonts w:ascii="Arial Narrow" w:eastAsiaTheme="minorHAnsi" w:hAnsi="Arial Narrow" w:cstheme="minorBidi"/>
          <w:b/>
          <w:iCs/>
          <w:sz w:val="20"/>
          <w:szCs w:val="18"/>
          <w:lang w:eastAsia="en-US"/>
        </w:rPr>
        <w:tab/>
        <w:t>C1-INH concentrate – community use available versus no community use available (</w:t>
      </w:r>
      <w:proofErr w:type="gramStart"/>
      <w:r w:rsidRPr="002758A8">
        <w:rPr>
          <w:rFonts w:ascii="Arial Narrow" w:eastAsiaTheme="minorHAnsi" w:hAnsi="Arial Narrow" w:cstheme="minorBidi"/>
          <w:b/>
          <w:iCs/>
          <w:sz w:val="20"/>
          <w:szCs w:val="18"/>
          <w:lang w:eastAsia="en-US"/>
        </w:rPr>
        <w:t>manufacturer’s</w:t>
      </w:r>
      <w:proofErr w:type="gramEnd"/>
      <w:r w:rsidRPr="002758A8">
        <w:rPr>
          <w:rFonts w:ascii="Arial Narrow" w:eastAsiaTheme="minorHAnsi" w:hAnsi="Arial Narrow" w:cstheme="minorBidi"/>
          <w:b/>
          <w:iCs/>
          <w:sz w:val="20"/>
          <w:szCs w:val="18"/>
          <w:lang w:eastAsia="en-US"/>
        </w:rPr>
        <w:t xml:space="preserve"> requested price): pre-procedural prophylaxis</w:t>
      </w:r>
      <w:bookmarkEnd w:id="32"/>
      <w:bookmarkEnd w:id="33"/>
      <w:r w:rsidR="00BE4198">
        <w:rPr>
          <w:rFonts w:ascii="Arial Narrow" w:eastAsiaTheme="minorHAnsi" w:hAnsi="Arial Narrow" w:cstheme="minorBidi"/>
          <w:b/>
          <w:iCs/>
          <w:sz w:val="20"/>
          <w:szCs w:val="18"/>
          <w:lang w:eastAsia="en-US"/>
        </w:rPr>
        <w:t xml:space="preserve"> </w:t>
      </w:r>
    </w:p>
    <w:tbl>
      <w:tblPr>
        <w:tblStyle w:val="TableGrid3"/>
        <w:tblpPr w:leftFromText="180" w:rightFromText="180" w:vertAnchor="text" w:horzAnchor="margin" w:tblpX="108" w:tblpY="172"/>
        <w:tblW w:w="9039" w:type="dxa"/>
        <w:tblLook w:val="04A0" w:firstRow="1" w:lastRow="0" w:firstColumn="1" w:lastColumn="0" w:noHBand="0" w:noVBand="1"/>
        <w:tblCaption w:val="C1-INH concentrate – community use available versus no community use available"/>
        <w:tblDescription w:val="C1-INH concentrate – community use available versus no community use available (manufacturer’s requested price): pre-procedural prophylaxis"/>
      </w:tblPr>
      <w:tblGrid>
        <w:gridCol w:w="4219"/>
        <w:gridCol w:w="2335"/>
        <w:gridCol w:w="2485"/>
      </w:tblGrid>
      <w:tr w:rsidR="002758A8" w:rsidRPr="002758A8" w14:paraId="24CC090D" w14:textId="77777777" w:rsidTr="00AD5F8E">
        <w:trPr>
          <w:tblHeader/>
        </w:trPr>
        <w:tc>
          <w:tcPr>
            <w:tcW w:w="4219" w:type="dxa"/>
            <w:tcBorders>
              <w:bottom w:val="single" w:sz="4" w:space="0" w:color="auto"/>
            </w:tcBorders>
            <w:vAlign w:val="bottom"/>
          </w:tcPr>
          <w:p w14:paraId="1CB03D3A" w14:textId="77777777" w:rsidR="002758A8" w:rsidRPr="002758A8" w:rsidRDefault="002758A8" w:rsidP="002758A8">
            <w:pPr>
              <w:spacing w:before="20"/>
              <w:rPr>
                <w:rFonts w:ascii="Arial Narrow" w:eastAsiaTheme="minorEastAsia" w:hAnsi="Arial Narrow"/>
                <w:b/>
                <w:sz w:val="20"/>
                <w:lang w:eastAsia="en-US"/>
              </w:rPr>
            </w:pPr>
            <w:r w:rsidRPr="002758A8">
              <w:rPr>
                <w:rFonts w:ascii="Arial Narrow" w:eastAsiaTheme="minorEastAsia" w:hAnsi="Arial Narrow"/>
                <w:b/>
                <w:sz w:val="20"/>
                <w:lang w:eastAsia="en-US"/>
              </w:rPr>
              <w:t>Total cost of prophylaxis per breakthrough attack</w:t>
            </w:r>
          </w:p>
        </w:tc>
        <w:tc>
          <w:tcPr>
            <w:tcW w:w="2335" w:type="dxa"/>
            <w:tcBorders>
              <w:bottom w:val="single" w:sz="4" w:space="0" w:color="auto"/>
            </w:tcBorders>
            <w:vAlign w:val="bottom"/>
          </w:tcPr>
          <w:p w14:paraId="30299FFB" w14:textId="77777777" w:rsidR="002758A8" w:rsidRPr="002758A8" w:rsidRDefault="002758A8" w:rsidP="00AD5F8E">
            <w:pPr>
              <w:spacing w:before="20"/>
              <w:jc w:val="center"/>
              <w:rPr>
                <w:rFonts w:ascii="Arial Narrow" w:eastAsiaTheme="minorEastAsia" w:hAnsi="Arial Narrow"/>
                <w:b/>
                <w:sz w:val="20"/>
                <w:lang w:eastAsia="en-US"/>
              </w:rPr>
            </w:pPr>
            <w:r w:rsidRPr="002758A8">
              <w:rPr>
                <w:rFonts w:ascii="Arial Narrow" w:eastAsiaTheme="minorEastAsia" w:hAnsi="Arial Narrow"/>
                <w:b/>
                <w:sz w:val="20"/>
                <w:lang w:eastAsia="en-US"/>
              </w:rPr>
              <w:t>With community use available</w:t>
            </w:r>
          </w:p>
        </w:tc>
        <w:tc>
          <w:tcPr>
            <w:tcW w:w="2485" w:type="dxa"/>
            <w:tcBorders>
              <w:bottom w:val="single" w:sz="4" w:space="0" w:color="auto"/>
            </w:tcBorders>
            <w:vAlign w:val="bottom"/>
          </w:tcPr>
          <w:p w14:paraId="47EB3138" w14:textId="77777777" w:rsidR="002758A8" w:rsidRPr="002758A8" w:rsidRDefault="002758A8" w:rsidP="00AD5F8E">
            <w:pPr>
              <w:spacing w:before="20"/>
              <w:jc w:val="center"/>
              <w:rPr>
                <w:rFonts w:ascii="Arial Narrow" w:eastAsiaTheme="minorEastAsia" w:hAnsi="Arial Narrow"/>
                <w:b/>
                <w:sz w:val="20"/>
                <w:lang w:eastAsia="en-US"/>
              </w:rPr>
            </w:pPr>
            <w:r w:rsidRPr="002758A8">
              <w:rPr>
                <w:rFonts w:ascii="Arial Narrow" w:eastAsiaTheme="minorEastAsia" w:hAnsi="Arial Narrow"/>
                <w:b/>
                <w:sz w:val="20"/>
                <w:lang w:eastAsia="en-US"/>
              </w:rPr>
              <w:t>Without community use available</w:t>
            </w:r>
          </w:p>
        </w:tc>
      </w:tr>
      <w:tr w:rsidR="002758A8" w:rsidRPr="002758A8" w14:paraId="02A1066A" w14:textId="77777777" w:rsidTr="00AD5F8E">
        <w:tc>
          <w:tcPr>
            <w:tcW w:w="4219" w:type="dxa"/>
            <w:vAlign w:val="bottom"/>
          </w:tcPr>
          <w:p w14:paraId="4283EF78" w14:textId="77777777" w:rsidR="002758A8" w:rsidRPr="002758A8" w:rsidRDefault="002758A8" w:rsidP="002758A8">
            <w:pPr>
              <w:keepNext/>
              <w:spacing w:before="20"/>
              <w:rPr>
                <w:rFonts w:ascii="Arial Narrow" w:eastAsiaTheme="minorEastAsia" w:hAnsi="Arial Narrow"/>
                <w:sz w:val="20"/>
                <w:lang w:eastAsia="en-US"/>
              </w:rPr>
            </w:pPr>
            <w:proofErr w:type="spellStart"/>
            <w:r w:rsidRPr="002758A8">
              <w:rPr>
                <w:rFonts w:ascii="Arial Narrow" w:eastAsiaTheme="minorEastAsia" w:hAnsi="Arial Narrow"/>
                <w:sz w:val="20"/>
                <w:lang w:eastAsia="en-US"/>
              </w:rPr>
              <w:t>Cinryze</w:t>
            </w:r>
            <w:proofErr w:type="spellEnd"/>
          </w:p>
          <w:p w14:paraId="5A86ADD4" w14:textId="77777777" w:rsidR="002758A8" w:rsidRPr="002758A8" w:rsidRDefault="002758A8" w:rsidP="002758A8">
            <w:pPr>
              <w:numPr>
                <w:ilvl w:val="0"/>
                <w:numId w:val="28"/>
              </w:numPr>
              <w:spacing w:before="20"/>
              <w:ind w:left="714" w:hanging="357"/>
              <w:rPr>
                <w:rFonts w:ascii="Arial Narrow" w:eastAsiaTheme="minorEastAsia" w:hAnsi="Arial Narrow"/>
                <w:sz w:val="20"/>
                <w:lang w:eastAsia="en-US"/>
              </w:rPr>
            </w:pPr>
            <w:r w:rsidRPr="002758A8">
              <w:rPr>
                <w:rFonts w:ascii="Arial Narrow" w:eastAsiaTheme="minorEastAsia" w:hAnsi="Arial Narrow"/>
                <w:sz w:val="20"/>
                <w:lang w:eastAsia="en-US"/>
              </w:rPr>
              <w:t>manufacturer’s requested price</w:t>
            </w:r>
          </w:p>
          <w:p w14:paraId="7BC772AE" w14:textId="77777777" w:rsidR="002758A8" w:rsidRPr="002758A8" w:rsidRDefault="002758A8" w:rsidP="002758A8">
            <w:pPr>
              <w:numPr>
                <w:ilvl w:val="0"/>
                <w:numId w:val="28"/>
              </w:numPr>
              <w:ind w:left="714" w:hanging="357"/>
              <w:rPr>
                <w:rFonts w:ascii="Arial Narrow" w:eastAsiaTheme="minorEastAsia" w:hAnsi="Arial Narrow"/>
                <w:sz w:val="20"/>
                <w:lang w:eastAsia="en-US"/>
              </w:rPr>
            </w:pPr>
            <w:r w:rsidRPr="002758A8">
              <w:rPr>
                <w:rFonts w:ascii="Arial Narrow" w:eastAsiaTheme="minorEastAsia" w:hAnsi="Arial Narrow"/>
                <w:sz w:val="20"/>
                <w:lang w:eastAsia="en-US"/>
              </w:rPr>
              <w:t>cost-neutral price from acute attack model</w:t>
            </w:r>
          </w:p>
        </w:tc>
        <w:tc>
          <w:tcPr>
            <w:tcW w:w="2335" w:type="dxa"/>
            <w:vAlign w:val="bottom"/>
          </w:tcPr>
          <w:p w14:paraId="115098BF" w14:textId="77777777" w:rsidR="00B5763C" w:rsidRDefault="00B5763C" w:rsidP="00B5763C">
            <w:pPr>
              <w:jc w:val="center"/>
              <w:rPr>
                <w:b/>
              </w:rPr>
            </w:pPr>
            <w:r>
              <w:rPr>
                <w:b/>
              </w:rPr>
              <w:t>r</w:t>
            </w:r>
            <w:r w:rsidRPr="00155940">
              <w:rPr>
                <w:b/>
              </w:rPr>
              <w:t>edacted</w:t>
            </w:r>
          </w:p>
          <w:p w14:paraId="4358CC71" w14:textId="7E7198CC" w:rsidR="00725295" w:rsidRPr="002A78A4" w:rsidRDefault="00B5763C" w:rsidP="00B5763C">
            <w:pPr>
              <w:jc w:val="center"/>
              <w:rPr>
                <w:rFonts w:ascii="Arial Narrow" w:eastAsiaTheme="minorEastAsia" w:hAnsi="Arial Narrow"/>
                <w:color w:val="FFFFFF" w:themeColor="background1"/>
                <w:sz w:val="20"/>
                <w:highlight w:val="black"/>
                <w:lang w:eastAsia="en-US"/>
              </w:rPr>
            </w:pPr>
            <w:r w:rsidRPr="00155940">
              <w:rPr>
                <w:b/>
              </w:rPr>
              <w:t>redacted</w:t>
            </w:r>
          </w:p>
        </w:tc>
        <w:tc>
          <w:tcPr>
            <w:tcW w:w="2485" w:type="dxa"/>
            <w:vAlign w:val="bottom"/>
          </w:tcPr>
          <w:p w14:paraId="11A84305" w14:textId="77777777" w:rsidR="00B5763C" w:rsidRDefault="00B5763C" w:rsidP="00B5763C">
            <w:pPr>
              <w:jc w:val="center"/>
              <w:rPr>
                <w:b/>
              </w:rPr>
            </w:pPr>
            <w:r>
              <w:rPr>
                <w:b/>
              </w:rPr>
              <w:t>r</w:t>
            </w:r>
            <w:r w:rsidRPr="00155940">
              <w:rPr>
                <w:b/>
              </w:rPr>
              <w:t>edacted</w:t>
            </w:r>
          </w:p>
          <w:p w14:paraId="0532A2ED" w14:textId="32F14C65" w:rsidR="00725295" w:rsidRPr="002A78A4" w:rsidRDefault="00B5763C" w:rsidP="00AD5F8E">
            <w:pPr>
              <w:jc w:val="center"/>
              <w:rPr>
                <w:rFonts w:ascii="Arial Narrow" w:eastAsiaTheme="minorEastAsia" w:hAnsi="Arial Narrow"/>
                <w:color w:val="FFFFFF" w:themeColor="background1"/>
                <w:sz w:val="20"/>
                <w:highlight w:val="black"/>
                <w:lang w:eastAsia="en-US"/>
              </w:rPr>
            </w:pPr>
            <w:r w:rsidRPr="00155940">
              <w:rPr>
                <w:b/>
              </w:rPr>
              <w:t>redacted</w:t>
            </w:r>
            <w:r w:rsidRPr="00560D54" w:rsidDel="00B5763C">
              <w:rPr>
                <w:b/>
                <w:color w:val="FFFFFF" w:themeColor="background1"/>
              </w:rPr>
              <w:t xml:space="preserve"> </w:t>
            </w:r>
          </w:p>
        </w:tc>
      </w:tr>
      <w:tr w:rsidR="002758A8" w:rsidRPr="002758A8" w14:paraId="40830312" w14:textId="77777777" w:rsidTr="00AD5F8E">
        <w:tc>
          <w:tcPr>
            <w:tcW w:w="4219" w:type="dxa"/>
          </w:tcPr>
          <w:p w14:paraId="767FB957" w14:textId="77777777" w:rsidR="002758A8" w:rsidRPr="002758A8" w:rsidRDefault="002758A8" w:rsidP="002758A8">
            <w:pPr>
              <w:keepNext/>
              <w:spacing w:before="20"/>
              <w:rPr>
                <w:rFonts w:ascii="Arial Narrow" w:eastAsiaTheme="minorEastAsia" w:hAnsi="Arial Narrow"/>
                <w:sz w:val="20"/>
                <w:lang w:eastAsia="en-US"/>
              </w:rPr>
            </w:pPr>
            <w:proofErr w:type="spellStart"/>
            <w:r w:rsidRPr="002758A8">
              <w:rPr>
                <w:rFonts w:ascii="Arial Narrow" w:eastAsiaTheme="minorEastAsia" w:hAnsi="Arial Narrow"/>
                <w:sz w:val="20"/>
                <w:lang w:eastAsia="en-US"/>
              </w:rPr>
              <w:t>Berinert</w:t>
            </w:r>
            <w:proofErr w:type="spellEnd"/>
          </w:p>
          <w:p w14:paraId="1CF63E96" w14:textId="77777777" w:rsidR="002758A8" w:rsidRPr="002758A8" w:rsidRDefault="002758A8" w:rsidP="002758A8">
            <w:pPr>
              <w:numPr>
                <w:ilvl w:val="0"/>
                <w:numId w:val="28"/>
              </w:numPr>
              <w:spacing w:before="20"/>
              <w:ind w:left="714" w:hanging="357"/>
              <w:rPr>
                <w:rFonts w:ascii="Arial Narrow" w:eastAsiaTheme="minorEastAsia" w:hAnsi="Arial Narrow"/>
                <w:sz w:val="20"/>
                <w:lang w:eastAsia="en-US"/>
              </w:rPr>
            </w:pPr>
            <w:r w:rsidRPr="002758A8">
              <w:rPr>
                <w:rFonts w:ascii="Arial Narrow" w:eastAsiaTheme="minorEastAsia" w:hAnsi="Arial Narrow"/>
                <w:sz w:val="20"/>
                <w:lang w:eastAsia="en-US"/>
              </w:rPr>
              <w:t>manufacturer’s requested price</w:t>
            </w:r>
          </w:p>
          <w:p w14:paraId="2DCBD457" w14:textId="77777777" w:rsidR="002758A8" w:rsidRPr="002758A8" w:rsidRDefault="002758A8" w:rsidP="002758A8">
            <w:pPr>
              <w:numPr>
                <w:ilvl w:val="0"/>
                <w:numId w:val="28"/>
              </w:numPr>
              <w:spacing w:before="20"/>
              <w:ind w:left="714" w:hanging="357"/>
              <w:rPr>
                <w:rFonts w:ascii="Arial Narrow" w:eastAsiaTheme="minorEastAsia" w:hAnsi="Arial Narrow"/>
                <w:sz w:val="20"/>
                <w:lang w:eastAsia="en-US"/>
              </w:rPr>
            </w:pPr>
            <w:r w:rsidRPr="002758A8">
              <w:rPr>
                <w:rFonts w:ascii="Arial Narrow" w:eastAsiaTheme="minorEastAsia" w:hAnsi="Arial Narrow"/>
                <w:sz w:val="20"/>
                <w:lang w:eastAsia="en-US"/>
              </w:rPr>
              <w:t>cost-neutral price from acute attack model</w:t>
            </w:r>
          </w:p>
        </w:tc>
        <w:tc>
          <w:tcPr>
            <w:tcW w:w="2335" w:type="dxa"/>
            <w:vAlign w:val="bottom"/>
          </w:tcPr>
          <w:p w14:paraId="53CCAE44" w14:textId="77777777" w:rsidR="00B5763C" w:rsidRDefault="00B5763C" w:rsidP="00B5763C">
            <w:pPr>
              <w:jc w:val="center"/>
              <w:rPr>
                <w:b/>
              </w:rPr>
            </w:pPr>
            <w:r>
              <w:rPr>
                <w:b/>
              </w:rPr>
              <w:t>r</w:t>
            </w:r>
            <w:r w:rsidRPr="00155940">
              <w:rPr>
                <w:b/>
              </w:rPr>
              <w:t>edacted</w:t>
            </w:r>
          </w:p>
          <w:p w14:paraId="637DA35B" w14:textId="3C26DEDF" w:rsidR="00725295" w:rsidRPr="002A78A4" w:rsidRDefault="00B5763C" w:rsidP="00AD5F8E">
            <w:pPr>
              <w:spacing w:before="20"/>
              <w:jc w:val="center"/>
              <w:rPr>
                <w:rFonts w:ascii="Arial Narrow" w:eastAsiaTheme="minorEastAsia" w:hAnsi="Arial Narrow"/>
                <w:color w:val="FFFFFF" w:themeColor="background1"/>
                <w:sz w:val="20"/>
                <w:highlight w:val="black"/>
                <w:lang w:eastAsia="en-US"/>
              </w:rPr>
            </w:pPr>
            <w:r w:rsidRPr="00155940">
              <w:rPr>
                <w:b/>
              </w:rPr>
              <w:t>redacted</w:t>
            </w:r>
            <w:r w:rsidRPr="00560D54" w:rsidDel="00B5763C">
              <w:rPr>
                <w:b/>
                <w:color w:val="FFFFFF" w:themeColor="background1"/>
              </w:rPr>
              <w:t xml:space="preserve"> </w:t>
            </w:r>
          </w:p>
        </w:tc>
        <w:tc>
          <w:tcPr>
            <w:tcW w:w="2485" w:type="dxa"/>
            <w:vAlign w:val="bottom"/>
          </w:tcPr>
          <w:p w14:paraId="1AD2958B" w14:textId="77777777" w:rsidR="00B5763C" w:rsidRDefault="00B5763C" w:rsidP="00B5763C">
            <w:pPr>
              <w:jc w:val="center"/>
              <w:rPr>
                <w:b/>
              </w:rPr>
            </w:pPr>
            <w:r>
              <w:rPr>
                <w:b/>
              </w:rPr>
              <w:t>r</w:t>
            </w:r>
            <w:r w:rsidRPr="00155940">
              <w:rPr>
                <w:b/>
              </w:rPr>
              <w:t>edacted</w:t>
            </w:r>
          </w:p>
          <w:p w14:paraId="63795371" w14:textId="290EE1D5" w:rsidR="00725295" w:rsidRPr="002A78A4" w:rsidRDefault="00B5763C" w:rsidP="00AD5F8E">
            <w:pPr>
              <w:keepNext/>
              <w:spacing w:before="20"/>
              <w:jc w:val="center"/>
              <w:rPr>
                <w:rFonts w:ascii="Arial Narrow" w:eastAsiaTheme="minorEastAsia" w:hAnsi="Arial Narrow"/>
                <w:color w:val="FFFFFF" w:themeColor="background1"/>
                <w:sz w:val="20"/>
                <w:highlight w:val="black"/>
                <w:lang w:eastAsia="en-US"/>
              </w:rPr>
            </w:pPr>
            <w:r w:rsidRPr="00155940">
              <w:rPr>
                <w:b/>
              </w:rPr>
              <w:t>redacted</w:t>
            </w:r>
            <w:r w:rsidRPr="00560D54" w:rsidDel="00B5763C">
              <w:rPr>
                <w:b/>
                <w:color w:val="FFFFFF" w:themeColor="background1"/>
              </w:rPr>
              <w:t xml:space="preserve"> </w:t>
            </w:r>
          </w:p>
        </w:tc>
      </w:tr>
    </w:tbl>
    <w:p w14:paraId="7D19AE64" w14:textId="3D1B84C3" w:rsidR="002758A8" w:rsidRPr="002758A8" w:rsidRDefault="002758A8" w:rsidP="00E20F30">
      <w:pPr>
        <w:rPr>
          <w:rFonts w:ascii="Arial Narrow" w:eastAsia="Calibri" w:hAnsi="Arial Narrow"/>
          <w:sz w:val="16"/>
          <w:szCs w:val="16"/>
          <w:lang w:eastAsia="en-US"/>
        </w:rPr>
      </w:pPr>
      <w:r w:rsidRPr="002758A8">
        <w:rPr>
          <w:rFonts w:ascii="Arial Narrow" w:eastAsia="Calibri" w:hAnsi="Arial Narrow"/>
          <w:b/>
          <w:sz w:val="16"/>
          <w:szCs w:val="16"/>
          <w:lang w:eastAsia="en-US"/>
        </w:rPr>
        <w:t>Source:</w:t>
      </w:r>
      <w:r w:rsidRPr="002758A8">
        <w:rPr>
          <w:rFonts w:ascii="Arial Narrow" w:eastAsia="Calibri" w:hAnsi="Arial Narrow"/>
          <w:sz w:val="16"/>
          <w:szCs w:val="16"/>
          <w:lang w:eastAsia="en-US"/>
        </w:rPr>
        <w:t xml:space="preserve"> </w:t>
      </w:r>
      <w:r w:rsidR="002F2D67">
        <w:rPr>
          <w:rFonts w:ascii="Arial Narrow" w:eastAsia="Calibri" w:hAnsi="Arial Narrow"/>
          <w:sz w:val="16"/>
          <w:szCs w:val="16"/>
          <w:lang w:eastAsia="en-US"/>
        </w:rPr>
        <w:t xml:space="preserve">Table D.5.5 </w:t>
      </w:r>
      <w:r w:rsidRPr="002758A8">
        <w:rPr>
          <w:rFonts w:ascii="Arial Narrow" w:eastAsia="Calibri" w:hAnsi="Arial Narrow"/>
          <w:sz w:val="16"/>
          <w:szCs w:val="16"/>
          <w:lang w:eastAsia="en-US"/>
        </w:rPr>
        <w:t xml:space="preserve">and </w:t>
      </w:r>
      <w:r w:rsidR="0025549B">
        <w:rPr>
          <w:rFonts w:ascii="Arial Narrow" w:eastAsia="Calibri" w:hAnsi="Arial Narrow"/>
          <w:sz w:val="16"/>
          <w:szCs w:val="16"/>
          <w:lang w:eastAsia="en-US"/>
        </w:rPr>
        <w:t xml:space="preserve">Table D.5.6 </w:t>
      </w:r>
      <w:r w:rsidRPr="002758A8">
        <w:rPr>
          <w:rFonts w:ascii="Arial Narrow" w:eastAsia="Calibri" w:hAnsi="Arial Narrow"/>
          <w:sz w:val="16"/>
          <w:szCs w:val="16"/>
          <w:lang w:eastAsia="en-US"/>
        </w:rPr>
        <w:t>of the Assessment Report</w:t>
      </w:r>
    </w:p>
    <w:bookmarkEnd w:id="30"/>
    <w:p w14:paraId="5D441EE6" w14:textId="77777777" w:rsidR="00E20F30" w:rsidRDefault="00E20F30" w:rsidP="00E20F30"/>
    <w:p w14:paraId="19623F0A" w14:textId="221E2595" w:rsidR="002758A8" w:rsidRDefault="002758A8" w:rsidP="00E20F30">
      <w:r w:rsidRPr="002758A8">
        <w:t xml:space="preserve">An increase in the proportion of patients that do not use pre-procedural prophylaxis with C1-INH </w:t>
      </w:r>
      <w:r w:rsidR="00D932DD">
        <w:t xml:space="preserve">concentrate </w:t>
      </w:r>
      <w:r w:rsidRPr="002758A8">
        <w:t xml:space="preserve">in the comparator arm brings about an increase in the incremental cost of NPSL-funded (i.e. community use available) </w:t>
      </w:r>
      <w:proofErr w:type="spellStart"/>
      <w:r w:rsidRPr="002758A8">
        <w:t>Cinryze</w:t>
      </w:r>
      <w:proofErr w:type="spellEnd"/>
      <w:r w:rsidRPr="002758A8">
        <w:t xml:space="preserve"> and </w:t>
      </w:r>
      <w:proofErr w:type="spellStart"/>
      <w:r w:rsidRPr="002758A8">
        <w:t>Berinert</w:t>
      </w:r>
      <w:proofErr w:type="spellEnd"/>
      <w:r w:rsidRPr="002758A8">
        <w:t xml:space="preserve">, since the reduction in the cost of prophylaxis in the comparator arm is greater than the increase in the costs associated with acute attacks. If the proportion of patients that do not receive pre-procedural prophylaxis with C1-INH </w:t>
      </w:r>
      <w:r w:rsidR="00D932DD">
        <w:t xml:space="preserve">concentrate </w:t>
      </w:r>
      <w:r w:rsidRPr="002758A8">
        <w:t xml:space="preserve">is increased from 0% to 25% in the comparator arm, the </w:t>
      </w:r>
      <w:r w:rsidRPr="002758A8">
        <w:lastRenderedPageBreak/>
        <w:t xml:space="preserve">incremental cost of NPSL-funded </w:t>
      </w:r>
      <w:proofErr w:type="spellStart"/>
      <w:r w:rsidRPr="002758A8">
        <w:t>Cinryze</w:t>
      </w:r>
      <w:proofErr w:type="spellEnd"/>
      <w:r w:rsidRPr="002758A8">
        <w:t xml:space="preserve"> increases from - $</w:t>
      </w:r>
      <w:r w:rsidR="00B5763C" w:rsidRPr="00155940">
        <w:rPr>
          <w:b/>
        </w:rPr>
        <w:t>redacted</w:t>
      </w:r>
      <w:r w:rsidR="00B5763C">
        <w:rPr>
          <w:color w:val="FFFFFF" w:themeColor="background1"/>
        </w:rPr>
        <w:t xml:space="preserve"> </w:t>
      </w:r>
      <w:r w:rsidRPr="002758A8">
        <w:t>to $</w:t>
      </w:r>
      <w:r w:rsidR="00B36A96" w:rsidRPr="00155940">
        <w:rPr>
          <w:b/>
        </w:rPr>
        <w:t>redacted</w:t>
      </w:r>
      <w:r w:rsidRPr="002758A8">
        <w:t xml:space="preserve">, and the incremental cost of NPSL-funded </w:t>
      </w:r>
      <w:proofErr w:type="spellStart"/>
      <w:r w:rsidRPr="002758A8">
        <w:t>Berinert</w:t>
      </w:r>
      <w:proofErr w:type="spellEnd"/>
      <w:r w:rsidRPr="002758A8">
        <w:t xml:space="preserve"> increases from - $</w:t>
      </w:r>
      <w:r w:rsidR="00B36A96" w:rsidRPr="00155940">
        <w:rPr>
          <w:b/>
        </w:rPr>
        <w:t>redacted</w:t>
      </w:r>
      <w:r w:rsidR="00B36A96" w:rsidRPr="00560D54" w:rsidDel="00B36A96">
        <w:rPr>
          <w:b/>
          <w:color w:val="FFFFFF" w:themeColor="background1"/>
        </w:rPr>
        <w:t xml:space="preserve"> </w:t>
      </w:r>
      <w:r w:rsidRPr="002758A8">
        <w:t>to $</w:t>
      </w:r>
      <w:r w:rsidR="00B36A96" w:rsidRPr="00155940">
        <w:rPr>
          <w:b/>
        </w:rPr>
        <w:t>redacted</w:t>
      </w:r>
      <w:r w:rsidRPr="002758A8">
        <w:t>.</w:t>
      </w:r>
    </w:p>
    <w:p w14:paraId="6919222B" w14:textId="77777777" w:rsidR="00E20F30" w:rsidRPr="002758A8" w:rsidRDefault="00E20F30" w:rsidP="00E20F30"/>
    <w:p w14:paraId="0440CD07" w14:textId="77777777" w:rsidR="002758A8" w:rsidRPr="002758A8" w:rsidRDefault="002758A8" w:rsidP="00AD5F8E">
      <w:pPr>
        <w:keepNext/>
        <w:rPr>
          <w:u w:val="single"/>
        </w:rPr>
      </w:pPr>
      <w:r w:rsidRPr="002758A8">
        <w:rPr>
          <w:u w:val="single"/>
        </w:rPr>
        <w:t>Routine prophylaxis model (cost-utility analysis</w:t>
      </w:r>
      <w:proofErr w:type="gramStart"/>
      <w:r w:rsidRPr="002758A8">
        <w:rPr>
          <w:u w:val="single"/>
        </w:rPr>
        <w:t>)</w:t>
      </w:r>
      <w:proofErr w:type="gramEnd"/>
      <w:r w:rsidRPr="002758A8">
        <w:rPr>
          <w:u w:val="single"/>
        </w:rPr>
        <w:br/>
      </w:r>
      <w:r w:rsidRPr="002758A8">
        <w:t xml:space="preserve">This model allocated individuals to receive ongoing (routine) prophylaxis or not. In the case of breakthrough attacks, </w:t>
      </w:r>
      <w:proofErr w:type="gramStart"/>
      <w:r w:rsidRPr="002758A8">
        <w:t>which occurred with greater frequency in the ‘no prophylaxis’ arm of the model, individuals received treatment to resolve the attack.</w:t>
      </w:r>
      <w:proofErr w:type="gramEnd"/>
      <w:r w:rsidRPr="002758A8">
        <w:t xml:space="preserve"> This included, though is not limited to, medication in the form of either the same treatment they received for prophylaxis or, in the case of those who did not undergo prophylaxis, either </w:t>
      </w:r>
      <w:proofErr w:type="spellStart"/>
      <w:r w:rsidRPr="002758A8">
        <w:t>Cinryze</w:t>
      </w:r>
      <w:proofErr w:type="spellEnd"/>
      <w:r w:rsidRPr="002758A8">
        <w:t xml:space="preserve">, </w:t>
      </w:r>
      <w:proofErr w:type="spellStart"/>
      <w:r w:rsidRPr="002758A8">
        <w:t>Berinert</w:t>
      </w:r>
      <w:proofErr w:type="spellEnd"/>
      <w:r w:rsidRPr="002758A8">
        <w:t xml:space="preserve"> or </w:t>
      </w:r>
      <w:proofErr w:type="spellStart"/>
      <w:r w:rsidRPr="002758A8">
        <w:t>icatibant</w:t>
      </w:r>
      <w:proofErr w:type="spellEnd"/>
      <w:r w:rsidRPr="002758A8">
        <w:t>. Once the attack was resolved, individuals in the ‘routine prophylaxis’ arm would resume prophylaxis once more.</w:t>
      </w:r>
    </w:p>
    <w:p w14:paraId="45062D41" w14:textId="77777777" w:rsidR="00AD5F8E" w:rsidRDefault="00AD5F8E" w:rsidP="00AD5F8E"/>
    <w:p w14:paraId="1902FACC" w14:textId="77777777" w:rsidR="002758A8" w:rsidRPr="002758A8" w:rsidRDefault="002758A8" w:rsidP="00AD5F8E">
      <w:r w:rsidRPr="002758A8">
        <w:t>The model takes the form of a Markov model using monthly cycles for a period of five years in the base case. Since individuals who did not receive prophylaxis would incur more than one attack per cycle, the model did not apply different health states for each level of attack severity. Instead, the model calculated the average cost and utility impact of attacks in any given cycle.</w:t>
      </w:r>
    </w:p>
    <w:p w14:paraId="225C11F8" w14:textId="77777777" w:rsidR="00AD5F8E" w:rsidRDefault="00AD5F8E" w:rsidP="00AD5F8E"/>
    <w:p w14:paraId="412A10DD" w14:textId="1C40DC12" w:rsidR="002758A8" w:rsidRDefault="002758A8" w:rsidP="00AD5F8E">
      <w:r w:rsidRPr="002758A8">
        <w:t xml:space="preserve">In the base case analysis, </w:t>
      </w:r>
      <w:proofErr w:type="spellStart"/>
      <w:r w:rsidRPr="002758A8">
        <w:t>Cinryze</w:t>
      </w:r>
      <w:proofErr w:type="spellEnd"/>
      <w:r w:rsidRPr="002758A8">
        <w:t xml:space="preserve"> costs $</w:t>
      </w:r>
      <w:r w:rsidR="00B36A96" w:rsidRPr="00155940">
        <w:rPr>
          <w:b/>
        </w:rPr>
        <w:t>redacted</w:t>
      </w:r>
      <w:r w:rsidR="00560D54" w:rsidRPr="002A78A4">
        <w:rPr>
          <w:color w:val="FFFFFF" w:themeColor="background1"/>
        </w:rPr>
        <w:t xml:space="preserve"> </w:t>
      </w:r>
      <w:r w:rsidRPr="002758A8">
        <w:t xml:space="preserve">more per monthly cycle compared to no prophylaxis. The estimated incremental cost per quality-adjusted life year (QALY) of routine prophylaxis with </w:t>
      </w:r>
      <w:proofErr w:type="spellStart"/>
      <w:r w:rsidR="00694838">
        <w:t>Cinryze</w:t>
      </w:r>
      <w:proofErr w:type="spellEnd"/>
      <w:r w:rsidR="00694838">
        <w:t xml:space="preserve"> is presented in Table 9</w:t>
      </w:r>
      <w:r w:rsidRPr="002758A8">
        <w:t xml:space="preserve">. Using the “cost-neutral” price of </w:t>
      </w:r>
      <w:proofErr w:type="spellStart"/>
      <w:r w:rsidRPr="002758A8">
        <w:t>Cinryze</w:t>
      </w:r>
      <w:proofErr w:type="spellEnd"/>
      <w:r w:rsidRPr="002758A8">
        <w:t xml:space="preserve"> from the acute attack model, the incremental cost per QALY is $</w:t>
      </w:r>
      <w:r w:rsidR="00B36A96" w:rsidRPr="00155940">
        <w:rPr>
          <w:b/>
        </w:rPr>
        <w:t>redacted</w:t>
      </w:r>
      <w:r w:rsidRPr="002758A8">
        <w:t>.</w:t>
      </w:r>
    </w:p>
    <w:p w14:paraId="05D5C9DA" w14:textId="77777777" w:rsidR="00AD5F8E" w:rsidRPr="002758A8" w:rsidRDefault="00AD5F8E" w:rsidP="00AD5F8E"/>
    <w:p w14:paraId="75AD6252" w14:textId="19F6C1AA" w:rsidR="002758A8" w:rsidRPr="002758A8" w:rsidRDefault="002758A8" w:rsidP="002758A8">
      <w:pPr>
        <w:keepNext/>
        <w:spacing w:before="40" w:after="40"/>
        <w:jc w:val="both"/>
        <w:rPr>
          <w:rFonts w:ascii="Arial Narrow" w:eastAsiaTheme="minorHAnsi" w:hAnsi="Arial Narrow" w:cstheme="minorBidi"/>
          <w:b/>
          <w:iCs/>
          <w:sz w:val="20"/>
          <w:szCs w:val="18"/>
          <w:lang w:eastAsia="en-US"/>
        </w:rPr>
      </w:pPr>
      <w:bookmarkStart w:id="34" w:name="_Ref416444100"/>
      <w:bookmarkStart w:id="35" w:name="_Toc417862292"/>
      <w:bookmarkStart w:id="36" w:name="_Toc419428694"/>
      <w:r w:rsidRPr="002758A8">
        <w:rPr>
          <w:rFonts w:ascii="Arial Narrow" w:eastAsiaTheme="minorHAnsi" w:hAnsi="Arial Narrow" w:cstheme="minorBidi"/>
          <w:b/>
          <w:iCs/>
          <w:sz w:val="20"/>
          <w:szCs w:val="18"/>
          <w:lang w:eastAsia="en-US"/>
        </w:rPr>
        <w:t xml:space="preserve">Table </w:t>
      </w:r>
      <w:bookmarkEnd w:id="34"/>
      <w:r w:rsidR="000D57A3">
        <w:rPr>
          <w:rFonts w:ascii="Arial Narrow" w:eastAsiaTheme="minorHAnsi" w:hAnsi="Arial Narrow" w:cstheme="minorBidi"/>
          <w:b/>
          <w:iCs/>
          <w:sz w:val="20"/>
          <w:szCs w:val="18"/>
          <w:lang w:eastAsia="en-US"/>
        </w:rPr>
        <w:t>9</w:t>
      </w:r>
      <w:r w:rsidRPr="002758A8">
        <w:rPr>
          <w:rFonts w:ascii="Arial Narrow" w:eastAsiaTheme="minorHAnsi" w:hAnsi="Arial Narrow" w:cstheme="minorBidi"/>
          <w:b/>
          <w:iCs/>
          <w:sz w:val="20"/>
          <w:szCs w:val="18"/>
          <w:lang w:eastAsia="en-US"/>
        </w:rPr>
        <w:tab/>
        <w:t xml:space="preserve">Modelled incremental cost per QALY for routine prophylaxis using </w:t>
      </w:r>
      <w:proofErr w:type="spellStart"/>
      <w:r w:rsidRPr="002758A8">
        <w:rPr>
          <w:rFonts w:ascii="Arial Narrow" w:eastAsiaTheme="minorHAnsi" w:hAnsi="Arial Narrow" w:cstheme="minorBidi"/>
          <w:b/>
          <w:iCs/>
          <w:sz w:val="20"/>
          <w:szCs w:val="18"/>
          <w:lang w:eastAsia="en-US"/>
        </w:rPr>
        <w:t>Cinryze</w:t>
      </w:r>
      <w:bookmarkEnd w:id="35"/>
      <w:bookmarkEnd w:id="36"/>
      <w:proofErr w:type="spellEnd"/>
      <w:r w:rsidR="00725295">
        <w:rPr>
          <w:rFonts w:ascii="Arial Narrow" w:eastAsiaTheme="minorHAnsi" w:hAnsi="Arial Narrow" w:cstheme="minorBidi"/>
          <w:b/>
          <w:iCs/>
          <w:sz w:val="20"/>
          <w:szCs w:val="18"/>
          <w:lang w:eastAsia="en-US"/>
        </w:rPr>
        <w:t xml:space="preserve"> </w:t>
      </w:r>
    </w:p>
    <w:tbl>
      <w:tblPr>
        <w:tblStyle w:val="TableGrid3"/>
        <w:tblpPr w:leftFromText="180" w:rightFromText="180" w:vertAnchor="text" w:horzAnchor="margin" w:tblpX="108" w:tblpY="49"/>
        <w:tblW w:w="8897" w:type="dxa"/>
        <w:tblLook w:val="04A0" w:firstRow="1" w:lastRow="0" w:firstColumn="1" w:lastColumn="0" w:noHBand="0" w:noVBand="1"/>
        <w:tblCaption w:val="Modelled incremental cost per QALY for routine prophylaxis using Cinryze"/>
        <w:tblDescription w:val="Modelled incremental cost per QALY for routine prophylaxis using Cinryze"/>
      </w:tblPr>
      <w:tblGrid>
        <w:gridCol w:w="3227"/>
        <w:gridCol w:w="1843"/>
        <w:gridCol w:w="2126"/>
        <w:gridCol w:w="1701"/>
      </w:tblGrid>
      <w:tr w:rsidR="002758A8" w:rsidRPr="002758A8" w14:paraId="77CAD6EC" w14:textId="77777777" w:rsidTr="00AD5F8E">
        <w:trPr>
          <w:tblHeader/>
        </w:trPr>
        <w:tc>
          <w:tcPr>
            <w:tcW w:w="3227" w:type="dxa"/>
            <w:vAlign w:val="bottom"/>
          </w:tcPr>
          <w:p w14:paraId="17A1D17D" w14:textId="77777777" w:rsidR="002758A8" w:rsidRPr="002758A8" w:rsidRDefault="002758A8" w:rsidP="002758A8">
            <w:pPr>
              <w:spacing w:before="20"/>
              <w:rPr>
                <w:rFonts w:ascii="Arial Narrow" w:eastAsiaTheme="minorEastAsia" w:hAnsi="Arial Narrow"/>
                <w:b/>
                <w:sz w:val="20"/>
                <w:lang w:eastAsia="en-US"/>
              </w:rPr>
            </w:pPr>
          </w:p>
        </w:tc>
        <w:tc>
          <w:tcPr>
            <w:tcW w:w="1843" w:type="dxa"/>
            <w:vAlign w:val="bottom"/>
          </w:tcPr>
          <w:p w14:paraId="35EE58E4" w14:textId="77777777" w:rsidR="002758A8" w:rsidRPr="002758A8" w:rsidRDefault="002758A8" w:rsidP="002758A8">
            <w:pPr>
              <w:spacing w:before="20"/>
              <w:rPr>
                <w:rFonts w:ascii="Arial Narrow" w:eastAsiaTheme="minorEastAsia" w:hAnsi="Arial Narrow"/>
                <w:b/>
                <w:sz w:val="20"/>
                <w:lang w:eastAsia="en-US"/>
              </w:rPr>
            </w:pPr>
            <w:r w:rsidRPr="002758A8">
              <w:rPr>
                <w:rFonts w:ascii="Arial Narrow" w:eastAsiaTheme="minorEastAsia" w:hAnsi="Arial Narrow"/>
                <w:b/>
                <w:sz w:val="20"/>
                <w:lang w:eastAsia="en-US"/>
              </w:rPr>
              <w:t>Routine prophylaxis</w:t>
            </w:r>
          </w:p>
        </w:tc>
        <w:tc>
          <w:tcPr>
            <w:tcW w:w="2126" w:type="dxa"/>
            <w:vAlign w:val="bottom"/>
          </w:tcPr>
          <w:p w14:paraId="13D4EA50" w14:textId="77777777" w:rsidR="002758A8" w:rsidRPr="002758A8" w:rsidRDefault="002758A8" w:rsidP="002758A8">
            <w:pPr>
              <w:spacing w:before="20"/>
              <w:rPr>
                <w:rFonts w:ascii="Arial Narrow" w:eastAsiaTheme="minorEastAsia" w:hAnsi="Arial Narrow"/>
                <w:b/>
                <w:sz w:val="20"/>
                <w:lang w:eastAsia="en-US"/>
              </w:rPr>
            </w:pPr>
            <w:r w:rsidRPr="002758A8">
              <w:rPr>
                <w:rFonts w:ascii="Arial Narrow" w:eastAsiaTheme="minorEastAsia" w:hAnsi="Arial Narrow"/>
                <w:b/>
                <w:sz w:val="20"/>
                <w:lang w:eastAsia="en-US"/>
              </w:rPr>
              <w:t>No routine prophylaxis</w:t>
            </w:r>
          </w:p>
        </w:tc>
        <w:tc>
          <w:tcPr>
            <w:tcW w:w="1701" w:type="dxa"/>
            <w:vAlign w:val="bottom"/>
          </w:tcPr>
          <w:p w14:paraId="6A2DBD7A" w14:textId="77777777" w:rsidR="002758A8" w:rsidRPr="002758A8" w:rsidRDefault="002758A8" w:rsidP="002758A8">
            <w:pPr>
              <w:spacing w:before="20"/>
              <w:rPr>
                <w:rFonts w:ascii="Arial Narrow" w:eastAsiaTheme="minorEastAsia" w:hAnsi="Arial Narrow"/>
                <w:b/>
                <w:sz w:val="20"/>
                <w:lang w:eastAsia="en-US"/>
              </w:rPr>
            </w:pPr>
            <w:r w:rsidRPr="002758A8">
              <w:rPr>
                <w:rFonts w:ascii="Arial Narrow" w:eastAsiaTheme="minorEastAsia" w:hAnsi="Arial Narrow"/>
                <w:b/>
                <w:sz w:val="20"/>
                <w:lang w:eastAsia="en-US"/>
              </w:rPr>
              <w:t>Incremental value</w:t>
            </w:r>
          </w:p>
        </w:tc>
      </w:tr>
      <w:tr w:rsidR="002758A8" w:rsidRPr="002758A8" w14:paraId="1A2D7E7B" w14:textId="77777777" w:rsidTr="00AD5F8E">
        <w:tc>
          <w:tcPr>
            <w:tcW w:w="3227" w:type="dxa"/>
            <w:vAlign w:val="bottom"/>
          </w:tcPr>
          <w:p w14:paraId="3BA40143" w14:textId="77777777" w:rsidR="002758A8" w:rsidRPr="002758A8" w:rsidRDefault="002758A8" w:rsidP="002758A8">
            <w:pPr>
              <w:keepNext/>
              <w:spacing w:before="20"/>
              <w:rPr>
                <w:rFonts w:ascii="Arial Narrow" w:eastAsiaTheme="minorEastAsia" w:hAnsi="Arial Narrow"/>
                <w:sz w:val="20"/>
                <w:lang w:eastAsia="en-US"/>
              </w:rPr>
            </w:pPr>
            <w:r w:rsidRPr="002758A8">
              <w:rPr>
                <w:rFonts w:ascii="Arial Narrow" w:eastAsiaTheme="minorEastAsia" w:hAnsi="Arial Narrow"/>
                <w:sz w:val="20"/>
                <w:lang w:eastAsia="en-US"/>
              </w:rPr>
              <w:t>Average cost over five years</w:t>
            </w:r>
          </w:p>
        </w:tc>
        <w:tc>
          <w:tcPr>
            <w:tcW w:w="1843" w:type="dxa"/>
            <w:vAlign w:val="bottom"/>
          </w:tcPr>
          <w:p w14:paraId="1DD145FA" w14:textId="11CA479C" w:rsidR="002758A8" w:rsidRPr="002758A8" w:rsidRDefault="002758A8" w:rsidP="00351E9A">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w:t>
            </w:r>
            <w:r w:rsidR="00B36A96" w:rsidRPr="00155940">
              <w:rPr>
                <w:b/>
              </w:rPr>
              <w:t>redacted</w:t>
            </w:r>
          </w:p>
        </w:tc>
        <w:tc>
          <w:tcPr>
            <w:tcW w:w="2126" w:type="dxa"/>
            <w:vAlign w:val="bottom"/>
          </w:tcPr>
          <w:p w14:paraId="00764B1C" w14:textId="5A9BD030" w:rsidR="002758A8" w:rsidRPr="002758A8" w:rsidRDefault="002758A8" w:rsidP="00351E9A">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w:t>
            </w:r>
            <w:r w:rsidR="00B36A96" w:rsidRPr="00155940">
              <w:rPr>
                <w:b/>
              </w:rPr>
              <w:t>redacted</w:t>
            </w:r>
          </w:p>
        </w:tc>
        <w:tc>
          <w:tcPr>
            <w:tcW w:w="1701" w:type="dxa"/>
            <w:vAlign w:val="bottom"/>
          </w:tcPr>
          <w:p w14:paraId="552C28FE" w14:textId="6343AFFE" w:rsidR="002758A8" w:rsidRPr="002758A8" w:rsidRDefault="002758A8" w:rsidP="00351E9A">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w:t>
            </w:r>
            <w:r w:rsidR="00B36A96" w:rsidRPr="00155940">
              <w:rPr>
                <w:b/>
              </w:rPr>
              <w:t>redacted</w:t>
            </w:r>
          </w:p>
        </w:tc>
      </w:tr>
      <w:tr w:rsidR="002758A8" w:rsidRPr="002758A8" w14:paraId="05FBBCE0" w14:textId="77777777" w:rsidTr="00AD5F8E">
        <w:tc>
          <w:tcPr>
            <w:tcW w:w="3227" w:type="dxa"/>
            <w:tcBorders>
              <w:bottom w:val="single" w:sz="4" w:space="0" w:color="auto"/>
            </w:tcBorders>
            <w:vAlign w:val="bottom"/>
          </w:tcPr>
          <w:p w14:paraId="5E59EA55" w14:textId="77777777" w:rsidR="002758A8" w:rsidRPr="002758A8" w:rsidRDefault="002758A8" w:rsidP="002758A8">
            <w:pPr>
              <w:keepNext/>
              <w:spacing w:before="20"/>
              <w:rPr>
                <w:rFonts w:ascii="Arial Narrow" w:eastAsiaTheme="minorEastAsia" w:hAnsi="Arial Narrow"/>
                <w:sz w:val="20"/>
                <w:lang w:eastAsia="en-US"/>
              </w:rPr>
            </w:pPr>
            <w:r w:rsidRPr="002758A8">
              <w:rPr>
                <w:rFonts w:ascii="Arial Narrow" w:eastAsiaTheme="minorEastAsia" w:hAnsi="Arial Narrow"/>
                <w:sz w:val="20"/>
                <w:lang w:eastAsia="en-US"/>
              </w:rPr>
              <w:t>Average QALYs gained over five years</w:t>
            </w:r>
          </w:p>
        </w:tc>
        <w:tc>
          <w:tcPr>
            <w:tcW w:w="1843" w:type="dxa"/>
            <w:tcBorders>
              <w:bottom w:val="single" w:sz="4" w:space="0" w:color="auto"/>
            </w:tcBorders>
            <w:vAlign w:val="bottom"/>
          </w:tcPr>
          <w:p w14:paraId="3A7F9AD1" w14:textId="77777777" w:rsidR="002758A8" w:rsidRPr="002758A8" w:rsidRDefault="002758A8" w:rsidP="00AD5F8E">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3.7132</w:t>
            </w:r>
          </w:p>
        </w:tc>
        <w:tc>
          <w:tcPr>
            <w:tcW w:w="2126" w:type="dxa"/>
            <w:tcBorders>
              <w:bottom w:val="single" w:sz="4" w:space="0" w:color="auto"/>
            </w:tcBorders>
            <w:vAlign w:val="bottom"/>
          </w:tcPr>
          <w:p w14:paraId="4C6318E5" w14:textId="77777777" w:rsidR="002758A8" w:rsidRPr="002758A8" w:rsidRDefault="002758A8" w:rsidP="00AD5F8E">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2.7349</w:t>
            </w:r>
          </w:p>
        </w:tc>
        <w:tc>
          <w:tcPr>
            <w:tcW w:w="1701" w:type="dxa"/>
            <w:vAlign w:val="bottom"/>
          </w:tcPr>
          <w:p w14:paraId="10BEE249" w14:textId="77777777" w:rsidR="002758A8" w:rsidRPr="002758A8" w:rsidRDefault="002758A8" w:rsidP="00AD5F8E">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0.9783</w:t>
            </w:r>
          </w:p>
        </w:tc>
      </w:tr>
      <w:tr w:rsidR="002758A8" w:rsidRPr="002758A8" w14:paraId="6B46327B" w14:textId="77777777" w:rsidTr="00AD5F8E">
        <w:tc>
          <w:tcPr>
            <w:tcW w:w="3227" w:type="dxa"/>
            <w:tcBorders>
              <w:right w:val="nil"/>
            </w:tcBorders>
            <w:vAlign w:val="bottom"/>
          </w:tcPr>
          <w:p w14:paraId="25899340" w14:textId="77777777" w:rsidR="002758A8" w:rsidRPr="002758A8" w:rsidRDefault="002758A8" w:rsidP="002758A8">
            <w:pPr>
              <w:keepNext/>
              <w:spacing w:before="20"/>
              <w:rPr>
                <w:rFonts w:ascii="Arial Narrow" w:eastAsiaTheme="minorEastAsia" w:hAnsi="Arial Narrow"/>
                <w:sz w:val="20"/>
                <w:lang w:eastAsia="en-US"/>
              </w:rPr>
            </w:pPr>
            <w:r w:rsidRPr="002758A8">
              <w:rPr>
                <w:rFonts w:ascii="Arial Narrow" w:eastAsiaTheme="minorEastAsia" w:hAnsi="Arial Narrow"/>
                <w:sz w:val="20"/>
                <w:lang w:eastAsia="en-US"/>
              </w:rPr>
              <w:t>Incremental cost per QALY</w:t>
            </w:r>
          </w:p>
        </w:tc>
        <w:tc>
          <w:tcPr>
            <w:tcW w:w="1843" w:type="dxa"/>
            <w:tcBorders>
              <w:left w:val="nil"/>
              <w:right w:val="nil"/>
            </w:tcBorders>
            <w:vAlign w:val="bottom"/>
          </w:tcPr>
          <w:p w14:paraId="29E2C8BB" w14:textId="77777777" w:rsidR="002758A8" w:rsidRPr="002758A8" w:rsidRDefault="002758A8" w:rsidP="002758A8">
            <w:pPr>
              <w:keepNext/>
              <w:spacing w:before="20"/>
              <w:rPr>
                <w:rFonts w:ascii="Arial Narrow" w:eastAsiaTheme="minorEastAsia" w:hAnsi="Arial Narrow"/>
                <w:sz w:val="20"/>
                <w:lang w:eastAsia="en-US"/>
              </w:rPr>
            </w:pPr>
          </w:p>
        </w:tc>
        <w:tc>
          <w:tcPr>
            <w:tcW w:w="2126" w:type="dxa"/>
            <w:tcBorders>
              <w:left w:val="nil"/>
            </w:tcBorders>
            <w:vAlign w:val="bottom"/>
          </w:tcPr>
          <w:p w14:paraId="7C3B7689" w14:textId="77777777" w:rsidR="002758A8" w:rsidRPr="002758A8" w:rsidRDefault="002758A8" w:rsidP="002758A8">
            <w:pPr>
              <w:keepNext/>
              <w:spacing w:before="20"/>
              <w:rPr>
                <w:rFonts w:ascii="Arial Narrow" w:eastAsiaTheme="minorEastAsia" w:hAnsi="Arial Narrow"/>
                <w:sz w:val="20"/>
                <w:lang w:eastAsia="en-US"/>
              </w:rPr>
            </w:pPr>
          </w:p>
        </w:tc>
        <w:tc>
          <w:tcPr>
            <w:tcW w:w="1701" w:type="dxa"/>
            <w:vAlign w:val="bottom"/>
          </w:tcPr>
          <w:p w14:paraId="103F665A" w14:textId="11E5F0D0" w:rsidR="002758A8" w:rsidRPr="002758A8" w:rsidRDefault="002758A8" w:rsidP="00351E9A">
            <w:pPr>
              <w:keepNext/>
              <w:spacing w:before="20"/>
              <w:jc w:val="center"/>
              <w:rPr>
                <w:rFonts w:ascii="Arial Narrow" w:eastAsiaTheme="minorEastAsia" w:hAnsi="Arial Narrow"/>
                <w:sz w:val="20"/>
                <w:lang w:eastAsia="en-US"/>
              </w:rPr>
            </w:pPr>
            <w:r w:rsidRPr="002758A8">
              <w:rPr>
                <w:rFonts w:ascii="Arial Narrow" w:eastAsiaTheme="minorEastAsia" w:hAnsi="Arial Narrow"/>
                <w:sz w:val="20"/>
                <w:lang w:eastAsia="en-US"/>
              </w:rPr>
              <w:t>$</w:t>
            </w:r>
            <w:r w:rsidR="00B36A96" w:rsidRPr="00155940">
              <w:rPr>
                <w:b/>
              </w:rPr>
              <w:t>redacted</w:t>
            </w:r>
          </w:p>
        </w:tc>
      </w:tr>
    </w:tbl>
    <w:p w14:paraId="7F0B83D4" w14:textId="7F704892" w:rsidR="002758A8" w:rsidRPr="002758A8" w:rsidRDefault="002758A8" w:rsidP="002758A8">
      <w:pPr>
        <w:keepNext/>
        <w:rPr>
          <w:rFonts w:ascii="Arial Narrow" w:eastAsia="Calibri" w:hAnsi="Arial Narrow"/>
          <w:sz w:val="16"/>
          <w:szCs w:val="16"/>
          <w:lang w:eastAsia="en-US"/>
        </w:rPr>
      </w:pPr>
      <w:r w:rsidRPr="002758A8">
        <w:rPr>
          <w:rFonts w:ascii="Arial Narrow" w:eastAsia="Calibri" w:hAnsi="Arial Narrow"/>
          <w:b/>
          <w:sz w:val="16"/>
          <w:szCs w:val="16"/>
          <w:lang w:eastAsia="en-US"/>
        </w:rPr>
        <w:t>Source</w:t>
      </w:r>
      <w:r w:rsidRPr="002758A8">
        <w:rPr>
          <w:rFonts w:ascii="Arial Narrow" w:eastAsia="Calibri" w:hAnsi="Arial Narrow"/>
          <w:sz w:val="16"/>
          <w:szCs w:val="16"/>
          <w:lang w:eastAsia="en-US"/>
        </w:rPr>
        <w:t xml:space="preserve">: </w:t>
      </w:r>
      <w:r w:rsidR="00D17344">
        <w:rPr>
          <w:rFonts w:ascii="Arial Narrow" w:eastAsia="Calibri" w:hAnsi="Arial Narrow"/>
          <w:sz w:val="16"/>
          <w:szCs w:val="16"/>
          <w:lang w:eastAsia="en-US"/>
        </w:rPr>
        <w:t xml:space="preserve">Table D .5.9 </w:t>
      </w:r>
      <w:r w:rsidRPr="002758A8">
        <w:rPr>
          <w:rFonts w:ascii="Arial Narrow" w:eastAsia="Calibri" w:hAnsi="Arial Narrow"/>
          <w:sz w:val="16"/>
          <w:szCs w:val="16"/>
          <w:lang w:eastAsia="en-US"/>
        </w:rPr>
        <w:t>of the Assessment Report</w:t>
      </w:r>
    </w:p>
    <w:p w14:paraId="77CD52A0" w14:textId="77777777" w:rsidR="002758A8" w:rsidRPr="002758A8" w:rsidRDefault="002758A8" w:rsidP="00AD5F8E">
      <w:pPr>
        <w:rPr>
          <w:rFonts w:ascii="Arial Narrow" w:eastAsia="Calibri" w:hAnsi="Arial Narrow"/>
          <w:sz w:val="16"/>
          <w:szCs w:val="16"/>
          <w:lang w:eastAsia="en-US"/>
        </w:rPr>
      </w:pPr>
      <w:r w:rsidRPr="002758A8">
        <w:rPr>
          <w:rFonts w:ascii="Arial Narrow" w:eastAsia="Calibri" w:hAnsi="Arial Narrow"/>
          <w:b/>
          <w:sz w:val="16"/>
          <w:szCs w:val="16"/>
          <w:lang w:eastAsia="en-US"/>
        </w:rPr>
        <w:t>Abbreviations:</w:t>
      </w:r>
      <w:r w:rsidRPr="002758A8">
        <w:rPr>
          <w:rFonts w:ascii="Arial Narrow" w:eastAsia="Calibri" w:hAnsi="Arial Narrow"/>
          <w:sz w:val="16"/>
          <w:szCs w:val="16"/>
          <w:lang w:eastAsia="en-US"/>
        </w:rPr>
        <w:t xml:space="preserve"> QALY, quality-adjusted life year</w:t>
      </w:r>
    </w:p>
    <w:p w14:paraId="1AE7B2A6" w14:textId="77777777" w:rsidR="00AD5F8E" w:rsidRDefault="00AD5F8E" w:rsidP="00AD5F8E"/>
    <w:p w14:paraId="45BD3AC9" w14:textId="77777777" w:rsidR="002758A8" w:rsidRDefault="002758A8" w:rsidP="00AD5F8E">
      <w:r w:rsidRPr="002758A8">
        <w:t>The incremental cost per QALY estimated is substantially higher than what would typically be considered cost-effective. It is noted, however, that it comprises direct healthcare costs only. Inclusion of other indirect costs such as lost productivity or out of pocket expenses could improve the cost-effectiveness considerably, but is outside the remit of the current research question.</w:t>
      </w:r>
    </w:p>
    <w:p w14:paraId="0784F881" w14:textId="77777777" w:rsidR="00AD5F8E" w:rsidRPr="002758A8" w:rsidRDefault="00AD5F8E" w:rsidP="00AD5F8E"/>
    <w:p w14:paraId="133E2B48" w14:textId="77777777" w:rsidR="002758A8" w:rsidRDefault="002758A8" w:rsidP="00AD5F8E">
      <w:r w:rsidRPr="002758A8">
        <w:t>The cost-utility estimate associated with the routine prophylaxis model is high for all but one of the modifications made to the base case assumptions. This extends even to reductions in the model duration, which do not lead to changes in the results generated, since costs continue to accrue while offering the same benefit as in the base case. There appears to be little scope within the assumptions applied to the model to reduce the incremental cost sufficiently to generate a reasonable ICER, with the exception of restricting access to only those patients with a very high attack frequency.</w:t>
      </w:r>
    </w:p>
    <w:p w14:paraId="530F2865" w14:textId="77777777" w:rsidR="000D7BB1" w:rsidRDefault="000D7BB1" w:rsidP="00AD5F8E"/>
    <w:p w14:paraId="078D9039" w14:textId="77777777" w:rsidR="000D7BB1" w:rsidRDefault="000D7BB1" w:rsidP="00AD5F8E">
      <w:r w:rsidRPr="000D7BB1">
        <w:t>In the base case analysis (where all patients regardless of baseline attack rate were included), the incremental attack rate (the difference in attack rates between the two arms of the model)</w:t>
      </w:r>
      <w:r>
        <w:t xml:space="preserve"> </w:t>
      </w:r>
      <w:r w:rsidRPr="000D7BB1">
        <w:t xml:space="preserve">was set to 4.23 per month (4.7 in the case of no prophylaxis and 0.47 in the case of routine prophylaxis). </w:t>
      </w:r>
      <w:r>
        <w:t>T</w:t>
      </w:r>
      <w:r w:rsidRPr="000D7BB1">
        <w:t xml:space="preserve">he sensitivity </w:t>
      </w:r>
      <w:r>
        <w:t xml:space="preserve">presented in Figure </w:t>
      </w:r>
      <w:r w:rsidR="00244133">
        <w:t>2</w:t>
      </w:r>
      <w:r>
        <w:t xml:space="preserve"> </w:t>
      </w:r>
      <w:r w:rsidRPr="000D7BB1">
        <w:t>below shows the impact of moderate to severe attack frequency on the incremental cost per patient</w:t>
      </w:r>
      <w:r>
        <w:t xml:space="preserve"> over five years</w:t>
      </w:r>
      <w:r w:rsidR="0048331A">
        <w:t xml:space="preserve">. </w:t>
      </w:r>
      <w:r w:rsidRPr="000D7BB1">
        <w:t xml:space="preserve">The data to populate </w:t>
      </w:r>
      <w:r w:rsidR="00677B93">
        <w:t>F</w:t>
      </w:r>
      <w:r w:rsidRPr="000D7BB1">
        <w:t xml:space="preserve">igure </w:t>
      </w:r>
      <w:r w:rsidR="00677B93">
        <w:t xml:space="preserve">2 </w:t>
      </w:r>
      <w:r w:rsidRPr="000D7BB1">
        <w:t xml:space="preserve">were generated by varying the incremental attack rate by artificially </w:t>
      </w:r>
      <w:r w:rsidRPr="000D7BB1">
        <w:lastRenderedPageBreak/>
        <w:t xml:space="preserve">keeping the attack rate in the </w:t>
      </w:r>
      <w:proofErr w:type="spellStart"/>
      <w:r w:rsidRPr="000D7BB1">
        <w:t>Cinryze</w:t>
      </w:r>
      <w:proofErr w:type="spellEnd"/>
      <w:r w:rsidRPr="000D7BB1">
        <w:t xml:space="preserve"> arm unchanged at 0.47 attacks per month and increasing the monthly attack rate in the no prophylaxis arm.</w:t>
      </w:r>
    </w:p>
    <w:p w14:paraId="5CE292E7" w14:textId="77777777" w:rsidR="0048331A" w:rsidRPr="002758A8" w:rsidRDefault="0048331A" w:rsidP="00AD5F8E"/>
    <w:p w14:paraId="7B2A8A98" w14:textId="77777777" w:rsidR="0048331A" w:rsidRDefault="0048331A" w:rsidP="0048331A">
      <w:pPr>
        <w:pStyle w:val="Caption"/>
        <w:ind w:left="0" w:firstLine="0"/>
        <w:rPr>
          <w:highlight w:val="yellow"/>
        </w:rPr>
      </w:pPr>
      <w:r>
        <w:t>Figure</w:t>
      </w:r>
      <w:r w:rsidR="00677B93">
        <w:t xml:space="preserve"> 2</w:t>
      </w:r>
      <w:r w:rsidRPr="005A1A55">
        <w:tab/>
      </w:r>
      <w:r>
        <w:t>Relationship between incremental attack frequency per month and incremental cost per patient</w:t>
      </w:r>
    </w:p>
    <w:p w14:paraId="2A13F1E4" w14:textId="77777777" w:rsidR="0048331A" w:rsidRDefault="0048331A" w:rsidP="0048331A">
      <w:r>
        <w:rPr>
          <w:noProof/>
        </w:rPr>
        <w:drawing>
          <wp:inline distT="0" distB="0" distL="0" distR="0" wp14:anchorId="6AA482D1" wp14:editId="3DABD53A">
            <wp:extent cx="5486400" cy="3103880"/>
            <wp:effectExtent l="0" t="0" r="19050" b="20320"/>
            <wp:docPr id="5" name="Chart 5" title="Relationship between incremental attack frequency per month and incremental cost per pati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33774B" w14:textId="77777777" w:rsidR="00BC1364" w:rsidRDefault="00BC1364" w:rsidP="00DD2858">
      <w:pPr>
        <w:rPr>
          <w:szCs w:val="24"/>
        </w:rPr>
      </w:pPr>
    </w:p>
    <w:p w14:paraId="03744C52" w14:textId="77777777" w:rsidR="00244133" w:rsidRPr="00116FF4" w:rsidRDefault="0048331A" w:rsidP="00DD2858">
      <w:pPr>
        <w:rPr>
          <w:szCs w:val="24"/>
        </w:rPr>
      </w:pPr>
      <w:r w:rsidRPr="00116FF4">
        <w:rPr>
          <w:szCs w:val="24"/>
        </w:rPr>
        <w:t xml:space="preserve">This sensitivity analysis shows how closely the incremental attack rate relates to incremental cost per patient. </w:t>
      </w:r>
      <w:r w:rsidR="00244133" w:rsidRPr="00116FF4">
        <w:rPr>
          <w:szCs w:val="24"/>
        </w:rPr>
        <w:t>MSAC used this sensitivity analysis to target the proposed funded use of C1-INH concentrate as routine prophylaxis, noting the following caveats:</w:t>
      </w:r>
    </w:p>
    <w:p w14:paraId="1FA091A0" w14:textId="77777777" w:rsidR="00244133" w:rsidRPr="00116FF4" w:rsidRDefault="00244133" w:rsidP="00244133">
      <w:pPr>
        <w:pStyle w:val="BulletText0"/>
        <w:spacing w:before="0" w:line="240" w:lineRule="auto"/>
        <w:ind w:left="709" w:hanging="357"/>
        <w:jc w:val="left"/>
        <w:rPr>
          <w:rFonts w:ascii="Times New Roman" w:hAnsi="Times New Roman" w:cs="Times New Roman"/>
          <w:sz w:val="24"/>
          <w:szCs w:val="24"/>
        </w:rPr>
      </w:pPr>
      <w:r w:rsidRPr="00116FF4">
        <w:rPr>
          <w:rFonts w:ascii="Times New Roman" w:hAnsi="Times New Roman" w:cs="Times New Roman"/>
          <w:sz w:val="24"/>
          <w:szCs w:val="24"/>
        </w:rPr>
        <w:t>it assumes</w:t>
      </w:r>
      <w:r w:rsidR="0048331A" w:rsidRPr="00116FF4">
        <w:rPr>
          <w:rFonts w:ascii="Times New Roman" w:hAnsi="Times New Roman" w:cs="Times New Roman"/>
          <w:sz w:val="24"/>
          <w:szCs w:val="24"/>
        </w:rPr>
        <w:t xml:space="preserve"> that </w:t>
      </w:r>
      <w:r w:rsidRPr="00116FF4">
        <w:rPr>
          <w:rFonts w:ascii="Times New Roman" w:hAnsi="Times New Roman" w:cs="Times New Roman"/>
          <w:sz w:val="24"/>
          <w:szCs w:val="24"/>
        </w:rPr>
        <w:t xml:space="preserve">the </w:t>
      </w:r>
      <w:r w:rsidR="0048331A" w:rsidRPr="00116FF4">
        <w:rPr>
          <w:rFonts w:ascii="Times New Roman" w:hAnsi="Times New Roman" w:cs="Times New Roman"/>
          <w:sz w:val="24"/>
          <w:szCs w:val="24"/>
        </w:rPr>
        <w:t xml:space="preserve">incremental QALYs gained (0.9783 over five years) does not </w:t>
      </w:r>
      <w:r w:rsidRPr="00116FF4">
        <w:rPr>
          <w:rFonts w:ascii="Times New Roman" w:hAnsi="Times New Roman" w:cs="Times New Roman"/>
          <w:sz w:val="24"/>
          <w:szCs w:val="24"/>
        </w:rPr>
        <w:t xml:space="preserve">also </w:t>
      </w:r>
      <w:r w:rsidR="0048331A" w:rsidRPr="00116FF4">
        <w:rPr>
          <w:rFonts w:ascii="Times New Roman" w:hAnsi="Times New Roman" w:cs="Times New Roman"/>
          <w:sz w:val="24"/>
          <w:szCs w:val="24"/>
        </w:rPr>
        <w:t xml:space="preserve">change </w:t>
      </w:r>
      <w:r w:rsidRPr="00116FF4">
        <w:rPr>
          <w:rFonts w:ascii="Times New Roman" w:hAnsi="Times New Roman" w:cs="Times New Roman"/>
          <w:sz w:val="24"/>
          <w:szCs w:val="24"/>
        </w:rPr>
        <w:t>as markedly with varying incremental attack rate, so that incremental cost per patient still reasonably reflects incremental cost-effectiveness</w:t>
      </w:r>
    </w:p>
    <w:p w14:paraId="6DFF6490" w14:textId="77777777" w:rsidR="0048331A" w:rsidRPr="00116FF4" w:rsidRDefault="00244133" w:rsidP="00244133">
      <w:pPr>
        <w:pStyle w:val="BulletText0"/>
        <w:spacing w:before="0" w:line="240" w:lineRule="auto"/>
        <w:ind w:left="709" w:hanging="357"/>
        <w:jc w:val="left"/>
        <w:rPr>
          <w:rFonts w:ascii="Times New Roman" w:hAnsi="Times New Roman" w:cs="Times New Roman"/>
          <w:sz w:val="24"/>
          <w:szCs w:val="24"/>
        </w:rPr>
      </w:pPr>
      <w:proofErr w:type="gramStart"/>
      <w:r w:rsidRPr="00116FF4">
        <w:rPr>
          <w:rFonts w:ascii="Times New Roman" w:hAnsi="Times New Roman" w:cs="Times New Roman"/>
          <w:sz w:val="24"/>
          <w:szCs w:val="24"/>
        </w:rPr>
        <w:t>it</w:t>
      </w:r>
      <w:proofErr w:type="gramEnd"/>
      <w:r w:rsidRPr="00116FF4">
        <w:rPr>
          <w:rFonts w:ascii="Times New Roman" w:hAnsi="Times New Roman" w:cs="Times New Roman"/>
          <w:sz w:val="24"/>
          <w:szCs w:val="24"/>
        </w:rPr>
        <w:t xml:space="preserve"> </w:t>
      </w:r>
      <w:r w:rsidR="0048331A" w:rsidRPr="00116FF4">
        <w:rPr>
          <w:rFonts w:ascii="Times New Roman" w:hAnsi="Times New Roman" w:cs="Times New Roman"/>
          <w:sz w:val="24"/>
          <w:szCs w:val="24"/>
        </w:rPr>
        <w:t>not</w:t>
      </w:r>
      <w:r w:rsidRPr="00116FF4">
        <w:rPr>
          <w:rFonts w:ascii="Times New Roman" w:hAnsi="Times New Roman" w:cs="Times New Roman"/>
          <w:sz w:val="24"/>
          <w:szCs w:val="24"/>
        </w:rPr>
        <w:t>es</w:t>
      </w:r>
      <w:r w:rsidR="0048331A" w:rsidRPr="00116FF4">
        <w:rPr>
          <w:rFonts w:ascii="Times New Roman" w:hAnsi="Times New Roman" w:cs="Times New Roman"/>
          <w:sz w:val="24"/>
          <w:szCs w:val="24"/>
        </w:rPr>
        <w:t xml:space="preserve"> that</w:t>
      </w:r>
      <w:r w:rsidR="00677B93" w:rsidRPr="00116FF4">
        <w:rPr>
          <w:rFonts w:ascii="Times New Roman" w:hAnsi="Times New Roman" w:cs="Times New Roman"/>
          <w:sz w:val="24"/>
          <w:szCs w:val="24"/>
        </w:rPr>
        <w:t>,</w:t>
      </w:r>
      <w:r w:rsidR="0048331A" w:rsidRPr="00116FF4">
        <w:rPr>
          <w:rFonts w:ascii="Times New Roman" w:hAnsi="Times New Roman" w:cs="Times New Roman"/>
          <w:sz w:val="24"/>
          <w:szCs w:val="24"/>
        </w:rPr>
        <w:t xml:space="preserve"> </w:t>
      </w:r>
      <w:r w:rsidR="00677B93" w:rsidRPr="00116FF4">
        <w:rPr>
          <w:rFonts w:ascii="Times New Roman" w:hAnsi="Times New Roman" w:cs="Times New Roman"/>
          <w:sz w:val="24"/>
          <w:szCs w:val="24"/>
        </w:rPr>
        <w:t xml:space="preserve">despite </w:t>
      </w:r>
      <w:r w:rsidR="0048331A" w:rsidRPr="00116FF4">
        <w:rPr>
          <w:rFonts w:ascii="Times New Roman" w:hAnsi="Times New Roman" w:cs="Times New Roman"/>
          <w:sz w:val="24"/>
          <w:szCs w:val="24"/>
        </w:rPr>
        <w:t xml:space="preserve">there </w:t>
      </w:r>
      <w:r w:rsidR="00677B93" w:rsidRPr="00116FF4">
        <w:rPr>
          <w:rFonts w:ascii="Times New Roman" w:hAnsi="Times New Roman" w:cs="Times New Roman"/>
          <w:sz w:val="24"/>
          <w:szCs w:val="24"/>
        </w:rPr>
        <w:t>being</w:t>
      </w:r>
      <w:r w:rsidR="0048331A" w:rsidRPr="00116FF4">
        <w:rPr>
          <w:rFonts w:ascii="Times New Roman" w:hAnsi="Times New Roman" w:cs="Times New Roman"/>
          <w:sz w:val="24"/>
          <w:szCs w:val="24"/>
        </w:rPr>
        <w:t xml:space="preserve"> some </w:t>
      </w:r>
      <w:r w:rsidR="00677B93" w:rsidRPr="00116FF4">
        <w:rPr>
          <w:rFonts w:ascii="Times New Roman" w:hAnsi="Times New Roman" w:cs="Times New Roman"/>
          <w:sz w:val="24"/>
          <w:szCs w:val="24"/>
        </w:rPr>
        <w:t>imprecision</w:t>
      </w:r>
      <w:r w:rsidR="0048331A" w:rsidRPr="00116FF4">
        <w:rPr>
          <w:rFonts w:ascii="Times New Roman" w:hAnsi="Times New Roman" w:cs="Times New Roman"/>
          <w:sz w:val="24"/>
          <w:szCs w:val="24"/>
        </w:rPr>
        <w:t xml:space="preserve"> </w:t>
      </w:r>
      <w:r w:rsidRPr="00116FF4">
        <w:rPr>
          <w:rFonts w:ascii="Times New Roman" w:hAnsi="Times New Roman" w:cs="Times New Roman"/>
          <w:sz w:val="24"/>
          <w:szCs w:val="24"/>
        </w:rPr>
        <w:t>about</w:t>
      </w:r>
      <w:r w:rsidR="0048331A" w:rsidRPr="00116FF4">
        <w:rPr>
          <w:rFonts w:ascii="Times New Roman" w:hAnsi="Times New Roman" w:cs="Times New Roman"/>
          <w:sz w:val="24"/>
          <w:szCs w:val="24"/>
        </w:rPr>
        <w:t xml:space="preserve"> </w:t>
      </w:r>
      <w:r w:rsidR="00E12272" w:rsidRPr="00116FF4">
        <w:rPr>
          <w:rFonts w:ascii="Times New Roman" w:hAnsi="Times New Roman" w:cs="Times New Roman"/>
          <w:sz w:val="24"/>
          <w:szCs w:val="24"/>
        </w:rPr>
        <w:t xml:space="preserve">how varying the attack rate in the no prophylaxis arm might predict the attack rate in the </w:t>
      </w:r>
      <w:proofErr w:type="spellStart"/>
      <w:r w:rsidR="00E12272" w:rsidRPr="00116FF4">
        <w:rPr>
          <w:rFonts w:ascii="Times New Roman" w:hAnsi="Times New Roman" w:cs="Times New Roman"/>
          <w:sz w:val="24"/>
          <w:szCs w:val="24"/>
        </w:rPr>
        <w:t>Cinryze</w:t>
      </w:r>
      <w:proofErr w:type="spellEnd"/>
      <w:r w:rsidR="00E12272" w:rsidRPr="00116FF4">
        <w:rPr>
          <w:rFonts w:ascii="Times New Roman" w:hAnsi="Times New Roman" w:cs="Times New Roman"/>
          <w:sz w:val="24"/>
          <w:szCs w:val="24"/>
        </w:rPr>
        <w:t xml:space="preserve"> arm to achieve the modelled increme</w:t>
      </w:r>
      <w:r w:rsidRPr="00116FF4">
        <w:rPr>
          <w:rFonts w:ascii="Times New Roman" w:hAnsi="Times New Roman" w:cs="Times New Roman"/>
          <w:sz w:val="24"/>
          <w:szCs w:val="24"/>
        </w:rPr>
        <w:t xml:space="preserve">ntal attack rate in </w:t>
      </w:r>
      <w:r w:rsidR="00677B93" w:rsidRPr="00116FF4">
        <w:rPr>
          <w:rFonts w:ascii="Times New Roman" w:hAnsi="Times New Roman" w:cs="Times New Roman"/>
          <w:sz w:val="24"/>
          <w:szCs w:val="24"/>
        </w:rPr>
        <w:t>F</w:t>
      </w:r>
      <w:r w:rsidRPr="00116FF4">
        <w:rPr>
          <w:rFonts w:ascii="Times New Roman" w:hAnsi="Times New Roman" w:cs="Times New Roman"/>
          <w:sz w:val="24"/>
          <w:szCs w:val="24"/>
        </w:rPr>
        <w:t>igure</w:t>
      </w:r>
      <w:r w:rsidR="00677B93" w:rsidRPr="00116FF4">
        <w:rPr>
          <w:rFonts w:ascii="Times New Roman" w:hAnsi="Times New Roman" w:cs="Times New Roman"/>
          <w:sz w:val="24"/>
          <w:szCs w:val="24"/>
        </w:rPr>
        <w:t xml:space="preserve"> 2</w:t>
      </w:r>
      <w:r w:rsidRPr="00116FF4">
        <w:rPr>
          <w:rFonts w:ascii="Times New Roman" w:hAnsi="Times New Roman" w:cs="Times New Roman"/>
          <w:sz w:val="24"/>
          <w:szCs w:val="24"/>
        </w:rPr>
        <w:t xml:space="preserve">, it is reasonable to </w:t>
      </w:r>
      <w:r w:rsidR="00EF14A5" w:rsidRPr="00116FF4">
        <w:rPr>
          <w:rFonts w:ascii="Times New Roman" w:hAnsi="Times New Roman" w:cs="Times New Roman"/>
          <w:sz w:val="24"/>
          <w:szCs w:val="24"/>
        </w:rPr>
        <w:t>base the MSAC advice on a more practically implementable threshold based on the attack rate without routine prophylaxis</w:t>
      </w:r>
      <w:r w:rsidRPr="00116FF4">
        <w:rPr>
          <w:rFonts w:ascii="Times New Roman" w:hAnsi="Times New Roman" w:cs="Times New Roman"/>
          <w:sz w:val="24"/>
          <w:szCs w:val="24"/>
        </w:rPr>
        <w:t>.</w:t>
      </w:r>
    </w:p>
    <w:p w14:paraId="79C1E66A" w14:textId="77777777" w:rsidR="0048331A" w:rsidRPr="0075468E" w:rsidRDefault="0048331A" w:rsidP="00DD2858">
      <w:pPr>
        <w:rPr>
          <w:szCs w:val="24"/>
        </w:rPr>
      </w:pPr>
    </w:p>
    <w:p w14:paraId="1EB16553" w14:textId="77777777" w:rsidR="00BC1364" w:rsidRDefault="00BC1364" w:rsidP="007B32D1">
      <w:pPr>
        <w:pStyle w:val="Heading1"/>
        <w:numPr>
          <w:ilvl w:val="0"/>
          <w:numId w:val="23"/>
        </w:numPr>
        <w:ind w:hanging="720"/>
      </w:pPr>
      <w:r w:rsidRPr="008D5885">
        <w:t>Financial/budgetary impacts</w:t>
      </w:r>
    </w:p>
    <w:p w14:paraId="1688DB86" w14:textId="77777777" w:rsidR="00BC1364" w:rsidRDefault="00BC1364" w:rsidP="00D340DE">
      <w:pPr>
        <w:pStyle w:val="Default"/>
      </w:pPr>
    </w:p>
    <w:p w14:paraId="1B5A6A44" w14:textId="790DD13B" w:rsidR="00B0133C" w:rsidRDefault="000D57A3" w:rsidP="00AD5F8E">
      <w:r>
        <w:t>Table 10</w:t>
      </w:r>
      <w:r w:rsidR="00B0133C" w:rsidRPr="00B0133C">
        <w:t xml:space="preserve"> presents the estimated numbers of Australian patients with HAE who may be eligible for NPSL-funded C1-INH concentrate.</w:t>
      </w:r>
    </w:p>
    <w:p w14:paraId="76AB6A39" w14:textId="77777777" w:rsidR="00AD5F8E" w:rsidRPr="00B0133C" w:rsidRDefault="00AD5F8E" w:rsidP="00AD5F8E"/>
    <w:p w14:paraId="2916FD67" w14:textId="3058776B" w:rsidR="00B0133C" w:rsidRPr="00B0133C" w:rsidRDefault="00B0133C" w:rsidP="00B0133C">
      <w:pPr>
        <w:keepNext/>
        <w:spacing w:before="40" w:after="40"/>
        <w:jc w:val="both"/>
        <w:rPr>
          <w:rFonts w:ascii="Arial Narrow" w:eastAsiaTheme="minorHAnsi" w:hAnsi="Arial Narrow" w:cstheme="minorBidi"/>
          <w:b/>
          <w:iCs/>
          <w:sz w:val="20"/>
          <w:szCs w:val="18"/>
          <w:lang w:eastAsia="en-US"/>
        </w:rPr>
      </w:pPr>
      <w:bookmarkStart w:id="37" w:name="_Ref417821584"/>
      <w:bookmarkStart w:id="38" w:name="_Toc417862293"/>
      <w:bookmarkStart w:id="39" w:name="_Toc419428695"/>
      <w:r w:rsidRPr="00B0133C">
        <w:rPr>
          <w:rFonts w:ascii="Arial Narrow" w:eastAsiaTheme="minorHAnsi" w:hAnsi="Arial Narrow" w:cstheme="minorBidi"/>
          <w:b/>
          <w:iCs/>
          <w:sz w:val="20"/>
          <w:szCs w:val="18"/>
          <w:lang w:eastAsia="en-US"/>
        </w:rPr>
        <w:t>Table 1</w:t>
      </w:r>
      <w:bookmarkEnd w:id="37"/>
      <w:r w:rsidR="000D57A3">
        <w:rPr>
          <w:rFonts w:ascii="Arial Narrow" w:eastAsiaTheme="minorHAnsi" w:hAnsi="Arial Narrow" w:cstheme="minorBidi"/>
          <w:b/>
          <w:iCs/>
          <w:sz w:val="20"/>
          <w:szCs w:val="18"/>
          <w:lang w:eastAsia="en-US"/>
        </w:rPr>
        <w:t>0</w:t>
      </w:r>
      <w:r w:rsidRPr="00B0133C">
        <w:rPr>
          <w:rFonts w:ascii="Arial Narrow" w:eastAsiaTheme="minorHAnsi" w:hAnsi="Arial Narrow" w:cstheme="minorBidi"/>
          <w:b/>
          <w:iCs/>
          <w:sz w:val="20"/>
          <w:szCs w:val="18"/>
          <w:lang w:eastAsia="en-US"/>
        </w:rPr>
        <w:tab/>
        <w:t>Estimated number of Australian patients with HAE and eligible for C1-INH concentrate</w:t>
      </w:r>
      <w:bookmarkEnd w:id="38"/>
      <w:bookmarkEnd w:id="39"/>
    </w:p>
    <w:tbl>
      <w:tblPr>
        <w:tblStyle w:val="TableGrid4"/>
        <w:tblpPr w:leftFromText="180" w:rightFromText="180" w:vertAnchor="text" w:horzAnchor="margin" w:tblpX="108" w:tblpY="101"/>
        <w:tblW w:w="8755" w:type="dxa"/>
        <w:tblLook w:val="04A0" w:firstRow="1" w:lastRow="0" w:firstColumn="1" w:lastColumn="0" w:noHBand="0" w:noVBand="1"/>
        <w:tblCaption w:val="Estimated number of Australian patients with HAE and eligible for C1-INH concentrate"/>
        <w:tblDescription w:val="Estimated number of Australian patients with HAE and eligible for C1-INH concentrate"/>
      </w:tblPr>
      <w:tblGrid>
        <w:gridCol w:w="4503"/>
        <w:gridCol w:w="850"/>
        <w:gridCol w:w="851"/>
        <w:gridCol w:w="850"/>
        <w:gridCol w:w="851"/>
        <w:gridCol w:w="850"/>
      </w:tblGrid>
      <w:tr w:rsidR="00B0133C" w:rsidRPr="00B0133C" w14:paraId="229D6237" w14:textId="77777777" w:rsidTr="00AD5F8E">
        <w:trPr>
          <w:tblHeader/>
        </w:trPr>
        <w:tc>
          <w:tcPr>
            <w:tcW w:w="4503" w:type="dxa"/>
            <w:tcBorders>
              <w:bottom w:val="single" w:sz="4" w:space="0" w:color="auto"/>
            </w:tcBorders>
          </w:tcPr>
          <w:p w14:paraId="72041316" w14:textId="77777777" w:rsidR="00B0133C" w:rsidRPr="00B0133C" w:rsidRDefault="00B0133C" w:rsidP="00B0133C">
            <w:pPr>
              <w:spacing w:before="20"/>
              <w:rPr>
                <w:rFonts w:ascii="Arial Narrow" w:eastAsiaTheme="minorEastAsia" w:hAnsi="Arial Narrow"/>
                <w:b/>
                <w:sz w:val="20"/>
                <w:lang w:eastAsia="en-US"/>
              </w:rPr>
            </w:pPr>
          </w:p>
        </w:tc>
        <w:tc>
          <w:tcPr>
            <w:tcW w:w="850" w:type="dxa"/>
            <w:tcBorders>
              <w:bottom w:val="single" w:sz="4" w:space="0" w:color="auto"/>
            </w:tcBorders>
          </w:tcPr>
          <w:p w14:paraId="215D1573"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2016</w:t>
            </w:r>
          </w:p>
          <w:p w14:paraId="0B0CAA55"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Year 1</w:t>
            </w:r>
          </w:p>
        </w:tc>
        <w:tc>
          <w:tcPr>
            <w:tcW w:w="851" w:type="dxa"/>
            <w:tcBorders>
              <w:bottom w:val="single" w:sz="4" w:space="0" w:color="auto"/>
            </w:tcBorders>
          </w:tcPr>
          <w:p w14:paraId="7FEF3247"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2017</w:t>
            </w:r>
          </w:p>
          <w:p w14:paraId="1668BEDD"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Year 2</w:t>
            </w:r>
          </w:p>
        </w:tc>
        <w:tc>
          <w:tcPr>
            <w:tcW w:w="850" w:type="dxa"/>
            <w:tcBorders>
              <w:bottom w:val="single" w:sz="4" w:space="0" w:color="auto"/>
            </w:tcBorders>
          </w:tcPr>
          <w:p w14:paraId="4B6EDB82"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2018</w:t>
            </w:r>
          </w:p>
          <w:p w14:paraId="76E7DF0B"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Year 3</w:t>
            </w:r>
          </w:p>
        </w:tc>
        <w:tc>
          <w:tcPr>
            <w:tcW w:w="851" w:type="dxa"/>
            <w:tcBorders>
              <w:bottom w:val="single" w:sz="4" w:space="0" w:color="auto"/>
            </w:tcBorders>
          </w:tcPr>
          <w:p w14:paraId="38649A83"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2019</w:t>
            </w:r>
          </w:p>
          <w:p w14:paraId="068874A0"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Year 4</w:t>
            </w:r>
          </w:p>
        </w:tc>
        <w:tc>
          <w:tcPr>
            <w:tcW w:w="850" w:type="dxa"/>
            <w:tcBorders>
              <w:bottom w:val="single" w:sz="4" w:space="0" w:color="auto"/>
            </w:tcBorders>
          </w:tcPr>
          <w:p w14:paraId="3BEEDA38"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2020</w:t>
            </w:r>
          </w:p>
          <w:p w14:paraId="553663BE" w14:textId="77777777" w:rsidR="00B0133C" w:rsidRPr="00B0133C" w:rsidRDefault="00B0133C" w:rsidP="00B0133C">
            <w:pPr>
              <w:spacing w:before="20"/>
              <w:jc w:val="center"/>
              <w:rPr>
                <w:rFonts w:ascii="Arial Narrow" w:eastAsiaTheme="minorEastAsia" w:hAnsi="Arial Narrow"/>
                <w:b/>
                <w:sz w:val="20"/>
                <w:lang w:eastAsia="en-US"/>
              </w:rPr>
            </w:pPr>
            <w:r w:rsidRPr="00B0133C">
              <w:rPr>
                <w:rFonts w:ascii="Arial Narrow" w:eastAsiaTheme="minorEastAsia" w:hAnsi="Arial Narrow"/>
                <w:b/>
                <w:sz w:val="20"/>
                <w:lang w:eastAsia="en-US"/>
              </w:rPr>
              <w:t>Year 5</w:t>
            </w:r>
          </w:p>
        </w:tc>
      </w:tr>
      <w:tr w:rsidR="00B0133C" w:rsidRPr="00B0133C" w14:paraId="590BD76A" w14:textId="77777777" w:rsidTr="00AD5F8E">
        <w:tc>
          <w:tcPr>
            <w:tcW w:w="4503" w:type="dxa"/>
          </w:tcPr>
          <w:p w14:paraId="0ACDAAEE"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sz w:val="20"/>
                <w:lang w:eastAsia="en-US"/>
              </w:rPr>
              <w:t>Prevalence of HAE</w:t>
            </w:r>
          </w:p>
        </w:tc>
        <w:tc>
          <w:tcPr>
            <w:tcW w:w="850" w:type="dxa"/>
          </w:tcPr>
          <w:p w14:paraId="0F2322DD"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487</w:t>
            </w:r>
          </w:p>
        </w:tc>
        <w:tc>
          <w:tcPr>
            <w:tcW w:w="851" w:type="dxa"/>
          </w:tcPr>
          <w:p w14:paraId="51FD26D1"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496</w:t>
            </w:r>
          </w:p>
        </w:tc>
        <w:tc>
          <w:tcPr>
            <w:tcW w:w="850" w:type="dxa"/>
          </w:tcPr>
          <w:p w14:paraId="77C6F20B"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504</w:t>
            </w:r>
          </w:p>
        </w:tc>
        <w:tc>
          <w:tcPr>
            <w:tcW w:w="851" w:type="dxa"/>
          </w:tcPr>
          <w:p w14:paraId="26409333"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512</w:t>
            </w:r>
          </w:p>
        </w:tc>
        <w:tc>
          <w:tcPr>
            <w:tcW w:w="850" w:type="dxa"/>
          </w:tcPr>
          <w:p w14:paraId="165BC11B"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521</w:t>
            </w:r>
          </w:p>
        </w:tc>
      </w:tr>
      <w:tr w:rsidR="00B0133C" w:rsidRPr="00B0133C" w14:paraId="73F8920B" w14:textId="77777777" w:rsidTr="00AD5F8E">
        <w:tc>
          <w:tcPr>
            <w:tcW w:w="4503" w:type="dxa"/>
            <w:tcBorders>
              <w:bottom w:val="single" w:sz="4" w:space="0" w:color="auto"/>
            </w:tcBorders>
          </w:tcPr>
          <w:p w14:paraId="3653D699"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sz w:val="20"/>
                <w:lang w:eastAsia="en-US"/>
              </w:rPr>
              <w:t>HAE patients seeking health care</w:t>
            </w:r>
          </w:p>
        </w:tc>
        <w:tc>
          <w:tcPr>
            <w:tcW w:w="850" w:type="dxa"/>
            <w:tcBorders>
              <w:bottom w:val="single" w:sz="4" w:space="0" w:color="auto"/>
            </w:tcBorders>
          </w:tcPr>
          <w:p w14:paraId="495C844C"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108</w:t>
            </w:r>
          </w:p>
        </w:tc>
        <w:tc>
          <w:tcPr>
            <w:tcW w:w="851" w:type="dxa"/>
            <w:tcBorders>
              <w:bottom w:val="single" w:sz="4" w:space="0" w:color="auto"/>
            </w:tcBorders>
          </w:tcPr>
          <w:p w14:paraId="7D4C33D8"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110</w:t>
            </w:r>
          </w:p>
        </w:tc>
        <w:tc>
          <w:tcPr>
            <w:tcW w:w="850" w:type="dxa"/>
            <w:tcBorders>
              <w:bottom w:val="single" w:sz="4" w:space="0" w:color="auto"/>
            </w:tcBorders>
          </w:tcPr>
          <w:p w14:paraId="6F6DD64F"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112</w:t>
            </w:r>
          </w:p>
        </w:tc>
        <w:tc>
          <w:tcPr>
            <w:tcW w:w="851" w:type="dxa"/>
            <w:tcBorders>
              <w:bottom w:val="single" w:sz="4" w:space="0" w:color="auto"/>
            </w:tcBorders>
          </w:tcPr>
          <w:p w14:paraId="63C383D1"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114</w:t>
            </w:r>
          </w:p>
        </w:tc>
        <w:tc>
          <w:tcPr>
            <w:tcW w:w="850" w:type="dxa"/>
          </w:tcPr>
          <w:p w14:paraId="5EA4D126"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116</w:t>
            </w:r>
          </w:p>
        </w:tc>
      </w:tr>
      <w:tr w:rsidR="00B0133C" w:rsidRPr="00B0133C" w14:paraId="78353DDA" w14:textId="77777777" w:rsidTr="00AD5F8E">
        <w:tc>
          <w:tcPr>
            <w:tcW w:w="4503" w:type="dxa"/>
            <w:tcBorders>
              <w:right w:val="nil"/>
            </w:tcBorders>
          </w:tcPr>
          <w:p w14:paraId="220797C6" w14:textId="77777777" w:rsidR="00B0133C" w:rsidRPr="00B0133C" w:rsidRDefault="00B0133C" w:rsidP="00B0133C">
            <w:pPr>
              <w:spacing w:before="20"/>
              <w:rPr>
                <w:rFonts w:ascii="Arial Narrow" w:eastAsiaTheme="minorEastAsia" w:hAnsi="Arial Narrow"/>
                <w:b/>
                <w:sz w:val="20"/>
                <w:lang w:eastAsia="en-US"/>
              </w:rPr>
            </w:pPr>
            <w:r w:rsidRPr="00B0133C">
              <w:rPr>
                <w:rFonts w:ascii="Arial Narrow" w:eastAsiaTheme="minorEastAsia" w:hAnsi="Arial Narrow"/>
                <w:b/>
                <w:sz w:val="20"/>
                <w:lang w:eastAsia="en-US"/>
              </w:rPr>
              <w:t>Treatment of acute attacks</w:t>
            </w:r>
          </w:p>
        </w:tc>
        <w:tc>
          <w:tcPr>
            <w:tcW w:w="850" w:type="dxa"/>
            <w:tcBorders>
              <w:left w:val="nil"/>
              <w:right w:val="nil"/>
            </w:tcBorders>
          </w:tcPr>
          <w:p w14:paraId="18565070"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Borders>
              <w:left w:val="nil"/>
              <w:right w:val="nil"/>
            </w:tcBorders>
          </w:tcPr>
          <w:p w14:paraId="4258936E"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Borders>
              <w:left w:val="nil"/>
              <w:right w:val="nil"/>
            </w:tcBorders>
          </w:tcPr>
          <w:p w14:paraId="5B1CCC62"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Borders>
              <w:left w:val="nil"/>
              <w:right w:val="nil"/>
            </w:tcBorders>
          </w:tcPr>
          <w:p w14:paraId="7AD9BB3E"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Borders>
              <w:left w:val="nil"/>
            </w:tcBorders>
          </w:tcPr>
          <w:p w14:paraId="0DF12C18" w14:textId="77777777" w:rsidR="00B0133C" w:rsidRPr="00B0133C" w:rsidRDefault="00B0133C" w:rsidP="00B0133C">
            <w:pPr>
              <w:spacing w:before="20"/>
              <w:jc w:val="center"/>
              <w:rPr>
                <w:rFonts w:ascii="Arial Narrow" w:eastAsiaTheme="minorEastAsia" w:hAnsi="Arial Narrow"/>
                <w:sz w:val="20"/>
                <w:lang w:eastAsia="en-US"/>
              </w:rPr>
            </w:pPr>
          </w:p>
        </w:tc>
      </w:tr>
      <w:tr w:rsidR="00B0133C" w:rsidRPr="00B0133C" w14:paraId="52C1B044" w14:textId="77777777" w:rsidTr="00AD5F8E">
        <w:tc>
          <w:tcPr>
            <w:tcW w:w="4503" w:type="dxa"/>
          </w:tcPr>
          <w:p w14:paraId="2D92C9AF"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sz w:val="20"/>
                <w:lang w:eastAsia="en-US"/>
              </w:rPr>
              <w:t>Total number of acute HAE attacks that are moderate to severe and not treated with icatibant</w:t>
            </w:r>
          </w:p>
        </w:tc>
        <w:tc>
          <w:tcPr>
            <w:tcW w:w="850" w:type="dxa"/>
          </w:tcPr>
          <w:p w14:paraId="73501138"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377</w:t>
            </w:r>
          </w:p>
        </w:tc>
        <w:tc>
          <w:tcPr>
            <w:tcW w:w="851" w:type="dxa"/>
          </w:tcPr>
          <w:p w14:paraId="61B17898"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400</w:t>
            </w:r>
          </w:p>
        </w:tc>
        <w:tc>
          <w:tcPr>
            <w:tcW w:w="850" w:type="dxa"/>
          </w:tcPr>
          <w:p w14:paraId="706C44BE"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423</w:t>
            </w:r>
          </w:p>
        </w:tc>
        <w:tc>
          <w:tcPr>
            <w:tcW w:w="851" w:type="dxa"/>
          </w:tcPr>
          <w:p w14:paraId="049631F3"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446</w:t>
            </w:r>
          </w:p>
        </w:tc>
        <w:tc>
          <w:tcPr>
            <w:tcW w:w="850" w:type="dxa"/>
          </w:tcPr>
          <w:p w14:paraId="1106F3BF"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469</w:t>
            </w:r>
          </w:p>
        </w:tc>
      </w:tr>
      <w:tr w:rsidR="00B0133C" w:rsidRPr="00B0133C" w14:paraId="611BF78A" w14:textId="77777777" w:rsidTr="00AD5F8E">
        <w:tc>
          <w:tcPr>
            <w:tcW w:w="4503" w:type="dxa"/>
            <w:tcBorders>
              <w:right w:val="nil"/>
            </w:tcBorders>
          </w:tcPr>
          <w:p w14:paraId="6B93FE49" w14:textId="77777777" w:rsidR="00B0133C" w:rsidRPr="00B0133C" w:rsidRDefault="00B0133C" w:rsidP="00B0133C">
            <w:pPr>
              <w:spacing w:before="20"/>
              <w:rPr>
                <w:rFonts w:ascii="Arial Narrow" w:eastAsiaTheme="minorEastAsia" w:hAnsi="Arial Narrow"/>
                <w:b/>
                <w:sz w:val="20"/>
                <w:lang w:eastAsia="en-US"/>
              </w:rPr>
            </w:pPr>
            <w:r w:rsidRPr="00B0133C">
              <w:rPr>
                <w:rFonts w:ascii="Arial Narrow" w:eastAsiaTheme="minorEastAsia" w:hAnsi="Arial Narrow"/>
                <w:b/>
                <w:sz w:val="20"/>
                <w:lang w:eastAsia="en-US"/>
              </w:rPr>
              <w:t>Pre-procedural prophylaxis</w:t>
            </w:r>
          </w:p>
        </w:tc>
        <w:tc>
          <w:tcPr>
            <w:tcW w:w="850" w:type="dxa"/>
            <w:tcBorders>
              <w:left w:val="nil"/>
              <w:right w:val="nil"/>
            </w:tcBorders>
          </w:tcPr>
          <w:p w14:paraId="278F31B4"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Borders>
              <w:left w:val="nil"/>
              <w:right w:val="nil"/>
            </w:tcBorders>
          </w:tcPr>
          <w:p w14:paraId="3B72918B"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Borders>
              <w:left w:val="nil"/>
              <w:right w:val="nil"/>
            </w:tcBorders>
          </w:tcPr>
          <w:p w14:paraId="35466274"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Borders>
              <w:left w:val="nil"/>
              <w:right w:val="nil"/>
            </w:tcBorders>
          </w:tcPr>
          <w:p w14:paraId="683BD7A0"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Borders>
              <w:left w:val="nil"/>
            </w:tcBorders>
          </w:tcPr>
          <w:p w14:paraId="5ACC0D02" w14:textId="77777777" w:rsidR="00B0133C" w:rsidRPr="00B0133C" w:rsidRDefault="00B0133C" w:rsidP="00B0133C">
            <w:pPr>
              <w:spacing w:before="20"/>
              <w:jc w:val="center"/>
              <w:rPr>
                <w:rFonts w:ascii="Arial Narrow" w:eastAsiaTheme="minorEastAsia" w:hAnsi="Arial Narrow"/>
                <w:sz w:val="20"/>
                <w:lang w:eastAsia="en-US"/>
              </w:rPr>
            </w:pPr>
          </w:p>
        </w:tc>
      </w:tr>
      <w:tr w:rsidR="00B0133C" w:rsidRPr="00B0133C" w14:paraId="404F6AB2" w14:textId="77777777" w:rsidTr="00AD5F8E">
        <w:tc>
          <w:tcPr>
            <w:tcW w:w="4503" w:type="dxa"/>
          </w:tcPr>
          <w:p w14:paraId="08F465F8"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sz w:val="20"/>
                <w:lang w:eastAsia="en-US"/>
              </w:rPr>
              <w:t>Total number of procedures requiring prophylaxis with C1-INH concentrate</w:t>
            </w:r>
          </w:p>
        </w:tc>
        <w:tc>
          <w:tcPr>
            <w:tcW w:w="850" w:type="dxa"/>
          </w:tcPr>
          <w:p w14:paraId="22F87FBC"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54</w:t>
            </w:r>
          </w:p>
        </w:tc>
        <w:tc>
          <w:tcPr>
            <w:tcW w:w="851" w:type="dxa"/>
          </w:tcPr>
          <w:p w14:paraId="32492252"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55</w:t>
            </w:r>
          </w:p>
        </w:tc>
        <w:tc>
          <w:tcPr>
            <w:tcW w:w="850" w:type="dxa"/>
          </w:tcPr>
          <w:p w14:paraId="3AB66128"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56</w:t>
            </w:r>
          </w:p>
        </w:tc>
        <w:tc>
          <w:tcPr>
            <w:tcW w:w="851" w:type="dxa"/>
          </w:tcPr>
          <w:p w14:paraId="01BA0C4F"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57</w:t>
            </w:r>
          </w:p>
        </w:tc>
        <w:tc>
          <w:tcPr>
            <w:tcW w:w="850" w:type="dxa"/>
          </w:tcPr>
          <w:p w14:paraId="5976DED5"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58</w:t>
            </w:r>
          </w:p>
        </w:tc>
      </w:tr>
      <w:tr w:rsidR="00B0133C" w:rsidRPr="00B0133C" w14:paraId="42FEF5F5" w14:textId="77777777" w:rsidTr="00AD5F8E">
        <w:tc>
          <w:tcPr>
            <w:tcW w:w="4503" w:type="dxa"/>
          </w:tcPr>
          <w:p w14:paraId="41BD0CED"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b/>
                <w:sz w:val="20"/>
                <w:lang w:eastAsia="en-US"/>
              </w:rPr>
              <w:t>Routine prophylaxis</w:t>
            </w:r>
          </w:p>
        </w:tc>
        <w:tc>
          <w:tcPr>
            <w:tcW w:w="850" w:type="dxa"/>
          </w:tcPr>
          <w:p w14:paraId="0CA5A6E9"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Pr>
          <w:p w14:paraId="4A00DEB5"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Pr>
          <w:p w14:paraId="1E6CAA16" w14:textId="77777777" w:rsidR="00B0133C" w:rsidRPr="00B0133C" w:rsidRDefault="00B0133C" w:rsidP="00B0133C">
            <w:pPr>
              <w:spacing w:before="20"/>
              <w:jc w:val="center"/>
              <w:rPr>
                <w:rFonts w:ascii="Arial Narrow" w:eastAsiaTheme="minorEastAsia" w:hAnsi="Arial Narrow"/>
                <w:sz w:val="20"/>
                <w:lang w:eastAsia="en-US"/>
              </w:rPr>
            </w:pPr>
          </w:p>
        </w:tc>
        <w:tc>
          <w:tcPr>
            <w:tcW w:w="851" w:type="dxa"/>
          </w:tcPr>
          <w:p w14:paraId="49C5C9C9" w14:textId="77777777" w:rsidR="00B0133C" w:rsidRPr="00B0133C" w:rsidRDefault="00B0133C" w:rsidP="00B0133C">
            <w:pPr>
              <w:spacing w:before="20"/>
              <w:jc w:val="center"/>
              <w:rPr>
                <w:rFonts w:ascii="Arial Narrow" w:eastAsiaTheme="minorEastAsia" w:hAnsi="Arial Narrow"/>
                <w:sz w:val="20"/>
                <w:lang w:eastAsia="en-US"/>
              </w:rPr>
            </w:pPr>
          </w:p>
        </w:tc>
        <w:tc>
          <w:tcPr>
            <w:tcW w:w="850" w:type="dxa"/>
          </w:tcPr>
          <w:p w14:paraId="43DAFBE9" w14:textId="77777777" w:rsidR="00B0133C" w:rsidRPr="00B0133C" w:rsidRDefault="00B0133C" w:rsidP="00B0133C">
            <w:pPr>
              <w:spacing w:before="20"/>
              <w:jc w:val="center"/>
              <w:rPr>
                <w:rFonts w:ascii="Arial Narrow" w:eastAsiaTheme="minorEastAsia" w:hAnsi="Arial Narrow"/>
                <w:sz w:val="20"/>
                <w:lang w:eastAsia="en-US"/>
              </w:rPr>
            </w:pPr>
          </w:p>
        </w:tc>
      </w:tr>
      <w:tr w:rsidR="00B0133C" w:rsidRPr="00B0133C" w14:paraId="504F0551" w14:textId="77777777" w:rsidTr="00AD5F8E">
        <w:tc>
          <w:tcPr>
            <w:tcW w:w="4503" w:type="dxa"/>
          </w:tcPr>
          <w:p w14:paraId="4A2E8973" w14:textId="77777777" w:rsidR="00B0133C" w:rsidRPr="00B0133C" w:rsidRDefault="00B0133C" w:rsidP="00B0133C">
            <w:pPr>
              <w:spacing w:before="20"/>
              <w:rPr>
                <w:rFonts w:ascii="Arial Narrow" w:eastAsiaTheme="minorEastAsia" w:hAnsi="Arial Narrow"/>
                <w:sz w:val="20"/>
                <w:lang w:eastAsia="en-US"/>
              </w:rPr>
            </w:pPr>
            <w:r w:rsidRPr="00B0133C">
              <w:rPr>
                <w:rFonts w:ascii="Arial Narrow" w:eastAsiaTheme="minorEastAsia" w:hAnsi="Arial Narrow"/>
                <w:sz w:val="20"/>
                <w:lang w:eastAsia="en-US"/>
              </w:rPr>
              <w:lastRenderedPageBreak/>
              <w:t>Total number of HAE patients that may receive routine prophylaxis with C1-INH</w:t>
            </w:r>
            <w:r w:rsidR="00D932DD">
              <w:rPr>
                <w:rFonts w:ascii="Arial Narrow" w:eastAsiaTheme="minorEastAsia" w:hAnsi="Arial Narrow"/>
                <w:sz w:val="20"/>
                <w:lang w:eastAsia="en-US"/>
              </w:rPr>
              <w:t xml:space="preserve"> concentrate</w:t>
            </w:r>
          </w:p>
        </w:tc>
        <w:tc>
          <w:tcPr>
            <w:tcW w:w="850" w:type="dxa"/>
          </w:tcPr>
          <w:p w14:paraId="765BEB9F"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4</w:t>
            </w:r>
          </w:p>
        </w:tc>
        <w:tc>
          <w:tcPr>
            <w:tcW w:w="851" w:type="dxa"/>
          </w:tcPr>
          <w:p w14:paraId="3F6B33B7"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6</w:t>
            </w:r>
          </w:p>
        </w:tc>
        <w:tc>
          <w:tcPr>
            <w:tcW w:w="850" w:type="dxa"/>
          </w:tcPr>
          <w:p w14:paraId="0EABBE30"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7</w:t>
            </w:r>
          </w:p>
        </w:tc>
        <w:tc>
          <w:tcPr>
            <w:tcW w:w="851" w:type="dxa"/>
          </w:tcPr>
          <w:p w14:paraId="6DABEE95"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8</w:t>
            </w:r>
          </w:p>
        </w:tc>
        <w:tc>
          <w:tcPr>
            <w:tcW w:w="850" w:type="dxa"/>
          </w:tcPr>
          <w:p w14:paraId="77ECBE57" w14:textId="77777777" w:rsidR="00B0133C" w:rsidRPr="00B0133C" w:rsidRDefault="00B0133C" w:rsidP="00B0133C">
            <w:pPr>
              <w:spacing w:before="20"/>
              <w:jc w:val="center"/>
              <w:rPr>
                <w:rFonts w:ascii="Arial Narrow" w:eastAsiaTheme="minorEastAsia" w:hAnsi="Arial Narrow"/>
                <w:sz w:val="20"/>
                <w:lang w:eastAsia="en-US"/>
              </w:rPr>
            </w:pPr>
            <w:r w:rsidRPr="00B0133C">
              <w:rPr>
                <w:rFonts w:ascii="Arial Narrow" w:eastAsiaTheme="minorEastAsia" w:hAnsi="Arial Narrow"/>
                <w:sz w:val="20"/>
                <w:lang w:eastAsia="en-US"/>
              </w:rPr>
              <w:t>8</w:t>
            </w:r>
          </w:p>
        </w:tc>
      </w:tr>
    </w:tbl>
    <w:p w14:paraId="028BDC0E" w14:textId="4F954B69" w:rsidR="00B0133C" w:rsidRPr="00B0133C" w:rsidRDefault="00B0133C" w:rsidP="00B0133C">
      <w:pPr>
        <w:keepNext/>
        <w:rPr>
          <w:rFonts w:ascii="Arial Narrow" w:eastAsia="Calibri" w:hAnsi="Arial Narrow"/>
          <w:sz w:val="16"/>
          <w:szCs w:val="16"/>
          <w:lang w:eastAsia="en-US"/>
        </w:rPr>
      </w:pPr>
      <w:r w:rsidRPr="00B0133C">
        <w:rPr>
          <w:rFonts w:ascii="Arial Narrow" w:eastAsia="Calibri" w:hAnsi="Arial Narrow"/>
          <w:b/>
          <w:sz w:val="16"/>
          <w:szCs w:val="16"/>
          <w:lang w:eastAsia="en-US"/>
        </w:rPr>
        <w:t>Source:</w:t>
      </w:r>
      <w:r w:rsidRPr="00B0133C">
        <w:rPr>
          <w:rFonts w:ascii="Arial Narrow" w:eastAsia="Calibri" w:hAnsi="Arial Narrow"/>
          <w:sz w:val="16"/>
          <w:szCs w:val="16"/>
          <w:lang w:eastAsia="en-US"/>
        </w:rPr>
        <w:t xml:space="preserve"> </w:t>
      </w:r>
      <w:r w:rsidR="007E69B4">
        <w:rPr>
          <w:rFonts w:ascii="Arial Narrow" w:eastAsia="Calibri" w:hAnsi="Arial Narrow"/>
          <w:sz w:val="16"/>
          <w:szCs w:val="16"/>
          <w:lang w:eastAsia="en-US"/>
        </w:rPr>
        <w:t xml:space="preserve">Table E.2.1 </w:t>
      </w:r>
      <w:r w:rsidRPr="00B0133C">
        <w:rPr>
          <w:rFonts w:ascii="Arial Narrow" w:eastAsia="Calibri" w:hAnsi="Arial Narrow"/>
          <w:sz w:val="16"/>
          <w:szCs w:val="16"/>
          <w:lang w:eastAsia="en-US"/>
        </w:rPr>
        <w:t>of the Assessment Report</w:t>
      </w:r>
    </w:p>
    <w:p w14:paraId="4A85C094" w14:textId="77777777" w:rsidR="00B0133C" w:rsidRPr="00B0133C" w:rsidRDefault="00B0133C" w:rsidP="00B0133C">
      <w:pPr>
        <w:spacing w:after="240"/>
        <w:rPr>
          <w:rFonts w:ascii="Arial Narrow" w:eastAsia="Calibri" w:hAnsi="Arial Narrow"/>
          <w:sz w:val="16"/>
          <w:lang w:eastAsia="en-US"/>
        </w:rPr>
      </w:pPr>
      <w:r w:rsidRPr="00B0133C">
        <w:rPr>
          <w:rFonts w:ascii="Arial Narrow" w:eastAsia="Calibri" w:hAnsi="Arial Narrow"/>
          <w:b/>
          <w:sz w:val="16"/>
          <w:lang w:eastAsia="en-US"/>
        </w:rPr>
        <w:t>Abbreviations</w:t>
      </w:r>
      <w:r w:rsidRPr="00B0133C">
        <w:rPr>
          <w:rFonts w:ascii="Arial Narrow" w:eastAsia="Calibri" w:hAnsi="Arial Narrow"/>
          <w:sz w:val="16"/>
          <w:lang w:eastAsia="en-US"/>
        </w:rPr>
        <w:t>: C1-INH, C1 esterase inhibitor; HAE, hereditary angioedema</w:t>
      </w:r>
    </w:p>
    <w:p w14:paraId="0839D027" w14:textId="393DB5DE" w:rsidR="00B0133C" w:rsidRDefault="000D57A3" w:rsidP="00AD5F8E">
      <w:r>
        <w:t>Table 11</w:t>
      </w:r>
      <w:r w:rsidR="00B0133C" w:rsidRPr="00B0133C">
        <w:t xml:space="preserve"> presents the estimated cost to the NPSL of C1-INH concentrate for each of the three scenarios.</w:t>
      </w:r>
    </w:p>
    <w:p w14:paraId="2CF31F3E" w14:textId="77777777" w:rsidR="00AD5F8E" w:rsidRPr="00B0133C" w:rsidRDefault="00AD5F8E" w:rsidP="00AD5F8E"/>
    <w:p w14:paraId="06025469" w14:textId="77777777" w:rsidR="00B0133C" w:rsidRPr="00B0133C" w:rsidRDefault="00B0133C" w:rsidP="00AD5F8E">
      <w:r w:rsidRPr="00B0133C">
        <w:t>In the first scenario, the cost of treating acute attacks is calculated in the absence of any C1-INH concentrate prophylaxis. As prophylaxis reduces the number of acute attacks, the cost of treating acute attacks is also calculated for scenarios in which pre-procedural prophylaxis, or both pre-procedural and routine prophylaxis, are used.</w:t>
      </w:r>
    </w:p>
    <w:p w14:paraId="226CED2E" w14:textId="77777777" w:rsidR="00AD5F8E" w:rsidRDefault="00AD5F8E" w:rsidP="00AD5F8E"/>
    <w:p w14:paraId="47D3B78E" w14:textId="77777777" w:rsidR="00B0133C" w:rsidRPr="00B0133C" w:rsidRDefault="00B0133C" w:rsidP="00AD5F8E">
      <w:r w:rsidRPr="00B0133C">
        <w:t>The cost of providing pre-procedural prophylaxis and routine prophylaxis are shown separately. Finally, the aggregated costs of mixed indications (</w:t>
      </w:r>
      <w:proofErr w:type="gramStart"/>
      <w:r w:rsidRPr="00B0133C">
        <w:t>either acute</w:t>
      </w:r>
      <w:proofErr w:type="gramEnd"/>
      <w:r w:rsidRPr="00B0133C">
        <w:t xml:space="preserve"> attacks plus pre-procedural prophylaxis or all three indications) is presented.</w:t>
      </w:r>
    </w:p>
    <w:p w14:paraId="2035A51E" w14:textId="77777777" w:rsidR="00AD5F8E" w:rsidRDefault="00AD5F8E" w:rsidP="00AD5F8E"/>
    <w:p w14:paraId="450C4445" w14:textId="478EB32A" w:rsidR="00B0133C" w:rsidRDefault="000D57A3" w:rsidP="00AD5F8E">
      <w:r>
        <w:t>The total costs in Table 11</w:t>
      </w:r>
      <w:r w:rsidR="00B0133C" w:rsidRPr="00B0133C">
        <w:t xml:space="preserve"> are calculated using the proposed vial prices for </w:t>
      </w:r>
      <w:proofErr w:type="spellStart"/>
      <w:r w:rsidR="00B0133C" w:rsidRPr="00B0133C">
        <w:t>Cinryze</w:t>
      </w:r>
      <w:proofErr w:type="spellEnd"/>
      <w:r w:rsidR="00B0133C" w:rsidRPr="00B0133C">
        <w:t xml:space="preserve"> and </w:t>
      </w:r>
      <w:proofErr w:type="spellStart"/>
      <w:r w:rsidR="00B0133C" w:rsidRPr="00B0133C">
        <w:t>Berinert</w:t>
      </w:r>
      <w:proofErr w:type="spellEnd"/>
      <w:r w:rsidR="00B0133C" w:rsidRPr="00B0133C">
        <w:t xml:space="preserve"> from the sponsors.</w:t>
      </w:r>
    </w:p>
    <w:p w14:paraId="02A3D2C7" w14:textId="77777777" w:rsidR="00AD5F8E" w:rsidRPr="00B0133C" w:rsidRDefault="00AD5F8E" w:rsidP="00AD5F8E"/>
    <w:p w14:paraId="61D9C940" w14:textId="48785AB5" w:rsidR="00B0133C" w:rsidRPr="00B0133C" w:rsidRDefault="00B0133C" w:rsidP="00E768E3">
      <w:pPr>
        <w:rPr>
          <w:rFonts w:ascii="Arial Narrow" w:eastAsiaTheme="minorHAnsi" w:hAnsi="Arial Narrow" w:cstheme="minorBidi"/>
          <w:b/>
          <w:iCs/>
          <w:sz w:val="20"/>
          <w:szCs w:val="18"/>
          <w:lang w:eastAsia="en-US"/>
        </w:rPr>
      </w:pPr>
      <w:bookmarkStart w:id="40" w:name="_Ref417662708"/>
      <w:bookmarkStart w:id="41" w:name="_Toc417862294"/>
      <w:bookmarkStart w:id="42" w:name="_Toc419428696"/>
      <w:r w:rsidRPr="00B0133C">
        <w:rPr>
          <w:rFonts w:ascii="Arial Narrow" w:eastAsiaTheme="minorHAnsi" w:hAnsi="Arial Narrow" w:cstheme="minorBidi"/>
          <w:b/>
          <w:iCs/>
          <w:sz w:val="20"/>
          <w:szCs w:val="18"/>
          <w:lang w:eastAsia="en-US"/>
        </w:rPr>
        <w:t>Table</w:t>
      </w:r>
      <w:bookmarkEnd w:id="40"/>
      <w:r w:rsidR="000D57A3">
        <w:rPr>
          <w:rFonts w:ascii="Arial Narrow" w:eastAsiaTheme="minorHAnsi" w:hAnsi="Arial Narrow" w:cstheme="minorBidi"/>
          <w:b/>
          <w:iCs/>
          <w:sz w:val="20"/>
          <w:szCs w:val="18"/>
          <w:lang w:eastAsia="en-US"/>
        </w:rPr>
        <w:t xml:space="preserve"> 11</w:t>
      </w:r>
      <w:r w:rsidRPr="00B0133C">
        <w:rPr>
          <w:rFonts w:ascii="Arial Narrow" w:eastAsiaTheme="minorHAnsi" w:hAnsi="Arial Narrow" w:cstheme="minorBidi"/>
          <w:b/>
          <w:iCs/>
          <w:sz w:val="20"/>
          <w:szCs w:val="18"/>
          <w:lang w:eastAsia="en-US"/>
        </w:rPr>
        <w:tab/>
        <w:t>Estimated base case total cost to the NPSL of C1-INH concentrate</w:t>
      </w:r>
      <w:bookmarkEnd w:id="41"/>
      <w:bookmarkEnd w:id="42"/>
      <w:r w:rsidR="0012171F">
        <w:rPr>
          <w:rFonts w:ascii="Arial Narrow" w:eastAsiaTheme="minorHAnsi" w:hAnsi="Arial Narrow" w:cstheme="minorBidi"/>
          <w:b/>
          <w:iCs/>
          <w:sz w:val="20"/>
          <w:szCs w:val="18"/>
          <w:lang w:eastAsia="en-US"/>
        </w:rPr>
        <w:t xml:space="preserve"> </w:t>
      </w:r>
    </w:p>
    <w:tbl>
      <w:tblPr>
        <w:tblStyle w:val="TableGrid"/>
        <w:tblW w:w="9083" w:type="dxa"/>
        <w:tblInd w:w="108" w:type="dxa"/>
        <w:tblLayout w:type="fixed"/>
        <w:tblLook w:val="04A0" w:firstRow="1" w:lastRow="0" w:firstColumn="1" w:lastColumn="0" w:noHBand="0" w:noVBand="1"/>
        <w:tblCaption w:val="Estimated base case total cost to the NPSL of C1-INH concentrate"/>
        <w:tblDescription w:val="Estimated base case total cost to the NPSL of C1-INH concentrate"/>
      </w:tblPr>
      <w:tblGrid>
        <w:gridCol w:w="3402"/>
        <w:gridCol w:w="1136"/>
        <w:gridCol w:w="1136"/>
        <w:gridCol w:w="1136"/>
        <w:gridCol w:w="1136"/>
        <w:gridCol w:w="1137"/>
      </w:tblGrid>
      <w:tr w:rsidR="00DD4178" w:rsidRPr="00703F32" w14:paraId="45DFFFE8" w14:textId="77777777" w:rsidTr="00F50813">
        <w:trPr>
          <w:tblHeader/>
        </w:trPr>
        <w:tc>
          <w:tcPr>
            <w:tcW w:w="3402" w:type="dxa"/>
            <w:tcBorders>
              <w:bottom w:val="single" w:sz="4" w:space="0" w:color="auto"/>
            </w:tcBorders>
          </w:tcPr>
          <w:p w14:paraId="39E62EBB" w14:textId="77777777" w:rsidR="00DD4178" w:rsidRPr="00703F32" w:rsidRDefault="00DD4178" w:rsidP="00632A76">
            <w:pPr>
              <w:pStyle w:val="01Tabletext"/>
              <w:rPr>
                <w:b/>
                <w:szCs w:val="18"/>
              </w:rPr>
            </w:pPr>
          </w:p>
        </w:tc>
        <w:tc>
          <w:tcPr>
            <w:tcW w:w="1136" w:type="dxa"/>
            <w:tcBorders>
              <w:bottom w:val="single" w:sz="4" w:space="0" w:color="auto"/>
            </w:tcBorders>
          </w:tcPr>
          <w:p w14:paraId="4E9B87D6" w14:textId="77777777" w:rsidR="00DD4178" w:rsidRPr="00703F32" w:rsidRDefault="00DD4178" w:rsidP="00632A76">
            <w:pPr>
              <w:pStyle w:val="01Tabletext"/>
              <w:rPr>
                <w:b/>
                <w:szCs w:val="18"/>
              </w:rPr>
            </w:pPr>
            <w:r w:rsidRPr="00703F32">
              <w:rPr>
                <w:b/>
                <w:szCs w:val="18"/>
              </w:rPr>
              <w:t>2016</w:t>
            </w:r>
          </w:p>
          <w:p w14:paraId="3FB6F6A8" w14:textId="77777777" w:rsidR="00DD4178" w:rsidRPr="00703F32" w:rsidRDefault="00DD4178" w:rsidP="00632A76">
            <w:pPr>
              <w:pStyle w:val="01Tabletext"/>
              <w:rPr>
                <w:b/>
                <w:szCs w:val="18"/>
              </w:rPr>
            </w:pPr>
            <w:r w:rsidRPr="00703F32">
              <w:rPr>
                <w:b/>
                <w:szCs w:val="18"/>
              </w:rPr>
              <w:t>Year 1</w:t>
            </w:r>
          </w:p>
        </w:tc>
        <w:tc>
          <w:tcPr>
            <w:tcW w:w="1136" w:type="dxa"/>
            <w:tcBorders>
              <w:bottom w:val="single" w:sz="4" w:space="0" w:color="auto"/>
            </w:tcBorders>
          </w:tcPr>
          <w:p w14:paraId="692163AB" w14:textId="77777777" w:rsidR="00DD4178" w:rsidRPr="00703F32" w:rsidRDefault="00DD4178" w:rsidP="00632A76">
            <w:pPr>
              <w:pStyle w:val="01Tabletext"/>
              <w:rPr>
                <w:b/>
                <w:szCs w:val="18"/>
              </w:rPr>
            </w:pPr>
            <w:r w:rsidRPr="00703F32">
              <w:rPr>
                <w:b/>
                <w:szCs w:val="18"/>
              </w:rPr>
              <w:t>2017</w:t>
            </w:r>
          </w:p>
          <w:p w14:paraId="40F992C1" w14:textId="77777777" w:rsidR="00DD4178" w:rsidRPr="00703F32" w:rsidRDefault="00DD4178" w:rsidP="00632A76">
            <w:pPr>
              <w:pStyle w:val="01Tabletext"/>
              <w:rPr>
                <w:b/>
                <w:szCs w:val="18"/>
              </w:rPr>
            </w:pPr>
            <w:r w:rsidRPr="00703F32">
              <w:rPr>
                <w:b/>
                <w:szCs w:val="18"/>
              </w:rPr>
              <w:t>Year 2</w:t>
            </w:r>
          </w:p>
        </w:tc>
        <w:tc>
          <w:tcPr>
            <w:tcW w:w="1136" w:type="dxa"/>
            <w:tcBorders>
              <w:bottom w:val="single" w:sz="4" w:space="0" w:color="auto"/>
            </w:tcBorders>
          </w:tcPr>
          <w:p w14:paraId="417FC4B7" w14:textId="77777777" w:rsidR="00DD4178" w:rsidRPr="00703F32" w:rsidRDefault="00DD4178" w:rsidP="00632A76">
            <w:pPr>
              <w:pStyle w:val="01Tabletext"/>
              <w:rPr>
                <w:b/>
                <w:szCs w:val="18"/>
              </w:rPr>
            </w:pPr>
            <w:r w:rsidRPr="00703F32">
              <w:rPr>
                <w:b/>
                <w:szCs w:val="18"/>
              </w:rPr>
              <w:t>2018</w:t>
            </w:r>
          </w:p>
          <w:p w14:paraId="5DAA68B6" w14:textId="77777777" w:rsidR="00DD4178" w:rsidRPr="00703F32" w:rsidRDefault="00DD4178" w:rsidP="00632A76">
            <w:pPr>
              <w:pStyle w:val="01Tabletext"/>
              <w:rPr>
                <w:b/>
                <w:szCs w:val="18"/>
              </w:rPr>
            </w:pPr>
            <w:r w:rsidRPr="00703F32">
              <w:rPr>
                <w:b/>
                <w:szCs w:val="18"/>
              </w:rPr>
              <w:t>Year 3</w:t>
            </w:r>
          </w:p>
        </w:tc>
        <w:tc>
          <w:tcPr>
            <w:tcW w:w="1136" w:type="dxa"/>
            <w:tcBorders>
              <w:bottom w:val="single" w:sz="4" w:space="0" w:color="auto"/>
            </w:tcBorders>
          </w:tcPr>
          <w:p w14:paraId="6D7FEBDA" w14:textId="77777777" w:rsidR="00DD4178" w:rsidRPr="00703F32" w:rsidRDefault="00DD4178" w:rsidP="00632A76">
            <w:pPr>
              <w:pStyle w:val="01Tabletext"/>
              <w:rPr>
                <w:b/>
                <w:szCs w:val="18"/>
              </w:rPr>
            </w:pPr>
            <w:r w:rsidRPr="00703F32">
              <w:rPr>
                <w:b/>
                <w:szCs w:val="18"/>
              </w:rPr>
              <w:t>2019</w:t>
            </w:r>
          </w:p>
          <w:p w14:paraId="5F87ECF3" w14:textId="77777777" w:rsidR="00DD4178" w:rsidRPr="00703F32" w:rsidRDefault="00DD4178" w:rsidP="00632A76">
            <w:pPr>
              <w:pStyle w:val="01Tabletext"/>
              <w:rPr>
                <w:b/>
                <w:szCs w:val="18"/>
              </w:rPr>
            </w:pPr>
            <w:r w:rsidRPr="00703F32">
              <w:rPr>
                <w:b/>
                <w:szCs w:val="18"/>
              </w:rPr>
              <w:t>Year 4</w:t>
            </w:r>
          </w:p>
        </w:tc>
        <w:tc>
          <w:tcPr>
            <w:tcW w:w="1137" w:type="dxa"/>
            <w:tcBorders>
              <w:bottom w:val="single" w:sz="4" w:space="0" w:color="auto"/>
            </w:tcBorders>
          </w:tcPr>
          <w:p w14:paraId="7C9A0F8C" w14:textId="77777777" w:rsidR="00DD4178" w:rsidRPr="00703F32" w:rsidRDefault="00DD4178" w:rsidP="00632A76">
            <w:pPr>
              <w:pStyle w:val="01Tabletext"/>
              <w:rPr>
                <w:b/>
                <w:szCs w:val="18"/>
              </w:rPr>
            </w:pPr>
            <w:r w:rsidRPr="00703F32">
              <w:rPr>
                <w:b/>
                <w:szCs w:val="18"/>
              </w:rPr>
              <w:t>2020</w:t>
            </w:r>
          </w:p>
          <w:p w14:paraId="3D5375EE" w14:textId="77777777" w:rsidR="00DD4178" w:rsidRPr="00703F32" w:rsidRDefault="00DD4178" w:rsidP="00632A76">
            <w:pPr>
              <w:pStyle w:val="01Tabletext"/>
              <w:rPr>
                <w:b/>
                <w:szCs w:val="18"/>
              </w:rPr>
            </w:pPr>
            <w:r w:rsidRPr="00703F32">
              <w:rPr>
                <w:b/>
                <w:szCs w:val="18"/>
              </w:rPr>
              <w:t>Year 5</w:t>
            </w:r>
          </w:p>
        </w:tc>
      </w:tr>
      <w:tr w:rsidR="00DD4178" w:rsidRPr="00703F32" w14:paraId="160ABD43" w14:textId="77777777" w:rsidTr="00DD4178">
        <w:tc>
          <w:tcPr>
            <w:tcW w:w="3402" w:type="dxa"/>
            <w:tcBorders>
              <w:right w:val="nil"/>
            </w:tcBorders>
          </w:tcPr>
          <w:p w14:paraId="3D6935F5" w14:textId="77777777" w:rsidR="00DD4178" w:rsidRPr="00703F32" w:rsidRDefault="00DD4178" w:rsidP="00632A76">
            <w:pPr>
              <w:pStyle w:val="01Tabletext"/>
              <w:keepNext/>
              <w:rPr>
                <w:b/>
                <w:szCs w:val="18"/>
              </w:rPr>
            </w:pPr>
            <w:r w:rsidRPr="00703F32">
              <w:rPr>
                <w:b/>
                <w:szCs w:val="18"/>
              </w:rPr>
              <w:t>Base case 1:</w:t>
            </w:r>
            <w:r w:rsidRPr="00703F32">
              <w:rPr>
                <w:szCs w:val="18"/>
              </w:rPr>
              <w:t xml:space="preserve"> Acute attack treatment costs only</w:t>
            </w:r>
          </w:p>
        </w:tc>
        <w:tc>
          <w:tcPr>
            <w:tcW w:w="1136" w:type="dxa"/>
            <w:tcBorders>
              <w:left w:val="nil"/>
              <w:right w:val="nil"/>
            </w:tcBorders>
          </w:tcPr>
          <w:p w14:paraId="0847C735" w14:textId="77777777" w:rsidR="00DD4178" w:rsidRPr="00703F32" w:rsidRDefault="00DD4178" w:rsidP="00632A76">
            <w:pPr>
              <w:pStyle w:val="01Tabletext"/>
              <w:keepNext/>
              <w:rPr>
                <w:szCs w:val="18"/>
              </w:rPr>
            </w:pPr>
          </w:p>
        </w:tc>
        <w:tc>
          <w:tcPr>
            <w:tcW w:w="1136" w:type="dxa"/>
            <w:tcBorders>
              <w:left w:val="nil"/>
              <w:right w:val="nil"/>
            </w:tcBorders>
          </w:tcPr>
          <w:p w14:paraId="44B1EF81" w14:textId="77777777" w:rsidR="00DD4178" w:rsidRPr="00703F32" w:rsidRDefault="00DD4178" w:rsidP="00632A76">
            <w:pPr>
              <w:pStyle w:val="01Tabletext"/>
              <w:keepNext/>
              <w:rPr>
                <w:szCs w:val="18"/>
              </w:rPr>
            </w:pPr>
          </w:p>
        </w:tc>
        <w:tc>
          <w:tcPr>
            <w:tcW w:w="1136" w:type="dxa"/>
            <w:tcBorders>
              <w:left w:val="nil"/>
              <w:right w:val="nil"/>
            </w:tcBorders>
          </w:tcPr>
          <w:p w14:paraId="793E0AFE" w14:textId="77777777" w:rsidR="00DD4178" w:rsidRPr="00703F32" w:rsidRDefault="00DD4178" w:rsidP="00632A76">
            <w:pPr>
              <w:pStyle w:val="01Tabletext"/>
              <w:keepNext/>
              <w:rPr>
                <w:szCs w:val="18"/>
              </w:rPr>
            </w:pPr>
          </w:p>
        </w:tc>
        <w:tc>
          <w:tcPr>
            <w:tcW w:w="1136" w:type="dxa"/>
            <w:tcBorders>
              <w:left w:val="nil"/>
              <w:right w:val="nil"/>
            </w:tcBorders>
          </w:tcPr>
          <w:p w14:paraId="5C389806" w14:textId="77777777" w:rsidR="00DD4178" w:rsidRPr="00703F32" w:rsidRDefault="00DD4178" w:rsidP="00632A76">
            <w:pPr>
              <w:pStyle w:val="01Tabletext"/>
              <w:keepNext/>
              <w:rPr>
                <w:szCs w:val="18"/>
              </w:rPr>
            </w:pPr>
          </w:p>
        </w:tc>
        <w:tc>
          <w:tcPr>
            <w:tcW w:w="1137" w:type="dxa"/>
            <w:tcBorders>
              <w:left w:val="nil"/>
            </w:tcBorders>
          </w:tcPr>
          <w:p w14:paraId="022D11A6" w14:textId="77777777" w:rsidR="00DD4178" w:rsidRPr="00703F32" w:rsidRDefault="00DD4178" w:rsidP="00632A76">
            <w:pPr>
              <w:pStyle w:val="01Tabletext"/>
              <w:keepNext/>
              <w:rPr>
                <w:szCs w:val="18"/>
              </w:rPr>
            </w:pPr>
          </w:p>
        </w:tc>
      </w:tr>
      <w:tr w:rsidR="00DD4178" w:rsidRPr="00703F32" w14:paraId="711132B3" w14:textId="77777777" w:rsidTr="00DD4178">
        <w:tc>
          <w:tcPr>
            <w:tcW w:w="3402" w:type="dxa"/>
          </w:tcPr>
          <w:p w14:paraId="350B7069" w14:textId="77777777" w:rsidR="00DD4178" w:rsidRPr="00703F32" w:rsidRDefault="00DD4178" w:rsidP="00632A76">
            <w:pPr>
              <w:pStyle w:val="01Tabletext"/>
              <w:rPr>
                <w:szCs w:val="18"/>
              </w:rPr>
            </w:pPr>
            <w:proofErr w:type="spellStart"/>
            <w:r w:rsidRPr="00703F32">
              <w:rPr>
                <w:szCs w:val="18"/>
              </w:rPr>
              <w:t>Cinryze</w:t>
            </w:r>
            <w:proofErr w:type="spellEnd"/>
          </w:p>
        </w:tc>
        <w:tc>
          <w:tcPr>
            <w:tcW w:w="1136" w:type="dxa"/>
          </w:tcPr>
          <w:p w14:paraId="12E4380D" w14:textId="19843F76" w:rsidR="00DD4178" w:rsidRPr="00DD4178" w:rsidRDefault="00DD4178" w:rsidP="00632A76">
            <w:pPr>
              <w:pStyle w:val="06Tabletextright-aligned"/>
              <w:rPr>
                <w:b/>
              </w:rPr>
            </w:pPr>
            <w:r>
              <w:rPr>
                <w:b/>
              </w:rPr>
              <w:t>$</w:t>
            </w:r>
            <w:r w:rsidRPr="00DD4178">
              <w:rPr>
                <w:b/>
              </w:rPr>
              <w:t>redacted</w:t>
            </w:r>
          </w:p>
        </w:tc>
        <w:tc>
          <w:tcPr>
            <w:tcW w:w="1136" w:type="dxa"/>
          </w:tcPr>
          <w:p w14:paraId="5846FE46" w14:textId="7DE1EE00" w:rsidR="00DD4178" w:rsidRPr="00703F32" w:rsidRDefault="00DD4178" w:rsidP="00632A76">
            <w:pPr>
              <w:pStyle w:val="06Tabletextright-aligned"/>
            </w:pPr>
            <w:r w:rsidRPr="00703F32">
              <w:t>$</w:t>
            </w:r>
            <w:r w:rsidRPr="00DD4178">
              <w:rPr>
                <w:b/>
              </w:rPr>
              <w:t xml:space="preserve"> redacted</w:t>
            </w:r>
          </w:p>
        </w:tc>
        <w:tc>
          <w:tcPr>
            <w:tcW w:w="1136" w:type="dxa"/>
          </w:tcPr>
          <w:p w14:paraId="36959C12" w14:textId="5AA7CFE3" w:rsidR="00DD4178" w:rsidRPr="00703F32" w:rsidRDefault="00DD4178" w:rsidP="00632A76">
            <w:pPr>
              <w:pStyle w:val="06Tabletextright-aligned"/>
              <w:rPr>
                <w:szCs w:val="18"/>
              </w:rPr>
            </w:pPr>
            <w:r w:rsidRPr="00703F32">
              <w:t>$</w:t>
            </w:r>
            <w:r w:rsidRPr="00DD4178">
              <w:rPr>
                <w:b/>
              </w:rPr>
              <w:t xml:space="preserve"> redacted</w:t>
            </w:r>
          </w:p>
        </w:tc>
        <w:tc>
          <w:tcPr>
            <w:tcW w:w="1136" w:type="dxa"/>
          </w:tcPr>
          <w:p w14:paraId="249133CF" w14:textId="07CE9B87" w:rsidR="00DD4178" w:rsidRPr="00703F32" w:rsidRDefault="00DD4178" w:rsidP="00632A76">
            <w:pPr>
              <w:pStyle w:val="06Tabletextright-aligned"/>
              <w:rPr>
                <w:szCs w:val="18"/>
              </w:rPr>
            </w:pPr>
            <w:r w:rsidRPr="00703F32">
              <w:t>$</w:t>
            </w:r>
            <w:r w:rsidRPr="00DD4178">
              <w:rPr>
                <w:b/>
              </w:rPr>
              <w:t xml:space="preserve"> redacted</w:t>
            </w:r>
          </w:p>
        </w:tc>
        <w:tc>
          <w:tcPr>
            <w:tcW w:w="1137" w:type="dxa"/>
          </w:tcPr>
          <w:p w14:paraId="717D5ACC" w14:textId="4C6E8720" w:rsidR="00DD4178" w:rsidRPr="00703F32" w:rsidRDefault="00DD4178" w:rsidP="00632A76">
            <w:pPr>
              <w:pStyle w:val="06Tabletextright-aligned"/>
              <w:rPr>
                <w:szCs w:val="18"/>
              </w:rPr>
            </w:pPr>
            <w:r w:rsidRPr="00703F32">
              <w:t>$</w:t>
            </w:r>
            <w:r w:rsidRPr="00DD4178">
              <w:rPr>
                <w:b/>
              </w:rPr>
              <w:t xml:space="preserve"> redacted</w:t>
            </w:r>
          </w:p>
        </w:tc>
      </w:tr>
      <w:tr w:rsidR="00DD4178" w:rsidRPr="00703F32" w14:paraId="4D71FDF2" w14:textId="77777777" w:rsidTr="00DD4178">
        <w:tc>
          <w:tcPr>
            <w:tcW w:w="3402" w:type="dxa"/>
            <w:tcBorders>
              <w:bottom w:val="single" w:sz="4" w:space="0" w:color="auto"/>
            </w:tcBorders>
          </w:tcPr>
          <w:p w14:paraId="3BD30120" w14:textId="77777777" w:rsidR="00DD4178" w:rsidRPr="00703F32" w:rsidRDefault="00DD4178" w:rsidP="00632A76">
            <w:pPr>
              <w:pStyle w:val="01Tabletext"/>
              <w:rPr>
                <w:szCs w:val="18"/>
              </w:rPr>
            </w:pPr>
            <w:proofErr w:type="spellStart"/>
            <w:r w:rsidRPr="00703F32">
              <w:rPr>
                <w:szCs w:val="18"/>
              </w:rPr>
              <w:t>Berinert</w:t>
            </w:r>
            <w:proofErr w:type="spellEnd"/>
          </w:p>
        </w:tc>
        <w:tc>
          <w:tcPr>
            <w:tcW w:w="1136" w:type="dxa"/>
            <w:tcBorders>
              <w:bottom w:val="single" w:sz="4" w:space="0" w:color="auto"/>
            </w:tcBorders>
            <w:shd w:val="clear" w:color="auto" w:fill="auto"/>
          </w:tcPr>
          <w:p w14:paraId="28DF0B75" w14:textId="01834FC3" w:rsidR="00DD4178" w:rsidRPr="00703F32" w:rsidRDefault="00DD4178" w:rsidP="00632A76">
            <w:pPr>
              <w:pStyle w:val="06Tabletextright-aligned"/>
              <w:rPr>
                <w:szCs w:val="18"/>
              </w:rPr>
            </w:pPr>
            <w:r>
              <w:rPr>
                <w:b/>
              </w:rPr>
              <w:t>$</w:t>
            </w:r>
            <w:r w:rsidRPr="00DD4178">
              <w:rPr>
                <w:b/>
              </w:rPr>
              <w:t>redacted</w:t>
            </w:r>
          </w:p>
        </w:tc>
        <w:tc>
          <w:tcPr>
            <w:tcW w:w="1136" w:type="dxa"/>
            <w:tcBorders>
              <w:bottom w:val="single" w:sz="4" w:space="0" w:color="auto"/>
            </w:tcBorders>
            <w:shd w:val="clear" w:color="auto" w:fill="auto"/>
          </w:tcPr>
          <w:p w14:paraId="0FC75163" w14:textId="665DEF60" w:rsidR="00DD4178" w:rsidRPr="00703F32" w:rsidRDefault="00DD4178" w:rsidP="00632A76">
            <w:pPr>
              <w:pStyle w:val="06Tabletextright-aligned"/>
              <w:rPr>
                <w:szCs w:val="18"/>
              </w:rPr>
            </w:pPr>
            <w:r w:rsidRPr="00703F32">
              <w:t>$</w:t>
            </w:r>
            <w:r w:rsidRPr="00DD4178">
              <w:rPr>
                <w:b/>
              </w:rPr>
              <w:t xml:space="preserve"> redacted</w:t>
            </w:r>
          </w:p>
        </w:tc>
        <w:tc>
          <w:tcPr>
            <w:tcW w:w="1136" w:type="dxa"/>
            <w:tcBorders>
              <w:bottom w:val="single" w:sz="4" w:space="0" w:color="auto"/>
            </w:tcBorders>
            <w:shd w:val="clear" w:color="auto" w:fill="auto"/>
          </w:tcPr>
          <w:p w14:paraId="6C89FA2F" w14:textId="15A292B9" w:rsidR="00DD4178" w:rsidRPr="00703F32" w:rsidRDefault="00DD4178" w:rsidP="00632A76">
            <w:pPr>
              <w:pStyle w:val="06Tabletextright-aligned"/>
              <w:rPr>
                <w:szCs w:val="18"/>
              </w:rPr>
            </w:pPr>
            <w:r w:rsidRPr="00703F32">
              <w:t>$</w:t>
            </w:r>
            <w:r w:rsidRPr="00DD4178">
              <w:rPr>
                <w:b/>
              </w:rPr>
              <w:t xml:space="preserve"> redacted</w:t>
            </w:r>
          </w:p>
        </w:tc>
        <w:tc>
          <w:tcPr>
            <w:tcW w:w="1136" w:type="dxa"/>
            <w:tcBorders>
              <w:bottom w:val="single" w:sz="4" w:space="0" w:color="auto"/>
            </w:tcBorders>
            <w:shd w:val="clear" w:color="auto" w:fill="auto"/>
          </w:tcPr>
          <w:p w14:paraId="044FD843" w14:textId="604E137E" w:rsidR="00DD4178" w:rsidRPr="00703F32" w:rsidRDefault="00DD4178" w:rsidP="00632A76">
            <w:pPr>
              <w:pStyle w:val="06Tabletextright-aligned"/>
              <w:rPr>
                <w:szCs w:val="18"/>
              </w:rPr>
            </w:pPr>
            <w:r w:rsidRPr="00703F32">
              <w:t>$</w:t>
            </w:r>
            <w:r w:rsidRPr="00DD4178">
              <w:rPr>
                <w:b/>
              </w:rPr>
              <w:t xml:space="preserve"> redacted</w:t>
            </w:r>
          </w:p>
        </w:tc>
        <w:tc>
          <w:tcPr>
            <w:tcW w:w="1137" w:type="dxa"/>
            <w:shd w:val="clear" w:color="auto" w:fill="auto"/>
          </w:tcPr>
          <w:p w14:paraId="06282722" w14:textId="617D741C" w:rsidR="00DD4178" w:rsidRPr="00703F32" w:rsidRDefault="00DD4178" w:rsidP="00632A76">
            <w:pPr>
              <w:pStyle w:val="06Tabletextright-aligned"/>
              <w:rPr>
                <w:szCs w:val="18"/>
              </w:rPr>
            </w:pPr>
            <w:r w:rsidRPr="00703F32">
              <w:t>$</w:t>
            </w:r>
            <w:r w:rsidRPr="00DD4178">
              <w:rPr>
                <w:b/>
              </w:rPr>
              <w:t xml:space="preserve"> redacted</w:t>
            </w:r>
          </w:p>
        </w:tc>
      </w:tr>
      <w:tr w:rsidR="00DD4178" w:rsidRPr="00703F32" w14:paraId="09D8BE97" w14:textId="77777777" w:rsidTr="00DD4178">
        <w:tc>
          <w:tcPr>
            <w:tcW w:w="3402" w:type="dxa"/>
            <w:tcBorders>
              <w:bottom w:val="single" w:sz="4" w:space="0" w:color="auto"/>
              <w:right w:val="nil"/>
            </w:tcBorders>
          </w:tcPr>
          <w:p w14:paraId="29280867" w14:textId="77777777" w:rsidR="00DD4178" w:rsidRPr="00703F32" w:rsidRDefault="00DD4178" w:rsidP="00632A76">
            <w:pPr>
              <w:pStyle w:val="01Tabletext"/>
              <w:keepNext/>
              <w:rPr>
                <w:b/>
                <w:szCs w:val="18"/>
              </w:rPr>
            </w:pPr>
            <w:r w:rsidRPr="00703F32">
              <w:rPr>
                <w:b/>
                <w:szCs w:val="18"/>
              </w:rPr>
              <w:t>Base case 2:</w:t>
            </w:r>
            <w:r w:rsidRPr="00703F32">
              <w:t xml:space="preserve"> With reduced attacks due to pre-procedural prophylaxis</w:t>
            </w:r>
            <w:r w:rsidRPr="00703F32" w:rsidDel="000603B4">
              <w:rPr>
                <w:b/>
                <w:szCs w:val="18"/>
              </w:rPr>
              <w:t xml:space="preserve"> </w:t>
            </w:r>
          </w:p>
        </w:tc>
        <w:tc>
          <w:tcPr>
            <w:tcW w:w="1136" w:type="dxa"/>
            <w:tcBorders>
              <w:left w:val="nil"/>
              <w:bottom w:val="single" w:sz="4" w:space="0" w:color="auto"/>
              <w:right w:val="nil"/>
            </w:tcBorders>
          </w:tcPr>
          <w:p w14:paraId="7FD728F0"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7C4A7100"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4EDE09E8"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372EDB54" w14:textId="77777777" w:rsidR="00DD4178" w:rsidRPr="00703F32" w:rsidRDefault="00DD4178" w:rsidP="00632A76">
            <w:pPr>
              <w:pStyle w:val="06Tabletextright-aligned"/>
              <w:rPr>
                <w:szCs w:val="18"/>
              </w:rPr>
            </w:pPr>
          </w:p>
        </w:tc>
        <w:tc>
          <w:tcPr>
            <w:tcW w:w="1137" w:type="dxa"/>
            <w:tcBorders>
              <w:left w:val="nil"/>
              <w:bottom w:val="single" w:sz="4" w:space="0" w:color="auto"/>
            </w:tcBorders>
          </w:tcPr>
          <w:p w14:paraId="1BA0FB63" w14:textId="77777777" w:rsidR="00DD4178" w:rsidRPr="00703F32" w:rsidRDefault="00DD4178" w:rsidP="00632A76">
            <w:pPr>
              <w:pStyle w:val="06Tabletextright-aligned"/>
              <w:rPr>
                <w:szCs w:val="18"/>
              </w:rPr>
            </w:pPr>
          </w:p>
        </w:tc>
      </w:tr>
      <w:tr w:rsidR="00DD4178" w:rsidRPr="00703F32" w14:paraId="6627915E" w14:textId="77777777" w:rsidTr="00DD4178">
        <w:tc>
          <w:tcPr>
            <w:tcW w:w="3402" w:type="dxa"/>
            <w:tcBorders>
              <w:bottom w:val="nil"/>
            </w:tcBorders>
          </w:tcPr>
          <w:p w14:paraId="5B144E1E" w14:textId="77777777" w:rsidR="00DD4178" w:rsidRPr="00703F32" w:rsidRDefault="00DD4178" w:rsidP="00632A76">
            <w:pPr>
              <w:pStyle w:val="01Tabletext"/>
              <w:rPr>
                <w:szCs w:val="18"/>
              </w:rPr>
            </w:pPr>
            <w:proofErr w:type="spellStart"/>
            <w:r w:rsidRPr="00703F32">
              <w:rPr>
                <w:szCs w:val="18"/>
              </w:rPr>
              <w:t>Cinryze</w:t>
            </w:r>
            <w:proofErr w:type="spellEnd"/>
          </w:p>
        </w:tc>
        <w:tc>
          <w:tcPr>
            <w:tcW w:w="1136" w:type="dxa"/>
            <w:tcBorders>
              <w:bottom w:val="nil"/>
            </w:tcBorders>
          </w:tcPr>
          <w:p w14:paraId="3505B5A2" w14:textId="77777777" w:rsidR="00DD4178" w:rsidRPr="00703F32" w:rsidRDefault="00DD4178" w:rsidP="00632A76">
            <w:pPr>
              <w:pStyle w:val="06Tabletextright-aligned"/>
              <w:rPr>
                <w:szCs w:val="18"/>
              </w:rPr>
            </w:pPr>
          </w:p>
        </w:tc>
        <w:tc>
          <w:tcPr>
            <w:tcW w:w="1136" w:type="dxa"/>
            <w:tcBorders>
              <w:bottom w:val="nil"/>
            </w:tcBorders>
          </w:tcPr>
          <w:p w14:paraId="3715CE6F" w14:textId="77777777" w:rsidR="00DD4178" w:rsidRPr="00703F32" w:rsidRDefault="00DD4178" w:rsidP="00632A76">
            <w:pPr>
              <w:pStyle w:val="06Tabletextright-aligned"/>
              <w:rPr>
                <w:szCs w:val="18"/>
              </w:rPr>
            </w:pPr>
          </w:p>
        </w:tc>
        <w:tc>
          <w:tcPr>
            <w:tcW w:w="1136" w:type="dxa"/>
            <w:tcBorders>
              <w:bottom w:val="nil"/>
            </w:tcBorders>
          </w:tcPr>
          <w:p w14:paraId="5A9D5635" w14:textId="77777777" w:rsidR="00DD4178" w:rsidRPr="00703F32" w:rsidRDefault="00DD4178" w:rsidP="00632A76">
            <w:pPr>
              <w:pStyle w:val="06Tabletextright-aligned"/>
              <w:rPr>
                <w:szCs w:val="18"/>
              </w:rPr>
            </w:pPr>
          </w:p>
        </w:tc>
        <w:tc>
          <w:tcPr>
            <w:tcW w:w="1136" w:type="dxa"/>
            <w:tcBorders>
              <w:bottom w:val="nil"/>
            </w:tcBorders>
          </w:tcPr>
          <w:p w14:paraId="61011FF2" w14:textId="77777777" w:rsidR="00DD4178" w:rsidRPr="00703F32" w:rsidRDefault="00DD4178" w:rsidP="00632A76">
            <w:pPr>
              <w:pStyle w:val="06Tabletextright-aligned"/>
              <w:rPr>
                <w:szCs w:val="18"/>
              </w:rPr>
            </w:pPr>
          </w:p>
        </w:tc>
        <w:tc>
          <w:tcPr>
            <w:tcW w:w="1137" w:type="dxa"/>
            <w:tcBorders>
              <w:bottom w:val="nil"/>
            </w:tcBorders>
          </w:tcPr>
          <w:p w14:paraId="033367F3" w14:textId="77777777" w:rsidR="00DD4178" w:rsidRPr="00703F32" w:rsidRDefault="00DD4178" w:rsidP="00632A76">
            <w:pPr>
              <w:pStyle w:val="06Tabletextright-aligned"/>
              <w:rPr>
                <w:szCs w:val="18"/>
              </w:rPr>
            </w:pPr>
          </w:p>
        </w:tc>
      </w:tr>
      <w:tr w:rsidR="00DD4178" w:rsidRPr="00703F32" w14:paraId="30D54890" w14:textId="77777777" w:rsidTr="00DD4178">
        <w:tc>
          <w:tcPr>
            <w:tcW w:w="3402" w:type="dxa"/>
            <w:tcBorders>
              <w:top w:val="nil"/>
              <w:bottom w:val="nil"/>
            </w:tcBorders>
          </w:tcPr>
          <w:p w14:paraId="1700B6EB" w14:textId="77777777" w:rsidR="00DD4178" w:rsidRPr="00703F32" w:rsidRDefault="00DD4178" w:rsidP="00632A76">
            <w:pPr>
              <w:pStyle w:val="01Tabletext"/>
              <w:ind w:left="170"/>
              <w:rPr>
                <w:szCs w:val="18"/>
              </w:rPr>
            </w:pPr>
            <w:r w:rsidRPr="00703F32">
              <w:rPr>
                <w:szCs w:val="18"/>
              </w:rPr>
              <w:t>Cost of acute attacks</w:t>
            </w:r>
          </w:p>
        </w:tc>
        <w:tc>
          <w:tcPr>
            <w:tcW w:w="1136" w:type="dxa"/>
            <w:tcBorders>
              <w:top w:val="nil"/>
              <w:bottom w:val="nil"/>
            </w:tcBorders>
          </w:tcPr>
          <w:p w14:paraId="117611D7" w14:textId="3B0C12A2"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79972EFB" w14:textId="6D76A6FD"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37F25722" w14:textId="00DF6377"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6705883E" w14:textId="2017F0E5"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5A48AB02" w14:textId="47190B2B" w:rsidR="00DD4178" w:rsidRPr="00703F32" w:rsidRDefault="00DD4178" w:rsidP="00632A76">
            <w:pPr>
              <w:pStyle w:val="06Tabletextright-aligned"/>
            </w:pPr>
            <w:r w:rsidRPr="00703F32">
              <w:t>$</w:t>
            </w:r>
            <w:r w:rsidRPr="00DD4178">
              <w:rPr>
                <w:b/>
              </w:rPr>
              <w:t xml:space="preserve"> redacted</w:t>
            </w:r>
          </w:p>
        </w:tc>
      </w:tr>
      <w:tr w:rsidR="00DD4178" w:rsidRPr="00703F32" w14:paraId="221D2D49" w14:textId="77777777" w:rsidTr="00DD4178">
        <w:tc>
          <w:tcPr>
            <w:tcW w:w="3402" w:type="dxa"/>
            <w:tcBorders>
              <w:top w:val="nil"/>
              <w:bottom w:val="nil"/>
            </w:tcBorders>
          </w:tcPr>
          <w:p w14:paraId="014D982E" w14:textId="77777777" w:rsidR="00DD4178" w:rsidRPr="00703F32" w:rsidRDefault="00DD4178" w:rsidP="00632A76">
            <w:pPr>
              <w:pStyle w:val="01Tabletext"/>
              <w:ind w:left="170"/>
              <w:rPr>
                <w:szCs w:val="18"/>
              </w:rPr>
            </w:pPr>
            <w:r w:rsidRPr="00703F32">
              <w:rPr>
                <w:szCs w:val="18"/>
              </w:rPr>
              <w:t>Cost of pre-procedure prophylaxis</w:t>
            </w:r>
          </w:p>
        </w:tc>
        <w:tc>
          <w:tcPr>
            <w:tcW w:w="1136" w:type="dxa"/>
            <w:tcBorders>
              <w:top w:val="nil"/>
              <w:bottom w:val="nil"/>
            </w:tcBorders>
          </w:tcPr>
          <w:p w14:paraId="18D3C45A" w14:textId="7C81FA26"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0F20678C" w14:textId="1C15C415"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69312356" w14:textId="2D72C330"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1D2588A7" w14:textId="69B70C6E"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43F827D7" w14:textId="00AFED2B" w:rsidR="00DD4178" w:rsidRPr="00703F32" w:rsidRDefault="00DD4178" w:rsidP="00632A76">
            <w:pPr>
              <w:pStyle w:val="06Tabletextright-aligned"/>
            </w:pPr>
            <w:r w:rsidRPr="00703F32">
              <w:t>$</w:t>
            </w:r>
            <w:r w:rsidRPr="00DD4178">
              <w:rPr>
                <w:b/>
              </w:rPr>
              <w:t xml:space="preserve"> redacted</w:t>
            </w:r>
          </w:p>
        </w:tc>
      </w:tr>
      <w:tr w:rsidR="00DD4178" w:rsidRPr="00703F32" w14:paraId="1F58AE55" w14:textId="77777777" w:rsidTr="00DD4178">
        <w:tc>
          <w:tcPr>
            <w:tcW w:w="3402" w:type="dxa"/>
            <w:tcBorders>
              <w:top w:val="nil"/>
              <w:bottom w:val="single" w:sz="4" w:space="0" w:color="auto"/>
            </w:tcBorders>
          </w:tcPr>
          <w:p w14:paraId="545F1C9D" w14:textId="77777777" w:rsidR="00DD4178" w:rsidRPr="00703F32" w:rsidRDefault="00DD4178" w:rsidP="00632A76">
            <w:pPr>
              <w:pStyle w:val="01Tabletext"/>
              <w:ind w:left="170"/>
              <w:rPr>
                <w:b/>
                <w:szCs w:val="18"/>
              </w:rPr>
            </w:pPr>
            <w:r w:rsidRPr="00703F32">
              <w:rPr>
                <w:b/>
                <w:szCs w:val="18"/>
              </w:rPr>
              <w:t>Total</w:t>
            </w:r>
          </w:p>
        </w:tc>
        <w:tc>
          <w:tcPr>
            <w:tcW w:w="1136" w:type="dxa"/>
            <w:tcBorders>
              <w:top w:val="nil"/>
              <w:bottom w:val="single" w:sz="4" w:space="0" w:color="auto"/>
            </w:tcBorders>
          </w:tcPr>
          <w:p w14:paraId="5FD99DBB" w14:textId="32C5CC8A" w:rsidR="00DD4178" w:rsidRPr="00703F32" w:rsidRDefault="00DD4178" w:rsidP="00632A76">
            <w:pPr>
              <w:pStyle w:val="06Tabletextright-aligned"/>
              <w:rPr>
                <w:b/>
              </w:rPr>
            </w:pPr>
            <w:r>
              <w:rPr>
                <w:b/>
              </w:rPr>
              <w:t>$</w:t>
            </w:r>
            <w:r w:rsidRPr="00DD4178">
              <w:rPr>
                <w:b/>
              </w:rPr>
              <w:t>redacted</w:t>
            </w:r>
          </w:p>
        </w:tc>
        <w:tc>
          <w:tcPr>
            <w:tcW w:w="1136" w:type="dxa"/>
            <w:tcBorders>
              <w:top w:val="nil"/>
              <w:bottom w:val="single" w:sz="4" w:space="0" w:color="auto"/>
            </w:tcBorders>
          </w:tcPr>
          <w:p w14:paraId="3A8501F3" w14:textId="1334B0E0" w:rsidR="00DD4178" w:rsidRPr="00703F32" w:rsidRDefault="00DD4178" w:rsidP="00632A76">
            <w:pPr>
              <w:pStyle w:val="06Tabletextright-aligned"/>
              <w:rPr>
                <w:b/>
              </w:rPr>
            </w:pPr>
            <w:r>
              <w:rPr>
                <w:b/>
              </w:rPr>
              <w:t>$</w:t>
            </w:r>
            <w:r w:rsidRPr="00DD4178">
              <w:rPr>
                <w:b/>
              </w:rPr>
              <w:t>redacted</w:t>
            </w:r>
          </w:p>
        </w:tc>
        <w:tc>
          <w:tcPr>
            <w:tcW w:w="1136" w:type="dxa"/>
            <w:tcBorders>
              <w:top w:val="nil"/>
              <w:bottom w:val="single" w:sz="4" w:space="0" w:color="auto"/>
            </w:tcBorders>
          </w:tcPr>
          <w:p w14:paraId="1BA89A27" w14:textId="5F62B6A3" w:rsidR="00DD4178" w:rsidRPr="00703F32" w:rsidRDefault="00DD4178" w:rsidP="00632A76">
            <w:pPr>
              <w:pStyle w:val="06Tabletextright-aligned"/>
              <w:rPr>
                <w:b/>
              </w:rPr>
            </w:pPr>
            <w:r w:rsidRPr="00703F32">
              <w:rPr>
                <w:b/>
              </w:rPr>
              <w:t>$</w:t>
            </w:r>
            <w:r w:rsidRPr="00DD4178">
              <w:rPr>
                <w:b/>
              </w:rPr>
              <w:t xml:space="preserve"> redacted</w:t>
            </w:r>
          </w:p>
        </w:tc>
        <w:tc>
          <w:tcPr>
            <w:tcW w:w="1136" w:type="dxa"/>
            <w:tcBorders>
              <w:top w:val="nil"/>
              <w:bottom w:val="single" w:sz="4" w:space="0" w:color="auto"/>
            </w:tcBorders>
          </w:tcPr>
          <w:p w14:paraId="2E2E7999" w14:textId="22DA8A35" w:rsidR="00DD4178" w:rsidRPr="00703F32" w:rsidRDefault="00DD4178" w:rsidP="00632A76">
            <w:pPr>
              <w:pStyle w:val="06Tabletextright-aligned"/>
              <w:rPr>
                <w:b/>
              </w:rPr>
            </w:pPr>
            <w:r w:rsidRPr="00703F32">
              <w:rPr>
                <w:b/>
              </w:rPr>
              <w:t>$</w:t>
            </w:r>
            <w:r w:rsidRPr="00DD4178">
              <w:rPr>
                <w:b/>
              </w:rPr>
              <w:t xml:space="preserve"> redacted</w:t>
            </w:r>
          </w:p>
        </w:tc>
        <w:tc>
          <w:tcPr>
            <w:tcW w:w="1137" w:type="dxa"/>
            <w:tcBorders>
              <w:top w:val="nil"/>
              <w:bottom w:val="single" w:sz="4" w:space="0" w:color="auto"/>
            </w:tcBorders>
          </w:tcPr>
          <w:p w14:paraId="47FBBB99" w14:textId="1D3BAC31" w:rsidR="00DD4178" w:rsidRPr="00703F32" w:rsidRDefault="00DD4178" w:rsidP="00632A76">
            <w:pPr>
              <w:pStyle w:val="06Tabletextright-aligned"/>
              <w:rPr>
                <w:b/>
              </w:rPr>
            </w:pPr>
            <w:r w:rsidRPr="00703F32">
              <w:rPr>
                <w:b/>
              </w:rPr>
              <w:t>$</w:t>
            </w:r>
            <w:r w:rsidRPr="00DD4178">
              <w:rPr>
                <w:b/>
              </w:rPr>
              <w:t xml:space="preserve"> redacted</w:t>
            </w:r>
          </w:p>
        </w:tc>
      </w:tr>
      <w:tr w:rsidR="00DD4178" w:rsidRPr="00703F32" w14:paraId="23E58492" w14:textId="77777777" w:rsidTr="00DD4178">
        <w:tc>
          <w:tcPr>
            <w:tcW w:w="3402" w:type="dxa"/>
            <w:tcBorders>
              <w:bottom w:val="nil"/>
            </w:tcBorders>
          </w:tcPr>
          <w:p w14:paraId="2824ACE0" w14:textId="77777777" w:rsidR="00DD4178" w:rsidRPr="00703F32" w:rsidRDefault="00DD4178" w:rsidP="00632A76">
            <w:pPr>
              <w:pStyle w:val="01Tabletext"/>
              <w:rPr>
                <w:szCs w:val="18"/>
              </w:rPr>
            </w:pPr>
            <w:proofErr w:type="spellStart"/>
            <w:r w:rsidRPr="00703F32">
              <w:rPr>
                <w:szCs w:val="18"/>
              </w:rPr>
              <w:t>Berinert</w:t>
            </w:r>
            <w:proofErr w:type="spellEnd"/>
            <w:r w:rsidRPr="00703F32">
              <w:rPr>
                <w:szCs w:val="18"/>
              </w:rPr>
              <w:t xml:space="preserve"> (off-label)</w:t>
            </w:r>
          </w:p>
        </w:tc>
        <w:tc>
          <w:tcPr>
            <w:tcW w:w="1136" w:type="dxa"/>
            <w:tcBorders>
              <w:bottom w:val="nil"/>
            </w:tcBorders>
          </w:tcPr>
          <w:p w14:paraId="2208D77B" w14:textId="77777777" w:rsidR="00DD4178" w:rsidRPr="00703F32" w:rsidRDefault="00DD4178" w:rsidP="00632A76">
            <w:pPr>
              <w:pStyle w:val="06Tabletextright-aligned"/>
              <w:rPr>
                <w:szCs w:val="18"/>
              </w:rPr>
            </w:pPr>
          </w:p>
        </w:tc>
        <w:tc>
          <w:tcPr>
            <w:tcW w:w="1136" w:type="dxa"/>
            <w:tcBorders>
              <w:bottom w:val="nil"/>
            </w:tcBorders>
          </w:tcPr>
          <w:p w14:paraId="483F55D0" w14:textId="77777777" w:rsidR="00DD4178" w:rsidRPr="00703F32" w:rsidRDefault="00DD4178" w:rsidP="00632A76">
            <w:pPr>
              <w:pStyle w:val="06Tabletextright-aligned"/>
              <w:rPr>
                <w:szCs w:val="18"/>
              </w:rPr>
            </w:pPr>
          </w:p>
        </w:tc>
        <w:tc>
          <w:tcPr>
            <w:tcW w:w="1136" w:type="dxa"/>
            <w:tcBorders>
              <w:bottom w:val="nil"/>
            </w:tcBorders>
          </w:tcPr>
          <w:p w14:paraId="40CBD505" w14:textId="77777777" w:rsidR="00DD4178" w:rsidRPr="00703F32" w:rsidRDefault="00DD4178" w:rsidP="00632A76">
            <w:pPr>
              <w:pStyle w:val="06Tabletextright-aligned"/>
              <w:rPr>
                <w:szCs w:val="18"/>
              </w:rPr>
            </w:pPr>
          </w:p>
        </w:tc>
        <w:tc>
          <w:tcPr>
            <w:tcW w:w="1136" w:type="dxa"/>
            <w:tcBorders>
              <w:bottom w:val="nil"/>
            </w:tcBorders>
          </w:tcPr>
          <w:p w14:paraId="66B7ED17" w14:textId="77777777" w:rsidR="00DD4178" w:rsidRPr="00703F32" w:rsidRDefault="00DD4178" w:rsidP="00632A76">
            <w:pPr>
              <w:pStyle w:val="06Tabletextright-aligned"/>
              <w:rPr>
                <w:szCs w:val="18"/>
              </w:rPr>
            </w:pPr>
          </w:p>
        </w:tc>
        <w:tc>
          <w:tcPr>
            <w:tcW w:w="1137" w:type="dxa"/>
            <w:tcBorders>
              <w:bottom w:val="nil"/>
            </w:tcBorders>
          </w:tcPr>
          <w:p w14:paraId="390F881D" w14:textId="77777777" w:rsidR="00DD4178" w:rsidRPr="00703F32" w:rsidRDefault="00DD4178" w:rsidP="00632A76">
            <w:pPr>
              <w:pStyle w:val="06Tabletextright-aligned"/>
              <w:rPr>
                <w:szCs w:val="18"/>
              </w:rPr>
            </w:pPr>
          </w:p>
        </w:tc>
      </w:tr>
      <w:tr w:rsidR="00DD4178" w:rsidRPr="00703F32" w14:paraId="6397E6A8" w14:textId="77777777" w:rsidTr="00DD4178">
        <w:tc>
          <w:tcPr>
            <w:tcW w:w="3402" w:type="dxa"/>
            <w:tcBorders>
              <w:top w:val="nil"/>
              <w:bottom w:val="nil"/>
            </w:tcBorders>
          </w:tcPr>
          <w:p w14:paraId="371BAC2E" w14:textId="77777777" w:rsidR="00DD4178" w:rsidRPr="00703F32" w:rsidRDefault="00DD4178" w:rsidP="00632A76">
            <w:pPr>
              <w:pStyle w:val="01Tabletext"/>
              <w:ind w:left="170"/>
              <w:rPr>
                <w:szCs w:val="18"/>
              </w:rPr>
            </w:pPr>
            <w:r w:rsidRPr="00703F32">
              <w:rPr>
                <w:szCs w:val="18"/>
              </w:rPr>
              <w:t>Cost of acute attacks</w:t>
            </w:r>
          </w:p>
        </w:tc>
        <w:tc>
          <w:tcPr>
            <w:tcW w:w="1136" w:type="dxa"/>
            <w:tcBorders>
              <w:top w:val="nil"/>
              <w:bottom w:val="nil"/>
            </w:tcBorders>
          </w:tcPr>
          <w:p w14:paraId="3BA94411" w14:textId="755AB9FF"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67A51478" w14:textId="0298214C"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430F26B2" w14:textId="02B6F368"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374C521B" w14:textId="5DE06ABC"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05F6AEAD" w14:textId="4A16F90C" w:rsidR="00DD4178" w:rsidRPr="00703F32" w:rsidRDefault="00DD4178" w:rsidP="00632A76">
            <w:pPr>
              <w:pStyle w:val="06Tabletextright-aligned"/>
            </w:pPr>
            <w:r w:rsidRPr="00703F32">
              <w:t>$</w:t>
            </w:r>
            <w:r w:rsidRPr="00DD4178">
              <w:rPr>
                <w:b/>
              </w:rPr>
              <w:t xml:space="preserve"> redacted</w:t>
            </w:r>
          </w:p>
        </w:tc>
      </w:tr>
      <w:tr w:rsidR="00DD4178" w:rsidRPr="00703F32" w14:paraId="4061A087" w14:textId="77777777" w:rsidTr="00DD4178">
        <w:tc>
          <w:tcPr>
            <w:tcW w:w="3402" w:type="dxa"/>
            <w:tcBorders>
              <w:top w:val="nil"/>
              <w:bottom w:val="nil"/>
            </w:tcBorders>
          </w:tcPr>
          <w:p w14:paraId="5578A3A1" w14:textId="77777777" w:rsidR="00DD4178" w:rsidRPr="00703F32" w:rsidRDefault="00DD4178" w:rsidP="00632A76">
            <w:pPr>
              <w:pStyle w:val="01Tabletext"/>
              <w:ind w:left="170"/>
              <w:rPr>
                <w:szCs w:val="18"/>
              </w:rPr>
            </w:pPr>
            <w:r w:rsidRPr="00703F32">
              <w:rPr>
                <w:szCs w:val="18"/>
              </w:rPr>
              <w:t>Cost of pre-procedure prophylaxis</w:t>
            </w:r>
          </w:p>
        </w:tc>
        <w:tc>
          <w:tcPr>
            <w:tcW w:w="1136" w:type="dxa"/>
            <w:tcBorders>
              <w:top w:val="nil"/>
              <w:bottom w:val="nil"/>
            </w:tcBorders>
          </w:tcPr>
          <w:p w14:paraId="102A4736" w14:textId="03699EC3"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40FA8F6D" w14:textId="451D96D0"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675D13E6" w14:textId="2C210F1A"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78D14D72" w14:textId="07FFD78F"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10950807" w14:textId="2B13490D" w:rsidR="00DD4178" w:rsidRPr="00703F32" w:rsidRDefault="00DD4178" w:rsidP="00632A76">
            <w:pPr>
              <w:pStyle w:val="06Tabletextright-aligned"/>
            </w:pPr>
            <w:r w:rsidRPr="00703F32">
              <w:t>$</w:t>
            </w:r>
            <w:r w:rsidRPr="00DD4178">
              <w:rPr>
                <w:b/>
              </w:rPr>
              <w:t xml:space="preserve"> redacted</w:t>
            </w:r>
          </w:p>
        </w:tc>
      </w:tr>
      <w:tr w:rsidR="00DD4178" w:rsidRPr="00703F32" w14:paraId="48CDCBE0" w14:textId="77777777" w:rsidTr="00DD4178">
        <w:tc>
          <w:tcPr>
            <w:tcW w:w="3402" w:type="dxa"/>
            <w:tcBorders>
              <w:top w:val="nil"/>
              <w:bottom w:val="single" w:sz="4" w:space="0" w:color="auto"/>
            </w:tcBorders>
          </w:tcPr>
          <w:p w14:paraId="7C58266B" w14:textId="77777777" w:rsidR="00DD4178" w:rsidRPr="00703F32" w:rsidRDefault="00DD4178" w:rsidP="00632A76">
            <w:pPr>
              <w:pStyle w:val="01Tabletext"/>
              <w:ind w:left="170"/>
              <w:rPr>
                <w:b/>
                <w:szCs w:val="18"/>
              </w:rPr>
            </w:pPr>
            <w:r w:rsidRPr="00703F32">
              <w:rPr>
                <w:b/>
                <w:szCs w:val="18"/>
              </w:rPr>
              <w:t>Total</w:t>
            </w:r>
          </w:p>
        </w:tc>
        <w:tc>
          <w:tcPr>
            <w:tcW w:w="1136" w:type="dxa"/>
            <w:tcBorders>
              <w:top w:val="nil"/>
              <w:bottom w:val="single" w:sz="4" w:space="0" w:color="auto"/>
            </w:tcBorders>
          </w:tcPr>
          <w:p w14:paraId="5CC6CCBB" w14:textId="514A7D7E" w:rsidR="00DD4178" w:rsidRPr="00703F32" w:rsidRDefault="00DD4178" w:rsidP="00632A76">
            <w:pPr>
              <w:pStyle w:val="06Tabletextright-aligned"/>
              <w:rPr>
                <w:b/>
              </w:rPr>
            </w:pPr>
            <w:r>
              <w:rPr>
                <w:b/>
              </w:rPr>
              <w:t>$</w:t>
            </w:r>
            <w:r w:rsidRPr="00DD4178">
              <w:rPr>
                <w:b/>
              </w:rPr>
              <w:t>redacted</w:t>
            </w:r>
          </w:p>
        </w:tc>
        <w:tc>
          <w:tcPr>
            <w:tcW w:w="1136" w:type="dxa"/>
            <w:tcBorders>
              <w:top w:val="nil"/>
              <w:bottom w:val="single" w:sz="4" w:space="0" w:color="auto"/>
            </w:tcBorders>
          </w:tcPr>
          <w:p w14:paraId="51A9177F" w14:textId="7BC54C6E" w:rsidR="00DD4178" w:rsidRPr="00703F32" w:rsidRDefault="00DD4178" w:rsidP="00632A76">
            <w:pPr>
              <w:pStyle w:val="06Tabletextright-aligned"/>
              <w:rPr>
                <w:b/>
              </w:rPr>
            </w:pPr>
            <w:r w:rsidRPr="00703F32">
              <w:rPr>
                <w:b/>
              </w:rPr>
              <w:t>$</w:t>
            </w:r>
            <w:r w:rsidRPr="00DD4178">
              <w:rPr>
                <w:b/>
              </w:rPr>
              <w:t xml:space="preserve"> redacted</w:t>
            </w:r>
          </w:p>
        </w:tc>
        <w:tc>
          <w:tcPr>
            <w:tcW w:w="1136" w:type="dxa"/>
            <w:tcBorders>
              <w:top w:val="nil"/>
              <w:bottom w:val="single" w:sz="4" w:space="0" w:color="auto"/>
            </w:tcBorders>
          </w:tcPr>
          <w:p w14:paraId="5EF73CC0" w14:textId="13ABAE68" w:rsidR="00DD4178" w:rsidRPr="00703F32" w:rsidRDefault="00DD4178" w:rsidP="00632A76">
            <w:pPr>
              <w:pStyle w:val="06Tabletextright-aligned"/>
              <w:rPr>
                <w:b/>
              </w:rPr>
            </w:pPr>
            <w:r w:rsidRPr="00703F32">
              <w:rPr>
                <w:b/>
              </w:rPr>
              <w:t>$</w:t>
            </w:r>
            <w:r w:rsidRPr="00DD4178">
              <w:rPr>
                <w:b/>
              </w:rPr>
              <w:t xml:space="preserve"> redacted</w:t>
            </w:r>
          </w:p>
        </w:tc>
        <w:tc>
          <w:tcPr>
            <w:tcW w:w="1136" w:type="dxa"/>
            <w:tcBorders>
              <w:top w:val="nil"/>
              <w:bottom w:val="single" w:sz="4" w:space="0" w:color="auto"/>
            </w:tcBorders>
          </w:tcPr>
          <w:p w14:paraId="4DE274E1" w14:textId="3613D36D" w:rsidR="00DD4178" w:rsidRPr="00703F32" w:rsidRDefault="00DD4178" w:rsidP="00632A76">
            <w:pPr>
              <w:pStyle w:val="06Tabletextright-aligned"/>
              <w:rPr>
                <w:b/>
              </w:rPr>
            </w:pPr>
            <w:r w:rsidRPr="00703F32">
              <w:rPr>
                <w:b/>
              </w:rPr>
              <w:t>$</w:t>
            </w:r>
            <w:r w:rsidRPr="00DD4178">
              <w:rPr>
                <w:b/>
              </w:rPr>
              <w:t xml:space="preserve"> redacted</w:t>
            </w:r>
          </w:p>
        </w:tc>
        <w:tc>
          <w:tcPr>
            <w:tcW w:w="1137" w:type="dxa"/>
            <w:tcBorders>
              <w:top w:val="nil"/>
            </w:tcBorders>
          </w:tcPr>
          <w:p w14:paraId="03AAC17F" w14:textId="6915DC81" w:rsidR="00DD4178" w:rsidRPr="00703F32" w:rsidRDefault="00DD4178" w:rsidP="00632A76">
            <w:pPr>
              <w:pStyle w:val="06Tabletextright-aligned"/>
              <w:rPr>
                <w:b/>
              </w:rPr>
            </w:pPr>
            <w:r w:rsidRPr="00703F32">
              <w:rPr>
                <w:b/>
              </w:rPr>
              <w:t>$</w:t>
            </w:r>
            <w:r w:rsidRPr="00DD4178">
              <w:rPr>
                <w:b/>
              </w:rPr>
              <w:t xml:space="preserve"> redacted</w:t>
            </w:r>
          </w:p>
        </w:tc>
      </w:tr>
      <w:tr w:rsidR="00DD4178" w:rsidRPr="00703F32" w14:paraId="73C2906E" w14:textId="77777777" w:rsidTr="00DD4178">
        <w:tc>
          <w:tcPr>
            <w:tcW w:w="3402" w:type="dxa"/>
            <w:tcBorders>
              <w:bottom w:val="single" w:sz="4" w:space="0" w:color="auto"/>
              <w:right w:val="nil"/>
            </w:tcBorders>
          </w:tcPr>
          <w:p w14:paraId="1A1326B2" w14:textId="77777777" w:rsidR="00DD4178" w:rsidRPr="00703F32" w:rsidRDefault="00DD4178" w:rsidP="00632A76">
            <w:pPr>
              <w:pStyle w:val="01Tabletext"/>
              <w:rPr>
                <w:b/>
              </w:rPr>
            </w:pPr>
            <w:r w:rsidRPr="00703F32">
              <w:rPr>
                <w:b/>
              </w:rPr>
              <w:t xml:space="preserve">Base case 3: </w:t>
            </w:r>
            <w:r w:rsidRPr="00703F32">
              <w:t>With reduced attacks due to pre-procedural and routine prophylaxis</w:t>
            </w:r>
          </w:p>
        </w:tc>
        <w:tc>
          <w:tcPr>
            <w:tcW w:w="1136" w:type="dxa"/>
            <w:tcBorders>
              <w:left w:val="nil"/>
              <w:bottom w:val="single" w:sz="4" w:space="0" w:color="auto"/>
              <w:right w:val="nil"/>
            </w:tcBorders>
          </w:tcPr>
          <w:p w14:paraId="6BC037BA"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4826DC32"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15DA4D26" w14:textId="77777777" w:rsidR="00DD4178" w:rsidRPr="00703F32" w:rsidRDefault="00DD4178" w:rsidP="00632A76">
            <w:pPr>
              <w:pStyle w:val="06Tabletextright-aligned"/>
              <w:rPr>
                <w:szCs w:val="18"/>
              </w:rPr>
            </w:pPr>
          </w:p>
        </w:tc>
        <w:tc>
          <w:tcPr>
            <w:tcW w:w="1136" w:type="dxa"/>
            <w:tcBorders>
              <w:left w:val="nil"/>
              <w:bottom w:val="single" w:sz="4" w:space="0" w:color="auto"/>
              <w:right w:val="nil"/>
            </w:tcBorders>
          </w:tcPr>
          <w:p w14:paraId="72CE5C41" w14:textId="77777777" w:rsidR="00DD4178" w:rsidRPr="00703F32" w:rsidRDefault="00DD4178" w:rsidP="00632A76">
            <w:pPr>
              <w:pStyle w:val="06Tabletextright-aligned"/>
              <w:rPr>
                <w:szCs w:val="18"/>
              </w:rPr>
            </w:pPr>
          </w:p>
        </w:tc>
        <w:tc>
          <w:tcPr>
            <w:tcW w:w="1137" w:type="dxa"/>
            <w:tcBorders>
              <w:left w:val="nil"/>
              <w:bottom w:val="single" w:sz="4" w:space="0" w:color="auto"/>
            </w:tcBorders>
          </w:tcPr>
          <w:p w14:paraId="71B62551" w14:textId="77777777" w:rsidR="00DD4178" w:rsidRPr="00703F32" w:rsidRDefault="00DD4178" w:rsidP="00632A76">
            <w:pPr>
              <w:pStyle w:val="06Tabletextright-aligned"/>
              <w:rPr>
                <w:szCs w:val="18"/>
              </w:rPr>
            </w:pPr>
          </w:p>
        </w:tc>
      </w:tr>
      <w:tr w:rsidR="00DD4178" w:rsidRPr="00703F32" w14:paraId="56513CFB" w14:textId="77777777" w:rsidTr="00DD4178">
        <w:tc>
          <w:tcPr>
            <w:tcW w:w="3402" w:type="dxa"/>
            <w:tcBorders>
              <w:bottom w:val="nil"/>
            </w:tcBorders>
          </w:tcPr>
          <w:p w14:paraId="0A2BBD7B" w14:textId="77777777" w:rsidR="00DD4178" w:rsidRPr="00703F32" w:rsidRDefault="00DD4178" w:rsidP="00632A76">
            <w:pPr>
              <w:pStyle w:val="01Tabletext"/>
              <w:rPr>
                <w:szCs w:val="18"/>
              </w:rPr>
            </w:pPr>
            <w:proofErr w:type="spellStart"/>
            <w:r w:rsidRPr="00703F32">
              <w:rPr>
                <w:szCs w:val="18"/>
              </w:rPr>
              <w:t>Cinryze</w:t>
            </w:r>
            <w:proofErr w:type="spellEnd"/>
          </w:p>
        </w:tc>
        <w:tc>
          <w:tcPr>
            <w:tcW w:w="1136" w:type="dxa"/>
            <w:tcBorders>
              <w:bottom w:val="nil"/>
            </w:tcBorders>
          </w:tcPr>
          <w:p w14:paraId="4B10D25A" w14:textId="77777777" w:rsidR="00DD4178" w:rsidRPr="00703F32" w:rsidRDefault="00DD4178" w:rsidP="00632A76">
            <w:pPr>
              <w:pStyle w:val="06Tabletextright-aligned"/>
              <w:rPr>
                <w:szCs w:val="18"/>
              </w:rPr>
            </w:pPr>
          </w:p>
        </w:tc>
        <w:tc>
          <w:tcPr>
            <w:tcW w:w="1136" w:type="dxa"/>
            <w:tcBorders>
              <w:bottom w:val="nil"/>
            </w:tcBorders>
          </w:tcPr>
          <w:p w14:paraId="5F62A926" w14:textId="77777777" w:rsidR="00DD4178" w:rsidRPr="00703F32" w:rsidRDefault="00DD4178" w:rsidP="00632A76">
            <w:pPr>
              <w:pStyle w:val="06Tabletextright-aligned"/>
              <w:rPr>
                <w:szCs w:val="18"/>
              </w:rPr>
            </w:pPr>
          </w:p>
        </w:tc>
        <w:tc>
          <w:tcPr>
            <w:tcW w:w="1136" w:type="dxa"/>
            <w:tcBorders>
              <w:bottom w:val="nil"/>
            </w:tcBorders>
          </w:tcPr>
          <w:p w14:paraId="67000A91" w14:textId="77777777" w:rsidR="00DD4178" w:rsidRPr="00703F32" w:rsidRDefault="00DD4178" w:rsidP="00632A76">
            <w:pPr>
              <w:pStyle w:val="06Tabletextright-aligned"/>
              <w:rPr>
                <w:szCs w:val="18"/>
              </w:rPr>
            </w:pPr>
          </w:p>
        </w:tc>
        <w:tc>
          <w:tcPr>
            <w:tcW w:w="1136" w:type="dxa"/>
            <w:tcBorders>
              <w:bottom w:val="nil"/>
            </w:tcBorders>
          </w:tcPr>
          <w:p w14:paraId="07A24EDF" w14:textId="77777777" w:rsidR="00DD4178" w:rsidRPr="00703F32" w:rsidRDefault="00DD4178" w:rsidP="00632A76">
            <w:pPr>
              <w:pStyle w:val="06Tabletextright-aligned"/>
              <w:rPr>
                <w:szCs w:val="18"/>
              </w:rPr>
            </w:pPr>
          </w:p>
        </w:tc>
        <w:tc>
          <w:tcPr>
            <w:tcW w:w="1137" w:type="dxa"/>
            <w:tcBorders>
              <w:bottom w:val="nil"/>
            </w:tcBorders>
          </w:tcPr>
          <w:p w14:paraId="78B86D97" w14:textId="77777777" w:rsidR="00DD4178" w:rsidRPr="00703F32" w:rsidRDefault="00DD4178" w:rsidP="00632A76">
            <w:pPr>
              <w:pStyle w:val="06Tabletextright-aligned"/>
              <w:rPr>
                <w:szCs w:val="18"/>
              </w:rPr>
            </w:pPr>
          </w:p>
        </w:tc>
      </w:tr>
      <w:tr w:rsidR="00DD4178" w:rsidRPr="00703F32" w14:paraId="60B439D7" w14:textId="77777777" w:rsidTr="00DD4178">
        <w:tc>
          <w:tcPr>
            <w:tcW w:w="3402" w:type="dxa"/>
            <w:tcBorders>
              <w:top w:val="nil"/>
              <w:bottom w:val="nil"/>
            </w:tcBorders>
          </w:tcPr>
          <w:p w14:paraId="059D3E15" w14:textId="77777777" w:rsidR="00DD4178" w:rsidRPr="00703F32" w:rsidRDefault="00DD4178" w:rsidP="00632A76">
            <w:pPr>
              <w:pStyle w:val="01Tabletext"/>
              <w:ind w:left="170"/>
              <w:rPr>
                <w:szCs w:val="18"/>
              </w:rPr>
            </w:pPr>
            <w:r w:rsidRPr="00703F32">
              <w:rPr>
                <w:szCs w:val="18"/>
              </w:rPr>
              <w:t>Cost of acute attacks</w:t>
            </w:r>
          </w:p>
        </w:tc>
        <w:tc>
          <w:tcPr>
            <w:tcW w:w="1136" w:type="dxa"/>
            <w:tcBorders>
              <w:top w:val="nil"/>
              <w:bottom w:val="nil"/>
            </w:tcBorders>
          </w:tcPr>
          <w:p w14:paraId="7C635762" w14:textId="6240AD5E"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0A1C4DCE" w14:textId="51B381BC"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7AE18D68" w14:textId="502AE497"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39FACA1D" w14:textId="32ACD582"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6528939F" w14:textId="0FDA6F11" w:rsidR="00DD4178" w:rsidRPr="00703F32" w:rsidRDefault="00DD4178" w:rsidP="00632A76">
            <w:pPr>
              <w:pStyle w:val="06Tabletextright-aligned"/>
            </w:pPr>
            <w:r w:rsidRPr="00703F32">
              <w:t>$</w:t>
            </w:r>
            <w:r w:rsidRPr="00DD4178">
              <w:rPr>
                <w:b/>
              </w:rPr>
              <w:t xml:space="preserve"> redacted</w:t>
            </w:r>
          </w:p>
        </w:tc>
      </w:tr>
      <w:tr w:rsidR="00DD4178" w:rsidRPr="00703F32" w14:paraId="0B801AD3" w14:textId="77777777" w:rsidTr="00DD4178">
        <w:tc>
          <w:tcPr>
            <w:tcW w:w="3402" w:type="dxa"/>
            <w:tcBorders>
              <w:top w:val="nil"/>
              <w:bottom w:val="nil"/>
            </w:tcBorders>
          </w:tcPr>
          <w:p w14:paraId="7D1BC957" w14:textId="77777777" w:rsidR="00DD4178" w:rsidRPr="00703F32" w:rsidRDefault="00DD4178" w:rsidP="00632A76">
            <w:pPr>
              <w:pStyle w:val="01Tabletext"/>
              <w:ind w:left="170"/>
              <w:rPr>
                <w:szCs w:val="18"/>
              </w:rPr>
            </w:pPr>
            <w:r w:rsidRPr="00703F32">
              <w:rPr>
                <w:szCs w:val="18"/>
              </w:rPr>
              <w:t>Cost of pre-procedure prophylaxis</w:t>
            </w:r>
          </w:p>
        </w:tc>
        <w:tc>
          <w:tcPr>
            <w:tcW w:w="1136" w:type="dxa"/>
            <w:tcBorders>
              <w:top w:val="nil"/>
              <w:bottom w:val="nil"/>
            </w:tcBorders>
          </w:tcPr>
          <w:p w14:paraId="2E07FF73" w14:textId="7F4AF6C4"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03DFA763" w14:textId="44463CAB"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362534D1" w14:textId="3772C66B"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4C680413" w14:textId="609B2A54"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4D71380D" w14:textId="52D0E22D" w:rsidR="00DD4178" w:rsidRPr="00703F32" w:rsidRDefault="00DD4178" w:rsidP="00632A76">
            <w:pPr>
              <w:pStyle w:val="06Tabletextright-aligned"/>
            </w:pPr>
            <w:r w:rsidRPr="00703F32">
              <w:t>$</w:t>
            </w:r>
            <w:r w:rsidRPr="00DD4178">
              <w:rPr>
                <w:b/>
              </w:rPr>
              <w:t xml:space="preserve"> redacted</w:t>
            </w:r>
          </w:p>
        </w:tc>
      </w:tr>
      <w:tr w:rsidR="00DD4178" w:rsidRPr="00703F32" w14:paraId="10C5CD38" w14:textId="77777777" w:rsidTr="00DD4178">
        <w:tc>
          <w:tcPr>
            <w:tcW w:w="3402" w:type="dxa"/>
            <w:tcBorders>
              <w:top w:val="nil"/>
              <w:bottom w:val="nil"/>
            </w:tcBorders>
          </w:tcPr>
          <w:p w14:paraId="4C91CACC" w14:textId="77777777" w:rsidR="00DD4178" w:rsidRPr="00703F32" w:rsidRDefault="00DD4178" w:rsidP="00632A76">
            <w:pPr>
              <w:pStyle w:val="01Tabletext"/>
              <w:ind w:left="170"/>
              <w:rPr>
                <w:szCs w:val="18"/>
              </w:rPr>
            </w:pPr>
            <w:r w:rsidRPr="00703F32">
              <w:rPr>
                <w:szCs w:val="18"/>
              </w:rPr>
              <w:t>Cost of routine prophylaxis</w:t>
            </w:r>
          </w:p>
        </w:tc>
        <w:tc>
          <w:tcPr>
            <w:tcW w:w="1136" w:type="dxa"/>
            <w:tcBorders>
              <w:top w:val="nil"/>
              <w:bottom w:val="nil"/>
            </w:tcBorders>
          </w:tcPr>
          <w:p w14:paraId="101DCC27" w14:textId="37DBD4E8"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622DB80D" w14:textId="2D05F16F"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0EFABA4B" w14:textId="4EC22ADF" w:rsidR="00DD4178" w:rsidRPr="00703F32" w:rsidRDefault="00DD4178" w:rsidP="00632A76">
            <w:pPr>
              <w:pStyle w:val="06Tabletextright-aligned"/>
            </w:pPr>
            <w:r w:rsidRPr="00703F32">
              <w:t>$</w:t>
            </w:r>
            <w:r w:rsidRPr="00DD4178">
              <w:rPr>
                <w:b/>
              </w:rPr>
              <w:t xml:space="preserve"> redacted</w:t>
            </w:r>
          </w:p>
        </w:tc>
        <w:tc>
          <w:tcPr>
            <w:tcW w:w="1136" w:type="dxa"/>
            <w:tcBorders>
              <w:top w:val="nil"/>
              <w:bottom w:val="nil"/>
            </w:tcBorders>
          </w:tcPr>
          <w:p w14:paraId="43C9947B" w14:textId="024B01D4" w:rsidR="00DD4178" w:rsidRPr="00703F32" w:rsidRDefault="00DD4178" w:rsidP="00632A76">
            <w:pPr>
              <w:pStyle w:val="06Tabletextright-aligned"/>
            </w:pPr>
            <w:r w:rsidRPr="00703F32">
              <w:t>$</w:t>
            </w:r>
            <w:r w:rsidRPr="00DD4178">
              <w:rPr>
                <w:b/>
              </w:rPr>
              <w:t xml:space="preserve"> redacted</w:t>
            </w:r>
          </w:p>
        </w:tc>
        <w:tc>
          <w:tcPr>
            <w:tcW w:w="1137" w:type="dxa"/>
            <w:tcBorders>
              <w:top w:val="nil"/>
              <w:bottom w:val="nil"/>
            </w:tcBorders>
          </w:tcPr>
          <w:p w14:paraId="2752063B" w14:textId="2BECB160" w:rsidR="00DD4178" w:rsidRPr="00703F32" w:rsidRDefault="00DD4178" w:rsidP="00632A76">
            <w:pPr>
              <w:pStyle w:val="06Tabletextright-aligned"/>
            </w:pPr>
            <w:r w:rsidRPr="00703F32">
              <w:t>$</w:t>
            </w:r>
            <w:r w:rsidRPr="00DD4178">
              <w:rPr>
                <w:b/>
              </w:rPr>
              <w:t xml:space="preserve"> redacted</w:t>
            </w:r>
          </w:p>
        </w:tc>
      </w:tr>
      <w:tr w:rsidR="00DD4178" w:rsidRPr="00703F32" w14:paraId="250F0BFD" w14:textId="77777777" w:rsidTr="00DD4178">
        <w:tc>
          <w:tcPr>
            <w:tcW w:w="3402" w:type="dxa"/>
          </w:tcPr>
          <w:p w14:paraId="72A8EAD9" w14:textId="77777777" w:rsidR="00DD4178" w:rsidRPr="00703F32" w:rsidRDefault="00DD4178" w:rsidP="00632A76">
            <w:pPr>
              <w:pStyle w:val="01Tabletext"/>
              <w:ind w:left="170"/>
              <w:rPr>
                <w:b/>
                <w:szCs w:val="18"/>
              </w:rPr>
            </w:pPr>
            <w:r w:rsidRPr="00703F32">
              <w:rPr>
                <w:b/>
                <w:szCs w:val="18"/>
              </w:rPr>
              <w:t>Total</w:t>
            </w:r>
          </w:p>
        </w:tc>
        <w:tc>
          <w:tcPr>
            <w:tcW w:w="1136" w:type="dxa"/>
          </w:tcPr>
          <w:p w14:paraId="55467B7F" w14:textId="5D105A93" w:rsidR="00DD4178" w:rsidRPr="00703F32" w:rsidRDefault="00DD4178" w:rsidP="00632A76">
            <w:pPr>
              <w:pStyle w:val="06Tabletextright-aligned"/>
              <w:rPr>
                <w:b/>
              </w:rPr>
            </w:pPr>
            <w:r w:rsidRPr="00703F32">
              <w:rPr>
                <w:b/>
              </w:rPr>
              <w:t>$</w:t>
            </w:r>
            <w:r w:rsidRPr="00DD4178">
              <w:rPr>
                <w:b/>
              </w:rPr>
              <w:t xml:space="preserve"> redacted</w:t>
            </w:r>
          </w:p>
        </w:tc>
        <w:tc>
          <w:tcPr>
            <w:tcW w:w="1136" w:type="dxa"/>
          </w:tcPr>
          <w:p w14:paraId="0BFC89F0" w14:textId="7EB315D3" w:rsidR="00DD4178" w:rsidRPr="00703F32" w:rsidRDefault="00DD4178" w:rsidP="00632A76">
            <w:pPr>
              <w:pStyle w:val="06Tabletextright-aligned"/>
              <w:rPr>
                <w:b/>
              </w:rPr>
            </w:pPr>
            <w:r w:rsidRPr="00703F32">
              <w:rPr>
                <w:b/>
              </w:rPr>
              <w:t>$</w:t>
            </w:r>
            <w:r w:rsidRPr="00DD4178">
              <w:rPr>
                <w:b/>
              </w:rPr>
              <w:t xml:space="preserve"> redacted</w:t>
            </w:r>
          </w:p>
        </w:tc>
        <w:tc>
          <w:tcPr>
            <w:tcW w:w="1136" w:type="dxa"/>
          </w:tcPr>
          <w:p w14:paraId="724464A5" w14:textId="67B4E257" w:rsidR="00DD4178" w:rsidRPr="00703F32" w:rsidRDefault="00DD4178" w:rsidP="00632A76">
            <w:pPr>
              <w:pStyle w:val="06Tabletextright-aligned"/>
              <w:rPr>
                <w:b/>
              </w:rPr>
            </w:pPr>
            <w:r w:rsidRPr="00703F32">
              <w:rPr>
                <w:b/>
              </w:rPr>
              <w:t>$</w:t>
            </w:r>
            <w:r w:rsidRPr="00DD4178">
              <w:rPr>
                <w:b/>
              </w:rPr>
              <w:t xml:space="preserve"> redacted</w:t>
            </w:r>
          </w:p>
        </w:tc>
        <w:tc>
          <w:tcPr>
            <w:tcW w:w="1136" w:type="dxa"/>
          </w:tcPr>
          <w:p w14:paraId="44D61171" w14:textId="699BC526" w:rsidR="00DD4178" w:rsidRPr="00703F32" w:rsidRDefault="00DD4178" w:rsidP="00632A76">
            <w:pPr>
              <w:pStyle w:val="06Tabletextright-aligned"/>
              <w:rPr>
                <w:b/>
              </w:rPr>
            </w:pPr>
            <w:r w:rsidRPr="00703F32">
              <w:rPr>
                <w:b/>
              </w:rPr>
              <w:t>$</w:t>
            </w:r>
            <w:r w:rsidRPr="00DD4178">
              <w:rPr>
                <w:b/>
              </w:rPr>
              <w:t xml:space="preserve"> redacted</w:t>
            </w:r>
          </w:p>
        </w:tc>
        <w:tc>
          <w:tcPr>
            <w:tcW w:w="1137" w:type="dxa"/>
          </w:tcPr>
          <w:p w14:paraId="6367ED7F" w14:textId="3955AB8F" w:rsidR="00DD4178" w:rsidRPr="00703F32" w:rsidRDefault="00DD4178" w:rsidP="00632A76">
            <w:pPr>
              <w:pStyle w:val="06Tabletextright-aligned"/>
              <w:rPr>
                <w:b/>
              </w:rPr>
            </w:pPr>
            <w:r w:rsidRPr="00703F32">
              <w:rPr>
                <w:b/>
              </w:rPr>
              <w:t>$</w:t>
            </w:r>
            <w:r w:rsidRPr="00DD4178">
              <w:rPr>
                <w:b/>
              </w:rPr>
              <w:t xml:space="preserve"> redacted</w:t>
            </w:r>
          </w:p>
        </w:tc>
      </w:tr>
    </w:tbl>
    <w:p w14:paraId="1993F71E" w14:textId="5F0419CA" w:rsidR="00B0133C" w:rsidRPr="00B0133C" w:rsidRDefault="00B0133C" w:rsidP="00B0133C">
      <w:pPr>
        <w:keepNext/>
        <w:rPr>
          <w:rFonts w:ascii="Arial Narrow" w:eastAsia="Calibri" w:hAnsi="Arial Narrow"/>
          <w:sz w:val="16"/>
          <w:szCs w:val="16"/>
          <w:lang w:eastAsia="en-US"/>
        </w:rPr>
      </w:pPr>
      <w:r w:rsidRPr="00B0133C">
        <w:rPr>
          <w:rFonts w:ascii="Arial Narrow" w:eastAsia="Calibri" w:hAnsi="Arial Narrow"/>
          <w:sz w:val="16"/>
          <w:szCs w:val="16"/>
          <w:lang w:eastAsia="en-US"/>
        </w:rPr>
        <w:t xml:space="preserve">Source: </w:t>
      </w:r>
      <w:r w:rsidR="007E69B4">
        <w:rPr>
          <w:rFonts w:ascii="Arial Narrow" w:eastAsia="Calibri" w:hAnsi="Arial Narrow"/>
          <w:sz w:val="16"/>
          <w:szCs w:val="16"/>
          <w:lang w:eastAsia="en-US"/>
        </w:rPr>
        <w:t xml:space="preserve">Table E.4.1 </w:t>
      </w:r>
      <w:r w:rsidRPr="00B0133C">
        <w:rPr>
          <w:rFonts w:ascii="Arial Narrow" w:eastAsia="Calibri" w:hAnsi="Arial Narrow"/>
          <w:sz w:val="16"/>
          <w:szCs w:val="16"/>
          <w:lang w:eastAsia="en-US"/>
        </w:rPr>
        <w:t>of the Assessment Report</w:t>
      </w:r>
    </w:p>
    <w:p w14:paraId="5C7BE68E" w14:textId="77777777" w:rsidR="00B0133C" w:rsidRPr="00B0133C" w:rsidRDefault="00B0133C" w:rsidP="00AD5F8E">
      <w:pPr>
        <w:rPr>
          <w:rFonts w:ascii="Arial Narrow" w:eastAsia="Calibri" w:hAnsi="Arial Narrow"/>
          <w:sz w:val="16"/>
          <w:lang w:eastAsia="en-US"/>
        </w:rPr>
      </w:pPr>
      <w:r w:rsidRPr="00B0133C">
        <w:rPr>
          <w:rFonts w:ascii="Arial Narrow" w:eastAsia="Calibri" w:hAnsi="Arial Narrow"/>
          <w:b/>
          <w:sz w:val="16"/>
          <w:lang w:eastAsia="en-US"/>
        </w:rPr>
        <w:t xml:space="preserve">Abbreviations: </w:t>
      </w:r>
      <w:r w:rsidRPr="00B0133C">
        <w:rPr>
          <w:rFonts w:ascii="Arial Narrow" w:eastAsia="Calibri" w:hAnsi="Arial Narrow"/>
          <w:sz w:val="16"/>
          <w:lang w:eastAsia="en-US"/>
        </w:rPr>
        <w:t>C1-INH, C1 esterase inhibitor; NPSL, National Product and Services List</w:t>
      </w:r>
    </w:p>
    <w:p w14:paraId="1848B951" w14:textId="77777777" w:rsidR="00AD5F8E" w:rsidRDefault="00AD5F8E" w:rsidP="00B0133C"/>
    <w:p w14:paraId="38FA2933" w14:textId="77777777" w:rsidR="00B0133C" w:rsidRPr="00B0133C" w:rsidRDefault="00B0133C" w:rsidP="00B0133C">
      <w:r w:rsidRPr="00B0133C">
        <w:t>A sensitivity analysis was performed in which the market share of icatibant decreased from 70% of all attacks in Year 1 to 50% by Year 3 and thereafter. For the treatment of acute attacks, the estimated savings to the PBS is $54,000 in Year 1 increasing to $620,000 in Year 5. If C1-INH concentrate is listed for all three indications, the estimated savings to the PBS is $598,000 in Year 1 increasing to $1,629,000 in Year 5.</w:t>
      </w:r>
    </w:p>
    <w:p w14:paraId="700B5C05" w14:textId="77777777" w:rsidR="00BC1364" w:rsidRPr="00AD5F8E" w:rsidRDefault="00BC1364" w:rsidP="00D340DE">
      <w:pPr>
        <w:rPr>
          <w:szCs w:val="24"/>
        </w:rPr>
      </w:pPr>
    </w:p>
    <w:p w14:paraId="7ED62B7E" w14:textId="77777777" w:rsidR="006A0D97" w:rsidRDefault="006A0D97" w:rsidP="006A0D97">
      <w:pPr>
        <w:pStyle w:val="Heading1"/>
        <w:numPr>
          <w:ilvl w:val="0"/>
          <w:numId w:val="23"/>
        </w:numPr>
        <w:ind w:hanging="720"/>
      </w:pPr>
      <w:r w:rsidRPr="006A0D97">
        <w:t>Key issues from ESC for MSAC</w:t>
      </w:r>
    </w:p>
    <w:p w14:paraId="794F6E64" w14:textId="77777777" w:rsidR="00213EF0" w:rsidRDefault="00213EF0" w:rsidP="00213EF0"/>
    <w:p w14:paraId="774AE8A3" w14:textId="77777777" w:rsidR="00213EF0" w:rsidRDefault="00213EF0" w:rsidP="00213EF0">
      <w:r>
        <w:t>ESC considered that the main benefit of listing of the product would be a potential increase in access resulting from more reliable funding compared with current State mechanisms.</w:t>
      </w:r>
    </w:p>
    <w:p w14:paraId="0FCBAE3A" w14:textId="77777777" w:rsidR="00213EF0" w:rsidRDefault="00213EF0" w:rsidP="00213EF0"/>
    <w:p w14:paraId="13E7A809" w14:textId="77777777" w:rsidR="00213EF0" w:rsidRDefault="00213EF0" w:rsidP="00213EF0">
      <w:r>
        <w:lastRenderedPageBreak/>
        <w:t>ESC considered that there were a range of translational issues which would limit the reliability of the economic analysis. In particular, ESC noted that the study populations were not entirely consistent with the Australian population, and that the model was sensitive to assumptions based on limited data, including the number of vials, re-dosing requirements, and the proportion of people self-administering.</w:t>
      </w:r>
    </w:p>
    <w:p w14:paraId="39262741" w14:textId="77777777" w:rsidR="00213EF0" w:rsidRDefault="00213EF0" w:rsidP="00213EF0"/>
    <w:p w14:paraId="07BCB51E" w14:textId="77777777" w:rsidR="00213EF0" w:rsidRDefault="00213EF0" w:rsidP="00213EF0">
      <w:r>
        <w:t>ESC acknowledged that the rarity of the condition limited the availability of evidence.</w:t>
      </w:r>
    </w:p>
    <w:p w14:paraId="6D7D04D4" w14:textId="77777777" w:rsidR="00213EF0" w:rsidRDefault="00213EF0" w:rsidP="00213EF0"/>
    <w:p w14:paraId="702F3D69" w14:textId="77777777" w:rsidR="00213EF0" w:rsidRDefault="00213EF0" w:rsidP="00213EF0">
      <w:r>
        <w:t>ESC questioned:</w:t>
      </w:r>
    </w:p>
    <w:p w14:paraId="5F53E3D9" w14:textId="77777777" w:rsidR="00213EF0" w:rsidRPr="00325B1E" w:rsidRDefault="00213EF0" w:rsidP="00325B1E">
      <w:pPr>
        <w:pStyle w:val="BulletText0"/>
        <w:spacing w:before="0" w:line="240" w:lineRule="auto"/>
        <w:ind w:left="709" w:hanging="357"/>
        <w:jc w:val="left"/>
        <w:rPr>
          <w:rFonts w:ascii="Times New Roman" w:hAnsi="Times New Roman" w:cs="Times New Roman"/>
          <w:sz w:val="24"/>
          <w:szCs w:val="24"/>
        </w:rPr>
      </w:pPr>
      <w:r w:rsidRPr="00325B1E">
        <w:rPr>
          <w:rFonts w:ascii="Times New Roman" w:hAnsi="Times New Roman" w:cs="Times New Roman"/>
          <w:sz w:val="24"/>
          <w:szCs w:val="24"/>
        </w:rPr>
        <w:t>whether a formalised set of access criteria would be required, depending on the risk of expanded or inappropriate use of the product, noting that this could be based on the ASCIA guidelines, but is not usual practice for the NPSL;</w:t>
      </w:r>
    </w:p>
    <w:p w14:paraId="3058DBAB" w14:textId="77777777" w:rsidR="00213EF0" w:rsidRPr="00325B1E" w:rsidRDefault="00213EF0" w:rsidP="00325B1E">
      <w:pPr>
        <w:pStyle w:val="BulletText0"/>
        <w:spacing w:before="0" w:line="240" w:lineRule="auto"/>
        <w:ind w:left="709" w:hanging="357"/>
        <w:jc w:val="left"/>
        <w:rPr>
          <w:rFonts w:ascii="Times New Roman" w:hAnsi="Times New Roman" w:cs="Times New Roman"/>
          <w:sz w:val="24"/>
          <w:szCs w:val="24"/>
        </w:rPr>
      </w:pPr>
      <w:proofErr w:type="gramStart"/>
      <w:r w:rsidRPr="00325B1E">
        <w:rPr>
          <w:rFonts w:ascii="Times New Roman" w:hAnsi="Times New Roman" w:cs="Times New Roman"/>
          <w:sz w:val="24"/>
          <w:szCs w:val="24"/>
        </w:rPr>
        <w:t>whether</w:t>
      </w:r>
      <w:proofErr w:type="gramEnd"/>
      <w:r w:rsidRPr="00325B1E">
        <w:rPr>
          <w:rFonts w:ascii="Times New Roman" w:hAnsi="Times New Roman" w:cs="Times New Roman"/>
          <w:sz w:val="24"/>
          <w:szCs w:val="24"/>
        </w:rPr>
        <w:t xml:space="preserve"> arrangements should be put in place to facilitate or require a specific data collection on product access, m</w:t>
      </w:r>
      <w:r w:rsidR="00325B1E">
        <w:rPr>
          <w:rFonts w:ascii="Times New Roman" w:hAnsi="Times New Roman" w:cs="Times New Roman"/>
          <w:sz w:val="24"/>
          <w:szCs w:val="24"/>
        </w:rPr>
        <w:t>anagement, use and/or outcomes.</w:t>
      </w:r>
    </w:p>
    <w:p w14:paraId="5BEFEECF" w14:textId="77777777" w:rsidR="00213EF0" w:rsidRDefault="00213EF0" w:rsidP="00213EF0"/>
    <w:p w14:paraId="1EA9642D" w14:textId="77777777" w:rsidR="00213EF0" w:rsidRDefault="00213EF0" w:rsidP="00213EF0">
      <w:r>
        <w:t>ESC considered that self-administration, particularly for children, was a key access issue, and noted that the two sponsors had offered training to assist patients to learn self-infusion. ESC questioned whether health service staff might be better placed to deliver training, utilising materials provided by sponsors.</w:t>
      </w:r>
    </w:p>
    <w:p w14:paraId="6374D82E" w14:textId="77777777" w:rsidR="00213EF0" w:rsidRDefault="00213EF0" w:rsidP="00213EF0"/>
    <w:p w14:paraId="149641A4" w14:textId="77777777" w:rsidR="00213EF0" w:rsidRDefault="00213EF0" w:rsidP="00213EF0">
      <w:r>
        <w:t>ESC had no concerns in relation to safety of C1-INH concentrate.</w:t>
      </w:r>
    </w:p>
    <w:p w14:paraId="6360FDC1" w14:textId="77777777" w:rsidR="00213EF0" w:rsidRDefault="00213EF0" w:rsidP="00213EF0"/>
    <w:p w14:paraId="1AF3B267" w14:textId="77777777" w:rsidR="00BC1364" w:rsidRDefault="00BC1364" w:rsidP="007B32D1">
      <w:pPr>
        <w:pStyle w:val="Heading1"/>
        <w:numPr>
          <w:ilvl w:val="0"/>
          <w:numId w:val="23"/>
        </w:numPr>
        <w:ind w:hanging="720"/>
      </w:pPr>
      <w:r w:rsidRPr="008D5885">
        <w:t>Other significant factors</w:t>
      </w:r>
    </w:p>
    <w:p w14:paraId="120FD25E" w14:textId="77777777" w:rsidR="00D90A38" w:rsidRDefault="00D90A38" w:rsidP="00DD2858">
      <w:pPr>
        <w:rPr>
          <w:szCs w:val="24"/>
        </w:rPr>
      </w:pPr>
    </w:p>
    <w:p w14:paraId="0406156D" w14:textId="77777777" w:rsidR="00561EA7" w:rsidRPr="00E768E3" w:rsidRDefault="00561EA7" w:rsidP="00561EA7">
      <w:pPr>
        <w:pStyle w:val="Bodytextbeforebullets"/>
        <w:ind w:left="0"/>
        <w:rPr>
          <w:rFonts w:ascii="Times New Roman" w:hAnsi="Times New Roman"/>
        </w:rPr>
      </w:pPr>
      <w:r>
        <w:rPr>
          <w:rFonts w:ascii="Times New Roman" w:hAnsi="Times New Roman"/>
        </w:rPr>
        <w:t>For each of the three indications (treatment</w:t>
      </w:r>
      <w:r w:rsidRPr="00127519">
        <w:rPr>
          <w:rFonts w:ascii="Times New Roman" w:hAnsi="Times New Roman"/>
        </w:rPr>
        <w:t xml:space="preserve"> </w:t>
      </w:r>
      <w:r>
        <w:rPr>
          <w:rFonts w:ascii="Times New Roman" w:hAnsi="Times New Roman"/>
        </w:rPr>
        <w:t xml:space="preserve">of an acute attack, </w:t>
      </w:r>
      <w:r w:rsidRPr="00127519">
        <w:rPr>
          <w:rFonts w:ascii="Times New Roman" w:hAnsi="Times New Roman"/>
        </w:rPr>
        <w:t>pre-procedural prophylaxis and routine prophylaxis</w:t>
      </w:r>
      <w:r>
        <w:rPr>
          <w:rFonts w:ascii="Times New Roman" w:hAnsi="Times New Roman"/>
        </w:rPr>
        <w:t>), a comparison is also presented of setting (hospital-administered versus community-administered) and funding source (current arrangements versus inclusion in the NPSL</w:t>
      </w:r>
      <w:r w:rsidRPr="00E768E3">
        <w:rPr>
          <w:rFonts w:ascii="Times New Roman" w:hAnsi="Times New Roman"/>
        </w:rPr>
        <w:t>). ESC noted that there was very limited data for the setting comparison, and the funding comparison emphasised the NPSL as a “reliable, assured and equitable” funding mechanism.</w:t>
      </w:r>
    </w:p>
    <w:p w14:paraId="7870AFB1" w14:textId="77777777" w:rsidR="00561EA7" w:rsidRDefault="00561EA7" w:rsidP="00AD5F8E">
      <w:pPr>
        <w:pStyle w:val="Bodytextbeforebullets"/>
        <w:ind w:left="0"/>
        <w:rPr>
          <w:rFonts w:ascii="Times New Roman" w:hAnsi="Times New Roman"/>
        </w:rPr>
      </w:pPr>
    </w:p>
    <w:p w14:paraId="161102E1" w14:textId="77777777" w:rsidR="00561EA7" w:rsidRDefault="00561EA7" w:rsidP="00561EA7">
      <w:pPr>
        <w:pStyle w:val="Bodytextbeforebullets"/>
        <w:ind w:left="0"/>
        <w:rPr>
          <w:rFonts w:ascii="Times New Roman" w:hAnsi="Times New Roman"/>
        </w:rPr>
      </w:pPr>
      <w:r w:rsidRPr="000C6DBE">
        <w:rPr>
          <w:rFonts w:ascii="Times New Roman" w:hAnsi="Times New Roman"/>
        </w:rPr>
        <w:t>The following issues are relevant to the NBA in terms of supply implementation and ongoing governance and management under the National Blood Arrangements:</w:t>
      </w:r>
    </w:p>
    <w:p w14:paraId="25A822AB" w14:textId="77777777" w:rsidR="00561EA7" w:rsidRPr="00325B1E" w:rsidRDefault="00561EA7" w:rsidP="00325B1E">
      <w:pPr>
        <w:pStyle w:val="BulletText0"/>
        <w:spacing w:before="0" w:line="240" w:lineRule="auto"/>
        <w:ind w:left="709"/>
        <w:jc w:val="left"/>
        <w:rPr>
          <w:rFonts w:ascii="Times New Roman" w:hAnsi="Times New Roman"/>
          <w:sz w:val="24"/>
          <w:szCs w:val="24"/>
        </w:rPr>
      </w:pPr>
      <w:r w:rsidRPr="00325B1E">
        <w:rPr>
          <w:rFonts w:ascii="Times New Roman" w:hAnsi="Times New Roman" w:cs="Times New Roman"/>
          <w:sz w:val="24"/>
          <w:szCs w:val="24"/>
        </w:rPr>
        <w:t>Whether</w:t>
      </w:r>
      <w:r w:rsidRPr="00325B1E">
        <w:rPr>
          <w:rFonts w:ascii="Times New Roman" w:hAnsi="Times New Roman"/>
          <w:sz w:val="24"/>
          <w:szCs w:val="24"/>
        </w:rPr>
        <w:t xml:space="preserve"> or not a formalised set of access criteria is required, implemented though a structured and arm’s length authorisation process, depending on the risk of expanded or inappropriate use of the product?</w:t>
      </w:r>
    </w:p>
    <w:p w14:paraId="3E46C50D" w14:textId="77777777" w:rsidR="00561EA7" w:rsidRPr="00325B1E" w:rsidRDefault="00561EA7" w:rsidP="00325B1E">
      <w:pPr>
        <w:pStyle w:val="BulletText0"/>
        <w:spacing w:before="0" w:line="240" w:lineRule="auto"/>
        <w:ind w:left="709"/>
        <w:jc w:val="left"/>
        <w:rPr>
          <w:rFonts w:ascii="Times New Roman" w:hAnsi="Times New Roman"/>
          <w:sz w:val="24"/>
          <w:szCs w:val="24"/>
        </w:rPr>
      </w:pPr>
      <w:r w:rsidRPr="00325B1E">
        <w:rPr>
          <w:rFonts w:ascii="Times New Roman" w:hAnsi="Times New Roman" w:cs="Times New Roman"/>
          <w:sz w:val="24"/>
          <w:szCs w:val="24"/>
        </w:rPr>
        <w:t>Whether</w:t>
      </w:r>
      <w:r w:rsidRPr="00325B1E">
        <w:rPr>
          <w:rFonts w:ascii="Times New Roman" w:hAnsi="Times New Roman"/>
          <w:sz w:val="24"/>
          <w:szCs w:val="24"/>
        </w:rPr>
        <w:t xml:space="preserve"> or not arrangements should be put in place to facilitate or require a specific data collection on product access, management, use and/or outcomes?</w:t>
      </w:r>
    </w:p>
    <w:p w14:paraId="3C024FC7" w14:textId="77777777" w:rsidR="00561EA7" w:rsidRPr="00325B1E" w:rsidRDefault="00561EA7" w:rsidP="00325B1E">
      <w:pPr>
        <w:pStyle w:val="BulletText0"/>
        <w:spacing w:before="0" w:line="240" w:lineRule="auto"/>
        <w:ind w:left="709"/>
        <w:jc w:val="left"/>
        <w:rPr>
          <w:rFonts w:ascii="Times New Roman" w:hAnsi="Times New Roman"/>
          <w:sz w:val="24"/>
          <w:szCs w:val="24"/>
        </w:rPr>
      </w:pPr>
      <w:r w:rsidRPr="00325B1E">
        <w:rPr>
          <w:rFonts w:ascii="Times New Roman" w:hAnsi="Times New Roman"/>
          <w:sz w:val="24"/>
          <w:szCs w:val="24"/>
        </w:rPr>
        <w:t>The two sponsors have offered training to assist patients to learn self-infusion. The question arises whether such training would be more appropriate to be provided by health service staff, utilising materials provided by the sponsors, rather than directly by sponsor staff to patients?</w:t>
      </w:r>
    </w:p>
    <w:p w14:paraId="3FBB46C8" w14:textId="77777777" w:rsidR="00BC1364" w:rsidRPr="00325B1E" w:rsidRDefault="00BC1364" w:rsidP="00325B1E">
      <w:pPr>
        <w:tabs>
          <w:tab w:val="left" w:pos="720"/>
        </w:tabs>
        <w:ind w:left="709" w:hanging="709"/>
        <w:rPr>
          <w:szCs w:val="24"/>
        </w:rPr>
      </w:pPr>
    </w:p>
    <w:p w14:paraId="0E97370F"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5A27EA1A" w14:textId="77777777" w:rsidR="00BC1364" w:rsidRPr="00AD5F8E" w:rsidRDefault="00BC1364" w:rsidP="00230D6B">
      <w:pPr>
        <w:tabs>
          <w:tab w:val="left" w:pos="720"/>
        </w:tabs>
        <w:ind w:left="709" w:hanging="709"/>
        <w:rPr>
          <w:szCs w:val="24"/>
        </w:rPr>
      </w:pPr>
    </w:p>
    <w:p w14:paraId="7D877E5B" w14:textId="77777777" w:rsidR="00E67D6E" w:rsidRPr="00E97096" w:rsidRDefault="00E67D6E" w:rsidP="00E67D6E">
      <w:pPr>
        <w:rPr>
          <w:szCs w:val="24"/>
          <w:u w:val="single"/>
        </w:rPr>
      </w:pPr>
      <w:r w:rsidRPr="00E97096">
        <w:rPr>
          <w:szCs w:val="24"/>
          <w:u w:val="single"/>
        </w:rPr>
        <w:t>Comments from Shire</w:t>
      </w:r>
    </w:p>
    <w:p w14:paraId="0304998B" w14:textId="77777777" w:rsidR="00E67D6E" w:rsidRPr="00E241A9" w:rsidRDefault="00E67D6E" w:rsidP="00E67D6E">
      <w:pPr>
        <w:rPr>
          <w:szCs w:val="24"/>
        </w:rPr>
      </w:pPr>
      <w:r w:rsidRPr="00E241A9">
        <w:rPr>
          <w:szCs w:val="24"/>
        </w:rPr>
        <w:t>Shire welcomes the MSAC’s recommendation for C1-esterase inhibitor to be listed on the NPSL under the NBA. Shire will continue to work with the NBA and other stakeholders so that patients with hereditary angioedema have access to treatment options for this rare and spontaneous condition.</w:t>
      </w:r>
    </w:p>
    <w:p w14:paraId="6283237D" w14:textId="77777777" w:rsidR="00E67D6E" w:rsidRPr="00E241A9" w:rsidRDefault="00E67D6E" w:rsidP="00E67D6E">
      <w:pPr>
        <w:rPr>
          <w:szCs w:val="24"/>
        </w:rPr>
      </w:pPr>
    </w:p>
    <w:p w14:paraId="1EC18943" w14:textId="77777777" w:rsidR="009D78DD" w:rsidRDefault="009D78DD">
      <w:pPr>
        <w:rPr>
          <w:szCs w:val="24"/>
        </w:rPr>
      </w:pPr>
      <w:r>
        <w:rPr>
          <w:szCs w:val="24"/>
        </w:rPr>
        <w:br w:type="page"/>
      </w:r>
    </w:p>
    <w:p w14:paraId="01BB87FD" w14:textId="77777777" w:rsidR="009D78DD" w:rsidRDefault="009D78DD" w:rsidP="00E67D6E">
      <w:pPr>
        <w:rPr>
          <w:szCs w:val="24"/>
        </w:rPr>
      </w:pPr>
    </w:p>
    <w:p w14:paraId="125CB4AD" w14:textId="77777777" w:rsidR="009D78DD" w:rsidRDefault="009D78DD" w:rsidP="00E67D6E">
      <w:pPr>
        <w:rPr>
          <w:szCs w:val="24"/>
        </w:rPr>
      </w:pPr>
    </w:p>
    <w:p w14:paraId="5BF562E1" w14:textId="588FC691" w:rsidR="00E67D6E" w:rsidRPr="00E97096" w:rsidRDefault="00E67D6E" w:rsidP="00E67D6E">
      <w:pPr>
        <w:rPr>
          <w:szCs w:val="24"/>
          <w:u w:val="single"/>
        </w:rPr>
      </w:pPr>
      <w:r w:rsidRPr="00E97096">
        <w:rPr>
          <w:szCs w:val="24"/>
          <w:u w:val="single"/>
        </w:rPr>
        <w:t>Comments from CSL Behring</w:t>
      </w:r>
    </w:p>
    <w:p w14:paraId="46A23C88" w14:textId="612C06BE" w:rsidR="00BC1364" w:rsidRPr="00E241A9" w:rsidRDefault="00E67D6E" w:rsidP="00230D6B">
      <w:pPr>
        <w:rPr>
          <w:szCs w:val="24"/>
        </w:rPr>
      </w:pPr>
      <w:r w:rsidRPr="00E241A9">
        <w:rPr>
          <w:szCs w:val="24"/>
        </w:rPr>
        <w:t xml:space="preserve">CSL Behring is pleased at MSAC’s recommendation that C1 esterase inhibitor concentrate should be listed on the NPSL for treatment of acute attacks of Types I or II hereditary angioedema (HAE). We welcome working with the NBA to develop an appropriate registry to understand with more accuracy HAE in Australia, as well as with the NBA and JBC to expedite this listing, ultimately to allow patient access under the National blood arrangements of CSL Behring’s </w:t>
      </w:r>
      <w:proofErr w:type="spellStart"/>
      <w:r w:rsidRPr="00E241A9">
        <w:rPr>
          <w:szCs w:val="24"/>
        </w:rPr>
        <w:t>Berinert</w:t>
      </w:r>
      <w:proofErr w:type="spellEnd"/>
      <w:r w:rsidRPr="00E241A9">
        <w:rPr>
          <w:szCs w:val="24"/>
        </w:rPr>
        <w:t>.</w:t>
      </w:r>
    </w:p>
    <w:p w14:paraId="0F77A14E" w14:textId="77777777" w:rsidR="009D78DD" w:rsidRPr="00AD5F8E" w:rsidRDefault="009D78DD" w:rsidP="00230D6B">
      <w:pPr>
        <w:rPr>
          <w:szCs w:val="24"/>
        </w:rPr>
      </w:pPr>
    </w:p>
    <w:p w14:paraId="58F90EE3" w14:textId="77777777" w:rsidR="00BC1364" w:rsidRDefault="00271F18" w:rsidP="007B32D1">
      <w:pPr>
        <w:pStyle w:val="Heading1"/>
        <w:numPr>
          <w:ilvl w:val="0"/>
          <w:numId w:val="23"/>
        </w:numPr>
        <w:ind w:hanging="720"/>
      </w:pPr>
      <w:r>
        <w:t>Further information on MSAC</w:t>
      </w:r>
    </w:p>
    <w:p w14:paraId="65BD005E" w14:textId="77777777" w:rsidR="00BC1364" w:rsidRPr="00AD5F8E" w:rsidRDefault="00BC1364" w:rsidP="00DD2858">
      <w:pPr>
        <w:tabs>
          <w:tab w:val="left" w:pos="720"/>
        </w:tabs>
        <w:ind w:left="709" w:hanging="709"/>
        <w:rPr>
          <w:szCs w:val="24"/>
        </w:rPr>
      </w:pPr>
    </w:p>
    <w:p w14:paraId="1EC3F130" w14:textId="77777777"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4" w:tooltip="This is a link to the MSAC website" w:history="1">
        <w:r w:rsidR="00BC1364" w:rsidRPr="00DD2858">
          <w:rPr>
            <w:rStyle w:val="Hyperlink"/>
            <w:color w:val="auto"/>
            <w:szCs w:val="24"/>
          </w:rPr>
          <w:t>www.msac.gov.au</w:t>
        </w:r>
      </w:hyperlink>
      <w:r w:rsidR="00AD5F8E">
        <w:rPr>
          <w:szCs w:val="24"/>
        </w:rPr>
        <w:t>.</w:t>
      </w:r>
    </w:p>
    <w:sectPr w:rsidR="00BC1364" w:rsidRPr="00DD2858" w:rsidSect="00271F18">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F4815" w14:textId="77777777" w:rsidR="00AD3138" w:rsidRDefault="00AD3138" w:rsidP="00065623">
      <w:r>
        <w:separator/>
      </w:r>
    </w:p>
  </w:endnote>
  <w:endnote w:type="continuationSeparator" w:id="0">
    <w:p w14:paraId="2F8B3BB0" w14:textId="77777777" w:rsidR="00AD3138" w:rsidRDefault="00AD313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F28AC50" w14:textId="77777777" w:rsidR="00694838" w:rsidRDefault="00694838">
        <w:pPr>
          <w:pStyle w:val="Footer"/>
          <w:jc w:val="right"/>
        </w:pPr>
        <w:r>
          <w:fldChar w:fldCharType="begin"/>
        </w:r>
        <w:r>
          <w:instrText xml:space="preserve"> PAGE   \* MERGEFORMAT </w:instrText>
        </w:r>
        <w:r>
          <w:fldChar w:fldCharType="separate"/>
        </w:r>
        <w:r w:rsidR="007D0612">
          <w:rPr>
            <w:noProof/>
          </w:rPr>
          <w:t>1</w:t>
        </w:r>
        <w:r>
          <w:rPr>
            <w:noProof/>
          </w:rPr>
          <w:fldChar w:fldCharType="end"/>
        </w:r>
      </w:p>
    </w:sdtContent>
  </w:sdt>
  <w:p w14:paraId="466736E1" w14:textId="77777777" w:rsidR="00694838" w:rsidRDefault="00694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5F23" w14:textId="77777777" w:rsidR="00AD3138" w:rsidRDefault="00AD3138" w:rsidP="00065623">
      <w:r>
        <w:separator/>
      </w:r>
    </w:p>
  </w:footnote>
  <w:footnote w:type="continuationSeparator" w:id="0">
    <w:p w14:paraId="4A111DB6" w14:textId="77777777" w:rsidR="00AD3138" w:rsidRDefault="00AD313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2C7"/>
    <w:multiLevelType w:val="hybridMultilevel"/>
    <w:tmpl w:val="04F20496"/>
    <w:lvl w:ilvl="0" w:tplc="C7EA17D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2F0D"/>
    <w:multiLevelType w:val="hybridMultilevel"/>
    <w:tmpl w:val="F8A6BCD4"/>
    <w:lvl w:ilvl="0" w:tplc="C78CD854">
      <w:start w:val="1"/>
      <w:numFmt w:val="bullet"/>
      <w:pStyle w:val="Bullettext"/>
      <w:lvlText w:val=""/>
      <w:lvlJc w:val="left"/>
      <w:pPr>
        <w:ind w:left="1473" w:hanging="360"/>
      </w:pPr>
      <w:rPr>
        <w:rFonts w:ascii="Symbol" w:hAnsi="Symbol" w:hint="default"/>
      </w:rPr>
    </w:lvl>
    <w:lvl w:ilvl="1" w:tplc="0C090003">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3F71479"/>
    <w:multiLevelType w:val="hybridMultilevel"/>
    <w:tmpl w:val="C590E13A"/>
    <w:lvl w:ilvl="0" w:tplc="87D2EA2C">
      <w:start w:val="1"/>
      <w:numFmt w:val="bullet"/>
      <w:pStyle w:val="BulletText0"/>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113B1E"/>
    <w:multiLevelType w:val="hybridMultilevel"/>
    <w:tmpl w:val="3F5033D4"/>
    <w:lvl w:ilvl="0" w:tplc="2EF24086">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3"/>
  </w:num>
  <w:num w:numId="4">
    <w:abstractNumId w:val="19"/>
  </w:num>
  <w:num w:numId="5">
    <w:abstractNumId w:val="12"/>
  </w:num>
  <w:num w:numId="6">
    <w:abstractNumId w:val="18"/>
  </w:num>
  <w:num w:numId="7">
    <w:abstractNumId w:val="22"/>
  </w:num>
  <w:num w:numId="8">
    <w:abstractNumId w:val="14"/>
  </w:num>
  <w:num w:numId="9">
    <w:abstractNumId w:val="28"/>
  </w:num>
  <w:num w:numId="10">
    <w:abstractNumId w:val="2"/>
  </w:num>
  <w:num w:numId="11">
    <w:abstractNumId w:val="21"/>
  </w:num>
  <w:num w:numId="12">
    <w:abstractNumId w:val="23"/>
  </w:num>
  <w:num w:numId="13">
    <w:abstractNumId w:val="7"/>
  </w:num>
  <w:num w:numId="14">
    <w:abstractNumId w:val="27"/>
  </w:num>
  <w:num w:numId="15">
    <w:abstractNumId w:val="20"/>
  </w:num>
  <w:num w:numId="16">
    <w:abstractNumId w:val="24"/>
  </w:num>
  <w:num w:numId="17">
    <w:abstractNumId w:val="15"/>
  </w:num>
  <w:num w:numId="18">
    <w:abstractNumId w:val="16"/>
  </w:num>
  <w:num w:numId="19">
    <w:abstractNumId w:val="26"/>
  </w:num>
  <w:num w:numId="20">
    <w:abstractNumId w:val="25"/>
  </w:num>
  <w:num w:numId="21">
    <w:abstractNumId w:val="5"/>
  </w:num>
  <w:num w:numId="22">
    <w:abstractNumId w:val="11"/>
  </w:num>
  <w:num w:numId="23">
    <w:abstractNumId w:val="4"/>
  </w:num>
  <w:num w:numId="24">
    <w:abstractNumId w:val="10"/>
  </w:num>
  <w:num w:numId="25">
    <w:abstractNumId w:val="8"/>
  </w:num>
  <w:num w:numId="26">
    <w:abstractNumId w:val="13"/>
  </w:num>
  <w:num w:numId="27">
    <w:abstractNumId w:val="1"/>
  </w:num>
  <w:num w:numId="28">
    <w:abstractNumId w:val="0"/>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5C2B"/>
    <w:rsid w:val="00011A36"/>
    <w:rsid w:val="0001298B"/>
    <w:rsid w:val="00027046"/>
    <w:rsid w:val="000449BB"/>
    <w:rsid w:val="00047606"/>
    <w:rsid w:val="00065623"/>
    <w:rsid w:val="000756B9"/>
    <w:rsid w:val="0009417D"/>
    <w:rsid w:val="00096B67"/>
    <w:rsid w:val="00096DAF"/>
    <w:rsid w:val="000C2F47"/>
    <w:rsid w:val="000C786A"/>
    <w:rsid w:val="000D57A3"/>
    <w:rsid w:val="000D6C00"/>
    <w:rsid w:val="000D7BB1"/>
    <w:rsid w:val="000E4E04"/>
    <w:rsid w:val="000F14B4"/>
    <w:rsid w:val="000F75DF"/>
    <w:rsid w:val="00103BB9"/>
    <w:rsid w:val="00116FF4"/>
    <w:rsid w:val="0012171F"/>
    <w:rsid w:val="001328FA"/>
    <w:rsid w:val="00147AAF"/>
    <w:rsid w:val="001552C0"/>
    <w:rsid w:val="00155940"/>
    <w:rsid w:val="001640B1"/>
    <w:rsid w:val="0018435E"/>
    <w:rsid w:val="001C49DF"/>
    <w:rsid w:val="001D5EE0"/>
    <w:rsid w:val="001F122D"/>
    <w:rsid w:val="002041A1"/>
    <w:rsid w:val="002054F0"/>
    <w:rsid w:val="00207EB4"/>
    <w:rsid w:val="00213EF0"/>
    <w:rsid w:val="00230D6B"/>
    <w:rsid w:val="00232068"/>
    <w:rsid w:val="002330F2"/>
    <w:rsid w:val="00234E6C"/>
    <w:rsid w:val="00243D9E"/>
    <w:rsid w:val="00244133"/>
    <w:rsid w:val="00253B66"/>
    <w:rsid w:val="0025549B"/>
    <w:rsid w:val="00261DF1"/>
    <w:rsid w:val="00271F18"/>
    <w:rsid w:val="00274DD9"/>
    <w:rsid w:val="002758A8"/>
    <w:rsid w:val="00282779"/>
    <w:rsid w:val="0028334D"/>
    <w:rsid w:val="002A78A4"/>
    <w:rsid w:val="002B7FFA"/>
    <w:rsid w:val="002C1CD5"/>
    <w:rsid w:val="002C2BCF"/>
    <w:rsid w:val="002F279D"/>
    <w:rsid w:val="002F2D67"/>
    <w:rsid w:val="002F43B8"/>
    <w:rsid w:val="00325B1E"/>
    <w:rsid w:val="0033217F"/>
    <w:rsid w:val="0034554D"/>
    <w:rsid w:val="00351E9A"/>
    <w:rsid w:val="00352224"/>
    <w:rsid w:val="003671E6"/>
    <w:rsid w:val="00367CC7"/>
    <w:rsid w:val="00384272"/>
    <w:rsid w:val="00386D67"/>
    <w:rsid w:val="003945B8"/>
    <w:rsid w:val="00395297"/>
    <w:rsid w:val="003D2234"/>
    <w:rsid w:val="003D7F29"/>
    <w:rsid w:val="003E6C63"/>
    <w:rsid w:val="00405A6B"/>
    <w:rsid w:val="00407B1F"/>
    <w:rsid w:val="00414C57"/>
    <w:rsid w:val="0041758C"/>
    <w:rsid w:val="0044779D"/>
    <w:rsid w:val="004539DE"/>
    <w:rsid w:val="0048331A"/>
    <w:rsid w:val="004858E3"/>
    <w:rsid w:val="004A2CF1"/>
    <w:rsid w:val="004C3035"/>
    <w:rsid w:val="004C307F"/>
    <w:rsid w:val="004E4185"/>
    <w:rsid w:val="004E4BA8"/>
    <w:rsid w:val="004F340F"/>
    <w:rsid w:val="004F7B7C"/>
    <w:rsid w:val="0052243D"/>
    <w:rsid w:val="00532435"/>
    <w:rsid w:val="00536B04"/>
    <w:rsid w:val="00550354"/>
    <w:rsid w:val="0055320A"/>
    <w:rsid w:val="00560D54"/>
    <w:rsid w:val="00561EA7"/>
    <w:rsid w:val="00571236"/>
    <w:rsid w:val="005953A1"/>
    <w:rsid w:val="00595A0E"/>
    <w:rsid w:val="005A0E68"/>
    <w:rsid w:val="005A41C6"/>
    <w:rsid w:val="005D0332"/>
    <w:rsid w:val="005D0D8C"/>
    <w:rsid w:val="00625700"/>
    <w:rsid w:val="00645157"/>
    <w:rsid w:val="00645FBB"/>
    <w:rsid w:val="006776AE"/>
    <w:rsid w:val="00677B93"/>
    <w:rsid w:val="00694838"/>
    <w:rsid w:val="006A0D97"/>
    <w:rsid w:val="006B1F86"/>
    <w:rsid w:val="006B6030"/>
    <w:rsid w:val="006C0A91"/>
    <w:rsid w:val="006D1E52"/>
    <w:rsid w:val="006F53C8"/>
    <w:rsid w:val="006F6727"/>
    <w:rsid w:val="007009C3"/>
    <w:rsid w:val="007054BB"/>
    <w:rsid w:val="00707064"/>
    <w:rsid w:val="00725295"/>
    <w:rsid w:val="00730683"/>
    <w:rsid w:val="00736C1D"/>
    <w:rsid w:val="0075261F"/>
    <w:rsid w:val="0075468E"/>
    <w:rsid w:val="007665D8"/>
    <w:rsid w:val="00766E36"/>
    <w:rsid w:val="007765F4"/>
    <w:rsid w:val="00776633"/>
    <w:rsid w:val="00784D53"/>
    <w:rsid w:val="0078575F"/>
    <w:rsid w:val="007864AD"/>
    <w:rsid w:val="00797797"/>
    <w:rsid w:val="007A63C9"/>
    <w:rsid w:val="007B32D1"/>
    <w:rsid w:val="007B7095"/>
    <w:rsid w:val="007D0612"/>
    <w:rsid w:val="007D24E1"/>
    <w:rsid w:val="007E2C47"/>
    <w:rsid w:val="007E69B4"/>
    <w:rsid w:val="007F4CE9"/>
    <w:rsid w:val="007F4E20"/>
    <w:rsid w:val="00807C04"/>
    <w:rsid w:val="00822C7E"/>
    <w:rsid w:val="00831FFF"/>
    <w:rsid w:val="00847060"/>
    <w:rsid w:val="00856A33"/>
    <w:rsid w:val="0089039A"/>
    <w:rsid w:val="00892620"/>
    <w:rsid w:val="008A2B17"/>
    <w:rsid w:val="008A6229"/>
    <w:rsid w:val="008C7D37"/>
    <w:rsid w:val="008D5885"/>
    <w:rsid w:val="008F79CC"/>
    <w:rsid w:val="00923FA2"/>
    <w:rsid w:val="0096060D"/>
    <w:rsid w:val="00974A50"/>
    <w:rsid w:val="0097585A"/>
    <w:rsid w:val="009924B0"/>
    <w:rsid w:val="009942C9"/>
    <w:rsid w:val="009B33F8"/>
    <w:rsid w:val="009B35C4"/>
    <w:rsid w:val="009C630A"/>
    <w:rsid w:val="009D78DD"/>
    <w:rsid w:val="009E089E"/>
    <w:rsid w:val="009E0D98"/>
    <w:rsid w:val="00A068A1"/>
    <w:rsid w:val="00A1207D"/>
    <w:rsid w:val="00A12FD8"/>
    <w:rsid w:val="00A346FC"/>
    <w:rsid w:val="00A36F84"/>
    <w:rsid w:val="00A83C2F"/>
    <w:rsid w:val="00A84F93"/>
    <w:rsid w:val="00AB1AC5"/>
    <w:rsid w:val="00AB3BFC"/>
    <w:rsid w:val="00AC0AB4"/>
    <w:rsid w:val="00AC4F2E"/>
    <w:rsid w:val="00AD0C37"/>
    <w:rsid w:val="00AD3138"/>
    <w:rsid w:val="00AD385F"/>
    <w:rsid w:val="00AD5F8E"/>
    <w:rsid w:val="00AE6E2A"/>
    <w:rsid w:val="00B0133C"/>
    <w:rsid w:val="00B13659"/>
    <w:rsid w:val="00B31E9C"/>
    <w:rsid w:val="00B34DF1"/>
    <w:rsid w:val="00B35595"/>
    <w:rsid w:val="00B36A96"/>
    <w:rsid w:val="00B51C6D"/>
    <w:rsid w:val="00B5763C"/>
    <w:rsid w:val="00B60CB7"/>
    <w:rsid w:val="00B66D5B"/>
    <w:rsid w:val="00B86D64"/>
    <w:rsid w:val="00B93C1B"/>
    <w:rsid w:val="00BA4AC5"/>
    <w:rsid w:val="00BC1364"/>
    <w:rsid w:val="00BC7DE9"/>
    <w:rsid w:val="00BE4198"/>
    <w:rsid w:val="00BF479B"/>
    <w:rsid w:val="00C02577"/>
    <w:rsid w:val="00C204FB"/>
    <w:rsid w:val="00C20BEE"/>
    <w:rsid w:val="00C2158D"/>
    <w:rsid w:val="00C42E43"/>
    <w:rsid w:val="00C67DD2"/>
    <w:rsid w:val="00C725CB"/>
    <w:rsid w:val="00C76F5C"/>
    <w:rsid w:val="00C96BAD"/>
    <w:rsid w:val="00CA6944"/>
    <w:rsid w:val="00CB0F8E"/>
    <w:rsid w:val="00CB62F9"/>
    <w:rsid w:val="00CB7E7D"/>
    <w:rsid w:val="00CC2911"/>
    <w:rsid w:val="00CF0C6D"/>
    <w:rsid w:val="00CF7307"/>
    <w:rsid w:val="00CF7C68"/>
    <w:rsid w:val="00D11EFC"/>
    <w:rsid w:val="00D12188"/>
    <w:rsid w:val="00D124FA"/>
    <w:rsid w:val="00D17344"/>
    <w:rsid w:val="00D340DE"/>
    <w:rsid w:val="00D35147"/>
    <w:rsid w:val="00D55523"/>
    <w:rsid w:val="00D55723"/>
    <w:rsid w:val="00D62FAD"/>
    <w:rsid w:val="00D70450"/>
    <w:rsid w:val="00D77AF7"/>
    <w:rsid w:val="00D83BFD"/>
    <w:rsid w:val="00D90A38"/>
    <w:rsid w:val="00D932DD"/>
    <w:rsid w:val="00DA0515"/>
    <w:rsid w:val="00DA171E"/>
    <w:rsid w:val="00DA56AA"/>
    <w:rsid w:val="00DB51AB"/>
    <w:rsid w:val="00DB5833"/>
    <w:rsid w:val="00DB6CC3"/>
    <w:rsid w:val="00DD2858"/>
    <w:rsid w:val="00DD4178"/>
    <w:rsid w:val="00DE012E"/>
    <w:rsid w:val="00DF4DDA"/>
    <w:rsid w:val="00DF6470"/>
    <w:rsid w:val="00E03E33"/>
    <w:rsid w:val="00E12272"/>
    <w:rsid w:val="00E15275"/>
    <w:rsid w:val="00E20F30"/>
    <w:rsid w:val="00E241A9"/>
    <w:rsid w:val="00E344B6"/>
    <w:rsid w:val="00E3642A"/>
    <w:rsid w:val="00E415C4"/>
    <w:rsid w:val="00E50016"/>
    <w:rsid w:val="00E50EAA"/>
    <w:rsid w:val="00E54B5F"/>
    <w:rsid w:val="00E656D6"/>
    <w:rsid w:val="00E67D6E"/>
    <w:rsid w:val="00E768E3"/>
    <w:rsid w:val="00E97096"/>
    <w:rsid w:val="00E977EE"/>
    <w:rsid w:val="00EA67A2"/>
    <w:rsid w:val="00EC4F98"/>
    <w:rsid w:val="00EC72CF"/>
    <w:rsid w:val="00EF14A5"/>
    <w:rsid w:val="00F12F02"/>
    <w:rsid w:val="00F32E0D"/>
    <w:rsid w:val="00F35134"/>
    <w:rsid w:val="00F41812"/>
    <w:rsid w:val="00F50813"/>
    <w:rsid w:val="00F73333"/>
    <w:rsid w:val="00F751B0"/>
    <w:rsid w:val="00F85358"/>
    <w:rsid w:val="00F866A1"/>
    <w:rsid w:val="00F95D8F"/>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A7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7864AD"/>
    <w:pPr>
      <w:spacing w:after="120"/>
    </w:pPr>
  </w:style>
  <w:style w:type="character" w:customStyle="1" w:styleId="BodyTextChar">
    <w:name w:val="Body Text Char"/>
    <w:basedOn w:val="DefaultParagraphFont"/>
    <w:link w:val="BodyText"/>
    <w:uiPriority w:val="99"/>
    <w:rsid w:val="007864AD"/>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561EA7"/>
    <w:pPr>
      <w:keepNext/>
      <w:spacing w:before="40" w:after="40"/>
      <w:ind w:left="1741" w:hanging="1021"/>
      <w:jc w:val="both"/>
    </w:pPr>
    <w:rPr>
      <w:rFonts w:ascii="Arial Narrow" w:eastAsiaTheme="minorHAnsi" w:hAnsi="Arial Narrow" w:cstheme="minorBidi"/>
      <w:b/>
      <w:iCs/>
      <w:sz w:val="20"/>
      <w:szCs w:val="18"/>
      <w:lang w:eastAsia="en-US"/>
    </w:rPr>
  </w:style>
  <w:style w:type="table" w:customStyle="1" w:styleId="TableGrid1">
    <w:name w:val="Table Grid1"/>
    <w:basedOn w:val="TableNormal"/>
    <w:next w:val="TableGrid"/>
    <w:uiPriority w:val="99"/>
    <w:rsid w:val="00561EA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561EA7"/>
    <w:rPr>
      <w:rFonts w:ascii="Arial Narrow" w:eastAsiaTheme="minorHAnsi" w:hAnsi="Arial Narrow" w:cstheme="minorBidi"/>
      <w:b/>
      <w:iCs/>
      <w:sz w:val="20"/>
      <w:szCs w:val="18"/>
      <w:lang w:eastAsia="en-US"/>
    </w:rPr>
  </w:style>
  <w:style w:type="table" w:styleId="TableGrid">
    <w:name w:val="Table Grid"/>
    <w:basedOn w:val="TableNormal"/>
    <w:uiPriority w:val="59"/>
    <w:locked/>
    <w:rsid w:val="0056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ablefootnotes">
    <w:name w:val="09. Table footnotes"/>
    <w:basedOn w:val="Normal"/>
    <w:link w:val="09TablefootnotesChar"/>
    <w:qFormat/>
    <w:rsid w:val="00561EA7"/>
    <w:pPr>
      <w:keepNext/>
      <w:ind w:left="720"/>
    </w:pPr>
    <w:rPr>
      <w:rFonts w:ascii="Arial Narrow" w:eastAsia="Calibri" w:hAnsi="Arial Narrow"/>
      <w:sz w:val="16"/>
      <w:szCs w:val="16"/>
      <w:lang w:eastAsia="en-US"/>
    </w:rPr>
  </w:style>
  <w:style w:type="character" w:customStyle="1" w:styleId="09TablefootnotesChar">
    <w:name w:val="09. Table footnotes Char"/>
    <w:link w:val="09Tablefootnotes"/>
    <w:rsid w:val="00561EA7"/>
    <w:rPr>
      <w:rFonts w:ascii="Arial Narrow" w:hAnsi="Arial Narrow"/>
      <w:sz w:val="16"/>
      <w:szCs w:val="16"/>
      <w:lang w:eastAsia="en-US"/>
    </w:rPr>
  </w:style>
  <w:style w:type="paragraph" w:customStyle="1" w:styleId="Bullettext">
    <w:name w:val="Bullet text"/>
    <w:basedOn w:val="BodyText"/>
    <w:qFormat/>
    <w:rsid w:val="00561EA7"/>
    <w:pPr>
      <w:numPr>
        <w:numId w:val="27"/>
      </w:numPr>
      <w:ind w:left="1434" w:hanging="357"/>
      <w:contextualSpacing/>
    </w:pPr>
    <w:rPr>
      <w:rFonts w:ascii="Garamond" w:eastAsia="Calibri" w:hAnsi="Garamond"/>
      <w:szCs w:val="22"/>
      <w:lang w:eastAsia="en-US"/>
    </w:rPr>
  </w:style>
  <w:style w:type="paragraph" w:customStyle="1" w:styleId="Bodytextbeforebullets">
    <w:name w:val="Body text before bullets"/>
    <w:basedOn w:val="Normal"/>
    <w:next w:val="Bullettext"/>
    <w:qFormat/>
    <w:rsid w:val="00561EA7"/>
    <w:pPr>
      <w:ind w:left="720"/>
    </w:pPr>
    <w:rPr>
      <w:rFonts w:ascii="Garamond" w:eastAsia="Calibri" w:hAnsi="Garamond"/>
      <w:szCs w:val="22"/>
      <w:lang w:eastAsia="en-US"/>
    </w:rPr>
  </w:style>
  <w:style w:type="paragraph" w:customStyle="1" w:styleId="10Tablelastfootnote-nostick">
    <w:name w:val="10. Table last footnote - no stick"/>
    <w:basedOn w:val="Normal"/>
    <w:next w:val="BodyText"/>
    <w:qFormat/>
    <w:rsid w:val="00561EA7"/>
    <w:pPr>
      <w:spacing w:after="360"/>
      <w:ind w:left="720"/>
    </w:pPr>
    <w:rPr>
      <w:rFonts w:ascii="Arial Narrow" w:eastAsia="Calibri" w:hAnsi="Arial Narrow"/>
      <w:sz w:val="16"/>
      <w:lang w:eastAsia="en-US"/>
    </w:rPr>
  </w:style>
  <w:style w:type="paragraph" w:customStyle="1" w:styleId="02Tabletextboldleft">
    <w:name w:val="02. Table text bold left"/>
    <w:qFormat/>
    <w:rsid w:val="00561EA7"/>
    <w:pPr>
      <w:keepNext/>
      <w:spacing w:before="20"/>
    </w:pPr>
    <w:rPr>
      <w:rFonts w:ascii="Arial Narrow" w:hAnsi="Arial Narrow"/>
      <w:b/>
      <w:sz w:val="18"/>
      <w:szCs w:val="20"/>
      <w:lang w:eastAsia="en-US"/>
    </w:rPr>
  </w:style>
  <w:style w:type="paragraph" w:customStyle="1" w:styleId="01Tabletext">
    <w:name w:val="01. Table text"/>
    <w:next w:val="Normal"/>
    <w:qFormat/>
    <w:rsid w:val="00561EA7"/>
    <w:pPr>
      <w:spacing w:before="20"/>
    </w:pPr>
    <w:rPr>
      <w:rFonts w:ascii="Arial Narrow" w:hAnsi="Arial Narrow"/>
      <w:sz w:val="18"/>
      <w:szCs w:val="20"/>
      <w:lang w:eastAsia="en-US"/>
    </w:rPr>
  </w:style>
  <w:style w:type="table" w:customStyle="1" w:styleId="TableGrid2">
    <w:name w:val="Table Grid2"/>
    <w:basedOn w:val="TableNormal"/>
    <w:next w:val="TableGrid"/>
    <w:uiPriority w:val="59"/>
    <w:locked/>
    <w:rsid w:val="008A622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2758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B0133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0">
    <w:name w:val="Bullet Text"/>
    <w:basedOn w:val="BodyText"/>
    <w:link w:val="BulletTextChar"/>
    <w:qFormat/>
    <w:rsid w:val="00B0133C"/>
    <w:pPr>
      <w:numPr>
        <w:numId w:val="29"/>
      </w:numPr>
      <w:spacing w:before="120" w:after="0" w:line="312" w:lineRule="auto"/>
      <w:contextualSpacing/>
      <w:jc w:val="both"/>
    </w:pPr>
    <w:rPr>
      <w:rFonts w:ascii="Tahoma" w:eastAsia="SimSun" w:hAnsi="Tahoma" w:cs="Tahoma"/>
      <w:sz w:val="20"/>
      <w:lang w:eastAsia="zh-CN"/>
    </w:rPr>
  </w:style>
  <w:style w:type="character" w:customStyle="1" w:styleId="BulletTextChar">
    <w:name w:val="Bullet Text Char"/>
    <w:basedOn w:val="BodyTextChar"/>
    <w:link w:val="BulletText0"/>
    <w:rsid w:val="00B0133C"/>
    <w:rPr>
      <w:rFonts w:ascii="Tahoma" w:eastAsia="SimSun" w:hAnsi="Tahoma" w:cs="Tahoma"/>
      <w:sz w:val="20"/>
      <w:szCs w:val="20"/>
      <w:lang w:eastAsia="zh-CN"/>
    </w:rPr>
  </w:style>
  <w:style w:type="paragraph" w:styleId="NoSpacing">
    <w:name w:val="No Spacing"/>
    <w:uiPriority w:val="1"/>
    <w:qFormat/>
    <w:rsid w:val="002F2D67"/>
    <w:rPr>
      <w:rFonts w:eastAsia="Times New Roman"/>
      <w:sz w:val="24"/>
      <w:szCs w:val="24"/>
    </w:rPr>
  </w:style>
  <w:style w:type="paragraph" w:customStyle="1" w:styleId="06Tabletextright-aligned">
    <w:name w:val="06. Table text $ right-aligned"/>
    <w:qFormat/>
    <w:rsid w:val="00DD4178"/>
    <w:pPr>
      <w:spacing w:before="20"/>
      <w:ind w:right="113"/>
      <w:jc w:val="right"/>
    </w:pPr>
    <w:rPr>
      <w:rFonts w:ascii="Arial Narrow" w:hAnsi="Arial Narrow"/>
      <w:sz w:val="1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7864AD"/>
    <w:pPr>
      <w:spacing w:after="120"/>
    </w:pPr>
  </w:style>
  <w:style w:type="character" w:customStyle="1" w:styleId="BodyTextChar">
    <w:name w:val="Body Text Char"/>
    <w:basedOn w:val="DefaultParagraphFont"/>
    <w:link w:val="BodyText"/>
    <w:uiPriority w:val="99"/>
    <w:rsid w:val="007864AD"/>
    <w:rPr>
      <w:rFonts w:eastAsia="Times New Roman"/>
      <w:sz w:val="24"/>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nhideWhenUsed/>
    <w:qFormat/>
    <w:locked/>
    <w:rsid w:val="00561EA7"/>
    <w:pPr>
      <w:keepNext/>
      <w:spacing w:before="40" w:after="40"/>
      <w:ind w:left="1741" w:hanging="1021"/>
      <w:jc w:val="both"/>
    </w:pPr>
    <w:rPr>
      <w:rFonts w:ascii="Arial Narrow" w:eastAsiaTheme="minorHAnsi" w:hAnsi="Arial Narrow" w:cstheme="minorBidi"/>
      <w:b/>
      <w:iCs/>
      <w:sz w:val="20"/>
      <w:szCs w:val="18"/>
      <w:lang w:eastAsia="en-US"/>
    </w:rPr>
  </w:style>
  <w:style w:type="table" w:customStyle="1" w:styleId="TableGrid1">
    <w:name w:val="Table Grid1"/>
    <w:basedOn w:val="TableNormal"/>
    <w:next w:val="TableGrid"/>
    <w:uiPriority w:val="99"/>
    <w:rsid w:val="00561EA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rsid w:val="00561EA7"/>
    <w:rPr>
      <w:rFonts w:ascii="Arial Narrow" w:eastAsiaTheme="minorHAnsi" w:hAnsi="Arial Narrow" w:cstheme="minorBidi"/>
      <w:b/>
      <w:iCs/>
      <w:sz w:val="20"/>
      <w:szCs w:val="18"/>
      <w:lang w:eastAsia="en-US"/>
    </w:rPr>
  </w:style>
  <w:style w:type="table" w:styleId="TableGrid">
    <w:name w:val="Table Grid"/>
    <w:basedOn w:val="TableNormal"/>
    <w:uiPriority w:val="59"/>
    <w:locked/>
    <w:rsid w:val="0056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ablefootnotes">
    <w:name w:val="09. Table footnotes"/>
    <w:basedOn w:val="Normal"/>
    <w:link w:val="09TablefootnotesChar"/>
    <w:qFormat/>
    <w:rsid w:val="00561EA7"/>
    <w:pPr>
      <w:keepNext/>
      <w:ind w:left="720"/>
    </w:pPr>
    <w:rPr>
      <w:rFonts w:ascii="Arial Narrow" w:eastAsia="Calibri" w:hAnsi="Arial Narrow"/>
      <w:sz w:val="16"/>
      <w:szCs w:val="16"/>
      <w:lang w:eastAsia="en-US"/>
    </w:rPr>
  </w:style>
  <w:style w:type="character" w:customStyle="1" w:styleId="09TablefootnotesChar">
    <w:name w:val="09. Table footnotes Char"/>
    <w:link w:val="09Tablefootnotes"/>
    <w:rsid w:val="00561EA7"/>
    <w:rPr>
      <w:rFonts w:ascii="Arial Narrow" w:hAnsi="Arial Narrow"/>
      <w:sz w:val="16"/>
      <w:szCs w:val="16"/>
      <w:lang w:eastAsia="en-US"/>
    </w:rPr>
  </w:style>
  <w:style w:type="paragraph" w:customStyle="1" w:styleId="Bullettext">
    <w:name w:val="Bullet text"/>
    <w:basedOn w:val="BodyText"/>
    <w:qFormat/>
    <w:rsid w:val="00561EA7"/>
    <w:pPr>
      <w:numPr>
        <w:numId w:val="27"/>
      </w:numPr>
      <w:ind w:left="1434" w:hanging="357"/>
      <w:contextualSpacing/>
    </w:pPr>
    <w:rPr>
      <w:rFonts w:ascii="Garamond" w:eastAsia="Calibri" w:hAnsi="Garamond"/>
      <w:szCs w:val="22"/>
      <w:lang w:eastAsia="en-US"/>
    </w:rPr>
  </w:style>
  <w:style w:type="paragraph" w:customStyle="1" w:styleId="Bodytextbeforebullets">
    <w:name w:val="Body text before bullets"/>
    <w:basedOn w:val="Normal"/>
    <w:next w:val="Bullettext"/>
    <w:qFormat/>
    <w:rsid w:val="00561EA7"/>
    <w:pPr>
      <w:ind w:left="720"/>
    </w:pPr>
    <w:rPr>
      <w:rFonts w:ascii="Garamond" w:eastAsia="Calibri" w:hAnsi="Garamond"/>
      <w:szCs w:val="22"/>
      <w:lang w:eastAsia="en-US"/>
    </w:rPr>
  </w:style>
  <w:style w:type="paragraph" w:customStyle="1" w:styleId="10Tablelastfootnote-nostick">
    <w:name w:val="10. Table last footnote - no stick"/>
    <w:basedOn w:val="Normal"/>
    <w:next w:val="BodyText"/>
    <w:qFormat/>
    <w:rsid w:val="00561EA7"/>
    <w:pPr>
      <w:spacing w:after="360"/>
      <w:ind w:left="720"/>
    </w:pPr>
    <w:rPr>
      <w:rFonts w:ascii="Arial Narrow" w:eastAsia="Calibri" w:hAnsi="Arial Narrow"/>
      <w:sz w:val="16"/>
      <w:lang w:eastAsia="en-US"/>
    </w:rPr>
  </w:style>
  <w:style w:type="paragraph" w:customStyle="1" w:styleId="02Tabletextboldleft">
    <w:name w:val="02. Table text bold left"/>
    <w:qFormat/>
    <w:rsid w:val="00561EA7"/>
    <w:pPr>
      <w:keepNext/>
      <w:spacing w:before="20"/>
    </w:pPr>
    <w:rPr>
      <w:rFonts w:ascii="Arial Narrow" w:hAnsi="Arial Narrow"/>
      <w:b/>
      <w:sz w:val="18"/>
      <w:szCs w:val="20"/>
      <w:lang w:eastAsia="en-US"/>
    </w:rPr>
  </w:style>
  <w:style w:type="paragraph" w:customStyle="1" w:styleId="01Tabletext">
    <w:name w:val="01. Table text"/>
    <w:next w:val="Normal"/>
    <w:qFormat/>
    <w:rsid w:val="00561EA7"/>
    <w:pPr>
      <w:spacing w:before="20"/>
    </w:pPr>
    <w:rPr>
      <w:rFonts w:ascii="Arial Narrow" w:hAnsi="Arial Narrow"/>
      <w:sz w:val="18"/>
      <w:szCs w:val="20"/>
      <w:lang w:eastAsia="en-US"/>
    </w:rPr>
  </w:style>
  <w:style w:type="table" w:customStyle="1" w:styleId="TableGrid2">
    <w:name w:val="Table Grid2"/>
    <w:basedOn w:val="TableNormal"/>
    <w:next w:val="TableGrid"/>
    <w:uiPriority w:val="59"/>
    <w:locked/>
    <w:rsid w:val="008A622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2758A8"/>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B0133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0">
    <w:name w:val="Bullet Text"/>
    <w:basedOn w:val="BodyText"/>
    <w:link w:val="BulletTextChar"/>
    <w:qFormat/>
    <w:rsid w:val="00B0133C"/>
    <w:pPr>
      <w:numPr>
        <w:numId w:val="29"/>
      </w:numPr>
      <w:spacing w:before="120" w:after="0" w:line="312" w:lineRule="auto"/>
      <w:contextualSpacing/>
      <w:jc w:val="both"/>
    </w:pPr>
    <w:rPr>
      <w:rFonts w:ascii="Tahoma" w:eastAsia="SimSun" w:hAnsi="Tahoma" w:cs="Tahoma"/>
      <w:sz w:val="20"/>
      <w:lang w:eastAsia="zh-CN"/>
    </w:rPr>
  </w:style>
  <w:style w:type="character" w:customStyle="1" w:styleId="BulletTextChar">
    <w:name w:val="Bullet Text Char"/>
    <w:basedOn w:val="BodyTextChar"/>
    <w:link w:val="BulletText0"/>
    <w:rsid w:val="00B0133C"/>
    <w:rPr>
      <w:rFonts w:ascii="Tahoma" w:eastAsia="SimSun" w:hAnsi="Tahoma" w:cs="Tahoma"/>
      <w:sz w:val="20"/>
      <w:szCs w:val="20"/>
      <w:lang w:eastAsia="zh-CN"/>
    </w:rPr>
  </w:style>
  <w:style w:type="paragraph" w:styleId="NoSpacing">
    <w:name w:val="No Spacing"/>
    <w:uiPriority w:val="1"/>
    <w:qFormat/>
    <w:rsid w:val="002F2D67"/>
    <w:rPr>
      <w:rFonts w:eastAsia="Times New Roman"/>
      <w:sz w:val="24"/>
      <w:szCs w:val="24"/>
    </w:rPr>
  </w:style>
  <w:style w:type="paragraph" w:customStyle="1" w:styleId="06Tabletextright-aligned">
    <w:name w:val="06. Table text $ right-aligned"/>
    <w:qFormat/>
    <w:rsid w:val="00DD4178"/>
    <w:pPr>
      <w:spacing w:before="20"/>
      <w:ind w:right="113"/>
      <w:jc w:val="right"/>
    </w:pPr>
    <w:rPr>
      <w:rFonts w:ascii="Arial Narrow" w:hAnsi="Arial Narrow"/>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2596">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1"/>
          <c:order val="0"/>
          <c:tx>
            <c:v>Incremental cost per patient</c:v>
          </c:tx>
          <c:marker>
            <c:symbol val="none"/>
          </c:marker>
          <c:cat>
            <c:numRef>
              <c:f>Sheet1!$B$2:$B$6</c:f>
              <c:numCache>
                <c:formatCode>General</c:formatCode>
                <c:ptCount val="5"/>
                <c:pt idx="0">
                  <c:v>4.2300000000000004</c:v>
                </c:pt>
                <c:pt idx="1">
                  <c:v>5.23</c:v>
                </c:pt>
                <c:pt idx="2">
                  <c:v>6.23</c:v>
                </c:pt>
                <c:pt idx="3">
                  <c:v>7.23</c:v>
                </c:pt>
                <c:pt idx="4">
                  <c:v>8.2299999999999986</c:v>
                </c:pt>
              </c:numCache>
            </c:numRef>
          </c:cat>
          <c:val>
            <c:numRef>
              <c:f>Sheet1!$C$2:$C$6</c:f>
              <c:numCache>
                <c:formatCode>"$"#,##0</c:formatCode>
                <c:ptCount val="5"/>
                <c:pt idx="0">
                  <c:v>492748.46566491941</c:v>
                </c:pt>
                <c:pt idx="1">
                  <c:v>360970.66609457432</c:v>
                </c:pt>
                <c:pt idx="2">
                  <c:v>229192.86652423121</c:v>
                </c:pt>
                <c:pt idx="3">
                  <c:v>97415.066953886868</c:v>
                </c:pt>
                <c:pt idx="4">
                  <c:v>-34362.732616456</c:v>
                </c:pt>
              </c:numCache>
            </c:numRef>
          </c:val>
          <c:smooth val="0"/>
        </c:ser>
        <c:dLbls>
          <c:showLegendKey val="0"/>
          <c:showVal val="0"/>
          <c:showCatName val="0"/>
          <c:showSerName val="0"/>
          <c:showPercent val="0"/>
          <c:showBubbleSize val="0"/>
        </c:dLbls>
        <c:marker val="1"/>
        <c:smooth val="0"/>
        <c:axId val="80500608"/>
        <c:axId val="51294208"/>
      </c:lineChart>
      <c:catAx>
        <c:axId val="80500608"/>
        <c:scaling>
          <c:orientation val="minMax"/>
        </c:scaling>
        <c:delete val="0"/>
        <c:axPos val="b"/>
        <c:title>
          <c:tx>
            <c:rich>
              <a:bodyPr/>
              <a:lstStyle/>
              <a:p>
                <a:pPr>
                  <a:defRPr/>
                </a:pPr>
                <a:r>
                  <a:rPr lang="en-US"/>
                  <a:t>Incremental attack rate per month (no prophylaxis minus routine</a:t>
                </a:r>
                <a:r>
                  <a:rPr lang="en-US" baseline="0"/>
                  <a:t> prophylaxis with Cinryze)</a:t>
                </a:r>
                <a:endParaRPr lang="en-US"/>
              </a:p>
            </c:rich>
          </c:tx>
          <c:overlay val="0"/>
        </c:title>
        <c:numFmt formatCode="General" sourceLinked="1"/>
        <c:majorTickMark val="out"/>
        <c:minorTickMark val="none"/>
        <c:tickLblPos val="nextTo"/>
        <c:crossAx val="51294208"/>
        <c:crosses val="autoZero"/>
        <c:auto val="1"/>
        <c:lblAlgn val="ctr"/>
        <c:lblOffset val="100"/>
        <c:noMultiLvlLbl val="0"/>
      </c:catAx>
      <c:valAx>
        <c:axId val="51294208"/>
        <c:scaling>
          <c:orientation val="minMax"/>
        </c:scaling>
        <c:delete val="0"/>
        <c:axPos val="l"/>
        <c:majorGridlines/>
        <c:title>
          <c:tx>
            <c:rich>
              <a:bodyPr rot="-5400000" vert="horz"/>
              <a:lstStyle/>
              <a:p>
                <a:pPr>
                  <a:defRPr/>
                </a:pPr>
                <a:r>
                  <a:rPr lang="en-US"/>
                  <a:t>Incremental cost per patient</a:t>
                </a:r>
              </a:p>
            </c:rich>
          </c:tx>
          <c:overlay val="0"/>
        </c:title>
        <c:numFmt formatCode="&quot;$&quot;#,##0" sourceLinked="1"/>
        <c:majorTickMark val="out"/>
        <c:minorTickMark val="none"/>
        <c:tickLblPos val="nextTo"/>
        <c:crossAx val="80500608"/>
        <c:crosses val="autoZero"/>
        <c:crossBetween val="between"/>
      </c:valAx>
    </c:plotArea>
    <c:legend>
      <c:legendPos val="r"/>
      <c:overlay val="0"/>
    </c:legend>
    <c:plotVisOnly val="1"/>
    <c:dispBlanksAs val="gap"/>
    <c:showDLblsOverMax val="0"/>
  </c:chart>
  <c:spPr>
    <a:ln w="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89B1-86CF-4107-BC17-E87B48F5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6413</Words>
  <Characters>36370</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Valeri Mikayla</cp:lastModifiedBy>
  <cp:revision>2</cp:revision>
  <cp:lastPrinted>2015-10-12T00:40:00Z</cp:lastPrinted>
  <dcterms:created xsi:type="dcterms:W3CDTF">2015-10-27T23:51:00Z</dcterms:created>
  <dcterms:modified xsi:type="dcterms:W3CDTF">2015-10-27T23:51:00Z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