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AAF61" w14:textId="77777777" w:rsidR="007252D5" w:rsidRPr="00A34E9C" w:rsidRDefault="007252D5" w:rsidP="000901A8">
      <w:bookmarkStart w:id="0" w:name="_Toc279153756"/>
    </w:p>
    <w:tbl>
      <w:tblPr>
        <w:tblpPr w:leftFromText="187" w:rightFromText="187" w:horzAnchor="margin" w:tblpXSpec="right" w:tblpYSpec="center"/>
        <w:tblW w:w="2431" w:type="pct"/>
        <w:tblBorders>
          <w:top w:val="single" w:sz="36" w:space="0" w:color="215868"/>
          <w:bottom w:val="single" w:sz="36" w:space="0" w:color="215868"/>
          <w:insideH w:val="single" w:sz="36" w:space="0" w:color="215868"/>
        </w:tblBorders>
        <w:tblCellMar>
          <w:top w:w="360" w:type="dxa"/>
          <w:left w:w="115" w:type="dxa"/>
          <w:bottom w:w="360" w:type="dxa"/>
          <w:right w:w="115" w:type="dxa"/>
        </w:tblCellMar>
        <w:tblLook w:val="00A0" w:firstRow="1" w:lastRow="0" w:firstColumn="1" w:lastColumn="0" w:noHBand="0" w:noVBand="0"/>
      </w:tblPr>
      <w:tblGrid>
        <w:gridCol w:w="4500"/>
      </w:tblGrid>
      <w:tr w:rsidR="007252D5" w:rsidRPr="00A34E9C" w14:paraId="37C5DB19" w14:textId="77777777" w:rsidTr="00D61C4E">
        <w:tc>
          <w:tcPr>
            <w:tcW w:w="5000" w:type="pct"/>
          </w:tcPr>
          <w:p w14:paraId="70B7019D" w14:textId="77777777" w:rsidR="007252D5" w:rsidRPr="00A34E9C" w:rsidRDefault="002C31AA" w:rsidP="002C31AA">
            <w:pPr>
              <w:pStyle w:val="NoSpacing"/>
              <w:spacing w:after="240"/>
              <w:rPr>
                <w:rFonts w:ascii="Tahoma" w:hAnsi="Tahoma" w:cs="Tahoma"/>
                <w:sz w:val="48"/>
                <w:szCs w:val="56"/>
              </w:rPr>
            </w:pPr>
            <w:r>
              <w:rPr>
                <w:rFonts w:ascii="Tahoma" w:hAnsi="Tahoma" w:cs="Tahoma"/>
                <w:sz w:val="44"/>
                <w:szCs w:val="56"/>
                <w:lang w:val="en-AU"/>
              </w:rPr>
              <w:t>P</w:t>
            </w:r>
            <w:r w:rsidR="007252D5" w:rsidRPr="00A34E9C">
              <w:rPr>
                <w:rFonts w:ascii="Tahoma" w:hAnsi="Tahoma" w:cs="Tahoma"/>
                <w:sz w:val="44"/>
                <w:szCs w:val="56"/>
                <w:lang w:val="en-AU"/>
              </w:rPr>
              <w:t xml:space="preserve">rotocol to guide the assessment of </w:t>
            </w:r>
            <w:proofErr w:type="spellStart"/>
            <w:r w:rsidR="006B02B6">
              <w:rPr>
                <w:rFonts w:ascii="Tahoma" w:hAnsi="Tahoma" w:cs="Tahoma"/>
                <w:sz w:val="44"/>
                <w:szCs w:val="56"/>
                <w:lang w:val="en-AU"/>
              </w:rPr>
              <w:t>mpMRI</w:t>
            </w:r>
            <w:proofErr w:type="spellEnd"/>
            <w:r w:rsidR="006B02B6">
              <w:rPr>
                <w:rFonts w:ascii="Tahoma" w:hAnsi="Tahoma" w:cs="Tahoma"/>
                <w:sz w:val="44"/>
                <w:szCs w:val="56"/>
                <w:lang w:val="en-AU"/>
              </w:rPr>
              <w:t xml:space="preserve"> prostate diagnostic scans for diagnosis of prostate cancer</w:t>
            </w:r>
            <w:r w:rsidR="007252D5" w:rsidRPr="00FE705C">
              <w:rPr>
                <w:sz w:val="16"/>
              </w:rPr>
              <w:t xml:space="preserve"> </w:t>
            </w:r>
            <w:r w:rsidR="00CC0878">
              <w:rPr>
                <w:sz w:val="16"/>
              </w:rPr>
              <w:t xml:space="preserve"> </w:t>
            </w:r>
          </w:p>
        </w:tc>
      </w:tr>
      <w:tr w:rsidR="007252D5" w:rsidRPr="00A34E9C" w14:paraId="26AD32FB" w14:textId="77777777" w:rsidTr="00D61C4E">
        <w:tc>
          <w:tcPr>
            <w:tcW w:w="5000" w:type="pct"/>
          </w:tcPr>
          <w:p w14:paraId="3C7319AF" w14:textId="094A7AB6" w:rsidR="007252D5" w:rsidRPr="00FE705C" w:rsidRDefault="00645DDC" w:rsidP="005E5A74">
            <w:pPr>
              <w:pStyle w:val="NoSpacing"/>
              <w:rPr>
                <w:rFonts w:ascii="Tahoma" w:hAnsi="Tahoma" w:cs="Tahoma"/>
                <w:sz w:val="32"/>
                <w:szCs w:val="40"/>
              </w:rPr>
            </w:pPr>
            <w:r>
              <w:rPr>
                <w:rFonts w:ascii="Tahoma" w:hAnsi="Tahoma" w:cs="Tahoma"/>
                <w:sz w:val="32"/>
                <w:szCs w:val="40"/>
                <w:lang w:val="en-AU"/>
              </w:rPr>
              <w:t>February</w:t>
            </w:r>
            <w:r w:rsidR="005E5A74">
              <w:rPr>
                <w:rFonts w:ascii="Tahoma" w:hAnsi="Tahoma" w:cs="Tahoma"/>
                <w:sz w:val="32"/>
                <w:szCs w:val="40"/>
                <w:lang w:val="en-AU"/>
              </w:rPr>
              <w:t xml:space="preserve"> </w:t>
            </w:r>
            <w:r w:rsidR="006B02B6">
              <w:rPr>
                <w:rFonts w:ascii="Tahoma" w:hAnsi="Tahoma" w:cs="Tahoma"/>
                <w:sz w:val="32"/>
                <w:szCs w:val="40"/>
                <w:lang w:val="en-AU"/>
              </w:rPr>
              <w:t>201</w:t>
            </w:r>
            <w:r w:rsidR="005E5A74">
              <w:rPr>
                <w:rFonts w:ascii="Tahoma" w:hAnsi="Tahoma" w:cs="Tahoma"/>
                <w:sz w:val="32"/>
                <w:szCs w:val="40"/>
                <w:lang w:val="en-AU"/>
              </w:rPr>
              <w:t>6</w:t>
            </w:r>
          </w:p>
        </w:tc>
      </w:tr>
    </w:tbl>
    <w:p w14:paraId="5D8989F1" w14:textId="77777777" w:rsidR="007252D5" w:rsidRPr="00A34E9C" w:rsidRDefault="007252D5" w:rsidP="000901A8"/>
    <w:p w14:paraId="007DDCB0" w14:textId="77777777" w:rsidR="007252D5" w:rsidRPr="00A34E9C" w:rsidRDefault="007252D5" w:rsidP="000901A8">
      <w:pPr>
        <w:rPr>
          <w:rFonts w:ascii="Cambria" w:eastAsia="Times New Roman" w:hAnsi="Cambria" w:cs="Times New Roman"/>
          <w:b/>
          <w:i/>
          <w:color w:val="365F91"/>
          <w:sz w:val="22"/>
          <w:szCs w:val="28"/>
          <w:lang w:val="en-US" w:eastAsia="en-US"/>
        </w:rPr>
      </w:pPr>
      <w:r w:rsidRPr="00A34E9C">
        <w:br w:type="page"/>
      </w:r>
      <w:bookmarkStart w:id="1" w:name="_GoBack"/>
      <w:bookmarkEnd w:id="1"/>
    </w:p>
    <w:p w14:paraId="77880242" w14:textId="77777777" w:rsidR="007252D5" w:rsidRPr="00A34E9C" w:rsidRDefault="007252D5" w:rsidP="000901A8">
      <w:pPr>
        <w:pStyle w:val="TOCHeading0"/>
      </w:pPr>
      <w:r w:rsidRPr="00A34E9C">
        <w:lastRenderedPageBreak/>
        <w:t>Table of Contents</w:t>
      </w:r>
    </w:p>
    <w:p w14:paraId="18C01849" w14:textId="77777777" w:rsidR="006B7268" w:rsidRDefault="0025035F">
      <w:pPr>
        <w:pStyle w:val="TOC1"/>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444781429" w:history="1">
        <w:r w:rsidR="006B7268" w:rsidRPr="00E52187">
          <w:rPr>
            <w:rStyle w:val="Hyperlink"/>
          </w:rPr>
          <w:t>MSAC and PASC</w:t>
        </w:r>
        <w:r w:rsidR="006B7268">
          <w:rPr>
            <w:webHidden/>
          </w:rPr>
          <w:tab/>
        </w:r>
        <w:r w:rsidR="006B7268">
          <w:rPr>
            <w:webHidden/>
          </w:rPr>
          <w:fldChar w:fldCharType="begin"/>
        </w:r>
        <w:r w:rsidR="006B7268">
          <w:rPr>
            <w:webHidden/>
          </w:rPr>
          <w:instrText xml:space="preserve"> PAGEREF _Toc444781429 \h </w:instrText>
        </w:r>
        <w:r w:rsidR="006B7268">
          <w:rPr>
            <w:webHidden/>
          </w:rPr>
        </w:r>
        <w:r w:rsidR="006B7268">
          <w:rPr>
            <w:webHidden/>
          </w:rPr>
          <w:fldChar w:fldCharType="separate"/>
        </w:r>
        <w:r w:rsidR="006B7268">
          <w:rPr>
            <w:webHidden/>
          </w:rPr>
          <w:t>3</w:t>
        </w:r>
        <w:r w:rsidR="006B7268">
          <w:rPr>
            <w:webHidden/>
          </w:rPr>
          <w:fldChar w:fldCharType="end"/>
        </w:r>
      </w:hyperlink>
    </w:p>
    <w:p w14:paraId="1C706909" w14:textId="77777777" w:rsidR="006B7268" w:rsidRDefault="00E92907">
      <w:pPr>
        <w:pStyle w:val="TOC2"/>
        <w:rPr>
          <w:rFonts w:asciiTheme="minorHAnsi" w:eastAsiaTheme="minorEastAsia" w:hAnsiTheme="minorHAnsi" w:cstheme="minorBidi"/>
          <w:sz w:val="22"/>
          <w:szCs w:val="22"/>
          <w:lang w:val="en-AU" w:eastAsia="en-AU"/>
        </w:rPr>
      </w:pPr>
      <w:hyperlink w:anchor="_Toc444781430" w:history="1">
        <w:r w:rsidR="006B7268" w:rsidRPr="00E52187">
          <w:rPr>
            <w:rStyle w:val="Hyperlink"/>
          </w:rPr>
          <w:t>Purpose of this document</w:t>
        </w:r>
        <w:r w:rsidR="006B7268">
          <w:rPr>
            <w:webHidden/>
          </w:rPr>
          <w:tab/>
        </w:r>
        <w:r w:rsidR="006B7268">
          <w:rPr>
            <w:webHidden/>
          </w:rPr>
          <w:fldChar w:fldCharType="begin"/>
        </w:r>
        <w:r w:rsidR="006B7268">
          <w:rPr>
            <w:webHidden/>
          </w:rPr>
          <w:instrText xml:space="preserve"> PAGEREF _Toc444781430 \h </w:instrText>
        </w:r>
        <w:r w:rsidR="006B7268">
          <w:rPr>
            <w:webHidden/>
          </w:rPr>
        </w:r>
        <w:r w:rsidR="006B7268">
          <w:rPr>
            <w:webHidden/>
          </w:rPr>
          <w:fldChar w:fldCharType="separate"/>
        </w:r>
        <w:r w:rsidR="006B7268">
          <w:rPr>
            <w:webHidden/>
          </w:rPr>
          <w:t>3</w:t>
        </w:r>
        <w:r w:rsidR="006B7268">
          <w:rPr>
            <w:webHidden/>
          </w:rPr>
          <w:fldChar w:fldCharType="end"/>
        </w:r>
      </w:hyperlink>
    </w:p>
    <w:p w14:paraId="1F7A40CF" w14:textId="77777777" w:rsidR="006B7268" w:rsidRDefault="00E92907">
      <w:pPr>
        <w:pStyle w:val="TOC1"/>
        <w:rPr>
          <w:rFonts w:asciiTheme="minorHAnsi" w:eastAsiaTheme="minorEastAsia" w:hAnsiTheme="minorHAnsi" w:cstheme="minorBidi"/>
          <w:b w:val="0"/>
          <w:sz w:val="22"/>
          <w:szCs w:val="22"/>
          <w:lang w:eastAsia="en-AU"/>
        </w:rPr>
      </w:pPr>
      <w:hyperlink w:anchor="_Toc444781431" w:history="1">
        <w:r w:rsidR="006B7268" w:rsidRPr="00E52187">
          <w:rPr>
            <w:rStyle w:val="Hyperlink"/>
          </w:rPr>
          <w:t>Purpose of application</w:t>
        </w:r>
        <w:r w:rsidR="006B7268">
          <w:rPr>
            <w:webHidden/>
          </w:rPr>
          <w:tab/>
        </w:r>
        <w:r w:rsidR="006B7268">
          <w:rPr>
            <w:webHidden/>
          </w:rPr>
          <w:fldChar w:fldCharType="begin"/>
        </w:r>
        <w:r w:rsidR="006B7268">
          <w:rPr>
            <w:webHidden/>
          </w:rPr>
          <w:instrText xml:space="preserve"> PAGEREF _Toc444781431 \h </w:instrText>
        </w:r>
        <w:r w:rsidR="006B7268">
          <w:rPr>
            <w:webHidden/>
          </w:rPr>
        </w:r>
        <w:r w:rsidR="006B7268">
          <w:rPr>
            <w:webHidden/>
          </w:rPr>
          <w:fldChar w:fldCharType="separate"/>
        </w:r>
        <w:r w:rsidR="006B7268">
          <w:rPr>
            <w:webHidden/>
          </w:rPr>
          <w:t>4</w:t>
        </w:r>
        <w:r w:rsidR="006B7268">
          <w:rPr>
            <w:webHidden/>
          </w:rPr>
          <w:fldChar w:fldCharType="end"/>
        </w:r>
      </w:hyperlink>
    </w:p>
    <w:p w14:paraId="30150411" w14:textId="77777777" w:rsidR="006B7268" w:rsidRDefault="00E92907">
      <w:pPr>
        <w:pStyle w:val="TOC1"/>
        <w:rPr>
          <w:rFonts w:asciiTheme="minorHAnsi" w:eastAsiaTheme="minorEastAsia" w:hAnsiTheme="minorHAnsi" w:cstheme="minorBidi"/>
          <w:b w:val="0"/>
          <w:sz w:val="22"/>
          <w:szCs w:val="22"/>
          <w:lang w:eastAsia="en-AU"/>
        </w:rPr>
      </w:pPr>
      <w:hyperlink w:anchor="_Toc444781432" w:history="1">
        <w:r w:rsidR="006B7268" w:rsidRPr="00E52187">
          <w:rPr>
            <w:rStyle w:val="Hyperlink"/>
          </w:rPr>
          <w:t>Intervention</w:t>
        </w:r>
        <w:r w:rsidR="006B7268">
          <w:rPr>
            <w:webHidden/>
          </w:rPr>
          <w:tab/>
        </w:r>
        <w:r w:rsidR="006B7268">
          <w:rPr>
            <w:webHidden/>
          </w:rPr>
          <w:fldChar w:fldCharType="begin"/>
        </w:r>
        <w:r w:rsidR="006B7268">
          <w:rPr>
            <w:webHidden/>
          </w:rPr>
          <w:instrText xml:space="preserve"> PAGEREF _Toc444781432 \h </w:instrText>
        </w:r>
        <w:r w:rsidR="006B7268">
          <w:rPr>
            <w:webHidden/>
          </w:rPr>
        </w:r>
        <w:r w:rsidR="006B7268">
          <w:rPr>
            <w:webHidden/>
          </w:rPr>
          <w:fldChar w:fldCharType="separate"/>
        </w:r>
        <w:r w:rsidR="006B7268">
          <w:rPr>
            <w:webHidden/>
          </w:rPr>
          <w:t>4</w:t>
        </w:r>
        <w:r w:rsidR="006B7268">
          <w:rPr>
            <w:webHidden/>
          </w:rPr>
          <w:fldChar w:fldCharType="end"/>
        </w:r>
      </w:hyperlink>
    </w:p>
    <w:p w14:paraId="3149C2DD" w14:textId="77777777" w:rsidR="006B7268" w:rsidRDefault="00E92907">
      <w:pPr>
        <w:pStyle w:val="TOC2"/>
        <w:rPr>
          <w:rFonts w:asciiTheme="minorHAnsi" w:eastAsiaTheme="minorEastAsia" w:hAnsiTheme="minorHAnsi" w:cstheme="minorBidi"/>
          <w:sz w:val="22"/>
          <w:szCs w:val="22"/>
          <w:lang w:val="en-AU" w:eastAsia="en-AU"/>
        </w:rPr>
      </w:pPr>
      <w:hyperlink w:anchor="_Toc444781433" w:history="1">
        <w:r w:rsidR="006B7268" w:rsidRPr="00E52187">
          <w:rPr>
            <w:rStyle w:val="Hyperlink"/>
          </w:rPr>
          <w:t>Description</w:t>
        </w:r>
        <w:r w:rsidR="006B7268">
          <w:rPr>
            <w:webHidden/>
          </w:rPr>
          <w:tab/>
        </w:r>
        <w:r w:rsidR="006B7268">
          <w:rPr>
            <w:webHidden/>
          </w:rPr>
          <w:fldChar w:fldCharType="begin"/>
        </w:r>
        <w:r w:rsidR="006B7268">
          <w:rPr>
            <w:webHidden/>
          </w:rPr>
          <w:instrText xml:space="preserve"> PAGEREF _Toc444781433 \h </w:instrText>
        </w:r>
        <w:r w:rsidR="006B7268">
          <w:rPr>
            <w:webHidden/>
          </w:rPr>
        </w:r>
        <w:r w:rsidR="006B7268">
          <w:rPr>
            <w:webHidden/>
          </w:rPr>
          <w:fldChar w:fldCharType="separate"/>
        </w:r>
        <w:r w:rsidR="006B7268">
          <w:rPr>
            <w:webHidden/>
          </w:rPr>
          <w:t>4</w:t>
        </w:r>
        <w:r w:rsidR="006B7268">
          <w:rPr>
            <w:webHidden/>
          </w:rPr>
          <w:fldChar w:fldCharType="end"/>
        </w:r>
      </w:hyperlink>
    </w:p>
    <w:p w14:paraId="75C56515" w14:textId="77777777" w:rsidR="006B7268" w:rsidRDefault="00E92907">
      <w:pPr>
        <w:pStyle w:val="TOC2"/>
        <w:rPr>
          <w:rFonts w:asciiTheme="minorHAnsi" w:eastAsiaTheme="minorEastAsia" w:hAnsiTheme="minorHAnsi" w:cstheme="minorBidi"/>
          <w:sz w:val="22"/>
          <w:szCs w:val="22"/>
          <w:lang w:val="en-AU" w:eastAsia="en-AU"/>
        </w:rPr>
      </w:pPr>
      <w:hyperlink w:anchor="_Toc444781434" w:history="1">
        <w:r w:rsidR="006B7268" w:rsidRPr="00E52187">
          <w:rPr>
            <w:rStyle w:val="Hyperlink"/>
          </w:rPr>
          <w:t>Estimated utilisation</w:t>
        </w:r>
        <w:r w:rsidR="006B7268">
          <w:rPr>
            <w:webHidden/>
          </w:rPr>
          <w:tab/>
        </w:r>
        <w:r w:rsidR="006B7268">
          <w:rPr>
            <w:webHidden/>
          </w:rPr>
          <w:fldChar w:fldCharType="begin"/>
        </w:r>
        <w:r w:rsidR="006B7268">
          <w:rPr>
            <w:webHidden/>
          </w:rPr>
          <w:instrText xml:space="preserve"> PAGEREF _Toc444781434 \h </w:instrText>
        </w:r>
        <w:r w:rsidR="006B7268">
          <w:rPr>
            <w:webHidden/>
          </w:rPr>
        </w:r>
        <w:r w:rsidR="006B7268">
          <w:rPr>
            <w:webHidden/>
          </w:rPr>
          <w:fldChar w:fldCharType="separate"/>
        </w:r>
        <w:r w:rsidR="006B7268">
          <w:rPr>
            <w:webHidden/>
          </w:rPr>
          <w:t>5</w:t>
        </w:r>
        <w:r w:rsidR="006B7268">
          <w:rPr>
            <w:webHidden/>
          </w:rPr>
          <w:fldChar w:fldCharType="end"/>
        </w:r>
      </w:hyperlink>
    </w:p>
    <w:p w14:paraId="30C3DDCD" w14:textId="77777777" w:rsidR="006B7268" w:rsidRDefault="00E92907">
      <w:pPr>
        <w:pStyle w:val="TOC3"/>
        <w:rPr>
          <w:rFonts w:asciiTheme="minorHAnsi" w:eastAsiaTheme="minorEastAsia" w:hAnsiTheme="minorHAnsi" w:cstheme="minorBidi"/>
          <w:sz w:val="22"/>
          <w:szCs w:val="22"/>
          <w:lang w:val="en-AU" w:eastAsia="en-AU"/>
        </w:rPr>
      </w:pPr>
      <w:hyperlink w:anchor="_Toc444781435" w:history="1">
        <w:r w:rsidR="006B7268" w:rsidRPr="00E52187">
          <w:rPr>
            <w:rStyle w:val="Hyperlink"/>
          </w:rPr>
          <w:t>Men with suspected prostate cancer</w:t>
        </w:r>
        <w:r w:rsidR="006B7268">
          <w:rPr>
            <w:webHidden/>
          </w:rPr>
          <w:tab/>
        </w:r>
        <w:r w:rsidR="006B7268">
          <w:rPr>
            <w:webHidden/>
          </w:rPr>
          <w:fldChar w:fldCharType="begin"/>
        </w:r>
        <w:r w:rsidR="006B7268">
          <w:rPr>
            <w:webHidden/>
          </w:rPr>
          <w:instrText xml:space="preserve"> PAGEREF _Toc444781435 \h </w:instrText>
        </w:r>
        <w:r w:rsidR="006B7268">
          <w:rPr>
            <w:webHidden/>
          </w:rPr>
        </w:r>
        <w:r w:rsidR="006B7268">
          <w:rPr>
            <w:webHidden/>
          </w:rPr>
          <w:fldChar w:fldCharType="separate"/>
        </w:r>
        <w:r w:rsidR="006B7268">
          <w:rPr>
            <w:webHidden/>
          </w:rPr>
          <w:t>5</w:t>
        </w:r>
        <w:r w:rsidR="006B7268">
          <w:rPr>
            <w:webHidden/>
          </w:rPr>
          <w:fldChar w:fldCharType="end"/>
        </w:r>
      </w:hyperlink>
    </w:p>
    <w:p w14:paraId="6520CF06" w14:textId="77777777" w:rsidR="006B7268" w:rsidRDefault="00E92907">
      <w:pPr>
        <w:pStyle w:val="TOC3"/>
        <w:rPr>
          <w:rFonts w:asciiTheme="minorHAnsi" w:eastAsiaTheme="minorEastAsia" w:hAnsiTheme="minorHAnsi" w:cstheme="minorBidi"/>
          <w:sz w:val="22"/>
          <w:szCs w:val="22"/>
          <w:lang w:val="en-AU" w:eastAsia="en-AU"/>
        </w:rPr>
      </w:pPr>
      <w:hyperlink w:anchor="_Toc444781436" w:history="1">
        <w:r w:rsidR="006B7268" w:rsidRPr="00E52187">
          <w:rPr>
            <w:rStyle w:val="Hyperlink"/>
          </w:rPr>
          <w:t>Men diagnosed with low or intermediate risk prostate cancer undertaking active surveillance</w:t>
        </w:r>
        <w:r w:rsidR="006B7268">
          <w:rPr>
            <w:webHidden/>
          </w:rPr>
          <w:tab/>
        </w:r>
        <w:r w:rsidR="006B7268">
          <w:rPr>
            <w:webHidden/>
          </w:rPr>
          <w:fldChar w:fldCharType="begin"/>
        </w:r>
        <w:r w:rsidR="006B7268">
          <w:rPr>
            <w:webHidden/>
          </w:rPr>
          <w:instrText xml:space="preserve"> PAGEREF _Toc444781436 \h </w:instrText>
        </w:r>
        <w:r w:rsidR="006B7268">
          <w:rPr>
            <w:webHidden/>
          </w:rPr>
        </w:r>
        <w:r w:rsidR="006B7268">
          <w:rPr>
            <w:webHidden/>
          </w:rPr>
          <w:fldChar w:fldCharType="separate"/>
        </w:r>
        <w:r w:rsidR="006B7268">
          <w:rPr>
            <w:webHidden/>
          </w:rPr>
          <w:t>6</w:t>
        </w:r>
        <w:r w:rsidR="006B7268">
          <w:rPr>
            <w:webHidden/>
          </w:rPr>
          <w:fldChar w:fldCharType="end"/>
        </w:r>
      </w:hyperlink>
    </w:p>
    <w:p w14:paraId="36B2F2F2" w14:textId="77777777" w:rsidR="006B7268" w:rsidRDefault="00E92907">
      <w:pPr>
        <w:pStyle w:val="TOC2"/>
        <w:rPr>
          <w:rFonts w:asciiTheme="minorHAnsi" w:eastAsiaTheme="minorEastAsia" w:hAnsiTheme="minorHAnsi" w:cstheme="minorBidi"/>
          <w:sz w:val="22"/>
          <w:szCs w:val="22"/>
          <w:lang w:val="en-AU" w:eastAsia="en-AU"/>
        </w:rPr>
      </w:pPr>
      <w:hyperlink w:anchor="_Toc444781437" w:history="1">
        <w:r w:rsidR="006B7268" w:rsidRPr="00E52187">
          <w:rPr>
            <w:rStyle w:val="Hyperlink"/>
          </w:rPr>
          <w:t>Administration, dose, frequency of administration, duration of treatment</w:t>
        </w:r>
        <w:r w:rsidR="006B7268">
          <w:rPr>
            <w:webHidden/>
          </w:rPr>
          <w:tab/>
        </w:r>
        <w:r w:rsidR="006B7268">
          <w:rPr>
            <w:webHidden/>
          </w:rPr>
          <w:fldChar w:fldCharType="begin"/>
        </w:r>
        <w:r w:rsidR="006B7268">
          <w:rPr>
            <w:webHidden/>
          </w:rPr>
          <w:instrText xml:space="preserve"> PAGEREF _Toc444781437 \h </w:instrText>
        </w:r>
        <w:r w:rsidR="006B7268">
          <w:rPr>
            <w:webHidden/>
          </w:rPr>
        </w:r>
        <w:r w:rsidR="006B7268">
          <w:rPr>
            <w:webHidden/>
          </w:rPr>
          <w:fldChar w:fldCharType="separate"/>
        </w:r>
        <w:r w:rsidR="006B7268">
          <w:rPr>
            <w:webHidden/>
          </w:rPr>
          <w:t>6</w:t>
        </w:r>
        <w:r w:rsidR="006B7268">
          <w:rPr>
            <w:webHidden/>
          </w:rPr>
          <w:fldChar w:fldCharType="end"/>
        </w:r>
      </w:hyperlink>
    </w:p>
    <w:p w14:paraId="0A1EF89F" w14:textId="77777777" w:rsidR="006B7268" w:rsidRDefault="00E92907">
      <w:pPr>
        <w:pStyle w:val="TOC2"/>
        <w:rPr>
          <w:rFonts w:asciiTheme="minorHAnsi" w:eastAsiaTheme="minorEastAsia" w:hAnsiTheme="minorHAnsi" w:cstheme="minorBidi"/>
          <w:sz w:val="22"/>
          <w:szCs w:val="22"/>
          <w:lang w:val="en-AU" w:eastAsia="en-AU"/>
        </w:rPr>
      </w:pPr>
      <w:hyperlink w:anchor="_Toc444781438" w:history="1">
        <w:r w:rsidR="006B7268" w:rsidRPr="00E52187">
          <w:rPr>
            <w:rStyle w:val="Hyperlink"/>
          </w:rPr>
          <w:t>Co-administered interventions</w:t>
        </w:r>
        <w:r w:rsidR="006B7268">
          <w:rPr>
            <w:webHidden/>
          </w:rPr>
          <w:tab/>
        </w:r>
        <w:r w:rsidR="006B7268">
          <w:rPr>
            <w:webHidden/>
          </w:rPr>
          <w:fldChar w:fldCharType="begin"/>
        </w:r>
        <w:r w:rsidR="006B7268">
          <w:rPr>
            <w:webHidden/>
          </w:rPr>
          <w:instrText xml:space="preserve"> PAGEREF _Toc444781438 \h </w:instrText>
        </w:r>
        <w:r w:rsidR="006B7268">
          <w:rPr>
            <w:webHidden/>
          </w:rPr>
        </w:r>
        <w:r w:rsidR="006B7268">
          <w:rPr>
            <w:webHidden/>
          </w:rPr>
          <w:fldChar w:fldCharType="separate"/>
        </w:r>
        <w:r w:rsidR="006B7268">
          <w:rPr>
            <w:webHidden/>
          </w:rPr>
          <w:t>7</w:t>
        </w:r>
        <w:r w:rsidR="006B7268">
          <w:rPr>
            <w:webHidden/>
          </w:rPr>
          <w:fldChar w:fldCharType="end"/>
        </w:r>
      </w:hyperlink>
    </w:p>
    <w:p w14:paraId="6134A2E8" w14:textId="77777777" w:rsidR="006B7268" w:rsidRDefault="00E92907">
      <w:pPr>
        <w:pStyle w:val="TOC1"/>
        <w:rPr>
          <w:rFonts w:asciiTheme="minorHAnsi" w:eastAsiaTheme="minorEastAsia" w:hAnsiTheme="minorHAnsi" w:cstheme="minorBidi"/>
          <w:b w:val="0"/>
          <w:sz w:val="22"/>
          <w:szCs w:val="22"/>
          <w:lang w:eastAsia="en-AU"/>
        </w:rPr>
      </w:pPr>
      <w:hyperlink w:anchor="_Toc444781439" w:history="1">
        <w:r w:rsidR="006B7268" w:rsidRPr="00E52187">
          <w:rPr>
            <w:rStyle w:val="Hyperlink"/>
          </w:rPr>
          <w:t>Background</w:t>
        </w:r>
        <w:r w:rsidR="006B7268">
          <w:rPr>
            <w:webHidden/>
          </w:rPr>
          <w:tab/>
        </w:r>
        <w:r w:rsidR="006B7268">
          <w:rPr>
            <w:webHidden/>
          </w:rPr>
          <w:fldChar w:fldCharType="begin"/>
        </w:r>
        <w:r w:rsidR="006B7268">
          <w:rPr>
            <w:webHidden/>
          </w:rPr>
          <w:instrText xml:space="preserve"> PAGEREF _Toc444781439 \h </w:instrText>
        </w:r>
        <w:r w:rsidR="006B7268">
          <w:rPr>
            <w:webHidden/>
          </w:rPr>
        </w:r>
        <w:r w:rsidR="006B7268">
          <w:rPr>
            <w:webHidden/>
          </w:rPr>
          <w:fldChar w:fldCharType="separate"/>
        </w:r>
        <w:r w:rsidR="006B7268">
          <w:rPr>
            <w:webHidden/>
          </w:rPr>
          <w:t>7</w:t>
        </w:r>
        <w:r w:rsidR="006B7268">
          <w:rPr>
            <w:webHidden/>
          </w:rPr>
          <w:fldChar w:fldCharType="end"/>
        </w:r>
      </w:hyperlink>
    </w:p>
    <w:p w14:paraId="3B5A927F" w14:textId="77777777" w:rsidR="006B7268" w:rsidRDefault="00E92907">
      <w:pPr>
        <w:pStyle w:val="TOC2"/>
        <w:rPr>
          <w:rFonts w:asciiTheme="minorHAnsi" w:eastAsiaTheme="minorEastAsia" w:hAnsiTheme="minorHAnsi" w:cstheme="minorBidi"/>
          <w:sz w:val="22"/>
          <w:szCs w:val="22"/>
          <w:lang w:val="en-AU" w:eastAsia="en-AU"/>
        </w:rPr>
      </w:pPr>
      <w:hyperlink w:anchor="_Toc444781440" w:history="1">
        <w:r w:rsidR="006B7268" w:rsidRPr="00E52187">
          <w:rPr>
            <w:rStyle w:val="Hyperlink"/>
          </w:rPr>
          <w:t>Current arrangements for public reimbursement</w:t>
        </w:r>
        <w:r w:rsidR="006B7268">
          <w:rPr>
            <w:webHidden/>
          </w:rPr>
          <w:tab/>
        </w:r>
        <w:r w:rsidR="006B7268">
          <w:rPr>
            <w:webHidden/>
          </w:rPr>
          <w:fldChar w:fldCharType="begin"/>
        </w:r>
        <w:r w:rsidR="006B7268">
          <w:rPr>
            <w:webHidden/>
          </w:rPr>
          <w:instrText xml:space="preserve"> PAGEREF _Toc444781440 \h </w:instrText>
        </w:r>
        <w:r w:rsidR="006B7268">
          <w:rPr>
            <w:webHidden/>
          </w:rPr>
        </w:r>
        <w:r w:rsidR="006B7268">
          <w:rPr>
            <w:webHidden/>
          </w:rPr>
          <w:fldChar w:fldCharType="separate"/>
        </w:r>
        <w:r w:rsidR="006B7268">
          <w:rPr>
            <w:webHidden/>
          </w:rPr>
          <w:t>7</w:t>
        </w:r>
        <w:r w:rsidR="006B7268">
          <w:rPr>
            <w:webHidden/>
          </w:rPr>
          <w:fldChar w:fldCharType="end"/>
        </w:r>
      </w:hyperlink>
    </w:p>
    <w:p w14:paraId="1CB2E16A" w14:textId="77777777" w:rsidR="006B7268" w:rsidRDefault="00E92907">
      <w:pPr>
        <w:pStyle w:val="TOC2"/>
        <w:rPr>
          <w:rFonts w:asciiTheme="minorHAnsi" w:eastAsiaTheme="minorEastAsia" w:hAnsiTheme="minorHAnsi" w:cstheme="minorBidi"/>
          <w:sz w:val="22"/>
          <w:szCs w:val="22"/>
          <w:lang w:val="en-AU" w:eastAsia="en-AU"/>
        </w:rPr>
      </w:pPr>
      <w:hyperlink w:anchor="_Toc444781441" w:history="1">
        <w:r w:rsidR="006B7268" w:rsidRPr="00E52187">
          <w:rPr>
            <w:rStyle w:val="Hyperlink"/>
          </w:rPr>
          <w:t>Regulatory status</w:t>
        </w:r>
        <w:r w:rsidR="006B7268">
          <w:rPr>
            <w:webHidden/>
          </w:rPr>
          <w:tab/>
        </w:r>
        <w:r w:rsidR="006B7268">
          <w:rPr>
            <w:webHidden/>
          </w:rPr>
          <w:fldChar w:fldCharType="begin"/>
        </w:r>
        <w:r w:rsidR="006B7268">
          <w:rPr>
            <w:webHidden/>
          </w:rPr>
          <w:instrText xml:space="preserve"> PAGEREF _Toc444781441 \h </w:instrText>
        </w:r>
        <w:r w:rsidR="006B7268">
          <w:rPr>
            <w:webHidden/>
          </w:rPr>
        </w:r>
        <w:r w:rsidR="006B7268">
          <w:rPr>
            <w:webHidden/>
          </w:rPr>
          <w:fldChar w:fldCharType="separate"/>
        </w:r>
        <w:r w:rsidR="006B7268">
          <w:rPr>
            <w:webHidden/>
          </w:rPr>
          <w:t>8</w:t>
        </w:r>
        <w:r w:rsidR="006B7268">
          <w:rPr>
            <w:webHidden/>
          </w:rPr>
          <w:fldChar w:fldCharType="end"/>
        </w:r>
      </w:hyperlink>
    </w:p>
    <w:p w14:paraId="157E59BB" w14:textId="77777777" w:rsidR="006B7268" w:rsidRDefault="00E92907">
      <w:pPr>
        <w:pStyle w:val="TOC1"/>
        <w:rPr>
          <w:rFonts w:asciiTheme="minorHAnsi" w:eastAsiaTheme="minorEastAsia" w:hAnsiTheme="minorHAnsi" w:cstheme="minorBidi"/>
          <w:b w:val="0"/>
          <w:sz w:val="22"/>
          <w:szCs w:val="22"/>
          <w:lang w:eastAsia="en-AU"/>
        </w:rPr>
      </w:pPr>
      <w:hyperlink w:anchor="_Toc444781442" w:history="1">
        <w:r w:rsidR="006B7268" w:rsidRPr="00E52187">
          <w:rPr>
            <w:rStyle w:val="Hyperlink"/>
          </w:rPr>
          <w:t>Patient population</w:t>
        </w:r>
        <w:r w:rsidR="006B7268">
          <w:rPr>
            <w:webHidden/>
          </w:rPr>
          <w:tab/>
        </w:r>
        <w:r w:rsidR="006B7268">
          <w:rPr>
            <w:webHidden/>
          </w:rPr>
          <w:fldChar w:fldCharType="begin"/>
        </w:r>
        <w:r w:rsidR="006B7268">
          <w:rPr>
            <w:webHidden/>
          </w:rPr>
          <w:instrText xml:space="preserve"> PAGEREF _Toc444781442 \h </w:instrText>
        </w:r>
        <w:r w:rsidR="006B7268">
          <w:rPr>
            <w:webHidden/>
          </w:rPr>
        </w:r>
        <w:r w:rsidR="006B7268">
          <w:rPr>
            <w:webHidden/>
          </w:rPr>
          <w:fldChar w:fldCharType="separate"/>
        </w:r>
        <w:r w:rsidR="006B7268">
          <w:rPr>
            <w:webHidden/>
          </w:rPr>
          <w:t>8</w:t>
        </w:r>
        <w:r w:rsidR="006B7268">
          <w:rPr>
            <w:webHidden/>
          </w:rPr>
          <w:fldChar w:fldCharType="end"/>
        </w:r>
      </w:hyperlink>
    </w:p>
    <w:p w14:paraId="2B451395" w14:textId="77777777" w:rsidR="006B7268" w:rsidRDefault="00E92907">
      <w:pPr>
        <w:pStyle w:val="TOC2"/>
        <w:rPr>
          <w:rFonts w:asciiTheme="minorHAnsi" w:eastAsiaTheme="minorEastAsia" w:hAnsiTheme="minorHAnsi" w:cstheme="minorBidi"/>
          <w:sz w:val="22"/>
          <w:szCs w:val="22"/>
          <w:lang w:val="en-AU" w:eastAsia="en-AU"/>
        </w:rPr>
      </w:pPr>
      <w:hyperlink w:anchor="_Toc444781443" w:history="1">
        <w:r w:rsidR="006B7268" w:rsidRPr="00E52187">
          <w:rPr>
            <w:rStyle w:val="Hyperlink"/>
          </w:rPr>
          <w:t>Proposed MBS listing</w:t>
        </w:r>
        <w:r w:rsidR="006B7268">
          <w:rPr>
            <w:webHidden/>
          </w:rPr>
          <w:tab/>
        </w:r>
        <w:r w:rsidR="006B7268">
          <w:rPr>
            <w:webHidden/>
          </w:rPr>
          <w:fldChar w:fldCharType="begin"/>
        </w:r>
        <w:r w:rsidR="006B7268">
          <w:rPr>
            <w:webHidden/>
          </w:rPr>
          <w:instrText xml:space="preserve"> PAGEREF _Toc444781443 \h </w:instrText>
        </w:r>
        <w:r w:rsidR="006B7268">
          <w:rPr>
            <w:webHidden/>
          </w:rPr>
        </w:r>
        <w:r w:rsidR="006B7268">
          <w:rPr>
            <w:webHidden/>
          </w:rPr>
          <w:fldChar w:fldCharType="separate"/>
        </w:r>
        <w:r w:rsidR="006B7268">
          <w:rPr>
            <w:webHidden/>
          </w:rPr>
          <w:t>9</w:t>
        </w:r>
        <w:r w:rsidR="006B7268">
          <w:rPr>
            <w:webHidden/>
          </w:rPr>
          <w:fldChar w:fldCharType="end"/>
        </w:r>
      </w:hyperlink>
    </w:p>
    <w:p w14:paraId="140CFAE5" w14:textId="77777777" w:rsidR="006B7268" w:rsidRDefault="00E92907">
      <w:pPr>
        <w:pStyle w:val="TOC2"/>
        <w:rPr>
          <w:rFonts w:asciiTheme="minorHAnsi" w:eastAsiaTheme="minorEastAsia" w:hAnsiTheme="minorHAnsi" w:cstheme="minorBidi"/>
          <w:sz w:val="22"/>
          <w:szCs w:val="22"/>
          <w:lang w:val="en-AU" w:eastAsia="en-AU"/>
        </w:rPr>
      </w:pPr>
      <w:hyperlink w:anchor="_Toc444781444" w:history="1">
        <w:r w:rsidR="006B7268" w:rsidRPr="00E52187">
          <w:rPr>
            <w:rStyle w:val="Hyperlink"/>
          </w:rPr>
          <w:t>Clinical place for proposed intervention</w:t>
        </w:r>
        <w:r w:rsidR="006B7268">
          <w:rPr>
            <w:webHidden/>
          </w:rPr>
          <w:tab/>
        </w:r>
        <w:r w:rsidR="006B7268">
          <w:rPr>
            <w:webHidden/>
          </w:rPr>
          <w:fldChar w:fldCharType="begin"/>
        </w:r>
        <w:r w:rsidR="006B7268">
          <w:rPr>
            <w:webHidden/>
          </w:rPr>
          <w:instrText xml:space="preserve"> PAGEREF _Toc444781444 \h </w:instrText>
        </w:r>
        <w:r w:rsidR="006B7268">
          <w:rPr>
            <w:webHidden/>
          </w:rPr>
        </w:r>
        <w:r w:rsidR="006B7268">
          <w:rPr>
            <w:webHidden/>
          </w:rPr>
          <w:fldChar w:fldCharType="separate"/>
        </w:r>
        <w:r w:rsidR="006B7268">
          <w:rPr>
            <w:webHidden/>
          </w:rPr>
          <w:t>9</w:t>
        </w:r>
        <w:r w:rsidR="006B7268">
          <w:rPr>
            <w:webHidden/>
          </w:rPr>
          <w:fldChar w:fldCharType="end"/>
        </w:r>
      </w:hyperlink>
    </w:p>
    <w:p w14:paraId="5101ECC5" w14:textId="77777777" w:rsidR="006B7268" w:rsidRDefault="00E92907">
      <w:pPr>
        <w:pStyle w:val="TOC3"/>
        <w:rPr>
          <w:rFonts w:asciiTheme="minorHAnsi" w:eastAsiaTheme="minorEastAsia" w:hAnsiTheme="minorHAnsi" w:cstheme="minorBidi"/>
          <w:sz w:val="22"/>
          <w:szCs w:val="22"/>
          <w:lang w:val="en-AU" w:eastAsia="en-AU"/>
        </w:rPr>
      </w:pPr>
      <w:hyperlink w:anchor="_Toc444781445" w:history="1">
        <w:r w:rsidR="006B7268" w:rsidRPr="00E52187">
          <w:rPr>
            <w:rStyle w:val="Hyperlink"/>
          </w:rPr>
          <w:t>Clinical scenario 1: men who are suspected of having prostate cancer</w:t>
        </w:r>
        <w:r w:rsidR="006B7268">
          <w:rPr>
            <w:webHidden/>
          </w:rPr>
          <w:tab/>
        </w:r>
        <w:r w:rsidR="006B7268">
          <w:rPr>
            <w:webHidden/>
          </w:rPr>
          <w:fldChar w:fldCharType="begin"/>
        </w:r>
        <w:r w:rsidR="006B7268">
          <w:rPr>
            <w:webHidden/>
          </w:rPr>
          <w:instrText xml:space="preserve"> PAGEREF _Toc444781445 \h </w:instrText>
        </w:r>
        <w:r w:rsidR="006B7268">
          <w:rPr>
            <w:webHidden/>
          </w:rPr>
        </w:r>
        <w:r w:rsidR="006B7268">
          <w:rPr>
            <w:webHidden/>
          </w:rPr>
          <w:fldChar w:fldCharType="separate"/>
        </w:r>
        <w:r w:rsidR="006B7268">
          <w:rPr>
            <w:webHidden/>
          </w:rPr>
          <w:t>9</w:t>
        </w:r>
        <w:r w:rsidR="006B7268">
          <w:rPr>
            <w:webHidden/>
          </w:rPr>
          <w:fldChar w:fldCharType="end"/>
        </w:r>
      </w:hyperlink>
    </w:p>
    <w:p w14:paraId="51E529A4" w14:textId="77777777" w:rsidR="006B7268" w:rsidRDefault="00E92907">
      <w:pPr>
        <w:pStyle w:val="TOC3"/>
        <w:rPr>
          <w:rFonts w:asciiTheme="minorHAnsi" w:eastAsiaTheme="minorEastAsia" w:hAnsiTheme="minorHAnsi" w:cstheme="minorBidi"/>
          <w:sz w:val="22"/>
          <w:szCs w:val="22"/>
          <w:lang w:val="en-AU" w:eastAsia="en-AU"/>
        </w:rPr>
      </w:pPr>
      <w:hyperlink w:anchor="_Toc444781446" w:history="1">
        <w:r w:rsidR="006B7268" w:rsidRPr="00E52187">
          <w:rPr>
            <w:rStyle w:val="Hyperlink"/>
          </w:rPr>
          <w:t>Clinical scenario 2: men diagnosed with prostate cancer undertaking active surveillance</w:t>
        </w:r>
        <w:r w:rsidR="006B7268">
          <w:rPr>
            <w:webHidden/>
          </w:rPr>
          <w:tab/>
        </w:r>
        <w:r w:rsidR="006B7268">
          <w:rPr>
            <w:webHidden/>
          </w:rPr>
          <w:fldChar w:fldCharType="begin"/>
        </w:r>
        <w:r w:rsidR="006B7268">
          <w:rPr>
            <w:webHidden/>
          </w:rPr>
          <w:instrText xml:space="preserve"> PAGEREF _Toc444781446 \h </w:instrText>
        </w:r>
        <w:r w:rsidR="006B7268">
          <w:rPr>
            <w:webHidden/>
          </w:rPr>
        </w:r>
        <w:r w:rsidR="006B7268">
          <w:rPr>
            <w:webHidden/>
          </w:rPr>
          <w:fldChar w:fldCharType="separate"/>
        </w:r>
        <w:r w:rsidR="006B7268">
          <w:rPr>
            <w:webHidden/>
          </w:rPr>
          <w:t>11</w:t>
        </w:r>
        <w:r w:rsidR="006B7268">
          <w:rPr>
            <w:webHidden/>
          </w:rPr>
          <w:fldChar w:fldCharType="end"/>
        </w:r>
      </w:hyperlink>
    </w:p>
    <w:p w14:paraId="5F7B5DE1" w14:textId="77777777" w:rsidR="006B7268" w:rsidRDefault="00E92907">
      <w:pPr>
        <w:pStyle w:val="TOC1"/>
        <w:rPr>
          <w:rFonts w:asciiTheme="minorHAnsi" w:eastAsiaTheme="minorEastAsia" w:hAnsiTheme="minorHAnsi" w:cstheme="minorBidi"/>
          <w:b w:val="0"/>
          <w:sz w:val="22"/>
          <w:szCs w:val="22"/>
          <w:lang w:eastAsia="en-AU"/>
        </w:rPr>
      </w:pPr>
      <w:hyperlink w:anchor="_Toc444781447" w:history="1">
        <w:r w:rsidR="006B7268" w:rsidRPr="00E52187">
          <w:rPr>
            <w:rStyle w:val="Hyperlink"/>
          </w:rPr>
          <w:t>Comparator</w:t>
        </w:r>
        <w:r w:rsidR="006B7268">
          <w:rPr>
            <w:webHidden/>
          </w:rPr>
          <w:tab/>
        </w:r>
        <w:r w:rsidR="006B7268">
          <w:rPr>
            <w:webHidden/>
          </w:rPr>
          <w:fldChar w:fldCharType="begin"/>
        </w:r>
        <w:r w:rsidR="006B7268">
          <w:rPr>
            <w:webHidden/>
          </w:rPr>
          <w:instrText xml:space="preserve"> PAGEREF _Toc444781447 \h </w:instrText>
        </w:r>
        <w:r w:rsidR="006B7268">
          <w:rPr>
            <w:webHidden/>
          </w:rPr>
        </w:r>
        <w:r w:rsidR="006B7268">
          <w:rPr>
            <w:webHidden/>
          </w:rPr>
          <w:fldChar w:fldCharType="separate"/>
        </w:r>
        <w:r w:rsidR="006B7268">
          <w:rPr>
            <w:webHidden/>
          </w:rPr>
          <w:t>15</w:t>
        </w:r>
        <w:r w:rsidR="006B7268">
          <w:rPr>
            <w:webHidden/>
          </w:rPr>
          <w:fldChar w:fldCharType="end"/>
        </w:r>
      </w:hyperlink>
    </w:p>
    <w:p w14:paraId="1ACD70C2" w14:textId="77777777" w:rsidR="006B7268" w:rsidRDefault="00E92907">
      <w:pPr>
        <w:pStyle w:val="TOC1"/>
        <w:rPr>
          <w:rFonts w:asciiTheme="minorHAnsi" w:eastAsiaTheme="minorEastAsia" w:hAnsiTheme="minorHAnsi" w:cstheme="minorBidi"/>
          <w:b w:val="0"/>
          <w:sz w:val="22"/>
          <w:szCs w:val="22"/>
          <w:lang w:eastAsia="en-AU"/>
        </w:rPr>
      </w:pPr>
      <w:hyperlink w:anchor="_Toc444781448" w:history="1">
        <w:r w:rsidR="006B7268" w:rsidRPr="00E52187">
          <w:rPr>
            <w:rStyle w:val="Hyperlink"/>
          </w:rPr>
          <w:t>Reference standard test</w:t>
        </w:r>
        <w:r w:rsidR="006B7268">
          <w:rPr>
            <w:webHidden/>
          </w:rPr>
          <w:tab/>
        </w:r>
        <w:r w:rsidR="006B7268">
          <w:rPr>
            <w:webHidden/>
          </w:rPr>
          <w:fldChar w:fldCharType="begin"/>
        </w:r>
        <w:r w:rsidR="006B7268">
          <w:rPr>
            <w:webHidden/>
          </w:rPr>
          <w:instrText xml:space="preserve"> PAGEREF _Toc444781448 \h </w:instrText>
        </w:r>
        <w:r w:rsidR="006B7268">
          <w:rPr>
            <w:webHidden/>
          </w:rPr>
        </w:r>
        <w:r w:rsidR="006B7268">
          <w:rPr>
            <w:webHidden/>
          </w:rPr>
          <w:fldChar w:fldCharType="separate"/>
        </w:r>
        <w:r w:rsidR="006B7268">
          <w:rPr>
            <w:webHidden/>
          </w:rPr>
          <w:t>15</w:t>
        </w:r>
        <w:r w:rsidR="006B7268">
          <w:rPr>
            <w:webHidden/>
          </w:rPr>
          <w:fldChar w:fldCharType="end"/>
        </w:r>
      </w:hyperlink>
    </w:p>
    <w:p w14:paraId="566B8B28" w14:textId="77777777" w:rsidR="006B7268" w:rsidRDefault="00E92907">
      <w:pPr>
        <w:pStyle w:val="TOC1"/>
        <w:rPr>
          <w:rFonts w:asciiTheme="minorHAnsi" w:eastAsiaTheme="minorEastAsia" w:hAnsiTheme="minorHAnsi" w:cstheme="minorBidi"/>
          <w:b w:val="0"/>
          <w:sz w:val="22"/>
          <w:szCs w:val="22"/>
          <w:lang w:eastAsia="en-AU"/>
        </w:rPr>
      </w:pPr>
      <w:hyperlink w:anchor="_Toc444781449" w:history="1">
        <w:r w:rsidR="006B7268" w:rsidRPr="00E52187">
          <w:rPr>
            <w:rStyle w:val="Hyperlink"/>
          </w:rPr>
          <w:t>Clinical claim</w:t>
        </w:r>
        <w:r w:rsidR="006B7268">
          <w:rPr>
            <w:webHidden/>
          </w:rPr>
          <w:tab/>
        </w:r>
        <w:r w:rsidR="006B7268">
          <w:rPr>
            <w:webHidden/>
          </w:rPr>
          <w:fldChar w:fldCharType="begin"/>
        </w:r>
        <w:r w:rsidR="006B7268">
          <w:rPr>
            <w:webHidden/>
          </w:rPr>
          <w:instrText xml:space="preserve"> PAGEREF _Toc444781449 \h </w:instrText>
        </w:r>
        <w:r w:rsidR="006B7268">
          <w:rPr>
            <w:webHidden/>
          </w:rPr>
        </w:r>
        <w:r w:rsidR="006B7268">
          <w:rPr>
            <w:webHidden/>
          </w:rPr>
          <w:fldChar w:fldCharType="separate"/>
        </w:r>
        <w:r w:rsidR="006B7268">
          <w:rPr>
            <w:webHidden/>
          </w:rPr>
          <w:t>15</w:t>
        </w:r>
        <w:r w:rsidR="006B7268">
          <w:rPr>
            <w:webHidden/>
          </w:rPr>
          <w:fldChar w:fldCharType="end"/>
        </w:r>
      </w:hyperlink>
    </w:p>
    <w:p w14:paraId="76C65EB6" w14:textId="77777777" w:rsidR="006B7268" w:rsidRDefault="00E92907">
      <w:pPr>
        <w:pStyle w:val="TOC1"/>
        <w:rPr>
          <w:rFonts w:asciiTheme="minorHAnsi" w:eastAsiaTheme="minorEastAsia" w:hAnsiTheme="minorHAnsi" w:cstheme="minorBidi"/>
          <w:b w:val="0"/>
          <w:sz w:val="22"/>
          <w:szCs w:val="22"/>
          <w:lang w:eastAsia="en-AU"/>
        </w:rPr>
      </w:pPr>
      <w:hyperlink w:anchor="_Toc444781450" w:history="1">
        <w:r w:rsidR="006B7268" w:rsidRPr="00E52187">
          <w:rPr>
            <w:rStyle w:val="Hyperlink"/>
          </w:rPr>
          <w:t>Outcomes and health care resources affected by the proposed intervention</w:t>
        </w:r>
        <w:r w:rsidR="006B7268">
          <w:rPr>
            <w:webHidden/>
          </w:rPr>
          <w:tab/>
        </w:r>
        <w:r w:rsidR="006B7268">
          <w:rPr>
            <w:webHidden/>
          </w:rPr>
          <w:fldChar w:fldCharType="begin"/>
        </w:r>
        <w:r w:rsidR="006B7268">
          <w:rPr>
            <w:webHidden/>
          </w:rPr>
          <w:instrText xml:space="preserve"> PAGEREF _Toc444781450 \h </w:instrText>
        </w:r>
        <w:r w:rsidR="006B7268">
          <w:rPr>
            <w:webHidden/>
          </w:rPr>
        </w:r>
        <w:r w:rsidR="006B7268">
          <w:rPr>
            <w:webHidden/>
          </w:rPr>
          <w:fldChar w:fldCharType="separate"/>
        </w:r>
        <w:r w:rsidR="006B7268">
          <w:rPr>
            <w:webHidden/>
          </w:rPr>
          <w:t>16</w:t>
        </w:r>
        <w:r w:rsidR="006B7268">
          <w:rPr>
            <w:webHidden/>
          </w:rPr>
          <w:fldChar w:fldCharType="end"/>
        </w:r>
      </w:hyperlink>
    </w:p>
    <w:p w14:paraId="332C5C83" w14:textId="77777777" w:rsidR="006B7268" w:rsidRDefault="00E92907">
      <w:pPr>
        <w:pStyle w:val="TOC2"/>
        <w:rPr>
          <w:rFonts w:asciiTheme="minorHAnsi" w:eastAsiaTheme="minorEastAsia" w:hAnsiTheme="minorHAnsi" w:cstheme="minorBidi"/>
          <w:sz w:val="22"/>
          <w:szCs w:val="22"/>
          <w:lang w:val="en-AU" w:eastAsia="en-AU"/>
        </w:rPr>
      </w:pPr>
      <w:hyperlink w:anchor="_Toc444781451" w:history="1">
        <w:r w:rsidR="006B7268" w:rsidRPr="00E52187">
          <w:rPr>
            <w:rStyle w:val="Hyperlink"/>
          </w:rPr>
          <w:t>Outcomes</w:t>
        </w:r>
        <w:r w:rsidR="006B7268">
          <w:rPr>
            <w:webHidden/>
          </w:rPr>
          <w:tab/>
        </w:r>
        <w:r w:rsidR="006B7268">
          <w:rPr>
            <w:webHidden/>
          </w:rPr>
          <w:fldChar w:fldCharType="begin"/>
        </w:r>
        <w:r w:rsidR="006B7268">
          <w:rPr>
            <w:webHidden/>
          </w:rPr>
          <w:instrText xml:space="preserve"> PAGEREF _Toc444781451 \h </w:instrText>
        </w:r>
        <w:r w:rsidR="006B7268">
          <w:rPr>
            <w:webHidden/>
          </w:rPr>
        </w:r>
        <w:r w:rsidR="006B7268">
          <w:rPr>
            <w:webHidden/>
          </w:rPr>
          <w:fldChar w:fldCharType="separate"/>
        </w:r>
        <w:r w:rsidR="006B7268">
          <w:rPr>
            <w:webHidden/>
          </w:rPr>
          <w:t>16</w:t>
        </w:r>
        <w:r w:rsidR="006B7268">
          <w:rPr>
            <w:webHidden/>
          </w:rPr>
          <w:fldChar w:fldCharType="end"/>
        </w:r>
      </w:hyperlink>
    </w:p>
    <w:p w14:paraId="47E5D2C0" w14:textId="77777777" w:rsidR="006B7268" w:rsidRDefault="00E92907">
      <w:pPr>
        <w:pStyle w:val="TOC2"/>
        <w:rPr>
          <w:rFonts w:asciiTheme="minorHAnsi" w:eastAsiaTheme="minorEastAsia" w:hAnsiTheme="minorHAnsi" w:cstheme="minorBidi"/>
          <w:sz w:val="22"/>
          <w:szCs w:val="22"/>
          <w:lang w:val="en-AU" w:eastAsia="en-AU"/>
        </w:rPr>
      </w:pPr>
      <w:hyperlink w:anchor="_Toc444781452" w:history="1">
        <w:r w:rsidR="006B7268" w:rsidRPr="00E52187">
          <w:rPr>
            <w:rStyle w:val="Hyperlink"/>
          </w:rPr>
          <w:t>Proposed structure of economic evaluation (decision-analytic)</w:t>
        </w:r>
        <w:r w:rsidR="006B7268">
          <w:rPr>
            <w:webHidden/>
          </w:rPr>
          <w:tab/>
        </w:r>
        <w:r w:rsidR="006B7268">
          <w:rPr>
            <w:webHidden/>
          </w:rPr>
          <w:fldChar w:fldCharType="begin"/>
        </w:r>
        <w:r w:rsidR="006B7268">
          <w:rPr>
            <w:webHidden/>
          </w:rPr>
          <w:instrText xml:space="preserve"> PAGEREF _Toc444781452 \h </w:instrText>
        </w:r>
        <w:r w:rsidR="006B7268">
          <w:rPr>
            <w:webHidden/>
          </w:rPr>
        </w:r>
        <w:r w:rsidR="006B7268">
          <w:rPr>
            <w:webHidden/>
          </w:rPr>
          <w:fldChar w:fldCharType="separate"/>
        </w:r>
        <w:r w:rsidR="006B7268">
          <w:rPr>
            <w:webHidden/>
          </w:rPr>
          <w:t>17</w:t>
        </w:r>
        <w:r w:rsidR="006B7268">
          <w:rPr>
            <w:webHidden/>
          </w:rPr>
          <w:fldChar w:fldCharType="end"/>
        </w:r>
      </w:hyperlink>
    </w:p>
    <w:p w14:paraId="56D2DC53" w14:textId="77777777" w:rsidR="006B7268" w:rsidRDefault="00E92907">
      <w:pPr>
        <w:pStyle w:val="TOC1"/>
        <w:rPr>
          <w:rFonts w:asciiTheme="minorHAnsi" w:eastAsiaTheme="minorEastAsia" w:hAnsiTheme="minorHAnsi" w:cstheme="minorBidi"/>
          <w:b w:val="0"/>
          <w:sz w:val="22"/>
          <w:szCs w:val="22"/>
          <w:lang w:eastAsia="en-AU"/>
        </w:rPr>
      </w:pPr>
      <w:hyperlink w:anchor="_Toc444781453" w:history="1">
        <w:r w:rsidR="006B7268" w:rsidRPr="00E52187">
          <w:rPr>
            <w:rStyle w:val="Hyperlink"/>
          </w:rPr>
          <w:t>References</w:t>
        </w:r>
        <w:r w:rsidR="006B7268">
          <w:rPr>
            <w:webHidden/>
          </w:rPr>
          <w:tab/>
        </w:r>
        <w:r w:rsidR="006B7268">
          <w:rPr>
            <w:webHidden/>
          </w:rPr>
          <w:fldChar w:fldCharType="begin"/>
        </w:r>
        <w:r w:rsidR="006B7268">
          <w:rPr>
            <w:webHidden/>
          </w:rPr>
          <w:instrText xml:space="preserve"> PAGEREF _Toc444781453 \h </w:instrText>
        </w:r>
        <w:r w:rsidR="006B7268">
          <w:rPr>
            <w:webHidden/>
          </w:rPr>
        </w:r>
        <w:r w:rsidR="006B7268">
          <w:rPr>
            <w:webHidden/>
          </w:rPr>
          <w:fldChar w:fldCharType="separate"/>
        </w:r>
        <w:r w:rsidR="006B7268">
          <w:rPr>
            <w:webHidden/>
          </w:rPr>
          <w:t>18</w:t>
        </w:r>
        <w:r w:rsidR="006B7268">
          <w:rPr>
            <w:webHidden/>
          </w:rPr>
          <w:fldChar w:fldCharType="end"/>
        </w:r>
      </w:hyperlink>
    </w:p>
    <w:p w14:paraId="35543454" w14:textId="2C796DED" w:rsidR="007252D5" w:rsidRPr="00A34E9C" w:rsidRDefault="0025035F" w:rsidP="000901A8">
      <w:r>
        <w:fldChar w:fldCharType="end"/>
      </w:r>
    </w:p>
    <w:p w14:paraId="7A6852B4" w14:textId="77777777" w:rsidR="007252D5" w:rsidRPr="00A34E9C" w:rsidRDefault="007252D5" w:rsidP="000901A8">
      <w:r w:rsidRPr="00A34E9C">
        <w:br w:type="page"/>
      </w:r>
    </w:p>
    <w:p w14:paraId="0F39BB94" w14:textId="77777777" w:rsidR="006B02B6" w:rsidRPr="00A34E9C" w:rsidRDefault="006B02B6" w:rsidP="006B02B6">
      <w:pPr>
        <w:pStyle w:val="Heading1"/>
      </w:pPr>
      <w:bookmarkStart w:id="2" w:name="_Toc411240124"/>
      <w:bookmarkStart w:id="3" w:name="_Toc444781429"/>
      <w:bookmarkEnd w:id="0"/>
      <w:r w:rsidRPr="00A34E9C">
        <w:lastRenderedPageBreak/>
        <w:t>MSAC and PASC</w:t>
      </w:r>
      <w:bookmarkEnd w:id="2"/>
      <w:bookmarkEnd w:id="3"/>
    </w:p>
    <w:p w14:paraId="34DDDDBB" w14:textId="77777777" w:rsidR="006B02B6" w:rsidRPr="00A34E9C" w:rsidRDefault="006B02B6" w:rsidP="006B02B6">
      <w:r w:rsidRPr="00A34E9C">
        <w:t xml:space="preserve">The Medical Services Advisory Committee (MSAC) is an independent expert committee appointed by the </w:t>
      </w:r>
      <w:r>
        <w:t>Minister for Health (the Minister)</w:t>
      </w:r>
      <w:r w:rsidRPr="00A34E9C">
        <w:t xml:space="preserve"> to strengthen the role of evidence in health financing decisions in Australia. MSAC advises the </w:t>
      </w:r>
      <w:r>
        <w:t>Minister</w:t>
      </w:r>
      <w:r w:rsidRPr="00A34E9C">
        <w:t xml:space="preserve"> on the evidence relating to the safety, effectiveness, and cost-effectiveness of new and existing medical technologies and procedures and under what circumstances public funding should be supported.</w:t>
      </w:r>
    </w:p>
    <w:p w14:paraId="3E9014EB" w14:textId="77777777" w:rsidR="006B02B6" w:rsidRPr="000901A8" w:rsidRDefault="006B02B6" w:rsidP="006B02B6">
      <w:r w:rsidRPr="000901A8">
        <w:t>The Protocol Advisory Sub-Committee (PASC) is a standing sub-committee of MSAC. Its primary objective is the determination of protocols to guide clinical and economic assessments of medical interventions proposed for public funding.</w:t>
      </w:r>
    </w:p>
    <w:p w14:paraId="387F47E0" w14:textId="77777777" w:rsidR="006B02B6" w:rsidRPr="00A34E9C" w:rsidRDefault="006B02B6" w:rsidP="006B02B6">
      <w:pPr>
        <w:pStyle w:val="Heading2"/>
      </w:pPr>
      <w:bookmarkStart w:id="4" w:name="_Toc411240125"/>
      <w:bookmarkStart w:id="5" w:name="_Toc444781430"/>
      <w:r w:rsidRPr="00A34E9C">
        <w:t>Purpose of this document</w:t>
      </w:r>
      <w:bookmarkEnd w:id="4"/>
      <w:bookmarkEnd w:id="5"/>
    </w:p>
    <w:p w14:paraId="05F52150" w14:textId="77777777" w:rsidR="006B02B6" w:rsidRPr="00A34E9C" w:rsidRDefault="006B02B6" w:rsidP="006B02B6">
      <w:r w:rsidRPr="00A34E9C">
        <w:t>This document is intended to provide a draft decision analytic protocol that will be used to guide the assessment of an intervention for a particular population of patients. The draft protocol will be finalised after inviting relevant stakeholders to provide input to the protocol. The final protocol will provide the basis for the assessment of the intervention.</w:t>
      </w:r>
    </w:p>
    <w:p w14:paraId="280BB1BC" w14:textId="77777777" w:rsidR="006B02B6" w:rsidRPr="00A34E9C" w:rsidRDefault="006B02B6" w:rsidP="006B02B6">
      <w:r w:rsidRPr="00A34E9C">
        <w:t>The protocol guiding the assessment of the health intervention has been developed using the widely accepted “PICO” approach. The PICO approach involves a clear articulation of the following aspects of the research question that the assessment is intended to answer:</w:t>
      </w:r>
    </w:p>
    <w:p w14:paraId="63AE5190" w14:textId="77777777" w:rsidR="006B02B6" w:rsidRPr="00A34E9C" w:rsidRDefault="006B02B6" w:rsidP="006B02B6">
      <w:pPr>
        <w:pStyle w:val="ListParagraph"/>
      </w:pPr>
      <w:r w:rsidRPr="00A34E9C">
        <w:rPr>
          <w:b/>
          <w:u w:val="single"/>
        </w:rPr>
        <w:t>P</w:t>
      </w:r>
      <w:r w:rsidRPr="00A34E9C">
        <w:t>atients – specification of the characteristics of the patients in whom the intervention is to be considered for use;</w:t>
      </w:r>
    </w:p>
    <w:p w14:paraId="317BDA1B" w14:textId="77777777" w:rsidR="006B02B6" w:rsidRPr="00A34E9C" w:rsidRDefault="006B02B6" w:rsidP="006B02B6">
      <w:pPr>
        <w:pStyle w:val="ListParagraph"/>
      </w:pPr>
      <w:r w:rsidRPr="00A34E9C">
        <w:rPr>
          <w:b/>
          <w:u w:val="single"/>
        </w:rPr>
        <w:t>I</w:t>
      </w:r>
      <w:r w:rsidRPr="00A34E9C">
        <w:t>ntervention – specification of the proposed intervention</w:t>
      </w:r>
    </w:p>
    <w:p w14:paraId="776AFAA6" w14:textId="77777777" w:rsidR="006B02B6" w:rsidRPr="00A34E9C" w:rsidRDefault="006B02B6" w:rsidP="006B02B6">
      <w:pPr>
        <w:pStyle w:val="ListParagraph"/>
      </w:pPr>
      <w:r w:rsidRPr="00A34E9C">
        <w:rPr>
          <w:b/>
          <w:u w:val="single"/>
        </w:rPr>
        <w:t>C</w:t>
      </w:r>
      <w:r w:rsidRPr="00A34E9C">
        <w:t>omparator – specification of the therapy most likely to be replaced by the proposed intervention</w:t>
      </w:r>
    </w:p>
    <w:p w14:paraId="5E1E9F06" w14:textId="77777777" w:rsidR="006B02B6" w:rsidRPr="00A34E9C" w:rsidRDefault="006B02B6" w:rsidP="006B02B6">
      <w:pPr>
        <w:pStyle w:val="ListParagraph"/>
      </w:pPr>
      <w:r w:rsidRPr="00A34E9C">
        <w:rPr>
          <w:b/>
          <w:u w:val="single"/>
        </w:rPr>
        <w:t>O</w:t>
      </w:r>
      <w:r w:rsidRPr="00A34E9C">
        <w:t>utcomes – specification of the health outcomes and the healthcare resources likely to be affected by the introduction of the proposed intervention</w:t>
      </w:r>
    </w:p>
    <w:p w14:paraId="57C79899" w14:textId="77777777" w:rsidR="007252D5" w:rsidRPr="00A34E9C" w:rsidRDefault="007252D5" w:rsidP="000901A8">
      <w:pPr>
        <w:rPr>
          <w:color w:val="215868"/>
          <w:szCs w:val="32"/>
        </w:rPr>
      </w:pPr>
      <w:r w:rsidRPr="00A34E9C">
        <w:br w:type="page"/>
      </w:r>
    </w:p>
    <w:p w14:paraId="1F36033F" w14:textId="77777777" w:rsidR="007252D5" w:rsidRPr="000901A8" w:rsidRDefault="007252D5" w:rsidP="000901A8">
      <w:pPr>
        <w:pStyle w:val="Heading1"/>
      </w:pPr>
      <w:bookmarkStart w:id="6" w:name="_Toc444781431"/>
      <w:r w:rsidRPr="000901A8">
        <w:lastRenderedPageBreak/>
        <w:t>Purpose of application</w:t>
      </w:r>
      <w:bookmarkEnd w:id="6"/>
    </w:p>
    <w:p w14:paraId="76273D4F" w14:textId="0BE89064" w:rsidR="00166434" w:rsidRDefault="007252D5" w:rsidP="000901A8">
      <w:r>
        <w:t>A proposal for an</w:t>
      </w:r>
      <w:r w:rsidRPr="009E4296">
        <w:t xml:space="preserve"> application requesting MBS listing </w:t>
      </w:r>
      <w:r w:rsidRPr="00D0615F">
        <w:t>of</w:t>
      </w:r>
      <w:r w:rsidR="0035018C" w:rsidRPr="00D0615F">
        <w:t xml:space="preserve"> (1) </w:t>
      </w:r>
      <w:proofErr w:type="spellStart"/>
      <w:r w:rsidR="0035018C" w:rsidRPr="00D0615F">
        <w:t>multiparametric</w:t>
      </w:r>
      <w:proofErr w:type="spellEnd"/>
      <w:r w:rsidR="0035018C" w:rsidRPr="00D0615F">
        <w:t xml:space="preserve"> MRI (</w:t>
      </w:r>
      <w:proofErr w:type="spellStart"/>
      <w:r w:rsidR="003533BD" w:rsidRPr="00D0615F">
        <w:t>mpMRI</w:t>
      </w:r>
      <w:proofErr w:type="spellEnd"/>
      <w:r w:rsidR="0035018C" w:rsidRPr="00D0615F">
        <w:t>) scans of the</w:t>
      </w:r>
      <w:r w:rsidR="003533BD" w:rsidRPr="00D0615F">
        <w:t xml:space="preserve"> prostate</w:t>
      </w:r>
      <w:r w:rsidR="0035018C" w:rsidRPr="00D0615F">
        <w:t>,</w:t>
      </w:r>
      <w:r w:rsidR="003533BD" w:rsidRPr="00D0615F">
        <w:t xml:space="preserve"> and </w:t>
      </w:r>
      <w:r w:rsidR="0035018C" w:rsidRPr="00D0615F">
        <w:t xml:space="preserve">(2) </w:t>
      </w:r>
      <w:r w:rsidR="003533BD" w:rsidRPr="00D0615F">
        <w:t>MR</w:t>
      </w:r>
      <w:r w:rsidR="0035018C" w:rsidRPr="00D0615F">
        <w:t>-</w:t>
      </w:r>
      <w:r w:rsidR="003533BD" w:rsidRPr="00D0615F">
        <w:t xml:space="preserve">guided </w:t>
      </w:r>
      <w:r w:rsidR="0035018C" w:rsidRPr="00D0615F">
        <w:t xml:space="preserve">prostate </w:t>
      </w:r>
      <w:r w:rsidR="003533BD" w:rsidRPr="00D0615F">
        <w:t>biopsy in men</w:t>
      </w:r>
      <w:r w:rsidR="003533BD">
        <w:t xml:space="preserve"> with a high or concerning Prostate Specific Antigen and under suspicion of harbouring prostate cancer, was received from the Australian and New Zealand Association of Urological Surgeons</w:t>
      </w:r>
      <w:r w:rsidR="000F6FCA">
        <w:t xml:space="preserve"> and the Australian Diagnostic Imaging </w:t>
      </w:r>
      <w:r w:rsidR="0025035F">
        <w:t>Association by</w:t>
      </w:r>
      <w:r w:rsidR="003533BD">
        <w:t xml:space="preserve"> the Department of Health in August 2014.</w:t>
      </w:r>
      <w:r w:rsidR="00166434">
        <w:t xml:space="preserve"> </w:t>
      </w:r>
    </w:p>
    <w:p w14:paraId="5A67ED18" w14:textId="77777777" w:rsidR="00166434" w:rsidRDefault="00166434">
      <w:r>
        <w:t>Following the August</w:t>
      </w:r>
      <w:r w:rsidRPr="00166434">
        <w:t xml:space="preserve"> </w:t>
      </w:r>
      <w:r>
        <w:t xml:space="preserve">2015 meeting, PASC advised that Application 1397 should be spilt into two applications. </w:t>
      </w:r>
    </w:p>
    <w:p w14:paraId="5FFF930D" w14:textId="77777777" w:rsidR="00166434" w:rsidRDefault="00166434" w:rsidP="000A1167">
      <w:pPr>
        <w:pStyle w:val="ListParagraph"/>
        <w:numPr>
          <w:ilvl w:val="0"/>
          <w:numId w:val="7"/>
        </w:numPr>
      </w:pPr>
      <w:r>
        <w:t xml:space="preserve">Intervention for Diagnostic </w:t>
      </w:r>
      <w:proofErr w:type="spellStart"/>
      <w:r>
        <w:t>mpMRI</w:t>
      </w:r>
      <w:proofErr w:type="spellEnd"/>
      <w:r>
        <w:t>; and</w:t>
      </w:r>
    </w:p>
    <w:p w14:paraId="6AB931B0" w14:textId="77777777" w:rsidR="00166434" w:rsidRDefault="00166434" w:rsidP="000A1167">
      <w:pPr>
        <w:pStyle w:val="ListParagraph"/>
        <w:numPr>
          <w:ilvl w:val="0"/>
          <w:numId w:val="7"/>
        </w:numPr>
      </w:pPr>
      <w:r>
        <w:t>Intervention for MR-guided biopsy.</w:t>
      </w:r>
    </w:p>
    <w:p w14:paraId="5DB41037" w14:textId="77777777" w:rsidR="003533BD" w:rsidRDefault="00166434">
      <w:r>
        <w:t xml:space="preserve">This recommendation is intended to assist with the preparation and evaluation of the contracted assessments by the Economic Sub-Committee (ESC) and Medical Services Advisory Committee (MSAC). </w:t>
      </w:r>
    </w:p>
    <w:p w14:paraId="5FDF01AB" w14:textId="77777777" w:rsidR="007252D5" w:rsidRPr="00A34E9C" w:rsidRDefault="007252D5" w:rsidP="000901A8">
      <w:pPr>
        <w:pStyle w:val="Heading1"/>
      </w:pPr>
      <w:bookmarkStart w:id="7" w:name="_Toc444781432"/>
      <w:r w:rsidRPr="00A34E9C">
        <w:t>Intervention</w:t>
      </w:r>
      <w:bookmarkEnd w:id="7"/>
    </w:p>
    <w:p w14:paraId="094FE859" w14:textId="77777777" w:rsidR="007252D5" w:rsidRPr="00A34E9C" w:rsidRDefault="007252D5" w:rsidP="000901A8">
      <w:pPr>
        <w:pStyle w:val="Heading2"/>
      </w:pPr>
      <w:bookmarkStart w:id="8" w:name="_Toc444781433"/>
      <w:r w:rsidRPr="00A34E9C">
        <w:t>Description</w:t>
      </w:r>
      <w:bookmarkEnd w:id="8"/>
    </w:p>
    <w:p w14:paraId="59914F09" w14:textId="77777777" w:rsidR="00376953" w:rsidRDefault="00AA78AA" w:rsidP="00AA78AA">
      <w:r>
        <w:t xml:space="preserve">In cancers, cells replicate in an abnormal, uncontrolled manner, forming a mass of cells called a tumour. Prostate cancer is </w:t>
      </w:r>
      <w:r w:rsidR="00556F5E">
        <w:t>the</w:t>
      </w:r>
      <w:r>
        <w:t xml:space="preserve"> result of such abnormal replication in the prostate. </w:t>
      </w:r>
      <w:r w:rsidR="00A12D70">
        <w:t xml:space="preserve">While </w:t>
      </w:r>
      <w:r w:rsidR="00B768D0">
        <w:t xml:space="preserve">the </w:t>
      </w:r>
      <w:r w:rsidR="00A12D70">
        <w:t>cause(s) of prostate cancer are not yet completely understood, the following factors are thought to play a role: age, family history, ethnic background, lifestyle, and environmental factors.</w:t>
      </w:r>
      <w:r w:rsidR="00585C4E">
        <w:t xml:space="preserve"> </w:t>
      </w:r>
      <w:r w:rsidR="00376953">
        <w:t>After heart disease, lung cancer</w:t>
      </w:r>
      <w:r w:rsidR="005009BC">
        <w:t>,</w:t>
      </w:r>
      <w:r w:rsidR="00376953">
        <w:t xml:space="preserve"> and cerebrovascular diseases, prostate cancer is the </w:t>
      </w:r>
      <w:r w:rsidR="003E2B35">
        <w:t>fourth</w:t>
      </w:r>
      <w:r w:rsidR="00376953">
        <w:t xml:space="preserve"> leading cause of death amongst Australian men. In 2011, there were nearly 3300 deaths from prostate cancer, and the age-standardised mortality</w:t>
      </w:r>
      <w:r w:rsidR="0015099D">
        <w:t xml:space="preserve"> rate for </w:t>
      </w:r>
      <w:r w:rsidR="00376953">
        <w:t xml:space="preserve">prostate cancer was 31 per 100,000. It is projected that by 2020, the number of deaths will reach 3900 and the age-standardised mortality rate will decrease to 26 per 100,000 (AIHW 2013). </w:t>
      </w:r>
    </w:p>
    <w:p w14:paraId="3691E8A8" w14:textId="77777777" w:rsidR="00604CD1" w:rsidRDefault="0015099D" w:rsidP="00ED32DE">
      <w:r>
        <w:t>Currently in Australia, the signs of prostate cancer are detected with a prostate-specific antigen test (PSA</w:t>
      </w:r>
      <w:r w:rsidR="00604CD1">
        <w:t xml:space="preserve"> test</w:t>
      </w:r>
      <w:r>
        <w:t>)</w:t>
      </w:r>
      <w:r w:rsidR="007402EE">
        <w:rPr>
          <w:rStyle w:val="FootnoteReference"/>
        </w:rPr>
        <w:footnoteReference w:id="1"/>
      </w:r>
      <w:r>
        <w:t xml:space="preserve"> and/or a digital rectal examination (DRE). </w:t>
      </w:r>
    </w:p>
    <w:p w14:paraId="16974D73" w14:textId="6BDD27AD" w:rsidR="00D321E8" w:rsidRPr="00C940B3" w:rsidRDefault="00604CD1" w:rsidP="00D321E8">
      <w:pPr>
        <w:rPr>
          <w:color w:val="FF0000"/>
        </w:rPr>
      </w:pPr>
      <w:r>
        <w:t xml:space="preserve">PSA is a protein that is made by the prostate to aid the fertilisation of eggs by spermatozoa. Prostate-specific antigen test </w:t>
      </w:r>
      <w:r w:rsidR="00830243">
        <w:t>is a blood test that quantifies PSA</w:t>
      </w:r>
      <w:r w:rsidR="00D321E8">
        <w:t xml:space="preserve"> in the blood stream. The PSA may be present in the blood stream for many reasons – including infection or trauma to the prostate, benign prostatic enlargement (BPE), and prostate cancer</w:t>
      </w:r>
      <w:r w:rsidR="0078582A">
        <w:t xml:space="preserve">. The </w:t>
      </w:r>
      <w:r w:rsidR="00D321E8">
        <w:t>most common reason for elevated PSA levels is BPE</w:t>
      </w:r>
      <w:r w:rsidR="0072564B">
        <w:t>,</w:t>
      </w:r>
      <w:r w:rsidR="00723E0E">
        <w:t xml:space="preserve"> </w:t>
      </w:r>
      <w:r w:rsidR="0078582A">
        <w:t xml:space="preserve">and </w:t>
      </w:r>
      <w:r w:rsidR="00D321E8">
        <w:t xml:space="preserve">not all prostate cancers </w:t>
      </w:r>
      <w:r w:rsidR="0078582A">
        <w:t xml:space="preserve">have elevated </w:t>
      </w:r>
      <w:r w:rsidR="00D321E8">
        <w:t>PSA</w:t>
      </w:r>
      <w:r w:rsidR="0078582A">
        <w:t xml:space="preserve"> levels</w:t>
      </w:r>
      <w:r w:rsidR="00D321E8">
        <w:t xml:space="preserve">. Consequently, the PSA test </w:t>
      </w:r>
      <w:r w:rsidR="0078582A">
        <w:t xml:space="preserve">has a low </w:t>
      </w:r>
      <w:r w:rsidR="0078582A">
        <w:lastRenderedPageBreak/>
        <w:t>specificity, in the order of 25-30% (Applicant advice). Overall, an elevated level of PSA may be indicative of an elevated risk of prostate cancer, but requires further investigation</w:t>
      </w:r>
      <w:r w:rsidR="00D321E8">
        <w:t xml:space="preserve">. </w:t>
      </w:r>
      <w:proofErr w:type="gramStart"/>
      <w:r w:rsidR="00D321E8">
        <w:t>(</w:t>
      </w:r>
      <w:proofErr w:type="spellStart"/>
      <w:r w:rsidR="00D321E8">
        <w:t>HealthPact</w:t>
      </w:r>
      <w:proofErr w:type="spellEnd"/>
      <w:r w:rsidR="00D321E8">
        <w:t xml:space="preserve"> 2014; </w:t>
      </w:r>
      <w:proofErr w:type="spellStart"/>
      <w:r w:rsidR="00D321E8">
        <w:t>Barentsz</w:t>
      </w:r>
      <w:proofErr w:type="spellEnd"/>
      <w:r w:rsidR="00D321E8">
        <w:t xml:space="preserve"> et al 2012).</w:t>
      </w:r>
      <w:proofErr w:type="gramEnd"/>
    </w:p>
    <w:p w14:paraId="4582F524" w14:textId="77777777" w:rsidR="00FA6DBE" w:rsidRDefault="00D321E8" w:rsidP="00ED32DE">
      <w:r>
        <w:t>Digital rectal examination (</w:t>
      </w:r>
      <w:r w:rsidR="00830243">
        <w:t>DRE</w:t>
      </w:r>
      <w:r>
        <w:t>)</w:t>
      </w:r>
      <w:r w:rsidR="00830243">
        <w:t xml:space="preserve"> involves inserting a finger into the rectum to palpate the prostate; swellings, hardenings or lumps may be signs of prostate cancer. </w:t>
      </w:r>
      <w:r>
        <w:t xml:space="preserve">The Applicant advises that the DRE </w:t>
      </w:r>
      <w:r w:rsidR="0078582A">
        <w:t xml:space="preserve">has a low </w:t>
      </w:r>
      <w:r w:rsidR="00851BE2">
        <w:t>sensitivity</w:t>
      </w:r>
      <w:r>
        <w:t xml:space="preserve">, although its positive predictive value is high – </w:t>
      </w:r>
      <w:r w:rsidR="00851BE2">
        <w:t>hard lumps detected by DRE are very likely to be prostate cancer</w:t>
      </w:r>
      <w:r>
        <w:t xml:space="preserve">, and </w:t>
      </w:r>
      <w:r w:rsidR="00851BE2">
        <w:t xml:space="preserve">while </w:t>
      </w:r>
      <w:r>
        <w:t>chronic inflammatory conditions can cause hard lumps</w:t>
      </w:r>
      <w:r w:rsidR="00851BE2">
        <w:t>,</w:t>
      </w:r>
      <w:r w:rsidR="0072564B">
        <w:t xml:space="preserve"> </w:t>
      </w:r>
      <w:r>
        <w:t xml:space="preserve">this is rare. </w:t>
      </w:r>
    </w:p>
    <w:p w14:paraId="4C03410A" w14:textId="77777777" w:rsidR="00301DEC" w:rsidRDefault="00604CD1" w:rsidP="00ED32DE">
      <w:pPr>
        <w:rPr>
          <w:color w:val="FF0000"/>
        </w:rPr>
      </w:pPr>
      <w:r>
        <w:t xml:space="preserve">However, PSA and DRE </w:t>
      </w:r>
      <w:r w:rsidR="0043207B">
        <w:t xml:space="preserve">tests </w:t>
      </w:r>
      <w:r>
        <w:t>are not diagnostic</w:t>
      </w:r>
      <w:r w:rsidR="00D321E8">
        <w:t>; a</w:t>
      </w:r>
      <w:r w:rsidR="00FA6DBE">
        <w:t xml:space="preserve"> diagnosis of prostate cancer is made on </w:t>
      </w:r>
      <w:r w:rsidR="00B768D0">
        <w:t xml:space="preserve">the </w:t>
      </w:r>
      <w:r w:rsidR="00FA6DBE">
        <w:t>basis of biopsy</w:t>
      </w:r>
      <w:r w:rsidR="00B768D0">
        <w:t xml:space="preserve"> results</w:t>
      </w:r>
      <w:r w:rsidR="00FA6DBE">
        <w:t xml:space="preserve">. </w:t>
      </w:r>
      <w:r w:rsidR="00A12D70">
        <w:t>During a biopsy, a needle is inserted into the prostate under the guidance of ultrasound, and a set of random samples of tissue</w:t>
      </w:r>
      <w:r w:rsidR="00CB6BE0">
        <w:t xml:space="preserve"> (using between 12-32 needles) </w:t>
      </w:r>
      <w:r w:rsidR="00A12D70">
        <w:t xml:space="preserve">are taken from the prostate. The samples are then analysed under the microscope, to see if cancer cells are present (Siddiqui et al 2015; AIHW 2013). </w:t>
      </w:r>
      <w:r w:rsidR="00301DEC">
        <w:t>Prostate cancers are graded using the Gleason system: Gleason score of 6 or less is considered low risk, a Gleason score of 7 is considered intermediate risk, and a score of 8 or above is considered to be high risk (</w:t>
      </w:r>
      <w:proofErr w:type="spellStart"/>
      <w:r w:rsidR="00301DEC">
        <w:t>HealthPact</w:t>
      </w:r>
      <w:proofErr w:type="spellEnd"/>
      <w:r w:rsidR="00301DEC">
        <w:t xml:space="preserve"> 2014).</w:t>
      </w:r>
      <w:r w:rsidR="00CB6BE0">
        <w:t xml:space="preserve"> </w:t>
      </w:r>
      <w:r w:rsidR="00376A99">
        <w:t xml:space="preserve">Another </w:t>
      </w:r>
      <w:r w:rsidR="00CB6BE0">
        <w:t xml:space="preserve">risk stratification measure in use is the TNM Classification of Malignant Tumours (TNM), where T describes the size of the tumour, N describes the affected lymph nodes, and M describes the metastases (Cancer Council Australia, 2015). </w:t>
      </w:r>
    </w:p>
    <w:p w14:paraId="33E30A1B" w14:textId="77777777" w:rsidR="00A04644" w:rsidRDefault="00681262" w:rsidP="0043207B">
      <w:pPr>
        <w:rPr>
          <w:rFonts w:cs="Calibri"/>
        </w:rPr>
      </w:pPr>
      <w:r>
        <w:t xml:space="preserve">In magnetic resonance imaging, </w:t>
      </w:r>
      <w:r w:rsidR="00B768D0">
        <w:t xml:space="preserve">a </w:t>
      </w:r>
      <w:r>
        <w:t xml:space="preserve">magnet together with radio-waves is used to produce images of soft tissues. In multi-parametric MRI, </w:t>
      </w:r>
      <w:r w:rsidR="00257CAE" w:rsidRPr="0043207B">
        <w:t>three</w:t>
      </w:r>
      <w:r w:rsidRPr="0043207B">
        <w:t xml:space="preserve"> pulse sequences</w:t>
      </w:r>
      <w:r w:rsidR="00257CAE" w:rsidRPr="0043207B">
        <w:t xml:space="preserve"> are used</w:t>
      </w:r>
      <w:r w:rsidR="0043207B">
        <w:t xml:space="preserve">: T2 weighted (T2W), diffusion weighted (DWI) and dynamic-contrast enhanced (DCE). These are combined and </w:t>
      </w:r>
      <w:r>
        <w:t xml:space="preserve">analysed together. If </w:t>
      </w:r>
      <w:r w:rsidR="00B768D0">
        <w:t xml:space="preserve">the </w:t>
      </w:r>
      <w:r>
        <w:t xml:space="preserve">findings are suspicious, </w:t>
      </w:r>
      <w:r w:rsidR="00B768D0">
        <w:t xml:space="preserve">a </w:t>
      </w:r>
      <w:r>
        <w:t>biopsy is conducted</w:t>
      </w:r>
      <w:r w:rsidR="00166434">
        <w:t xml:space="preserve"> to confirm the presence or absence of cancer</w:t>
      </w:r>
      <w:r>
        <w:t xml:space="preserve">. </w:t>
      </w:r>
      <w:r w:rsidR="000F696A">
        <w:rPr>
          <w:rFonts w:cs="Calibri"/>
        </w:rPr>
        <w:t xml:space="preserve">Both 1.5 and 3.0 Tesla </w:t>
      </w:r>
      <w:r>
        <w:rPr>
          <w:rFonts w:cs="Calibri"/>
        </w:rPr>
        <w:t>MRI scanners are available in Australia</w:t>
      </w:r>
      <w:r w:rsidR="000F696A">
        <w:rPr>
          <w:rFonts w:cs="Calibri"/>
        </w:rPr>
        <w:t>; e</w:t>
      </w:r>
      <w:r>
        <w:rPr>
          <w:rFonts w:cs="Calibri"/>
        </w:rPr>
        <w:t>ither one may be used to carry out multi-parametric scans (</w:t>
      </w:r>
      <w:proofErr w:type="spellStart"/>
      <w:r w:rsidR="00D62DF3">
        <w:rPr>
          <w:rFonts w:cs="Calibri"/>
        </w:rPr>
        <w:t>HealthPact</w:t>
      </w:r>
      <w:proofErr w:type="spellEnd"/>
      <w:r w:rsidR="00D62DF3">
        <w:rPr>
          <w:rFonts w:cs="Calibri"/>
        </w:rPr>
        <w:t xml:space="preserve"> 2014</w:t>
      </w:r>
      <w:r>
        <w:rPr>
          <w:rFonts w:cs="Calibri"/>
        </w:rPr>
        <w:t>)</w:t>
      </w:r>
      <w:r w:rsidR="0043207B">
        <w:rPr>
          <w:rFonts w:cs="Calibri"/>
        </w:rPr>
        <w:t xml:space="preserve">. However, the Applicant advises that although the new generation 1.5 Tesla MRI scanners may be adequate for </w:t>
      </w:r>
      <w:proofErr w:type="spellStart"/>
      <w:r w:rsidR="0043207B">
        <w:rPr>
          <w:rFonts w:cs="Calibri"/>
        </w:rPr>
        <w:t>mpMRI</w:t>
      </w:r>
      <w:proofErr w:type="spellEnd"/>
      <w:r w:rsidR="0043207B">
        <w:rPr>
          <w:rFonts w:cs="Calibri"/>
        </w:rPr>
        <w:t>, the older generation machines are not, as they are unable to acquire the diffusion weighted image</w:t>
      </w:r>
      <w:r w:rsidR="00A04644">
        <w:rPr>
          <w:rFonts w:cs="Calibri"/>
        </w:rPr>
        <w:t xml:space="preserve"> (DWI)</w:t>
      </w:r>
      <w:r w:rsidR="0043207B">
        <w:rPr>
          <w:rFonts w:cs="Calibri"/>
        </w:rPr>
        <w:t xml:space="preserve">. </w:t>
      </w:r>
      <w:r w:rsidR="00376A99" w:rsidRPr="00376A99">
        <w:rPr>
          <w:rFonts w:cs="Calibri"/>
        </w:rPr>
        <w:t>DWI is a measure of the tissue density of a lesion in the prostate and is a vital tool in diagnosis of cancer within the prostate</w:t>
      </w:r>
      <w:r w:rsidR="00376A99">
        <w:rPr>
          <w:rFonts w:cs="Calibri"/>
        </w:rPr>
        <w:t>,</w:t>
      </w:r>
      <w:r w:rsidR="00376A99" w:rsidRPr="00376A99">
        <w:rPr>
          <w:rFonts w:cs="Calibri"/>
        </w:rPr>
        <w:t xml:space="preserve"> as &gt;95% of prostate cancers are </w:t>
      </w:r>
      <w:proofErr w:type="gramStart"/>
      <w:r w:rsidR="00376A99" w:rsidRPr="00376A99">
        <w:rPr>
          <w:rFonts w:cs="Calibri"/>
        </w:rPr>
        <w:t>more dense</w:t>
      </w:r>
      <w:proofErr w:type="gramEnd"/>
      <w:r w:rsidR="00376A99" w:rsidRPr="00376A99">
        <w:rPr>
          <w:rFonts w:cs="Calibri"/>
        </w:rPr>
        <w:t xml:space="preserve"> than normal prostate tissue.</w:t>
      </w:r>
    </w:p>
    <w:p w14:paraId="28076FBF" w14:textId="77777777" w:rsidR="00436ADA" w:rsidRDefault="00436ADA" w:rsidP="00425BBA">
      <w:pPr>
        <w:pStyle w:val="Heading2"/>
      </w:pPr>
      <w:bookmarkStart w:id="9" w:name="_Toc444781434"/>
      <w:r>
        <w:t>Estimated utilisation</w:t>
      </w:r>
      <w:bookmarkEnd w:id="9"/>
    </w:p>
    <w:p w14:paraId="4056C63B" w14:textId="77777777" w:rsidR="00425BBA" w:rsidRDefault="00425BBA" w:rsidP="00425BBA">
      <w:pPr>
        <w:pStyle w:val="Heading3"/>
      </w:pPr>
      <w:bookmarkStart w:id="10" w:name="_Toc444781435"/>
      <w:r>
        <w:t>Men with suspected prostate cancer</w:t>
      </w:r>
      <w:bookmarkEnd w:id="10"/>
    </w:p>
    <w:p w14:paraId="5BFFA916" w14:textId="77777777" w:rsidR="00022C8C" w:rsidRDefault="009D078F" w:rsidP="009D078F">
      <w:pPr>
        <w:rPr>
          <w:rFonts w:cs="Calibri"/>
        </w:rPr>
      </w:pPr>
      <w:r w:rsidRPr="009D078F">
        <w:rPr>
          <w:rFonts w:cs="Calibri"/>
        </w:rPr>
        <w:t>In 2012, there were nearly 778,500 PSA tests performed in Aust</w:t>
      </w:r>
      <w:r>
        <w:rPr>
          <w:rFonts w:cs="Calibri"/>
        </w:rPr>
        <w:t xml:space="preserve">ralia </w:t>
      </w:r>
      <w:r w:rsidR="00D97B85">
        <w:rPr>
          <w:rFonts w:cs="Calibri"/>
        </w:rPr>
        <w:t>(</w:t>
      </w:r>
      <w:r>
        <w:rPr>
          <w:rFonts w:cs="Calibri"/>
        </w:rPr>
        <w:t>AIHW 2013</w:t>
      </w:r>
      <w:r w:rsidR="00D97B85">
        <w:rPr>
          <w:rFonts w:cs="Calibri"/>
        </w:rPr>
        <w:t xml:space="preserve">). There are no reliable data available that estimate the proportion of these tests that resulted in a high or concerning PSA level. Consequently, it is difficult to accurately estimate the number of men in Australia with suspected prostate cancer who would be eligible for </w:t>
      </w:r>
      <w:proofErr w:type="spellStart"/>
      <w:r w:rsidR="00D97B85">
        <w:rPr>
          <w:rFonts w:cs="Calibri"/>
        </w:rPr>
        <w:t>mpMRI</w:t>
      </w:r>
      <w:proofErr w:type="spellEnd"/>
      <w:r w:rsidR="00D97B85">
        <w:rPr>
          <w:rFonts w:cs="Calibri"/>
        </w:rPr>
        <w:t xml:space="preserve"> </w:t>
      </w:r>
      <w:r w:rsidR="00425BBA">
        <w:rPr>
          <w:rFonts w:cs="Calibri"/>
        </w:rPr>
        <w:t xml:space="preserve">of the prostate. </w:t>
      </w:r>
      <w:r w:rsidR="00022C8C" w:rsidRPr="00022C8C">
        <w:rPr>
          <w:rFonts w:cs="Calibri"/>
        </w:rPr>
        <w:t xml:space="preserve">PASC noted that the availability of rebates for </w:t>
      </w:r>
      <w:proofErr w:type="spellStart"/>
      <w:r w:rsidR="00022C8C" w:rsidRPr="00022C8C">
        <w:rPr>
          <w:rFonts w:cs="Calibri"/>
        </w:rPr>
        <w:t>mpMRI</w:t>
      </w:r>
      <w:proofErr w:type="spellEnd"/>
      <w:r w:rsidR="00022C8C" w:rsidRPr="00022C8C">
        <w:rPr>
          <w:rFonts w:cs="Calibri"/>
        </w:rPr>
        <w:t xml:space="preserve"> prostate scans may </w:t>
      </w:r>
      <w:r w:rsidR="00022C8C">
        <w:rPr>
          <w:rFonts w:cs="Calibri"/>
        </w:rPr>
        <w:t xml:space="preserve">also </w:t>
      </w:r>
      <w:r w:rsidR="00022C8C" w:rsidRPr="00022C8C">
        <w:rPr>
          <w:rFonts w:cs="Calibri"/>
        </w:rPr>
        <w:t>increase the number of patients choosing to have regular PSA testing, because affordable access to an adjunct confirmation test would enhance the usefulness of the screening PSA test.</w:t>
      </w:r>
    </w:p>
    <w:p w14:paraId="3D7AA396" w14:textId="77777777" w:rsidR="00A63E6C" w:rsidRDefault="00A63E6C">
      <w:pPr>
        <w:spacing w:after="0" w:line="240" w:lineRule="auto"/>
        <w:jc w:val="left"/>
        <w:rPr>
          <w:rFonts w:cs="Calibri"/>
        </w:rPr>
      </w:pPr>
      <w:r>
        <w:rPr>
          <w:rFonts w:cs="Calibri"/>
        </w:rPr>
        <w:br w:type="page"/>
      </w:r>
    </w:p>
    <w:p w14:paraId="7A06A128" w14:textId="630B2440" w:rsidR="009D078F" w:rsidRDefault="00425BBA" w:rsidP="009D078F">
      <w:pPr>
        <w:rPr>
          <w:rFonts w:cs="Calibri"/>
        </w:rPr>
      </w:pPr>
      <w:r>
        <w:rPr>
          <w:rFonts w:cs="Calibri"/>
        </w:rPr>
        <w:lastRenderedPageBreak/>
        <w:t xml:space="preserve">One method for estimating the number of eligible men is to assume that all men who currently receive a prostate biopsy would have an </w:t>
      </w:r>
      <w:proofErr w:type="spellStart"/>
      <w:r>
        <w:rPr>
          <w:rFonts w:cs="Calibri"/>
        </w:rPr>
        <w:t>mpMRI</w:t>
      </w:r>
      <w:proofErr w:type="spellEnd"/>
      <w:r>
        <w:rPr>
          <w:rFonts w:cs="Calibri"/>
        </w:rPr>
        <w:t xml:space="preserve"> scan if the service was listed on the MBS. Between July 2014 and June 2015, there were 20,149 services claimed on the MBS for ultrasound-guided prostate biopsy (MBS item 37219). From this, there would potentially be 20,149 </w:t>
      </w:r>
      <w:proofErr w:type="spellStart"/>
      <w:r>
        <w:rPr>
          <w:rFonts w:cs="Calibri"/>
        </w:rPr>
        <w:t>mpMRI</w:t>
      </w:r>
      <w:proofErr w:type="spellEnd"/>
      <w:r>
        <w:rPr>
          <w:rFonts w:cs="Calibri"/>
        </w:rPr>
        <w:t xml:space="preserve"> services for men with suspected prostate cancer. This is likely an underestimation of utilisation, as men who refused a prostate biopsy may opt to undergo </w:t>
      </w:r>
      <w:proofErr w:type="spellStart"/>
      <w:r>
        <w:rPr>
          <w:rFonts w:cs="Calibri"/>
        </w:rPr>
        <w:t>mpMRI</w:t>
      </w:r>
      <w:proofErr w:type="spellEnd"/>
      <w:r>
        <w:rPr>
          <w:rFonts w:cs="Calibri"/>
        </w:rPr>
        <w:t xml:space="preserve"> scanning.</w:t>
      </w:r>
    </w:p>
    <w:p w14:paraId="6B617882" w14:textId="77777777" w:rsidR="00425BBA" w:rsidRDefault="00425BBA" w:rsidP="000B1310">
      <w:pPr>
        <w:pStyle w:val="Heading3"/>
      </w:pPr>
      <w:bookmarkStart w:id="11" w:name="_Toc444781436"/>
      <w:r>
        <w:t>M</w:t>
      </w:r>
      <w:r w:rsidRPr="00425BBA">
        <w:t>en diagnosed with low or intermediate risk prostate cancer undertaking active surveillance</w:t>
      </w:r>
      <w:bookmarkEnd w:id="11"/>
    </w:p>
    <w:p w14:paraId="15591288" w14:textId="77777777" w:rsidR="000B1310" w:rsidRDefault="00425BBA" w:rsidP="00917D6E">
      <w:pPr>
        <w:rPr>
          <w:rFonts w:cs="Calibri"/>
        </w:rPr>
      </w:pPr>
      <w:r>
        <w:rPr>
          <w:rFonts w:cs="Calibri"/>
        </w:rPr>
        <w:t xml:space="preserve">The AIHW </w:t>
      </w:r>
      <w:r w:rsidR="00917D6E">
        <w:rPr>
          <w:rFonts w:cs="Calibri"/>
        </w:rPr>
        <w:t xml:space="preserve">reported that </w:t>
      </w:r>
      <w:r w:rsidR="00917D6E" w:rsidRPr="00917D6E">
        <w:rPr>
          <w:rFonts w:cs="Calibri"/>
        </w:rPr>
        <w:t xml:space="preserve">at the end </w:t>
      </w:r>
      <w:r w:rsidR="00917D6E">
        <w:rPr>
          <w:rFonts w:cs="Calibri"/>
        </w:rPr>
        <w:t xml:space="preserve">of 2009, the </w:t>
      </w:r>
      <w:r w:rsidR="00917D6E" w:rsidRPr="00917D6E">
        <w:rPr>
          <w:rFonts w:cs="Calibri"/>
        </w:rPr>
        <w:t>5-year prevalence</w:t>
      </w:r>
      <w:r w:rsidR="00917D6E">
        <w:rPr>
          <w:rFonts w:cs="Calibri"/>
        </w:rPr>
        <w:t xml:space="preserve"> of</w:t>
      </w:r>
      <w:r w:rsidR="00917D6E" w:rsidRPr="00917D6E">
        <w:rPr>
          <w:rFonts w:cs="Calibri"/>
        </w:rPr>
        <w:t xml:space="preserve"> prostate cancer</w:t>
      </w:r>
      <w:r w:rsidR="00917D6E">
        <w:rPr>
          <w:rFonts w:cs="Calibri"/>
        </w:rPr>
        <w:t xml:space="preserve"> was </w:t>
      </w:r>
      <w:r w:rsidR="00917D6E" w:rsidRPr="00917D6E">
        <w:rPr>
          <w:rFonts w:cs="Calibri"/>
        </w:rPr>
        <w:t>86,207</w:t>
      </w:r>
      <w:r w:rsidR="00917D6E">
        <w:rPr>
          <w:rFonts w:cs="Calibri"/>
        </w:rPr>
        <w:t xml:space="preserve"> men in Australia (AIHW 2014). Data from the Victorian Prostate </w:t>
      </w:r>
      <w:r w:rsidR="00917D6E" w:rsidRPr="00917D6E">
        <w:rPr>
          <w:rFonts w:cs="Calibri"/>
        </w:rPr>
        <w:t>Cancer Registry</w:t>
      </w:r>
      <w:r w:rsidR="00917D6E">
        <w:rPr>
          <w:rFonts w:cs="Calibri"/>
        </w:rPr>
        <w:t xml:space="preserve"> indicates that 15.3% of patients newly diagnosed with prostate cancer are opting to have their disease managed with active surveillance (</w:t>
      </w:r>
      <w:proofErr w:type="spellStart"/>
      <w:r w:rsidR="00917D6E">
        <w:rPr>
          <w:rFonts w:cs="Calibri"/>
        </w:rPr>
        <w:t>Weerakoon</w:t>
      </w:r>
      <w:proofErr w:type="spellEnd"/>
      <w:r w:rsidR="00917D6E">
        <w:rPr>
          <w:rFonts w:cs="Calibri"/>
        </w:rPr>
        <w:t xml:space="preserve"> 2015). Applying this to the prevalence data, there may be approximately 13,190 men undergoing active surveillance for prostate cancer. This may be an overestimate of the current use of active surveillance, as it is a</w:t>
      </w:r>
      <w:r w:rsidR="000B1310">
        <w:rPr>
          <w:rFonts w:cs="Calibri"/>
        </w:rPr>
        <w:t>n emerging management strategy.</w:t>
      </w:r>
    </w:p>
    <w:p w14:paraId="1528B643" w14:textId="77777777" w:rsidR="00917D6E" w:rsidRDefault="000B1310" w:rsidP="00917D6E">
      <w:pPr>
        <w:rPr>
          <w:rFonts w:cs="Calibri"/>
        </w:rPr>
      </w:pPr>
      <w:r>
        <w:rPr>
          <w:rFonts w:cs="Calibri"/>
        </w:rPr>
        <w:t xml:space="preserve">Under the proposed protocol for </w:t>
      </w:r>
      <w:proofErr w:type="spellStart"/>
      <w:r>
        <w:rPr>
          <w:rFonts w:cs="Calibri"/>
        </w:rPr>
        <w:t>mpMRI</w:t>
      </w:r>
      <w:proofErr w:type="spellEnd"/>
      <w:r>
        <w:rPr>
          <w:rFonts w:cs="Calibri"/>
        </w:rPr>
        <w:t xml:space="preserve"> in active surveillance (see Figure 4), men would have a scheduled </w:t>
      </w:r>
      <w:proofErr w:type="spellStart"/>
      <w:r>
        <w:rPr>
          <w:rFonts w:cs="Calibri"/>
        </w:rPr>
        <w:t>mpMRI</w:t>
      </w:r>
      <w:proofErr w:type="spellEnd"/>
      <w:r>
        <w:rPr>
          <w:rFonts w:cs="Calibri"/>
        </w:rPr>
        <w:t xml:space="preserve"> scan at 12 months and then every three years thereafter. Men can also have an </w:t>
      </w:r>
      <w:proofErr w:type="spellStart"/>
      <w:r>
        <w:rPr>
          <w:rFonts w:cs="Calibri"/>
        </w:rPr>
        <w:t>mpMRI</w:t>
      </w:r>
      <w:proofErr w:type="spellEnd"/>
      <w:r>
        <w:rPr>
          <w:rFonts w:cs="Calibri"/>
        </w:rPr>
        <w:t xml:space="preserve"> scan at any time if there is concern about clinical or PSA changes. If you assume that, on average, men on active surveillance will have an </w:t>
      </w:r>
      <w:proofErr w:type="spellStart"/>
      <w:r>
        <w:rPr>
          <w:rFonts w:cs="Calibri"/>
        </w:rPr>
        <w:t>mpMRI</w:t>
      </w:r>
      <w:proofErr w:type="spellEnd"/>
      <w:r>
        <w:rPr>
          <w:rFonts w:cs="Calibri"/>
        </w:rPr>
        <w:t xml:space="preserve"> scan once every two years, then this would equate to 6,595 services for </w:t>
      </w:r>
      <w:proofErr w:type="spellStart"/>
      <w:r>
        <w:rPr>
          <w:rFonts w:cs="Calibri"/>
        </w:rPr>
        <w:t>mpMRI</w:t>
      </w:r>
      <w:proofErr w:type="spellEnd"/>
      <w:r>
        <w:rPr>
          <w:rFonts w:cs="Calibri"/>
        </w:rPr>
        <w:t xml:space="preserve"> per year.</w:t>
      </w:r>
    </w:p>
    <w:p w14:paraId="55E4ED6C" w14:textId="77777777" w:rsidR="007252D5" w:rsidRDefault="007252D5" w:rsidP="000901A8">
      <w:pPr>
        <w:pStyle w:val="Heading2"/>
      </w:pPr>
      <w:bookmarkStart w:id="12" w:name="_Toc444781437"/>
      <w:r>
        <w:t>Administration, d</w:t>
      </w:r>
      <w:r w:rsidRPr="00A34E9C">
        <w:t xml:space="preserve">ose, frequency </w:t>
      </w:r>
      <w:r>
        <w:t xml:space="preserve">of administration, </w:t>
      </w:r>
      <w:r w:rsidRPr="00A34E9C">
        <w:t>duration of treatment</w:t>
      </w:r>
      <w:bookmarkEnd w:id="12"/>
    </w:p>
    <w:p w14:paraId="4A753435" w14:textId="77777777" w:rsidR="008B4730" w:rsidRDefault="008B4730" w:rsidP="001D4D5A">
      <w:r>
        <w:t>An</w:t>
      </w:r>
      <w:r w:rsidRPr="005B1DC4">
        <w:t xml:space="preserve"> </w:t>
      </w:r>
      <w:r w:rsidR="001D4D5A" w:rsidRPr="005B1DC4">
        <w:t xml:space="preserve">MBS listing </w:t>
      </w:r>
      <w:r>
        <w:t xml:space="preserve">is </w:t>
      </w:r>
      <w:r w:rsidR="001D4D5A" w:rsidRPr="005B1DC4">
        <w:t>requested</w:t>
      </w:r>
      <w:r>
        <w:t xml:space="preserve"> for</w:t>
      </w:r>
      <w:r w:rsidR="001D4D5A" w:rsidRPr="005B1DC4">
        <w:t xml:space="preserve"> </w:t>
      </w:r>
      <w:proofErr w:type="spellStart"/>
      <w:r w:rsidR="001D4D5A" w:rsidRPr="005B1DC4">
        <w:t>multiparametric</w:t>
      </w:r>
      <w:proofErr w:type="spellEnd"/>
      <w:r w:rsidR="001D4D5A" w:rsidRPr="005B1DC4">
        <w:t xml:space="preserve"> MRI (</w:t>
      </w:r>
      <w:proofErr w:type="spellStart"/>
      <w:r w:rsidR="001D4D5A" w:rsidRPr="005B1DC4">
        <w:t>mpMRI</w:t>
      </w:r>
      <w:proofErr w:type="spellEnd"/>
      <w:r w:rsidR="001D4D5A" w:rsidRPr="005B1DC4">
        <w:t>) scans of the prostate</w:t>
      </w:r>
      <w:r>
        <w:t xml:space="preserve"> for two populations:</w:t>
      </w:r>
    </w:p>
    <w:p w14:paraId="0D60A548" w14:textId="77777777" w:rsidR="008B4730" w:rsidRDefault="008B4730" w:rsidP="000A1167">
      <w:pPr>
        <w:pStyle w:val="ListParagraph"/>
        <w:numPr>
          <w:ilvl w:val="0"/>
          <w:numId w:val="8"/>
        </w:numPr>
      </w:pPr>
      <w:r w:rsidRPr="008B4730">
        <w:t>men who are suspected of having prostate cancer on the ba</w:t>
      </w:r>
      <w:r>
        <w:t>sis of a high or concerning PSA; and</w:t>
      </w:r>
    </w:p>
    <w:p w14:paraId="4FB16E55" w14:textId="77777777" w:rsidR="008B4730" w:rsidRDefault="008B4730" w:rsidP="000A1167">
      <w:pPr>
        <w:pStyle w:val="ListParagraph"/>
        <w:numPr>
          <w:ilvl w:val="0"/>
          <w:numId w:val="8"/>
        </w:numPr>
      </w:pPr>
      <w:proofErr w:type="gramStart"/>
      <w:r w:rsidRPr="008B4730">
        <w:t>men</w:t>
      </w:r>
      <w:proofErr w:type="gramEnd"/>
      <w:r w:rsidRPr="008B4730">
        <w:t xml:space="preserve"> diagnosed with low or intermediate risk prostate cancer undertaking Active Surveillance (AS).</w:t>
      </w:r>
    </w:p>
    <w:p w14:paraId="64E28F0A" w14:textId="77777777" w:rsidR="00FD5CE2" w:rsidRDefault="00FD5CE2" w:rsidP="005B1DC4">
      <w:r>
        <w:t xml:space="preserve">An </w:t>
      </w:r>
      <w:proofErr w:type="spellStart"/>
      <w:r w:rsidR="005B1DC4">
        <w:t>mpMRI</w:t>
      </w:r>
      <w:proofErr w:type="spellEnd"/>
      <w:r w:rsidR="005B1DC4">
        <w:t xml:space="preserve"> scan of the prostate</w:t>
      </w:r>
      <w:r w:rsidR="00D62DF3">
        <w:t>, which is an image acquisition protocol, us</w:t>
      </w:r>
      <w:r>
        <w:t xml:space="preserve">es </w:t>
      </w:r>
      <w:r w:rsidR="00BF4016">
        <w:t>T2W, DWI and DCE</w:t>
      </w:r>
      <w:r w:rsidR="00DA01F3">
        <w:t>,</w:t>
      </w:r>
      <w:r w:rsidR="00BF4016">
        <w:t xml:space="preserve"> as outlined above. T</w:t>
      </w:r>
      <w:r w:rsidR="00FA5895">
        <w:t>he t</w:t>
      </w:r>
      <w:r w:rsidR="00BF4016">
        <w:t xml:space="preserve">ime </w:t>
      </w:r>
      <w:r w:rsidR="00FA5895">
        <w:t xml:space="preserve">required to perform the scan </w:t>
      </w:r>
      <w:r w:rsidR="00BF4016">
        <w:t xml:space="preserve">will vary, depending on the protocol and machine used. The Applicant advises that the detection protocol using a 3T scanner would take 35 minutes for an </w:t>
      </w:r>
      <w:proofErr w:type="spellStart"/>
      <w:r w:rsidR="00BF4016">
        <w:t>mpMRI</w:t>
      </w:r>
      <w:proofErr w:type="spellEnd"/>
      <w:r w:rsidR="00BF4016">
        <w:t xml:space="preserve">, and 45 minutes for an </w:t>
      </w:r>
      <w:proofErr w:type="spellStart"/>
      <w:r w:rsidR="00BF4016">
        <w:t>mpMRI</w:t>
      </w:r>
      <w:proofErr w:type="spellEnd"/>
      <w:r w:rsidR="00BF4016">
        <w:t xml:space="preserve"> of the prostate as well as the bones and nodes. </w:t>
      </w:r>
      <w:r w:rsidR="00376A99">
        <w:t xml:space="preserve">The same protocols on a </w:t>
      </w:r>
      <w:r w:rsidR="00BF4016">
        <w:t xml:space="preserve">1.5T </w:t>
      </w:r>
      <w:r w:rsidR="00376A99">
        <w:t xml:space="preserve">machine </w:t>
      </w:r>
      <w:r w:rsidR="00BF4016">
        <w:t xml:space="preserve">would take approximately 50% longer. </w:t>
      </w:r>
    </w:p>
    <w:p w14:paraId="62965C81" w14:textId="64B66B16" w:rsidR="00B7098A" w:rsidRDefault="008D7C0E" w:rsidP="005B1DC4">
      <w:r>
        <w:t xml:space="preserve">Applicants advise that </w:t>
      </w:r>
      <w:r w:rsidR="00B7098A">
        <w:t xml:space="preserve">consensus on the </w:t>
      </w:r>
      <w:r>
        <w:t xml:space="preserve">question of appropriate frequency of </w:t>
      </w:r>
      <w:proofErr w:type="spellStart"/>
      <w:r w:rsidR="00B7098A">
        <w:t>mp</w:t>
      </w:r>
      <w:r>
        <w:t>MRI</w:t>
      </w:r>
      <w:proofErr w:type="spellEnd"/>
      <w:r>
        <w:t xml:space="preserve"> scanning </w:t>
      </w:r>
      <w:r w:rsidR="00B7098A">
        <w:t xml:space="preserve">has not yet been reached. However, for monitoring purposes, the scans can be repeated after 12 months (as prostate cancer grows very slowly). </w:t>
      </w:r>
      <w:r w:rsidR="00DA01F3">
        <w:t>A</w:t>
      </w:r>
      <w:r w:rsidR="00B7098A">
        <w:t xml:space="preserve">ctive surveillance patients may be scanned every 12 months for a period of time, and then may be switched to </w:t>
      </w:r>
      <w:r w:rsidR="00F3662C">
        <w:t>3</w:t>
      </w:r>
      <w:r w:rsidR="00B7098A">
        <w:t>-yearly scan</w:t>
      </w:r>
      <w:r w:rsidR="00376A99">
        <w:t>s</w:t>
      </w:r>
      <w:r w:rsidR="00B7098A">
        <w:t xml:space="preserve">. </w:t>
      </w:r>
    </w:p>
    <w:p w14:paraId="3D67B3F4" w14:textId="5D6B2880" w:rsidR="003E61E6" w:rsidRDefault="00FA5895" w:rsidP="00681262">
      <w:pPr>
        <w:rPr>
          <w:rFonts w:cs="Calibri"/>
        </w:rPr>
      </w:pPr>
      <w:r w:rsidDel="00FA5895">
        <w:t xml:space="preserve"> </w:t>
      </w:r>
      <w:r>
        <w:t>All</w:t>
      </w:r>
      <w:r w:rsidR="003E61E6">
        <w:rPr>
          <w:rFonts w:cs="Calibri"/>
        </w:rPr>
        <w:t xml:space="preserve"> </w:t>
      </w:r>
      <w:proofErr w:type="spellStart"/>
      <w:r w:rsidR="003E61E6">
        <w:rPr>
          <w:rFonts w:cs="Calibri"/>
        </w:rPr>
        <w:t>mpMRI</w:t>
      </w:r>
      <w:proofErr w:type="spellEnd"/>
      <w:r w:rsidR="003E61E6">
        <w:rPr>
          <w:rFonts w:cs="Calibri"/>
        </w:rPr>
        <w:t xml:space="preserve"> </w:t>
      </w:r>
      <w:r w:rsidR="006560E2">
        <w:rPr>
          <w:rFonts w:cs="Calibri"/>
        </w:rPr>
        <w:t xml:space="preserve">scans of the prostate </w:t>
      </w:r>
      <w:r w:rsidR="003E61E6">
        <w:rPr>
          <w:rFonts w:cs="Calibri"/>
        </w:rPr>
        <w:t xml:space="preserve">are </w:t>
      </w:r>
      <w:r w:rsidR="00D914F2">
        <w:rPr>
          <w:rFonts w:cs="Calibri"/>
        </w:rPr>
        <w:t xml:space="preserve">performed </w:t>
      </w:r>
      <w:r w:rsidR="003E61E6">
        <w:rPr>
          <w:rFonts w:cs="Calibri"/>
        </w:rPr>
        <w:t xml:space="preserve">in a radiology department. </w:t>
      </w:r>
      <w:r>
        <w:rPr>
          <w:rFonts w:cs="Calibri"/>
        </w:rPr>
        <w:t xml:space="preserve">PASC and the </w:t>
      </w:r>
      <w:r w:rsidR="00D914F2">
        <w:rPr>
          <w:rFonts w:cs="Calibri"/>
        </w:rPr>
        <w:t xml:space="preserve">Applicant </w:t>
      </w:r>
      <w:r>
        <w:rPr>
          <w:rFonts w:cs="Calibri"/>
        </w:rPr>
        <w:t xml:space="preserve">agreed that the proposed service will require </w:t>
      </w:r>
      <w:r w:rsidRPr="00FA5895">
        <w:rPr>
          <w:rFonts w:cs="Calibri"/>
        </w:rPr>
        <w:t>spec</w:t>
      </w:r>
      <w:r>
        <w:rPr>
          <w:rFonts w:cs="Calibri"/>
        </w:rPr>
        <w:t xml:space="preserve">ialist referral </w:t>
      </w:r>
      <w:r w:rsidRPr="00FA5895">
        <w:rPr>
          <w:rFonts w:cs="Calibri"/>
        </w:rPr>
        <w:t xml:space="preserve">from </w:t>
      </w:r>
      <w:r w:rsidR="00FD5CE2">
        <w:rPr>
          <w:rFonts w:cs="Calibri"/>
        </w:rPr>
        <w:t>an</w:t>
      </w:r>
      <w:r>
        <w:rPr>
          <w:rFonts w:cs="Calibri"/>
        </w:rPr>
        <w:t xml:space="preserve"> </w:t>
      </w:r>
      <w:r w:rsidRPr="00FA5895">
        <w:rPr>
          <w:rFonts w:cs="Calibri"/>
        </w:rPr>
        <w:t>urologist, radiation on</w:t>
      </w:r>
      <w:r>
        <w:rPr>
          <w:rFonts w:cs="Calibri"/>
        </w:rPr>
        <w:t>cologist, or medical oncologist</w:t>
      </w:r>
      <w:r w:rsidRPr="00FA5895">
        <w:rPr>
          <w:rFonts w:cs="Calibri"/>
        </w:rPr>
        <w:t>.</w:t>
      </w:r>
      <w:r w:rsidR="003E61E6">
        <w:rPr>
          <w:rFonts w:cs="Calibri"/>
        </w:rPr>
        <w:t xml:space="preserve"> </w:t>
      </w:r>
      <w:r w:rsidR="00D36025">
        <w:rPr>
          <w:rFonts w:cs="Calibri"/>
        </w:rPr>
        <w:t xml:space="preserve">The </w:t>
      </w:r>
      <w:r w:rsidR="00D36025">
        <w:t xml:space="preserve">reporting radiologist </w:t>
      </w:r>
      <w:r w:rsidR="00ED481A">
        <w:t>must</w:t>
      </w:r>
      <w:r w:rsidR="00D36025">
        <w:t xml:space="preserve"> have MRI accreditation with RANZCR</w:t>
      </w:r>
      <w:r w:rsidR="005E5A74">
        <w:t>.</w:t>
      </w:r>
    </w:p>
    <w:p w14:paraId="4E6F717B" w14:textId="77777777" w:rsidR="007252D5" w:rsidRPr="00A34E9C" w:rsidRDefault="007252D5" w:rsidP="000901A8">
      <w:pPr>
        <w:pStyle w:val="Heading2"/>
      </w:pPr>
      <w:bookmarkStart w:id="13" w:name="_Toc444781438"/>
      <w:r w:rsidRPr="00A34E9C">
        <w:lastRenderedPageBreak/>
        <w:t>Co-administered interventions</w:t>
      </w:r>
      <w:bookmarkEnd w:id="13"/>
    </w:p>
    <w:p w14:paraId="24614D5C" w14:textId="77777777" w:rsidR="0071068F" w:rsidRDefault="0071068F" w:rsidP="00723E0E">
      <w:pPr>
        <w:spacing w:after="0"/>
      </w:pPr>
      <w:proofErr w:type="spellStart"/>
      <w:r>
        <w:t>Multiparametric</w:t>
      </w:r>
      <w:proofErr w:type="spellEnd"/>
      <w:r>
        <w:t xml:space="preserve"> MRI (</w:t>
      </w:r>
      <w:proofErr w:type="spellStart"/>
      <w:r>
        <w:t>mpMRI</w:t>
      </w:r>
      <w:proofErr w:type="spellEnd"/>
      <w:r>
        <w:t>) scans of the prostate</w:t>
      </w:r>
      <w:r w:rsidR="00D62DF3">
        <w:t xml:space="preserve"> involve the following co-administered interventions: </w:t>
      </w:r>
    </w:p>
    <w:p w14:paraId="43E17573" w14:textId="77777777" w:rsidR="006560E2" w:rsidRDefault="006560E2" w:rsidP="000A1167">
      <w:pPr>
        <w:pStyle w:val="ListParagraph"/>
        <w:numPr>
          <w:ilvl w:val="0"/>
          <w:numId w:val="6"/>
        </w:numPr>
        <w:spacing w:after="0"/>
      </w:pPr>
      <w:proofErr w:type="spellStart"/>
      <w:r>
        <w:t>mp</w:t>
      </w:r>
      <w:proofErr w:type="spellEnd"/>
      <w:r>
        <w:t>-capable</w:t>
      </w:r>
      <w:r w:rsidR="00BF6045">
        <w:t xml:space="preserve"> MRI</w:t>
      </w:r>
      <w:r>
        <w:t xml:space="preserve"> machine </w:t>
      </w:r>
    </w:p>
    <w:p w14:paraId="3B638B01" w14:textId="77777777" w:rsidR="006560E2" w:rsidRDefault="001D7FDD" w:rsidP="000A1167">
      <w:pPr>
        <w:pStyle w:val="ListParagraph"/>
        <w:numPr>
          <w:ilvl w:val="0"/>
          <w:numId w:val="6"/>
        </w:numPr>
        <w:spacing w:after="0"/>
      </w:pPr>
      <w:r>
        <w:t>Gadolinium</w:t>
      </w:r>
      <w:r w:rsidR="006560E2">
        <w:t xml:space="preserve"> contrast agent (omitted in patients with renal insufficiency)</w:t>
      </w:r>
    </w:p>
    <w:p w14:paraId="74D8711D" w14:textId="77777777" w:rsidR="006560E2" w:rsidRDefault="006560E2" w:rsidP="000A1167">
      <w:pPr>
        <w:pStyle w:val="ListParagraph"/>
        <w:numPr>
          <w:ilvl w:val="0"/>
          <w:numId w:val="6"/>
        </w:numPr>
        <w:spacing w:after="0"/>
      </w:pPr>
      <w:r>
        <w:t xml:space="preserve">Injection of </w:t>
      </w:r>
      <w:proofErr w:type="spellStart"/>
      <w:r>
        <w:t>Buscopan</w:t>
      </w:r>
      <w:proofErr w:type="spellEnd"/>
      <w:r>
        <w:t xml:space="preserve"> (to limit bowel peristalsis) </w:t>
      </w:r>
    </w:p>
    <w:p w14:paraId="2E7857E1" w14:textId="77777777" w:rsidR="006560E2" w:rsidRDefault="006560E2" w:rsidP="000A1167">
      <w:pPr>
        <w:pStyle w:val="ListParagraph"/>
        <w:numPr>
          <w:ilvl w:val="0"/>
          <w:numId w:val="6"/>
        </w:numPr>
        <w:spacing w:after="0"/>
      </w:pPr>
      <w:r>
        <w:t>Oral medication (for patients with claustrophobia)</w:t>
      </w:r>
    </w:p>
    <w:p w14:paraId="59D00D68" w14:textId="77777777" w:rsidR="006560E2" w:rsidRDefault="006560E2" w:rsidP="000A1167">
      <w:pPr>
        <w:pStyle w:val="ListParagraph"/>
        <w:numPr>
          <w:ilvl w:val="0"/>
          <w:numId w:val="6"/>
        </w:numPr>
        <w:spacing w:after="0"/>
      </w:pPr>
      <w:r>
        <w:t>Pulse oximetry equipment (in patients who require sedation)</w:t>
      </w:r>
    </w:p>
    <w:p w14:paraId="1D9F313D" w14:textId="77777777" w:rsidR="006560E2" w:rsidRDefault="006560E2" w:rsidP="000A1167">
      <w:pPr>
        <w:pStyle w:val="ListParagraph"/>
        <w:numPr>
          <w:ilvl w:val="0"/>
          <w:numId w:val="6"/>
        </w:numPr>
        <w:spacing w:after="0"/>
      </w:pPr>
      <w:r>
        <w:t xml:space="preserve">Intravenous access disposables </w:t>
      </w:r>
    </w:p>
    <w:p w14:paraId="7F30BE8F" w14:textId="77777777" w:rsidR="00723E0E" w:rsidRDefault="00FA5895" w:rsidP="00723E0E">
      <w:pPr>
        <w:spacing w:after="0"/>
      </w:pPr>
      <w:r>
        <w:t xml:space="preserve">Of note, the </w:t>
      </w:r>
      <w:r w:rsidRPr="00FA5895">
        <w:t>2015 revision of PI-RADS requires T2WI, DWI and DCE unless contrast administration contraindicated</w:t>
      </w:r>
      <w:r>
        <w:t>.</w:t>
      </w:r>
    </w:p>
    <w:p w14:paraId="0C0B6625" w14:textId="77777777" w:rsidR="007252D5" w:rsidRDefault="007252D5" w:rsidP="000901A8">
      <w:pPr>
        <w:pStyle w:val="Heading1"/>
      </w:pPr>
      <w:bookmarkStart w:id="14" w:name="_Toc444781439"/>
      <w:r>
        <w:t>Background</w:t>
      </w:r>
      <w:bookmarkEnd w:id="14"/>
    </w:p>
    <w:p w14:paraId="2C5A4606" w14:textId="77777777" w:rsidR="007252D5" w:rsidRPr="00D5182D" w:rsidRDefault="007252D5" w:rsidP="000901A8">
      <w:pPr>
        <w:pStyle w:val="Heading2"/>
      </w:pPr>
      <w:bookmarkStart w:id="15" w:name="_Toc444781440"/>
      <w:r w:rsidRPr="00D5182D">
        <w:t>Current arrangements for public reimbursement</w:t>
      </w:r>
      <w:bookmarkEnd w:id="15"/>
    </w:p>
    <w:p w14:paraId="1E3D30F1" w14:textId="77777777" w:rsidR="00D0615F" w:rsidRDefault="00D0615F" w:rsidP="00D0615F">
      <w:bookmarkStart w:id="16" w:name="_Ref283049171"/>
      <w:r>
        <w:t xml:space="preserve">Current MBS item for </w:t>
      </w:r>
      <w:r w:rsidR="00035410">
        <w:t xml:space="preserve">ultrasound </w:t>
      </w:r>
      <w:r>
        <w:t xml:space="preserve">scans </w:t>
      </w:r>
      <w:r w:rsidR="0064190C">
        <w:t>of the prostate</w:t>
      </w:r>
      <w:r w:rsidR="007E0D8B">
        <w:t>, include</w:t>
      </w:r>
      <w:r w:rsidR="0064190C">
        <w:t>:</w:t>
      </w:r>
      <w:r w:rsidR="001B31BA">
        <w:t xml:space="preserve"> </w:t>
      </w:r>
    </w:p>
    <w:p w14:paraId="2C8B6272" w14:textId="77777777" w:rsidR="007252D5" w:rsidRPr="00A34E9C" w:rsidRDefault="007252D5" w:rsidP="008476B9">
      <w:pPr>
        <w:pStyle w:val="Caption"/>
      </w:pPr>
      <w:r w:rsidRPr="001B31BA">
        <w:t xml:space="preserve">Table </w:t>
      </w:r>
      <w:r w:rsidR="005009BC" w:rsidRPr="001B31BA">
        <w:fldChar w:fldCharType="begin"/>
      </w:r>
      <w:r w:rsidR="005009BC" w:rsidRPr="001B31BA">
        <w:instrText xml:space="preserve"> SEQ Table \* ARABIC </w:instrText>
      </w:r>
      <w:r w:rsidR="005009BC" w:rsidRPr="001B31BA">
        <w:fldChar w:fldCharType="separate"/>
      </w:r>
      <w:r w:rsidR="00B90E4F">
        <w:rPr>
          <w:noProof/>
        </w:rPr>
        <w:t>1</w:t>
      </w:r>
      <w:r w:rsidR="005009BC" w:rsidRPr="001B31BA">
        <w:rPr>
          <w:noProof/>
        </w:rPr>
        <w:fldChar w:fldCharType="end"/>
      </w:r>
      <w:bookmarkEnd w:id="16"/>
      <w:r w:rsidRPr="001B31BA">
        <w:t>:</w:t>
      </w:r>
      <w:r w:rsidRPr="001B31BA">
        <w:tab/>
        <w:t>Current MBS item descriptor</w:t>
      </w:r>
      <w:r w:rsidR="0021641E" w:rsidRPr="001B31BA">
        <w:t>s for scans of the prostate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Table 1: Current MBS item descriptors for scans of the prostate"/>
        <w:tblDescription w:val="Current MBS item descriptors for scans of the prostate"/>
      </w:tblPr>
      <w:tblGrid>
        <w:gridCol w:w="9134"/>
      </w:tblGrid>
      <w:tr w:rsidR="007252D5" w:rsidRPr="00A34E9C" w14:paraId="6412419B" w14:textId="77777777" w:rsidTr="009B59B7">
        <w:tc>
          <w:tcPr>
            <w:tcW w:w="9134" w:type="dxa"/>
          </w:tcPr>
          <w:p w14:paraId="7A4C8188" w14:textId="77777777" w:rsidR="007252D5" w:rsidRPr="00AE4AF6" w:rsidRDefault="0021641E" w:rsidP="00C4020D">
            <w:pPr>
              <w:keepNext/>
              <w:spacing w:after="120" w:line="240" w:lineRule="auto"/>
              <w:jc w:val="right"/>
              <w:rPr>
                <w:rFonts w:ascii="Arial Narrow" w:hAnsi="Arial Narrow"/>
                <w:lang w:eastAsia="ja-JP"/>
              </w:rPr>
            </w:pPr>
            <w:r>
              <w:rPr>
                <w:rFonts w:ascii="Arial Narrow" w:hAnsi="Arial Narrow"/>
                <w:lang w:eastAsia="ja-JP"/>
              </w:rPr>
              <w:t>Subgroup 4 - Urological</w:t>
            </w:r>
          </w:p>
        </w:tc>
      </w:tr>
      <w:tr w:rsidR="007252D5" w:rsidRPr="00A34E9C" w14:paraId="7CDE64C0" w14:textId="77777777" w:rsidTr="009B59B7">
        <w:tc>
          <w:tcPr>
            <w:tcW w:w="9134" w:type="dxa"/>
          </w:tcPr>
          <w:p w14:paraId="2B6BB33F" w14:textId="77777777" w:rsidR="0021641E" w:rsidRPr="0021641E" w:rsidRDefault="0021641E" w:rsidP="0021641E">
            <w:pPr>
              <w:autoSpaceDE w:val="0"/>
              <w:autoSpaceDN w:val="0"/>
              <w:adjustRightInd w:val="0"/>
              <w:spacing w:after="0" w:line="240" w:lineRule="auto"/>
              <w:jc w:val="left"/>
              <w:rPr>
                <w:rFonts w:ascii="Arial Narrow" w:eastAsia="Times New Roman+FPEF" w:hAnsi="Arial Narrow" w:cs="Times New Roman+FPEF"/>
                <w:b/>
                <w:lang w:eastAsia="en-US"/>
              </w:rPr>
            </w:pPr>
            <w:r w:rsidRPr="0021641E">
              <w:rPr>
                <w:rFonts w:ascii="Arial Narrow" w:eastAsia="Times New Roman+FPEF" w:hAnsi="Arial Narrow" w:cs="Times New Roman+FPEF"/>
                <w:b/>
                <w:lang w:eastAsia="en-US"/>
              </w:rPr>
              <w:t>MBS item 55600</w:t>
            </w:r>
          </w:p>
          <w:p w14:paraId="5DC84CDB" w14:textId="77777777" w:rsidR="0021641E" w:rsidRPr="0021641E" w:rsidRDefault="0021641E" w:rsidP="0021641E">
            <w:pPr>
              <w:autoSpaceDE w:val="0"/>
              <w:autoSpaceDN w:val="0"/>
              <w:adjustRightInd w:val="0"/>
              <w:spacing w:after="0" w:line="240" w:lineRule="auto"/>
              <w:jc w:val="left"/>
              <w:rPr>
                <w:rFonts w:ascii="Arial Narrow" w:eastAsia="Times New Roman+FPEF" w:hAnsi="Arial Narrow" w:cs="Times New Roman+FPEF"/>
                <w:lang w:eastAsia="en-US"/>
              </w:rPr>
            </w:pPr>
            <w:r w:rsidRPr="0021641E">
              <w:rPr>
                <w:rFonts w:ascii="Arial Narrow" w:eastAsia="Times New Roman+FPEF" w:hAnsi="Arial Narrow" w:cs="Times New Roman+FPEF"/>
                <w:lang w:eastAsia="en-US"/>
              </w:rPr>
              <w:t>Prost</w:t>
            </w:r>
            <w:r w:rsidR="00B228D4">
              <w:rPr>
                <w:rFonts w:ascii="Arial Narrow" w:eastAsia="Times New Roman+FPEF" w:hAnsi="Arial Narrow" w:cs="Times New Roman+FPEF"/>
                <w:lang w:eastAsia="en-US"/>
              </w:rPr>
              <w:t>ate, bladder base and urethra,</w:t>
            </w:r>
            <w:r w:rsidRPr="0021641E">
              <w:rPr>
                <w:rFonts w:ascii="Arial Narrow" w:eastAsia="Times New Roman+FPEF" w:hAnsi="Arial Narrow" w:cs="Times New Roman+FPEF"/>
                <w:lang w:eastAsia="en-US"/>
              </w:rPr>
              <w:t xml:space="preserve"> ultrasound scan of, if performed:</w:t>
            </w:r>
          </w:p>
          <w:p w14:paraId="683946A5" w14:textId="77777777" w:rsidR="0021641E" w:rsidRPr="0021641E" w:rsidRDefault="0021641E" w:rsidP="0021641E">
            <w:pPr>
              <w:autoSpaceDE w:val="0"/>
              <w:autoSpaceDN w:val="0"/>
              <w:adjustRightInd w:val="0"/>
              <w:spacing w:after="0" w:line="240" w:lineRule="auto"/>
              <w:jc w:val="left"/>
              <w:rPr>
                <w:rFonts w:ascii="Arial Narrow" w:eastAsia="Times New Roman+FPEF" w:hAnsi="Arial Narrow" w:cs="Times New Roman+FPEF"/>
                <w:lang w:eastAsia="en-US"/>
              </w:rPr>
            </w:pPr>
            <w:r w:rsidRPr="0021641E">
              <w:rPr>
                <w:rFonts w:ascii="Arial Narrow" w:eastAsia="Times New Roman+FPEF" w:hAnsi="Arial Narrow" w:cs="Times New Roman+FPEF"/>
                <w:lang w:eastAsia="en-US"/>
              </w:rPr>
              <w:t>(a) personally by a medical practitioner (not being the medical practitioner who assessed the patient as specified in paragraph (c))</w:t>
            </w:r>
            <w:r>
              <w:rPr>
                <w:rFonts w:ascii="Arial Narrow" w:eastAsia="Times New Roman+FPEF" w:hAnsi="Arial Narrow" w:cs="Times New Roman+FPEF"/>
                <w:lang w:eastAsia="en-US"/>
              </w:rPr>
              <w:t xml:space="preserve"> </w:t>
            </w:r>
            <w:r w:rsidRPr="0021641E">
              <w:rPr>
                <w:rFonts w:ascii="Arial Narrow" w:eastAsia="Times New Roman+FPEF" w:hAnsi="Arial Narrow" w:cs="Times New Roman+FPEF"/>
                <w:lang w:eastAsia="en-US"/>
              </w:rPr>
              <w:t>using one or more transducer probes that:</w:t>
            </w:r>
          </w:p>
          <w:p w14:paraId="78582704" w14:textId="77777777" w:rsidR="0021641E" w:rsidRPr="0021641E" w:rsidRDefault="0021641E" w:rsidP="0021641E">
            <w:pPr>
              <w:autoSpaceDE w:val="0"/>
              <w:autoSpaceDN w:val="0"/>
              <w:adjustRightInd w:val="0"/>
              <w:spacing w:after="0" w:line="240" w:lineRule="auto"/>
              <w:jc w:val="left"/>
              <w:rPr>
                <w:rFonts w:ascii="Arial Narrow" w:eastAsia="Times New Roman+FPEF" w:hAnsi="Arial Narrow" w:cs="Times New Roman+FPEF"/>
                <w:lang w:eastAsia="en-US"/>
              </w:rPr>
            </w:pPr>
            <w:r w:rsidRPr="0021641E">
              <w:rPr>
                <w:rFonts w:ascii="Arial Narrow" w:eastAsia="Times New Roman+FPEF" w:hAnsi="Arial Narrow" w:cs="Times New Roman+FPEF"/>
                <w:lang w:eastAsia="en-US"/>
              </w:rPr>
              <w:t>(</w:t>
            </w:r>
            <w:proofErr w:type="spellStart"/>
            <w:r w:rsidRPr="0021641E">
              <w:rPr>
                <w:rFonts w:ascii="Arial Narrow" w:eastAsia="Times New Roman+FPEF" w:hAnsi="Arial Narrow" w:cs="Times New Roman+FPEF"/>
                <w:lang w:eastAsia="en-US"/>
              </w:rPr>
              <w:t>i</w:t>
            </w:r>
            <w:proofErr w:type="spellEnd"/>
            <w:r w:rsidRPr="0021641E">
              <w:rPr>
                <w:rFonts w:ascii="Arial Narrow" w:eastAsia="Times New Roman+FPEF" w:hAnsi="Arial Narrow" w:cs="Times New Roman+FPEF"/>
                <w:lang w:eastAsia="en-US"/>
              </w:rPr>
              <w:t>) have a nominal frequency of 7 to 7.5 MHz or a nominal frequency range that includes frequencies of 7 to 7.5 MHz; and</w:t>
            </w:r>
          </w:p>
          <w:p w14:paraId="68DDC70D" w14:textId="77777777" w:rsidR="0021641E" w:rsidRPr="0021641E" w:rsidRDefault="0021641E" w:rsidP="0021641E">
            <w:pPr>
              <w:autoSpaceDE w:val="0"/>
              <w:autoSpaceDN w:val="0"/>
              <w:adjustRightInd w:val="0"/>
              <w:spacing w:after="0" w:line="240" w:lineRule="auto"/>
              <w:jc w:val="left"/>
              <w:rPr>
                <w:rFonts w:ascii="Arial Narrow" w:eastAsia="Times New Roman+FPEF" w:hAnsi="Arial Narrow" w:cs="Times New Roman+FPEF"/>
                <w:lang w:eastAsia="en-US"/>
              </w:rPr>
            </w:pPr>
            <w:r w:rsidRPr="0021641E">
              <w:rPr>
                <w:rFonts w:ascii="Arial Narrow" w:eastAsia="Times New Roman+FPEF" w:hAnsi="Arial Narrow" w:cs="Times New Roman+FPEF"/>
                <w:lang w:eastAsia="en-US"/>
              </w:rPr>
              <w:t>(ii) can obtain both axial and sagittal scans in 2 planes at right angles; and</w:t>
            </w:r>
          </w:p>
          <w:p w14:paraId="1F2A2EA4" w14:textId="77777777" w:rsidR="0021641E" w:rsidRPr="0021641E" w:rsidRDefault="0021641E" w:rsidP="0021641E">
            <w:pPr>
              <w:autoSpaceDE w:val="0"/>
              <w:autoSpaceDN w:val="0"/>
              <w:adjustRightInd w:val="0"/>
              <w:spacing w:after="0" w:line="240" w:lineRule="auto"/>
              <w:jc w:val="left"/>
              <w:rPr>
                <w:rFonts w:ascii="Arial Narrow" w:eastAsia="Times New Roman+FPEF" w:hAnsi="Arial Narrow" w:cs="Times New Roman+FPEF"/>
                <w:lang w:eastAsia="en-US"/>
              </w:rPr>
            </w:pPr>
            <w:r w:rsidRPr="0021641E">
              <w:rPr>
                <w:rFonts w:ascii="Arial Narrow" w:eastAsia="Times New Roman+FPEF" w:hAnsi="Arial Narrow" w:cs="Times New Roman+FPEF"/>
                <w:lang w:eastAsia="en-US"/>
              </w:rPr>
              <w:t>(b) after a digital rectal examination of the prostate by that medical practitioner; and</w:t>
            </w:r>
          </w:p>
          <w:p w14:paraId="304C1927" w14:textId="77777777" w:rsidR="0021641E" w:rsidRPr="0021641E" w:rsidRDefault="0021641E" w:rsidP="0021641E">
            <w:pPr>
              <w:autoSpaceDE w:val="0"/>
              <w:autoSpaceDN w:val="0"/>
              <w:adjustRightInd w:val="0"/>
              <w:spacing w:after="0" w:line="240" w:lineRule="auto"/>
              <w:jc w:val="left"/>
              <w:rPr>
                <w:rFonts w:ascii="Arial Narrow" w:eastAsia="Times New Roman+FPEF" w:hAnsi="Arial Narrow" w:cs="Times New Roman+FPEF"/>
                <w:lang w:eastAsia="en-US"/>
              </w:rPr>
            </w:pPr>
            <w:r w:rsidRPr="0021641E">
              <w:rPr>
                <w:rFonts w:ascii="Arial Narrow" w:eastAsia="Times New Roman+FPEF" w:hAnsi="Arial Narrow" w:cs="Times New Roman+FPEF"/>
                <w:lang w:eastAsia="en-US"/>
              </w:rPr>
              <w:t>(c) on a patient who has been assessed by a specialist in urology, radiation oncology or medical oncology, a consultant physician</w:t>
            </w:r>
            <w:r>
              <w:rPr>
                <w:rFonts w:ascii="Arial Narrow" w:eastAsia="Times New Roman+FPEF" w:hAnsi="Arial Narrow" w:cs="Times New Roman+FPEF"/>
                <w:lang w:eastAsia="en-US"/>
              </w:rPr>
              <w:t xml:space="preserve"> </w:t>
            </w:r>
            <w:r w:rsidRPr="0021641E">
              <w:rPr>
                <w:rFonts w:ascii="Arial Narrow" w:eastAsia="Times New Roman+FPEF" w:hAnsi="Arial Narrow" w:cs="Times New Roman+FPEF"/>
                <w:lang w:eastAsia="en-US"/>
              </w:rPr>
              <w:t>in medical oncology, who has:</w:t>
            </w:r>
          </w:p>
          <w:p w14:paraId="726DC342" w14:textId="77777777" w:rsidR="0021641E" w:rsidRPr="0021641E" w:rsidRDefault="0021641E" w:rsidP="0021641E">
            <w:pPr>
              <w:autoSpaceDE w:val="0"/>
              <w:autoSpaceDN w:val="0"/>
              <w:adjustRightInd w:val="0"/>
              <w:spacing w:after="0" w:line="240" w:lineRule="auto"/>
              <w:jc w:val="left"/>
              <w:rPr>
                <w:rFonts w:ascii="Arial Narrow" w:eastAsia="Times New Roman+FPEF" w:hAnsi="Arial Narrow" w:cs="Times New Roman+FPEF"/>
                <w:lang w:eastAsia="en-US"/>
              </w:rPr>
            </w:pPr>
            <w:r w:rsidRPr="0021641E">
              <w:rPr>
                <w:rFonts w:ascii="Arial Narrow" w:eastAsia="Times New Roman+FPEF" w:hAnsi="Arial Narrow" w:cs="Times New Roman+FPEF"/>
                <w:lang w:eastAsia="en-US"/>
              </w:rPr>
              <w:t>(</w:t>
            </w:r>
            <w:proofErr w:type="spellStart"/>
            <w:r w:rsidRPr="0021641E">
              <w:rPr>
                <w:rFonts w:ascii="Arial Narrow" w:eastAsia="Times New Roman+FPEF" w:hAnsi="Arial Narrow" w:cs="Times New Roman+FPEF"/>
                <w:lang w:eastAsia="en-US"/>
              </w:rPr>
              <w:t>i</w:t>
            </w:r>
            <w:proofErr w:type="spellEnd"/>
            <w:r w:rsidRPr="0021641E">
              <w:rPr>
                <w:rFonts w:ascii="Arial Narrow" w:eastAsia="Times New Roman+FPEF" w:hAnsi="Arial Narrow" w:cs="Times New Roman+FPEF"/>
                <w:lang w:eastAsia="en-US"/>
              </w:rPr>
              <w:t>) examined the patient in the 60 days before the scan; and</w:t>
            </w:r>
          </w:p>
          <w:p w14:paraId="77E8AFDD" w14:textId="77777777" w:rsidR="0021641E" w:rsidRPr="0021641E" w:rsidRDefault="0021641E" w:rsidP="0021641E">
            <w:pPr>
              <w:autoSpaceDE w:val="0"/>
              <w:autoSpaceDN w:val="0"/>
              <w:adjustRightInd w:val="0"/>
              <w:spacing w:after="0" w:line="240" w:lineRule="auto"/>
              <w:jc w:val="left"/>
              <w:rPr>
                <w:rFonts w:ascii="Arial Narrow" w:eastAsia="Times New Roman+FPEF" w:hAnsi="Arial Narrow" w:cs="Times New Roman+FPEF"/>
                <w:lang w:eastAsia="en-US"/>
              </w:rPr>
            </w:pPr>
            <w:r w:rsidRPr="0021641E">
              <w:rPr>
                <w:rFonts w:ascii="Arial Narrow" w:eastAsia="Times New Roman+FPEF" w:hAnsi="Arial Narrow" w:cs="Times New Roman+FPEF"/>
                <w:lang w:eastAsia="en-US"/>
              </w:rPr>
              <w:t>(ii) recommended the scan for the management of the patient’s current prostatic disease (R) (K)</w:t>
            </w:r>
          </w:p>
          <w:p w14:paraId="34AF98E9" w14:textId="77777777" w:rsidR="0021641E" w:rsidRPr="0021641E" w:rsidRDefault="0021641E" w:rsidP="0021641E">
            <w:pPr>
              <w:autoSpaceDE w:val="0"/>
              <w:autoSpaceDN w:val="0"/>
              <w:adjustRightInd w:val="0"/>
              <w:spacing w:after="0" w:line="240" w:lineRule="auto"/>
              <w:jc w:val="left"/>
              <w:rPr>
                <w:rFonts w:ascii="Arial Narrow" w:eastAsia="Times New Roman+FPEF" w:hAnsi="Arial Narrow" w:cs="Times New Roman Italic+FPEF"/>
                <w:i/>
                <w:iCs/>
                <w:lang w:eastAsia="en-US"/>
              </w:rPr>
            </w:pPr>
            <w:r w:rsidRPr="0021641E">
              <w:rPr>
                <w:rFonts w:ascii="Arial Narrow" w:eastAsia="Times New Roman+FPEF" w:hAnsi="Arial Narrow" w:cs="Times New Roman Italic+FPEF"/>
                <w:i/>
                <w:iCs/>
                <w:lang w:eastAsia="en-US"/>
              </w:rPr>
              <w:t>(See para DIQ of explanatory notes to this Category)</w:t>
            </w:r>
          </w:p>
          <w:p w14:paraId="4F8A0493" w14:textId="77777777" w:rsidR="007252D5" w:rsidRPr="0021641E" w:rsidRDefault="0021641E" w:rsidP="0021641E">
            <w:pPr>
              <w:keepNext/>
              <w:spacing w:after="120" w:line="240" w:lineRule="auto"/>
              <w:rPr>
                <w:rFonts w:ascii="Arial Narrow" w:hAnsi="Arial Narrow"/>
                <w:lang w:val="en-US" w:eastAsia="ja-JP"/>
              </w:rPr>
            </w:pPr>
            <w:r w:rsidRPr="0021641E">
              <w:rPr>
                <w:rFonts w:ascii="Arial Narrow" w:eastAsia="Times New Roman+FPEF" w:hAnsi="Arial Narrow" w:cs="Times New Roman Bold+FPEF"/>
                <w:b/>
                <w:bCs/>
                <w:lang w:eastAsia="en-US"/>
              </w:rPr>
              <w:t xml:space="preserve">Fee: </w:t>
            </w:r>
            <w:r w:rsidRPr="0021641E">
              <w:rPr>
                <w:rFonts w:ascii="Arial Narrow" w:eastAsia="Times New Roman+FPEF" w:hAnsi="Arial Narrow" w:cs="Times New Roman+FPEF"/>
                <w:lang w:eastAsia="en-US"/>
              </w:rPr>
              <w:t xml:space="preserve">$109.10 </w:t>
            </w:r>
            <w:r w:rsidRPr="0021641E">
              <w:rPr>
                <w:rFonts w:ascii="Arial Narrow" w:eastAsia="Times New Roman+FPEF" w:hAnsi="Arial Narrow" w:cs="Times New Roman Bold+FPEF"/>
                <w:b/>
                <w:bCs/>
                <w:lang w:eastAsia="en-US"/>
              </w:rPr>
              <w:t xml:space="preserve">Benefit: </w:t>
            </w:r>
            <w:r w:rsidRPr="0021641E">
              <w:rPr>
                <w:rFonts w:ascii="Arial Narrow" w:eastAsia="Times New Roman+FPEF" w:hAnsi="Arial Narrow" w:cs="Times New Roman+FPEF"/>
                <w:lang w:eastAsia="en-US"/>
              </w:rPr>
              <w:t>75% = $81.85 85% = $92.75</w:t>
            </w:r>
          </w:p>
        </w:tc>
      </w:tr>
      <w:tr w:rsidR="0021641E" w:rsidRPr="00A34E9C" w14:paraId="3B040920" w14:textId="77777777" w:rsidTr="009B59B7">
        <w:tc>
          <w:tcPr>
            <w:tcW w:w="9134" w:type="dxa"/>
          </w:tcPr>
          <w:p w14:paraId="7ACC026C" w14:textId="77777777" w:rsidR="0021641E" w:rsidRPr="0021641E" w:rsidRDefault="0021641E" w:rsidP="0021641E">
            <w:pPr>
              <w:autoSpaceDE w:val="0"/>
              <w:autoSpaceDN w:val="0"/>
              <w:adjustRightInd w:val="0"/>
              <w:spacing w:after="0" w:line="240" w:lineRule="auto"/>
              <w:jc w:val="left"/>
              <w:rPr>
                <w:rFonts w:ascii="Arial Narrow" w:eastAsia="Times New Roman+FPEF" w:hAnsi="Arial Narrow" w:cs="Times New Roman+FPEF"/>
                <w:b/>
                <w:lang w:eastAsia="en-US"/>
              </w:rPr>
            </w:pPr>
            <w:r w:rsidRPr="0021641E">
              <w:rPr>
                <w:rFonts w:ascii="Arial Narrow" w:eastAsia="Times New Roman+FPEF" w:hAnsi="Arial Narrow" w:cs="Times New Roman+FPEF"/>
                <w:b/>
                <w:lang w:eastAsia="en-US"/>
              </w:rPr>
              <w:t xml:space="preserve">MBS item 55601 </w:t>
            </w:r>
          </w:p>
          <w:p w14:paraId="7F85DFFE" w14:textId="77777777" w:rsidR="0021641E" w:rsidRPr="0021641E" w:rsidRDefault="0021641E" w:rsidP="0021641E">
            <w:pPr>
              <w:autoSpaceDE w:val="0"/>
              <w:autoSpaceDN w:val="0"/>
              <w:adjustRightInd w:val="0"/>
              <w:spacing w:after="0" w:line="240" w:lineRule="auto"/>
              <w:jc w:val="left"/>
              <w:rPr>
                <w:rFonts w:ascii="Arial Narrow" w:eastAsia="Times New Roman+FPEF" w:hAnsi="Arial Narrow" w:cs="Times New Roman+FPEF"/>
                <w:lang w:eastAsia="en-US"/>
              </w:rPr>
            </w:pPr>
            <w:r w:rsidRPr="0021641E">
              <w:rPr>
                <w:rFonts w:ascii="Arial Narrow" w:eastAsia="Times New Roman+FPEF" w:hAnsi="Arial Narrow" w:cs="Times New Roman+FPEF"/>
                <w:lang w:eastAsia="en-US"/>
              </w:rPr>
              <w:t>PROSTATE, bladder base and urethra, ultrasound scan of, where performed:</w:t>
            </w:r>
          </w:p>
          <w:p w14:paraId="4DEF0FBB" w14:textId="77777777" w:rsidR="0021641E" w:rsidRPr="0021641E" w:rsidRDefault="0021641E" w:rsidP="0021641E">
            <w:pPr>
              <w:autoSpaceDE w:val="0"/>
              <w:autoSpaceDN w:val="0"/>
              <w:adjustRightInd w:val="0"/>
              <w:spacing w:after="0" w:line="240" w:lineRule="auto"/>
              <w:jc w:val="left"/>
              <w:rPr>
                <w:rFonts w:ascii="Arial Narrow" w:eastAsia="Times New Roman+FPEF" w:hAnsi="Arial Narrow" w:cs="Times New Roman+FPEF"/>
                <w:lang w:eastAsia="en-US"/>
              </w:rPr>
            </w:pPr>
            <w:r w:rsidRPr="0021641E">
              <w:rPr>
                <w:rFonts w:ascii="Arial Narrow" w:eastAsia="Times New Roman+FPEF" w:hAnsi="Arial Narrow" w:cs="Times New Roman+FPEF"/>
                <w:lang w:eastAsia="en-US"/>
              </w:rPr>
              <w:t>(a) personally by a medical practitioner (not being the medical practitioner who assessed the patient as specified in (c)) using a</w:t>
            </w:r>
            <w:r>
              <w:rPr>
                <w:rFonts w:ascii="Arial Narrow" w:eastAsia="Times New Roman+FPEF" w:hAnsi="Arial Narrow" w:cs="Times New Roman+FPEF"/>
                <w:lang w:eastAsia="en-US"/>
              </w:rPr>
              <w:t xml:space="preserve"> </w:t>
            </w:r>
            <w:r w:rsidRPr="0021641E">
              <w:rPr>
                <w:rFonts w:ascii="Arial Narrow" w:eastAsia="Times New Roman+FPEF" w:hAnsi="Arial Narrow" w:cs="Times New Roman+FPEF"/>
                <w:lang w:eastAsia="en-US"/>
              </w:rPr>
              <w:t>transducer probe or probes that:</w:t>
            </w:r>
          </w:p>
          <w:p w14:paraId="673B4788" w14:textId="77777777" w:rsidR="0021641E" w:rsidRPr="0021641E" w:rsidRDefault="0021641E" w:rsidP="0021641E">
            <w:pPr>
              <w:autoSpaceDE w:val="0"/>
              <w:autoSpaceDN w:val="0"/>
              <w:adjustRightInd w:val="0"/>
              <w:spacing w:after="0" w:line="240" w:lineRule="auto"/>
              <w:jc w:val="left"/>
              <w:rPr>
                <w:rFonts w:ascii="Arial Narrow" w:eastAsia="Times New Roman+FPEF" w:hAnsi="Arial Narrow" w:cs="Times New Roman+FPEF"/>
                <w:lang w:eastAsia="en-US"/>
              </w:rPr>
            </w:pPr>
            <w:r w:rsidRPr="0021641E">
              <w:rPr>
                <w:rFonts w:ascii="Arial Narrow" w:eastAsia="Times New Roman+FPEF" w:hAnsi="Arial Narrow" w:cs="Times New Roman+FPEF"/>
                <w:lang w:eastAsia="en-US"/>
              </w:rPr>
              <w:t>(</w:t>
            </w:r>
            <w:proofErr w:type="spellStart"/>
            <w:r w:rsidRPr="0021641E">
              <w:rPr>
                <w:rFonts w:ascii="Arial Narrow" w:eastAsia="Times New Roman+FPEF" w:hAnsi="Arial Narrow" w:cs="Times New Roman+FPEF"/>
                <w:lang w:eastAsia="en-US"/>
              </w:rPr>
              <w:t>i</w:t>
            </w:r>
            <w:proofErr w:type="spellEnd"/>
            <w:r w:rsidRPr="0021641E">
              <w:rPr>
                <w:rFonts w:ascii="Arial Narrow" w:eastAsia="Times New Roman+FPEF" w:hAnsi="Arial Narrow" w:cs="Times New Roman+FPEF"/>
                <w:lang w:eastAsia="en-US"/>
              </w:rPr>
              <w:t>) have a nominal frequency of 7 to 7.5 megahertz or a nominal frequency range which includes frequencies of 7 to 7.5</w:t>
            </w:r>
          </w:p>
          <w:p w14:paraId="68341B00" w14:textId="77777777" w:rsidR="0021641E" w:rsidRPr="0021641E" w:rsidRDefault="0021641E" w:rsidP="0021641E">
            <w:pPr>
              <w:autoSpaceDE w:val="0"/>
              <w:autoSpaceDN w:val="0"/>
              <w:adjustRightInd w:val="0"/>
              <w:spacing w:after="0" w:line="240" w:lineRule="auto"/>
              <w:jc w:val="left"/>
              <w:rPr>
                <w:rFonts w:ascii="Arial Narrow" w:eastAsia="Times New Roman+FPEF" w:hAnsi="Arial Narrow" w:cs="Times New Roman+FPEF"/>
                <w:lang w:eastAsia="en-US"/>
              </w:rPr>
            </w:pPr>
            <w:r w:rsidRPr="0021641E">
              <w:rPr>
                <w:rFonts w:ascii="Arial Narrow" w:eastAsia="Times New Roman+FPEF" w:hAnsi="Arial Narrow" w:cs="Times New Roman+FPEF"/>
                <w:lang w:eastAsia="en-US"/>
              </w:rPr>
              <w:t>megahertz; and</w:t>
            </w:r>
          </w:p>
          <w:p w14:paraId="31FCACBD" w14:textId="77777777" w:rsidR="0021641E" w:rsidRPr="0021641E" w:rsidRDefault="0021641E" w:rsidP="0021641E">
            <w:pPr>
              <w:autoSpaceDE w:val="0"/>
              <w:autoSpaceDN w:val="0"/>
              <w:adjustRightInd w:val="0"/>
              <w:spacing w:after="0" w:line="240" w:lineRule="auto"/>
              <w:jc w:val="left"/>
              <w:rPr>
                <w:rFonts w:ascii="Arial Narrow" w:eastAsia="Times New Roman+FPEF" w:hAnsi="Arial Narrow" w:cs="Times New Roman+FPEF"/>
                <w:lang w:eastAsia="en-US"/>
              </w:rPr>
            </w:pPr>
            <w:r w:rsidRPr="0021641E">
              <w:rPr>
                <w:rFonts w:ascii="Arial Narrow" w:eastAsia="Times New Roman+FPEF" w:hAnsi="Arial Narrow" w:cs="Times New Roman+FPEF"/>
                <w:lang w:eastAsia="en-US"/>
              </w:rPr>
              <w:t>(ii) can obtain both axial and sagittal scans in 2 planes at right angles; and</w:t>
            </w:r>
          </w:p>
          <w:p w14:paraId="457B8B0D" w14:textId="77777777" w:rsidR="0021641E" w:rsidRPr="0021641E" w:rsidRDefault="0021641E" w:rsidP="0021641E">
            <w:pPr>
              <w:autoSpaceDE w:val="0"/>
              <w:autoSpaceDN w:val="0"/>
              <w:adjustRightInd w:val="0"/>
              <w:spacing w:after="0" w:line="240" w:lineRule="auto"/>
              <w:jc w:val="left"/>
              <w:rPr>
                <w:rFonts w:ascii="Arial Narrow" w:eastAsia="Times New Roman+FPEF" w:hAnsi="Arial Narrow" w:cs="Times New Roman+FPEF"/>
                <w:lang w:eastAsia="en-US"/>
              </w:rPr>
            </w:pPr>
            <w:r w:rsidRPr="0021641E">
              <w:rPr>
                <w:rFonts w:ascii="Arial Narrow" w:eastAsia="Times New Roman+FPEF" w:hAnsi="Arial Narrow" w:cs="Times New Roman+FPEF"/>
                <w:lang w:eastAsia="en-US"/>
              </w:rPr>
              <w:t>(b) following a digital rectal examination of the prostate by that medical practitioner; and</w:t>
            </w:r>
          </w:p>
          <w:p w14:paraId="2F925B00" w14:textId="77777777" w:rsidR="0021641E" w:rsidRPr="0021641E" w:rsidRDefault="0021641E" w:rsidP="0021641E">
            <w:pPr>
              <w:autoSpaceDE w:val="0"/>
              <w:autoSpaceDN w:val="0"/>
              <w:adjustRightInd w:val="0"/>
              <w:spacing w:after="0" w:line="240" w:lineRule="auto"/>
              <w:jc w:val="left"/>
              <w:rPr>
                <w:rFonts w:ascii="Arial Narrow" w:eastAsia="Times New Roman+FPEF" w:hAnsi="Arial Narrow" w:cs="Times New Roman+FPEF"/>
                <w:lang w:eastAsia="en-US"/>
              </w:rPr>
            </w:pPr>
            <w:r w:rsidRPr="0021641E">
              <w:rPr>
                <w:rFonts w:ascii="Arial Narrow" w:eastAsia="Times New Roman+FPEF" w:hAnsi="Arial Narrow" w:cs="Times New Roman+FPEF"/>
                <w:lang w:eastAsia="en-US"/>
              </w:rPr>
              <w:t>(c) on a patient who has been assessed by a specialist in urology, radiation oncology or medical oncology or a consultant</w:t>
            </w:r>
          </w:p>
          <w:p w14:paraId="1CB9CA58" w14:textId="77777777" w:rsidR="0021641E" w:rsidRPr="0021641E" w:rsidRDefault="0021641E" w:rsidP="0021641E">
            <w:pPr>
              <w:autoSpaceDE w:val="0"/>
              <w:autoSpaceDN w:val="0"/>
              <w:adjustRightInd w:val="0"/>
              <w:spacing w:after="0" w:line="240" w:lineRule="auto"/>
              <w:jc w:val="left"/>
              <w:rPr>
                <w:rFonts w:ascii="Arial Narrow" w:eastAsia="Times New Roman+FPEF" w:hAnsi="Arial Narrow" w:cs="Times New Roman+FPEF"/>
                <w:lang w:eastAsia="en-US"/>
              </w:rPr>
            </w:pPr>
            <w:r w:rsidRPr="0021641E">
              <w:rPr>
                <w:rFonts w:ascii="Arial Narrow" w:eastAsia="Times New Roman+FPEF" w:hAnsi="Arial Narrow" w:cs="Times New Roman+FPEF"/>
                <w:lang w:eastAsia="en-US"/>
              </w:rPr>
              <w:t>physician in medical oncology who has:</w:t>
            </w:r>
          </w:p>
          <w:p w14:paraId="1E94666A" w14:textId="77777777" w:rsidR="0021641E" w:rsidRPr="0021641E" w:rsidRDefault="0021641E" w:rsidP="0021641E">
            <w:pPr>
              <w:autoSpaceDE w:val="0"/>
              <w:autoSpaceDN w:val="0"/>
              <w:adjustRightInd w:val="0"/>
              <w:spacing w:after="0" w:line="240" w:lineRule="auto"/>
              <w:jc w:val="left"/>
              <w:rPr>
                <w:rFonts w:ascii="Arial Narrow" w:eastAsia="Times New Roman+FPEF" w:hAnsi="Arial Narrow" w:cs="Times New Roman+FPEF"/>
                <w:lang w:eastAsia="en-US"/>
              </w:rPr>
            </w:pPr>
            <w:r w:rsidRPr="0021641E">
              <w:rPr>
                <w:rFonts w:ascii="Arial Narrow" w:eastAsia="Times New Roman+FPEF" w:hAnsi="Arial Narrow" w:cs="Times New Roman+FPEF"/>
                <w:lang w:eastAsia="en-US"/>
              </w:rPr>
              <w:t>(</w:t>
            </w:r>
            <w:proofErr w:type="spellStart"/>
            <w:r w:rsidRPr="0021641E">
              <w:rPr>
                <w:rFonts w:ascii="Arial Narrow" w:eastAsia="Times New Roman+FPEF" w:hAnsi="Arial Narrow" w:cs="Times New Roman+FPEF"/>
                <w:lang w:eastAsia="en-US"/>
              </w:rPr>
              <w:t>i</w:t>
            </w:r>
            <w:proofErr w:type="spellEnd"/>
            <w:r w:rsidRPr="0021641E">
              <w:rPr>
                <w:rFonts w:ascii="Arial Narrow" w:eastAsia="Times New Roman+FPEF" w:hAnsi="Arial Narrow" w:cs="Times New Roman+FPEF"/>
                <w:lang w:eastAsia="en-US"/>
              </w:rPr>
              <w:t>) examined the patient in the 60 days prior to the scan; and</w:t>
            </w:r>
          </w:p>
          <w:p w14:paraId="3E29BF2F" w14:textId="77777777" w:rsidR="0021641E" w:rsidRPr="0021641E" w:rsidRDefault="0021641E" w:rsidP="0021641E">
            <w:pPr>
              <w:autoSpaceDE w:val="0"/>
              <w:autoSpaceDN w:val="0"/>
              <w:adjustRightInd w:val="0"/>
              <w:spacing w:after="0" w:line="240" w:lineRule="auto"/>
              <w:jc w:val="left"/>
              <w:rPr>
                <w:rFonts w:ascii="Arial Narrow" w:eastAsia="Times New Roman+FPEF" w:hAnsi="Arial Narrow" w:cs="Times New Roman+FPEF"/>
                <w:lang w:eastAsia="en-US"/>
              </w:rPr>
            </w:pPr>
            <w:r w:rsidRPr="0021641E">
              <w:rPr>
                <w:rFonts w:ascii="Arial Narrow" w:eastAsia="Times New Roman+FPEF" w:hAnsi="Arial Narrow" w:cs="Times New Roman+FPEF"/>
                <w:lang w:eastAsia="en-US"/>
              </w:rPr>
              <w:t>(ii) recommended the scan for the management of the patient's current prostatic disease (R) (NK)</w:t>
            </w:r>
          </w:p>
          <w:p w14:paraId="62983D46" w14:textId="77777777" w:rsidR="0021641E" w:rsidRPr="0021641E" w:rsidRDefault="0021641E" w:rsidP="0021641E">
            <w:pPr>
              <w:autoSpaceDE w:val="0"/>
              <w:autoSpaceDN w:val="0"/>
              <w:adjustRightInd w:val="0"/>
              <w:spacing w:after="0" w:line="240" w:lineRule="auto"/>
              <w:jc w:val="left"/>
              <w:rPr>
                <w:rFonts w:ascii="Arial Narrow" w:eastAsia="Times New Roman+FPEF" w:hAnsi="Arial Narrow" w:cs="Times New Roman Italic+FPEF"/>
                <w:i/>
                <w:iCs/>
                <w:lang w:eastAsia="en-US"/>
              </w:rPr>
            </w:pPr>
            <w:r w:rsidRPr="0021641E">
              <w:rPr>
                <w:rFonts w:ascii="Arial Narrow" w:eastAsia="Times New Roman+FPEF" w:hAnsi="Arial Narrow" w:cs="Times New Roman Italic+FPEF"/>
                <w:i/>
                <w:iCs/>
                <w:lang w:eastAsia="en-US"/>
              </w:rPr>
              <w:t>(See para DIQ of explanatory notes to this Category)</w:t>
            </w:r>
          </w:p>
          <w:p w14:paraId="0573800C" w14:textId="77777777" w:rsidR="0021641E" w:rsidRPr="0021641E" w:rsidRDefault="0021641E" w:rsidP="0021641E">
            <w:pPr>
              <w:autoSpaceDE w:val="0"/>
              <w:autoSpaceDN w:val="0"/>
              <w:adjustRightInd w:val="0"/>
              <w:spacing w:after="0" w:line="240" w:lineRule="auto"/>
              <w:jc w:val="left"/>
              <w:rPr>
                <w:rFonts w:ascii="Arial Narrow" w:eastAsia="Times New Roman+FPEF" w:hAnsi="Arial Narrow" w:cs="Times New Roman+FPEF"/>
                <w:lang w:eastAsia="en-US"/>
              </w:rPr>
            </w:pPr>
            <w:r w:rsidRPr="0021641E">
              <w:rPr>
                <w:rFonts w:ascii="Arial Narrow" w:eastAsia="Times New Roman+FPEF" w:hAnsi="Arial Narrow" w:cs="Times New Roman Bold+FPEF"/>
                <w:b/>
                <w:bCs/>
                <w:lang w:eastAsia="en-US"/>
              </w:rPr>
              <w:t xml:space="preserve">Fee: </w:t>
            </w:r>
            <w:r w:rsidRPr="0021641E">
              <w:rPr>
                <w:rFonts w:ascii="Arial Narrow" w:eastAsia="Times New Roman+FPEF" w:hAnsi="Arial Narrow" w:cs="Times New Roman+FPEF"/>
                <w:lang w:eastAsia="en-US"/>
              </w:rPr>
              <w:t xml:space="preserve">$54.55 </w:t>
            </w:r>
            <w:r w:rsidRPr="0021641E">
              <w:rPr>
                <w:rFonts w:ascii="Arial Narrow" w:eastAsia="Times New Roman+FPEF" w:hAnsi="Arial Narrow" w:cs="Times New Roman Bold+FPEF"/>
                <w:b/>
                <w:bCs/>
                <w:lang w:eastAsia="en-US"/>
              </w:rPr>
              <w:t xml:space="preserve">Benefit: </w:t>
            </w:r>
            <w:r w:rsidRPr="0021641E">
              <w:rPr>
                <w:rFonts w:ascii="Arial Narrow" w:eastAsia="Times New Roman+FPEF" w:hAnsi="Arial Narrow" w:cs="Times New Roman+FPEF"/>
                <w:lang w:eastAsia="en-US"/>
              </w:rPr>
              <w:t>75% = $40.95 85% = $46.40</w:t>
            </w:r>
          </w:p>
        </w:tc>
      </w:tr>
      <w:tr w:rsidR="00FD5CE2" w:rsidRPr="0021641E" w14:paraId="38D511D3" w14:textId="77777777" w:rsidTr="00816533">
        <w:tc>
          <w:tcPr>
            <w:tcW w:w="9134" w:type="dxa"/>
          </w:tcPr>
          <w:p w14:paraId="24DEF661" w14:textId="77777777" w:rsidR="00FD5CE2" w:rsidRPr="0021641E" w:rsidRDefault="00FD5CE2" w:rsidP="00816533">
            <w:pPr>
              <w:autoSpaceDE w:val="0"/>
              <w:autoSpaceDN w:val="0"/>
              <w:adjustRightInd w:val="0"/>
              <w:spacing w:after="0" w:line="240" w:lineRule="auto"/>
              <w:jc w:val="left"/>
              <w:rPr>
                <w:rFonts w:ascii="Arial Narrow" w:eastAsia="Times New Roman+FPEF" w:hAnsi="Arial Narrow" w:cs="Times New Roman+FPEF"/>
                <w:b/>
                <w:lang w:eastAsia="en-US"/>
              </w:rPr>
            </w:pPr>
            <w:r w:rsidRPr="0021641E">
              <w:rPr>
                <w:rFonts w:ascii="Arial Narrow" w:eastAsia="Times New Roman+FPEF" w:hAnsi="Arial Narrow" w:cs="Times New Roman+FPEF"/>
                <w:b/>
                <w:lang w:eastAsia="en-US"/>
              </w:rPr>
              <w:t>MBS item 55603</w:t>
            </w:r>
          </w:p>
          <w:p w14:paraId="189EB458" w14:textId="77777777" w:rsidR="00FD5CE2" w:rsidRPr="0021641E" w:rsidRDefault="00FD5CE2" w:rsidP="00816533">
            <w:pPr>
              <w:autoSpaceDE w:val="0"/>
              <w:autoSpaceDN w:val="0"/>
              <w:adjustRightInd w:val="0"/>
              <w:spacing w:after="0" w:line="240" w:lineRule="auto"/>
              <w:jc w:val="left"/>
              <w:rPr>
                <w:rFonts w:ascii="Arial Narrow" w:eastAsia="Times New Roman+FPEF" w:hAnsi="Arial Narrow" w:cs="Times New Roman+FPEF"/>
                <w:lang w:eastAsia="en-US"/>
              </w:rPr>
            </w:pPr>
            <w:r w:rsidRPr="0021641E">
              <w:rPr>
                <w:rFonts w:ascii="Arial Narrow" w:eastAsia="Times New Roman+FPEF" w:hAnsi="Arial Narrow" w:cs="Times New Roman+FPEF"/>
                <w:lang w:eastAsia="en-US"/>
              </w:rPr>
              <w:t>PROSTATE, bladder base and urethra, ultrasound scan of, where performed:</w:t>
            </w:r>
          </w:p>
          <w:p w14:paraId="1B7943ED" w14:textId="77777777" w:rsidR="00FD5CE2" w:rsidRPr="0021641E" w:rsidRDefault="00FD5CE2" w:rsidP="00816533">
            <w:pPr>
              <w:autoSpaceDE w:val="0"/>
              <w:autoSpaceDN w:val="0"/>
              <w:adjustRightInd w:val="0"/>
              <w:spacing w:after="0" w:line="240" w:lineRule="auto"/>
              <w:jc w:val="left"/>
              <w:rPr>
                <w:rFonts w:ascii="Arial Narrow" w:eastAsia="Times New Roman+FPEF" w:hAnsi="Arial Narrow" w:cs="Times New Roman+FPEF"/>
                <w:lang w:eastAsia="en-US"/>
              </w:rPr>
            </w:pPr>
            <w:r w:rsidRPr="0021641E">
              <w:rPr>
                <w:rFonts w:ascii="Arial Narrow" w:eastAsia="Times New Roman+FPEF" w:hAnsi="Arial Narrow" w:cs="Times New Roman+FPEF"/>
                <w:lang w:eastAsia="en-US"/>
              </w:rPr>
              <w:t>(a) personally by a medical practitioner who undertook the assessment referred to in (c) using a transducer probe or probes</w:t>
            </w:r>
            <w:r>
              <w:rPr>
                <w:rFonts w:ascii="Arial Narrow" w:eastAsia="Times New Roman+FPEF" w:hAnsi="Arial Narrow" w:cs="Times New Roman+FPEF"/>
                <w:lang w:eastAsia="en-US"/>
              </w:rPr>
              <w:t xml:space="preserve"> </w:t>
            </w:r>
            <w:r w:rsidRPr="0021641E">
              <w:rPr>
                <w:rFonts w:ascii="Arial Narrow" w:eastAsia="Times New Roman+FPEF" w:hAnsi="Arial Narrow" w:cs="Times New Roman+FPEF"/>
                <w:lang w:eastAsia="en-US"/>
              </w:rPr>
              <w:t>that:</w:t>
            </w:r>
          </w:p>
          <w:p w14:paraId="162F982B" w14:textId="77777777" w:rsidR="00FD5CE2" w:rsidRPr="0021641E" w:rsidRDefault="00FD5CE2" w:rsidP="00816533">
            <w:pPr>
              <w:autoSpaceDE w:val="0"/>
              <w:autoSpaceDN w:val="0"/>
              <w:adjustRightInd w:val="0"/>
              <w:spacing w:after="0" w:line="240" w:lineRule="auto"/>
              <w:jc w:val="left"/>
              <w:rPr>
                <w:rFonts w:ascii="Arial Narrow" w:eastAsia="Times New Roman+FPEF" w:hAnsi="Arial Narrow" w:cs="Times New Roman+FPEF"/>
                <w:lang w:eastAsia="en-US"/>
              </w:rPr>
            </w:pPr>
            <w:r w:rsidRPr="0021641E">
              <w:rPr>
                <w:rFonts w:ascii="Arial Narrow" w:eastAsia="Times New Roman+FPEF" w:hAnsi="Arial Narrow" w:cs="Times New Roman+FPEF"/>
                <w:lang w:eastAsia="en-US"/>
              </w:rPr>
              <w:lastRenderedPageBreak/>
              <w:t>(</w:t>
            </w:r>
            <w:proofErr w:type="spellStart"/>
            <w:r w:rsidRPr="0021641E">
              <w:rPr>
                <w:rFonts w:ascii="Arial Narrow" w:eastAsia="Times New Roman+FPEF" w:hAnsi="Arial Narrow" w:cs="Times New Roman+FPEF"/>
                <w:lang w:eastAsia="en-US"/>
              </w:rPr>
              <w:t>i</w:t>
            </w:r>
            <w:proofErr w:type="spellEnd"/>
            <w:r w:rsidRPr="0021641E">
              <w:rPr>
                <w:rFonts w:ascii="Arial Narrow" w:eastAsia="Times New Roman+FPEF" w:hAnsi="Arial Narrow" w:cs="Times New Roman+FPEF"/>
                <w:lang w:eastAsia="en-US"/>
              </w:rPr>
              <w:t>) have a nominal frequency of 7 to 7.5 megahertz or a nominal frequency range which includes frequencies of 7 to 7.5</w:t>
            </w:r>
          </w:p>
          <w:p w14:paraId="3AED5E85" w14:textId="77777777" w:rsidR="00FD5CE2" w:rsidRPr="0021641E" w:rsidRDefault="00FD5CE2" w:rsidP="00816533">
            <w:pPr>
              <w:autoSpaceDE w:val="0"/>
              <w:autoSpaceDN w:val="0"/>
              <w:adjustRightInd w:val="0"/>
              <w:spacing w:after="0" w:line="240" w:lineRule="auto"/>
              <w:jc w:val="left"/>
              <w:rPr>
                <w:rFonts w:ascii="Arial Narrow" w:eastAsia="Times New Roman+FPEF" w:hAnsi="Arial Narrow" w:cs="Times New Roman+FPEF"/>
                <w:lang w:eastAsia="en-US"/>
              </w:rPr>
            </w:pPr>
            <w:r w:rsidRPr="0021641E">
              <w:rPr>
                <w:rFonts w:ascii="Arial Narrow" w:eastAsia="Times New Roman+FPEF" w:hAnsi="Arial Narrow" w:cs="Times New Roman+FPEF"/>
                <w:lang w:eastAsia="en-US"/>
              </w:rPr>
              <w:t>megahertz; and</w:t>
            </w:r>
          </w:p>
          <w:p w14:paraId="3F4FF74C" w14:textId="77777777" w:rsidR="00FD5CE2" w:rsidRPr="0021641E" w:rsidRDefault="00FD5CE2" w:rsidP="00816533">
            <w:pPr>
              <w:autoSpaceDE w:val="0"/>
              <w:autoSpaceDN w:val="0"/>
              <w:adjustRightInd w:val="0"/>
              <w:spacing w:after="0" w:line="240" w:lineRule="auto"/>
              <w:jc w:val="left"/>
              <w:rPr>
                <w:rFonts w:ascii="Arial Narrow" w:eastAsia="Times New Roman+FPEF" w:hAnsi="Arial Narrow" w:cs="Times New Roman+FPEF"/>
                <w:lang w:eastAsia="en-US"/>
              </w:rPr>
            </w:pPr>
            <w:r w:rsidRPr="0021641E">
              <w:rPr>
                <w:rFonts w:ascii="Arial Narrow" w:eastAsia="Times New Roman+FPEF" w:hAnsi="Arial Narrow" w:cs="Times New Roman+FPEF"/>
                <w:lang w:eastAsia="en-US"/>
              </w:rPr>
              <w:t>(ii) can obtain both axial and sagittal scans in 2 planes at right angles; and</w:t>
            </w:r>
          </w:p>
          <w:p w14:paraId="79CEF66C" w14:textId="77777777" w:rsidR="00FD5CE2" w:rsidRPr="0021641E" w:rsidRDefault="00FD5CE2" w:rsidP="00816533">
            <w:pPr>
              <w:autoSpaceDE w:val="0"/>
              <w:autoSpaceDN w:val="0"/>
              <w:adjustRightInd w:val="0"/>
              <w:spacing w:after="0" w:line="240" w:lineRule="auto"/>
              <w:jc w:val="left"/>
              <w:rPr>
                <w:rFonts w:ascii="Arial Narrow" w:eastAsia="Times New Roman+FPEF" w:hAnsi="Arial Narrow" w:cs="Times New Roman+FPEF"/>
                <w:lang w:eastAsia="en-US"/>
              </w:rPr>
            </w:pPr>
            <w:r w:rsidRPr="0021641E">
              <w:rPr>
                <w:rFonts w:ascii="Arial Narrow" w:eastAsia="Times New Roman+FPEF" w:hAnsi="Arial Narrow" w:cs="Times New Roman+FPEF"/>
                <w:lang w:eastAsia="en-US"/>
              </w:rPr>
              <w:t>(b) following a digital rectal examination of the prostate by that medical practitioner; and</w:t>
            </w:r>
          </w:p>
          <w:p w14:paraId="13D088F2" w14:textId="77777777" w:rsidR="00FD5CE2" w:rsidRPr="0021641E" w:rsidRDefault="00FD5CE2" w:rsidP="00816533">
            <w:pPr>
              <w:autoSpaceDE w:val="0"/>
              <w:autoSpaceDN w:val="0"/>
              <w:adjustRightInd w:val="0"/>
              <w:spacing w:after="0" w:line="240" w:lineRule="auto"/>
              <w:jc w:val="left"/>
              <w:rPr>
                <w:rFonts w:ascii="Arial Narrow" w:eastAsia="Times New Roman+FPEF" w:hAnsi="Arial Narrow" w:cs="Times New Roman+FPEF"/>
                <w:lang w:eastAsia="en-US"/>
              </w:rPr>
            </w:pPr>
            <w:r w:rsidRPr="0021641E">
              <w:rPr>
                <w:rFonts w:ascii="Arial Narrow" w:eastAsia="Times New Roman+FPEF" w:hAnsi="Arial Narrow" w:cs="Times New Roman+FPEF"/>
                <w:lang w:eastAsia="en-US"/>
              </w:rPr>
              <w:t>(c) on a patient who has been assessed by a specialist in urology, radiation oncology or medical oncology or a consultant</w:t>
            </w:r>
          </w:p>
          <w:p w14:paraId="42225B32" w14:textId="77777777" w:rsidR="00FD5CE2" w:rsidRPr="0021641E" w:rsidRDefault="00FD5CE2" w:rsidP="00816533">
            <w:pPr>
              <w:autoSpaceDE w:val="0"/>
              <w:autoSpaceDN w:val="0"/>
              <w:adjustRightInd w:val="0"/>
              <w:spacing w:after="0" w:line="240" w:lineRule="auto"/>
              <w:jc w:val="left"/>
              <w:rPr>
                <w:rFonts w:ascii="Arial Narrow" w:eastAsia="Times New Roman+FPEF" w:hAnsi="Arial Narrow" w:cs="Times New Roman+FPEF"/>
                <w:lang w:eastAsia="en-US"/>
              </w:rPr>
            </w:pPr>
            <w:r w:rsidRPr="0021641E">
              <w:rPr>
                <w:rFonts w:ascii="Arial Narrow" w:eastAsia="Times New Roman+FPEF" w:hAnsi="Arial Narrow" w:cs="Times New Roman+FPEF"/>
                <w:lang w:eastAsia="en-US"/>
              </w:rPr>
              <w:t>physician in medical oncology who has:</w:t>
            </w:r>
          </w:p>
          <w:p w14:paraId="3B11583E" w14:textId="77777777" w:rsidR="00FD5CE2" w:rsidRPr="0021641E" w:rsidRDefault="00FD5CE2" w:rsidP="00816533">
            <w:pPr>
              <w:autoSpaceDE w:val="0"/>
              <w:autoSpaceDN w:val="0"/>
              <w:adjustRightInd w:val="0"/>
              <w:spacing w:after="0" w:line="240" w:lineRule="auto"/>
              <w:jc w:val="left"/>
              <w:rPr>
                <w:rFonts w:ascii="Arial Narrow" w:eastAsia="Times New Roman+FPEF" w:hAnsi="Arial Narrow" w:cs="Times New Roman+FPEF"/>
                <w:lang w:eastAsia="en-US"/>
              </w:rPr>
            </w:pPr>
            <w:r w:rsidRPr="0021641E">
              <w:rPr>
                <w:rFonts w:ascii="Arial Narrow" w:eastAsia="Times New Roman+FPEF" w:hAnsi="Arial Narrow" w:cs="Times New Roman+FPEF"/>
                <w:lang w:eastAsia="en-US"/>
              </w:rPr>
              <w:t>(</w:t>
            </w:r>
            <w:proofErr w:type="spellStart"/>
            <w:r w:rsidRPr="0021641E">
              <w:rPr>
                <w:rFonts w:ascii="Arial Narrow" w:eastAsia="Times New Roman+FPEF" w:hAnsi="Arial Narrow" w:cs="Times New Roman+FPEF"/>
                <w:lang w:eastAsia="en-US"/>
              </w:rPr>
              <w:t>i</w:t>
            </w:r>
            <w:proofErr w:type="spellEnd"/>
            <w:r w:rsidRPr="0021641E">
              <w:rPr>
                <w:rFonts w:ascii="Arial Narrow" w:eastAsia="Times New Roman+FPEF" w:hAnsi="Arial Narrow" w:cs="Times New Roman+FPEF"/>
                <w:lang w:eastAsia="en-US"/>
              </w:rPr>
              <w:t>)examined the patient in the 60 days prior to the scan; and</w:t>
            </w:r>
          </w:p>
          <w:p w14:paraId="23731C84" w14:textId="77777777" w:rsidR="00FD5CE2" w:rsidRPr="0021641E" w:rsidRDefault="00FD5CE2" w:rsidP="00816533">
            <w:pPr>
              <w:autoSpaceDE w:val="0"/>
              <w:autoSpaceDN w:val="0"/>
              <w:adjustRightInd w:val="0"/>
              <w:spacing w:after="0" w:line="240" w:lineRule="auto"/>
              <w:jc w:val="left"/>
              <w:rPr>
                <w:rFonts w:ascii="Arial Narrow" w:eastAsia="Times New Roman+FPEF" w:hAnsi="Arial Narrow" w:cs="Times New Roman+FPEF"/>
                <w:lang w:eastAsia="en-US"/>
              </w:rPr>
            </w:pPr>
            <w:r w:rsidRPr="0021641E">
              <w:rPr>
                <w:rFonts w:ascii="Arial Narrow" w:eastAsia="Times New Roman+FPEF" w:hAnsi="Arial Narrow" w:cs="Times New Roman+FPEF"/>
                <w:lang w:eastAsia="en-US"/>
              </w:rPr>
              <w:t>(ii)recommended the scan for the management of the patient's current prostatic disease (R) (K)</w:t>
            </w:r>
          </w:p>
          <w:p w14:paraId="1219AD34" w14:textId="77777777" w:rsidR="00FD5CE2" w:rsidRPr="0021641E" w:rsidRDefault="00FD5CE2" w:rsidP="00816533">
            <w:pPr>
              <w:autoSpaceDE w:val="0"/>
              <w:autoSpaceDN w:val="0"/>
              <w:adjustRightInd w:val="0"/>
              <w:spacing w:after="0" w:line="240" w:lineRule="auto"/>
              <w:jc w:val="left"/>
              <w:rPr>
                <w:rFonts w:ascii="Arial Narrow" w:eastAsia="Times New Roman+FPEF" w:hAnsi="Arial Narrow" w:cs="Times New Roman Italic+FPEF"/>
                <w:i/>
                <w:iCs/>
                <w:lang w:eastAsia="en-US"/>
              </w:rPr>
            </w:pPr>
            <w:r w:rsidRPr="0021641E">
              <w:rPr>
                <w:rFonts w:ascii="Arial Narrow" w:eastAsia="Times New Roman+FPEF" w:hAnsi="Arial Narrow" w:cs="Times New Roman Italic+FPEF"/>
                <w:i/>
                <w:iCs/>
                <w:lang w:eastAsia="en-US"/>
              </w:rPr>
              <w:t>(See para DIQ of explanatory notes to this Category)</w:t>
            </w:r>
          </w:p>
          <w:p w14:paraId="7E164EAC" w14:textId="77777777" w:rsidR="00FD5CE2" w:rsidRPr="0021641E" w:rsidRDefault="00FD5CE2" w:rsidP="00816533">
            <w:pPr>
              <w:autoSpaceDE w:val="0"/>
              <w:autoSpaceDN w:val="0"/>
              <w:adjustRightInd w:val="0"/>
              <w:spacing w:after="0" w:line="240" w:lineRule="auto"/>
              <w:jc w:val="left"/>
              <w:rPr>
                <w:rFonts w:ascii="Arial Narrow" w:eastAsia="Times New Roman+FPEF" w:hAnsi="Arial Narrow" w:cs="Times New Roman+FPEF"/>
                <w:lang w:eastAsia="en-US"/>
              </w:rPr>
            </w:pPr>
            <w:r w:rsidRPr="0021641E">
              <w:rPr>
                <w:rFonts w:ascii="Arial Narrow" w:eastAsia="Times New Roman+FPEF" w:hAnsi="Arial Narrow" w:cs="Times New Roman Bold+FPEF"/>
                <w:b/>
                <w:bCs/>
                <w:lang w:eastAsia="en-US"/>
              </w:rPr>
              <w:t xml:space="preserve">Fee: </w:t>
            </w:r>
            <w:r w:rsidRPr="0021641E">
              <w:rPr>
                <w:rFonts w:ascii="Arial Narrow" w:eastAsia="Times New Roman+FPEF" w:hAnsi="Arial Narrow" w:cs="Times New Roman+FPEF"/>
                <w:lang w:eastAsia="en-US"/>
              </w:rPr>
              <w:t xml:space="preserve">$109.10 </w:t>
            </w:r>
            <w:r w:rsidRPr="0021641E">
              <w:rPr>
                <w:rFonts w:ascii="Arial Narrow" w:eastAsia="Times New Roman+FPEF" w:hAnsi="Arial Narrow" w:cs="Times New Roman Bold+FPEF"/>
                <w:b/>
                <w:bCs/>
                <w:lang w:eastAsia="en-US"/>
              </w:rPr>
              <w:t xml:space="preserve">Benefit: </w:t>
            </w:r>
            <w:r w:rsidRPr="0021641E">
              <w:rPr>
                <w:rFonts w:ascii="Arial Narrow" w:eastAsia="Times New Roman+FPEF" w:hAnsi="Arial Narrow" w:cs="Times New Roman+FPEF"/>
                <w:lang w:eastAsia="en-US"/>
              </w:rPr>
              <w:t>75% = $81.85 85% = $92.75</w:t>
            </w:r>
          </w:p>
        </w:tc>
      </w:tr>
      <w:tr w:rsidR="00FD5CE2" w:rsidRPr="0021641E" w14:paraId="7287E92A" w14:textId="77777777" w:rsidTr="00816533">
        <w:tc>
          <w:tcPr>
            <w:tcW w:w="9134" w:type="dxa"/>
          </w:tcPr>
          <w:p w14:paraId="61199082" w14:textId="77777777" w:rsidR="00FD5CE2" w:rsidRPr="0021641E" w:rsidRDefault="00FD5CE2" w:rsidP="00816533">
            <w:pPr>
              <w:autoSpaceDE w:val="0"/>
              <w:autoSpaceDN w:val="0"/>
              <w:adjustRightInd w:val="0"/>
              <w:spacing w:after="0" w:line="240" w:lineRule="auto"/>
              <w:jc w:val="left"/>
              <w:rPr>
                <w:rFonts w:ascii="Arial Narrow" w:eastAsia="Times New Roman+FPEF" w:hAnsi="Arial Narrow" w:cs="Times New Roman+FPEF"/>
                <w:b/>
                <w:lang w:eastAsia="en-US"/>
              </w:rPr>
            </w:pPr>
            <w:r w:rsidRPr="0021641E">
              <w:rPr>
                <w:rFonts w:ascii="Arial Narrow" w:eastAsia="Times New Roman+FPEF" w:hAnsi="Arial Narrow" w:cs="Times New Roman+FPEF"/>
                <w:b/>
                <w:lang w:eastAsia="en-US"/>
              </w:rPr>
              <w:lastRenderedPageBreak/>
              <w:t>MBS item 55604</w:t>
            </w:r>
          </w:p>
          <w:p w14:paraId="2CC9C8A8" w14:textId="77777777" w:rsidR="00FD5CE2" w:rsidRPr="0021641E" w:rsidRDefault="00FD5CE2" w:rsidP="00816533">
            <w:pPr>
              <w:autoSpaceDE w:val="0"/>
              <w:autoSpaceDN w:val="0"/>
              <w:adjustRightInd w:val="0"/>
              <w:spacing w:after="0" w:line="240" w:lineRule="auto"/>
              <w:jc w:val="left"/>
              <w:rPr>
                <w:rFonts w:ascii="Arial Narrow" w:eastAsia="Times New Roman+FPEF" w:hAnsi="Arial Narrow" w:cs="Times New Roman+FPEF"/>
                <w:lang w:eastAsia="en-US"/>
              </w:rPr>
            </w:pPr>
            <w:r w:rsidRPr="0021641E">
              <w:rPr>
                <w:rFonts w:ascii="Arial Narrow" w:eastAsia="Times New Roman+FPEF" w:hAnsi="Arial Narrow" w:cs="Times New Roman+FPEF"/>
                <w:lang w:eastAsia="en-US"/>
              </w:rPr>
              <w:t>PROSTATE, bladder base and urethra, ultrasound scan of, where performed:</w:t>
            </w:r>
          </w:p>
          <w:p w14:paraId="5423B16B" w14:textId="77777777" w:rsidR="00FD5CE2" w:rsidRPr="0021641E" w:rsidRDefault="00FD5CE2" w:rsidP="00816533">
            <w:pPr>
              <w:autoSpaceDE w:val="0"/>
              <w:autoSpaceDN w:val="0"/>
              <w:adjustRightInd w:val="0"/>
              <w:spacing w:after="0" w:line="240" w:lineRule="auto"/>
              <w:jc w:val="left"/>
              <w:rPr>
                <w:rFonts w:ascii="Arial Narrow" w:eastAsia="Times New Roman+FPEF" w:hAnsi="Arial Narrow" w:cs="Times New Roman+FPEF"/>
                <w:lang w:eastAsia="en-US"/>
              </w:rPr>
            </w:pPr>
            <w:r w:rsidRPr="0021641E">
              <w:rPr>
                <w:rFonts w:ascii="Arial Narrow" w:eastAsia="Times New Roman+FPEF" w:hAnsi="Arial Narrow" w:cs="Times New Roman+FPEF"/>
                <w:lang w:eastAsia="en-US"/>
              </w:rPr>
              <w:t>(a) personally by a medical practitioner who undertook the assessment referred to in (c) using a transducer probe or probes that:</w:t>
            </w:r>
          </w:p>
          <w:p w14:paraId="785A2E49" w14:textId="77777777" w:rsidR="00FD5CE2" w:rsidRPr="0021641E" w:rsidRDefault="00FD5CE2" w:rsidP="00816533">
            <w:pPr>
              <w:autoSpaceDE w:val="0"/>
              <w:autoSpaceDN w:val="0"/>
              <w:adjustRightInd w:val="0"/>
              <w:spacing w:after="0" w:line="240" w:lineRule="auto"/>
              <w:jc w:val="left"/>
              <w:rPr>
                <w:rFonts w:ascii="Arial Narrow" w:eastAsia="Times New Roman+FPEF" w:hAnsi="Arial Narrow" w:cs="Times New Roman+FPEF"/>
                <w:lang w:eastAsia="en-US"/>
              </w:rPr>
            </w:pPr>
            <w:r w:rsidRPr="0021641E">
              <w:rPr>
                <w:rFonts w:ascii="Arial Narrow" w:eastAsia="Times New Roman+FPEF" w:hAnsi="Arial Narrow" w:cs="Times New Roman+FPEF"/>
                <w:lang w:eastAsia="en-US"/>
              </w:rPr>
              <w:t>(</w:t>
            </w:r>
            <w:proofErr w:type="spellStart"/>
            <w:r w:rsidRPr="0021641E">
              <w:rPr>
                <w:rFonts w:ascii="Arial Narrow" w:eastAsia="Times New Roman+FPEF" w:hAnsi="Arial Narrow" w:cs="Times New Roman+FPEF"/>
                <w:lang w:eastAsia="en-US"/>
              </w:rPr>
              <w:t>i</w:t>
            </w:r>
            <w:proofErr w:type="spellEnd"/>
            <w:r w:rsidRPr="0021641E">
              <w:rPr>
                <w:rFonts w:ascii="Arial Narrow" w:eastAsia="Times New Roman+FPEF" w:hAnsi="Arial Narrow" w:cs="Times New Roman+FPEF"/>
                <w:lang w:eastAsia="en-US"/>
              </w:rPr>
              <w:t>) have a nominal frequency of 7 to 7.5 megahertz or a nominal frequency range which includes frequencies of 7 to 7.5</w:t>
            </w:r>
          </w:p>
          <w:p w14:paraId="36AE8D3F" w14:textId="77777777" w:rsidR="00FD5CE2" w:rsidRPr="0021641E" w:rsidRDefault="00FD5CE2" w:rsidP="00816533">
            <w:pPr>
              <w:autoSpaceDE w:val="0"/>
              <w:autoSpaceDN w:val="0"/>
              <w:adjustRightInd w:val="0"/>
              <w:spacing w:after="0" w:line="240" w:lineRule="auto"/>
              <w:jc w:val="left"/>
              <w:rPr>
                <w:rFonts w:ascii="Arial Narrow" w:eastAsia="Times New Roman+FPEF" w:hAnsi="Arial Narrow" w:cs="Times New Roman+FPEF"/>
                <w:lang w:eastAsia="en-US"/>
              </w:rPr>
            </w:pPr>
            <w:r w:rsidRPr="0021641E">
              <w:rPr>
                <w:rFonts w:ascii="Arial Narrow" w:eastAsia="Times New Roman+FPEF" w:hAnsi="Arial Narrow" w:cs="Times New Roman+FPEF"/>
                <w:lang w:eastAsia="en-US"/>
              </w:rPr>
              <w:t>megahertz; and</w:t>
            </w:r>
          </w:p>
          <w:p w14:paraId="616D84EC" w14:textId="77777777" w:rsidR="00FD5CE2" w:rsidRPr="0021641E" w:rsidRDefault="00FD5CE2" w:rsidP="00816533">
            <w:pPr>
              <w:autoSpaceDE w:val="0"/>
              <w:autoSpaceDN w:val="0"/>
              <w:adjustRightInd w:val="0"/>
              <w:spacing w:after="0" w:line="240" w:lineRule="auto"/>
              <w:jc w:val="left"/>
              <w:rPr>
                <w:rFonts w:ascii="Arial Narrow" w:eastAsia="Times New Roman+FPEF" w:hAnsi="Arial Narrow" w:cs="Times New Roman+FPEF"/>
                <w:lang w:eastAsia="en-US"/>
              </w:rPr>
            </w:pPr>
            <w:r w:rsidRPr="0021641E">
              <w:rPr>
                <w:rFonts w:ascii="Arial Narrow" w:eastAsia="Times New Roman+FPEF" w:hAnsi="Arial Narrow" w:cs="Times New Roman+FPEF"/>
                <w:lang w:eastAsia="en-US"/>
              </w:rPr>
              <w:t>(ii) can obtain both axial and sagittal scans in 2 planes at right angles; and</w:t>
            </w:r>
          </w:p>
          <w:p w14:paraId="4191462C" w14:textId="77777777" w:rsidR="00FD5CE2" w:rsidRPr="0021641E" w:rsidRDefault="00FD5CE2" w:rsidP="00816533">
            <w:pPr>
              <w:autoSpaceDE w:val="0"/>
              <w:autoSpaceDN w:val="0"/>
              <w:adjustRightInd w:val="0"/>
              <w:spacing w:after="0" w:line="240" w:lineRule="auto"/>
              <w:jc w:val="left"/>
              <w:rPr>
                <w:rFonts w:ascii="Arial Narrow" w:eastAsia="Times New Roman+FPEF" w:hAnsi="Arial Narrow" w:cs="Times New Roman+FPEF"/>
                <w:lang w:eastAsia="en-US"/>
              </w:rPr>
            </w:pPr>
            <w:r w:rsidRPr="0021641E">
              <w:rPr>
                <w:rFonts w:ascii="Arial Narrow" w:eastAsia="Times New Roman+FPEF" w:hAnsi="Arial Narrow" w:cs="Times New Roman+FPEF"/>
                <w:lang w:eastAsia="en-US"/>
              </w:rPr>
              <w:t>(b) following a digital rectal examination of the prostate by that medical practitioner; and</w:t>
            </w:r>
          </w:p>
          <w:p w14:paraId="7D3DEA29" w14:textId="77777777" w:rsidR="00FD5CE2" w:rsidRPr="0021641E" w:rsidRDefault="00FD5CE2" w:rsidP="00816533">
            <w:pPr>
              <w:autoSpaceDE w:val="0"/>
              <w:autoSpaceDN w:val="0"/>
              <w:adjustRightInd w:val="0"/>
              <w:spacing w:after="0" w:line="240" w:lineRule="auto"/>
              <w:jc w:val="left"/>
              <w:rPr>
                <w:rFonts w:ascii="Arial Narrow" w:eastAsia="Times New Roman+FPEF" w:hAnsi="Arial Narrow" w:cs="Times New Roman+FPEF"/>
                <w:lang w:eastAsia="en-US"/>
              </w:rPr>
            </w:pPr>
            <w:r w:rsidRPr="0021641E">
              <w:rPr>
                <w:rFonts w:ascii="Arial Narrow" w:eastAsia="Times New Roman+FPEF" w:hAnsi="Arial Narrow" w:cs="Times New Roman+FPEF"/>
                <w:lang w:eastAsia="en-US"/>
              </w:rPr>
              <w:t>(c) on a patient who has been assessed by a specialist in urology, radiation oncology or medical oncology or a consultant physician</w:t>
            </w:r>
          </w:p>
          <w:p w14:paraId="4B4D217A" w14:textId="77777777" w:rsidR="00FD5CE2" w:rsidRPr="0021641E" w:rsidRDefault="00FD5CE2" w:rsidP="00816533">
            <w:pPr>
              <w:autoSpaceDE w:val="0"/>
              <w:autoSpaceDN w:val="0"/>
              <w:adjustRightInd w:val="0"/>
              <w:spacing w:after="0" w:line="240" w:lineRule="auto"/>
              <w:jc w:val="left"/>
              <w:rPr>
                <w:rFonts w:ascii="Arial Narrow" w:eastAsia="Times New Roman+FPEF" w:hAnsi="Arial Narrow" w:cs="Times New Roman+FPEF"/>
                <w:lang w:eastAsia="en-US"/>
              </w:rPr>
            </w:pPr>
            <w:r w:rsidRPr="0021641E">
              <w:rPr>
                <w:rFonts w:ascii="Arial Narrow" w:eastAsia="Times New Roman+FPEF" w:hAnsi="Arial Narrow" w:cs="Times New Roman+FPEF"/>
                <w:lang w:eastAsia="en-US"/>
              </w:rPr>
              <w:t>in medical oncology who has:</w:t>
            </w:r>
          </w:p>
          <w:p w14:paraId="690A2573" w14:textId="77777777" w:rsidR="00FD5CE2" w:rsidRPr="0021641E" w:rsidRDefault="00FD5CE2" w:rsidP="00816533">
            <w:pPr>
              <w:autoSpaceDE w:val="0"/>
              <w:autoSpaceDN w:val="0"/>
              <w:adjustRightInd w:val="0"/>
              <w:spacing w:after="0" w:line="240" w:lineRule="auto"/>
              <w:jc w:val="left"/>
              <w:rPr>
                <w:rFonts w:ascii="Arial Narrow" w:eastAsia="Times New Roman+FPEF" w:hAnsi="Arial Narrow" w:cs="Times New Roman+FPEF"/>
                <w:lang w:eastAsia="en-US"/>
              </w:rPr>
            </w:pPr>
            <w:r w:rsidRPr="0021641E">
              <w:rPr>
                <w:rFonts w:ascii="Arial Narrow" w:eastAsia="Times New Roman+FPEF" w:hAnsi="Arial Narrow" w:cs="Times New Roman+FPEF"/>
                <w:lang w:eastAsia="en-US"/>
              </w:rPr>
              <w:t>(</w:t>
            </w:r>
            <w:proofErr w:type="spellStart"/>
            <w:r w:rsidRPr="0021641E">
              <w:rPr>
                <w:rFonts w:ascii="Arial Narrow" w:eastAsia="Times New Roman+FPEF" w:hAnsi="Arial Narrow" w:cs="Times New Roman+FPEF"/>
                <w:lang w:eastAsia="en-US"/>
              </w:rPr>
              <w:t>i</w:t>
            </w:r>
            <w:proofErr w:type="spellEnd"/>
            <w:r w:rsidRPr="0021641E">
              <w:rPr>
                <w:rFonts w:ascii="Arial Narrow" w:eastAsia="Times New Roman+FPEF" w:hAnsi="Arial Narrow" w:cs="Times New Roman+FPEF"/>
                <w:lang w:eastAsia="en-US"/>
              </w:rPr>
              <w:t>) examined the patient in the 60 days prior to the scan; and</w:t>
            </w:r>
          </w:p>
          <w:p w14:paraId="454BAEB4" w14:textId="77777777" w:rsidR="00FD5CE2" w:rsidRPr="0021641E" w:rsidRDefault="00FD5CE2" w:rsidP="00816533">
            <w:pPr>
              <w:autoSpaceDE w:val="0"/>
              <w:autoSpaceDN w:val="0"/>
              <w:adjustRightInd w:val="0"/>
              <w:spacing w:after="0" w:line="240" w:lineRule="auto"/>
              <w:jc w:val="left"/>
              <w:rPr>
                <w:rFonts w:ascii="Arial Narrow" w:eastAsia="Times New Roman+FPEF" w:hAnsi="Arial Narrow" w:cs="Times New Roman+FPEF"/>
                <w:lang w:eastAsia="en-US"/>
              </w:rPr>
            </w:pPr>
            <w:r w:rsidRPr="0021641E">
              <w:rPr>
                <w:rFonts w:ascii="Arial Narrow" w:eastAsia="Times New Roman+FPEF" w:hAnsi="Arial Narrow" w:cs="Times New Roman+FPEF"/>
                <w:lang w:eastAsia="en-US"/>
              </w:rPr>
              <w:t>(ii) recommended the scan for the management of the patient's current prostatic disease (R) (NK)</w:t>
            </w:r>
          </w:p>
          <w:p w14:paraId="037A07E3" w14:textId="77777777" w:rsidR="00FD5CE2" w:rsidRPr="0021641E" w:rsidRDefault="00FD5CE2" w:rsidP="00816533">
            <w:pPr>
              <w:autoSpaceDE w:val="0"/>
              <w:autoSpaceDN w:val="0"/>
              <w:adjustRightInd w:val="0"/>
              <w:spacing w:after="0" w:line="240" w:lineRule="auto"/>
              <w:jc w:val="left"/>
              <w:rPr>
                <w:rFonts w:ascii="Arial Narrow" w:eastAsia="Times New Roman+FPEF" w:hAnsi="Arial Narrow" w:cs="Times New Roman Italic+FPEF"/>
                <w:i/>
                <w:iCs/>
                <w:lang w:eastAsia="en-US"/>
              </w:rPr>
            </w:pPr>
            <w:r w:rsidRPr="0021641E">
              <w:rPr>
                <w:rFonts w:ascii="Arial Narrow" w:eastAsia="Times New Roman+FPEF" w:hAnsi="Arial Narrow" w:cs="Times New Roman Italic+FPEF"/>
                <w:i/>
                <w:iCs/>
                <w:lang w:eastAsia="en-US"/>
              </w:rPr>
              <w:t>(See para DIQ of explanatory notes to this Category)</w:t>
            </w:r>
          </w:p>
          <w:p w14:paraId="7B8D306E" w14:textId="77777777" w:rsidR="00FD5CE2" w:rsidRPr="0021641E" w:rsidRDefault="00FD5CE2" w:rsidP="00816533">
            <w:pPr>
              <w:autoSpaceDE w:val="0"/>
              <w:autoSpaceDN w:val="0"/>
              <w:adjustRightInd w:val="0"/>
              <w:spacing w:after="0" w:line="240" w:lineRule="auto"/>
              <w:jc w:val="left"/>
              <w:rPr>
                <w:rFonts w:ascii="Arial Narrow" w:eastAsia="Times New Roman+FPEF" w:hAnsi="Arial Narrow" w:cs="Times New Roman+FPEF"/>
                <w:lang w:eastAsia="en-US"/>
              </w:rPr>
            </w:pPr>
            <w:r w:rsidRPr="0021641E">
              <w:rPr>
                <w:rFonts w:ascii="Arial Narrow" w:eastAsia="Times New Roman+FPEF" w:hAnsi="Arial Narrow" w:cs="Times New Roman Bold+FPEF"/>
                <w:b/>
                <w:bCs/>
                <w:lang w:eastAsia="en-US"/>
              </w:rPr>
              <w:t xml:space="preserve">Fee: </w:t>
            </w:r>
            <w:r w:rsidRPr="0021641E">
              <w:rPr>
                <w:rFonts w:ascii="Arial Narrow" w:eastAsia="Times New Roman+FPEF" w:hAnsi="Arial Narrow" w:cs="Times New Roman+FPEF"/>
                <w:lang w:eastAsia="en-US"/>
              </w:rPr>
              <w:t xml:space="preserve">$54.55 </w:t>
            </w:r>
            <w:r w:rsidRPr="0021641E">
              <w:rPr>
                <w:rFonts w:ascii="Arial Narrow" w:eastAsia="Times New Roman+FPEF" w:hAnsi="Arial Narrow" w:cs="Times New Roman Bold+FPEF"/>
                <w:b/>
                <w:bCs/>
                <w:lang w:eastAsia="en-US"/>
              </w:rPr>
              <w:t xml:space="preserve">Benefit: </w:t>
            </w:r>
            <w:r w:rsidRPr="0021641E">
              <w:rPr>
                <w:rFonts w:ascii="Arial Narrow" w:eastAsia="Times New Roman+FPEF" w:hAnsi="Arial Narrow" w:cs="Times New Roman+FPEF"/>
                <w:lang w:eastAsia="en-US"/>
              </w:rPr>
              <w:t>75% = $40.95 85% = $46.40</w:t>
            </w:r>
          </w:p>
        </w:tc>
      </w:tr>
    </w:tbl>
    <w:p w14:paraId="6308DE2D" w14:textId="77777777" w:rsidR="001A37B2" w:rsidRDefault="001A37B2" w:rsidP="001A37B2"/>
    <w:p w14:paraId="6640502B" w14:textId="77777777" w:rsidR="001A37B2" w:rsidRDefault="001A37B2" w:rsidP="001A37B2">
      <w:r>
        <w:t xml:space="preserve">The current MBS item for the biopsy portion of ultrasound-guided biopsy of the prostate is as follows: </w:t>
      </w:r>
    </w:p>
    <w:p w14:paraId="4C506A12" w14:textId="77777777" w:rsidR="001A37B2" w:rsidRPr="00A34E9C" w:rsidRDefault="001A37B2" w:rsidP="001A37B2">
      <w:pPr>
        <w:pStyle w:val="Caption"/>
      </w:pPr>
      <w:r w:rsidRPr="00A34E9C">
        <w:t xml:space="preserve">Table </w:t>
      </w:r>
      <w:r>
        <w:fldChar w:fldCharType="begin"/>
      </w:r>
      <w:r>
        <w:instrText xml:space="preserve"> SEQ Table \* ARABIC </w:instrText>
      </w:r>
      <w:r>
        <w:fldChar w:fldCharType="separate"/>
      </w:r>
      <w:r w:rsidR="00B90E4F">
        <w:rPr>
          <w:noProof/>
        </w:rPr>
        <w:t>2</w:t>
      </w:r>
      <w:r>
        <w:rPr>
          <w:noProof/>
        </w:rPr>
        <w:fldChar w:fldCharType="end"/>
      </w:r>
      <w:r w:rsidRPr="00A34E9C">
        <w:t>:</w:t>
      </w:r>
      <w:r w:rsidRPr="00A34E9C">
        <w:tab/>
        <w:t>Current MBS item descriptor for</w:t>
      </w:r>
      <w:r>
        <w:t xml:space="preserve"> item 37219</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Table 2: Current MBS item descriptor for item 37219"/>
        <w:tblDescription w:val="Current MBS item descriptor for item 37219"/>
      </w:tblPr>
      <w:tblGrid>
        <w:gridCol w:w="9134"/>
      </w:tblGrid>
      <w:tr w:rsidR="001A37B2" w:rsidRPr="00A34E9C" w14:paraId="1F1F2334" w14:textId="77777777" w:rsidTr="000F6FCA">
        <w:tc>
          <w:tcPr>
            <w:tcW w:w="9134" w:type="dxa"/>
          </w:tcPr>
          <w:p w14:paraId="44021652" w14:textId="77777777" w:rsidR="001A37B2" w:rsidRPr="00A012FA" w:rsidRDefault="001A37B2" w:rsidP="000F6FCA">
            <w:pPr>
              <w:keepNext/>
              <w:spacing w:after="0" w:line="240" w:lineRule="auto"/>
              <w:jc w:val="right"/>
              <w:rPr>
                <w:rFonts w:ascii="Arial Narrow" w:hAnsi="Arial Narrow"/>
                <w:lang w:eastAsia="ja-JP"/>
              </w:rPr>
            </w:pPr>
            <w:r>
              <w:rPr>
                <w:rFonts w:ascii="Arial Narrow" w:hAnsi="Arial Narrow"/>
                <w:lang w:eastAsia="ja-JP"/>
              </w:rPr>
              <w:t>Group T8 – Surgical Operations</w:t>
            </w:r>
          </w:p>
        </w:tc>
      </w:tr>
      <w:tr w:rsidR="001A37B2" w:rsidRPr="00A34E9C" w14:paraId="5E88E436" w14:textId="77777777" w:rsidTr="000F6FCA">
        <w:tc>
          <w:tcPr>
            <w:tcW w:w="9134" w:type="dxa"/>
          </w:tcPr>
          <w:p w14:paraId="08964C73" w14:textId="77777777" w:rsidR="001A37B2" w:rsidRPr="0047485D" w:rsidRDefault="001A37B2" w:rsidP="000F6FCA">
            <w:pPr>
              <w:keepNext/>
              <w:spacing w:after="0" w:line="240" w:lineRule="auto"/>
              <w:rPr>
                <w:rFonts w:ascii="Arial Narrow" w:hAnsi="Arial Narrow"/>
                <w:lang w:val="en-US" w:eastAsia="ja-JP"/>
              </w:rPr>
            </w:pPr>
            <w:r w:rsidRPr="0047485D">
              <w:rPr>
                <w:rFonts w:ascii="Arial Narrow" w:hAnsi="Arial Narrow"/>
                <w:lang w:val="en-US" w:eastAsia="ja-JP"/>
              </w:rPr>
              <w:t>MBS item 37219</w:t>
            </w:r>
          </w:p>
          <w:p w14:paraId="08FF80FE" w14:textId="77777777" w:rsidR="001A37B2" w:rsidRPr="0047485D" w:rsidRDefault="001A37B2" w:rsidP="000F6FCA">
            <w:pPr>
              <w:shd w:val="clear" w:color="auto" w:fill="FBFBFB"/>
              <w:spacing w:after="0" w:line="240" w:lineRule="auto"/>
              <w:jc w:val="left"/>
              <w:rPr>
                <w:rFonts w:ascii="Arial Narrow" w:eastAsia="Times New Roman" w:hAnsi="Arial Narrow" w:cs="Times New Roman"/>
                <w:lang w:eastAsia="en-AU"/>
              </w:rPr>
            </w:pPr>
            <w:r w:rsidRPr="0047485D">
              <w:rPr>
                <w:rFonts w:ascii="Arial Narrow" w:eastAsia="Times New Roman" w:hAnsi="Arial Narrow" w:cs="Times New Roman"/>
                <w:lang w:eastAsia="en-AU"/>
              </w:rPr>
              <w:t xml:space="preserve">PROSTATE, needle biopsy of, using prostatic ultrasound techniques and obtaining 1 or more prostatic specimens, being a service associated with a service to which item 55600 or 55603 applies </w:t>
            </w:r>
          </w:p>
          <w:p w14:paraId="4D044001" w14:textId="77777777" w:rsidR="001A37B2" w:rsidRPr="0047485D" w:rsidRDefault="001A37B2" w:rsidP="000F6FCA">
            <w:pPr>
              <w:shd w:val="clear" w:color="auto" w:fill="FBFBFB"/>
              <w:spacing w:after="0" w:line="240" w:lineRule="auto"/>
              <w:jc w:val="left"/>
              <w:rPr>
                <w:rFonts w:ascii="Arial Narrow" w:eastAsia="Times New Roman" w:hAnsi="Arial Narrow" w:cs="Times New Roman"/>
                <w:lang w:eastAsia="en-AU"/>
              </w:rPr>
            </w:pPr>
            <w:r w:rsidRPr="0047485D">
              <w:rPr>
                <w:rFonts w:ascii="Arial Narrow" w:eastAsia="Times New Roman" w:hAnsi="Arial Narrow" w:cs="Times New Roman"/>
                <w:lang w:eastAsia="en-AU"/>
              </w:rPr>
              <w:t xml:space="preserve">Multiple services rule. </w:t>
            </w:r>
          </w:p>
          <w:p w14:paraId="371834E4" w14:textId="77777777" w:rsidR="001A37B2" w:rsidRPr="0047485D" w:rsidRDefault="001A37B2" w:rsidP="000F6FCA">
            <w:pPr>
              <w:shd w:val="clear" w:color="auto" w:fill="FBFBFB"/>
              <w:spacing w:after="0" w:line="240" w:lineRule="auto"/>
              <w:jc w:val="left"/>
              <w:rPr>
                <w:rFonts w:ascii="Arial Narrow" w:eastAsia="Times New Roman" w:hAnsi="Arial Narrow" w:cs="Times New Roman"/>
                <w:lang w:eastAsia="en-AU"/>
              </w:rPr>
            </w:pPr>
            <w:r w:rsidRPr="0047485D">
              <w:rPr>
                <w:rFonts w:ascii="Arial Narrow" w:eastAsia="Times New Roman" w:hAnsi="Arial Narrow" w:cs="Times New Roman"/>
                <w:lang w:eastAsia="en-AU"/>
              </w:rPr>
              <w:t>(</w:t>
            </w:r>
            <w:proofErr w:type="spellStart"/>
            <w:r w:rsidRPr="0047485D">
              <w:rPr>
                <w:rFonts w:ascii="Arial Narrow" w:eastAsia="Times New Roman" w:hAnsi="Arial Narrow" w:cs="Times New Roman"/>
                <w:lang w:eastAsia="en-AU"/>
              </w:rPr>
              <w:t>Anaes</w:t>
            </w:r>
            <w:proofErr w:type="spellEnd"/>
            <w:r w:rsidRPr="0047485D">
              <w:rPr>
                <w:rFonts w:ascii="Arial Narrow" w:eastAsia="Times New Roman" w:hAnsi="Arial Narrow" w:cs="Times New Roman"/>
                <w:lang w:eastAsia="en-AU"/>
              </w:rPr>
              <w:t>.) (Assist.)</w:t>
            </w:r>
          </w:p>
          <w:p w14:paraId="36B1D017" w14:textId="77777777" w:rsidR="001A37B2" w:rsidRPr="0047485D" w:rsidRDefault="001A37B2" w:rsidP="000F6FCA">
            <w:pPr>
              <w:shd w:val="clear" w:color="auto" w:fill="FBFBFB"/>
              <w:spacing w:after="0" w:line="240" w:lineRule="auto"/>
              <w:jc w:val="left"/>
              <w:rPr>
                <w:rFonts w:ascii="Arial Narrow" w:eastAsia="Times New Roman" w:hAnsi="Arial Narrow" w:cs="Times New Roman"/>
                <w:color w:val="222222"/>
                <w:lang w:eastAsia="en-AU"/>
              </w:rPr>
            </w:pPr>
            <w:r w:rsidRPr="0047485D">
              <w:rPr>
                <w:rFonts w:ascii="Arial Narrow" w:eastAsia="Times New Roman" w:hAnsi="Arial Narrow" w:cs="Times New Roman"/>
                <w:b/>
                <w:bCs/>
                <w:lang w:eastAsia="en-AU"/>
              </w:rPr>
              <w:t>Fee:</w:t>
            </w:r>
            <w:r w:rsidRPr="0047485D">
              <w:rPr>
                <w:rFonts w:ascii="Arial Narrow" w:eastAsia="Times New Roman" w:hAnsi="Arial Narrow" w:cs="Times New Roman"/>
                <w:lang w:eastAsia="en-AU"/>
              </w:rPr>
              <w:t xml:space="preserve"> $280.85 </w:t>
            </w:r>
            <w:r w:rsidRPr="0047485D">
              <w:rPr>
                <w:rFonts w:ascii="Arial Narrow" w:eastAsia="Times New Roman" w:hAnsi="Arial Narrow" w:cs="Times New Roman"/>
                <w:b/>
                <w:bCs/>
                <w:lang w:eastAsia="en-AU"/>
              </w:rPr>
              <w:t>Benefit:</w:t>
            </w:r>
            <w:r w:rsidRPr="0047485D">
              <w:rPr>
                <w:rFonts w:ascii="Arial Narrow" w:eastAsia="Times New Roman" w:hAnsi="Arial Narrow" w:cs="Times New Roman"/>
                <w:lang w:eastAsia="en-AU"/>
              </w:rPr>
              <w:t xml:space="preserve"> 75% = $210.65 85% = $238.75</w:t>
            </w:r>
          </w:p>
        </w:tc>
      </w:tr>
    </w:tbl>
    <w:p w14:paraId="44A7CE00" w14:textId="77777777" w:rsidR="001A37B2" w:rsidRDefault="001A37B2" w:rsidP="00022C8C"/>
    <w:p w14:paraId="74969C6E" w14:textId="77777777" w:rsidR="007252D5" w:rsidRPr="00A34E9C" w:rsidRDefault="007252D5" w:rsidP="000901A8">
      <w:pPr>
        <w:pStyle w:val="Heading2"/>
      </w:pPr>
      <w:bookmarkStart w:id="17" w:name="_Toc444781441"/>
      <w:r w:rsidRPr="00A34E9C">
        <w:t>Regulatory status</w:t>
      </w:r>
      <w:bookmarkEnd w:id="17"/>
    </w:p>
    <w:p w14:paraId="50FC1E46" w14:textId="77777777" w:rsidR="00D150CF" w:rsidRDefault="007D7C81" w:rsidP="007E3EA1">
      <w:pPr>
        <w:autoSpaceDE w:val="0"/>
        <w:autoSpaceDN w:val="0"/>
        <w:adjustRightInd w:val="0"/>
        <w:spacing w:line="276" w:lineRule="auto"/>
        <w:jc w:val="left"/>
      </w:pPr>
      <w:r w:rsidRPr="007E3EA1">
        <w:rPr>
          <w:rFonts w:eastAsia="Calibri"/>
          <w:color w:val="000000"/>
          <w:lang w:eastAsia="en-US"/>
        </w:rPr>
        <w:t xml:space="preserve">A number of MRI systems are TGA-approved for use in Australia. </w:t>
      </w:r>
      <w:r w:rsidR="007E3EA1" w:rsidRPr="007E3EA1">
        <w:rPr>
          <w:rFonts w:eastAsia="Calibri"/>
          <w:color w:val="000000"/>
          <w:lang w:eastAsia="en-US"/>
        </w:rPr>
        <w:t xml:space="preserve">A recent horizon scan of MRI screening for prostate cancer in Australia has identified the following TGA-listed manufacturers of MRI full-body scanners:  </w:t>
      </w:r>
      <w:proofErr w:type="spellStart"/>
      <w:r w:rsidR="00D150CF" w:rsidRPr="007E3EA1">
        <w:t>Emergo</w:t>
      </w:r>
      <w:proofErr w:type="spellEnd"/>
      <w:r w:rsidR="00D150CF" w:rsidRPr="007E3EA1">
        <w:t xml:space="preserve"> Asia Pacific Pty Ltd</w:t>
      </w:r>
      <w:r w:rsidR="007E3EA1" w:rsidRPr="007E3EA1">
        <w:t xml:space="preserve"> (ARTG # 136622);</w:t>
      </w:r>
      <w:r w:rsidR="00D150CF" w:rsidRPr="007E3EA1">
        <w:t xml:space="preserve"> GE Healthcare Australia Pty Ltd</w:t>
      </w:r>
      <w:r w:rsidR="007E3EA1" w:rsidRPr="007E3EA1">
        <w:t xml:space="preserve"> (ARTG # </w:t>
      </w:r>
      <w:r w:rsidR="007E3EA1" w:rsidRPr="007E3EA1">
        <w:rPr>
          <w:rFonts w:eastAsia="Calibri"/>
        </w:rPr>
        <w:t xml:space="preserve">135096; 169744; 169036; 223115); </w:t>
      </w:r>
      <w:r w:rsidR="00D150CF" w:rsidRPr="007E3EA1">
        <w:t>Philips Electronics Australia Ltd</w:t>
      </w:r>
      <w:r w:rsidR="007E3EA1" w:rsidRPr="007E3EA1">
        <w:t xml:space="preserve"> (ARTG # 98887, 212690); </w:t>
      </w:r>
      <w:r w:rsidR="00D150CF" w:rsidRPr="007E3EA1">
        <w:t xml:space="preserve">Siemens Ltd </w:t>
      </w:r>
      <w:r w:rsidR="007E3EA1" w:rsidRPr="007E3EA1">
        <w:t xml:space="preserve">(ARTG # </w:t>
      </w:r>
      <w:r w:rsidR="007E3EA1" w:rsidRPr="007E3EA1">
        <w:rPr>
          <w:rFonts w:eastAsia="Calibri"/>
        </w:rPr>
        <w:t xml:space="preserve">98319, 98485, 144221, 154128) </w:t>
      </w:r>
      <w:r w:rsidR="00D150CF" w:rsidRPr="007E3EA1">
        <w:t>and Toshiba Australia Pty Ltd</w:t>
      </w:r>
      <w:r w:rsidR="007E3EA1" w:rsidRPr="007E3EA1">
        <w:t xml:space="preserve"> (ARTG # 126911)</w:t>
      </w:r>
      <w:r w:rsidR="00D150CF" w:rsidRPr="007E3EA1">
        <w:t>.</w:t>
      </w:r>
      <w:r w:rsidR="007E3EA1" w:rsidRPr="007E3EA1">
        <w:t xml:space="preserve"> (AIHW 2013)</w:t>
      </w:r>
    </w:p>
    <w:p w14:paraId="73223613" w14:textId="77777777" w:rsidR="007252D5" w:rsidRDefault="007252D5" w:rsidP="000901A8">
      <w:pPr>
        <w:pStyle w:val="Heading1"/>
      </w:pPr>
      <w:bookmarkStart w:id="18" w:name="_Toc444781442"/>
      <w:r w:rsidRPr="00A34E9C">
        <w:t>Patient population</w:t>
      </w:r>
      <w:bookmarkEnd w:id="18"/>
    </w:p>
    <w:p w14:paraId="02815E28" w14:textId="77777777" w:rsidR="00816533" w:rsidRDefault="00B8210E" w:rsidP="00AC26C1">
      <w:pPr>
        <w:spacing w:before="120" w:after="120" w:line="276" w:lineRule="auto"/>
        <w:jc w:val="left"/>
      </w:pPr>
      <w:r w:rsidRPr="00B8210E">
        <w:rPr>
          <w:rFonts w:ascii="Arial" w:hAnsi="Arial" w:cs="Arial"/>
        </w:rPr>
        <w:t xml:space="preserve">The </w:t>
      </w:r>
      <w:r w:rsidR="0024413D">
        <w:rPr>
          <w:rFonts w:ascii="Arial" w:hAnsi="Arial" w:cs="Arial"/>
        </w:rPr>
        <w:t xml:space="preserve">patient population for </w:t>
      </w:r>
      <w:proofErr w:type="spellStart"/>
      <w:r w:rsidR="0033774E">
        <w:t>mpMRI</w:t>
      </w:r>
      <w:proofErr w:type="spellEnd"/>
      <w:r w:rsidRPr="00D0615F">
        <w:t xml:space="preserve"> scans of the prostate</w:t>
      </w:r>
      <w:r>
        <w:t xml:space="preserve"> </w:t>
      </w:r>
      <w:r w:rsidR="00C9497E">
        <w:t>are</w:t>
      </w:r>
      <w:r w:rsidR="00816533">
        <w:t>:</w:t>
      </w:r>
    </w:p>
    <w:p w14:paraId="3805E3B2" w14:textId="77777777" w:rsidR="00816533" w:rsidRDefault="00816533" w:rsidP="000A1167">
      <w:pPr>
        <w:pStyle w:val="ListParagraph"/>
        <w:numPr>
          <w:ilvl w:val="0"/>
          <w:numId w:val="9"/>
        </w:numPr>
      </w:pPr>
      <w:r w:rsidRPr="008B4730">
        <w:t>men who are suspected of having prostate cancer on the ba</w:t>
      </w:r>
      <w:r>
        <w:t>sis of a high or concerning PSA; and</w:t>
      </w:r>
    </w:p>
    <w:p w14:paraId="54FD023A" w14:textId="77777777" w:rsidR="00816533" w:rsidRDefault="00816533" w:rsidP="000A1167">
      <w:pPr>
        <w:pStyle w:val="ListParagraph"/>
        <w:numPr>
          <w:ilvl w:val="0"/>
          <w:numId w:val="9"/>
        </w:numPr>
      </w:pPr>
      <w:proofErr w:type="gramStart"/>
      <w:r w:rsidRPr="008B4730">
        <w:t>men</w:t>
      </w:r>
      <w:proofErr w:type="gramEnd"/>
      <w:r w:rsidRPr="008B4730">
        <w:t xml:space="preserve"> diagnosed with low or intermediate risk prostate cancer unde</w:t>
      </w:r>
      <w:r w:rsidR="003C6B59">
        <w:t>rtaking active surveillance</w:t>
      </w:r>
      <w:r w:rsidRPr="008B4730">
        <w:t>.</w:t>
      </w:r>
    </w:p>
    <w:p w14:paraId="094B3E65" w14:textId="77777777" w:rsidR="00AC26C1" w:rsidRDefault="00942F06" w:rsidP="00AC26C1">
      <w:pPr>
        <w:spacing w:before="120" w:after="120" w:line="276" w:lineRule="auto"/>
        <w:jc w:val="left"/>
      </w:pPr>
      <w:r>
        <w:lastRenderedPageBreak/>
        <w:t>PASC agreed that w</w:t>
      </w:r>
      <w:r w:rsidR="00AC26C1">
        <w:t xml:space="preserve">hether the PSA result is “high or concerning” is a </w:t>
      </w:r>
      <w:r w:rsidR="00F3280C">
        <w:t xml:space="preserve">matter of </w:t>
      </w:r>
      <w:r w:rsidR="00AC26C1">
        <w:t xml:space="preserve">clinical judgement, which involves interpreting the PSA result in relation to the patient’s age, family history, </w:t>
      </w:r>
      <w:r w:rsidR="00F3280C">
        <w:t>the prostate volume, increase in PSA score over a 12 month period</w:t>
      </w:r>
      <w:r>
        <w:t xml:space="preserve"> and the results of DRE examinations</w:t>
      </w:r>
      <w:r w:rsidR="00F3280C">
        <w:t xml:space="preserve">. </w:t>
      </w:r>
    </w:p>
    <w:p w14:paraId="26A55B92" w14:textId="77777777" w:rsidR="007252D5" w:rsidRPr="00DA1EDB" w:rsidRDefault="007252D5" w:rsidP="00DA1EDB">
      <w:pPr>
        <w:pStyle w:val="Heading2"/>
        <w:rPr>
          <w:highlight w:val="yellow"/>
        </w:rPr>
      </w:pPr>
      <w:bookmarkStart w:id="19" w:name="_Toc444781443"/>
      <w:r w:rsidRPr="00A34E9C">
        <w:t>Proposed MBS listing</w:t>
      </w:r>
      <w:bookmarkEnd w:id="19"/>
    </w:p>
    <w:p w14:paraId="30B6B054" w14:textId="753A1A6B" w:rsidR="0064190C" w:rsidRDefault="00942F06" w:rsidP="0064190C">
      <w:r>
        <w:t>The proposed MBS listing for</w:t>
      </w:r>
      <w:r w:rsidR="0064190C">
        <w:t xml:space="preserve"> </w:t>
      </w:r>
      <w:proofErr w:type="spellStart"/>
      <w:r w:rsidR="0064190C">
        <w:t>mpMRI</w:t>
      </w:r>
      <w:proofErr w:type="spellEnd"/>
      <w:r w:rsidR="0064190C">
        <w:t xml:space="preserve"> scans of the prostate</w:t>
      </w:r>
      <w:r>
        <w:t xml:space="preserve"> is presented in </w:t>
      </w:r>
      <w:r>
        <w:fldChar w:fldCharType="begin"/>
      </w:r>
      <w:r>
        <w:instrText xml:space="preserve"> REF _Ref283284346 \h </w:instrText>
      </w:r>
      <w:r>
        <w:fldChar w:fldCharType="separate"/>
      </w:r>
      <w:r w:rsidR="00B90E4F" w:rsidRPr="00A34E9C">
        <w:t xml:space="preserve">Table </w:t>
      </w:r>
      <w:r w:rsidR="00B90E4F">
        <w:rPr>
          <w:noProof/>
        </w:rPr>
        <w:t>3</w:t>
      </w:r>
      <w:r>
        <w:fldChar w:fldCharType="end"/>
      </w:r>
      <w:r>
        <w:t xml:space="preserve"> below.</w:t>
      </w:r>
      <w:r w:rsidR="0064190C">
        <w:t xml:space="preserve"> </w:t>
      </w:r>
    </w:p>
    <w:p w14:paraId="6B975A82" w14:textId="77777777" w:rsidR="0064190C" w:rsidRPr="00A34E9C" w:rsidRDefault="0064190C" w:rsidP="0064190C">
      <w:pPr>
        <w:pStyle w:val="Caption"/>
      </w:pPr>
      <w:bookmarkStart w:id="20" w:name="_Ref283284346"/>
      <w:r w:rsidRPr="00A34E9C">
        <w:t xml:space="preserve">Table </w:t>
      </w:r>
      <w:r>
        <w:fldChar w:fldCharType="begin"/>
      </w:r>
      <w:r>
        <w:instrText xml:space="preserve"> SEQ Table \* ARABIC </w:instrText>
      </w:r>
      <w:r>
        <w:fldChar w:fldCharType="separate"/>
      </w:r>
      <w:r w:rsidR="00B90E4F">
        <w:rPr>
          <w:noProof/>
        </w:rPr>
        <w:t>3</w:t>
      </w:r>
      <w:r>
        <w:rPr>
          <w:noProof/>
        </w:rPr>
        <w:fldChar w:fldCharType="end"/>
      </w:r>
      <w:bookmarkEnd w:id="20"/>
      <w:r w:rsidRPr="00A34E9C">
        <w:t>:</w:t>
      </w:r>
      <w:r w:rsidRPr="00A34E9C">
        <w:tab/>
      </w:r>
      <w:r>
        <w:t xml:space="preserve">Proposed </w:t>
      </w:r>
      <w:r w:rsidRPr="00A34E9C">
        <w:t>MBS item descriptor</w:t>
      </w:r>
      <w:r w:rsidR="00AA1BF8">
        <w:t>s</w:t>
      </w:r>
      <w:r w:rsidRPr="00A34E9C">
        <w:t xml:space="preserve"> for</w:t>
      </w:r>
      <w:r w:rsidR="00771973">
        <w:t xml:space="preserve"> </w:t>
      </w:r>
      <w:proofErr w:type="spellStart"/>
      <w:r w:rsidR="00771973">
        <w:t>mpMRI</w:t>
      </w:r>
      <w:proofErr w:type="spellEnd"/>
      <w:r w:rsidR="00771973">
        <w:t xml:space="preserve"> scans of the prostate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Table 3: Proposed MBS item descriptor for multiparametric MRI (mpMRI) scans of the prostate"/>
        <w:tblDescription w:val="Proposed MBS item descriptor for multiparametric MRI (mpMRI) scans of the prostate"/>
      </w:tblPr>
      <w:tblGrid>
        <w:gridCol w:w="9134"/>
      </w:tblGrid>
      <w:tr w:rsidR="0064190C" w:rsidRPr="00A34E9C" w14:paraId="23431FDA" w14:textId="77777777" w:rsidTr="004F6B43">
        <w:tc>
          <w:tcPr>
            <w:tcW w:w="9134" w:type="dxa"/>
          </w:tcPr>
          <w:p w14:paraId="28781ED2" w14:textId="77777777" w:rsidR="004B0747" w:rsidRPr="00771973" w:rsidRDefault="00F4575C" w:rsidP="00F4575C">
            <w:pPr>
              <w:spacing w:after="0" w:line="240" w:lineRule="auto"/>
              <w:jc w:val="right"/>
              <w:rPr>
                <w:rFonts w:ascii="Arial Narrow" w:hAnsi="Arial Narrow"/>
                <w:lang w:eastAsia="ja-JP"/>
              </w:rPr>
            </w:pPr>
            <w:r>
              <w:rPr>
                <w:rFonts w:ascii="Arial Narrow" w:hAnsi="Arial Narrow"/>
                <w:lang w:eastAsia="ja-JP"/>
              </w:rPr>
              <w:t>Category 5 – Diagnostic Imaging Services</w:t>
            </w:r>
          </w:p>
        </w:tc>
      </w:tr>
      <w:tr w:rsidR="0064190C" w:rsidRPr="004318C9" w14:paraId="48408AC2" w14:textId="77777777" w:rsidTr="004F6B43">
        <w:tc>
          <w:tcPr>
            <w:tcW w:w="9134" w:type="dxa"/>
          </w:tcPr>
          <w:p w14:paraId="6129C58F" w14:textId="77777777" w:rsidR="0064190C" w:rsidRPr="004318C9" w:rsidRDefault="0064190C" w:rsidP="004F6B43">
            <w:pPr>
              <w:spacing w:after="120" w:line="240" w:lineRule="auto"/>
              <w:rPr>
                <w:rFonts w:ascii="Arial Narrow" w:hAnsi="Arial Narrow"/>
                <w:lang w:val="en-US" w:eastAsia="ja-JP"/>
              </w:rPr>
            </w:pPr>
            <w:r w:rsidRPr="004318C9">
              <w:rPr>
                <w:rFonts w:ascii="Arial Narrow" w:hAnsi="Arial Narrow"/>
                <w:lang w:val="en-US" w:eastAsia="ja-JP"/>
              </w:rPr>
              <w:t>MBS [item number]</w:t>
            </w:r>
          </w:p>
          <w:p w14:paraId="1A8CF736" w14:textId="77777777" w:rsidR="008464AF" w:rsidRDefault="00771973" w:rsidP="00AA1BF8">
            <w:pPr>
              <w:spacing w:after="120" w:line="240" w:lineRule="auto"/>
              <w:rPr>
                <w:rFonts w:ascii="Arial Narrow" w:hAnsi="Arial Narrow"/>
              </w:rPr>
            </w:pPr>
            <w:proofErr w:type="spellStart"/>
            <w:r w:rsidRPr="004318C9">
              <w:rPr>
                <w:rFonts w:ascii="Arial Narrow" w:hAnsi="Arial Narrow"/>
              </w:rPr>
              <w:t>Mul</w:t>
            </w:r>
            <w:r w:rsidR="008464AF">
              <w:rPr>
                <w:rFonts w:ascii="Arial Narrow" w:hAnsi="Arial Narrow"/>
              </w:rPr>
              <w:t>t</w:t>
            </w:r>
            <w:r w:rsidRPr="004318C9">
              <w:rPr>
                <w:rFonts w:ascii="Arial Narrow" w:hAnsi="Arial Narrow"/>
              </w:rPr>
              <w:t>iparametric</w:t>
            </w:r>
            <w:proofErr w:type="spellEnd"/>
            <w:r w:rsidRPr="004318C9">
              <w:rPr>
                <w:rFonts w:ascii="Arial Narrow" w:hAnsi="Arial Narrow"/>
              </w:rPr>
              <w:t xml:space="preserve"> Magnetic Resonance Imaging (</w:t>
            </w:r>
            <w:proofErr w:type="spellStart"/>
            <w:r w:rsidRPr="004318C9">
              <w:rPr>
                <w:rFonts w:ascii="Arial Narrow" w:hAnsi="Arial Narrow"/>
              </w:rPr>
              <w:t>mpMRI</w:t>
            </w:r>
            <w:proofErr w:type="spellEnd"/>
            <w:r w:rsidRPr="004318C9">
              <w:rPr>
                <w:rFonts w:ascii="Arial Narrow" w:hAnsi="Arial Narrow"/>
              </w:rPr>
              <w:t>)</w:t>
            </w:r>
            <w:r w:rsidR="008464AF" w:rsidRPr="004318C9">
              <w:rPr>
                <w:rFonts w:ascii="Arial Narrow" w:hAnsi="Arial Narrow"/>
              </w:rPr>
              <w:t xml:space="preserve"> </w:t>
            </w:r>
            <w:r w:rsidR="00AA1BF8" w:rsidRPr="00AA1BF8">
              <w:rPr>
                <w:rFonts w:ascii="Arial Narrow" w:hAnsi="Arial Narrow"/>
              </w:rPr>
              <w:t>performed under the professional supervision of an eligible provider at an eligible location where the patient is referred by</w:t>
            </w:r>
            <w:r w:rsidR="008464AF">
              <w:t xml:space="preserve"> </w:t>
            </w:r>
            <w:r w:rsidR="008464AF" w:rsidRPr="008464AF">
              <w:rPr>
                <w:rFonts w:ascii="Arial Narrow" w:hAnsi="Arial Narrow"/>
              </w:rPr>
              <w:t>an urologist, radiation oncologist, or medical oncologist</w:t>
            </w:r>
            <w:r w:rsidR="008464AF">
              <w:rPr>
                <w:rFonts w:ascii="Arial Narrow" w:hAnsi="Arial Narrow"/>
              </w:rPr>
              <w:t xml:space="preserve"> and where:</w:t>
            </w:r>
          </w:p>
          <w:p w14:paraId="2CF49A8D" w14:textId="77777777" w:rsidR="008464AF" w:rsidRPr="00576049" w:rsidRDefault="008464AF" w:rsidP="0071490C">
            <w:pPr>
              <w:pStyle w:val="ListParagraph"/>
              <w:numPr>
                <w:ilvl w:val="0"/>
                <w:numId w:val="10"/>
              </w:numPr>
              <w:spacing w:after="120" w:line="240" w:lineRule="auto"/>
              <w:rPr>
                <w:rFonts w:ascii="Arial Narrow" w:hAnsi="Arial Narrow"/>
              </w:rPr>
            </w:pPr>
            <w:r w:rsidRPr="00576049">
              <w:rPr>
                <w:rFonts w:ascii="Arial Narrow" w:hAnsi="Arial Narrow"/>
              </w:rPr>
              <w:t xml:space="preserve">a standardised image acquisition protocol involving T2 weighted imaging, Diffusion Weighted Imaging, and Dynamic Contrast Enhancement </w:t>
            </w:r>
            <w:r w:rsidR="009E1125">
              <w:rPr>
                <w:rFonts w:ascii="Arial Narrow" w:hAnsi="Arial Narrow"/>
              </w:rPr>
              <w:t>(unless contraindicated)</w:t>
            </w:r>
            <w:r w:rsidRPr="00576049">
              <w:rPr>
                <w:rFonts w:ascii="Arial Narrow" w:hAnsi="Arial Narrow"/>
              </w:rPr>
              <w:t>is used; and</w:t>
            </w:r>
          </w:p>
          <w:p w14:paraId="3ED9D516" w14:textId="77777777" w:rsidR="008464AF" w:rsidRPr="00576049" w:rsidRDefault="008464AF" w:rsidP="0071490C">
            <w:pPr>
              <w:pStyle w:val="ListParagraph"/>
              <w:numPr>
                <w:ilvl w:val="0"/>
                <w:numId w:val="10"/>
              </w:numPr>
              <w:spacing w:after="120" w:line="240" w:lineRule="auto"/>
              <w:rPr>
                <w:rFonts w:ascii="Arial Narrow" w:hAnsi="Arial Narrow"/>
              </w:rPr>
            </w:pPr>
            <w:proofErr w:type="gramStart"/>
            <w:r w:rsidRPr="00576049">
              <w:rPr>
                <w:rFonts w:ascii="Arial Narrow" w:hAnsi="Arial Narrow"/>
              </w:rPr>
              <w:t>the</w:t>
            </w:r>
            <w:proofErr w:type="gramEnd"/>
            <w:r w:rsidRPr="00576049">
              <w:rPr>
                <w:rFonts w:ascii="Arial Narrow" w:hAnsi="Arial Narrow"/>
              </w:rPr>
              <w:t xml:space="preserve"> man is suspected of having prostate cancer on the basis of a high or concerning PSA.</w:t>
            </w:r>
          </w:p>
          <w:p w14:paraId="45D079DE" w14:textId="77777777" w:rsidR="008464AF" w:rsidRDefault="008464AF" w:rsidP="00AA1BF8">
            <w:pPr>
              <w:spacing w:after="120" w:line="240" w:lineRule="auto"/>
              <w:rPr>
                <w:rFonts w:ascii="Arial Narrow" w:hAnsi="Arial Narrow"/>
              </w:rPr>
            </w:pPr>
            <w:r>
              <w:rPr>
                <w:rFonts w:ascii="Arial Narrow" w:hAnsi="Arial Narrow"/>
              </w:rPr>
              <w:t>S</w:t>
            </w:r>
            <w:r w:rsidRPr="004318C9">
              <w:rPr>
                <w:rFonts w:ascii="Arial Narrow" w:hAnsi="Arial Narrow"/>
              </w:rPr>
              <w:t xml:space="preserve">can of the prostate </w:t>
            </w:r>
            <w:r>
              <w:rPr>
                <w:rFonts w:ascii="Arial Narrow" w:hAnsi="Arial Narrow"/>
              </w:rPr>
              <w:t>for:</w:t>
            </w:r>
          </w:p>
          <w:p w14:paraId="69E0216C" w14:textId="77777777" w:rsidR="006378FB" w:rsidRPr="00576049" w:rsidRDefault="008464AF" w:rsidP="00AA1BF8">
            <w:pPr>
              <w:spacing w:after="120" w:line="240" w:lineRule="auto"/>
              <w:rPr>
                <w:rFonts w:ascii="Arial Narrow" w:hAnsi="Arial Narrow"/>
              </w:rPr>
            </w:pPr>
            <w:r>
              <w:rPr>
                <w:rFonts w:ascii="Arial Narrow" w:hAnsi="Arial Narrow"/>
              </w:rPr>
              <w:t>– detection of cancer</w:t>
            </w:r>
            <w:r w:rsidR="006378FB" w:rsidRPr="00576049">
              <w:rPr>
                <w:rFonts w:ascii="Arial Narrow" w:hAnsi="Arial Narrow"/>
              </w:rPr>
              <w:t xml:space="preserve"> </w:t>
            </w:r>
            <w:r>
              <w:rPr>
                <w:rFonts w:ascii="Arial Narrow" w:hAnsi="Arial Narrow"/>
              </w:rPr>
              <w:t>(R)(Contrast)</w:t>
            </w:r>
          </w:p>
          <w:p w14:paraId="566F1C07" w14:textId="453718E9" w:rsidR="0064190C" w:rsidRPr="004318C9" w:rsidRDefault="0064190C" w:rsidP="004F6B43">
            <w:pPr>
              <w:spacing w:after="120" w:line="240" w:lineRule="auto"/>
              <w:rPr>
                <w:rFonts w:ascii="Arial Narrow" w:hAnsi="Arial Narrow"/>
                <w:lang w:val="en-US" w:eastAsia="ja-JP"/>
              </w:rPr>
            </w:pPr>
            <w:r w:rsidRPr="004318C9">
              <w:rPr>
                <w:rFonts w:ascii="Arial Narrow" w:hAnsi="Arial Narrow"/>
                <w:lang w:val="en-US" w:eastAsia="ja-JP"/>
              </w:rPr>
              <w:t>Fee:</w:t>
            </w:r>
            <w:r w:rsidR="00771973" w:rsidRPr="004318C9">
              <w:rPr>
                <w:rFonts w:ascii="Arial Narrow" w:hAnsi="Arial Narrow"/>
                <w:lang w:val="en-US" w:eastAsia="ja-JP"/>
              </w:rPr>
              <w:t xml:space="preserve"> [Applicant advises that current fee charged is $</w:t>
            </w:r>
            <w:r w:rsidR="00F3662C">
              <w:rPr>
                <w:rFonts w:ascii="Arial Narrow" w:hAnsi="Arial Narrow"/>
                <w:lang w:val="en-US" w:eastAsia="ja-JP"/>
              </w:rPr>
              <w:t>600</w:t>
            </w:r>
            <w:r w:rsidR="00771973" w:rsidRPr="004318C9">
              <w:rPr>
                <w:rFonts w:ascii="Arial Narrow" w:hAnsi="Arial Narrow"/>
                <w:lang w:val="en-US" w:eastAsia="ja-JP"/>
              </w:rPr>
              <w:t>]</w:t>
            </w:r>
          </w:p>
          <w:p w14:paraId="7F9312AE" w14:textId="77777777" w:rsidR="0064190C" w:rsidRPr="00927DBB" w:rsidRDefault="0064190C" w:rsidP="004F6B43">
            <w:pPr>
              <w:spacing w:after="120" w:line="240" w:lineRule="auto"/>
              <w:rPr>
                <w:rFonts w:ascii="Arial Narrow" w:hAnsi="Arial Narrow"/>
              </w:rPr>
            </w:pPr>
            <w:r w:rsidRPr="004318C9">
              <w:rPr>
                <w:rFonts w:ascii="Arial Narrow" w:hAnsi="Arial Narrow"/>
                <w:lang w:val="en-US" w:eastAsia="ja-JP"/>
              </w:rPr>
              <w:t>[Relevant explanatory notes]</w:t>
            </w:r>
            <w:r w:rsidR="004318C9" w:rsidRPr="004318C9">
              <w:rPr>
                <w:rFonts w:ascii="Arial Narrow" w:hAnsi="Arial Narrow"/>
              </w:rPr>
              <w:t xml:space="preserve"> </w:t>
            </w:r>
          </w:p>
        </w:tc>
      </w:tr>
      <w:tr w:rsidR="00AA1BF8" w:rsidRPr="004318C9" w14:paraId="44BA8765" w14:textId="77777777" w:rsidTr="00E56510">
        <w:tc>
          <w:tcPr>
            <w:tcW w:w="9134" w:type="dxa"/>
          </w:tcPr>
          <w:p w14:paraId="6F17FD87" w14:textId="77777777" w:rsidR="00AA1BF8" w:rsidRPr="004318C9" w:rsidRDefault="00AA1BF8" w:rsidP="00E56510">
            <w:pPr>
              <w:spacing w:after="120" w:line="240" w:lineRule="auto"/>
              <w:rPr>
                <w:rFonts w:ascii="Arial Narrow" w:hAnsi="Arial Narrow"/>
                <w:lang w:val="en-US" w:eastAsia="ja-JP"/>
              </w:rPr>
            </w:pPr>
            <w:r w:rsidRPr="004318C9">
              <w:rPr>
                <w:rFonts w:ascii="Arial Narrow" w:hAnsi="Arial Narrow"/>
                <w:lang w:val="en-US" w:eastAsia="ja-JP"/>
              </w:rPr>
              <w:t>MBS [item number]</w:t>
            </w:r>
          </w:p>
          <w:p w14:paraId="06662812" w14:textId="77777777" w:rsidR="008464AF" w:rsidRPr="008464AF" w:rsidRDefault="008464AF" w:rsidP="008464AF">
            <w:pPr>
              <w:spacing w:after="120" w:line="240" w:lineRule="auto"/>
              <w:rPr>
                <w:rFonts w:ascii="Arial Narrow" w:hAnsi="Arial Narrow"/>
              </w:rPr>
            </w:pPr>
            <w:proofErr w:type="spellStart"/>
            <w:r w:rsidRPr="008464AF">
              <w:rPr>
                <w:rFonts w:ascii="Arial Narrow" w:hAnsi="Arial Narrow"/>
              </w:rPr>
              <w:t>Multiparametric</w:t>
            </w:r>
            <w:proofErr w:type="spellEnd"/>
            <w:r w:rsidRPr="008464AF">
              <w:rPr>
                <w:rFonts w:ascii="Arial Narrow" w:hAnsi="Arial Narrow"/>
              </w:rPr>
              <w:t xml:space="preserve"> Magnetic Resonance Imaging (</w:t>
            </w:r>
            <w:proofErr w:type="spellStart"/>
            <w:r w:rsidRPr="008464AF">
              <w:rPr>
                <w:rFonts w:ascii="Arial Narrow" w:hAnsi="Arial Narrow"/>
              </w:rPr>
              <w:t>mpMRI</w:t>
            </w:r>
            <w:proofErr w:type="spellEnd"/>
            <w:r w:rsidRPr="008464AF">
              <w:rPr>
                <w:rFonts w:ascii="Arial Narrow" w:hAnsi="Arial Narrow"/>
              </w:rPr>
              <w:t>) performed under the professional supervision of an eligible provider at an eligible location where the patient is referred by an urologist, radiation oncologist, or medical oncologist and where:</w:t>
            </w:r>
          </w:p>
          <w:p w14:paraId="181BF01E" w14:textId="77777777" w:rsidR="008464AF" w:rsidRPr="00576049" w:rsidRDefault="008464AF" w:rsidP="0071490C">
            <w:pPr>
              <w:pStyle w:val="ListParagraph"/>
              <w:numPr>
                <w:ilvl w:val="0"/>
                <w:numId w:val="11"/>
              </w:numPr>
              <w:spacing w:after="120" w:line="240" w:lineRule="auto"/>
              <w:rPr>
                <w:rFonts w:ascii="Arial Narrow" w:hAnsi="Arial Narrow"/>
              </w:rPr>
            </w:pPr>
            <w:r w:rsidRPr="00576049">
              <w:rPr>
                <w:rFonts w:ascii="Arial Narrow" w:hAnsi="Arial Narrow"/>
              </w:rPr>
              <w:t>a standardised image acquisition protocol involving T2 weighted imaging, Diffusion Weighted Imaging, and Dynamic Contrast Enhancement</w:t>
            </w:r>
            <w:r w:rsidR="009E1125">
              <w:rPr>
                <w:rFonts w:ascii="Arial Narrow" w:hAnsi="Arial Narrow"/>
              </w:rPr>
              <w:t xml:space="preserve"> (unless contraindicated)</w:t>
            </w:r>
            <w:r w:rsidRPr="00576049">
              <w:rPr>
                <w:rFonts w:ascii="Arial Narrow" w:hAnsi="Arial Narrow"/>
              </w:rPr>
              <w:t xml:space="preserve"> is used; and</w:t>
            </w:r>
          </w:p>
          <w:p w14:paraId="02D75D82" w14:textId="77777777" w:rsidR="008464AF" w:rsidRPr="00576049" w:rsidRDefault="008464AF" w:rsidP="0071490C">
            <w:pPr>
              <w:pStyle w:val="ListParagraph"/>
              <w:numPr>
                <w:ilvl w:val="0"/>
                <w:numId w:val="11"/>
              </w:numPr>
              <w:spacing w:after="120" w:line="240" w:lineRule="auto"/>
              <w:rPr>
                <w:rFonts w:ascii="Arial Narrow" w:hAnsi="Arial Narrow"/>
              </w:rPr>
            </w:pPr>
            <w:proofErr w:type="gramStart"/>
            <w:r w:rsidRPr="00576049">
              <w:rPr>
                <w:rFonts w:ascii="Arial Narrow" w:hAnsi="Arial Narrow"/>
              </w:rPr>
              <w:t>the</w:t>
            </w:r>
            <w:proofErr w:type="gramEnd"/>
            <w:r w:rsidRPr="00576049">
              <w:rPr>
                <w:rFonts w:ascii="Arial Narrow" w:hAnsi="Arial Narrow"/>
              </w:rPr>
              <w:t xml:space="preserve"> man </w:t>
            </w:r>
            <w:r>
              <w:rPr>
                <w:rFonts w:ascii="Arial Narrow" w:hAnsi="Arial Narrow"/>
              </w:rPr>
              <w:t xml:space="preserve">has an existing </w:t>
            </w:r>
            <w:r w:rsidRPr="007316B2">
              <w:rPr>
                <w:rFonts w:ascii="Arial Narrow" w:hAnsi="Arial Narrow"/>
              </w:rPr>
              <w:t>diagnos</w:t>
            </w:r>
            <w:r>
              <w:rPr>
                <w:rFonts w:ascii="Arial Narrow" w:hAnsi="Arial Narrow"/>
              </w:rPr>
              <w:t>is of</w:t>
            </w:r>
            <w:r w:rsidRPr="007316B2">
              <w:rPr>
                <w:rFonts w:ascii="Arial Narrow" w:hAnsi="Arial Narrow"/>
              </w:rPr>
              <w:t xml:space="preserve"> low or intermediate risk prostate cancer </w:t>
            </w:r>
            <w:r>
              <w:rPr>
                <w:rFonts w:ascii="Arial Narrow" w:hAnsi="Arial Narrow"/>
              </w:rPr>
              <w:t xml:space="preserve">and is </w:t>
            </w:r>
            <w:r w:rsidRPr="007316B2">
              <w:rPr>
                <w:rFonts w:ascii="Arial Narrow" w:hAnsi="Arial Narrow"/>
              </w:rPr>
              <w:t>undertaking Active Surveillance</w:t>
            </w:r>
            <w:r>
              <w:rPr>
                <w:rFonts w:ascii="Arial Narrow" w:hAnsi="Arial Narrow"/>
              </w:rPr>
              <w:t>.</w:t>
            </w:r>
          </w:p>
          <w:p w14:paraId="1B2AF6F5" w14:textId="77777777" w:rsidR="008464AF" w:rsidRPr="008464AF" w:rsidRDefault="008464AF" w:rsidP="008464AF">
            <w:pPr>
              <w:spacing w:after="120" w:line="240" w:lineRule="auto"/>
              <w:rPr>
                <w:rFonts w:ascii="Arial Narrow" w:hAnsi="Arial Narrow"/>
              </w:rPr>
            </w:pPr>
            <w:r w:rsidRPr="008464AF">
              <w:rPr>
                <w:rFonts w:ascii="Arial Narrow" w:hAnsi="Arial Narrow"/>
              </w:rPr>
              <w:t>Scan of the prostate for:</w:t>
            </w:r>
          </w:p>
          <w:p w14:paraId="5A50C75B" w14:textId="77777777" w:rsidR="008464AF" w:rsidRDefault="008464AF" w:rsidP="00576049">
            <w:pPr>
              <w:spacing w:after="120" w:line="240" w:lineRule="auto"/>
              <w:rPr>
                <w:rFonts w:ascii="Arial Narrow" w:hAnsi="Arial Narrow"/>
              </w:rPr>
            </w:pPr>
            <w:r w:rsidRPr="008464AF">
              <w:rPr>
                <w:rFonts w:ascii="Arial Narrow" w:hAnsi="Arial Narrow"/>
              </w:rPr>
              <w:t xml:space="preserve">– </w:t>
            </w:r>
            <w:r w:rsidR="00B14FD5">
              <w:rPr>
                <w:rFonts w:ascii="Arial Narrow" w:hAnsi="Arial Narrow"/>
              </w:rPr>
              <w:t>assessment</w:t>
            </w:r>
            <w:r w:rsidRPr="008464AF">
              <w:rPr>
                <w:rFonts w:ascii="Arial Narrow" w:hAnsi="Arial Narrow"/>
              </w:rPr>
              <w:t xml:space="preserve"> of cancer (R)(Contrast)</w:t>
            </w:r>
          </w:p>
          <w:p w14:paraId="67FCE14C" w14:textId="6DC38E64" w:rsidR="00AA1BF8" w:rsidRPr="004318C9" w:rsidRDefault="00AA1BF8" w:rsidP="00E56510">
            <w:pPr>
              <w:spacing w:after="120" w:line="240" w:lineRule="auto"/>
              <w:rPr>
                <w:rFonts w:ascii="Arial Narrow" w:hAnsi="Arial Narrow"/>
                <w:lang w:val="en-US" w:eastAsia="ja-JP"/>
              </w:rPr>
            </w:pPr>
            <w:r w:rsidRPr="004318C9">
              <w:rPr>
                <w:rFonts w:ascii="Arial Narrow" w:hAnsi="Arial Narrow"/>
                <w:lang w:val="en-US" w:eastAsia="ja-JP"/>
              </w:rPr>
              <w:t>Fee: [Applicant advises that current fee charged is $</w:t>
            </w:r>
            <w:r w:rsidR="00F3662C">
              <w:rPr>
                <w:rFonts w:ascii="Arial Narrow" w:hAnsi="Arial Narrow"/>
                <w:lang w:val="en-US" w:eastAsia="ja-JP"/>
              </w:rPr>
              <w:t>600</w:t>
            </w:r>
            <w:r w:rsidRPr="004318C9">
              <w:rPr>
                <w:rFonts w:ascii="Arial Narrow" w:hAnsi="Arial Narrow"/>
                <w:lang w:val="en-US" w:eastAsia="ja-JP"/>
              </w:rPr>
              <w:t>]</w:t>
            </w:r>
          </w:p>
          <w:p w14:paraId="6B5C0862" w14:textId="77777777" w:rsidR="00AA1BF8" w:rsidRPr="00927DBB" w:rsidRDefault="00AA1BF8" w:rsidP="00E56510">
            <w:pPr>
              <w:spacing w:after="120" w:line="240" w:lineRule="auto"/>
              <w:rPr>
                <w:rFonts w:ascii="Arial Narrow" w:hAnsi="Arial Narrow"/>
              </w:rPr>
            </w:pPr>
            <w:r w:rsidRPr="004318C9">
              <w:rPr>
                <w:rFonts w:ascii="Arial Narrow" w:hAnsi="Arial Narrow"/>
                <w:lang w:val="en-US" w:eastAsia="ja-JP"/>
              </w:rPr>
              <w:t>[Relevant explanatory notes]</w:t>
            </w:r>
            <w:r w:rsidRPr="004318C9">
              <w:rPr>
                <w:rFonts w:ascii="Arial Narrow" w:hAnsi="Arial Narrow"/>
              </w:rPr>
              <w:t xml:space="preserve"> </w:t>
            </w:r>
          </w:p>
        </w:tc>
      </w:tr>
    </w:tbl>
    <w:p w14:paraId="42E907D5" w14:textId="77777777" w:rsidR="009E41BB" w:rsidRPr="009E41BB" w:rsidRDefault="009E41BB" w:rsidP="009E41BB">
      <w:pPr>
        <w:rPr>
          <w:rFonts w:eastAsia="Calibri"/>
          <w:sz w:val="18"/>
          <w:szCs w:val="18"/>
        </w:rPr>
      </w:pPr>
      <w:r>
        <w:t xml:space="preserve">Contrast application – MBS item </w:t>
      </w:r>
      <w:r w:rsidRPr="009E41BB">
        <w:rPr>
          <w:rFonts w:eastAsia="Calibri"/>
          <w:sz w:val="18"/>
          <w:szCs w:val="18"/>
        </w:rPr>
        <w:t xml:space="preserve">63491 </w:t>
      </w:r>
    </w:p>
    <w:p w14:paraId="00DE3D91" w14:textId="77777777" w:rsidR="00022C8C" w:rsidRDefault="00022C8C" w:rsidP="00927DBB">
      <w:r w:rsidRPr="00927DBB">
        <w:t>PASC noted that the cost for the contrast agent is included in the proposed fees. PASC suggested that the cost of the contrast agent should be listed separately, as for other MRI items.</w:t>
      </w:r>
    </w:p>
    <w:p w14:paraId="121E95AC" w14:textId="77777777" w:rsidR="007252D5" w:rsidRPr="00A34E9C" w:rsidRDefault="007252D5" w:rsidP="009B59B7">
      <w:pPr>
        <w:pStyle w:val="Heading2"/>
      </w:pPr>
      <w:bookmarkStart w:id="21" w:name="_Toc444781444"/>
      <w:r w:rsidRPr="00A34E9C">
        <w:t>Clinical place for proposed intervention</w:t>
      </w:r>
      <w:bookmarkEnd w:id="21"/>
    </w:p>
    <w:p w14:paraId="3A60A5C0" w14:textId="77777777" w:rsidR="00D74C7C" w:rsidRDefault="00D74C7C" w:rsidP="00D74C7C">
      <w:pPr>
        <w:pStyle w:val="Heading3"/>
      </w:pPr>
      <w:bookmarkStart w:id="22" w:name="_Toc444781445"/>
      <w:r>
        <w:t xml:space="preserve">Clinical scenario 1: </w:t>
      </w:r>
      <w:r w:rsidRPr="00D74C7C">
        <w:t>men who are suspected of having prostate cancer</w:t>
      </w:r>
      <w:bookmarkEnd w:id="22"/>
    </w:p>
    <w:p w14:paraId="28C38E6B" w14:textId="4D18A86B" w:rsidR="00B666FF" w:rsidRDefault="00B666FF" w:rsidP="00B666FF">
      <w:r>
        <w:t xml:space="preserve">Currently, the signs of prostate cancer are detected with a prostate-specific antigen test (PSA) and/or a digital rectal examination (DRE). PSA and DRE are not diagnostic; diagnosis is obtained via ultrasound-guided biopsy (either TRUSGB or TPUSGB). </w:t>
      </w:r>
      <w:r w:rsidR="00BF5A05">
        <w:t xml:space="preserve">Patients who receive a negative biopsy result will remain under observation and have a follow-up PSA test after </w:t>
      </w:r>
      <w:r w:rsidR="00D36025">
        <w:t>twelve months</w:t>
      </w:r>
      <w:r w:rsidR="00BF5A05">
        <w:t xml:space="preserve">. Patients with a biopsy result indicating intermediate or low risk cancer will be offered active surveillance, which is </w:t>
      </w:r>
      <w:r w:rsidR="00BF5A05">
        <w:lastRenderedPageBreak/>
        <w:t xml:space="preserve">detailed in </w:t>
      </w:r>
      <w:r w:rsidR="00505704" w:rsidRPr="00505704">
        <w:t>F</w:t>
      </w:r>
      <w:r w:rsidR="00BF5A05" w:rsidRPr="00505704">
        <w:t xml:space="preserve">igure </w:t>
      </w:r>
      <w:r w:rsidR="00505704" w:rsidRPr="00505704">
        <w:t>3</w:t>
      </w:r>
      <w:r w:rsidR="00BF5A05" w:rsidRPr="00505704">
        <w:t>. Patients with a biopsy result indicating high risk or intermediate risk cancer will be offered</w:t>
      </w:r>
      <w:r w:rsidR="00BF5A05">
        <w:t xml:space="preserve"> surgery or a radiotherapy/hormone therapy combination.</w:t>
      </w:r>
    </w:p>
    <w:p w14:paraId="713B6646" w14:textId="77777777" w:rsidR="00B666FF" w:rsidRDefault="00B666FF" w:rsidP="00B666FF">
      <w:pPr>
        <w:pStyle w:val="Caption"/>
        <w:spacing w:after="240"/>
      </w:pPr>
      <w:r w:rsidRPr="005944F4">
        <w:t xml:space="preserve">Figure </w:t>
      </w:r>
      <w:r w:rsidRPr="005944F4">
        <w:fldChar w:fldCharType="begin"/>
      </w:r>
      <w:r w:rsidRPr="005944F4">
        <w:instrText xml:space="preserve"> SEQ Figure \* ARABIC </w:instrText>
      </w:r>
      <w:r w:rsidRPr="005944F4">
        <w:fldChar w:fldCharType="separate"/>
      </w:r>
      <w:r w:rsidR="00B90E4F">
        <w:rPr>
          <w:noProof/>
        </w:rPr>
        <w:t>1</w:t>
      </w:r>
      <w:r w:rsidRPr="005944F4">
        <w:fldChar w:fldCharType="end"/>
      </w:r>
      <w:r w:rsidRPr="005944F4">
        <w:t>: Current clinical management algorithm without the proposed intervention</w:t>
      </w:r>
    </w:p>
    <w:p w14:paraId="0ECF8F9B" w14:textId="77777777" w:rsidR="00B666FF" w:rsidRDefault="00BF5A05" w:rsidP="000D3212">
      <w:pPr>
        <w:spacing w:after="0"/>
        <w:rPr>
          <w:noProof/>
          <w:lang w:eastAsia="en-AU"/>
        </w:rPr>
      </w:pPr>
      <w:r>
        <w:rPr>
          <w:noProof/>
          <w:lang w:eastAsia="en-AU"/>
        </w:rPr>
        <w:drawing>
          <wp:inline distT="0" distB="0" distL="0" distR="0" wp14:anchorId="2C892518" wp14:editId="2460CB82">
            <wp:extent cx="5731510" cy="2814320"/>
            <wp:effectExtent l="0" t="0" r="2540" b="5080"/>
            <wp:docPr id="3" name="Picture 3" title="Figure 1: Current clinical management algorithm without the proposed inter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gorithm current 31Jul15.jpeg"/>
                    <pic:cNvPicPr/>
                  </pic:nvPicPr>
                  <pic:blipFill>
                    <a:blip r:embed="rId9">
                      <a:extLst>
                        <a:ext uri="{28A0092B-C50C-407E-A947-70E740481C1C}">
                          <a14:useLocalDpi xmlns:a14="http://schemas.microsoft.com/office/drawing/2010/main" val="0"/>
                        </a:ext>
                      </a:extLst>
                    </a:blip>
                    <a:stretch>
                      <a:fillRect/>
                    </a:stretch>
                  </pic:blipFill>
                  <pic:spPr>
                    <a:xfrm>
                      <a:off x="0" y="0"/>
                      <a:ext cx="5731510" cy="2814320"/>
                    </a:xfrm>
                    <a:prstGeom prst="rect">
                      <a:avLst/>
                    </a:prstGeom>
                  </pic:spPr>
                </pic:pic>
              </a:graphicData>
            </a:graphic>
          </wp:inline>
        </w:drawing>
      </w:r>
    </w:p>
    <w:p w14:paraId="4BC4F0AB" w14:textId="77777777" w:rsidR="00C852B2" w:rsidRDefault="00A2427E" w:rsidP="00C852B2">
      <w:pPr>
        <w:pStyle w:val="NoSpacing"/>
        <w:rPr>
          <w:rFonts w:ascii="Arial Narrow" w:hAnsi="Arial Narrow"/>
          <w:sz w:val="20"/>
        </w:rPr>
      </w:pPr>
      <w:r w:rsidRPr="00472AF3">
        <w:rPr>
          <w:rFonts w:ascii="Arial Narrow" w:hAnsi="Arial Narrow"/>
          <w:sz w:val="20"/>
        </w:rPr>
        <w:t>Abbreviations: PSA</w:t>
      </w:r>
      <w:r w:rsidR="00F81F36" w:rsidRPr="00472AF3">
        <w:rPr>
          <w:rFonts w:ascii="Arial Narrow" w:hAnsi="Arial Narrow"/>
          <w:sz w:val="20"/>
        </w:rPr>
        <w:t xml:space="preserve">=prostate-specific antigen test; </w:t>
      </w:r>
      <w:r w:rsidRPr="00472AF3">
        <w:rPr>
          <w:rFonts w:ascii="Arial Narrow" w:hAnsi="Arial Narrow"/>
          <w:sz w:val="20"/>
        </w:rPr>
        <w:t>DRE</w:t>
      </w:r>
      <w:r w:rsidR="00F81F36" w:rsidRPr="00472AF3">
        <w:rPr>
          <w:rFonts w:ascii="Arial Narrow" w:hAnsi="Arial Narrow"/>
          <w:sz w:val="20"/>
        </w:rPr>
        <w:t xml:space="preserve">=digital rectal examination; </w:t>
      </w:r>
      <w:r w:rsidRPr="00472AF3">
        <w:rPr>
          <w:rFonts w:ascii="Arial Narrow" w:hAnsi="Arial Narrow"/>
          <w:sz w:val="20"/>
        </w:rPr>
        <w:t>TRUSGB</w:t>
      </w:r>
      <w:r w:rsidR="00F81F36" w:rsidRPr="00472AF3">
        <w:rPr>
          <w:rFonts w:ascii="Arial Narrow" w:hAnsi="Arial Narrow"/>
          <w:sz w:val="20"/>
        </w:rPr>
        <w:t>=trans-rectal ultrasound-</w:t>
      </w:r>
      <w:r w:rsidR="00A65955" w:rsidRPr="00472AF3">
        <w:rPr>
          <w:rFonts w:ascii="Arial Narrow" w:hAnsi="Arial Narrow"/>
          <w:sz w:val="20"/>
        </w:rPr>
        <w:t>guided</w:t>
      </w:r>
      <w:r w:rsidR="00F81F36" w:rsidRPr="00472AF3">
        <w:rPr>
          <w:rFonts w:ascii="Arial Narrow" w:hAnsi="Arial Narrow"/>
          <w:sz w:val="20"/>
        </w:rPr>
        <w:t xml:space="preserve"> biopsy; </w:t>
      </w:r>
      <w:r w:rsidRPr="00472AF3">
        <w:rPr>
          <w:rFonts w:ascii="Arial Narrow" w:hAnsi="Arial Narrow"/>
          <w:sz w:val="20"/>
        </w:rPr>
        <w:t>TPUSG</w:t>
      </w:r>
      <w:r w:rsidR="00F81F36" w:rsidRPr="00472AF3">
        <w:rPr>
          <w:rFonts w:ascii="Arial Narrow" w:hAnsi="Arial Narrow"/>
          <w:sz w:val="20"/>
        </w:rPr>
        <w:t>B=trans-perineal ultrasound-</w:t>
      </w:r>
      <w:r w:rsidR="00F81F36" w:rsidRPr="00654641">
        <w:rPr>
          <w:rFonts w:ascii="Arial Narrow" w:hAnsi="Arial Narrow"/>
          <w:sz w:val="20"/>
        </w:rPr>
        <w:t>guided biopsy</w:t>
      </w:r>
      <w:r w:rsidR="00E024E1" w:rsidRPr="00654641">
        <w:rPr>
          <w:rFonts w:ascii="Arial Narrow" w:hAnsi="Arial Narrow"/>
          <w:sz w:val="20"/>
        </w:rPr>
        <w:t>.</w:t>
      </w:r>
      <w:r w:rsidR="00C852B2">
        <w:rPr>
          <w:rFonts w:ascii="Arial Narrow" w:hAnsi="Arial Narrow"/>
          <w:sz w:val="20"/>
        </w:rPr>
        <w:t xml:space="preserve"> </w:t>
      </w:r>
    </w:p>
    <w:p w14:paraId="5D51B546" w14:textId="77777777" w:rsidR="00C852B2" w:rsidRDefault="00C852B2" w:rsidP="00C852B2">
      <w:pPr>
        <w:pStyle w:val="NoSpacing"/>
        <w:rPr>
          <w:highlight w:val="yellow"/>
        </w:rPr>
      </w:pPr>
    </w:p>
    <w:p w14:paraId="57CD24DB" w14:textId="77777777" w:rsidR="00413A9E" w:rsidRDefault="00A56FDA" w:rsidP="000D3212">
      <w:r>
        <w:t xml:space="preserve">Under the proposed clinical management </w:t>
      </w:r>
      <w:r w:rsidRPr="00D74C7C">
        <w:t>algorithm</w:t>
      </w:r>
      <w:r w:rsidR="00654641" w:rsidRPr="00D74C7C">
        <w:t xml:space="preserve"> for patients with suspected prostate cancer</w:t>
      </w:r>
      <w:r w:rsidRPr="00D74C7C">
        <w:t xml:space="preserve">, patients would be </w:t>
      </w:r>
      <w:r w:rsidR="000F6FCA">
        <w:t xml:space="preserve">imaged </w:t>
      </w:r>
      <w:r w:rsidRPr="00D74C7C">
        <w:t>using multi-parametric MRI (</w:t>
      </w:r>
      <w:proofErr w:type="spellStart"/>
      <w:r w:rsidRPr="00D74C7C">
        <w:t>mpMRI</w:t>
      </w:r>
      <w:proofErr w:type="spellEnd"/>
      <w:r w:rsidRPr="00D74C7C">
        <w:t>)</w:t>
      </w:r>
      <w:r w:rsidR="00E5065A" w:rsidRPr="00D74C7C">
        <w:t xml:space="preserve">. </w:t>
      </w:r>
      <w:proofErr w:type="gramStart"/>
      <w:r w:rsidR="00413A9E">
        <w:t>Criteria for suspected prostate cancer, for the purposes of this protocol is</w:t>
      </w:r>
      <w:proofErr w:type="gramEnd"/>
      <w:r w:rsidR="00413A9E">
        <w:t xml:space="preserve"> defined as:</w:t>
      </w:r>
    </w:p>
    <w:p w14:paraId="22A916C0" w14:textId="72FDA517" w:rsidR="00413A9E" w:rsidRDefault="00413A9E" w:rsidP="00413A9E">
      <w:pPr>
        <w:pStyle w:val="ListParagraph"/>
        <w:numPr>
          <w:ilvl w:val="0"/>
          <w:numId w:val="19"/>
        </w:numPr>
      </w:pPr>
      <w:r>
        <w:t>PSA &gt; 3</w:t>
      </w:r>
      <w:r w:rsidR="00ED481A" w:rsidRPr="00E055EF">
        <w:rPr>
          <w:rFonts w:ascii="Symbol" w:hAnsi="Symbol"/>
        </w:rPr>
        <w:t></w:t>
      </w:r>
      <w:r w:rsidR="00ED481A">
        <w:t>g/L</w:t>
      </w:r>
      <w:r>
        <w:t xml:space="preserve">  </w:t>
      </w:r>
      <w:r w:rsidR="00ED481A">
        <w:t>(</w:t>
      </w:r>
      <w:r>
        <w:t>or lower level if &lt; 50 years of age – see guidelines) or</w:t>
      </w:r>
    </w:p>
    <w:p w14:paraId="4BDA9007" w14:textId="07B36775" w:rsidR="00413A9E" w:rsidRDefault="00413A9E" w:rsidP="00413A9E">
      <w:pPr>
        <w:pStyle w:val="ListParagraph"/>
        <w:numPr>
          <w:ilvl w:val="0"/>
          <w:numId w:val="19"/>
        </w:numPr>
      </w:pPr>
      <w:r>
        <w:t xml:space="preserve">Positive Family History (includes </w:t>
      </w:r>
      <w:r w:rsidR="00ED481A">
        <w:t xml:space="preserve">BRCA </w:t>
      </w:r>
      <w:r>
        <w:t>gene</w:t>
      </w:r>
      <w:r w:rsidR="00ED481A">
        <w:t xml:space="preserve"> mutation</w:t>
      </w:r>
      <w:r>
        <w:t xml:space="preserve">) or </w:t>
      </w:r>
    </w:p>
    <w:p w14:paraId="59B2E539" w14:textId="57603D9F" w:rsidR="00413A9E" w:rsidRDefault="00413A9E" w:rsidP="00413A9E">
      <w:pPr>
        <w:pStyle w:val="ListParagraph"/>
        <w:numPr>
          <w:ilvl w:val="0"/>
          <w:numId w:val="19"/>
        </w:numPr>
      </w:pPr>
      <w:r>
        <w:t xml:space="preserve">Free/Total </w:t>
      </w:r>
      <w:r w:rsidR="00ED481A">
        <w:t xml:space="preserve">PSA </w:t>
      </w:r>
      <w:r>
        <w:t xml:space="preserve">ratio &lt; 25%) </w:t>
      </w:r>
    </w:p>
    <w:p w14:paraId="029D2982" w14:textId="7B76EFEA" w:rsidR="00413A9E" w:rsidRDefault="00D74C7C" w:rsidP="00413A9E">
      <w:r w:rsidRPr="00D74C7C">
        <w:t xml:space="preserve">Patients with PI-RADS scores 1, 2, </w:t>
      </w:r>
      <w:r w:rsidR="0025035F">
        <w:t>or</w:t>
      </w:r>
      <w:r w:rsidRPr="00D74C7C">
        <w:t xml:space="preserve"> 3 with low clinical </w:t>
      </w:r>
      <w:r w:rsidR="0025035F">
        <w:t>concern</w:t>
      </w:r>
      <w:r w:rsidRPr="00D74C7C">
        <w:t>, will return to primary care and may remain under observation. Patients with PI-RADS score</w:t>
      </w:r>
      <w:r w:rsidR="00D36025">
        <w:t xml:space="preserve"> of 1, 2 </w:t>
      </w:r>
      <w:r w:rsidR="0025035F">
        <w:t>or</w:t>
      </w:r>
      <w:r w:rsidRPr="00D74C7C">
        <w:t xml:space="preserve"> 3 with </w:t>
      </w:r>
      <w:r w:rsidR="00D36025">
        <w:t xml:space="preserve">very </w:t>
      </w:r>
      <w:r w:rsidRPr="00D74C7C">
        <w:t xml:space="preserve">high </w:t>
      </w:r>
      <w:r w:rsidR="0025035F">
        <w:t xml:space="preserve">or intermediate </w:t>
      </w:r>
      <w:r w:rsidRPr="00D74C7C">
        <w:t xml:space="preserve">clinical </w:t>
      </w:r>
      <w:r w:rsidR="0025035F">
        <w:t xml:space="preserve">concern </w:t>
      </w:r>
      <w:r w:rsidR="00D36025">
        <w:t xml:space="preserve">may </w:t>
      </w:r>
      <w:r>
        <w:t xml:space="preserve">have a template biopsy </w:t>
      </w:r>
      <w:r w:rsidRPr="00D74C7C">
        <w:t>and patients with PI-RADS scores 4 and 5 will have a</w:t>
      </w:r>
      <w:r w:rsidR="000F6FCA">
        <w:t xml:space="preserve"> targeted biopsy of the lesion (either </w:t>
      </w:r>
      <w:r w:rsidR="00A904A6" w:rsidRPr="00A904A6">
        <w:t>magnetic resonance guided biopsy</w:t>
      </w:r>
      <w:r w:rsidR="00A904A6">
        <w:t>;</w:t>
      </w:r>
      <w:r w:rsidR="00A904A6" w:rsidRPr="00A904A6">
        <w:t xml:space="preserve"> </w:t>
      </w:r>
      <w:r w:rsidR="000F6FCA">
        <w:t>MRGB, Fusion, or cognitive)</w:t>
      </w:r>
      <w:r w:rsidR="00413A9E">
        <w:t>. High or intermediate concern is defined as:</w:t>
      </w:r>
    </w:p>
    <w:p w14:paraId="78D1E719" w14:textId="0894AFFA" w:rsidR="00413A9E" w:rsidRDefault="00413A9E" w:rsidP="00413A9E">
      <w:pPr>
        <w:pStyle w:val="ListParagraph"/>
        <w:numPr>
          <w:ilvl w:val="0"/>
          <w:numId w:val="20"/>
        </w:numPr>
      </w:pPr>
      <w:r>
        <w:t xml:space="preserve">Positive family history/ </w:t>
      </w:r>
      <w:r w:rsidR="00ED481A">
        <w:t xml:space="preserve">BRCA </w:t>
      </w:r>
      <w:r>
        <w:t xml:space="preserve">gene </w:t>
      </w:r>
      <w:r w:rsidR="00ED481A">
        <w:t xml:space="preserve">mutation </w:t>
      </w:r>
      <w:r>
        <w:t xml:space="preserve">or </w:t>
      </w:r>
    </w:p>
    <w:p w14:paraId="279B92C2" w14:textId="43FDF7E8" w:rsidR="00413A9E" w:rsidRDefault="00413A9E" w:rsidP="00413A9E">
      <w:pPr>
        <w:pStyle w:val="ListParagraph"/>
        <w:numPr>
          <w:ilvl w:val="0"/>
          <w:numId w:val="20"/>
        </w:numPr>
      </w:pPr>
      <w:r>
        <w:t xml:space="preserve">Free/Total </w:t>
      </w:r>
      <w:r w:rsidR="00ED481A">
        <w:t xml:space="preserve">PSA </w:t>
      </w:r>
      <w:r>
        <w:t xml:space="preserve">Ratio &lt; 12% or </w:t>
      </w:r>
    </w:p>
    <w:p w14:paraId="12E12365" w14:textId="31B3860D" w:rsidR="00413A9E" w:rsidRDefault="00413A9E" w:rsidP="00413A9E">
      <w:pPr>
        <w:pStyle w:val="ListParagraph"/>
        <w:numPr>
          <w:ilvl w:val="0"/>
          <w:numId w:val="20"/>
        </w:numPr>
      </w:pPr>
      <w:r>
        <w:t xml:space="preserve">PSA density &gt; 0.15. </w:t>
      </w:r>
    </w:p>
    <w:p w14:paraId="7B221FB4" w14:textId="0EABAE81" w:rsidR="0025035F" w:rsidRDefault="00D74C7C" w:rsidP="000D3212">
      <w:r w:rsidRPr="00D74C7C">
        <w:t xml:space="preserve"> </w:t>
      </w:r>
      <w:r w:rsidR="00413A9E">
        <w:t>Low concern is defined as patients who have suspected prostate cancer but do not meet the criteria for high or intermediate concern.</w:t>
      </w:r>
    </w:p>
    <w:p w14:paraId="67272669" w14:textId="77777777" w:rsidR="0025035F" w:rsidRDefault="0025035F" w:rsidP="0025035F">
      <w:pPr>
        <w:pStyle w:val="ListParagraph"/>
      </w:pPr>
    </w:p>
    <w:p w14:paraId="22A42083" w14:textId="6B0835FB" w:rsidR="00D74C7C" w:rsidRDefault="00D74C7C" w:rsidP="0025035F">
      <w:pPr>
        <w:keepNext/>
      </w:pPr>
      <w:r w:rsidRPr="00D74C7C">
        <w:lastRenderedPageBreak/>
        <w:t>Based on the results of the biopsy, patients will either:</w:t>
      </w:r>
    </w:p>
    <w:p w14:paraId="0D801284" w14:textId="77777777" w:rsidR="00D74C7C" w:rsidRDefault="00D74C7C" w:rsidP="000A1167">
      <w:pPr>
        <w:pStyle w:val="ListParagraph"/>
        <w:keepNext/>
        <w:numPr>
          <w:ilvl w:val="0"/>
          <w:numId w:val="12"/>
        </w:numPr>
      </w:pPr>
      <w:r>
        <w:t>return to primary care under observation, with a follow-up PSA test after six months; or</w:t>
      </w:r>
    </w:p>
    <w:p w14:paraId="05530C07" w14:textId="77777777" w:rsidR="00D74C7C" w:rsidRDefault="00D74C7C" w:rsidP="000A1167">
      <w:pPr>
        <w:pStyle w:val="ListParagraph"/>
        <w:keepNext/>
        <w:numPr>
          <w:ilvl w:val="0"/>
          <w:numId w:val="12"/>
        </w:numPr>
      </w:pPr>
      <w:r>
        <w:t>undergo active surveillance; or</w:t>
      </w:r>
    </w:p>
    <w:p w14:paraId="5E011340" w14:textId="77777777" w:rsidR="00D74C7C" w:rsidRDefault="00D74C7C" w:rsidP="000A1167">
      <w:pPr>
        <w:pStyle w:val="ListParagraph"/>
        <w:numPr>
          <w:ilvl w:val="0"/>
          <w:numId w:val="12"/>
        </w:numPr>
      </w:pPr>
      <w:proofErr w:type="gramStart"/>
      <w:r>
        <w:t>have</w:t>
      </w:r>
      <w:proofErr w:type="gramEnd"/>
      <w:r>
        <w:t xml:space="preserve"> surgery or </w:t>
      </w:r>
      <w:r w:rsidRPr="00D74C7C">
        <w:t>a radiotherapy/hormone therapy combination</w:t>
      </w:r>
      <w:r>
        <w:t xml:space="preserve"> for their cancer.</w:t>
      </w:r>
    </w:p>
    <w:p w14:paraId="6A4C6C9E" w14:textId="77777777" w:rsidR="009E1125" w:rsidRDefault="00D74C7C" w:rsidP="00A56FDA">
      <w:r>
        <w:t xml:space="preserve">The details of the active surveillance protocol are set out </w:t>
      </w:r>
      <w:r w:rsidR="004C0831">
        <w:t>i</w:t>
      </w:r>
      <w:r>
        <w:t xml:space="preserve">n </w:t>
      </w:r>
      <w:r w:rsidRPr="00D74C7C">
        <w:t>Figures 3 and 4 have been</w:t>
      </w:r>
      <w:r w:rsidR="008F05C0" w:rsidRPr="00D74C7C">
        <w:t xml:space="preserve"> based on </w:t>
      </w:r>
      <w:r w:rsidRPr="00D74C7C">
        <w:t xml:space="preserve">the </w:t>
      </w:r>
      <w:r w:rsidR="008F05C0" w:rsidRPr="00D74C7C">
        <w:t xml:space="preserve">Applicant’s advice and </w:t>
      </w:r>
      <w:r w:rsidRPr="00D74C7C">
        <w:t>the recent</w:t>
      </w:r>
      <w:r w:rsidR="008F05C0" w:rsidRPr="00D74C7C">
        <w:t xml:space="preserve"> NICE </w:t>
      </w:r>
      <w:r w:rsidRPr="00D74C7C">
        <w:t xml:space="preserve">guidelines </w:t>
      </w:r>
      <w:r w:rsidR="008F05C0" w:rsidRPr="00D74C7C">
        <w:t>(2014).</w:t>
      </w:r>
      <w:r w:rsidR="008F05C0">
        <w:t xml:space="preserve">  </w:t>
      </w:r>
    </w:p>
    <w:p w14:paraId="6E9FFD94" w14:textId="77777777" w:rsidR="00A56FDA" w:rsidRPr="005944F4" w:rsidRDefault="00A56FDA" w:rsidP="00413A9E">
      <w:pPr>
        <w:pStyle w:val="Caption"/>
        <w:spacing w:after="60"/>
        <w:rPr>
          <w:b w:val="0"/>
        </w:rPr>
      </w:pPr>
      <w:r w:rsidRPr="005944F4">
        <w:t xml:space="preserve">Figure </w:t>
      </w:r>
      <w:r w:rsidRPr="005944F4">
        <w:fldChar w:fldCharType="begin"/>
      </w:r>
      <w:r w:rsidRPr="005944F4">
        <w:instrText xml:space="preserve"> SEQ Figure \* ARABIC </w:instrText>
      </w:r>
      <w:r w:rsidRPr="005944F4">
        <w:fldChar w:fldCharType="separate"/>
      </w:r>
      <w:r w:rsidR="00B90E4F">
        <w:rPr>
          <w:noProof/>
        </w:rPr>
        <w:t>2</w:t>
      </w:r>
      <w:r w:rsidRPr="005944F4">
        <w:fldChar w:fldCharType="end"/>
      </w:r>
      <w:r w:rsidRPr="005944F4">
        <w:t xml:space="preserve">: </w:t>
      </w:r>
      <w:r>
        <w:t>Proposed</w:t>
      </w:r>
      <w:r w:rsidRPr="005944F4">
        <w:t xml:space="preserve"> clinical management algorithm</w:t>
      </w:r>
      <w:r w:rsidR="00F63772">
        <w:t xml:space="preserve"> </w:t>
      </w:r>
      <w:r w:rsidR="00C724AB">
        <w:t xml:space="preserve">for diagnostic </w:t>
      </w:r>
      <w:proofErr w:type="spellStart"/>
      <w:r w:rsidR="00C724AB">
        <w:t>mpMRI</w:t>
      </w:r>
      <w:proofErr w:type="spellEnd"/>
    </w:p>
    <w:p w14:paraId="32A99539" w14:textId="42E8DDD4" w:rsidR="00654641" w:rsidRDefault="00E055EF" w:rsidP="00E055EF">
      <w:pPr>
        <w:keepNext/>
        <w:spacing w:after="0" w:line="240" w:lineRule="auto"/>
        <w:rPr>
          <w:rFonts w:ascii="Arial Narrow" w:hAnsi="Arial Narrow"/>
        </w:rPr>
      </w:pPr>
      <w:r w:rsidRPr="00E055EF">
        <w:rPr>
          <w:noProof/>
          <w:lang w:eastAsia="en-AU"/>
        </w:rPr>
        <w:drawing>
          <wp:inline distT="0" distB="0" distL="0" distR="0" wp14:anchorId="3E26E287" wp14:editId="74CD2BE7">
            <wp:extent cx="5943600" cy="3988435"/>
            <wp:effectExtent l="0" t="0" r="0" b="0"/>
            <wp:docPr id="4" name="Picture 4" title="Figure 2: Proposed clinical management algorithm for diagnostic mpM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988435"/>
                    </a:xfrm>
                    <a:prstGeom prst="rect">
                      <a:avLst/>
                    </a:prstGeom>
                    <a:noFill/>
                    <a:ln>
                      <a:noFill/>
                    </a:ln>
                  </pic:spPr>
                </pic:pic>
              </a:graphicData>
            </a:graphic>
          </wp:inline>
        </w:drawing>
      </w:r>
      <w:r w:rsidR="00A2427E" w:rsidRPr="006C683B">
        <w:rPr>
          <w:rFonts w:ascii="Arial Narrow" w:hAnsi="Arial Narrow"/>
        </w:rPr>
        <w:t xml:space="preserve">Abbreviations: </w:t>
      </w:r>
      <w:r w:rsidR="00B10D71">
        <w:rPr>
          <w:rFonts w:ascii="Arial Narrow" w:hAnsi="Arial Narrow"/>
        </w:rPr>
        <w:t>PSA=prostate specific antigen test; DRE=digital rectal examin</w:t>
      </w:r>
      <w:r w:rsidR="00B10D71" w:rsidRPr="00B10D71">
        <w:rPr>
          <w:rFonts w:ascii="Arial Narrow" w:hAnsi="Arial Narrow"/>
        </w:rPr>
        <w:t>ation</w:t>
      </w:r>
      <w:r w:rsidR="00B10D71" w:rsidRPr="00B7645A">
        <w:rPr>
          <w:rFonts w:ascii="Arial Narrow" w:hAnsi="Arial Narrow"/>
        </w:rPr>
        <w:t>; PI-RADS=</w:t>
      </w:r>
      <w:r w:rsidR="00B10D71" w:rsidRPr="00B7645A">
        <w:rPr>
          <w:rStyle w:val="st1"/>
          <w:rFonts w:ascii="Arial Narrow" w:hAnsi="Arial Narrow" w:cs="Arial"/>
        </w:rPr>
        <w:t xml:space="preserve">Prostate Imaging-Reporting and Data System; MR=magnetic resonance; </w:t>
      </w:r>
      <w:proofErr w:type="spellStart"/>
      <w:r w:rsidR="00DF6315" w:rsidRPr="00B7645A">
        <w:rPr>
          <w:rFonts w:ascii="Arial Narrow" w:hAnsi="Arial Narrow"/>
        </w:rPr>
        <w:t>mpMRI</w:t>
      </w:r>
      <w:proofErr w:type="spellEnd"/>
      <w:r w:rsidR="006C683B" w:rsidRPr="00B7645A">
        <w:rPr>
          <w:rFonts w:ascii="Arial Narrow" w:hAnsi="Arial Narrow"/>
        </w:rPr>
        <w:t xml:space="preserve">=multi-parametric magnetic resonance </w:t>
      </w:r>
      <w:r w:rsidR="006C683B" w:rsidRPr="006C683B">
        <w:rPr>
          <w:rFonts w:ascii="Arial Narrow" w:hAnsi="Arial Narrow"/>
        </w:rPr>
        <w:t xml:space="preserve">imaging; </w:t>
      </w:r>
      <w:r w:rsidR="00DF6315" w:rsidRPr="006C683B">
        <w:rPr>
          <w:rFonts w:ascii="Arial Narrow" w:hAnsi="Arial Narrow"/>
        </w:rPr>
        <w:t>MRGB</w:t>
      </w:r>
      <w:r w:rsidR="006C683B" w:rsidRPr="006C683B">
        <w:rPr>
          <w:rFonts w:ascii="Arial Narrow" w:hAnsi="Arial Narrow"/>
        </w:rPr>
        <w:t>=magnetic resonance guided biopsy; US=ultrasound</w:t>
      </w:r>
      <w:r w:rsidR="00EF5EE4">
        <w:rPr>
          <w:rFonts w:ascii="Arial Narrow" w:hAnsi="Arial Narrow"/>
        </w:rPr>
        <w:t xml:space="preserve">. </w:t>
      </w:r>
    </w:p>
    <w:p w14:paraId="58110FFE" w14:textId="41B5B8B4" w:rsidR="0025035F" w:rsidRDefault="00EF5EE4" w:rsidP="00413A9E">
      <w:pPr>
        <w:pStyle w:val="NoSpacing"/>
        <w:rPr>
          <w:rFonts w:ascii="Arial Narrow" w:hAnsi="Arial Narrow"/>
          <w:sz w:val="20"/>
        </w:rPr>
      </w:pPr>
      <w:r>
        <w:rPr>
          <w:rFonts w:ascii="Arial Narrow" w:hAnsi="Arial Narrow"/>
          <w:sz w:val="20"/>
        </w:rPr>
        <w:t>*</w:t>
      </w:r>
      <w:r w:rsidR="00654641">
        <w:rPr>
          <w:rFonts w:ascii="Arial Narrow" w:hAnsi="Arial Narrow"/>
          <w:sz w:val="20"/>
        </w:rPr>
        <w:t xml:space="preserve">Indications of increased cancer risk may include </w:t>
      </w:r>
      <w:r>
        <w:rPr>
          <w:rFonts w:ascii="Arial Narrow" w:hAnsi="Arial Narrow"/>
          <w:sz w:val="20"/>
        </w:rPr>
        <w:t xml:space="preserve">patient’s age, </w:t>
      </w:r>
      <w:r w:rsidR="00654641" w:rsidRPr="00654641">
        <w:rPr>
          <w:rFonts w:ascii="Arial Narrow" w:hAnsi="Arial Narrow"/>
          <w:sz w:val="20"/>
        </w:rPr>
        <w:t>positive family history, abnormal DRE, PSA doubling time &lt; 2 years, PSA density &gt; 0.15</w:t>
      </w:r>
      <w:r w:rsidR="00245798">
        <w:rPr>
          <w:rFonts w:ascii="Arial Narrow" w:hAnsi="Arial Narrow"/>
          <w:sz w:val="20"/>
        </w:rPr>
        <w:t xml:space="preserve">, free/total </w:t>
      </w:r>
      <w:r w:rsidR="00B36E9F">
        <w:rPr>
          <w:rFonts w:ascii="Arial Narrow" w:hAnsi="Arial Narrow"/>
          <w:sz w:val="20"/>
        </w:rPr>
        <w:t xml:space="preserve">PSA </w:t>
      </w:r>
      <w:r w:rsidR="00245798">
        <w:rPr>
          <w:rFonts w:ascii="Arial Narrow" w:hAnsi="Arial Narrow"/>
          <w:sz w:val="20"/>
        </w:rPr>
        <w:t>ratio &lt; 25%, Prostate Health Index &gt; 25</w:t>
      </w:r>
      <w:r w:rsidR="009E1125">
        <w:rPr>
          <w:rFonts w:ascii="Arial Narrow" w:hAnsi="Arial Narrow"/>
          <w:sz w:val="20"/>
        </w:rPr>
        <w:t xml:space="preserve">, known </w:t>
      </w:r>
      <w:r w:rsidR="00245798">
        <w:rPr>
          <w:rFonts w:ascii="Arial Narrow" w:hAnsi="Arial Narrow"/>
          <w:sz w:val="20"/>
        </w:rPr>
        <w:t>BRCA1</w:t>
      </w:r>
      <w:r w:rsidR="00D253C9">
        <w:rPr>
          <w:rFonts w:ascii="Arial Narrow" w:hAnsi="Arial Narrow"/>
          <w:sz w:val="20"/>
        </w:rPr>
        <w:t xml:space="preserve"> or </w:t>
      </w:r>
      <w:r w:rsidR="009E1125">
        <w:rPr>
          <w:rFonts w:ascii="Arial Narrow" w:hAnsi="Arial Narrow"/>
          <w:sz w:val="20"/>
        </w:rPr>
        <w:t xml:space="preserve">BRCA2 </w:t>
      </w:r>
      <w:r w:rsidR="00B36E9F">
        <w:rPr>
          <w:rFonts w:ascii="Arial Narrow" w:hAnsi="Arial Narrow"/>
          <w:sz w:val="20"/>
        </w:rPr>
        <w:t xml:space="preserve">gene </w:t>
      </w:r>
      <w:r w:rsidR="009E1125">
        <w:rPr>
          <w:rFonts w:ascii="Arial Narrow" w:hAnsi="Arial Narrow"/>
          <w:sz w:val="20"/>
        </w:rPr>
        <w:t>mutation</w:t>
      </w:r>
      <w:r w:rsidR="00654641">
        <w:rPr>
          <w:rFonts w:ascii="Arial Narrow" w:hAnsi="Arial Narrow"/>
          <w:sz w:val="20"/>
        </w:rPr>
        <w:t>.</w:t>
      </w:r>
      <w:r w:rsidR="0025035F">
        <w:rPr>
          <w:rFonts w:ascii="Arial Narrow" w:hAnsi="Arial Narrow"/>
          <w:sz w:val="20"/>
        </w:rPr>
        <w:br/>
      </w:r>
    </w:p>
    <w:p w14:paraId="212E84F5" w14:textId="77777777" w:rsidR="00D74C7C" w:rsidRDefault="00D74C7C" w:rsidP="00D74C7C">
      <w:pPr>
        <w:pStyle w:val="Heading3"/>
      </w:pPr>
      <w:bookmarkStart w:id="23" w:name="_Toc444781446"/>
      <w:r>
        <w:t>Clinical scenario 2:</w:t>
      </w:r>
      <w:r w:rsidRPr="00D74C7C">
        <w:t xml:space="preserve"> men diagnosed with prostate cancer undertaking </w:t>
      </w:r>
      <w:r w:rsidR="00425BBA">
        <w:t>a</w:t>
      </w:r>
      <w:r w:rsidRPr="00D74C7C">
        <w:t xml:space="preserve">ctive </w:t>
      </w:r>
      <w:r w:rsidR="00425BBA">
        <w:t>s</w:t>
      </w:r>
      <w:r w:rsidRPr="00D74C7C">
        <w:t>urveillance</w:t>
      </w:r>
      <w:bookmarkEnd w:id="23"/>
    </w:p>
    <w:p w14:paraId="10AF5C9C" w14:textId="769930E4" w:rsidR="00BA0ED1" w:rsidRDefault="005E1B67" w:rsidP="00D74C7C">
      <w:r>
        <w:t xml:space="preserve">Men who have a diagnosis of intermediate or low risk cancer may choose to participate in Active Surveillance. During active surveillance men will undergo scheduled testing (PSA, PSA kinetics and DRE) over a period of five years or more. Men also have scheduled prostate biopsies at 12 months and then every three years thereafter. At any point in time, if there is concern about clinical or PSA/DRE changes, men can opt to have an additional prostate biopsy. Based on the results of these biopsies, men will either continue on active surveillance or </w:t>
      </w:r>
      <w:r w:rsidR="000D1E16">
        <w:t xml:space="preserve">be offered </w:t>
      </w:r>
      <w:r w:rsidR="000D1E16" w:rsidRPr="000D1E16">
        <w:t>surgery or a radiotherapy/hormone therapy combination for their cancer.</w:t>
      </w:r>
      <w:r w:rsidR="004C0831">
        <w:t xml:space="preserve"> The full details of the current active </w:t>
      </w:r>
      <w:r w:rsidR="004C0831">
        <w:lastRenderedPageBreak/>
        <w:t xml:space="preserve">surveillance </w:t>
      </w:r>
      <w:r w:rsidR="004C0831" w:rsidRPr="004C0831">
        <w:t xml:space="preserve">protocol are set out </w:t>
      </w:r>
      <w:r w:rsidR="004C0831">
        <w:t>in Figure</w:t>
      </w:r>
      <w:r w:rsidR="004C0831" w:rsidRPr="004C0831">
        <w:t xml:space="preserve"> 3 have been based on the Applicant’s advice and the recent NICE guidelines (2014).</w:t>
      </w:r>
    </w:p>
    <w:p w14:paraId="4EFFD359" w14:textId="4024594B" w:rsidR="004C0831" w:rsidRDefault="004C0831" w:rsidP="00CC65A6">
      <w:r>
        <w:t xml:space="preserve">If the proposed </w:t>
      </w:r>
      <w:proofErr w:type="spellStart"/>
      <w:r>
        <w:t>mpMRI</w:t>
      </w:r>
      <w:proofErr w:type="spellEnd"/>
      <w:r>
        <w:t xml:space="preserve"> service is added to the active surveillance protocol it will be used as an additional test prior to prostate biopsy. Men who are due for their scheduled biopsy and men who have </w:t>
      </w:r>
      <w:r w:rsidRPr="004C0831">
        <w:t>concern about clinical or PSA/DRE changes</w:t>
      </w:r>
      <w:r>
        <w:t xml:space="preserve"> would first have an </w:t>
      </w:r>
      <w:proofErr w:type="spellStart"/>
      <w:r>
        <w:t>mpMRI</w:t>
      </w:r>
      <w:proofErr w:type="spellEnd"/>
      <w:r>
        <w:t xml:space="preserve"> scan.</w:t>
      </w:r>
      <w:r w:rsidR="00CC65A6">
        <w:t xml:space="preserve"> The criteria for concern are the same as for clinical scenario 1 (PSA &gt; 3</w:t>
      </w:r>
      <w:r w:rsidR="00B36E9F" w:rsidRPr="00E055EF">
        <w:rPr>
          <w:rFonts w:ascii="Symbol" w:hAnsi="Symbol"/>
        </w:rPr>
        <w:t></w:t>
      </w:r>
      <w:r w:rsidR="00B36E9F">
        <w:t>g/L</w:t>
      </w:r>
      <w:r w:rsidR="00CC65A6">
        <w:t xml:space="preserve"> or lower level if &lt; 50 years of age, positive </w:t>
      </w:r>
      <w:r w:rsidR="00B36E9F">
        <w:t xml:space="preserve">family history </w:t>
      </w:r>
      <w:r w:rsidR="00CC65A6">
        <w:t xml:space="preserve">or free/total </w:t>
      </w:r>
      <w:r w:rsidR="00B36E9F">
        <w:t xml:space="preserve">PSA </w:t>
      </w:r>
      <w:r w:rsidR="00CC65A6">
        <w:t>ratio &lt; 25%).</w:t>
      </w:r>
      <w:r>
        <w:t xml:space="preserve"> Men</w:t>
      </w:r>
      <w:r w:rsidRPr="00D74C7C">
        <w:t xml:space="preserve"> with PI-RADS scores 1, 2, and 3 with low clinical suspicion will return to </w:t>
      </w:r>
      <w:r>
        <w:t>active surveillance</w:t>
      </w:r>
      <w:r w:rsidRPr="00D74C7C">
        <w:t xml:space="preserve">. </w:t>
      </w:r>
      <w:r>
        <w:t>Men</w:t>
      </w:r>
      <w:r w:rsidRPr="00D74C7C">
        <w:t xml:space="preserve"> with </w:t>
      </w:r>
      <w:r w:rsidR="00CC65A6">
        <w:t>intermediate/high risk (defined the same as in clinical scenario 1</w:t>
      </w:r>
      <w:r w:rsidR="00B36E9F">
        <w:t xml:space="preserve">: </w:t>
      </w:r>
      <w:r w:rsidR="00CC65A6">
        <w:t xml:space="preserve">positive family history, free/total </w:t>
      </w:r>
      <w:r w:rsidR="00B36E9F">
        <w:t xml:space="preserve">PSA </w:t>
      </w:r>
      <w:r w:rsidR="00CC65A6">
        <w:t>ratio &lt; 12% or PSA density &gt; 0.15</w:t>
      </w:r>
      <w:r w:rsidR="00B36E9F">
        <w:t xml:space="preserve">, </w:t>
      </w:r>
      <w:r w:rsidR="00984899">
        <w:t>regardless of PI-RADS score</w:t>
      </w:r>
      <w:r w:rsidR="00CC65A6">
        <w:t>)</w:t>
      </w:r>
      <w:r w:rsidR="00984899">
        <w:t xml:space="preserve">, and men with low risk and a PI-RADS score of </w:t>
      </w:r>
      <w:r w:rsidR="00E50A28">
        <w:t>4-5</w:t>
      </w:r>
      <w:r w:rsidR="00984899">
        <w:t xml:space="preserve"> will continue with a re-biopsy</w:t>
      </w:r>
      <w:r w:rsidR="00CC65A6">
        <w:t>.</w:t>
      </w:r>
      <w:r w:rsidR="00984899">
        <w:t xml:space="preserve"> </w:t>
      </w:r>
      <w:r w:rsidR="00E50A28">
        <w:t>Patients with a PI-RADS score of 4-5 would have a</w:t>
      </w:r>
      <w:r w:rsidR="00A904A6">
        <w:t>n in-gantry MRGB or an US-MR (</w:t>
      </w:r>
      <w:r w:rsidR="00A904A6" w:rsidRPr="00A904A6">
        <w:t>Ultrasound</w:t>
      </w:r>
      <w:r w:rsidR="00A904A6">
        <w:t>-</w:t>
      </w:r>
      <w:r w:rsidR="00A904A6" w:rsidRPr="00A904A6">
        <w:t>Magnetic resonance</w:t>
      </w:r>
      <w:r w:rsidR="00A904A6">
        <w:t>) fusion-guided biopsy</w:t>
      </w:r>
      <w:r w:rsidR="0049134F">
        <w:t xml:space="preserve"> (both are MRI-targeted biopsy techniques)</w:t>
      </w:r>
      <w:r w:rsidR="00A904A6">
        <w:t>,</w:t>
      </w:r>
      <w:r w:rsidR="00E50A28">
        <w:t xml:space="preserve"> while patients with a PI-RADS score of 1-3 (intermediate/high risk) would have a template biopsy.</w:t>
      </w:r>
      <w:r w:rsidR="00A904A6">
        <w:t xml:space="preserve"> </w:t>
      </w:r>
      <w:r w:rsidRPr="004C0831">
        <w:t>Based on the results of these biopsies, men will either continue on active surveillance or be offered surgery or a radiotherapy/hormone therapy combination for their cancer.</w:t>
      </w:r>
      <w:r>
        <w:t xml:space="preserve"> The details of the proposed protocol for active surveillance are presented in Figure 4.</w:t>
      </w:r>
      <w:r w:rsidR="0049134F">
        <w:t xml:space="preserve"> The clinical claim for either in-gantry MRGB or US-MR fusion-guided biopsy can be assessed after the completion of Application 1424.</w:t>
      </w:r>
    </w:p>
    <w:p w14:paraId="7CDB9605" w14:textId="77777777" w:rsidR="004C0831" w:rsidRDefault="004C0831" w:rsidP="00D74C7C"/>
    <w:p w14:paraId="0F173F12" w14:textId="77777777" w:rsidR="004C0831" w:rsidRDefault="004C0831" w:rsidP="00D74C7C"/>
    <w:p w14:paraId="09DB55C2" w14:textId="77777777" w:rsidR="004C0831" w:rsidRDefault="004C0831" w:rsidP="00BA0ED1">
      <w:pPr>
        <w:pStyle w:val="Caption"/>
        <w:sectPr w:rsidR="004C0831" w:rsidSect="004C083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p>
    <w:p w14:paraId="3E759A24" w14:textId="77777777" w:rsidR="00D74C7C" w:rsidRDefault="00BA0ED1" w:rsidP="00BA0ED1">
      <w:pPr>
        <w:pStyle w:val="Caption"/>
      </w:pPr>
      <w:r>
        <w:lastRenderedPageBreak/>
        <w:t xml:space="preserve">Figure </w:t>
      </w:r>
      <w:r>
        <w:fldChar w:fldCharType="begin"/>
      </w:r>
      <w:r>
        <w:instrText xml:space="preserve"> SEQ Figure \* ARABIC </w:instrText>
      </w:r>
      <w:r>
        <w:fldChar w:fldCharType="separate"/>
      </w:r>
      <w:proofErr w:type="gramStart"/>
      <w:r w:rsidR="00B90E4F">
        <w:rPr>
          <w:noProof/>
        </w:rPr>
        <w:t>3</w:t>
      </w:r>
      <w:r>
        <w:fldChar w:fldCharType="end"/>
      </w:r>
      <w:r>
        <w:t xml:space="preserve"> </w:t>
      </w:r>
      <w:r w:rsidRPr="00BA0ED1">
        <w:t xml:space="preserve">Current </w:t>
      </w:r>
      <w:r>
        <w:t>protocol</w:t>
      </w:r>
      <w:proofErr w:type="gramEnd"/>
      <w:r>
        <w:t xml:space="preserve"> for Active Surveillance</w:t>
      </w:r>
      <w:r w:rsidRPr="00BA0ED1">
        <w:t xml:space="preserve"> without the proposed intervention</w:t>
      </w:r>
    </w:p>
    <w:p w14:paraId="40A7266D" w14:textId="77777777" w:rsidR="00BA0ED1" w:rsidRDefault="00BA0ED1" w:rsidP="000D3212">
      <w:pPr>
        <w:spacing w:before="120" w:after="120"/>
        <w:jc w:val="center"/>
      </w:pPr>
      <w:r>
        <w:rPr>
          <w:noProof/>
          <w:lang w:eastAsia="en-AU"/>
        </w:rPr>
        <w:drawing>
          <wp:inline distT="0" distB="0" distL="0" distR="0" wp14:anchorId="5E05D44E" wp14:editId="20AE9200">
            <wp:extent cx="8108477" cy="2575560"/>
            <wp:effectExtent l="0" t="0" r="6985" b="0"/>
            <wp:docPr id="1" name="Picture 1" title="Figure 3 Current protocol for Active Surveillance without the proposed inter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e surveillance current.jpeg"/>
                    <pic:cNvPicPr/>
                  </pic:nvPicPr>
                  <pic:blipFill>
                    <a:blip r:embed="rId17">
                      <a:extLst>
                        <a:ext uri="{28A0092B-C50C-407E-A947-70E740481C1C}">
                          <a14:useLocalDpi xmlns:a14="http://schemas.microsoft.com/office/drawing/2010/main" val="0"/>
                        </a:ext>
                      </a:extLst>
                    </a:blip>
                    <a:stretch>
                      <a:fillRect/>
                    </a:stretch>
                  </pic:blipFill>
                  <pic:spPr>
                    <a:xfrm>
                      <a:off x="0" y="0"/>
                      <a:ext cx="8107446" cy="2575233"/>
                    </a:xfrm>
                    <a:prstGeom prst="rect">
                      <a:avLst/>
                    </a:prstGeom>
                  </pic:spPr>
                </pic:pic>
              </a:graphicData>
            </a:graphic>
          </wp:inline>
        </w:drawing>
      </w:r>
    </w:p>
    <w:p w14:paraId="677A0B25" w14:textId="77777777" w:rsidR="004C0831" w:rsidRDefault="00345593" w:rsidP="002A0C9F">
      <w:pPr>
        <w:pStyle w:val="NoSpacing"/>
      </w:pPr>
      <w:r w:rsidRPr="00472AF3">
        <w:rPr>
          <w:rFonts w:ascii="Arial Narrow" w:hAnsi="Arial Narrow"/>
          <w:sz w:val="20"/>
        </w:rPr>
        <w:t>Abbreviations: PSA=prostate-specific antigen test; DRE</w:t>
      </w:r>
      <w:r>
        <w:rPr>
          <w:rFonts w:ascii="Arial Narrow" w:hAnsi="Arial Narrow"/>
          <w:sz w:val="20"/>
        </w:rPr>
        <w:t>=digital rectal examination</w:t>
      </w:r>
      <w:r w:rsidRPr="00654641">
        <w:rPr>
          <w:rFonts w:ascii="Arial Narrow" w:hAnsi="Arial Narrow"/>
          <w:sz w:val="20"/>
        </w:rPr>
        <w:t>.</w:t>
      </w:r>
      <w:r w:rsidR="002A0C9F">
        <w:t xml:space="preserve"> </w:t>
      </w:r>
    </w:p>
    <w:p w14:paraId="500A8BB1" w14:textId="77777777" w:rsidR="004C0831" w:rsidRDefault="004C0831" w:rsidP="00F92997">
      <w:pPr>
        <w:sectPr w:rsidR="004C0831" w:rsidSect="00BA0ED1">
          <w:pgSz w:w="16838" w:h="11906" w:orient="landscape"/>
          <w:pgMar w:top="1440" w:right="1440" w:bottom="1440" w:left="1440" w:header="708" w:footer="708" w:gutter="0"/>
          <w:cols w:space="708"/>
          <w:titlePg/>
          <w:docGrid w:linePitch="360"/>
        </w:sectPr>
      </w:pPr>
    </w:p>
    <w:p w14:paraId="3F9DEBCE" w14:textId="25CA6BCF" w:rsidR="00BA0ED1" w:rsidRDefault="00694EC5" w:rsidP="00694EC5">
      <w:pPr>
        <w:pStyle w:val="Caption"/>
      </w:pPr>
      <w:r>
        <w:lastRenderedPageBreak/>
        <w:t xml:space="preserve">Figure </w:t>
      </w:r>
      <w:r>
        <w:fldChar w:fldCharType="begin"/>
      </w:r>
      <w:r>
        <w:instrText xml:space="preserve"> SEQ Figure \* ARABIC </w:instrText>
      </w:r>
      <w:r>
        <w:fldChar w:fldCharType="separate"/>
      </w:r>
      <w:proofErr w:type="gramStart"/>
      <w:r w:rsidR="00B90E4F">
        <w:rPr>
          <w:noProof/>
        </w:rPr>
        <w:t>4</w:t>
      </w:r>
      <w:r>
        <w:fldChar w:fldCharType="end"/>
      </w:r>
      <w:r>
        <w:t xml:space="preserve"> Proposed</w:t>
      </w:r>
      <w:r w:rsidRPr="00BA0ED1">
        <w:t xml:space="preserve"> </w:t>
      </w:r>
      <w:r>
        <w:t>protocol</w:t>
      </w:r>
      <w:proofErr w:type="gramEnd"/>
      <w:r>
        <w:t xml:space="preserve"> for Active Surveillance</w:t>
      </w:r>
      <w:r w:rsidRPr="00BA0ED1">
        <w:t xml:space="preserve"> with</w:t>
      </w:r>
      <w:r>
        <w:t xml:space="preserve"> </w:t>
      </w:r>
      <w:proofErr w:type="spellStart"/>
      <w:r>
        <w:t>mpMRI</w:t>
      </w:r>
      <w:proofErr w:type="spellEnd"/>
    </w:p>
    <w:p w14:paraId="286C03E5" w14:textId="6196B68B" w:rsidR="00D74C7C" w:rsidRDefault="00E055EF" w:rsidP="000D3212">
      <w:pPr>
        <w:spacing w:before="120" w:after="120"/>
        <w:jc w:val="center"/>
      </w:pPr>
      <w:r w:rsidRPr="00E055EF">
        <w:rPr>
          <w:noProof/>
          <w:lang w:eastAsia="en-AU"/>
        </w:rPr>
        <w:drawing>
          <wp:inline distT="0" distB="0" distL="0" distR="0" wp14:anchorId="286D876E" wp14:editId="0CF14801">
            <wp:extent cx="5935980" cy="3949065"/>
            <wp:effectExtent l="0" t="0" r="7620" b="0"/>
            <wp:docPr id="6" name="Picture 6" title="Figure 4 Proposed protocol for Active Surveillance with mpM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5980" cy="3949065"/>
                    </a:xfrm>
                    <a:prstGeom prst="rect">
                      <a:avLst/>
                    </a:prstGeom>
                    <a:noFill/>
                    <a:ln>
                      <a:noFill/>
                    </a:ln>
                  </pic:spPr>
                </pic:pic>
              </a:graphicData>
            </a:graphic>
          </wp:inline>
        </w:drawing>
      </w:r>
    </w:p>
    <w:p w14:paraId="52DE3BA9" w14:textId="1E3A4806" w:rsidR="00B05610" w:rsidRDefault="00B05610" w:rsidP="00B05610">
      <w:pPr>
        <w:pStyle w:val="NoSpacing"/>
        <w:rPr>
          <w:rFonts w:ascii="Arial Narrow" w:hAnsi="Arial Narrow"/>
          <w:sz w:val="20"/>
        </w:rPr>
      </w:pPr>
      <w:r w:rsidRPr="006C683B">
        <w:rPr>
          <w:rFonts w:ascii="Arial Narrow" w:hAnsi="Arial Narrow"/>
          <w:sz w:val="20"/>
        </w:rPr>
        <w:t xml:space="preserve">Abbreviations: </w:t>
      </w:r>
      <w:r>
        <w:rPr>
          <w:rFonts w:ascii="Arial Narrow" w:hAnsi="Arial Narrow"/>
          <w:sz w:val="20"/>
        </w:rPr>
        <w:t>PSA=prostate specific antigen test; DRE=digital rectal examin</w:t>
      </w:r>
      <w:r w:rsidRPr="00B10D71">
        <w:rPr>
          <w:rFonts w:ascii="Arial Narrow" w:hAnsi="Arial Narrow"/>
          <w:sz w:val="20"/>
          <w:szCs w:val="20"/>
        </w:rPr>
        <w:t>ation</w:t>
      </w:r>
      <w:r w:rsidRPr="00B7645A">
        <w:rPr>
          <w:rFonts w:ascii="Arial Narrow" w:hAnsi="Arial Narrow"/>
          <w:sz w:val="20"/>
          <w:szCs w:val="20"/>
        </w:rPr>
        <w:t>; PI-RADS=</w:t>
      </w:r>
      <w:r w:rsidRPr="00B7645A">
        <w:rPr>
          <w:rStyle w:val="st1"/>
          <w:rFonts w:ascii="Arial Narrow" w:hAnsi="Arial Narrow" w:cs="Arial"/>
          <w:sz w:val="20"/>
          <w:szCs w:val="20"/>
        </w:rPr>
        <w:t xml:space="preserve">Prostate Imaging-Reporting and Data System; MR=magnetic resonance; </w:t>
      </w:r>
      <w:proofErr w:type="spellStart"/>
      <w:r w:rsidRPr="00B7645A">
        <w:rPr>
          <w:rFonts w:ascii="Arial Narrow" w:hAnsi="Arial Narrow"/>
          <w:sz w:val="20"/>
        </w:rPr>
        <w:t>mpMRI</w:t>
      </w:r>
      <w:proofErr w:type="spellEnd"/>
      <w:r w:rsidRPr="00B7645A">
        <w:rPr>
          <w:rFonts w:ascii="Arial Narrow" w:hAnsi="Arial Narrow"/>
          <w:sz w:val="20"/>
        </w:rPr>
        <w:t xml:space="preserve">=multi-parametric magnetic resonance </w:t>
      </w:r>
      <w:r w:rsidRPr="006C683B">
        <w:rPr>
          <w:rFonts w:ascii="Arial Narrow" w:hAnsi="Arial Narrow"/>
          <w:sz w:val="20"/>
        </w:rPr>
        <w:t>imaging; US=ultrasound</w:t>
      </w:r>
      <w:r>
        <w:rPr>
          <w:rFonts w:ascii="Arial Narrow" w:hAnsi="Arial Narrow"/>
          <w:sz w:val="20"/>
        </w:rPr>
        <w:t xml:space="preserve">. </w:t>
      </w:r>
    </w:p>
    <w:p w14:paraId="32A3A992" w14:textId="77777777" w:rsidR="00BA0ED1" w:rsidRPr="00B05610" w:rsidRDefault="00B05610" w:rsidP="00B05610">
      <w:pPr>
        <w:pStyle w:val="NoSpacing"/>
        <w:rPr>
          <w:rFonts w:ascii="Arial Narrow" w:hAnsi="Arial Narrow"/>
          <w:sz w:val="20"/>
        </w:rPr>
      </w:pPr>
      <w:r>
        <w:rPr>
          <w:rFonts w:ascii="Arial Narrow" w:hAnsi="Arial Narrow"/>
          <w:sz w:val="20"/>
        </w:rPr>
        <w:t xml:space="preserve">. </w:t>
      </w:r>
    </w:p>
    <w:p w14:paraId="4BAD2473" w14:textId="77777777" w:rsidR="00694EC5" w:rsidRDefault="00694EC5" w:rsidP="00694EC5">
      <w:pPr>
        <w:sectPr w:rsidR="00694EC5" w:rsidSect="00BA0ED1">
          <w:pgSz w:w="16838" w:h="11906" w:orient="landscape"/>
          <w:pgMar w:top="1440" w:right="1440" w:bottom="1440" w:left="1440" w:header="708" w:footer="708" w:gutter="0"/>
          <w:cols w:space="708"/>
          <w:titlePg/>
          <w:docGrid w:linePitch="360"/>
        </w:sectPr>
      </w:pPr>
    </w:p>
    <w:p w14:paraId="4C5C2485" w14:textId="77777777" w:rsidR="007252D5" w:rsidRPr="00A34E9C" w:rsidRDefault="007252D5" w:rsidP="00A06D5B">
      <w:pPr>
        <w:pStyle w:val="Heading1"/>
        <w:spacing w:before="0" w:after="0"/>
      </w:pPr>
      <w:bookmarkStart w:id="24" w:name="_Toc444781447"/>
      <w:r w:rsidRPr="00A34E9C">
        <w:lastRenderedPageBreak/>
        <w:t>Comparator</w:t>
      </w:r>
      <w:bookmarkEnd w:id="24"/>
    </w:p>
    <w:p w14:paraId="05F1ECDE" w14:textId="77777777" w:rsidR="00A06D5B" w:rsidRDefault="00A06D5B" w:rsidP="00A06D5B">
      <w:pPr>
        <w:pStyle w:val="NoSpacing"/>
        <w:rPr>
          <w:rFonts w:ascii="Tahoma" w:hAnsi="Tahoma" w:cs="Tahoma"/>
          <w:sz w:val="20"/>
          <w:szCs w:val="20"/>
        </w:rPr>
      </w:pPr>
    </w:p>
    <w:p w14:paraId="2D18BF5D" w14:textId="77777777" w:rsidR="00E56510" w:rsidRDefault="00E56510" w:rsidP="00E56510">
      <w:pPr>
        <w:spacing w:before="120" w:after="120" w:line="276" w:lineRule="auto"/>
        <w:jc w:val="left"/>
      </w:pPr>
      <w:r>
        <w:t>For men who are suspected of having prostate cancer on the basis of a high or concerning PSA, the comparators are:</w:t>
      </w:r>
    </w:p>
    <w:p w14:paraId="29722DE6" w14:textId="77777777" w:rsidR="009B260D" w:rsidRDefault="009B260D" w:rsidP="000A1167">
      <w:pPr>
        <w:pStyle w:val="ListParagraph"/>
        <w:numPr>
          <w:ilvl w:val="0"/>
          <w:numId w:val="13"/>
        </w:numPr>
        <w:spacing w:before="120" w:after="120" w:line="276" w:lineRule="auto"/>
        <w:jc w:val="left"/>
      </w:pPr>
      <w:r>
        <w:t>DRE/PSA + clinical judgement and US-guided trans-rectal or trans-perineal biopsy (TRUSGB or TPUSGB)</w:t>
      </w:r>
    </w:p>
    <w:p w14:paraId="1C57A59A" w14:textId="77777777" w:rsidR="00E56510" w:rsidRDefault="009B260D" w:rsidP="000A1167">
      <w:pPr>
        <w:pStyle w:val="ListParagraph"/>
        <w:numPr>
          <w:ilvl w:val="0"/>
          <w:numId w:val="13"/>
        </w:numPr>
        <w:spacing w:before="120" w:after="120" w:line="276" w:lineRule="auto"/>
        <w:jc w:val="left"/>
      </w:pPr>
      <w:r>
        <w:t>DRE/PSA + clinical judgement alone, for patients who elect not to undergo TRUSGB or TPUSGB</w:t>
      </w:r>
    </w:p>
    <w:p w14:paraId="6978BEA3" w14:textId="77777777" w:rsidR="00E56510" w:rsidRDefault="009B260D" w:rsidP="00E56510">
      <w:pPr>
        <w:spacing w:before="120" w:after="120" w:line="276" w:lineRule="auto"/>
        <w:jc w:val="left"/>
      </w:pPr>
      <w:r>
        <w:t xml:space="preserve">For </w:t>
      </w:r>
      <w:r w:rsidR="00E56510">
        <w:t xml:space="preserve">men diagnosed with low or intermediate risk prostate cancer </w:t>
      </w:r>
      <w:r>
        <w:t>undertaking active surveillance, the comparator is the current active surveillance protocol with routine re-biopsy.</w:t>
      </w:r>
    </w:p>
    <w:p w14:paraId="58366E2C" w14:textId="77777777" w:rsidR="000B4C57" w:rsidRPr="00DD0236" w:rsidRDefault="000B4C57" w:rsidP="0009757A">
      <w:pPr>
        <w:pStyle w:val="Heading1"/>
        <w:spacing w:after="0"/>
      </w:pPr>
      <w:bookmarkStart w:id="25" w:name="_Toc378688777"/>
      <w:bookmarkStart w:id="26" w:name="_Toc444781448"/>
      <w:r w:rsidRPr="00DD0236">
        <w:t>Reference standard test</w:t>
      </w:r>
      <w:bookmarkEnd w:id="25"/>
      <w:bookmarkEnd w:id="26"/>
    </w:p>
    <w:p w14:paraId="3B2D6A99" w14:textId="77777777" w:rsidR="000B4C57" w:rsidRDefault="008D6AF4" w:rsidP="000B4C57">
      <w:pPr>
        <w:spacing w:before="120" w:after="120" w:line="276" w:lineRule="auto"/>
        <w:jc w:val="left"/>
      </w:pPr>
      <w:r>
        <w:t>T</w:t>
      </w:r>
      <w:r w:rsidR="001E120A">
        <w:t xml:space="preserve">he reference standard is subsequent pathology (testing of the acquired samples). </w:t>
      </w:r>
    </w:p>
    <w:p w14:paraId="585F368A" w14:textId="77777777" w:rsidR="007252D5" w:rsidRPr="00A34E9C" w:rsidRDefault="007252D5" w:rsidP="0009757A">
      <w:pPr>
        <w:pStyle w:val="Heading1"/>
        <w:spacing w:after="0"/>
      </w:pPr>
      <w:bookmarkStart w:id="27" w:name="_Toc444781449"/>
      <w:r w:rsidRPr="00A34E9C">
        <w:t>Clinical claim</w:t>
      </w:r>
      <w:bookmarkEnd w:id="27"/>
    </w:p>
    <w:p w14:paraId="57BC267F" w14:textId="7A31DABE" w:rsidR="002368B0" w:rsidRPr="00121DF4" w:rsidRDefault="0061323A" w:rsidP="006B7268">
      <w:pPr>
        <w:spacing w:before="120" w:after="120" w:line="276" w:lineRule="auto"/>
        <w:jc w:val="left"/>
      </w:pPr>
      <w:r w:rsidRPr="00121DF4">
        <w:t xml:space="preserve">Use of </w:t>
      </w:r>
      <w:proofErr w:type="spellStart"/>
      <w:r w:rsidRPr="00121DF4">
        <w:t>mpMRI</w:t>
      </w:r>
      <w:proofErr w:type="spellEnd"/>
      <w:r w:rsidRPr="00121DF4">
        <w:t xml:space="preserve"> will result in more accurate selection of patients for biopsy, with approximately half of all men presenting to urologists for suspected prostate cancer avoiding biopsy altogether, if they have a PIRADS 1-2 scan (</w:t>
      </w:r>
      <w:proofErr w:type="spellStart"/>
      <w:r w:rsidRPr="00121DF4">
        <w:t>Pokorny</w:t>
      </w:r>
      <w:proofErr w:type="spellEnd"/>
      <w:r w:rsidRPr="00121DF4">
        <w:t xml:space="preserve"> 2014). </w:t>
      </w:r>
      <w:r w:rsidR="00BC2EC0">
        <w:t xml:space="preserve">The higher diagnostic accuracy of </w:t>
      </w:r>
      <w:proofErr w:type="spellStart"/>
      <w:r w:rsidR="00BC2EC0">
        <w:t>mpMRI</w:t>
      </w:r>
      <w:proofErr w:type="spellEnd"/>
      <w:r w:rsidR="00BC2EC0">
        <w:t xml:space="preserve"> would result in a reduction of diagnoses of low risk cancer and therefore a reduction in overtreatment in this patient population (</w:t>
      </w:r>
      <w:proofErr w:type="spellStart"/>
      <w:r w:rsidR="00BC2EC0" w:rsidRPr="00BC2EC0">
        <w:t>Rosenkrantz</w:t>
      </w:r>
      <w:proofErr w:type="spellEnd"/>
      <w:r w:rsidR="00BC2EC0">
        <w:t xml:space="preserve"> 2015; </w:t>
      </w:r>
      <w:proofErr w:type="spellStart"/>
      <w:r w:rsidR="00BC2EC0">
        <w:t>Ghai</w:t>
      </w:r>
      <w:proofErr w:type="spellEnd"/>
      <w:r w:rsidR="00BC2EC0">
        <w:t xml:space="preserve"> 2015). </w:t>
      </w:r>
    </w:p>
    <w:p w14:paraId="681DB239" w14:textId="77777777" w:rsidR="00C36E9E" w:rsidRPr="00121DF4" w:rsidRDefault="0018136E" w:rsidP="00A84D72">
      <w:pPr>
        <w:spacing w:before="120" w:after="120" w:line="276" w:lineRule="auto"/>
        <w:jc w:val="left"/>
      </w:pPr>
      <w:r w:rsidRPr="00121DF4">
        <w:t xml:space="preserve">The clinical claim is that </w:t>
      </w:r>
      <w:proofErr w:type="spellStart"/>
      <w:r w:rsidRPr="00121DF4">
        <w:t>m</w:t>
      </w:r>
      <w:r w:rsidR="00A84D72" w:rsidRPr="00121DF4">
        <w:t>ultiparametric</w:t>
      </w:r>
      <w:proofErr w:type="spellEnd"/>
      <w:r w:rsidR="00A84D72" w:rsidRPr="00121DF4">
        <w:t xml:space="preserve"> MRI (</w:t>
      </w:r>
      <w:proofErr w:type="spellStart"/>
      <w:r w:rsidR="00A84D72" w:rsidRPr="00121DF4">
        <w:t>mpMRI</w:t>
      </w:r>
      <w:proofErr w:type="spellEnd"/>
      <w:r w:rsidR="00A84D72" w:rsidRPr="00121DF4">
        <w:t xml:space="preserve">) scans of the prostate are </w:t>
      </w:r>
      <w:r w:rsidRPr="00121DF4">
        <w:t xml:space="preserve">more accurate (hence, </w:t>
      </w:r>
      <w:r w:rsidR="00C9497E" w:rsidRPr="00121DF4">
        <w:t xml:space="preserve">more </w:t>
      </w:r>
      <w:r w:rsidRPr="00121DF4">
        <w:t>effective)</w:t>
      </w:r>
      <w:r w:rsidR="00E6561C" w:rsidRPr="00121DF4">
        <w:t xml:space="preserve"> and safer</w:t>
      </w:r>
      <w:r w:rsidRPr="00121DF4">
        <w:t xml:space="preserve"> than the current approach</w:t>
      </w:r>
      <w:r w:rsidR="00674CC2">
        <w:t xml:space="preserve">. </w:t>
      </w:r>
      <w:r w:rsidRPr="00121DF4">
        <w:t xml:space="preserve">In the event that claims of superior efficacy and safety are supported by the literature, either a cost-utility or a cost-effectiveness analysis would be appropriate. </w:t>
      </w:r>
    </w:p>
    <w:p w14:paraId="564B179D" w14:textId="77777777" w:rsidR="007252D5" w:rsidRDefault="007252D5" w:rsidP="00A96F9C">
      <w:pPr>
        <w:pStyle w:val="Caption"/>
      </w:pPr>
      <w:bookmarkStart w:id="28" w:name="_Ref283288109"/>
      <w:r>
        <w:t xml:space="preserve">Table </w:t>
      </w:r>
      <w:r w:rsidR="005009BC">
        <w:fldChar w:fldCharType="begin"/>
      </w:r>
      <w:r w:rsidR="005009BC">
        <w:instrText xml:space="preserve"> SEQ Table \* ARABIC </w:instrText>
      </w:r>
      <w:r w:rsidR="005009BC">
        <w:fldChar w:fldCharType="separate"/>
      </w:r>
      <w:r w:rsidR="00B90E4F">
        <w:rPr>
          <w:noProof/>
        </w:rPr>
        <w:t>4</w:t>
      </w:r>
      <w:r w:rsidR="005009BC">
        <w:rPr>
          <w:noProof/>
        </w:rPr>
        <w:fldChar w:fldCharType="end"/>
      </w:r>
      <w:bookmarkEnd w:id="28"/>
      <w:r>
        <w:t>:</w:t>
      </w:r>
      <w:r>
        <w:tab/>
        <w:t>Classification of an intervention for determination of economic evaluation to be presented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Caption w:val="Table 5: Classification of an intervention for determination of economic evaluation to be presented"/>
        <w:tblDescription w:val="Table 5: Classification of an intervention for determination of economic evaluation to be presented"/>
      </w:tblPr>
      <w:tblGrid>
        <w:gridCol w:w="671"/>
        <w:gridCol w:w="1085"/>
        <w:gridCol w:w="1583"/>
        <w:gridCol w:w="977"/>
        <w:gridCol w:w="2369"/>
        <w:gridCol w:w="1548"/>
        <w:gridCol w:w="907"/>
      </w:tblGrid>
      <w:tr w:rsidR="007252D5" w:rsidRPr="00882200" w14:paraId="4577CCDF" w14:textId="77777777" w:rsidTr="00FE705C">
        <w:tc>
          <w:tcPr>
            <w:tcW w:w="1756" w:type="dxa"/>
            <w:gridSpan w:val="2"/>
            <w:vMerge w:val="restart"/>
          </w:tcPr>
          <w:p w14:paraId="19D5B2E3" w14:textId="77777777" w:rsidR="007252D5" w:rsidRPr="00FE705C" w:rsidRDefault="007252D5" w:rsidP="00FE705C">
            <w:pPr>
              <w:keepNext/>
              <w:tabs>
                <w:tab w:val="left" w:pos="2835"/>
              </w:tabs>
              <w:spacing w:after="0" w:line="240" w:lineRule="auto"/>
              <w:rPr>
                <w:rFonts w:ascii="Arial Narrow" w:hAnsi="Arial Narrow"/>
                <w:lang w:val="en-GB" w:eastAsia="ja-JP"/>
              </w:rPr>
            </w:pPr>
          </w:p>
        </w:tc>
        <w:tc>
          <w:tcPr>
            <w:tcW w:w="7384" w:type="dxa"/>
            <w:gridSpan w:val="5"/>
          </w:tcPr>
          <w:p w14:paraId="363C6191" w14:textId="77777777" w:rsidR="007252D5" w:rsidRPr="00FE705C" w:rsidRDefault="007252D5" w:rsidP="00FE705C">
            <w:pPr>
              <w:keepNext/>
              <w:tabs>
                <w:tab w:val="left" w:pos="2835"/>
              </w:tabs>
              <w:spacing w:after="0" w:line="240" w:lineRule="auto"/>
              <w:jc w:val="center"/>
              <w:rPr>
                <w:rFonts w:ascii="Arial Narrow" w:hAnsi="Arial Narrow"/>
                <w:b/>
                <w:lang w:val="en-GB" w:eastAsia="ja-JP"/>
              </w:rPr>
            </w:pPr>
            <w:r w:rsidRPr="00FE705C">
              <w:rPr>
                <w:rFonts w:ascii="Arial Narrow" w:hAnsi="Arial Narrow"/>
                <w:b/>
                <w:lang w:val="en-GB" w:eastAsia="ja-JP"/>
              </w:rPr>
              <w:t>Comparative effectiveness versus comparator</w:t>
            </w:r>
          </w:p>
        </w:tc>
      </w:tr>
      <w:tr w:rsidR="007252D5" w:rsidRPr="00882200" w14:paraId="0E19A803" w14:textId="77777777" w:rsidTr="00FE705C">
        <w:tc>
          <w:tcPr>
            <w:tcW w:w="1756" w:type="dxa"/>
            <w:gridSpan w:val="2"/>
            <w:vMerge/>
          </w:tcPr>
          <w:p w14:paraId="1FFB4EA5" w14:textId="77777777" w:rsidR="007252D5" w:rsidRPr="00FE705C" w:rsidRDefault="007252D5" w:rsidP="00FE705C">
            <w:pPr>
              <w:keepNext/>
              <w:tabs>
                <w:tab w:val="left" w:pos="2835"/>
              </w:tabs>
              <w:spacing w:after="0" w:line="240" w:lineRule="auto"/>
              <w:rPr>
                <w:rFonts w:ascii="Arial Narrow" w:hAnsi="Arial Narrow"/>
                <w:lang w:val="en-GB" w:eastAsia="ja-JP"/>
              </w:rPr>
            </w:pPr>
          </w:p>
        </w:tc>
        <w:tc>
          <w:tcPr>
            <w:tcW w:w="2560" w:type="dxa"/>
            <w:gridSpan w:val="2"/>
            <w:vAlign w:val="center"/>
          </w:tcPr>
          <w:p w14:paraId="0704DC4C" w14:textId="77777777" w:rsidR="007252D5" w:rsidRPr="00FE705C" w:rsidRDefault="007252D5" w:rsidP="00FE705C">
            <w:pPr>
              <w:keepNext/>
              <w:tabs>
                <w:tab w:val="left" w:pos="2835"/>
              </w:tabs>
              <w:spacing w:after="0" w:line="240" w:lineRule="auto"/>
              <w:jc w:val="center"/>
              <w:rPr>
                <w:rFonts w:ascii="Arial Narrow" w:hAnsi="Arial Narrow"/>
                <w:u w:val="single"/>
                <w:lang w:val="en-GB" w:eastAsia="ja-JP"/>
              </w:rPr>
            </w:pPr>
            <w:r w:rsidRPr="00FE705C">
              <w:rPr>
                <w:rFonts w:ascii="Arial Narrow" w:hAnsi="Arial Narrow"/>
                <w:u w:val="single"/>
                <w:lang w:val="en-GB" w:eastAsia="ja-JP"/>
              </w:rPr>
              <w:t>Superior</w:t>
            </w:r>
          </w:p>
        </w:tc>
        <w:tc>
          <w:tcPr>
            <w:tcW w:w="2369" w:type="dxa"/>
            <w:vAlign w:val="center"/>
          </w:tcPr>
          <w:p w14:paraId="6084069B" w14:textId="77777777" w:rsidR="007252D5" w:rsidRPr="00FE705C" w:rsidRDefault="007252D5" w:rsidP="00FE705C">
            <w:pPr>
              <w:keepNext/>
              <w:tabs>
                <w:tab w:val="left" w:pos="2835"/>
              </w:tabs>
              <w:spacing w:after="0" w:line="240" w:lineRule="auto"/>
              <w:jc w:val="center"/>
              <w:rPr>
                <w:rFonts w:ascii="Arial Narrow" w:hAnsi="Arial Narrow"/>
                <w:u w:val="single"/>
                <w:lang w:val="en-GB" w:eastAsia="ja-JP"/>
              </w:rPr>
            </w:pPr>
            <w:r w:rsidRPr="00FE705C">
              <w:rPr>
                <w:rFonts w:ascii="Arial Narrow" w:hAnsi="Arial Narrow"/>
                <w:u w:val="single"/>
                <w:lang w:val="en-GB" w:eastAsia="ja-JP"/>
              </w:rPr>
              <w:t>Non-inferior</w:t>
            </w:r>
          </w:p>
        </w:tc>
        <w:tc>
          <w:tcPr>
            <w:tcW w:w="2455" w:type="dxa"/>
            <w:gridSpan w:val="2"/>
            <w:vAlign w:val="center"/>
          </w:tcPr>
          <w:p w14:paraId="43FE4E96" w14:textId="77777777" w:rsidR="007252D5" w:rsidRPr="00FE705C" w:rsidRDefault="007252D5" w:rsidP="00FE705C">
            <w:pPr>
              <w:keepNext/>
              <w:tabs>
                <w:tab w:val="left" w:pos="2835"/>
              </w:tabs>
              <w:spacing w:after="0" w:line="240" w:lineRule="auto"/>
              <w:jc w:val="center"/>
              <w:rPr>
                <w:rFonts w:ascii="Arial Narrow" w:hAnsi="Arial Narrow"/>
                <w:u w:val="single"/>
                <w:lang w:val="en-GB" w:eastAsia="ja-JP"/>
              </w:rPr>
            </w:pPr>
            <w:r w:rsidRPr="00FE705C">
              <w:rPr>
                <w:rFonts w:ascii="Arial Narrow" w:hAnsi="Arial Narrow"/>
                <w:u w:val="single"/>
                <w:lang w:val="en-GB" w:eastAsia="ja-JP"/>
              </w:rPr>
              <w:t>Inferior</w:t>
            </w:r>
          </w:p>
        </w:tc>
      </w:tr>
      <w:tr w:rsidR="007252D5" w:rsidRPr="00882200" w14:paraId="1E3570C4" w14:textId="77777777" w:rsidTr="00FE705C">
        <w:trPr>
          <w:cantSplit/>
          <w:trHeight w:val="20"/>
        </w:trPr>
        <w:tc>
          <w:tcPr>
            <w:tcW w:w="671" w:type="dxa"/>
            <w:vMerge w:val="restart"/>
            <w:textDirection w:val="btLr"/>
            <w:vAlign w:val="center"/>
          </w:tcPr>
          <w:p w14:paraId="094F3490" w14:textId="77777777" w:rsidR="007252D5" w:rsidRPr="00FE705C" w:rsidRDefault="007252D5" w:rsidP="00FE705C">
            <w:pPr>
              <w:keepNext/>
              <w:tabs>
                <w:tab w:val="left" w:pos="2835"/>
              </w:tabs>
              <w:spacing w:after="0" w:line="240" w:lineRule="auto"/>
              <w:ind w:left="113" w:right="113"/>
              <w:jc w:val="center"/>
              <w:rPr>
                <w:rFonts w:ascii="Arial Narrow" w:hAnsi="Arial Narrow"/>
                <w:b/>
                <w:lang w:val="en-GB" w:eastAsia="ja-JP"/>
              </w:rPr>
            </w:pPr>
            <w:r w:rsidRPr="00FE705C">
              <w:rPr>
                <w:rFonts w:ascii="Arial Narrow" w:hAnsi="Arial Narrow"/>
                <w:b/>
                <w:lang w:val="en-GB" w:eastAsia="ja-JP"/>
              </w:rPr>
              <w:t>Comparative safety versus comparator</w:t>
            </w:r>
          </w:p>
        </w:tc>
        <w:tc>
          <w:tcPr>
            <w:tcW w:w="1085" w:type="dxa"/>
            <w:vMerge w:val="restart"/>
            <w:vAlign w:val="center"/>
          </w:tcPr>
          <w:p w14:paraId="3EA03801" w14:textId="77777777" w:rsidR="007252D5" w:rsidRPr="00FE705C" w:rsidRDefault="007252D5" w:rsidP="00FE705C">
            <w:pPr>
              <w:keepNext/>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Superior</w:t>
            </w:r>
          </w:p>
        </w:tc>
        <w:tc>
          <w:tcPr>
            <w:tcW w:w="2560" w:type="dxa"/>
            <w:gridSpan w:val="2"/>
            <w:vMerge w:val="restart"/>
            <w:vAlign w:val="center"/>
          </w:tcPr>
          <w:p w14:paraId="239140FA" w14:textId="77777777" w:rsidR="007252D5" w:rsidRPr="00FE705C" w:rsidRDefault="007252D5" w:rsidP="00FE705C">
            <w:pPr>
              <w:keepNext/>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2369" w:type="dxa"/>
            <w:vMerge w:val="restart"/>
            <w:vAlign w:val="center"/>
          </w:tcPr>
          <w:p w14:paraId="16767CA8" w14:textId="77777777" w:rsidR="007252D5" w:rsidRPr="00FE705C" w:rsidRDefault="007252D5" w:rsidP="00FE705C">
            <w:pPr>
              <w:keepNext/>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1548" w:type="dxa"/>
          </w:tcPr>
          <w:p w14:paraId="5A98F798" w14:textId="77777777" w:rsidR="007252D5" w:rsidRPr="00FE705C" w:rsidRDefault="007252D5" w:rsidP="00FE705C">
            <w:pPr>
              <w:keepNext/>
              <w:tabs>
                <w:tab w:val="left" w:pos="2835"/>
              </w:tabs>
              <w:spacing w:after="0" w:line="240" w:lineRule="auto"/>
              <w:rPr>
                <w:rFonts w:ascii="Arial Narrow" w:hAnsi="Arial Narrow"/>
                <w:u w:val="single"/>
                <w:lang w:val="en-GB" w:eastAsia="ja-JP"/>
              </w:rPr>
            </w:pPr>
            <w:r w:rsidRPr="00FE705C">
              <w:rPr>
                <w:rFonts w:ascii="Arial Narrow" w:hAnsi="Arial Narrow"/>
                <w:u w:val="single"/>
                <w:lang w:val="en-GB" w:eastAsia="ja-JP"/>
              </w:rPr>
              <w:t>Net clinical benefit</w:t>
            </w:r>
          </w:p>
        </w:tc>
        <w:tc>
          <w:tcPr>
            <w:tcW w:w="907" w:type="dxa"/>
            <w:vAlign w:val="center"/>
          </w:tcPr>
          <w:p w14:paraId="395F75C2" w14:textId="77777777" w:rsidR="007252D5" w:rsidRPr="00FE705C" w:rsidRDefault="007252D5" w:rsidP="00FE705C">
            <w:pPr>
              <w:keepNext/>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r>
      <w:tr w:rsidR="007252D5" w:rsidRPr="00882200" w14:paraId="672FB50A" w14:textId="77777777" w:rsidTr="00FE705C">
        <w:trPr>
          <w:cantSplit/>
          <w:trHeight w:val="20"/>
        </w:trPr>
        <w:tc>
          <w:tcPr>
            <w:tcW w:w="671" w:type="dxa"/>
            <w:vMerge/>
          </w:tcPr>
          <w:p w14:paraId="0333C827" w14:textId="77777777" w:rsidR="007252D5" w:rsidRPr="00FE705C" w:rsidRDefault="007252D5" w:rsidP="00FE705C">
            <w:pPr>
              <w:tabs>
                <w:tab w:val="left" w:pos="2835"/>
              </w:tabs>
              <w:spacing w:after="0" w:line="240" w:lineRule="auto"/>
              <w:rPr>
                <w:rFonts w:ascii="Arial Narrow" w:hAnsi="Arial Narrow"/>
                <w:lang w:val="en-GB" w:eastAsia="ja-JP"/>
              </w:rPr>
            </w:pPr>
          </w:p>
        </w:tc>
        <w:tc>
          <w:tcPr>
            <w:tcW w:w="1085" w:type="dxa"/>
            <w:vMerge/>
            <w:vAlign w:val="center"/>
          </w:tcPr>
          <w:p w14:paraId="74923570" w14:textId="77777777" w:rsidR="007252D5" w:rsidRPr="00FE705C" w:rsidRDefault="007252D5" w:rsidP="00FE705C">
            <w:pPr>
              <w:tabs>
                <w:tab w:val="left" w:pos="2835"/>
              </w:tabs>
              <w:spacing w:after="0" w:line="240" w:lineRule="auto"/>
              <w:jc w:val="left"/>
              <w:rPr>
                <w:rFonts w:ascii="Arial Narrow" w:hAnsi="Arial Narrow"/>
                <w:u w:val="single"/>
                <w:lang w:val="en-GB" w:eastAsia="ja-JP"/>
              </w:rPr>
            </w:pPr>
          </w:p>
        </w:tc>
        <w:tc>
          <w:tcPr>
            <w:tcW w:w="2560" w:type="dxa"/>
            <w:gridSpan w:val="2"/>
            <w:vMerge/>
            <w:vAlign w:val="center"/>
          </w:tcPr>
          <w:p w14:paraId="28190F83" w14:textId="77777777" w:rsidR="007252D5" w:rsidRPr="00FE705C" w:rsidRDefault="007252D5" w:rsidP="00FE705C">
            <w:pPr>
              <w:tabs>
                <w:tab w:val="left" w:pos="2835"/>
              </w:tabs>
              <w:spacing w:after="0" w:line="240" w:lineRule="auto"/>
              <w:jc w:val="center"/>
              <w:rPr>
                <w:rFonts w:ascii="Arial Narrow" w:hAnsi="Arial Narrow"/>
                <w:lang w:val="en-GB" w:eastAsia="ja-JP"/>
              </w:rPr>
            </w:pPr>
          </w:p>
        </w:tc>
        <w:tc>
          <w:tcPr>
            <w:tcW w:w="2369" w:type="dxa"/>
            <w:vMerge/>
            <w:vAlign w:val="center"/>
          </w:tcPr>
          <w:p w14:paraId="6474EEE0" w14:textId="77777777" w:rsidR="007252D5" w:rsidRPr="00FE705C" w:rsidRDefault="007252D5" w:rsidP="00FE705C">
            <w:pPr>
              <w:tabs>
                <w:tab w:val="left" w:pos="2835"/>
              </w:tabs>
              <w:spacing w:after="0" w:line="240" w:lineRule="auto"/>
              <w:jc w:val="center"/>
              <w:rPr>
                <w:rFonts w:ascii="Arial Narrow" w:hAnsi="Arial Narrow"/>
                <w:lang w:val="en-GB" w:eastAsia="ja-JP"/>
              </w:rPr>
            </w:pPr>
          </w:p>
        </w:tc>
        <w:tc>
          <w:tcPr>
            <w:tcW w:w="1548" w:type="dxa"/>
          </w:tcPr>
          <w:p w14:paraId="74FD02DB" w14:textId="77777777" w:rsidR="007252D5" w:rsidRPr="00FE705C" w:rsidRDefault="007252D5" w:rsidP="00FE705C">
            <w:pPr>
              <w:tabs>
                <w:tab w:val="left" w:pos="2835"/>
              </w:tabs>
              <w:spacing w:after="0" w:line="240" w:lineRule="auto"/>
              <w:rPr>
                <w:rFonts w:ascii="Arial Narrow" w:hAnsi="Arial Narrow"/>
                <w:u w:val="single"/>
                <w:lang w:val="en-GB" w:eastAsia="ja-JP"/>
              </w:rPr>
            </w:pPr>
            <w:r w:rsidRPr="00FE705C">
              <w:rPr>
                <w:rFonts w:ascii="Arial Narrow" w:hAnsi="Arial Narrow"/>
                <w:u w:val="single"/>
                <w:lang w:val="en-GB" w:eastAsia="ja-JP"/>
              </w:rPr>
              <w:t>Neutral benefit</w:t>
            </w:r>
          </w:p>
        </w:tc>
        <w:tc>
          <w:tcPr>
            <w:tcW w:w="907" w:type="dxa"/>
            <w:vAlign w:val="center"/>
          </w:tcPr>
          <w:p w14:paraId="29637296" w14:textId="77777777" w:rsidR="007252D5" w:rsidRPr="00FE705C" w:rsidRDefault="007252D5" w:rsidP="00FE705C">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r>
      <w:tr w:rsidR="007252D5" w:rsidRPr="00882200" w14:paraId="787F42E9" w14:textId="77777777" w:rsidTr="00FE705C">
        <w:trPr>
          <w:cantSplit/>
          <w:trHeight w:val="20"/>
        </w:trPr>
        <w:tc>
          <w:tcPr>
            <w:tcW w:w="671" w:type="dxa"/>
            <w:vMerge/>
          </w:tcPr>
          <w:p w14:paraId="2C412497" w14:textId="77777777" w:rsidR="007252D5" w:rsidRPr="00FE705C" w:rsidRDefault="007252D5" w:rsidP="00FE705C">
            <w:pPr>
              <w:tabs>
                <w:tab w:val="left" w:pos="2835"/>
              </w:tabs>
              <w:spacing w:after="0" w:line="240" w:lineRule="auto"/>
              <w:rPr>
                <w:rFonts w:ascii="Arial Narrow" w:hAnsi="Arial Narrow"/>
                <w:lang w:val="en-GB" w:eastAsia="ja-JP"/>
              </w:rPr>
            </w:pPr>
          </w:p>
        </w:tc>
        <w:tc>
          <w:tcPr>
            <w:tcW w:w="1085" w:type="dxa"/>
            <w:vMerge/>
            <w:vAlign w:val="center"/>
          </w:tcPr>
          <w:p w14:paraId="5A25742B" w14:textId="77777777" w:rsidR="007252D5" w:rsidRPr="00FE705C" w:rsidRDefault="007252D5" w:rsidP="00FE705C">
            <w:pPr>
              <w:tabs>
                <w:tab w:val="left" w:pos="2835"/>
              </w:tabs>
              <w:spacing w:after="0" w:line="240" w:lineRule="auto"/>
              <w:jc w:val="left"/>
              <w:rPr>
                <w:rFonts w:ascii="Arial Narrow" w:hAnsi="Arial Narrow"/>
                <w:u w:val="single"/>
                <w:lang w:val="en-GB" w:eastAsia="ja-JP"/>
              </w:rPr>
            </w:pPr>
          </w:p>
        </w:tc>
        <w:tc>
          <w:tcPr>
            <w:tcW w:w="2560" w:type="dxa"/>
            <w:gridSpan w:val="2"/>
            <w:vMerge/>
            <w:vAlign w:val="center"/>
          </w:tcPr>
          <w:p w14:paraId="69E6821D" w14:textId="77777777" w:rsidR="007252D5" w:rsidRPr="00FE705C" w:rsidRDefault="007252D5" w:rsidP="00FE705C">
            <w:pPr>
              <w:tabs>
                <w:tab w:val="left" w:pos="2835"/>
              </w:tabs>
              <w:spacing w:after="0" w:line="240" w:lineRule="auto"/>
              <w:jc w:val="center"/>
              <w:rPr>
                <w:rFonts w:ascii="Arial Narrow" w:hAnsi="Arial Narrow"/>
                <w:lang w:val="en-GB" w:eastAsia="ja-JP"/>
              </w:rPr>
            </w:pPr>
          </w:p>
        </w:tc>
        <w:tc>
          <w:tcPr>
            <w:tcW w:w="2369" w:type="dxa"/>
            <w:vMerge/>
            <w:vAlign w:val="center"/>
          </w:tcPr>
          <w:p w14:paraId="4B1A9356" w14:textId="77777777" w:rsidR="007252D5" w:rsidRPr="00FE705C" w:rsidRDefault="007252D5" w:rsidP="00FE705C">
            <w:pPr>
              <w:tabs>
                <w:tab w:val="left" w:pos="2835"/>
              </w:tabs>
              <w:spacing w:after="0" w:line="240" w:lineRule="auto"/>
              <w:jc w:val="center"/>
              <w:rPr>
                <w:rFonts w:ascii="Arial Narrow" w:hAnsi="Arial Narrow"/>
                <w:lang w:val="en-GB" w:eastAsia="ja-JP"/>
              </w:rPr>
            </w:pPr>
          </w:p>
        </w:tc>
        <w:tc>
          <w:tcPr>
            <w:tcW w:w="1548" w:type="dxa"/>
          </w:tcPr>
          <w:p w14:paraId="55932D4C" w14:textId="77777777" w:rsidR="007252D5" w:rsidRPr="00FE705C" w:rsidRDefault="007252D5" w:rsidP="00FE705C">
            <w:pPr>
              <w:tabs>
                <w:tab w:val="left" w:pos="2835"/>
              </w:tabs>
              <w:spacing w:after="0" w:line="240" w:lineRule="auto"/>
              <w:rPr>
                <w:rFonts w:ascii="Arial Narrow" w:hAnsi="Arial Narrow"/>
                <w:u w:val="single"/>
                <w:lang w:val="en-GB" w:eastAsia="ja-JP"/>
              </w:rPr>
            </w:pPr>
            <w:r w:rsidRPr="00FE705C">
              <w:rPr>
                <w:rFonts w:ascii="Arial Narrow" w:hAnsi="Arial Narrow"/>
                <w:u w:val="single"/>
                <w:lang w:val="en-GB" w:eastAsia="ja-JP"/>
              </w:rPr>
              <w:t>Net harms</w:t>
            </w:r>
          </w:p>
        </w:tc>
        <w:tc>
          <w:tcPr>
            <w:tcW w:w="907" w:type="dxa"/>
            <w:vAlign w:val="center"/>
          </w:tcPr>
          <w:p w14:paraId="0A3D9B66" w14:textId="77777777" w:rsidR="007252D5" w:rsidRPr="00FE705C" w:rsidRDefault="007252D5" w:rsidP="00FE705C">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r>
      <w:tr w:rsidR="007252D5" w:rsidRPr="00882200" w14:paraId="37966E22" w14:textId="77777777" w:rsidTr="00FE705C">
        <w:trPr>
          <w:cantSplit/>
          <w:trHeight w:val="750"/>
        </w:trPr>
        <w:tc>
          <w:tcPr>
            <w:tcW w:w="671" w:type="dxa"/>
            <w:vMerge/>
          </w:tcPr>
          <w:p w14:paraId="4536E0F3" w14:textId="77777777" w:rsidR="007252D5" w:rsidRPr="00FE705C" w:rsidRDefault="007252D5" w:rsidP="00FE705C">
            <w:pPr>
              <w:tabs>
                <w:tab w:val="left" w:pos="2835"/>
              </w:tabs>
              <w:spacing w:after="0" w:line="240" w:lineRule="auto"/>
              <w:rPr>
                <w:rFonts w:ascii="Arial Narrow" w:hAnsi="Arial Narrow"/>
                <w:lang w:val="en-GB" w:eastAsia="ja-JP"/>
              </w:rPr>
            </w:pPr>
          </w:p>
        </w:tc>
        <w:tc>
          <w:tcPr>
            <w:tcW w:w="1085" w:type="dxa"/>
            <w:vAlign w:val="center"/>
          </w:tcPr>
          <w:p w14:paraId="6560B14D" w14:textId="77777777" w:rsidR="007252D5" w:rsidRPr="00FE705C" w:rsidRDefault="007252D5" w:rsidP="00FE705C">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Non-inferior</w:t>
            </w:r>
          </w:p>
        </w:tc>
        <w:tc>
          <w:tcPr>
            <w:tcW w:w="2560" w:type="dxa"/>
            <w:gridSpan w:val="2"/>
            <w:vAlign w:val="center"/>
          </w:tcPr>
          <w:p w14:paraId="497ECDCF" w14:textId="77777777" w:rsidR="007252D5" w:rsidRPr="00FE705C" w:rsidRDefault="007252D5" w:rsidP="00FE705C">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2369" w:type="dxa"/>
            <w:vAlign w:val="center"/>
          </w:tcPr>
          <w:p w14:paraId="20AA5B30" w14:textId="77777777" w:rsidR="007252D5" w:rsidRPr="00FE705C" w:rsidRDefault="007252D5" w:rsidP="00FE705C">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2455" w:type="dxa"/>
            <w:gridSpan w:val="2"/>
            <w:vAlign w:val="center"/>
          </w:tcPr>
          <w:p w14:paraId="427903E0" w14:textId="77777777" w:rsidR="007252D5" w:rsidRPr="00FE705C" w:rsidRDefault="007252D5" w:rsidP="00FE705C">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r>
      <w:tr w:rsidR="007252D5" w:rsidRPr="00882200" w14:paraId="1FD5376B" w14:textId="77777777" w:rsidTr="00FE705C">
        <w:trPr>
          <w:cantSplit/>
          <w:trHeight w:val="20"/>
        </w:trPr>
        <w:tc>
          <w:tcPr>
            <w:tcW w:w="671" w:type="dxa"/>
            <w:vMerge/>
          </w:tcPr>
          <w:p w14:paraId="210BEC50" w14:textId="77777777" w:rsidR="007252D5" w:rsidRPr="00FE705C" w:rsidRDefault="007252D5" w:rsidP="00FE705C">
            <w:pPr>
              <w:tabs>
                <w:tab w:val="left" w:pos="2835"/>
              </w:tabs>
              <w:spacing w:after="0" w:line="240" w:lineRule="auto"/>
              <w:rPr>
                <w:rFonts w:ascii="Arial Narrow" w:hAnsi="Arial Narrow"/>
                <w:lang w:val="en-GB" w:eastAsia="ja-JP"/>
              </w:rPr>
            </w:pPr>
          </w:p>
        </w:tc>
        <w:tc>
          <w:tcPr>
            <w:tcW w:w="1085" w:type="dxa"/>
            <w:vMerge w:val="restart"/>
            <w:vAlign w:val="center"/>
          </w:tcPr>
          <w:p w14:paraId="61758A5C" w14:textId="77777777" w:rsidR="007252D5" w:rsidRPr="00FE705C" w:rsidRDefault="007252D5" w:rsidP="00FE705C">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Inferior</w:t>
            </w:r>
          </w:p>
        </w:tc>
        <w:tc>
          <w:tcPr>
            <w:tcW w:w="1583" w:type="dxa"/>
            <w:vAlign w:val="center"/>
          </w:tcPr>
          <w:p w14:paraId="7549C854" w14:textId="77777777" w:rsidR="007252D5" w:rsidRPr="00FE705C" w:rsidRDefault="007252D5" w:rsidP="00FE705C">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Net clinical benefit</w:t>
            </w:r>
          </w:p>
        </w:tc>
        <w:tc>
          <w:tcPr>
            <w:tcW w:w="977" w:type="dxa"/>
            <w:vAlign w:val="center"/>
          </w:tcPr>
          <w:p w14:paraId="2A9747B6" w14:textId="77777777" w:rsidR="007252D5" w:rsidRPr="00FE705C" w:rsidRDefault="007252D5" w:rsidP="00FE705C">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2369" w:type="dxa"/>
            <w:vMerge w:val="restart"/>
            <w:vAlign w:val="center"/>
          </w:tcPr>
          <w:p w14:paraId="08A6DB13" w14:textId="77777777" w:rsidR="007252D5" w:rsidRPr="00FE705C" w:rsidRDefault="007252D5" w:rsidP="00FE705C">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c>
          <w:tcPr>
            <w:tcW w:w="2455" w:type="dxa"/>
            <w:gridSpan w:val="2"/>
            <w:vMerge w:val="restart"/>
            <w:vAlign w:val="center"/>
          </w:tcPr>
          <w:p w14:paraId="042F2619" w14:textId="77777777" w:rsidR="007252D5" w:rsidRPr="00FE705C" w:rsidRDefault="007252D5" w:rsidP="00FE705C">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r>
      <w:tr w:rsidR="007252D5" w:rsidRPr="00882200" w14:paraId="2E624886" w14:textId="77777777" w:rsidTr="00FE705C">
        <w:trPr>
          <w:trHeight w:val="20"/>
        </w:trPr>
        <w:tc>
          <w:tcPr>
            <w:tcW w:w="671" w:type="dxa"/>
            <w:vMerge/>
          </w:tcPr>
          <w:p w14:paraId="51BBCF66" w14:textId="77777777" w:rsidR="007252D5" w:rsidRPr="00FE705C" w:rsidRDefault="007252D5" w:rsidP="00FE705C">
            <w:pPr>
              <w:tabs>
                <w:tab w:val="left" w:pos="2835"/>
              </w:tabs>
              <w:spacing w:after="0" w:line="240" w:lineRule="auto"/>
              <w:rPr>
                <w:rFonts w:ascii="Arial Narrow" w:hAnsi="Arial Narrow"/>
                <w:lang w:val="en-GB" w:eastAsia="ja-JP"/>
              </w:rPr>
            </w:pPr>
          </w:p>
        </w:tc>
        <w:tc>
          <w:tcPr>
            <w:tcW w:w="1085" w:type="dxa"/>
            <w:vMerge/>
          </w:tcPr>
          <w:p w14:paraId="2D10597E" w14:textId="77777777" w:rsidR="007252D5" w:rsidRPr="00FE705C" w:rsidRDefault="007252D5" w:rsidP="00FE705C">
            <w:pPr>
              <w:tabs>
                <w:tab w:val="left" w:pos="2835"/>
              </w:tabs>
              <w:spacing w:after="0" w:line="240" w:lineRule="auto"/>
              <w:rPr>
                <w:rFonts w:ascii="Arial Narrow" w:hAnsi="Arial Narrow"/>
                <w:lang w:val="en-GB" w:eastAsia="ja-JP"/>
              </w:rPr>
            </w:pPr>
          </w:p>
        </w:tc>
        <w:tc>
          <w:tcPr>
            <w:tcW w:w="1583" w:type="dxa"/>
            <w:vAlign w:val="center"/>
          </w:tcPr>
          <w:p w14:paraId="6745FDA7" w14:textId="77777777" w:rsidR="007252D5" w:rsidRPr="00FE705C" w:rsidRDefault="007252D5" w:rsidP="00FE705C">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Neutral benefit</w:t>
            </w:r>
          </w:p>
        </w:tc>
        <w:tc>
          <w:tcPr>
            <w:tcW w:w="977" w:type="dxa"/>
            <w:vAlign w:val="center"/>
          </w:tcPr>
          <w:p w14:paraId="0320E96E" w14:textId="77777777" w:rsidR="007252D5" w:rsidRPr="00FE705C" w:rsidRDefault="007252D5" w:rsidP="00FE705C">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2369" w:type="dxa"/>
            <w:vMerge/>
            <w:vAlign w:val="center"/>
          </w:tcPr>
          <w:p w14:paraId="20A7DACF" w14:textId="77777777" w:rsidR="007252D5" w:rsidRPr="00FE705C" w:rsidRDefault="007252D5" w:rsidP="00FE705C">
            <w:pPr>
              <w:tabs>
                <w:tab w:val="left" w:pos="2835"/>
              </w:tabs>
              <w:spacing w:after="0" w:line="240" w:lineRule="auto"/>
              <w:jc w:val="center"/>
              <w:rPr>
                <w:rFonts w:ascii="Arial Narrow" w:hAnsi="Arial Narrow"/>
                <w:lang w:val="en-GB" w:eastAsia="ja-JP"/>
              </w:rPr>
            </w:pPr>
          </w:p>
        </w:tc>
        <w:tc>
          <w:tcPr>
            <w:tcW w:w="2455" w:type="dxa"/>
            <w:gridSpan w:val="2"/>
            <w:vMerge/>
          </w:tcPr>
          <w:p w14:paraId="6281F35E" w14:textId="77777777" w:rsidR="007252D5" w:rsidRPr="00FE705C" w:rsidRDefault="007252D5" w:rsidP="00FE705C">
            <w:pPr>
              <w:tabs>
                <w:tab w:val="left" w:pos="2835"/>
              </w:tabs>
              <w:spacing w:after="0" w:line="240" w:lineRule="auto"/>
              <w:rPr>
                <w:rFonts w:ascii="Arial Narrow" w:hAnsi="Arial Narrow"/>
                <w:lang w:val="en-GB" w:eastAsia="ja-JP"/>
              </w:rPr>
            </w:pPr>
          </w:p>
        </w:tc>
      </w:tr>
      <w:tr w:rsidR="007252D5" w:rsidRPr="00882200" w14:paraId="16CAD32B" w14:textId="77777777" w:rsidTr="00FE705C">
        <w:trPr>
          <w:trHeight w:val="20"/>
        </w:trPr>
        <w:tc>
          <w:tcPr>
            <w:tcW w:w="671" w:type="dxa"/>
            <w:vMerge/>
          </w:tcPr>
          <w:p w14:paraId="0B84FB53" w14:textId="77777777" w:rsidR="007252D5" w:rsidRPr="00FE705C" w:rsidRDefault="007252D5" w:rsidP="00FE705C">
            <w:pPr>
              <w:tabs>
                <w:tab w:val="left" w:pos="2835"/>
              </w:tabs>
              <w:spacing w:after="0" w:line="240" w:lineRule="auto"/>
              <w:rPr>
                <w:rFonts w:ascii="Arial Narrow" w:hAnsi="Arial Narrow"/>
                <w:lang w:val="en-GB" w:eastAsia="ja-JP"/>
              </w:rPr>
            </w:pPr>
          </w:p>
        </w:tc>
        <w:tc>
          <w:tcPr>
            <w:tcW w:w="1085" w:type="dxa"/>
            <w:vMerge/>
          </w:tcPr>
          <w:p w14:paraId="07AA4CF0" w14:textId="77777777" w:rsidR="007252D5" w:rsidRPr="00FE705C" w:rsidRDefault="007252D5" w:rsidP="00FE705C">
            <w:pPr>
              <w:tabs>
                <w:tab w:val="left" w:pos="2835"/>
              </w:tabs>
              <w:spacing w:after="0" w:line="240" w:lineRule="auto"/>
              <w:rPr>
                <w:rFonts w:ascii="Arial Narrow" w:hAnsi="Arial Narrow"/>
                <w:lang w:val="en-GB" w:eastAsia="ja-JP"/>
              </w:rPr>
            </w:pPr>
          </w:p>
        </w:tc>
        <w:tc>
          <w:tcPr>
            <w:tcW w:w="1583" w:type="dxa"/>
            <w:vAlign w:val="center"/>
          </w:tcPr>
          <w:p w14:paraId="2B5645FE" w14:textId="77777777" w:rsidR="007252D5" w:rsidRPr="00FE705C" w:rsidRDefault="007252D5" w:rsidP="00FE705C">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Net harms</w:t>
            </w:r>
          </w:p>
        </w:tc>
        <w:tc>
          <w:tcPr>
            <w:tcW w:w="977" w:type="dxa"/>
            <w:vAlign w:val="center"/>
          </w:tcPr>
          <w:p w14:paraId="27C7DA98" w14:textId="77777777" w:rsidR="007252D5" w:rsidRPr="00FE705C" w:rsidRDefault="007252D5" w:rsidP="00FE705C">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c>
          <w:tcPr>
            <w:tcW w:w="2369" w:type="dxa"/>
            <w:vMerge/>
            <w:vAlign w:val="center"/>
          </w:tcPr>
          <w:p w14:paraId="3919D156" w14:textId="77777777" w:rsidR="007252D5" w:rsidRPr="00FE705C" w:rsidRDefault="007252D5" w:rsidP="00FE705C">
            <w:pPr>
              <w:tabs>
                <w:tab w:val="left" w:pos="2835"/>
              </w:tabs>
              <w:spacing w:after="0" w:line="240" w:lineRule="auto"/>
              <w:jc w:val="center"/>
              <w:rPr>
                <w:rFonts w:ascii="Arial Narrow" w:hAnsi="Arial Narrow"/>
                <w:lang w:val="en-GB" w:eastAsia="ja-JP"/>
              </w:rPr>
            </w:pPr>
          </w:p>
        </w:tc>
        <w:tc>
          <w:tcPr>
            <w:tcW w:w="2455" w:type="dxa"/>
            <w:gridSpan w:val="2"/>
            <w:vMerge/>
          </w:tcPr>
          <w:p w14:paraId="2E809B19" w14:textId="77777777" w:rsidR="007252D5" w:rsidRPr="00FE705C" w:rsidRDefault="007252D5" w:rsidP="00FE705C">
            <w:pPr>
              <w:tabs>
                <w:tab w:val="left" w:pos="2835"/>
              </w:tabs>
              <w:spacing w:after="0" w:line="240" w:lineRule="auto"/>
              <w:rPr>
                <w:rFonts w:ascii="Arial Narrow" w:hAnsi="Arial Narrow"/>
                <w:lang w:val="en-GB" w:eastAsia="ja-JP"/>
              </w:rPr>
            </w:pPr>
          </w:p>
        </w:tc>
      </w:tr>
    </w:tbl>
    <w:p w14:paraId="7E13DE3A" w14:textId="77777777" w:rsidR="007252D5" w:rsidRDefault="007252D5" w:rsidP="00A96F9C">
      <w:pPr>
        <w:tabs>
          <w:tab w:val="left" w:pos="284"/>
        </w:tabs>
        <w:spacing w:after="0" w:line="240" w:lineRule="auto"/>
        <w:ind w:left="284" w:hanging="284"/>
        <w:rPr>
          <w:rFonts w:ascii="Arial Narrow" w:hAnsi="Arial Narrow"/>
          <w:lang w:val="en-GB" w:eastAsia="ja-JP"/>
        </w:rPr>
      </w:pPr>
      <w:r>
        <w:rPr>
          <w:rFonts w:ascii="Arial Narrow" w:hAnsi="Arial Narrow"/>
          <w:lang w:val="en-GB" w:eastAsia="ja-JP"/>
        </w:rPr>
        <w:t>Abbreviations:  CEA = cost-effectiveness analysis; CUA = cost-utility analysis</w:t>
      </w:r>
    </w:p>
    <w:p w14:paraId="5B414D75" w14:textId="77777777" w:rsidR="007252D5" w:rsidRDefault="007252D5" w:rsidP="00A96F9C">
      <w:pPr>
        <w:tabs>
          <w:tab w:val="left" w:pos="284"/>
        </w:tabs>
        <w:spacing w:after="0" w:line="240" w:lineRule="auto"/>
        <w:ind w:left="284" w:hanging="284"/>
        <w:rPr>
          <w:rFonts w:ascii="Arial Narrow" w:hAnsi="Arial Narrow"/>
          <w:lang w:val="en-GB" w:eastAsia="ja-JP"/>
        </w:rPr>
      </w:pPr>
      <w:r>
        <w:rPr>
          <w:rFonts w:ascii="Arial Narrow" w:hAnsi="Arial Narrow"/>
          <w:lang w:val="en-GB" w:eastAsia="ja-JP"/>
        </w:rPr>
        <w:t>*</w:t>
      </w:r>
      <w:r>
        <w:rPr>
          <w:rFonts w:ascii="Arial Narrow" w:hAnsi="Arial Narrow"/>
          <w:lang w:val="en-GB" w:eastAsia="ja-JP"/>
        </w:rPr>
        <w:tab/>
        <w:t xml:space="preserve">May be reduced to cost-minimisation analysis. </w:t>
      </w:r>
      <w:r w:rsidRPr="00A96F9C">
        <w:rPr>
          <w:rFonts w:ascii="Arial Narrow" w:hAnsi="Arial Narrow"/>
          <w:lang w:val="en-GB" w:eastAsia="ja-JP"/>
        </w:rPr>
        <w:t>Cost-minimisation analysis should only be presented when the proposed service has</w:t>
      </w:r>
      <w:r>
        <w:rPr>
          <w:rFonts w:ascii="Arial Narrow" w:hAnsi="Arial Narrow"/>
          <w:lang w:val="en-GB" w:eastAsia="ja-JP"/>
        </w:rPr>
        <w:t xml:space="preserve"> </w:t>
      </w:r>
      <w:r w:rsidRPr="00A96F9C">
        <w:rPr>
          <w:rFonts w:ascii="Arial Narrow" w:hAnsi="Arial Narrow"/>
          <w:lang w:val="en-GB" w:eastAsia="ja-JP"/>
        </w:rPr>
        <w:t>been indisputably demonstrated to be no worse than its main comparator(s) in terms</w:t>
      </w:r>
      <w:r>
        <w:rPr>
          <w:rFonts w:ascii="Arial Narrow" w:hAnsi="Arial Narrow"/>
          <w:lang w:val="en-GB" w:eastAsia="ja-JP"/>
        </w:rPr>
        <w:t xml:space="preserve"> </w:t>
      </w:r>
      <w:r w:rsidRPr="00A96F9C">
        <w:rPr>
          <w:rFonts w:ascii="Arial Narrow" w:hAnsi="Arial Narrow"/>
          <w:lang w:val="en-GB" w:eastAsia="ja-JP"/>
        </w:rPr>
        <w:t>of both effectiveness and safety, so the difference between the service and the</w:t>
      </w:r>
      <w:r>
        <w:rPr>
          <w:rFonts w:ascii="Arial Narrow" w:hAnsi="Arial Narrow"/>
          <w:lang w:val="en-GB" w:eastAsia="ja-JP"/>
        </w:rPr>
        <w:t xml:space="preserve"> </w:t>
      </w:r>
      <w:r w:rsidRPr="00A96F9C">
        <w:rPr>
          <w:rFonts w:ascii="Arial Narrow" w:hAnsi="Arial Narrow"/>
          <w:lang w:val="en-GB" w:eastAsia="ja-JP"/>
        </w:rPr>
        <w:t>appropriate comparator can be reduced to a comparison of costs. In most cases, there</w:t>
      </w:r>
      <w:r>
        <w:rPr>
          <w:rFonts w:ascii="Arial Narrow" w:hAnsi="Arial Narrow"/>
          <w:lang w:val="en-GB" w:eastAsia="ja-JP"/>
        </w:rPr>
        <w:t xml:space="preserve"> </w:t>
      </w:r>
      <w:r w:rsidRPr="00A96F9C">
        <w:rPr>
          <w:rFonts w:ascii="Arial Narrow" w:hAnsi="Arial Narrow"/>
          <w:lang w:val="en-GB" w:eastAsia="ja-JP"/>
        </w:rPr>
        <w:t>will be some uncertai</w:t>
      </w:r>
      <w:r>
        <w:rPr>
          <w:rFonts w:ascii="Arial Narrow" w:hAnsi="Arial Narrow"/>
          <w:lang w:val="en-GB" w:eastAsia="ja-JP"/>
        </w:rPr>
        <w:t>nty around such a conclusion (i.e.,</w:t>
      </w:r>
      <w:r w:rsidRPr="00A96F9C">
        <w:rPr>
          <w:rFonts w:ascii="Arial Narrow" w:hAnsi="Arial Narrow"/>
          <w:lang w:val="en-GB" w:eastAsia="ja-JP"/>
        </w:rPr>
        <w:t xml:space="preserve"> the conclusion is often not</w:t>
      </w:r>
      <w:r>
        <w:rPr>
          <w:rFonts w:ascii="Arial Narrow" w:hAnsi="Arial Narrow"/>
          <w:lang w:val="en-GB" w:eastAsia="ja-JP"/>
        </w:rPr>
        <w:t xml:space="preserve"> </w:t>
      </w:r>
      <w:r w:rsidRPr="00A96F9C">
        <w:rPr>
          <w:rFonts w:ascii="Arial Narrow" w:hAnsi="Arial Narrow"/>
          <w:lang w:val="en-GB" w:eastAsia="ja-JP"/>
        </w:rPr>
        <w:t>indisputable). Therefore, when an assessment concludes that an</w:t>
      </w:r>
      <w:r>
        <w:rPr>
          <w:rFonts w:ascii="Arial Narrow" w:hAnsi="Arial Narrow"/>
          <w:lang w:val="en-GB" w:eastAsia="ja-JP"/>
        </w:rPr>
        <w:t xml:space="preserve"> </w:t>
      </w:r>
      <w:r w:rsidRPr="00A96F9C">
        <w:rPr>
          <w:rFonts w:ascii="Arial Narrow" w:hAnsi="Arial Narrow"/>
          <w:lang w:val="en-GB" w:eastAsia="ja-JP"/>
        </w:rPr>
        <w:t>intervention was no worse than a comparator, an assessment of the uncertainty around</w:t>
      </w:r>
      <w:r>
        <w:rPr>
          <w:rFonts w:ascii="Arial Narrow" w:hAnsi="Arial Narrow"/>
          <w:lang w:val="en-GB" w:eastAsia="ja-JP"/>
        </w:rPr>
        <w:t xml:space="preserve"> </w:t>
      </w:r>
      <w:r w:rsidRPr="00A96F9C">
        <w:rPr>
          <w:rFonts w:ascii="Arial Narrow" w:hAnsi="Arial Narrow"/>
          <w:lang w:val="en-GB" w:eastAsia="ja-JP"/>
        </w:rPr>
        <w:t xml:space="preserve">this conclusion should </w:t>
      </w:r>
      <w:r>
        <w:rPr>
          <w:rFonts w:ascii="Arial Narrow" w:hAnsi="Arial Narrow"/>
          <w:lang w:val="en-GB" w:eastAsia="ja-JP"/>
        </w:rPr>
        <w:t>b</w:t>
      </w:r>
      <w:r w:rsidRPr="00A96F9C">
        <w:rPr>
          <w:rFonts w:ascii="Arial Narrow" w:hAnsi="Arial Narrow"/>
          <w:lang w:val="en-GB" w:eastAsia="ja-JP"/>
        </w:rPr>
        <w:t xml:space="preserve">e provided by presentation of </w:t>
      </w:r>
      <w:r>
        <w:rPr>
          <w:rFonts w:ascii="Arial Narrow" w:hAnsi="Arial Narrow"/>
          <w:lang w:val="en-GB" w:eastAsia="ja-JP"/>
        </w:rPr>
        <w:t>cost-effectiveness and</w:t>
      </w:r>
      <w:r w:rsidRPr="00A96F9C">
        <w:rPr>
          <w:rFonts w:ascii="Arial Narrow" w:hAnsi="Arial Narrow"/>
          <w:lang w:val="en-GB" w:eastAsia="ja-JP"/>
        </w:rPr>
        <w:t>/or cost-utility analyses.</w:t>
      </w:r>
    </w:p>
    <w:p w14:paraId="73455B0A" w14:textId="77777777" w:rsidR="007252D5" w:rsidRDefault="007252D5" w:rsidP="009B59B7">
      <w:pPr>
        <w:tabs>
          <w:tab w:val="left" w:pos="284"/>
        </w:tabs>
        <w:spacing w:line="240" w:lineRule="auto"/>
        <w:rPr>
          <w:rFonts w:ascii="Arial Narrow" w:hAnsi="Arial Narrow"/>
          <w:lang w:val="en-GB" w:eastAsia="ja-JP"/>
        </w:rPr>
      </w:pPr>
      <w:r>
        <w:rPr>
          <w:rFonts w:ascii="Arial Narrow" w:hAnsi="Arial Narrow"/>
          <w:lang w:val="en-GB" w:eastAsia="ja-JP"/>
        </w:rPr>
        <w:t>^</w:t>
      </w:r>
      <w:r>
        <w:rPr>
          <w:rFonts w:ascii="Arial Narrow" w:hAnsi="Arial Narrow"/>
          <w:lang w:val="en-GB" w:eastAsia="ja-JP"/>
        </w:rPr>
        <w:tab/>
      </w:r>
      <w:r w:rsidRPr="009B59B7">
        <w:rPr>
          <w:rFonts w:ascii="Arial Narrow" w:hAnsi="Arial Narrow"/>
          <w:lang w:val="en-GB" w:eastAsia="ja-JP"/>
        </w:rPr>
        <w:t>No economic evaluation needs to be presented; MSAC is unlikely to recommend government subsidy of this intervention</w:t>
      </w:r>
    </w:p>
    <w:p w14:paraId="46C29128" w14:textId="77777777" w:rsidR="007252D5" w:rsidRPr="00A34E9C" w:rsidRDefault="00D62DF3" w:rsidP="0009757A">
      <w:pPr>
        <w:pStyle w:val="Heading1"/>
      </w:pPr>
      <w:r>
        <w:rPr>
          <w:rFonts w:ascii="Arial Narrow" w:hAnsi="Arial Narrow"/>
          <w:lang w:val="en-GB" w:eastAsia="ja-JP"/>
        </w:rPr>
        <w:br w:type="page"/>
      </w:r>
      <w:bookmarkStart w:id="29" w:name="_Toc444781450"/>
      <w:r w:rsidR="007252D5" w:rsidRPr="00A34E9C">
        <w:lastRenderedPageBreak/>
        <w:t>Outcomes and health care resources affected</w:t>
      </w:r>
      <w:r w:rsidR="007252D5">
        <w:t xml:space="preserve"> by </w:t>
      </w:r>
      <w:r w:rsidR="00F00834">
        <w:t>the</w:t>
      </w:r>
      <w:r w:rsidR="007252D5">
        <w:t xml:space="preserve"> proposed intervention</w:t>
      </w:r>
      <w:bookmarkEnd w:id="29"/>
    </w:p>
    <w:p w14:paraId="3147958E" w14:textId="77777777" w:rsidR="007252D5" w:rsidRDefault="007252D5" w:rsidP="009B59B7">
      <w:pPr>
        <w:pStyle w:val="Heading2"/>
      </w:pPr>
      <w:bookmarkStart w:id="30" w:name="_Toc444781451"/>
      <w:r>
        <w:t>Outcomes</w:t>
      </w:r>
      <w:bookmarkEnd w:id="30"/>
    </w:p>
    <w:p w14:paraId="22414340" w14:textId="77777777" w:rsidR="0065563D" w:rsidRPr="002068D5" w:rsidRDefault="00744C85" w:rsidP="0065563D">
      <w:pPr>
        <w:rPr>
          <w:lang w:val="en-GB" w:eastAsia="ja-JP"/>
        </w:rPr>
      </w:pPr>
      <w:r w:rsidRPr="002068D5">
        <w:rPr>
          <w:lang w:val="en-GB" w:eastAsia="ja-JP"/>
        </w:rPr>
        <w:t xml:space="preserve">For </w:t>
      </w:r>
      <w:r w:rsidRPr="002068D5">
        <w:rPr>
          <w:rFonts w:ascii="Arial" w:hAnsi="Arial" w:cs="Arial"/>
        </w:rPr>
        <w:t xml:space="preserve">the </w:t>
      </w:r>
      <w:proofErr w:type="spellStart"/>
      <w:r w:rsidRPr="002068D5">
        <w:t>multiparametric</w:t>
      </w:r>
      <w:proofErr w:type="spellEnd"/>
      <w:r w:rsidRPr="002068D5">
        <w:t xml:space="preserve"> MRI (</w:t>
      </w:r>
      <w:proofErr w:type="spellStart"/>
      <w:r w:rsidRPr="002068D5">
        <w:t>mpMRI</w:t>
      </w:r>
      <w:proofErr w:type="spellEnd"/>
      <w:r w:rsidRPr="002068D5">
        <w:t>) scans of the prostate, t</w:t>
      </w:r>
      <w:r w:rsidR="0065563D" w:rsidRPr="002068D5">
        <w:rPr>
          <w:lang w:val="en-GB" w:eastAsia="ja-JP"/>
        </w:rPr>
        <w:t>his assessment will consider:</w:t>
      </w:r>
    </w:p>
    <w:p w14:paraId="3CBDBFD9" w14:textId="77777777" w:rsidR="0065563D" w:rsidRPr="002068D5" w:rsidRDefault="0065563D" w:rsidP="000A1167">
      <w:pPr>
        <w:pStyle w:val="ListParagraph"/>
        <w:numPr>
          <w:ilvl w:val="0"/>
          <w:numId w:val="5"/>
        </w:numPr>
        <w:rPr>
          <w:lang w:val="en-GB" w:eastAsia="ja-JP"/>
        </w:rPr>
      </w:pPr>
      <w:r w:rsidRPr="002068D5">
        <w:rPr>
          <w:lang w:val="en-GB" w:eastAsia="ja-JP"/>
        </w:rPr>
        <w:t xml:space="preserve">Effectiveness </w:t>
      </w:r>
    </w:p>
    <w:p w14:paraId="5675BA41" w14:textId="77777777" w:rsidR="00CD7A3A" w:rsidRPr="002068D5" w:rsidRDefault="00CD7A3A" w:rsidP="000A1167">
      <w:pPr>
        <w:pStyle w:val="ListParagraph"/>
        <w:numPr>
          <w:ilvl w:val="1"/>
          <w:numId w:val="5"/>
        </w:numPr>
        <w:rPr>
          <w:lang w:val="en-GB" w:eastAsia="ja-JP"/>
        </w:rPr>
      </w:pPr>
      <w:r w:rsidRPr="002068D5">
        <w:rPr>
          <w:lang w:val="en-GB" w:eastAsia="ja-JP"/>
        </w:rPr>
        <w:t xml:space="preserve">Health outcomes: </w:t>
      </w:r>
      <w:r w:rsidR="00D52045" w:rsidRPr="002068D5">
        <w:rPr>
          <w:lang w:val="en-GB" w:eastAsia="ja-JP"/>
        </w:rPr>
        <w:t xml:space="preserve">change in </w:t>
      </w:r>
      <w:r w:rsidRPr="002068D5">
        <w:rPr>
          <w:lang w:val="en-GB" w:eastAsia="ja-JP"/>
        </w:rPr>
        <w:t>overall survival,</w:t>
      </w:r>
      <w:r w:rsidR="00D52045" w:rsidRPr="002068D5">
        <w:rPr>
          <w:lang w:val="en-GB" w:eastAsia="ja-JP"/>
        </w:rPr>
        <w:t xml:space="preserve"> change in</w:t>
      </w:r>
      <w:r w:rsidRPr="002068D5">
        <w:rPr>
          <w:lang w:val="en-GB" w:eastAsia="ja-JP"/>
        </w:rPr>
        <w:t xml:space="preserve"> prostate cancer specific mortality</w:t>
      </w:r>
      <w:r w:rsidR="00E6561C">
        <w:rPr>
          <w:lang w:val="en-GB" w:eastAsia="ja-JP"/>
        </w:rPr>
        <w:t>, change in incontinence, change in impotence</w:t>
      </w:r>
    </w:p>
    <w:p w14:paraId="7D7721F5" w14:textId="77777777" w:rsidR="00CD7A3A" w:rsidRPr="002068D5" w:rsidRDefault="00CD7A3A" w:rsidP="000A1167">
      <w:pPr>
        <w:pStyle w:val="ListParagraph"/>
        <w:numPr>
          <w:ilvl w:val="1"/>
          <w:numId w:val="5"/>
        </w:numPr>
        <w:rPr>
          <w:lang w:val="en-GB" w:eastAsia="ja-JP"/>
        </w:rPr>
      </w:pPr>
      <w:r w:rsidRPr="002068D5">
        <w:rPr>
          <w:lang w:val="en-GB" w:eastAsia="ja-JP"/>
        </w:rPr>
        <w:t>Diagnostic accuracy: sensitivity, specificity, PPV, NPV</w:t>
      </w:r>
    </w:p>
    <w:p w14:paraId="5E5EA5BE" w14:textId="77777777" w:rsidR="00CD7A3A" w:rsidRPr="002068D5" w:rsidRDefault="00CD7A3A" w:rsidP="000A1167">
      <w:pPr>
        <w:pStyle w:val="ListParagraph"/>
        <w:numPr>
          <w:ilvl w:val="1"/>
          <w:numId w:val="5"/>
        </w:numPr>
        <w:rPr>
          <w:lang w:val="en-GB" w:eastAsia="ja-JP"/>
        </w:rPr>
      </w:pPr>
      <w:r w:rsidRPr="002068D5">
        <w:rPr>
          <w:lang w:val="en-GB" w:eastAsia="ja-JP"/>
        </w:rPr>
        <w:t xml:space="preserve">Change in management: </w:t>
      </w:r>
      <w:r w:rsidR="006D3103" w:rsidRPr="002068D5">
        <w:rPr>
          <w:lang w:val="en-GB" w:eastAsia="ja-JP"/>
        </w:rPr>
        <w:t xml:space="preserve">changes in the </w:t>
      </w:r>
      <w:r w:rsidRPr="002068D5">
        <w:rPr>
          <w:lang w:val="en-GB" w:eastAsia="ja-JP"/>
        </w:rPr>
        <w:t>biopsy rate</w:t>
      </w:r>
      <w:r w:rsidR="006D3103" w:rsidRPr="002068D5">
        <w:rPr>
          <w:lang w:val="en-GB" w:eastAsia="ja-JP"/>
        </w:rPr>
        <w:t>, changes in the rate of men diagnosed with low risk cancer</w:t>
      </w:r>
      <w:r w:rsidR="00E6561C">
        <w:rPr>
          <w:lang w:val="en-GB" w:eastAsia="ja-JP"/>
        </w:rPr>
        <w:t>, change in the rates of surgery</w:t>
      </w:r>
    </w:p>
    <w:p w14:paraId="70096008" w14:textId="77777777" w:rsidR="00CD7A3A" w:rsidRDefault="00CD7A3A" w:rsidP="000A1167">
      <w:pPr>
        <w:pStyle w:val="ListParagraph"/>
        <w:numPr>
          <w:ilvl w:val="1"/>
          <w:numId w:val="5"/>
        </w:numPr>
        <w:rPr>
          <w:lang w:val="en-GB" w:eastAsia="ja-JP"/>
        </w:rPr>
      </w:pPr>
      <w:r w:rsidRPr="002068D5">
        <w:rPr>
          <w:lang w:val="en-GB" w:eastAsia="ja-JP"/>
        </w:rPr>
        <w:t>Patient outcomes: quality of life, satisfaction, time from diagnosis to treatment</w:t>
      </w:r>
    </w:p>
    <w:p w14:paraId="32B61655" w14:textId="77777777" w:rsidR="00CD7A3A" w:rsidRPr="002068D5" w:rsidRDefault="00CD7A3A" w:rsidP="000A1167">
      <w:pPr>
        <w:pStyle w:val="ListParagraph"/>
        <w:numPr>
          <w:ilvl w:val="0"/>
          <w:numId w:val="5"/>
        </w:numPr>
        <w:rPr>
          <w:lang w:val="en-GB" w:eastAsia="ja-JP"/>
        </w:rPr>
      </w:pPr>
      <w:r w:rsidRPr="002068D5">
        <w:rPr>
          <w:lang w:val="en-GB" w:eastAsia="ja-JP"/>
        </w:rPr>
        <w:t>Safety</w:t>
      </w:r>
    </w:p>
    <w:p w14:paraId="0E838570" w14:textId="77777777" w:rsidR="00CD7A3A" w:rsidRPr="002068D5" w:rsidRDefault="00CD7A3A" w:rsidP="000A1167">
      <w:pPr>
        <w:pStyle w:val="ListParagraph"/>
        <w:numPr>
          <w:ilvl w:val="1"/>
          <w:numId w:val="5"/>
        </w:numPr>
        <w:rPr>
          <w:lang w:val="en-GB" w:eastAsia="ja-JP"/>
        </w:rPr>
      </w:pPr>
      <w:r w:rsidRPr="002068D5">
        <w:rPr>
          <w:lang w:val="en-GB" w:eastAsia="ja-JP"/>
        </w:rPr>
        <w:t xml:space="preserve">Adverse events: </w:t>
      </w:r>
      <w:r w:rsidR="00135220">
        <w:rPr>
          <w:lang w:val="en-GB" w:eastAsia="ja-JP"/>
        </w:rPr>
        <w:t>change in biopsy-induced trauma, change in biopsy-induced haemorrhage</w:t>
      </w:r>
    </w:p>
    <w:p w14:paraId="66A2C2E5" w14:textId="77777777" w:rsidR="00D62DF3" w:rsidRDefault="0065563D" w:rsidP="000A1167">
      <w:pPr>
        <w:pStyle w:val="ListParagraph"/>
        <w:numPr>
          <w:ilvl w:val="0"/>
          <w:numId w:val="5"/>
        </w:numPr>
        <w:rPr>
          <w:lang w:val="en-GB" w:eastAsia="ja-JP"/>
        </w:rPr>
      </w:pPr>
      <w:r w:rsidRPr="002068D5">
        <w:rPr>
          <w:lang w:val="en-GB" w:eastAsia="ja-JP"/>
        </w:rPr>
        <w:t xml:space="preserve">Cost-effectiveness </w:t>
      </w:r>
      <w:r w:rsidR="00CD7A3A" w:rsidRPr="002068D5">
        <w:rPr>
          <w:lang w:val="en-GB" w:eastAsia="ja-JP"/>
        </w:rPr>
        <w:t xml:space="preserve">or cost-utility </w:t>
      </w:r>
    </w:p>
    <w:p w14:paraId="4D0D247B" w14:textId="77777777" w:rsidR="00F00834" w:rsidRDefault="00F00834" w:rsidP="00F00834">
      <w:r>
        <w:t xml:space="preserve">PASC noted feedback received from the Royal College of Pathologists of Australasia that is may not be feasible to measure change in overall survival and change in prostate cancer specific mortality due to the long natural history of prostate cancer (typically &gt;10 years from diagnosis to death). The RCPA also advised that the savings in pathology costs are likely to be insignificant compared to the additional cost of </w:t>
      </w:r>
      <w:proofErr w:type="spellStart"/>
      <w:r>
        <w:t>mpMRI</w:t>
      </w:r>
      <w:proofErr w:type="spellEnd"/>
      <w:r>
        <w:t>.</w:t>
      </w:r>
    </w:p>
    <w:p w14:paraId="0C3D6E22" w14:textId="554ECF57" w:rsidR="00F00834" w:rsidRDefault="00F00834" w:rsidP="00F00834">
      <w:r>
        <w:t xml:space="preserve">PASC noted feedback from the Urological Society of Australia and New Zealand (USANZ)  and the Applicant that the adverse outcomes of biopsy </w:t>
      </w:r>
      <w:r w:rsidR="00245798">
        <w:t xml:space="preserve">were </w:t>
      </w:r>
      <w:r>
        <w:t>overstated</w:t>
      </w:r>
      <w:r w:rsidR="006C0869">
        <w:t xml:space="preserve"> </w:t>
      </w:r>
      <w:r w:rsidR="00245798">
        <w:t>in the initial application</w:t>
      </w:r>
      <w:r>
        <w:t>, as there is a growing trend to trans-perineal biopsies in Australia that have a close to 0% risk of sepsis. Adverse outcomes can include admission to an Intensive Care Unit (ICU) or hospital.</w:t>
      </w:r>
    </w:p>
    <w:p w14:paraId="2BB6D3F6" w14:textId="77777777" w:rsidR="00955CF5" w:rsidRDefault="00955CF5" w:rsidP="006C0869">
      <w:pPr>
        <w:pStyle w:val="Heading2"/>
      </w:pPr>
      <w:bookmarkStart w:id="31" w:name="_Toc411240141"/>
      <w:bookmarkStart w:id="32" w:name="_Toc444781452"/>
      <w:r>
        <w:lastRenderedPageBreak/>
        <w:t>Proposed structure of economic evaluation (decision-analytic)</w:t>
      </w:r>
      <w:bookmarkEnd w:id="31"/>
      <w:bookmarkEnd w:id="32"/>
    </w:p>
    <w:p w14:paraId="1FEE5465" w14:textId="77777777" w:rsidR="00955CF5" w:rsidRDefault="00955CF5" w:rsidP="006C0869">
      <w:pPr>
        <w:pStyle w:val="Caption"/>
      </w:pPr>
      <w:bookmarkStart w:id="33" w:name="_Ref283297696"/>
      <w:r>
        <w:t xml:space="preserve">Table </w:t>
      </w:r>
      <w:bookmarkEnd w:id="33"/>
      <w:r w:rsidR="00E7097B">
        <w:t>6</w:t>
      </w:r>
      <w:r>
        <w:t>:  Summary of extended PICO to define research question that assessment will investigate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6:  Summary of extended PICO to define research question that assessment will investigate"/>
        <w:tblDescription w:val="Table 6:  Summary of extended PICO to define research question that assessment will investigate"/>
      </w:tblPr>
      <w:tblGrid>
        <w:gridCol w:w="1829"/>
        <w:gridCol w:w="1114"/>
        <w:gridCol w:w="1418"/>
        <w:gridCol w:w="1985"/>
        <w:gridCol w:w="2896"/>
      </w:tblGrid>
      <w:tr w:rsidR="00D775C6" w:rsidRPr="00C873D8" w14:paraId="288FF730" w14:textId="77777777" w:rsidTr="00386A9F">
        <w:tc>
          <w:tcPr>
            <w:tcW w:w="1829" w:type="dxa"/>
          </w:tcPr>
          <w:p w14:paraId="152859DF" w14:textId="77777777" w:rsidR="00A06D5B" w:rsidRPr="001E76B3" w:rsidRDefault="00A06D5B" w:rsidP="006C0869">
            <w:pPr>
              <w:keepNext/>
              <w:spacing w:after="0" w:line="240" w:lineRule="auto"/>
              <w:jc w:val="center"/>
              <w:rPr>
                <w:rFonts w:ascii="Arial Narrow" w:hAnsi="Arial Narrow"/>
                <w:b/>
              </w:rPr>
            </w:pPr>
            <w:r w:rsidRPr="001E76B3">
              <w:rPr>
                <w:rFonts w:ascii="Arial Narrow" w:hAnsi="Arial Narrow"/>
                <w:b/>
              </w:rPr>
              <w:t>Patients</w:t>
            </w:r>
          </w:p>
        </w:tc>
        <w:tc>
          <w:tcPr>
            <w:tcW w:w="1114" w:type="dxa"/>
          </w:tcPr>
          <w:p w14:paraId="480C75CF" w14:textId="77777777" w:rsidR="00A06D5B" w:rsidRPr="001E76B3" w:rsidRDefault="00A06D5B" w:rsidP="006C0869">
            <w:pPr>
              <w:keepNext/>
              <w:spacing w:after="0" w:line="240" w:lineRule="auto"/>
              <w:jc w:val="center"/>
              <w:rPr>
                <w:rFonts w:ascii="Arial Narrow" w:hAnsi="Arial Narrow"/>
                <w:b/>
              </w:rPr>
            </w:pPr>
            <w:r>
              <w:rPr>
                <w:rFonts w:ascii="Arial Narrow" w:hAnsi="Arial Narrow"/>
                <w:b/>
              </w:rPr>
              <w:t>Prior test</w:t>
            </w:r>
          </w:p>
        </w:tc>
        <w:tc>
          <w:tcPr>
            <w:tcW w:w="1418" w:type="dxa"/>
          </w:tcPr>
          <w:p w14:paraId="21107013" w14:textId="77777777" w:rsidR="00A06D5B" w:rsidRPr="001E76B3" w:rsidRDefault="00A06D5B" w:rsidP="006C0869">
            <w:pPr>
              <w:keepNext/>
              <w:spacing w:after="0" w:line="240" w:lineRule="auto"/>
              <w:jc w:val="center"/>
              <w:rPr>
                <w:rFonts w:ascii="Arial Narrow" w:hAnsi="Arial Narrow"/>
                <w:b/>
              </w:rPr>
            </w:pPr>
            <w:r w:rsidRPr="001E76B3">
              <w:rPr>
                <w:rFonts w:ascii="Arial Narrow" w:hAnsi="Arial Narrow"/>
                <w:b/>
              </w:rPr>
              <w:t>Intervention</w:t>
            </w:r>
          </w:p>
        </w:tc>
        <w:tc>
          <w:tcPr>
            <w:tcW w:w="1985" w:type="dxa"/>
          </w:tcPr>
          <w:p w14:paraId="0EA855A2" w14:textId="77777777" w:rsidR="00A06D5B" w:rsidRPr="001E76B3" w:rsidRDefault="00A06D5B" w:rsidP="006C0869">
            <w:pPr>
              <w:keepNext/>
              <w:spacing w:after="0" w:line="240" w:lineRule="auto"/>
              <w:jc w:val="center"/>
              <w:rPr>
                <w:rFonts w:ascii="Arial Narrow" w:hAnsi="Arial Narrow"/>
                <w:b/>
              </w:rPr>
            </w:pPr>
            <w:r w:rsidRPr="001E76B3">
              <w:rPr>
                <w:rFonts w:ascii="Arial Narrow" w:hAnsi="Arial Narrow"/>
                <w:b/>
              </w:rPr>
              <w:t>Comparator</w:t>
            </w:r>
          </w:p>
        </w:tc>
        <w:tc>
          <w:tcPr>
            <w:tcW w:w="2896" w:type="dxa"/>
          </w:tcPr>
          <w:p w14:paraId="6AE9DB53" w14:textId="77777777" w:rsidR="00A06D5B" w:rsidRPr="001E76B3" w:rsidRDefault="00A06D5B" w:rsidP="006C0869">
            <w:pPr>
              <w:keepNext/>
              <w:spacing w:after="0" w:line="240" w:lineRule="auto"/>
              <w:jc w:val="center"/>
              <w:rPr>
                <w:rFonts w:ascii="Arial Narrow" w:hAnsi="Arial Narrow"/>
                <w:b/>
              </w:rPr>
            </w:pPr>
            <w:r w:rsidRPr="001E76B3">
              <w:rPr>
                <w:rFonts w:ascii="Arial Narrow" w:hAnsi="Arial Narrow"/>
                <w:b/>
              </w:rPr>
              <w:t>Outcomes to be assessed</w:t>
            </w:r>
          </w:p>
        </w:tc>
      </w:tr>
      <w:tr w:rsidR="00D775C6" w:rsidRPr="00C873D8" w14:paraId="0E17D9DC" w14:textId="77777777" w:rsidTr="00386A9F">
        <w:tc>
          <w:tcPr>
            <w:tcW w:w="1829" w:type="dxa"/>
          </w:tcPr>
          <w:p w14:paraId="360AC5FA" w14:textId="77777777" w:rsidR="003C6B59" w:rsidRPr="003C6B59" w:rsidRDefault="003C6B59" w:rsidP="0071490C">
            <w:pPr>
              <w:pStyle w:val="ListParagraph"/>
              <w:keepNext/>
              <w:numPr>
                <w:ilvl w:val="0"/>
                <w:numId w:val="14"/>
              </w:numPr>
              <w:spacing w:after="0" w:line="240" w:lineRule="auto"/>
              <w:jc w:val="left"/>
              <w:rPr>
                <w:rFonts w:ascii="Arial Narrow" w:hAnsi="Arial Narrow"/>
              </w:rPr>
            </w:pPr>
            <w:r w:rsidRPr="003C6B59">
              <w:rPr>
                <w:rFonts w:ascii="Arial Narrow" w:hAnsi="Arial Narrow"/>
              </w:rPr>
              <w:t>Men who are suspected of having prostate cancer on the basis of a high or concerning PSA level.</w:t>
            </w:r>
          </w:p>
          <w:p w14:paraId="5659E3FB" w14:textId="77777777" w:rsidR="00286D6A" w:rsidRPr="003C6B59" w:rsidRDefault="003C6B59" w:rsidP="0071490C">
            <w:pPr>
              <w:pStyle w:val="ListParagraph"/>
              <w:keepNext/>
              <w:numPr>
                <w:ilvl w:val="0"/>
                <w:numId w:val="14"/>
              </w:numPr>
              <w:spacing w:after="0" w:line="240" w:lineRule="auto"/>
              <w:jc w:val="left"/>
              <w:rPr>
                <w:rFonts w:ascii="Arial Narrow" w:hAnsi="Arial Narrow"/>
              </w:rPr>
            </w:pPr>
            <w:r w:rsidRPr="003C6B59">
              <w:rPr>
                <w:rFonts w:ascii="Arial Narrow" w:hAnsi="Arial Narrow"/>
              </w:rPr>
              <w:t>Men diagnosed with low or intermediate risk prostate cancer undertaking active surveillance.</w:t>
            </w:r>
          </w:p>
        </w:tc>
        <w:tc>
          <w:tcPr>
            <w:tcW w:w="1114" w:type="dxa"/>
          </w:tcPr>
          <w:p w14:paraId="518BFE0E" w14:textId="77777777" w:rsidR="00EE24AA" w:rsidRPr="00D775C6" w:rsidRDefault="009F7439" w:rsidP="006C0869">
            <w:pPr>
              <w:keepNext/>
              <w:spacing w:after="0" w:line="240" w:lineRule="auto"/>
              <w:jc w:val="left"/>
              <w:rPr>
                <w:rFonts w:ascii="Arial Narrow" w:hAnsi="Arial Narrow"/>
              </w:rPr>
            </w:pPr>
            <w:r>
              <w:rPr>
                <w:rFonts w:ascii="Arial Narrow" w:hAnsi="Arial Narrow"/>
              </w:rPr>
              <w:t>DRE/PSA</w:t>
            </w:r>
          </w:p>
          <w:p w14:paraId="029E522E" w14:textId="77777777" w:rsidR="00EE24AA" w:rsidRPr="00D775C6" w:rsidRDefault="00EE24AA" w:rsidP="006C0869">
            <w:pPr>
              <w:keepNext/>
              <w:spacing w:before="120" w:after="120" w:line="240" w:lineRule="auto"/>
              <w:jc w:val="left"/>
              <w:rPr>
                <w:rFonts w:ascii="Arial Narrow" w:hAnsi="Arial Narrow"/>
              </w:rPr>
            </w:pPr>
          </w:p>
        </w:tc>
        <w:tc>
          <w:tcPr>
            <w:tcW w:w="1418" w:type="dxa"/>
          </w:tcPr>
          <w:p w14:paraId="0EC36231" w14:textId="77777777" w:rsidR="00A06D5B" w:rsidRPr="00A42F0E" w:rsidRDefault="00A06D5B" w:rsidP="006C0869">
            <w:pPr>
              <w:keepNext/>
              <w:spacing w:after="0" w:line="240" w:lineRule="auto"/>
              <w:jc w:val="left"/>
              <w:rPr>
                <w:rFonts w:ascii="Arial Narrow" w:hAnsi="Arial Narrow"/>
              </w:rPr>
            </w:pPr>
            <w:proofErr w:type="spellStart"/>
            <w:r>
              <w:rPr>
                <w:rFonts w:ascii="Arial Narrow" w:hAnsi="Arial Narrow"/>
              </w:rPr>
              <w:t>M</w:t>
            </w:r>
            <w:r w:rsidRPr="00A42F0E">
              <w:rPr>
                <w:rFonts w:ascii="Arial Narrow" w:hAnsi="Arial Narrow"/>
              </w:rPr>
              <w:t>ultiparametric</w:t>
            </w:r>
            <w:proofErr w:type="spellEnd"/>
            <w:r w:rsidRPr="00A42F0E">
              <w:rPr>
                <w:rFonts w:ascii="Arial Narrow" w:hAnsi="Arial Narrow"/>
              </w:rPr>
              <w:t xml:space="preserve"> MRI (</w:t>
            </w:r>
            <w:proofErr w:type="spellStart"/>
            <w:r w:rsidRPr="00A42F0E">
              <w:rPr>
                <w:rFonts w:ascii="Arial Narrow" w:hAnsi="Arial Narrow"/>
              </w:rPr>
              <w:t>mpMRI</w:t>
            </w:r>
            <w:proofErr w:type="spellEnd"/>
            <w:r w:rsidRPr="00A42F0E">
              <w:rPr>
                <w:rFonts w:ascii="Arial Narrow" w:hAnsi="Arial Narrow"/>
              </w:rPr>
              <w:t>) scans of the prostate</w:t>
            </w:r>
          </w:p>
        </w:tc>
        <w:tc>
          <w:tcPr>
            <w:tcW w:w="1985" w:type="dxa"/>
          </w:tcPr>
          <w:p w14:paraId="789A9D1C" w14:textId="77777777" w:rsidR="00386A9F" w:rsidRDefault="00386A9F" w:rsidP="006C0869">
            <w:pPr>
              <w:pStyle w:val="NoSpacing"/>
              <w:keepNext/>
              <w:rPr>
                <w:rFonts w:ascii="Arial Narrow" w:hAnsi="Arial Narrow"/>
                <w:sz w:val="20"/>
              </w:rPr>
            </w:pPr>
            <w:r>
              <w:rPr>
                <w:rFonts w:ascii="Arial Narrow" w:hAnsi="Arial Narrow"/>
                <w:sz w:val="20"/>
              </w:rPr>
              <w:t>In suspected prostate cancer:</w:t>
            </w:r>
          </w:p>
          <w:p w14:paraId="5E8A2B90" w14:textId="77777777" w:rsidR="00386A9F" w:rsidRDefault="00386A9F" w:rsidP="0071490C">
            <w:pPr>
              <w:pStyle w:val="NoSpacing"/>
              <w:keepNext/>
              <w:numPr>
                <w:ilvl w:val="0"/>
                <w:numId w:val="15"/>
              </w:numPr>
              <w:rPr>
                <w:rFonts w:ascii="Arial Narrow" w:hAnsi="Arial Narrow"/>
                <w:sz w:val="20"/>
              </w:rPr>
            </w:pPr>
            <w:r>
              <w:rPr>
                <w:rFonts w:ascii="Arial Narrow" w:hAnsi="Arial Narrow"/>
                <w:sz w:val="20"/>
              </w:rPr>
              <w:t xml:space="preserve">DRE/PSA + clinical </w:t>
            </w:r>
            <w:proofErr w:type="spellStart"/>
            <w:r>
              <w:rPr>
                <w:rFonts w:ascii="Arial Narrow" w:hAnsi="Arial Narrow"/>
                <w:sz w:val="20"/>
              </w:rPr>
              <w:t>judgement</w:t>
            </w:r>
            <w:proofErr w:type="spellEnd"/>
            <w:r>
              <w:rPr>
                <w:rFonts w:ascii="Arial Narrow" w:hAnsi="Arial Narrow"/>
                <w:sz w:val="20"/>
              </w:rPr>
              <w:t xml:space="preserve"> + </w:t>
            </w:r>
            <w:r w:rsidR="003C464E" w:rsidRPr="003C464E">
              <w:rPr>
                <w:rFonts w:ascii="Arial Narrow" w:hAnsi="Arial Narrow"/>
                <w:sz w:val="20"/>
              </w:rPr>
              <w:t>TRUS</w:t>
            </w:r>
            <w:r>
              <w:rPr>
                <w:rFonts w:ascii="Arial Narrow" w:hAnsi="Arial Narrow"/>
                <w:sz w:val="20"/>
              </w:rPr>
              <w:t>GB/TPUSGB</w:t>
            </w:r>
          </w:p>
          <w:p w14:paraId="75B61ED5" w14:textId="77777777" w:rsidR="00386A9F" w:rsidRDefault="00386A9F" w:rsidP="0071490C">
            <w:pPr>
              <w:pStyle w:val="NoSpacing"/>
              <w:keepNext/>
              <w:numPr>
                <w:ilvl w:val="0"/>
                <w:numId w:val="15"/>
              </w:numPr>
              <w:rPr>
                <w:rFonts w:ascii="Arial Narrow" w:hAnsi="Arial Narrow"/>
                <w:sz w:val="20"/>
              </w:rPr>
            </w:pPr>
            <w:r>
              <w:rPr>
                <w:rFonts w:ascii="Arial Narrow" w:hAnsi="Arial Narrow"/>
                <w:sz w:val="20"/>
              </w:rPr>
              <w:t xml:space="preserve">DRE/PSA + clinical </w:t>
            </w:r>
            <w:proofErr w:type="spellStart"/>
            <w:r>
              <w:rPr>
                <w:rFonts w:ascii="Arial Narrow" w:hAnsi="Arial Narrow"/>
                <w:sz w:val="20"/>
              </w:rPr>
              <w:t>judgement</w:t>
            </w:r>
            <w:proofErr w:type="spellEnd"/>
            <w:r>
              <w:rPr>
                <w:rFonts w:ascii="Arial Narrow" w:hAnsi="Arial Narrow"/>
                <w:sz w:val="20"/>
              </w:rPr>
              <w:t xml:space="preserve"> alone</w:t>
            </w:r>
          </w:p>
          <w:p w14:paraId="66C9C451" w14:textId="77777777" w:rsidR="003C464E" w:rsidRPr="003C464E" w:rsidRDefault="003C464E" w:rsidP="006C0869">
            <w:pPr>
              <w:pStyle w:val="NoSpacing"/>
              <w:keepNext/>
              <w:rPr>
                <w:rFonts w:ascii="Arial Narrow" w:hAnsi="Arial Narrow"/>
                <w:sz w:val="20"/>
              </w:rPr>
            </w:pPr>
          </w:p>
          <w:p w14:paraId="657D49D7" w14:textId="77777777" w:rsidR="00386A9F" w:rsidRDefault="003C464E" w:rsidP="006C0869">
            <w:pPr>
              <w:pStyle w:val="NoSpacing"/>
              <w:keepNext/>
              <w:rPr>
                <w:rFonts w:ascii="Arial Narrow" w:hAnsi="Arial Narrow"/>
                <w:sz w:val="20"/>
              </w:rPr>
            </w:pPr>
            <w:r>
              <w:rPr>
                <w:rFonts w:ascii="Arial Narrow" w:hAnsi="Arial Narrow"/>
                <w:sz w:val="20"/>
              </w:rPr>
              <w:t>I</w:t>
            </w:r>
            <w:r w:rsidRPr="003C464E">
              <w:rPr>
                <w:rFonts w:ascii="Arial Narrow" w:hAnsi="Arial Narrow"/>
                <w:sz w:val="20"/>
              </w:rPr>
              <w:t xml:space="preserve">n active surveillance population: </w:t>
            </w:r>
          </w:p>
          <w:p w14:paraId="1286A4F6" w14:textId="77777777" w:rsidR="003C464E" w:rsidRPr="003C464E" w:rsidRDefault="00386A9F" w:rsidP="0071490C">
            <w:pPr>
              <w:pStyle w:val="NoSpacing"/>
              <w:keepNext/>
              <w:numPr>
                <w:ilvl w:val="0"/>
                <w:numId w:val="16"/>
              </w:numPr>
              <w:rPr>
                <w:rFonts w:ascii="Arial Narrow" w:hAnsi="Arial Narrow"/>
                <w:sz w:val="20"/>
              </w:rPr>
            </w:pPr>
            <w:r>
              <w:rPr>
                <w:rFonts w:ascii="Arial Narrow" w:hAnsi="Arial Narrow"/>
                <w:sz w:val="20"/>
              </w:rPr>
              <w:t>A</w:t>
            </w:r>
            <w:r w:rsidR="003C464E" w:rsidRPr="003C464E">
              <w:rPr>
                <w:rFonts w:ascii="Arial Narrow" w:hAnsi="Arial Narrow"/>
                <w:sz w:val="20"/>
              </w:rPr>
              <w:t xml:space="preserve">ctive surveillance </w:t>
            </w:r>
            <w:r>
              <w:rPr>
                <w:rFonts w:ascii="Arial Narrow" w:hAnsi="Arial Narrow"/>
                <w:sz w:val="20"/>
              </w:rPr>
              <w:t>including routine biopsy</w:t>
            </w:r>
            <w:r w:rsidR="003C464E" w:rsidRPr="003C464E">
              <w:rPr>
                <w:rFonts w:ascii="Arial Narrow" w:hAnsi="Arial Narrow"/>
                <w:sz w:val="20"/>
              </w:rPr>
              <w:t>.</w:t>
            </w:r>
          </w:p>
          <w:p w14:paraId="52731B67" w14:textId="77777777" w:rsidR="00A06D5B" w:rsidRPr="001E76B3" w:rsidRDefault="00A06D5B" w:rsidP="006C0869">
            <w:pPr>
              <w:keepNext/>
              <w:spacing w:after="0" w:line="240" w:lineRule="auto"/>
              <w:jc w:val="left"/>
              <w:rPr>
                <w:rFonts w:ascii="Arial Narrow" w:hAnsi="Arial Narrow"/>
              </w:rPr>
            </w:pPr>
          </w:p>
        </w:tc>
        <w:tc>
          <w:tcPr>
            <w:tcW w:w="2896" w:type="dxa"/>
          </w:tcPr>
          <w:p w14:paraId="24EF1470" w14:textId="77777777" w:rsidR="00A06D5B" w:rsidRPr="00EC423C" w:rsidRDefault="00A06D5B" w:rsidP="006C0869">
            <w:pPr>
              <w:keepNext/>
              <w:spacing w:after="0" w:line="240" w:lineRule="auto"/>
              <w:jc w:val="left"/>
              <w:rPr>
                <w:rFonts w:ascii="Arial Narrow" w:hAnsi="Arial Narrow"/>
                <w:i/>
                <w:u w:val="single"/>
                <w:lang w:val="en-GB" w:eastAsia="ja-JP"/>
              </w:rPr>
            </w:pPr>
            <w:r w:rsidRPr="00EC423C">
              <w:rPr>
                <w:rFonts w:ascii="Arial Narrow" w:hAnsi="Arial Narrow"/>
                <w:i/>
                <w:u w:val="single"/>
                <w:lang w:val="en-GB" w:eastAsia="ja-JP"/>
              </w:rPr>
              <w:t xml:space="preserve">Effectiveness </w:t>
            </w:r>
          </w:p>
          <w:p w14:paraId="02EFD440" w14:textId="77777777" w:rsidR="00A06D5B" w:rsidRPr="00135220" w:rsidRDefault="00A06D5B" w:rsidP="0071490C">
            <w:pPr>
              <w:pStyle w:val="ListParagraph"/>
              <w:keepNext/>
              <w:numPr>
                <w:ilvl w:val="1"/>
                <w:numId w:val="5"/>
              </w:numPr>
              <w:spacing w:after="0" w:line="240" w:lineRule="auto"/>
              <w:ind w:left="197" w:hanging="284"/>
              <w:jc w:val="left"/>
              <w:rPr>
                <w:rFonts w:ascii="Arial Narrow" w:hAnsi="Arial Narrow"/>
                <w:lang w:val="en-GB" w:eastAsia="ja-JP"/>
              </w:rPr>
            </w:pPr>
            <w:r w:rsidRPr="00135220">
              <w:rPr>
                <w:rFonts w:ascii="Arial Narrow" w:hAnsi="Arial Narrow"/>
                <w:lang w:val="en-GB" w:eastAsia="ja-JP"/>
              </w:rPr>
              <w:t>Health outcomes: change in overall survival, change in prostate cancer specific mortality, change in incontinence, change in impotence</w:t>
            </w:r>
          </w:p>
          <w:p w14:paraId="45AE3A45" w14:textId="77777777" w:rsidR="00A06D5B" w:rsidRPr="00135220" w:rsidRDefault="00A06D5B" w:rsidP="0071490C">
            <w:pPr>
              <w:pStyle w:val="ListParagraph"/>
              <w:keepNext/>
              <w:numPr>
                <w:ilvl w:val="1"/>
                <w:numId w:val="5"/>
              </w:numPr>
              <w:spacing w:after="0" w:line="240" w:lineRule="auto"/>
              <w:ind w:left="197" w:hanging="284"/>
              <w:jc w:val="left"/>
              <w:rPr>
                <w:rFonts w:ascii="Arial Narrow" w:hAnsi="Arial Narrow"/>
                <w:lang w:val="en-GB" w:eastAsia="ja-JP"/>
              </w:rPr>
            </w:pPr>
            <w:r w:rsidRPr="00135220">
              <w:rPr>
                <w:rFonts w:ascii="Arial Narrow" w:hAnsi="Arial Narrow"/>
                <w:lang w:val="en-GB" w:eastAsia="ja-JP"/>
              </w:rPr>
              <w:t>Diagnostic accuracy: sensitivity, specificity, PPV, NPV</w:t>
            </w:r>
          </w:p>
          <w:p w14:paraId="47FE4A8D" w14:textId="77777777" w:rsidR="00A06D5B" w:rsidRPr="00135220" w:rsidRDefault="00A06D5B" w:rsidP="0071490C">
            <w:pPr>
              <w:pStyle w:val="ListParagraph"/>
              <w:keepNext/>
              <w:numPr>
                <w:ilvl w:val="1"/>
                <w:numId w:val="5"/>
              </w:numPr>
              <w:spacing w:after="0" w:line="240" w:lineRule="auto"/>
              <w:ind w:left="197" w:hanging="284"/>
              <w:jc w:val="left"/>
              <w:rPr>
                <w:rFonts w:ascii="Arial Narrow" w:hAnsi="Arial Narrow"/>
                <w:lang w:val="en-GB" w:eastAsia="ja-JP"/>
              </w:rPr>
            </w:pPr>
            <w:r w:rsidRPr="00135220">
              <w:rPr>
                <w:rFonts w:ascii="Arial Narrow" w:hAnsi="Arial Narrow"/>
                <w:lang w:val="en-GB" w:eastAsia="ja-JP"/>
              </w:rPr>
              <w:t>Change in management: changes in the biopsy rate, changes in the rate of men diagnosed with low risk cancer, change in the rates of surgery</w:t>
            </w:r>
          </w:p>
          <w:p w14:paraId="017ED9C5" w14:textId="77777777" w:rsidR="00D775C6" w:rsidRDefault="00A06D5B" w:rsidP="0071490C">
            <w:pPr>
              <w:pStyle w:val="ListParagraph"/>
              <w:keepNext/>
              <w:numPr>
                <w:ilvl w:val="1"/>
                <w:numId w:val="5"/>
              </w:numPr>
              <w:spacing w:after="0" w:line="240" w:lineRule="auto"/>
              <w:ind w:left="197" w:hanging="284"/>
              <w:jc w:val="left"/>
              <w:rPr>
                <w:rFonts w:ascii="Arial Narrow" w:hAnsi="Arial Narrow"/>
                <w:lang w:val="en-GB" w:eastAsia="ja-JP"/>
              </w:rPr>
            </w:pPr>
            <w:r w:rsidRPr="00135220">
              <w:rPr>
                <w:rFonts w:ascii="Arial Narrow" w:hAnsi="Arial Narrow"/>
                <w:lang w:val="en-GB" w:eastAsia="ja-JP"/>
              </w:rPr>
              <w:t>Patient outcomes: quality of life, satisfaction, time from diagnosis to treatment</w:t>
            </w:r>
          </w:p>
          <w:p w14:paraId="7A75062C" w14:textId="77777777" w:rsidR="00D775C6" w:rsidRPr="00D775C6" w:rsidRDefault="00A06D5B" w:rsidP="006C0869">
            <w:pPr>
              <w:pStyle w:val="ListParagraph"/>
              <w:keepNext/>
              <w:spacing w:after="0" w:line="240" w:lineRule="auto"/>
              <w:ind w:left="197"/>
              <w:jc w:val="left"/>
              <w:rPr>
                <w:rFonts w:ascii="Arial Narrow" w:hAnsi="Arial Narrow"/>
                <w:lang w:val="en-GB" w:eastAsia="ja-JP"/>
              </w:rPr>
            </w:pPr>
            <w:r w:rsidRPr="00D775C6">
              <w:rPr>
                <w:rFonts w:ascii="Arial Narrow" w:hAnsi="Arial Narrow"/>
                <w:i/>
                <w:u w:val="single"/>
                <w:lang w:val="en-GB" w:eastAsia="ja-JP"/>
              </w:rPr>
              <w:t>Safety</w:t>
            </w:r>
          </w:p>
          <w:p w14:paraId="767ABB3F" w14:textId="77777777" w:rsidR="00A06D5B" w:rsidRPr="00D775C6" w:rsidRDefault="00A06D5B" w:rsidP="0071490C">
            <w:pPr>
              <w:pStyle w:val="ListParagraph"/>
              <w:keepNext/>
              <w:numPr>
                <w:ilvl w:val="1"/>
                <w:numId w:val="5"/>
              </w:numPr>
              <w:spacing w:after="0" w:line="240" w:lineRule="auto"/>
              <w:ind w:left="197" w:hanging="284"/>
              <w:jc w:val="left"/>
              <w:rPr>
                <w:rFonts w:ascii="Arial Narrow" w:hAnsi="Arial Narrow"/>
                <w:lang w:val="en-GB" w:eastAsia="ja-JP"/>
              </w:rPr>
            </w:pPr>
            <w:r w:rsidRPr="00D775C6">
              <w:rPr>
                <w:rFonts w:ascii="Arial Narrow" w:hAnsi="Arial Narrow"/>
                <w:lang w:val="en-GB" w:eastAsia="ja-JP"/>
              </w:rPr>
              <w:t>Adverse events: change in biopsy-induced trauma, change in biopsy-induced haemorrhage</w:t>
            </w:r>
          </w:p>
          <w:p w14:paraId="5D6E4F9A" w14:textId="77777777" w:rsidR="00A06D5B" w:rsidRPr="00EC423C" w:rsidRDefault="00A06D5B" w:rsidP="006C0869">
            <w:pPr>
              <w:keepNext/>
              <w:spacing w:after="0" w:line="240" w:lineRule="auto"/>
              <w:ind w:left="197"/>
              <w:jc w:val="left"/>
              <w:rPr>
                <w:rFonts w:ascii="Arial Narrow" w:hAnsi="Arial Narrow"/>
                <w:i/>
                <w:u w:val="single"/>
                <w:lang w:val="en-GB" w:eastAsia="ja-JP"/>
              </w:rPr>
            </w:pPr>
            <w:r w:rsidRPr="00EC423C">
              <w:rPr>
                <w:rFonts w:ascii="Arial Narrow" w:hAnsi="Arial Narrow"/>
                <w:i/>
                <w:u w:val="single"/>
                <w:lang w:val="en-GB" w:eastAsia="ja-JP"/>
              </w:rPr>
              <w:t xml:space="preserve">Economic: </w:t>
            </w:r>
          </w:p>
          <w:p w14:paraId="6BF0C08D" w14:textId="77777777" w:rsidR="00A06D5B" w:rsidRPr="00135220" w:rsidRDefault="00A06D5B" w:rsidP="0071490C">
            <w:pPr>
              <w:pStyle w:val="ListParagraph"/>
              <w:keepNext/>
              <w:numPr>
                <w:ilvl w:val="1"/>
                <w:numId w:val="5"/>
              </w:numPr>
              <w:spacing w:after="0" w:line="240" w:lineRule="auto"/>
              <w:ind w:left="197" w:hanging="284"/>
              <w:jc w:val="left"/>
              <w:rPr>
                <w:rFonts w:ascii="Arial Narrow" w:hAnsi="Arial Narrow"/>
                <w:lang w:val="en-GB" w:eastAsia="ja-JP"/>
              </w:rPr>
            </w:pPr>
            <w:r w:rsidRPr="00135220">
              <w:rPr>
                <w:rFonts w:ascii="Arial Narrow" w:hAnsi="Arial Narrow"/>
                <w:lang w:val="en-GB" w:eastAsia="ja-JP"/>
              </w:rPr>
              <w:t xml:space="preserve">Cost-effectiveness or cost-utility </w:t>
            </w:r>
          </w:p>
        </w:tc>
      </w:tr>
    </w:tbl>
    <w:p w14:paraId="440D917B" w14:textId="77777777" w:rsidR="00135220" w:rsidRDefault="00135220" w:rsidP="00955CF5"/>
    <w:p w14:paraId="5792FD3D" w14:textId="77777777" w:rsidR="00135220" w:rsidRDefault="00135220">
      <w:pPr>
        <w:spacing w:after="0" w:line="240" w:lineRule="auto"/>
        <w:jc w:val="left"/>
      </w:pPr>
      <w:r>
        <w:br w:type="page"/>
      </w:r>
    </w:p>
    <w:p w14:paraId="3D09FA08" w14:textId="77777777" w:rsidR="00955CF5" w:rsidRPr="00A34E9C" w:rsidRDefault="00955CF5" w:rsidP="00955CF5">
      <w:pPr>
        <w:pStyle w:val="Heading1"/>
      </w:pPr>
      <w:bookmarkStart w:id="34" w:name="_Toc411240142"/>
      <w:bookmarkStart w:id="35" w:name="_Toc444781453"/>
      <w:r>
        <w:lastRenderedPageBreak/>
        <w:t>References</w:t>
      </w:r>
      <w:bookmarkEnd w:id="34"/>
      <w:bookmarkEnd w:id="35"/>
    </w:p>
    <w:p w14:paraId="42C9DBD3" w14:textId="77777777" w:rsidR="00D62DF3" w:rsidRDefault="00D0796F" w:rsidP="00B53491">
      <w:pPr>
        <w:autoSpaceDE w:val="0"/>
        <w:autoSpaceDN w:val="0"/>
        <w:adjustRightInd w:val="0"/>
        <w:spacing w:line="240" w:lineRule="auto"/>
        <w:jc w:val="left"/>
        <w:rPr>
          <w:rFonts w:ascii="ArialMT" w:eastAsia="Calibri" w:hAnsi="ArialMT" w:cs="ArialMT"/>
          <w:lang w:eastAsia="en-US"/>
        </w:rPr>
      </w:pPr>
      <w:proofErr w:type="gramStart"/>
      <w:r w:rsidRPr="00D0796F">
        <w:rPr>
          <w:rFonts w:ascii="ArialMT" w:eastAsia="Calibri" w:hAnsi="ArialMT" w:cs="ArialMT"/>
          <w:lang w:eastAsia="en-US"/>
        </w:rPr>
        <w:t xml:space="preserve">AIHW </w:t>
      </w:r>
      <w:r>
        <w:rPr>
          <w:rFonts w:ascii="ArialMT" w:eastAsia="Calibri" w:hAnsi="ArialMT" w:cs="ArialMT"/>
          <w:lang w:eastAsia="en-US"/>
        </w:rPr>
        <w:t>(</w:t>
      </w:r>
      <w:r w:rsidRPr="00D0796F">
        <w:rPr>
          <w:rFonts w:ascii="ArialMT" w:eastAsia="Calibri" w:hAnsi="ArialMT" w:cs="ArialMT"/>
          <w:lang w:eastAsia="en-US"/>
        </w:rPr>
        <w:t>2013</w:t>
      </w:r>
      <w:r>
        <w:rPr>
          <w:rFonts w:ascii="ArialMT" w:eastAsia="Calibri" w:hAnsi="ArialMT" w:cs="ArialMT"/>
          <w:lang w:eastAsia="en-US"/>
        </w:rPr>
        <w:t>).</w:t>
      </w:r>
      <w:proofErr w:type="gramEnd"/>
      <w:r w:rsidRPr="00D0796F">
        <w:rPr>
          <w:rFonts w:ascii="ArialMT" w:eastAsia="Calibri" w:hAnsi="ArialMT" w:cs="ArialMT"/>
          <w:lang w:eastAsia="en-US"/>
        </w:rPr>
        <w:t xml:space="preserve"> </w:t>
      </w:r>
      <w:proofErr w:type="gramStart"/>
      <w:r w:rsidR="00D62DF3" w:rsidRPr="00D0796F">
        <w:rPr>
          <w:rFonts w:ascii="ArialMT" w:eastAsia="Calibri" w:hAnsi="ArialMT" w:cs="ArialMT"/>
          <w:lang w:eastAsia="en-US"/>
        </w:rPr>
        <w:t xml:space="preserve">Australian </w:t>
      </w:r>
      <w:r>
        <w:rPr>
          <w:rFonts w:ascii="ArialMT" w:eastAsia="Calibri" w:hAnsi="ArialMT" w:cs="ArialMT"/>
          <w:lang w:eastAsia="en-US"/>
        </w:rPr>
        <w:t>Institute of Health and Welfare</w:t>
      </w:r>
      <w:r w:rsidR="00D62DF3" w:rsidRPr="00D0796F">
        <w:rPr>
          <w:rFonts w:ascii="ArialMT" w:eastAsia="Calibri" w:hAnsi="ArialMT" w:cs="ArialMT"/>
          <w:lang w:eastAsia="en-US"/>
        </w:rPr>
        <w:t>.</w:t>
      </w:r>
      <w:proofErr w:type="gramEnd"/>
      <w:r w:rsidR="00D62DF3" w:rsidRPr="00D0796F">
        <w:rPr>
          <w:rFonts w:ascii="ArialMT" w:eastAsia="Calibri" w:hAnsi="ArialMT" w:cs="ArialMT"/>
          <w:lang w:eastAsia="en-US"/>
        </w:rPr>
        <w:t xml:space="preserve"> </w:t>
      </w:r>
      <w:proofErr w:type="gramStart"/>
      <w:r w:rsidR="00D62DF3" w:rsidRPr="00D0796F">
        <w:rPr>
          <w:rFonts w:ascii="ArialMT" w:eastAsia="Calibri" w:hAnsi="ArialMT" w:cs="ArialMT"/>
          <w:lang w:eastAsia="en-US"/>
        </w:rPr>
        <w:t>Prostate cancer in Australia.</w:t>
      </w:r>
      <w:proofErr w:type="gramEnd"/>
      <w:r w:rsidR="00D62DF3" w:rsidRPr="00D0796F">
        <w:rPr>
          <w:rFonts w:ascii="ArialMT" w:eastAsia="Calibri" w:hAnsi="ArialMT" w:cs="ArialMT"/>
          <w:lang w:eastAsia="en-US"/>
        </w:rPr>
        <w:t xml:space="preserve"> </w:t>
      </w:r>
      <w:proofErr w:type="gramStart"/>
      <w:r w:rsidR="00D62DF3" w:rsidRPr="00D0796F">
        <w:rPr>
          <w:rFonts w:ascii="ArialMT" w:eastAsia="Calibri" w:hAnsi="ArialMT" w:cs="ArialMT"/>
          <w:lang w:eastAsia="en-US"/>
        </w:rPr>
        <w:t>Cancer series no. 79.</w:t>
      </w:r>
      <w:proofErr w:type="gramEnd"/>
      <w:r w:rsidR="00D62DF3" w:rsidRPr="00D0796F">
        <w:rPr>
          <w:rFonts w:ascii="ArialMT" w:eastAsia="Calibri" w:hAnsi="ArialMT" w:cs="ArialMT"/>
          <w:lang w:eastAsia="en-US"/>
        </w:rPr>
        <w:t xml:space="preserve"> Cat. </w:t>
      </w:r>
      <w:proofErr w:type="gramStart"/>
      <w:r w:rsidR="00D62DF3" w:rsidRPr="00D0796F">
        <w:rPr>
          <w:rFonts w:ascii="ArialMT" w:eastAsia="Calibri" w:hAnsi="ArialMT" w:cs="ArialMT"/>
          <w:lang w:eastAsia="en-US"/>
        </w:rPr>
        <w:t>no</w:t>
      </w:r>
      <w:proofErr w:type="gramEnd"/>
      <w:r w:rsidR="00D62DF3" w:rsidRPr="00D0796F">
        <w:rPr>
          <w:rFonts w:ascii="ArialMT" w:eastAsia="Calibri" w:hAnsi="ArialMT" w:cs="ArialMT"/>
          <w:lang w:eastAsia="en-US"/>
        </w:rPr>
        <w:t>. CAN 76. Canberra: AIHW.</w:t>
      </w:r>
    </w:p>
    <w:p w14:paraId="5502FC1A" w14:textId="77777777" w:rsidR="00D0796F" w:rsidRPr="00D0796F" w:rsidRDefault="00D0796F" w:rsidP="00D0796F">
      <w:pPr>
        <w:autoSpaceDE w:val="0"/>
        <w:autoSpaceDN w:val="0"/>
        <w:adjustRightInd w:val="0"/>
        <w:spacing w:line="240" w:lineRule="auto"/>
        <w:jc w:val="left"/>
      </w:pPr>
      <w:proofErr w:type="gramStart"/>
      <w:r>
        <w:t>AIHW (2014).</w:t>
      </w:r>
      <w:proofErr w:type="gramEnd"/>
      <w:r>
        <w:t xml:space="preserve"> </w:t>
      </w:r>
      <w:proofErr w:type="gramStart"/>
      <w:r>
        <w:t>Australian Institute of Health and Welfare.</w:t>
      </w:r>
      <w:proofErr w:type="gramEnd"/>
      <w:r>
        <w:t xml:space="preserve"> Cancer in Australia: </w:t>
      </w:r>
      <w:r w:rsidR="00BA7CBF">
        <w:t xml:space="preserve">an overview 2014. </w:t>
      </w:r>
      <w:proofErr w:type="gramStart"/>
      <w:r w:rsidR="00BA7CBF">
        <w:t>Cancer series.</w:t>
      </w:r>
      <w:proofErr w:type="gramEnd"/>
      <w:r w:rsidR="00BA7CBF">
        <w:t xml:space="preserve"> </w:t>
      </w:r>
      <w:r>
        <w:t xml:space="preserve">No 90. Cat. </w:t>
      </w:r>
      <w:proofErr w:type="gramStart"/>
      <w:r>
        <w:t>no</w:t>
      </w:r>
      <w:proofErr w:type="gramEnd"/>
      <w:r>
        <w:t>. CAN 88. Canberra: AIHW.</w:t>
      </w:r>
    </w:p>
    <w:p w14:paraId="6E8E521A" w14:textId="77777777" w:rsidR="00D964EE" w:rsidRPr="00D0796F" w:rsidRDefault="00D62DF3" w:rsidP="00B53491">
      <w:proofErr w:type="spellStart"/>
      <w:r w:rsidRPr="00D0796F">
        <w:t>Barentsz</w:t>
      </w:r>
      <w:proofErr w:type="spellEnd"/>
      <w:r w:rsidRPr="00D0796F">
        <w:t>, J</w:t>
      </w:r>
      <w:r w:rsidR="00D0796F">
        <w:t>O</w:t>
      </w:r>
      <w:r w:rsidRPr="00D0796F">
        <w:t xml:space="preserve"> et al (2012). </w:t>
      </w:r>
      <w:proofErr w:type="gramStart"/>
      <w:r w:rsidRPr="00D0796F">
        <w:t>ESUR prostate MR guidelines 2012.</w:t>
      </w:r>
      <w:proofErr w:type="gramEnd"/>
      <w:r w:rsidRPr="00D0796F">
        <w:t xml:space="preserve"> </w:t>
      </w:r>
      <w:proofErr w:type="spellStart"/>
      <w:r w:rsidRPr="00D0796F">
        <w:t>Eur</w:t>
      </w:r>
      <w:proofErr w:type="spellEnd"/>
      <w:r w:rsidRPr="00D0796F">
        <w:t xml:space="preserve"> </w:t>
      </w:r>
      <w:proofErr w:type="spellStart"/>
      <w:r w:rsidRPr="00D0796F">
        <w:t>Radiol</w:t>
      </w:r>
      <w:proofErr w:type="spellEnd"/>
      <w:r w:rsidRPr="00D0796F">
        <w:t xml:space="preserve"> 22:746-757. </w:t>
      </w:r>
    </w:p>
    <w:p w14:paraId="64F0956C" w14:textId="77777777" w:rsidR="00CB6BE0" w:rsidRPr="00D0796F" w:rsidRDefault="00CB6BE0" w:rsidP="00B53491">
      <w:proofErr w:type="gramStart"/>
      <w:r w:rsidRPr="00D0796F">
        <w:t>Cancer Council Australia (2015).</w:t>
      </w:r>
      <w:proofErr w:type="gramEnd"/>
      <w:r w:rsidRPr="00D0796F">
        <w:t xml:space="preserve"> </w:t>
      </w:r>
      <w:proofErr w:type="gramStart"/>
      <w:r w:rsidRPr="00D0796F">
        <w:t>TNM system.</w:t>
      </w:r>
      <w:proofErr w:type="gramEnd"/>
      <w:r w:rsidRPr="00D0796F">
        <w:t xml:space="preserve"> </w:t>
      </w:r>
    </w:p>
    <w:p w14:paraId="5927EAC6" w14:textId="53BACD5E" w:rsidR="00BC2EC0" w:rsidRDefault="00BC2EC0" w:rsidP="00B53491">
      <w:proofErr w:type="spellStart"/>
      <w:r>
        <w:t>Ghai</w:t>
      </w:r>
      <w:proofErr w:type="spellEnd"/>
      <w:r>
        <w:t xml:space="preserve"> S, </w:t>
      </w:r>
      <w:proofErr w:type="spellStart"/>
      <w:r>
        <w:t>Haider</w:t>
      </w:r>
      <w:proofErr w:type="spellEnd"/>
      <w:r>
        <w:t xml:space="preserve"> MA. </w:t>
      </w:r>
      <w:proofErr w:type="gramStart"/>
      <w:r>
        <w:t xml:space="preserve">(2015) </w:t>
      </w:r>
      <w:proofErr w:type="spellStart"/>
      <w:r w:rsidRPr="00BC2EC0">
        <w:t>Multiparametric</w:t>
      </w:r>
      <w:proofErr w:type="spellEnd"/>
      <w:r w:rsidRPr="00BC2EC0">
        <w:t>-MRI in diagnosis of prostate cancer</w:t>
      </w:r>
      <w:r>
        <w:t>.</w:t>
      </w:r>
      <w:proofErr w:type="gramEnd"/>
      <w:r>
        <w:t xml:space="preserve"> Indian J </w:t>
      </w:r>
      <w:proofErr w:type="spellStart"/>
      <w:r>
        <w:t>Urol</w:t>
      </w:r>
      <w:proofErr w:type="spellEnd"/>
      <w:r>
        <w:t xml:space="preserve"> 31(3):194-204</w:t>
      </w:r>
    </w:p>
    <w:p w14:paraId="7CA13250" w14:textId="77777777" w:rsidR="00D62DF3" w:rsidRPr="00D0796F" w:rsidRDefault="00113E4E" w:rsidP="00B53491">
      <w:proofErr w:type="spellStart"/>
      <w:proofErr w:type="gramStart"/>
      <w:r w:rsidRPr="00D0796F">
        <w:t>HealthPACT</w:t>
      </w:r>
      <w:proofErr w:type="spellEnd"/>
      <w:r w:rsidRPr="00D0796F">
        <w:t xml:space="preserve"> (2014).</w:t>
      </w:r>
      <w:proofErr w:type="gramEnd"/>
      <w:r w:rsidRPr="00D0796F">
        <w:t xml:space="preserve"> Technology Brief: MRI screening for prostate cancer. </w:t>
      </w:r>
      <w:proofErr w:type="gramStart"/>
      <w:r w:rsidRPr="00D0796F">
        <w:t xml:space="preserve">State of Queensland (Queensland </w:t>
      </w:r>
      <w:proofErr w:type="spellStart"/>
      <w:r w:rsidRPr="00D0796F">
        <w:t>Dept</w:t>
      </w:r>
      <w:proofErr w:type="spellEnd"/>
      <w:r w:rsidRPr="00D0796F">
        <w:t xml:space="preserve"> of Health).</w:t>
      </w:r>
      <w:proofErr w:type="gramEnd"/>
      <w:r w:rsidRPr="00D0796F">
        <w:t xml:space="preserve"> </w:t>
      </w:r>
      <w:r w:rsidR="00B678CD" w:rsidRPr="00D0796F">
        <w:t xml:space="preserve">Brisbane, QLD: Queensland Health. </w:t>
      </w:r>
    </w:p>
    <w:p w14:paraId="4F141E59" w14:textId="77777777" w:rsidR="008F05C0" w:rsidRPr="00D0796F" w:rsidRDefault="008F05C0" w:rsidP="00B53491">
      <w:r w:rsidRPr="00D0796F">
        <w:t xml:space="preserve">NICE (2014) Prostate Cancer: diagnosis and treatment. </w:t>
      </w:r>
      <w:proofErr w:type="gramStart"/>
      <w:r w:rsidRPr="00D0796F">
        <w:t>Clinical guideline.</w:t>
      </w:r>
      <w:proofErr w:type="gramEnd"/>
      <w:r w:rsidRPr="00D0796F">
        <w:t xml:space="preserve"> </w:t>
      </w:r>
      <w:proofErr w:type="gramStart"/>
      <w:r w:rsidRPr="00D0796F">
        <w:t>Full guideline January 2014.</w:t>
      </w:r>
      <w:proofErr w:type="gramEnd"/>
      <w:r w:rsidRPr="00D0796F">
        <w:t xml:space="preserve"> </w:t>
      </w:r>
    </w:p>
    <w:p w14:paraId="51DD1CC4" w14:textId="77777777" w:rsidR="0061323A" w:rsidRPr="00D0796F" w:rsidRDefault="0061323A" w:rsidP="00B53491">
      <w:proofErr w:type="spellStart"/>
      <w:r w:rsidRPr="00D0796F">
        <w:t>Pokorny</w:t>
      </w:r>
      <w:proofErr w:type="spellEnd"/>
      <w:r w:rsidRPr="00D0796F">
        <w:t xml:space="preserve"> MR, de </w:t>
      </w:r>
      <w:proofErr w:type="spellStart"/>
      <w:r w:rsidRPr="00D0796F">
        <w:t>Rooij</w:t>
      </w:r>
      <w:proofErr w:type="spellEnd"/>
      <w:r w:rsidRPr="00D0796F">
        <w:t xml:space="preserve"> M, Duncan E, Schroder FH, Parkinson R, </w:t>
      </w:r>
      <w:proofErr w:type="spellStart"/>
      <w:r w:rsidRPr="00D0796F">
        <w:t>Barentsz</w:t>
      </w:r>
      <w:proofErr w:type="spellEnd"/>
      <w:r w:rsidRPr="00D0796F">
        <w:t xml:space="preserve"> JO, et al. Prospective study of diagnostic accuracy comparing prostate cancer detection by </w:t>
      </w:r>
      <w:proofErr w:type="spellStart"/>
      <w:r w:rsidRPr="00D0796F">
        <w:t>transrectal</w:t>
      </w:r>
      <w:proofErr w:type="spellEnd"/>
      <w:r w:rsidRPr="00D0796F">
        <w:t xml:space="preserve"> ultrasound-guided biopsy versus magnetic resonance (MR) imaging with subsequent MR-guided biopsy in men without previous prostate biopsies. </w:t>
      </w:r>
      <w:proofErr w:type="spellStart"/>
      <w:r w:rsidRPr="00D0796F">
        <w:t>Eur</w:t>
      </w:r>
      <w:proofErr w:type="spellEnd"/>
      <w:r w:rsidRPr="00D0796F">
        <w:t xml:space="preserve"> Urol. [Research Support, Non-U.S. Gov't]. 2014 Jul</w:t>
      </w:r>
      <w:proofErr w:type="gramStart"/>
      <w:r w:rsidRPr="00D0796F">
        <w:t>;66</w:t>
      </w:r>
      <w:proofErr w:type="gramEnd"/>
      <w:r w:rsidRPr="00D0796F">
        <w:t>(1):22-9.</w:t>
      </w:r>
    </w:p>
    <w:p w14:paraId="649F951A" w14:textId="1BE24D43" w:rsidR="00BC2EC0" w:rsidRDefault="00BC2EC0" w:rsidP="00BC2EC0">
      <w:proofErr w:type="spellStart"/>
      <w:r w:rsidRPr="00BC2EC0">
        <w:t>Rosenkrantz</w:t>
      </w:r>
      <w:proofErr w:type="spellEnd"/>
      <w:r w:rsidRPr="00BC2EC0">
        <w:t xml:space="preserve"> AB, </w:t>
      </w:r>
      <w:proofErr w:type="spellStart"/>
      <w:r w:rsidRPr="00BC2EC0">
        <w:t>Taneja</w:t>
      </w:r>
      <w:proofErr w:type="spellEnd"/>
      <w:r w:rsidRPr="00BC2EC0">
        <w:t xml:space="preserve"> SS</w:t>
      </w:r>
      <w:r>
        <w:t>. (2015)</w:t>
      </w:r>
      <w:r w:rsidRPr="00BC2EC0">
        <w:t xml:space="preserve"> Prostate MRI Can Reduce </w:t>
      </w:r>
      <w:proofErr w:type="spellStart"/>
      <w:r w:rsidRPr="00BC2EC0">
        <w:t>Overdiagnosis</w:t>
      </w:r>
      <w:proofErr w:type="spellEnd"/>
      <w:r w:rsidRPr="00BC2EC0">
        <w:t xml:space="preserve"> and Overtreatment of Prostate Cancer</w:t>
      </w:r>
      <w:r>
        <w:t>. Academic Radiology, 22(8):1000-6</w:t>
      </w:r>
    </w:p>
    <w:p w14:paraId="2AA55C47" w14:textId="77777777" w:rsidR="00D62DF3" w:rsidRPr="00D0796F" w:rsidRDefault="00D62DF3" w:rsidP="00B53491">
      <w:r w:rsidRPr="00D0796F">
        <w:t xml:space="preserve">Siddiqui, MM et al (2015) Comparison of MR/Ultrasound Fusion-Guided Biopsy with Ultrasound-Guided Biopsy for the Diagnosis of Prostate Cancer. JAMA, 313(4):390-7. </w:t>
      </w:r>
    </w:p>
    <w:p w14:paraId="24D1D7CD" w14:textId="77777777" w:rsidR="00D0796F" w:rsidRDefault="00D0796F" w:rsidP="00D0796F">
      <w:proofErr w:type="spellStart"/>
      <w:r>
        <w:t>Weerakoon</w:t>
      </w:r>
      <w:proofErr w:type="spellEnd"/>
      <w:r>
        <w:t xml:space="preserve"> M, Papa N, </w:t>
      </w:r>
      <w:proofErr w:type="spellStart"/>
      <w:r>
        <w:t>Lawrentschuk</w:t>
      </w:r>
      <w:proofErr w:type="spellEnd"/>
      <w:r>
        <w:t xml:space="preserve"> N, Evans S, Millar J, </w:t>
      </w:r>
      <w:proofErr w:type="spellStart"/>
      <w:r>
        <w:t>Frydenberg</w:t>
      </w:r>
      <w:proofErr w:type="spellEnd"/>
      <w:r>
        <w:t xml:space="preserve"> M, Bolton D, Murphy DG.</w:t>
      </w:r>
      <w:r w:rsidRPr="00D0796F">
        <w:t xml:space="preserve"> </w:t>
      </w:r>
      <w:r>
        <w:t>The current use of active surveillance in an Australian cohort of men: a pattern of care analysis from the Victorian Prostate Cancer Registry.</w:t>
      </w:r>
      <w:r w:rsidRPr="00D0796F">
        <w:t xml:space="preserve"> </w:t>
      </w:r>
      <w:r>
        <w:t>BJU Int. 2015 Apr</w:t>
      </w:r>
      <w:proofErr w:type="gramStart"/>
      <w:r>
        <w:t>;115</w:t>
      </w:r>
      <w:proofErr w:type="gramEnd"/>
      <w:r>
        <w:t xml:space="preserve"> </w:t>
      </w:r>
      <w:proofErr w:type="spellStart"/>
      <w:r>
        <w:t>Suppl</w:t>
      </w:r>
      <w:proofErr w:type="spellEnd"/>
      <w:r>
        <w:t xml:space="preserve"> 5:50-6.</w:t>
      </w:r>
    </w:p>
    <w:p w14:paraId="21509C4E" w14:textId="77777777" w:rsidR="00D0796F" w:rsidRPr="00D0796F" w:rsidRDefault="00D0796F" w:rsidP="00D0796F"/>
    <w:sectPr w:rsidR="00D0796F" w:rsidRPr="00D0796F" w:rsidSect="00D61C4E">
      <w:pgSz w:w="11906" w:h="16838"/>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61422E" w15:done="0"/>
  <w15:commentEx w15:paraId="195546AC" w15:done="0"/>
  <w15:commentEx w15:paraId="597369BE" w15:done="0"/>
  <w15:commentEx w15:paraId="3401E33C" w15:done="0"/>
  <w15:commentEx w15:paraId="117739C6" w15:done="0"/>
  <w15:commentEx w15:paraId="5267AA08" w15:done="0"/>
  <w15:commentEx w15:paraId="1F709669" w15:done="0"/>
  <w15:commentEx w15:paraId="0A447717" w15:done="0"/>
  <w15:commentEx w15:paraId="53DC8E7C" w15:done="0"/>
  <w15:commentEx w15:paraId="4F53003D" w15:done="0"/>
  <w15:commentEx w15:paraId="3E3D1228" w15:done="0"/>
  <w15:commentEx w15:paraId="5646E539" w15:done="0"/>
  <w15:commentEx w15:paraId="47EE54E2" w15:done="0"/>
  <w15:commentEx w15:paraId="229AAE61" w15:done="0"/>
  <w15:commentEx w15:paraId="7BD54D05" w15:done="0"/>
  <w15:commentEx w15:paraId="37B2025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90D7F0" w14:textId="77777777" w:rsidR="00E92907" w:rsidRDefault="00E92907" w:rsidP="000901A8">
      <w:r>
        <w:separator/>
      </w:r>
    </w:p>
  </w:endnote>
  <w:endnote w:type="continuationSeparator" w:id="0">
    <w:p w14:paraId="7BEB57C5" w14:textId="77777777" w:rsidR="00E92907" w:rsidRDefault="00E92907" w:rsidP="0009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Times New Roman Italic+FPEF">
    <w:panose1 w:val="00000000000000000000"/>
    <w:charset w:val="00"/>
    <w:family w:val="auto"/>
    <w:notTrueType/>
    <w:pitch w:val="default"/>
    <w:sig w:usb0="00000003" w:usb1="00000000" w:usb2="00000000" w:usb3="00000000" w:csb0="00000001" w:csb1="00000000"/>
  </w:font>
  <w:font w:name="Times New Roman Bold+FPEF">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FDB15" w14:textId="77777777" w:rsidR="00553F33" w:rsidRDefault="00553F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912911"/>
      <w:docPartObj>
        <w:docPartGallery w:val="Page Numbers (Bottom of Page)"/>
        <w:docPartUnique/>
      </w:docPartObj>
    </w:sdtPr>
    <w:sdtEndPr>
      <w:rPr>
        <w:noProof/>
        <w:sz w:val="14"/>
      </w:rPr>
    </w:sdtEndPr>
    <w:sdtContent>
      <w:p w14:paraId="735BCA4D" w14:textId="77777777" w:rsidR="00B36E9F" w:rsidRPr="00A06D5B" w:rsidRDefault="00B36E9F">
        <w:pPr>
          <w:pStyle w:val="Footer"/>
          <w:jc w:val="center"/>
          <w:rPr>
            <w:sz w:val="14"/>
          </w:rPr>
        </w:pPr>
        <w:r w:rsidRPr="00A06D5B">
          <w:rPr>
            <w:sz w:val="14"/>
          </w:rPr>
          <w:fldChar w:fldCharType="begin"/>
        </w:r>
        <w:r w:rsidRPr="00A06D5B">
          <w:rPr>
            <w:sz w:val="14"/>
          </w:rPr>
          <w:instrText xml:space="preserve"> PAGE   \* MERGEFORMAT </w:instrText>
        </w:r>
        <w:r w:rsidRPr="00A06D5B">
          <w:rPr>
            <w:sz w:val="14"/>
          </w:rPr>
          <w:fldChar w:fldCharType="separate"/>
        </w:r>
        <w:r w:rsidR="00553F33">
          <w:rPr>
            <w:noProof/>
            <w:sz w:val="14"/>
          </w:rPr>
          <w:t>18</w:t>
        </w:r>
        <w:r w:rsidRPr="00A06D5B">
          <w:rPr>
            <w:noProof/>
            <w:sz w:val="14"/>
          </w:rPr>
          <w:fldChar w:fldCharType="end"/>
        </w:r>
      </w:p>
    </w:sdtContent>
  </w:sdt>
  <w:p w14:paraId="236CEAAE" w14:textId="77777777" w:rsidR="00B36E9F" w:rsidRDefault="00B36E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10CE8" w14:textId="77777777" w:rsidR="00553F33" w:rsidRDefault="00553F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A62F08" w14:textId="77777777" w:rsidR="00E92907" w:rsidRDefault="00E92907" w:rsidP="000901A8">
      <w:r>
        <w:separator/>
      </w:r>
    </w:p>
  </w:footnote>
  <w:footnote w:type="continuationSeparator" w:id="0">
    <w:p w14:paraId="2FFDD94E" w14:textId="77777777" w:rsidR="00E92907" w:rsidRDefault="00E92907" w:rsidP="000901A8">
      <w:r>
        <w:continuationSeparator/>
      </w:r>
    </w:p>
  </w:footnote>
  <w:footnote w:id="1">
    <w:p w14:paraId="11382651" w14:textId="77777777" w:rsidR="00B36E9F" w:rsidRPr="005C3F44" w:rsidRDefault="00B36E9F" w:rsidP="007402EE">
      <w:pPr>
        <w:pStyle w:val="FootnoteText"/>
        <w:spacing w:after="0"/>
        <w:rPr>
          <w:rFonts w:ascii="Tahoma" w:hAnsi="Tahoma"/>
          <w:sz w:val="18"/>
          <w:szCs w:val="18"/>
        </w:rPr>
      </w:pPr>
      <w:r w:rsidRPr="005C3F44">
        <w:rPr>
          <w:rStyle w:val="FootnoteReference"/>
          <w:rFonts w:ascii="Tahoma" w:hAnsi="Tahoma" w:cs="Tahoma"/>
          <w:sz w:val="18"/>
          <w:szCs w:val="18"/>
        </w:rPr>
        <w:footnoteRef/>
      </w:r>
      <w:r w:rsidRPr="005C3F44">
        <w:rPr>
          <w:rFonts w:ascii="Tahoma" w:hAnsi="Tahoma"/>
          <w:sz w:val="18"/>
          <w:szCs w:val="18"/>
        </w:rPr>
        <w:t xml:space="preserve"> PASC notes that the use of PSA as a screening test for prostate cancer is not currently supported in Australia. However, PASC accepted the pragmatic view that since the high utilisation of the PSA test could already be considered an ad-hoc screening programme, the proposed adjunct (</w:t>
      </w:r>
      <w:proofErr w:type="spellStart"/>
      <w:r w:rsidRPr="005C3F44">
        <w:rPr>
          <w:rFonts w:ascii="Tahoma" w:hAnsi="Tahoma"/>
          <w:sz w:val="18"/>
          <w:szCs w:val="18"/>
        </w:rPr>
        <w:t>mpMRI</w:t>
      </w:r>
      <w:proofErr w:type="spellEnd"/>
      <w:r w:rsidRPr="005C3F44">
        <w:rPr>
          <w:rFonts w:ascii="Tahoma" w:hAnsi="Tahoma"/>
          <w:sz w:val="18"/>
          <w:szCs w:val="18"/>
        </w:rPr>
        <w:t>) scan did not substantially alter current practice. PASC agreed that the NHMRC guidelines for PSA testing should be considered in context of the present application if and when they are finalised.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AE2A0" w14:textId="5BCAB5C2" w:rsidR="00553F33" w:rsidRDefault="00553F33">
    <w:pPr>
      <w:pStyle w:val="Header"/>
    </w:pPr>
    <w:r>
      <w:rPr>
        <w:noProof/>
      </w:rPr>
      <w:pict w14:anchorId="3390F9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ahoma&quot;;font-size:1pt" string="FIN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718F0" w14:textId="562FCDE3" w:rsidR="00553F33" w:rsidRDefault="00553F33">
    <w:pPr>
      <w:pStyle w:val="Header"/>
    </w:pPr>
    <w:r>
      <w:rPr>
        <w:noProof/>
      </w:rPr>
      <w:pict w14:anchorId="6C60BC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Tahoma&quot;;font-size:1pt" string="FIN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F0925" w14:textId="66B37CC8" w:rsidR="00553F33" w:rsidRDefault="00553F33">
    <w:pPr>
      <w:pStyle w:val="Header"/>
    </w:pPr>
    <w:r>
      <w:rPr>
        <w:noProof/>
      </w:rPr>
      <w:pict w14:anchorId="12A1DD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ahoma&quot;;font-size:1pt" string="FIN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10C0"/>
    <w:multiLevelType w:val="hybridMultilevel"/>
    <w:tmpl w:val="803600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2B145CC"/>
    <w:multiLevelType w:val="hybridMultilevel"/>
    <w:tmpl w:val="DFE4CE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21A43BBF"/>
    <w:multiLevelType w:val="hybridMultilevel"/>
    <w:tmpl w:val="B5947F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3C2735F"/>
    <w:multiLevelType w:val="hybridMultilevel"/>
    <w:tmpl w:val="808CD78C"/>
    <w:lvl w:ilvl="0" w:tplc="9794841C">
      <w:start w:val="1"/>
      <w:numFmt w:val="bullet"/>
      <w:pStyle w:val="Tabletextbulleted"/>
      <w:lvlText w:val="–"/>
      <w:lvlJc w:val="left"/>
      <w:pPr>
        <w:tabs>
          <w:tab w:val="num" w:pos="284"/>
        </w:tabs>
        <w:ind w:left="284" w:hanging="284"/>
      </w:pPr>
      <w:rPr>
        <w:rFonts w:ascii="Times New Roman" w:hAnsi="Times New Roman" w:hint="default"/>
      </w:rPr>
    </w:lvl>
    <w:lvl w:ilvl="1" w:tplc="FFFFFFFF">
      <w:start w:val="1"/>
      <w:numFmt w:val="bullet"/>
      <w:lvlText w:val="o"/>
      <w:lvlJc w:val="left"/>
      <w:pPr>
        <w:tabs>
          <w:tab w:val="num" w:pos="1758"/>
        </w:tabs>
        <w:ind w:left="1758" w:hanging="360"/>
      </w:pPr>
      <w:rPr>
        <w:rFonts w:ascii="Courier New" w:hAnsi="Courier New" w:hint="default"/>
      </w:rPr>
    </w:lvl>
    <w:lvl w:ilvl="2" w:tplc="FFFFFFFF" w:tentative="1">
      <w:start w:val="1"/>
      <w:numFmt w:val="bullet"/>
      <w:lvlText w:val=""/>
      <w:lvlJc w:val="left"/>
      <w:pPr>
        <w:tabs>
          <w:tab w:val="num" w:pos="2478"/>
        </w:tabs>
        <w:ind w:left="2478" w:hanging="360"/>
      </w:pPr>
      <w:rPr>
        <w:rFonts w:ascii="Wingdings" w:hAnsi="Wingdings" w:hint="default"/>
      </w:rPr>
    </w:lvl>
    <w:lvl w:ilvl="3" w:tplc="FFFFFFFF" w:tentative="1">
      <w:start w:val="1"/>
      <w:numFmt w:val="bullet"/>
      <w:lvlText w:val=""/>
      <w:lvlJc w:val="left"/>
      <w:pPr>
        <w:tabs>
          <w:tab w:val="num" w:pos="3198"/>
        </w:tabs>
        <w:ind w:left="3198" w:hanging="360"/>
      </w:pPr>
      <w:rPr>
        <w:rFonts w:ascii="Symbol" w:hAnsi="Symbol" w:hint="default"/>
      </w:rPr>
    </w:lvl>
    <w:lvl w:ilvl="4" w:tplc="FFFFFFFF" w:tentative="1">
      <w:start w:val="1"/>
      <w:numFmt w:val="bullet"/>
      <w:lvlText w:val="o"/>
      <w:lvlJc w:val="left"/>
      <w:pPr>
        <w:tabs>
          <w:tab w:val="num" w:pos="3918"/>
        </w:tabs>
        <w:ind w:left="3918" w:hanging="360"/>
      </w:pPr>
      <w:rPr>
        <w:rFonts w:ascii="Courier New" w:hAnsi="Courier New" w:hint="default"/>
      </w:rPr>
    </w:lvl>
    <w:lvl w:ilvl="5" w:tplc="FFFFFFFF" w:tentative="1">
      <w:start w:val="1"/>
      <w:numFmt w:val="bullet"/>
      <w:lvlText w:val=""/>
      <w:lvlJc w:val="left"/>
      <w:pPr>
        <w:tabs>
          <w:tab w:val="num" w:pos="4638"/>
        </w:tabs>
        <w:ind w:left="4638" w:hanging="360"/>
      </w:pPr>
      <w:rPr>
        <w:rFonts w:ascii="Wingdings" w:hAnsi="Wingdings" w:hint="default"/>
      </w:rPr>
    </w:lvl>
    <w:lvl w:ilvl="6" w:tplc="FFFFFFFF" w:tentative="1">
      <w:start w:val="1"/>
      <w:numFmt w:val="bullet"/>
      <w:lvlText w:val=""/>
      <w:lvlJc w:val="left"/>
      <w:pPr>
        <w:tabs>
          <w:tab w:val="num" w:pos="5358"/>
        </w:tabs>
        <w:ind w:left="5358" w:hanging="360"/>
      </w:pPr>
      <w:rPr>
        <w:rFonts w:ascii="Symbol" w:hAnsi="Symbol" w:hint="default"/>
      </w:rPr>
    </w:lvl>
    <w:lvl w:ilvl="7" w:tplc="FFFFFFFF" w:tentative="1">
      <w:start w:val="1"/>
      <w:numFmt w:val="bullet"/>
      <w:lvlText w:val="o"/>
      <w:lvlJc w:val="left"/>
      <w:pPr>
        <w:tabs>
          <w:tab w:val="num" w:pos="6078"/>
        </w:tabs>
        <w:ind w:left="6078" w:hanging="360"/>
      </w:pPr>
      <w:rPr>
        <w:rFonts w:ascii="Courier New" w:hAnsi="Courier New" w:hint="default"/>
      </w:rPr>
    </w:lvl>
    <w:lvl w:ilvl="8" w:tplc="FFFFFFFF" w:tentative="1">
      <w:start w:val="1"/>
      <w:numFmt w:val="bullet"/>
      <w:lvlText w:val=""/>
      <w:lvlJc w:val="left"/>
      <w:pPr>
        <w:tabs>
          <w:tab w:val="num" w:pos="6798"/>
        </w:tabs>
        <w:ind w:left="6798" w:hanging="360"/>
      </w:pPr>
      <w:rPr>
        <w:rFonts w:ascii="Wingdings" w:hAnsi="Wingdings" w:hint="default"/>
      </w:rPr>
    </w:lvl>
  </w:abstractNum>
  <w:abstractNum w:abstractNumId="4">
    <w:nsid w:val="35565CE4"/>
    <w:multiLevelType w:val="hybridMultilevel"/>
    <w:tmpl w:val="DC6810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F915956"/>
    <w:multiLevelType w:val="hybridMultilevel"/>
    <w:tmpl w:val="F280C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525508F"/>
    <w:multiLevelType w:val="hybridMultilevel"/>
    <w:tmpl w:val="876CCEA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8EE0C0D"/>
    <w:multiLevelType w:val="hybridMultilevel"/>
    <w:tmpl w:val="F0E4FA2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9CA2076"/>
    <w:multiLevelType w:val="hybridMultilevel"/>
    <w:tmpl w:val="1CCAD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6472915"/>
    <w:multiLevelType w:val="hybridMultilevel"/>
    <w:tmpl w:val="F6AA74E6"/>
    <w:lvl w:ilvl="0" w:tplc="26D8A916">
      <w:start w:val="1"/>
      <w:numFmt w:val="bullet"/>
      <w:pStyle w:val="Tabletextlef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849403E"/>
    <w:multiLevelType w:val="hybridMultilevel"/>
    <w:tmpl w:val="B0A07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C1F4D5E"/>
    <w:multiLevelType w:val="hybridMultilevel"/>
    <w:tmpl w:val="DCC8713C"/>
    <w:lvl w:ilvl="0" w:tplc="37563416">
      <w:start w:val="1"/>
      <w:numFmt w:val="upperLetter"/>
      <w:pStyle w:val="Spaceundertable"/>
      <w:lvlText w:val="%1."/>
      <w:lvlJc w:val="left"/>
      <w:pPr>
        <w:tabs>
          <w:tab w:val="num" w:pos="372"/>
        </w:tabs>
        <w:ind w:left="372" w:hanging="360"/>
      </w:pPr>
      <w:rPr>
        <w:rFonts w:cs="Times New Roman" w:hint="default"/>
      </w:rPr>
    </w:lvl>
    <w:lvl w:ilvl="1" w:tplc="04090003">
      <w:start w:val="1"/>
      <w:numFmt w:val="bullet"/>
      <w:lvlText w:val=""/>
      <w:lvlJc w:val="left"/>
      <w:pPr>
        <w:tabs>
          <w:tab w:val="num" w:pos="1092"/>
        </w:tabs>
        <w:ind w:left="1092" w:hanging="360"/>
      </w:pPr>
      <w:rPr>
        <w:rFonts w:ascii="Symbol" w:hAnsi="Symbol" w:hint="default"/>
        <w:color w:val="auto"/>
      </w:rPr>
    </w:lvl>
    <w:lvl w:ilvl="2" w:tplc="04090005" w:tentative="1">
      <w:start w:val="1"/>
      <w:numFmt w:val="lowerRoman"/>
      <w:lvlText w:val="%3."/>
      <w:lvlJc w:val="right"/>
      <w:pPr>
        <w:tabs>
          <w:tab w:val="num" w:pos="1812"/>
        </w:tabs>
        <w:ind w:left="1812" w:hanging="180"/>
      </w:pPr>
      <w:rPr>
        <w:rFonts w:cs="Times New Roman"/>
      </w:rPr>
    </w:lvl>
    <w:lvl w:ilvl="3" w:tplc="04090001" w:tentative="1">
      <w:start w:val="1"/>
      <w:numFmt w:val="decimal"/>
      <w:lvlText w:val="%4."/>
      <w:lvlJc w:val="left"/>
      <w:pPr>
        <w:tabs>
          <w:tab w:val="num" w:pos="2532"/>
        </w:tabs>
        <w:ind w:left="2532" w:hanging="360"/>
      </w:pPr>
      <w:rPr>
        <w:rFonts w:cs="Times New Roman"/>
      </w:rPr>
    </w:lvl>
    <w:lvl w:ilvl="4" w:tplc="04090003" w:tentative="1">
      <w:start w:val="1"/>
      <w:numFmt w:val="lowerLetter"/>
      <w:lvlText w:val="%5."/>
      <w:lvlJc w:val="left"/>
      <w:pPr>
        <w:tabs>
          <w:tab w:val="num" w:pos="3252"/>
        </w:tabs>
        <w:ind w:left="3252" w:hanging="360"/>
      </w:pPr>
      <w:rPr>
        <w:rFonts w:cs="Times New Roman"/>
      </w:rPr>
    </w:lvl>
    <w:lvl w:ilvl="5" w:tplc="04090005" w:tentative="1">
      <w:start w:val="1"/>
      <w:numFmt w:val="lowerRoman"/>
      <w:lvlText w:val="%6."/>
      <w:lvlJc w:val="right"/>
      <w:pPr>
        <w:tabs>
          <w:tab w:val="num" w:pos="3972"/>
        </w:tabs>
        <w:ind w:left="3972" w:hanging="180"/>
      </w:pPr>
      <w:rPr>
        <w:rFonts w:cs="Times New Roman"/>
      </w:rPr>
    </w:lvl>
    <w:lvl w:ilvl="6" w:tplc="04090001" w:tentative="1">
      <w:start w:val="1"/>
      <w:numFmt w:val="decimal"/>
      <w:lvlText w:val="%7."/>
      <w:lvlJc w:val="left"/>
      <w:pPr>
        <w:tabs>
          <w:tab w:val="num" w:pos="4692"/>
        </w:tabs>
        <w:ind w:left="4692" w:hanging="360"/>
      </w:pPr>
      <w:rPr>
        <w:rFonts w:cs="Times New Roman"/>
      </w:rPr>
    </w:lvl>
    <w:lvl w:ilvl="7" w:tplc="04090003" w:tentative="1">
      <w:start w:val="1"/>
      <w:numFmt w:val="lowerLetter"/>
      <w:lvlText w:val="%8."/>
      <w:lvlJc w:val="left"/>
      <w:pPr>
        <w:tabs>
          <w:tab w:val="num" w:pos="5412"/>
        </w:tabs>
        <w:ind w:left="5412" w:hanging="360"/>
      </w:pPr>
      <w:rPr>
        <w:rFonts w:cs="Times New Roman"/>
      </w:rPr>
    </w:lvl>
    <w:lvl w:ilvl="8" w:tplc="04090005" w:tentative="1">
      <w:start w:val="1"/>
      <w:numFmt w:val="lowerRoman"/>
      <w:lvlText w:val="%9."/>
      <w:lvlJc w:val="right"/>
      <w:pPr>
        <w:tabs>
          <w:tab w:val="num" w:pos="6132"/>
        </w:tabs>
        <w:ind w:left="6132" w:hanging="180"/>
      </w:pPr>
      <w:rPr>
        <w:rFonts w:cs="Times New Roman"/>
      </w:rPr>
    </w:lvl>
  </w:abstractNum>
  <w:abstractNum w:abstractNumId="12">
    <w:nsid w:val="5D026EBA"/>
    <w:multiLevelType w:val="hybridMultilevel"/>
    <w:tmpl w:val="32EE41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5DE845F8"/>
    <w:multiLevelType w:val="hybridMultilevel"/>
    <w:tmpl w:val="0C94D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93606F1"/>
    <w:multiLevelType w:val="hybridMultilevel"/>
    <w:tmpl w:val="D958C8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78830A99"/>
    <w:multiLevelType w:val="hybridMultilevel"/>
    <w:tmpl w:val="DC6810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8AF2FBE"/>
    <w:multiLevelType w:val="hybridMultilevel"/>
    <w:tmpl w:val="8E3E7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9DD65CE"/>
    <w:multiLevelType w:val="hybridMultilevel"/>
    <w:tmpl w:val="C3FAE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A4870ED"/>
    <w:multiLevelType w:val="hybridMultilevel"/>
    <w:tmpl w:val="02A23A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ACD4D8A"/>
    <w:multiLevelType w:val="multilevel"/>
    <w:tmpl w:val="0C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num w:numId="1">
    <w:abstractNumId w:val="19"/>
  </w:num>
  <w:num w:numId="2">
    <w:abstractNumId w:val="3"/>
  </w:num>
  <w:num w:numId="3">
    <w:abstractNumId w:val="9"/>
  </w:num>
  <w:num w:numId="4">
    <w:abstractNumId w:val="11"/>
  </w:num>
  <w:num w:numId="5">
    <w:abstractNumId w:val="2"/>
  </w:num>
  <w:num w:numId="6">
    <w:abstractNumId w:val="8"/>
  </w:num>
  <w:num w:numId="7">
    <w:abstractNumId w:val="0"/>
  </w:num>
  <w:num w:numId="8">
    <w:abstractNumId w:val="4"/>
  </w:num>
  <w:num w:numId="9">
    <w:abstractNumId w:val="15"/>
  </w:num>
  <w:num w:numId="10">
    <w:abstractNumId w:val="7"/>
  </w:num>
  <w:num w:numId="11">
    <w:abstractNumId w:val="6"/>
  </w:num>
  <w:num w:numId="12">
    <w:abstractNumId w:val="13"/>
  </w:num>
  <w:num w:numId="13">
    <w:abstractNumId w:val="18"/>
  </w:num>
  <w:num w:numId="14">
    <w:abstractNumId w:val="12"/>
  </w:num>
  <w:num w:numId="15">
    <w:abstractNumId w:val="14"/>
  </w:num>
  <w:num w:numId="16">
    <w:abstractNumId w:val="1"/>
  </w:num>
  <w:num w:numId="17">
    <w:abstractNumId w:val="10"/>
  </w:num>
  <w:num w:numId="18">
    <w:abstractNumId w:val="16"/>
  </w:num>
  <w:num w:numId="19">
    <w:abstractNumId w:val="17"/>
  </w:num>
  <w:num w:numId="20">
    <w:abstractNumId w:val="5"/>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s">
    <w15:presenceInfo w15:providerId="None" w15:userId="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tDA2MjQzMbY0tzS3sLRU0lEKTi0uzszPAykwqwUA/ZyQnCwAAAA="/>
  </w:docVars>
  <w:rsids>
    <w:rsidRoot w:val="00B4562F"/>
    <w:rsid w:val="000011AF"/>
    <w:rsid w:val="00001623"/>
    <w:rsid w:val="0000223A"/>
    <w:rsid w:val="000048E6"/>
    <w:rsid w:val="00006244"/>
    <w:rsid w:val="00007033"/>
    <w:rsid w:val="00012ABD"/>
    <w:rsid w:val="00016FE2"/>
    <w:rsid w:val="0002264E"/>
    <w:rsid w:val="00022C8C"/>
    <w:rsid w:val="00022DB0"/>
    <w:rsid w:val="000265FA"/>
    <w:rsid w:val="00026F52"/>
    <w:rsid w:val="00035410"/>
    <w:rsid w:val="00041DF8"/>
    <w:rsid w:val="00043B0E"/>
    <w:rsid w:val="000440B1"/>
    <w:rsid w:val="0006263C"/>
    <w:rsid w:val="00062CD5"/>
    <w:rsid w:val="00063E7D"/>
    <w:rsid w:val="00067E0B"/>
    <w:rsid w:val="000717CA"/>
    <w:rsid w:val="0007200C"/>
    <w:rsid w:val="00073C17"/>
    <w:rsid w:val="0007470C"/>
    <w:rsid w:val="0009013C"/>
    <w:rsid w:val="000901A8"/>
    <w:rsid w:val="00090218"/>
    <w:rsid w:val="00090E68"/>
    <w:rsid w:val="00092191"/>
    <w:rsid w:val="0009279E"/>
    <w:rsid w:val="00095471"/>
    <w:rsid w:val="00095A41"/>
    <w:rsid w:val="000963CD"/>
    <w:rsid w:val="00097137"/>
    <w:rsid w:val="0009757A"/>
    <w:rsid w:val="000A1167"/>
    <w:rsid w:val="000A3BED"/>
    <w:rsid w:val="000A3D96"/>
    <w:rsid w:val="000A6059"/>
    <w:rsid w:val="000A6B75"/>
    <w:rsid w:val="000A717E"/>
    <w:rsid w:val="000A7698"/>
    <w:rsid w:val="000A7F4E"/>
    <w:rsid w:val="000B1310"/>
    <w:rsid w:val="000B2EF5"/>
    <w:rsid w:val="000B2F3E"/>
    <w:rsid w:val="000B42D6"/>
    <w:rsid w:val="000B4C57"/>
    <w:rsid w:val="000C0D42"/>
    <w:rsid w:val="000C3CF1"/>
    <w:rsid w:val="000C6834"/>
    <w:rsid w:val="000C7AD6"/>
    <w:rsid w:val="000D1E16"/>
    <w:rsid w:val="000D2DB8"/>
    <w:rsid w:val="000D3212"/>
    <w:rsid w:val="000E037B"/>
    <w:rsid w:val="000E32B2"/>
    <w:rsid w:val="000E54CC"/>
    <w:rsid w:val="000F576E"/>
    <w:rsid w:val="000F6301"/>
    <w:rsid w:val="000F696A"/>
    <w:rsid w:val="000F6FCA"/>
    <w:rsid w:val="000F7ADF"/>
    <w:rsid w:val="00104A9C"/>
    <w:rsid w:val="00104FDA"/>
    <w:rsid w:val="00110FF3"/>
    <w:rsid w:val="00111DC4"/>
    <w:rsid w:val="00113A8A"/>
    <w:rsid w:val="00113E4E"/>
    <w:rsid w:val="001143F6"/>
    <w:rsid w:val="001208B9"/>
    <w:rsid w:val="001214BB"/>
    <w:rsid w:val="00121DF4"/>
    <w:rsid w:val="00123B6C"/>
    <w:rsid w:val="00125CE8"/>
    <w:rsid w:val="0012700F"/>
    <w:rsid w:val="00127656"/>
    <w:rsid w:val="00135220"/>
    <w:rsid w:val="00136A7A"/>
    <w:rsid w:val="00136C8A"/>
    <w:rsid w:val="00143F02"/>
    <w:rsid w:val="001452A2"/>
    <w:rsid w:val="001474E7"/>
    <w:rsid w:val="0015099D"/>
    <w:rsid w:val="00152811"/>
    <w:rsid w:val="001537A4"/>
    <w:rsid w:val="00153845"/>
    <w:rsid w:val="001610CA"/>
    <w:rsid w:val="00166434"/>
    <w:rsid w:val="0016659A"/>
    <w:rsid w:val="00166AC8"/>
    <w:rsid w:val="00176D27"/>
    <w:rsid w:val="00177B15"/>
    <w:rsid w:val="0018099E"/>
    <w:rsid w:val="00180D66"/>
    <w:rsid w:val="0018136E"/>
    <w:rsid w:val="00192B9C"/>
    <w:rsid w:val="0019349E"/>
    <w:rsid w:val="0019457A"/>
    <w:rsid w:val="001951AA"/>
    <w:rsid w:val="00195718"/>
    <w:rsid w:val="0019733A"/>
    <w:rsid w:val="001A02E3"/>
    <w:rsid w:val="001A1D85"/>
    <w:rsid w:val="001A28EA"/>
    <w:rsid w:val="001A37B2"/>
    <w:rsid w:val="001A3EAC"/>
    <w:rsid w:val="001A7A50"/>
    <w:rsid w:val="001B2C73"/>
    <w:rsid w:val="001B31BA"/>
    <w:rsid w:val="001C1186"/>
    <w:rsid w:val="001C2913"/>
    <w:rsid w:val="001C7E7A"/>
    <w:rsid w:val="001D02F3"/>
    <w:rsid w:val="001D0C3A"/>
    <w:rsid w:val="001D209C"/>
    <w:rsid w:val="001D46F6"/>
    <w:rsid w:val="001D4D5A"/>
    <w:rsid w:val="001D53DA"/>
    <w:rsid w:val="001D7077"/>
    <w:rsid w:val="001D7FDD"/>
    <w:rsid w:val="001E120A"/>
    <w:rsid w:val="001E3986"/>
    <w:rsid w:val="001E5CAF"/>
    <w:rsid w:val="001F06F4"/>
    <w:rsid w:val="001F0ECE"/>
    <w:rsid w:val="001F13F9"/>
    <w:rsid w:val="001F2ECB"/>
    <w:rsid w:val="001F35B6"/>
    <w:rsid w:val="00201625"/>
    <w:rsid w:val="002068D5"/>
    <w:rsid w:val="00207A8E"/>
    <w:rsid w:val="0021641E"/>
    <w:rsid w:val="00216A02"/>
    <w:rsid w:val="00217B4D"/>
    <w:rsid w:val="00222DF3"/>
    <w:rsid w:val="00223662"/>
    <w:rsid w:val="0022429F"/>
    <w:rsid w:val="002342BF"/>
    <w:rsid w:val="00235E38"/>
    <w:rsid w:val="0023603A"/>
    <w:rsid w:val="002368B0"/>
    <w:rsid w:val="002373D7"/>
    <w:rsid w:val="0024413D"/>
    <w:rsid w:val="00245798"/>
    <w:rsid w:val="0025035F"/>
    <w:rsid w:val="00250C96"/>
    <w:rsid w:val="00253C50"/>
    <w:rsid w:val="00254B1C"/>
    <w:rsid w:val="00256D80"/>
    <w:rsid w:val="0025787C"/>
    <w:rsid w:val="00257CAE"/>
    <w:rsid w:val="00260D69"/>
    <w:rsid w:val="00262966"/>
    <w:rsid w:val="00265367"/>
    <w:rsid w:val="002675F1"/>
    <w:rsid w:val="002812C4"/>
    <w:rsid w:val="0028194B"/>
    <w:rsid w:val="002823D4"/>
    <w:rsid w:val="0028338E"/>
    <w:rsid w:val="00286D6A"/>
    <w:rsid w:val="00292C0D"/>
    <w:rsid w:val="002A0C9F"/>
    <w:rsid w:val="002A3638"/>
    <w:rsid w:val="002A4E5D"/>
    <w:rsid w:val="002A56DE"/>
    <w:rsid w:val="002A6116"/>
    <w:rsid w:val="002A6980"/>
    <w:rsid w:val="002B3851"/>
    <w:rsid w:val="002B40B0"/>
    <w:rsid w:val="002B549C"/>
    <w:rsid w:val="002B6CAB"/>
    <w:rsid w:val="002C0583"/>
    <w:rsid w:val="002C117A"/>
    <w:rsid w:val="002C31AA"/>
    <w:rsid w:val="002D4461"/>
    <w:rsid w:val="002D4CA7"/>
    <w:rsid w:val="002D7933"/>
    <w:rsid w:val="002E1F3A"/>
    <w:rsid w:val="002E2D84"/>
    <w:rsid w:val="002E4A8E"/>
    <w:rsid w:val="002E4CF0"/>
    <w:rsid w:val="002E6E60"/>
    <w:rsid w:val="002F0A01"/>
    <w:rsid w:val="002F3191"/>
    <w:rsid w:val="002F5053"/>
    <w:rsid w:val="002F5B32"/>
    <w:rsid w:val="00301DEC"/>
    <w:rsid w:val="0030226A"/>
    <w:rsid w:val="0030420F"/>
    <w:rsid w:val="00304D5F"/>
    <w:rsid w:val="0031112E"/>
    <w:rsid w:val="00311E4D"/>
    <w:rsid w:val="00312862"/>
    <w:rsid w:val="00313EC8"/>
    <w:rsid w:val="00314BE5"/>
    <w:rsid w:val="00316BAA"/>
    <w:rsid w:val="00316D1E"/>
    <w:rsid w:val="00320E6C"/>
    <w:rsid w:val="00320E92"/>
    <w:rsid w:val="003251C0"/>
    <w:rsid w:val="003251F5"/>
    <w:rsid w:val="003268D5"/>
    <w:rsid w:val="00327FAF"/>
    <w:rsid w:val="00330AE9"/>
    <w:rsid w:val="003313FE"/>
    <w:rsid w:val="0033554E"/>
    <w:rsid w:val="003367C6"/>
    <w:rsid w:val="003373F9"/>
    <w:rsid w:val="0033774E"/>
    <w:rsid w:val="00344D45"/>
    <w:rsid w:val="00345593"/>
    <w:rsid w:val="00346E90"/>
    <w:rsid w:val="0035018C"/>
    <w:rsid w:val="003533BD"/>
    <w:rsid w:val="00357FB8"/>
    <w:rsid w:val="0036071C"/>
    <w:rsid w:val="00363CB8"/>
    <w:rsid w:val="00364316"/>
    <w:rsid w:val="00366BBE"/>
    <w:rsid w:val="00370B4A"/>
    <w:rsid w:val="00372170"/>
    <w:rsid w:val="00376953"/>
    <w:rsid w:val="003769E6"/>
    <w:rsid w:val="00376A99"/>
    <w:rsid w:val="00376B62"/>
    <w:rsid w:val="00380D12"/>
    <w:rsid w:val="00382A47"/>
    <w:rsid w:val="00383F37"/>
    <w:rsid w:val="0038439A"/>
    <w:rsid w:val="00386A9F"/>
    <w:rsid w:val="00387FDA"/>
    <w:rsid w:val="00391E64"/>
    <w:rsid w:val="0039271D"/>
    <w:rsid w:val="00393A5A"/>
    <w:rsid w:val="00393E08"/>
    <w:rsid w:val="003940F7"/>
    <w:rsid w:val="0039553A"/>
    <w:rsid w:val="003A46EA"/>
    <w:rsid w:val="003A4ABC"/>
    <w:rsid w:val="003A51D1"/>
    <w:rsid w:val="003B232A"/>
    <w:rsid w:val="003B2FD8"/>
    <w:rsid w:val="003B37A9"/>
    <w:rsid w:val="003B386B"/>
    <w:rsid w:val="003C09CE"/>
    <w:rsid w:val="003C3BAF"/>
    <w:rsid w:val="003C464E"/>
    <w:rsid w:val="003C4B17"/>
    <w:rsid w:val="003C57A1"/>
    <w:rsid w:val="003C6B59"/>
    <w:rsid w:val="003C7FF7"/>
    <w:rsid w:val="003D4723"/>
    <w:rsid w:val="003D4AEC"/>
    <w:rsid w:val="003D4B88"/>
    <w:rsid w:val="003D560D"/>
    <w:rsid w:val="003D7C0A"/>
    <w:rsid w:val="003D7D19"/>
    <w:rsid w:val="003E2B35"/>
    <w:rsid w:val="003E4C9A"/>
    <w:rsid w:val="003E61E6"/>
    <w:rsid w:val="003E76CB"/>
    <w:rsid w:val="003E792A"/>
    <w:rsid w:val="003F588F"/>
    <w:rsid w:val="003F5D96"/>
    <w:rsid w:val="004073C0"/>
    <w:rsid w:val="00410287"/>
    <w:rsid w:val="004103E0"/>
    <w:rsid w:val="00411113"/>
    <w:rsid w:val="004120EF"/>
    <w:rsid w:val="004131F0"/>
    <w:rsid w:val="00413A9E"/>
    <w:rsid w:val="00415A84"/>
    <w:rsid w:val="00417B0A"/>
    <w:rsid w:val="0042242D"/>
    <w:rsid w:val="0042273B"/>
    <w:rsid w:val="00424013"/>
    <w:rsid w:val="00424524"/>
    <w:rsid w:val="00425634"/>
    <w:rsid w:val="00425BBA"/>
    <w:rsid w:val="0043016B"/>
    <w:rsid w:val="004306AC"/>
    <w:rsid w:val="004308F6"/>
    <w:rsid w:val="004318C9"/>
    <w:rsid w:val="0043207B"/>
    <w:rsid w:val="00435C56"/>
    <w:rsid w:val="00436ADA"/>
    <w:rsid w:val="00441613"/>
    <w:rsid w:val="004421D9"/>
    <w:rsid w:val="00443540"/>
    <w:rsid w:val="00444E8D"/>
    <w:rsid w:val="00447F67"/>
    <w:rsid w:val="004512D3"/>
    <w:rsid w:val="004516CE"/>
    <w:rsid w:val="00453830"/>
    <w:rsid w:val="004577EF"/>
    <w:rsid w:val="004621E6"/>
    <w:rsid w:val="00471693"/>
    <w:rsid w:val="00471F2A"/>
    <w:rsid w:val="00472AF3"/>
    <w:rsid w:val="00474378"/>
    <w:rsid w:val="0047485D"/>
    <w:rsid w:val="00480148"/>
    <w:rsid w:val="004801BC"/>
    <w:rsid w:val="00482CAF"/>
    <w:rsid w:val="00484D5D"/>
    <w:rsid w:val="00485C3A"/>
    <w:rsid w:val="0048657A"/>
    <w:rsid w:val="004869DF"/>
    <w:rsid w:val="00486DD4"/>
    <w:rsid w:val="00487CAB"/>
    <w:rsid w:val="00490191"/>
    <w:rsid w:val="0049134F"/>
    <w:rsid w:val="00493133"/>
    <w:rsid w:val="00497750"/>
    <w:rsid w:val="004A3F6E"/>
    <w:rsid w:val="004A5009"/>
    <w:rsid w:val="004A5C22"/>
    <w:rsid w:val="004A6BFF"/>
    <w:rsid w:val="004A7AE9"/>
    <w:rsid w:val="004B0747"/>
    <w:rsid w:val="004B2BD5"/>
    <w:rsid w:val="004C0831"/>
    <w:rsid w:val="004C1624"/>
    <w:rsid w:val="004C3340"/>
    <w:rsid w:val="004C4BFF"/>
    <w:rsid w:val="004C6737"/>
    <w:rsid w:val="004C6B65"/>
    <w:rsid w:val="004D595C"/>
    <w:rsid w:val="004E35D9"/>
    <w:rsid w:val="004E3874"/>
    <w:rsid w:val="004E3A9C"/>
    <w:rsid w:val="004E599B"/>
    <w:rsid w:val="004E684C"/>
    <w:rsid w:val="004E7C5C"/>
    <w:rsid w:val="004F2233"/>
    <w:rsid w:val="004F6B43"/>
    <w:rsid w:val="005009BC"/>
    <w:rsid w:val="0050320C"/>
    <w:rsid w:val="00505704"/>
    <w:rsid w:val="005073A3"/>
    <w:rsid w:val="00511C7E"/>
    <w:rsid w:val="00517FE1"/>
    <w:rsid w:val="00530E66"/>
    <w:rsid w:val="00534AF4"/>
    <w:rsid w:val="00535C59"/>
    <w:rsid w:val="00536CBD"/>
    <w:rsid w:val="005426DD"/>
    <w:rsid w:val="00544777"/>
    <w:rsid w:val="005506E9"/>
    <w:rsid w:val="00550A24"/>
    <w:rsid w:val="005518EC"/>
    <w:rsid w:val="00551F6A"/>
    <w:rsid w:val="00553F33"/>
    <w:rsid w:val="005555C0"/>
    <w:rsid w:val="00556F5E"/>
    <w:rsid w:val="00563E2A"/>
    <w:rsid w:val="00566BE5"/>
    <w:rsid w:val="00566FB9"/>
    <w:rsid w:val="005674A9"/>
    <w:rsid w:val="00567B76"/>
    <w:rsid w:val="00567E45"/>
    <w:rsid w:val="00570982"/>
    <w:rsid w:val="00574DDF"/>
    <w:rsid w:val="00576049"/>
    <w:rsid w:val="0057687C"/>
    <w:rsid w:val="0058062C"/>
    <w:rsid w:val="005825FD"/>
    <w:rsid w:val="00585C4E"/>
    <w:rsid w:val="00591341"/>
    <w:rsid w:val="005927D0"/>
    <w:rsid w:val="00593560"/>
    <w:rsid w:val="00593A54"/>
    <w:rsid w:val="00594712"/>
    <w:rsid w:val="00596580"/>
    <w:rsid w:val="005A0D0A"/>
    <w:rsid w:val="005A334B"/>
    <w:rsid w:val="005A6BBA"/>
    <w:rsid w:val="005B1DC4"/>
    <w:rsid w:val="005B4087"/>
    <w:rsid w:val="005C3F44"/>
    <w:rsid w:val="005C4367"/>
    <w:rsid w:val="005C545C"/>
    <w:rsid w:val="005C6E80"/>
    <w:rsid w:val="005D135B"/>
    <w:rsid w:val="005D2670"/>
    <w:rsid w:val="005E0042"/>
    <w:rsid w:val="005E1B67"/>
    <w:rsid w:val="005E5108"/>
    <w:rsid w:val="005E5A74"/>
    <w:rsid w:val="005E5BAD"/>
    <w:rsid w:val="005F165A"/>
    <w:rsid w:val="005F1F16"/>
    <w:rsid w:val="005F4AE7"/>
    <w:rsid w:val="006022A9"/>
    <w:rsid w:val="0060444D"/>
    <w:rsid w:val="0060473B"/>
    <w:rsid w:val="00604CD1"/>
    <w:rsid w:val="0061323A"/>
    <w:rsid w:val="00621904"/>
    <w:rsid w:val="006241DA"/>
    <w:rsid w:val="00625E98"/>
    <w:rsid w:val="00627609"/>
    <w:rsid w:val="006334E2"/>
    <w:rsid w:val="006378FB"/>
    <w:rsid w:val="0064190C"/>
    <w:rsid w:val="006431A4"/>
    <w:rsid w:val="00644701"/>
    <w:rsid w:val="00645DDC"/>
    <w:rsid w:val="0065047F"/>
    <w:rsid w:val="006528C8"/>
    <w:rsid w:val="00654641"/>
    <w:rsid w:val="0065563D"/>
    <w:rsid w:val="00655E42"/>
    <w:rsid w:val="00656000"/>
    <w:rsid w:val="006560E2"/>
    <w:rsid w:val="00665286"/>
    <w:rsid w:val="00666B27"/>
    <w:rsid w:val="0067172B"/>
    <w:rsid w:val="006732CA"/>
    <w:rsid w:val="00674CC2"/>
    <w:rsid w:val="00675D3B"/>
    <w:rsid w:val="00676E13"/>
    <w:rsid w:val="00677522"/>
    <w:rsid w:val="00680AAB"/>
    <w:rsid w:val="00681262"/>
    <w:rsid w:val="00684997"/>
    <w:rsid w:val="006868B8"/>
    <w:rsid w:val="00691416"/>
    <w:rsid w:val="00692B45"/>
    <w:rsid w:val="00693AF5"/>
    <w:rsid w:val="00694EC5"/>
    <w:rsid w:val="006A099B"/>
    <w:rsid w:val="006A20A4"/>
    <w:rsid w:val="006A4AFC"/>
    <w:rsid w:val="006A4E17"/>
    <w:rsid w:val="006A77BD"/>
    <w:rsid w:val="006B02B6"/>
    <w:rsid w:val="006B5572"/>
    <w:rsid w:val="006B583A"/>
    <w:rsid w:val="006B7240"/>
    <w:rsid w:val="006B7268"/>
    <w:rsid w:val="006B7416"/>
    <w:rsid w:val="006C0869"/>
    <w:rsid w:val="006C222C"/>
    <w:rsid w:val="006C47BE"/>
    <w:rsid w:val="006C683B"/>
    <w:rsid w:val="006D3103"/>
    <w:rsid w:val="006D621B"/>
    <w:rsid w:val="006D7ABD"/>
    <w:rsid w:val="006E1C7F"/>
    <w:rsid w:val="006E304B"/>
    <w:rsid w:val="006E3B7B"/>
    <w:rsid w:val="006F0A87"/>
    <w:rsid w:val="006F2166"/>
    <w:rsid w:val="006F39A0"/>
    <w:rsid w:val="006F5817"/>
    <w:rsid w:val="006F5C12"/>
    <w:rsid w:val="00703C13"/>
    <w:rsid w:val="00704801"/>
    <w:rsid w:val="00705340"/>
    <w:rsid w:val="00706593"/>
    <w:rsid w:val="00707CED"/>
    <w:rsid w:val="0071068F"/>
    <w:rsid w:val="007135A8"/>
    <w:rsid w:val="00713A67"/>
    <w:rsid w:val="0071490C"/>
    <w:rsid w:val="0071585B"/>
    <w:rsid w:val="00716D3F"/>
    <w:rsid w:val="00723AD3"/>
    <w:rsid w:val="00723E0E"/>
    <w:rsid w:val="007252D5"/>
    <w:rsid w:val="0072564B"/>
    <w:rsid w:val="00725AD2"/>
    <w:rsid w:val="00725BEC"/>
    <w:rsid w:val="00725C90"/>
    <w:rsid w:val="00730693"/>
    <w:rsid w:val="0073147F"/>
    <w:rsid w:val="00737E35"/>
    <w:rsid w:val="007402EE"/>
    <w:rsid w:val="00744C85"/>
    <w:rsid w:val="00747FB7"/>
    <w:rsid w:val="00751FA0"/>
    <w:rsid w:val="007563E9"/>
    <w:rsid w:val="007573E5"/>
    <w:rsid w:val="00761EFF"/>
    <w:rsid w:val="00763658"/>
    <w:rsid w:val="00771973"/>
    <w:rsid w:val="00772A7A"/>
    <w:rsid w:val="0077306E"/>
    <w:rsid w:val="00775685"/>
    <w:rsid w:val="007757DA"/>
    <w:rsid w:val="00776897"/>
    <w:rsid w:val="00777C27"/>
    <w:rsid w:val="007802A9"/>
    <w:rsid w:val="007827AF"/>
    <w:rsid w:val="00783CA9"/>
    <w:rsid w:val="0078582A"/>
    <w:rsid w:val="00791BB0"/>
    <w:rsid w:val="00791FD4"/>
    <w:rsid w:val="00793C6F"/>
    <w:rsid w:val="00797C9A"/>
    <w:rsid w:val="007A40DE"/>
    <w:rsid w:val="007B137D"/>
    <w:rsid w:val="007B37A1"/>
    <w:rsid w:val="007B5296"/>
    <w:rsid w:val="007B6D96"/>
    <w:rsid w:val="007C0A56"/>
    <w:rsid w:val="007C2C21"/>
    <w:rsid w:val="007C355E"/>
    <w:rsid w:val="007D025C"/>
    <w:rsid w:val="007D17EE"/>
    <w:rsid w:val="007D4C35"/>
    <w:rsid w:val="007D4F82"/>
    <w:rsid w:val="007D7C81"/>
    <w:rsid w:val="007E0D8B"/>
    <w:rsid w:val="007E1EBF"/>
    <w:rsid w:val="007E3EA1"/>
    <w:rsid w:val="007F01EA"/>
    <w:rsid w:val="007F53CA"/>
    <w:rsid w:val="007F710D"/>
    <w:rsid w:val="007F7AB7"/>
    <w:rsid w:val="00802E90"/>
    <w:rsid w:val="008037C1"/>
    <w:rsid w:val="0080494B"/>
    <w:rsid w:val="00806A1F"/>
    <w:rsid w:val="008151A1"/>
    <w:rsid w:val="00815C33"/>
    <w:rsid w:val="00815F9D"/>
    <w:rsid w:val="00816533"/>
    <w:rsid w:val="00823405"/>
    <w:rsid w:val="00825484"/>
    <w:rsid w:val="00830243"/>
    <w:rsid w:val="00831C2D"/>
    <w:rsid w:val="00831FD2"/>
    <w:rsid w:val="00836DC2"/>
    <w:rsid w:val="008406EE"/>
    <w:rsid w:val="00840AEB"/>
    <w:rsid w:val="00841850"/>
    <w:rsid w:val="008457AE"/>
    <w:rsid w:val="008464AF"/>
    <w:rsid w:val="008476B9"/>
    <w:rsid w:val="00851BE2"/>
    <w:rsid w:val="00851CD3"/>
    <w:rsid w:val="00851EB3"/>
    <w:rsid w:val="0085293D"/>
    <w:rsid w:val="008548D1"/>
    <w:rsid w:val="00857219"/>
    <w:rsid w:val="00862E6A"/>
    <w:rsid w:val="00863328"/>
    <w:rsid w:val="0087149E"/>
    <w:rsid w:val="00876072"/>
    <w:rsid w:val="0088169A"/>
    <w:rsid w:val="00882200"/>
    <w:rsid w:val="008826D8"/>
    <w:rsid w:val="00885A77"/>
    <w:rsid w:val="008872E6"/>
    <w:rsid w:val="00892444"/>
    <w:rsid w:val="008934FA"/>
    <w:rsid w:val="00894708"/>
    <w:rsid w:val="00894C35"/>
    <w:rsid w:val="00897410"/>
    <w:rsid w:val="008A128B"/>
    <w:rsid w:val="008A1615"/>
    <w:rsid w:val="008A1AF9"/>
    <w:rsid w:val="008A7249"/>
    <w:rsid w:val="008A7FA6"/>
    <w:rsid w:val="008B0C32"/>
    <w:rsid w:val="008B4730"/>
    <w:rsid w:val="008C1895"/>
    <w:rsid w:val="008C2A10"/>
    <w:rsid w:val="008C3AD5"/>
    <w:rsid w:val="008C48DC"/>
    <w:rsid w:val="008C7218"/>
    <w:rsid w:val="008C7E2F"/>
    <w:rsid w:val="008D148D"/>
    <w:rsid w:val="008D23C6"/>
    <w:rsid w:val="008D2C4D"/>
    <w:rsid w:val="008D6AF4"/>
    <w:rsid w:val="008D6E56"/>
    <w:rsid w:val="008D7C0E"/>
    <w:rsid w:val="008E3807"/>
    <w:rsid w:val="008E40DC"/>
    <w:rsid w:val="008E5A13"/>
    <w:rsid w:val="008E5D09"/>
    <w:rsid w:val="008F05C0"/>
    <w:rsid w:val="008F1829"/>
    <w:rsid w:val="008F2C95"/>
    <w:rsid w:val="008F7B28"/>
    <w:rsid w:val="00902E65"/>
    <w:rsid w:val="0090489D"/>
    <w:rsid w:val="00906D81"/>
    <w:rsid w:val="00906FA8"/>
    <w:rsid w:val="00907C5B"/>
    <w:rsid w:val="0091098F"/>
    <w:rsid w:val="0091243F"/>
    <w:rsid w:val="00917D6E"/>
    <w:rsid w:val="00920EA8"/>
    <w:rsid w:val="00922950"/>
    <w:rsid w:val="0092310C"/>
    <w:rsid w:val="00925A7C"/>
    <w:rsid w:val="00925CF6"/>
    <w:rsid w:val="00927DBB"/>
    <w:rsid w:val="00930F28"/>
    <w:rsid w:val="00931436"/>
    <w:rsid w:val="0093575E"/>
    <w:rsid w:val="00937520"/>
    <w:rsid w:val="0094078F"/>
    <w:rsid w:val="00941F56"/>
    <w:rsid w:val="00942F06"/>
    <w:rsid w:val="00946F41"/>
    <w:rsid w:val="00947922"/>
    <w:rsid w:val="00952A04"/>
    <w:rsid w:val="00955637"/>
    <w:rsid w:val="00955CF5"/>
    <w:rsid w:val="00956B41"/>
    <w:rsid w:val="00957716"/>
    <w:rsid w:val="0096178B"/>
    <w:rsid w:val="00966024"/>
    <w:rsid w:val="0096673A"/>
    <w:rsid w:val="009708DE"/>
    <w:rsid w:val="00974F63"/>
    <w:rsid w:val="009822AB"/>
    <w:rsid w:val="00982970"/>
    <w:rsid w:val="009843E1"/>
    <w:rsid w:val="00984899"/>
    <w:rsid w:val="00992120"/>
    <w:rsid w:val="0099432E"/>
    <w:rsid w:val="009957F6"/>
    <w:rsid w:val="009965E6"/>
    <w:rsid w:val="00996F1B"/>
    <w:rsid w:val="009A54E9"/>
    <w:rsid w:val="009B260D"/>
    <w:rsid w:val="009B59B7"/>
    <w:rsid w:val="009B6E40"/>
    <w:rsid w:val="009C1F4F"/>
    <w:rsid w:val="009C335C"/>
    <w:rsid w:val="009C799E"/>
    <w:rsid w:val="009C7C7D"/>
    <w:rsid w:val="009D078F"/>
    <w:rsid w:val="009D1831"/>
    <w:rsid w:val="009D1C46"/>
    <w:rsid w:val="009D7B0D"/>
    <w:rsid w:val="009E0790"/>
    <w:rsid w:val="009E08BB"/>
    <w:rsid w:val="009E1125"/>
    <w:rsid w:val="009E41BB"/>
    <w:rsid w:val="009E4296"/>
    <w:rsid w:val="009E466F"/>
    <w:rsid w:val="009E530B"/>
    <w:rsid w:val="009E5357"/>
    <w:rsid w:val="009F3D33"/>
    <w:rsid w:val="009F51C9"/>
    <w:rsid w:val="009F7439"/>
    <w:rsid w:val="009F7DB8"/>
    <w:rsid w:val="00A012FA"/>
    <w:rsid w:val="00A023E4"/>
    <w:rsid w:val="00A04644"/>
    <w:rsid w:val="00A0605A"/>
    <w:rsid w:val="00A06D5B"/>
    <w:rsid w:val="00A12D70"/>
    <w:rsid w:val="00A13848"/>
    <w:rsid w:val="00A142B0"/>
    <w:rsid w:val="00A14FA9"/>
    <w:rsid w:val="00A16757"/>
    <w:rsid w:val="00A2427E"/>
    <w:rsid w:val="00A24873"/>
    <w:rsid w:val="00A25114"/>
    <w:rsid w:val="00A25E27"/>
    <w:rsid w:val="00A32E13"/>
    <w:rsid w:val="00A34E9C"/>
    <w:rsid w:val="00A35BC1"/>
    <w:rsid w:val="00A35ECE"/>
    <w:rsid w:val="00A3741F"/>
    <w:rsid w:val="00A37F0F"/>
    <w:rsid w:val="00A42F0E"/>
    <w:rsid w:val="00A47110"/>
    <w:rsid w:val="00A47377"/>
    <w:rsid w:val="00A56FDA"/>
    <w:rsid w:val="00A616D6"/>
    <w:rsid w:val="00A62DE3"/>
    <w:rsid w:val="00A63E6C"/>
    <w:rsid w:val="00A65955"/>
    <w:rsid w:val="00A705E8"/>
    <w:rsid w:val="00A71335"/>
    <w:rsid w:val="00A72B4D"/>
    <w:rsid w:val="00A73E9E"/>
    <w:rsid w:val="00A74C2C"/>
    <w:rsid w:val="00A84D72"/>
    <w:rsid w:val="00A87199"/>
    <w:rsid w:val="00A87770"/>
    <w:rsid w:val="00A904A6"/>
    <w:rsid w:val="00A96B86"/>
    <w:rsid w:val="00A96ED1"/>
    <w:rsid w:val="00A96F9C"/>
    <w:rsid w:val="00A97063"/>
    <w:rsid w:val="00A97BB3"/>
    <w:rsid w:val="00AA0C6F"/>
    <w:rsid w:val="00AA1BF8"/>
    <w:rsid w:val="00AA1DB3"/>
    <w:rsid w:val="00AA2488"/>
    <w:rsid w:val="00AA4597"/>
    <w:rsid w:val="00AA704B"/>
    <w:rsid w:val="00AA7750"/>
    <w:rsid w:val="00AA78AA"/>
    <w:rsid w:val="00AA7C24"/>
    <w:rsid w:val="00AB26E9"/>
    <w:rsid w:val="00AC26C1"/>
    <w:rsid w:val="00AC4985"/>
    <w:rsid w:val="00AC65F1"/>
    <w:rsid w:val="00AD4669"/>
    <w:rsid w:val="00AD6A9D"/>
    <w:rsid w:val="00AE0ED7"/>
    <w:rsid w:val="00AE4AF6"/>
    <w:rsid w:val="00AE5070"/>
    <w:rsid w:val="00AF0495"/>
    <w:rsid w:val="00AF1483"/>
    <w:rsid w:val="00AF2FE1"/>
    <w:rsid w:val="00AF64DA"/>
    <w:rsid w:val="00B0205B"/>
    <w:rsid w:val="00B05610"/>
    <w:rsid w:val="00B061AD"/>
    <w:rsid w:val="00B0651C"/>
    <w:rsid w:val="00B1061F"/>
    <w:rsid w:val="00B10D71"/>
    <w:rsid w:val="00B10EFC"/>
    <w:rsid w:val="00B14FD5"/>
    <w:rsid w:val="00B228D4"/>
    <w:rsid w:val="00B32CE2"/>
    <w:rsid w:val="00B33407"/>
    <w:rsid w:val="00B33BD1"/>
    <w:rsid w:val="00B36692"/>
    <w:rsid w:val="00B36E9F"/>
    <w:rsid w:val="00B41FC1"/>
    <w:rsid w:val="00B426CD"/>
    <w:rsid w:val="00B4562F"/>
    <w:rsid w:val="00B45B12"/>
    <w:rsid w:val="00B46DDB"/>
    <w:rsid w:val="00B47436"/>
    <w:rsid w:val="00B51313"/>
    <w:rsid w:val="00B53491"/>
    <w:rsid w:val="00B54DB3"/>
    <w:rsid w:val="00B55738"/>
    <w:rsid w:val="00B5581F"/>
    <w:rsid w:val="00B57442"/>
    <w:rsid w:val="00B57C3E"/>
    <w:rsid w:val="00B60BA8"/>
    <w:rsid w:val="00B666FF"/>
    <w:rsid w:val="00B678CD"/>
    <w:rsid w:val="00B7098A"/>
    <w:rsid w:val="00B7645A"/>
    <w:rsid w:val="00B768D0"/>
    <w:rsid w:val="00B8210E"/>
    <w:rsid w:val="00B8247D"/>
    <w:rsid w:val="00B8444D"/>
    <w:rsid w:val="00B8733A"/>
    <w:rsid w:val="00B906BA"/>
    <w:rsid w:val="00B90E4F"/>
    <w:rsid w:val="00B9300C"/>
    <w:rsid w:val="00BA0D2D"/>
    <w:rsid w:val="00BA0E95"/>
    <w:rsid w:val="00BA0ED1"/>
    <w:rsid w:val="00BA2ADF"/>
    <w:rsid w:val="00BA45A3"/>
    <w:rsid w:val="00BA7CBF"/>
    <w:rsid w:val="00BA7DF5"/>
    <w:rsid w:val="00BB4960"/>
    <w:rsid w:val="00BB5CDF"/>
    <w:rsid w:val="00BC2EC0"/>
    <w:rsid w:val="00BD3231"/>
    <w:rsid w:val="00BD5485"/>
    <w:rsid w:val="00BD6339"/>
    <w:rsid w:val="00BD64F9"/>
    <w:rsid w:val="00BD6912"/>
    <w:rsid w:val="00BE6A02"/>
    <w:rsid w:val="00BE7108"/>
    <w:rsid w:val="00BE7AED"/>
    <w:rsid w:val="00BF223A"/>
    <w:rsid w:val="00BF4016"/>
    <w:rsid w:val="00BF5A05"/>
    <w:rsid w:val="00BF6045"/>
    <w:rsid w:val="00BF790B"/>
    <w:rsid w:val="00C02C70"/>
    <w:rsid w:val="00C0346A"/>
    <w:rsid w:val="00C0712A"/>
    <w:rsid w:val="00C0738D"/>
    <w:rsid w:val="00C10445"/>
    <w:rsid w:val="00C14DC4"/>
    <w:rsid w:val="00C1614A"/>
    <w:rsid w:val="00C210F5"/>
    <w:rsid w:val="00C22D7E"/>
    <w:rsid w:val="00C23F87"/>
    <w:rsid w:val="00C24134"/>
    <w:rsid w:val="00C24286"/>
    <w:rsid w:val="00C3095A"/>
    <w:rsid w:val="00C30FED"/>
    <w:rsid w:val="00C314EB"/>
    <w:rsid w:val="00C316FD"/>
    <w:rsid w:val="00C317DE"/>
    <w:rsid w:val="00C3188F"/>
    <w:rsid w:val="00C342BF"/>
    <w:rsid w:val="00C347A3"/>
    <w:rsid w:val="00C34B62"/>
    <w:rsid w:val="00C36829"/>
    <w:rsid w:val="00C36E9E"/>
    <w:rsid w:val="00C401FF"/>
    <w:rsid w:val="00C4020D"/>
    <w:rsid w:val="00C45B6C"/>
    <w:rsid w:val="00C45BD4"/>
    <w:rsid w:val="00C51BDF"/>
    <w:rsid w:val="00C5499E"/>
    <w:rsid w:val="00C54B68"/>
    <w:rsid w:val="00C5768E"/>
    <w:rsid w:val="00C6032F"/>
    <w:rsid w:val="00C62251"/>
    <w:rsid w:val="00C638B5"/>
    <w:rsid w:val="00C638E5"/>
    <w:rsid w:val="00C668E9"/>
    <w:rsid w:val="00C66C78"/>
    <w:rsid w:val="00C724AB"/>
    <w:rsid w:val="00C72632"/>
    <w:rsid w:val="00C80417"/>
    <w:rsid w:val="00C81F2E"/>
    <w:rsid w:val="00C824B8"/>
    <w:rsid w:val="00C852B2"/>
    <w:rsid w:val="00C873D8"/>
    <w:rsid w:val="00C919DB"/>
    <w:rsid w:val="00C91E35"/>
    <w:rsid w:val="00C928E9"/>
    <w:rsid w:val="00C93077"/>
    <w:rsid w:val="00C940B3"/>
    <w:rsid w:val="00C9497E"/>
    <w:rsid w:val="00CA1878"/>
    <w:rsid w:val="00CA78BD"/>
    <w:rsid w:val="00CB46E2"/>
    <w:rsid w:val="00CB6BE0"/>
    <w:rsid w:val="00CC0878"/>
    <w:rsid w:val="00CC32AD"/>
    <w:rsid w:val="00CC5F3A"/>
    <w:rsid w:val="00CC65A6"/>
    <w:rsid w:val="00CC6906"/>
    <w:rsid w:val="00CD2BF3"/>
    <w:rsid w:val="00CD2E24"/>
    <w:rsid w:val="00CD6415"/>
    <w:rsid w:val="00CD7A3A"/>
    <w:rsid w:val="00CE0F4A"/>
    <w:rsid w:val="00CE46A7"/>
    <w:rsid w:val="00CE4952"/>
    <w:rsid w:val="00CE6E5C"/>
    <w:rsid w:val="00CE7EDA"/>
    <w:rsid w:val="00D00A8A"/>
    <w:rsid w:val="00D025C2"/>
    <w:rsid w:val="00D04791"/>
    <w:rsid w:val="00D0506F"/>
    <w:rsid w:val="00D0615F"/>
    <w:rsid w:val="00D064B0"/>
    <w:rsid w:val="00D0796F"/>
    <w:rsid w:val="00D11C15"/>
    <w:rsid w:val="00D13AED"/>
    <w:rsid w:val="00D150CF"/>
    <w:rsid w:val="00D170FD"/>
    <w:rsid w:val="00D17F9C"/>
    <w:rsid w:val="00D202F7"/>
    <w:rsid w:val="00D229DA"/>
    <w:rsid w:val="00D23780"/>
    <w:rsid w:val="00D253C9"/>
    <w:rsid w:val="00D321E8"/>
    <w:rsid w:val="00D36025"/>
    <w:rsid w:val="00D361C6"/>
    <w:rsid w:val="00D449CA"/>
    <w:rsid w:val="00D453FF"/>
    <w:rsid w:val="00D45AEA"/>
    <w:rsid w:val="00D5182D"/>
    <w:rsid w:val="00D51E04"/>
    <w:rsid w:val="00D52045"/>
    <w:rsid w:val="00D52B6C"/>
    <w:rsid w:val="00D54CC1"/>
    <w:rsid w:val="00D54CF5"/>
    <w:rsid w:val="00D56047"/>
    <w:rsid w:val="00D568CB"/>
    <w:rsid w:val="00D61C4E"/>
    <w:rsid w:val="00D62DF3"/>
    <w:rsid w:val="00D67551"/>
    <w:rsid w:val="00D70CA5"/>
    <w:rsid w:val="00D723C5"/>
    <w:rsid w:val="00D7288E"/>
    <w:rsid w:val="00D72BBF"/>
    <w:rsid w:val="00D74C7C"/>
    <w:rsid w:val="00D756A4"/>
    <w:rsid w:val="00D775C6"/>
    <w:rsid w:val="00D775CB"/>
    <w:rsid w:val="00D80306"/>
    <w:rsid w:val="00D82EA2"/>
    <w:rsid w:val="00D84796"/>
    <w:rsid w:val="00D8506E"/>
    <w:rsid w:val="00D87AE3"/>
    <w:rsid w:val="00D914F2"/>
    <w:rsid w:val="00D91D3B"/>
    <w:rsid w:val="00D92417"/>
    <w:rsid w:val="00D941E4"/>
    <w:rsid w:val="00D94FCF"/>
    <w:rsid w:val="00D964EE"/>
    <w:rsid w:val="00D97711"/>
    <w:rsid w:val="00D97B85"/>
    <w:rsid w:val="00DA01F3"/>
    <w:rsid w:val="00DA0F1F"/>
    <w:rsid w:val="00DA1EDB"/>
    <w:rsid w:val="00DA2A20"/>
    <w:rsid w:val="00DA488C"/>
    <w:rsid w:val="00DB2C13"/>
    <w:rsid w:val="00DB5883"/>
    <w:rsid w:val="00DC12A8"/>
    <w:rsid w:val="00DC13F0"/>
    <w:rsid w:val="00DC2106"/>
    <w:rsid w:val="00DC35F2"/>
    <w:rsid w:val="00DC6ABB"/>
    <w:rsid w:val="00DD13F5"/>
    <w:rsid w:val="00DD3434"/>
    <w:rsid w:val="00DE0B75"/>
    <w:rsid w:val="00DE31F7"/>
    <w:rsid w:val="00DE5465"/>
    <w:rsid w:val="00DE6EEF"/>
    <w:rsid w:val="00DE7E7C"/>
    <w:rsid w:val="00DF4767"/>
    <w:rsid w:val="00DF5B0D"/>
    <w:rsid w:val="00DF6315"/>
    <w:rsid w:val="00DF685B"/>
    <w:rsid w:val="00DF70C9"/>
    <w:rsid w:val="00E024E1"/>
    <w:rsid w:val="00E02A43"/>
    <w:rsid w:val="00E055EF"/>
    <w:rsid w:val="00E0665A"/>
    <w:rsid w:val="00E075CE"/>
    <w:rsid w:val="00E123BA"/>
    <w:rsid w:val="00E1415C"/>
    <w:rsid w:val="00E174F6"/>
    <w:rsid w:val="00E24F51"/>
    <w:rsid w:val="00E31951"/>
    <w:rsid w:val="00E34B9B"/>
    <w:rsid w:val="00E3538B"/>
    <w:rsid w:val="00E36001"/>
    <w:rsid w:val="00E41C14"/>
    <w:rsid w:val="00E41F30"/>
    <w:rsid w:val="00E42304"/>
    <w:rsid w:val="00E42D98"/>
    <w:rsid w:val="00E443DE"/>
    <w:rsid w:val="00E4532D"/>
    <w:rsid w:val="00E5065A"/>
    <w:rsid w:val="00E50A28"/>
    <w:rsid w:val="00E51753"/>
    <w:rsid w:val="00E51EAA"/>
    <w:rsid w:val="00E52159"/>
    <w:rsid w:val="00E56510"/>
    <w:rsid w:val="00E56F06"/>
    <w:rsid w:val="00E60B6E"/>
    <w:rsid w:val="00E6561C"/>
    <w:rsid w:val="00E6726F"/>
    <w:rsid w:val="00E7097B"/>
    <w:rsid w:val="00E71606"/>
    <w:rsid w:val="00E72C79"/>
    <w:rsid w:val="00E76377"/>
    <w:rsid w:val="00E76849"/>
    <w:rsid w:val="00E77333"/>
    <w:rsid w:val="00E81136"/>
    <w:rsid w:val="00E851FE"/>
    <w:rsid w:val="00E85FCA"/>
    <w:rsid w:val="00E86524"/>
    <w:rsid w:val="00E92610"/>
    <w:rsid w:val="00E92907"/>
    <w:rsid w:val="00E94190"/>
    <w:rsid w:val="00E9530B"/>
    <w:rsid w:val="00E9537F"/>
    <w:rsid w:val="00EA3102"/>
    <w:rsid w:val="00EB0024"/>
    <w:rsid w:val="00EB1203"/>
    <w:rsid w:val="00EB17FA"/>
    <w:rsid w:val="00EB2F7E"/>
    <w:rsid w:val="00EB3D32"/>
    <w:rsid w:val="00EC1AAF"/>
    <w:rsid w:val="00EC1C27"/>
    <w:rsid w:val="00EC23D3"/>
    <w:rsid w:val="00EC423C"/>
    <w:rsid w:val="00EC5B4E"/>
    <w:rsid w:val="00EC6261"/>
    <w:rsid w:val="00ED1C70"/>
    <w:rsid w:val="00ED209E"/>
    <w:rsid w:val="00ED32DE"/>
    <w:rsid w:val="00ED481A"/>
    <w:rsid w:val="00ED76A9"/>
    <w:rsid w:val="00ED7A91"/>
    <w:rsid w:val="00EE1DEA"/>
    <w:rsid w:val="00EE24AA"/>
    <w:rsid w:val="00EE30CD"/>
    <w:rsid w:val="00EF3640"/>
    <w:rsid w:val="00EF4181"/>
    <w:rsid w:val="00EF4B92"/>
    <w:rsid w:val="00EF5EE4"/>
    <w:rsid w:val="00EF709D"/>
    <w:rsid w:val="00F00834"/>
    <w:rsid w:val="00F11782"/>
    <w:rsid w:val="00F1391A"/>
    <w:rsid w:val="00F170EF"/>
    <w:rsid w:val="00F17897"/>
    <w:rsid w:val="00F20487"/>
    <w:rsid w:val="00F21AD4"/>
    <w:rsid w:val="00F255B0"/>
    <w:rsid w:val="00F26F9A"/>
    <w:rsid w:val="00F31521"/>
    <w:rsid w:val="00F32730"/>
    <w:rsid w:val="00F3280C"/>
    <w:rsid w:val="00F3418E"/>
    <w:rsid w:val="00F364DA"/>
    <w:rsid w:val="00F3662C"/>
    <w:rsid w:val="00F42366"/>
    <w:rsid w:val="00F4575C"/>
    <w:rsid w:val="00F46FCA"/>
    <w:rsid w:val="00F501CB"/>
    <w:rsid w:val="00F543C6"/>
    <w:rsid w:val="00F54B41"/>
    <w:rsid w:val="00F63772"/>
    <w:rsid w:val="00F6696C"/>
    <w:rsid w:val="00F7500C"/>
    <w:rsid w:val="00F769EC"/>
    <w:rsid w:val="00F77FF5"/>
    <w:rsid w:val="00F81362"/>
    <w:rsid w:val="00F81F36"/>
    <w:rsid w:val="00F82FCF"/>
    <w:rsid w:val="00F84286"/>
    <w:rsid w:val="00F871FA"/>
    <w:rsid w:val="00F92997"/>
    <w:rsid w:val="00F9530D"/>
    <w:rsid w:val="00FA0391"/>
    <w:rsid w:val="00FA04CA"/>
    <w:rsid w:val="00FA4014"/>
    <w:rsid w:val="00FA42EE"/>
    <w:rsid w:val="00FA5895"/>
    <w:rsid w:val="00FA6DBE"/>
    <w:rsid w:val="00FB306E"/>
    <w:rsid w:val="00FB3F7D"/>
    <w:rsid w:val="00FC0F34"/>
    <w:rsid w:val="00FC1E82"/>
    <w:rsid w:val="00FC3A2B"/>
    <w:rsid w:val="00FC758E"/>
    <w:rsid w:val="00FD4BF5"/>
    <w:rsid w:val="00FD4D49"/>
    <w:rsid w:val="00FD5BB4"/>
    <w:rsid w:val="00FD5CE2"/>
    <w:rsid w:val="00FE41DB"/>
    <w:rsid w:val="00FE5AD5"/>
    <w:rsid w:val="00FE705C"/>
    <w:rsid w:val="00FF0748"/>
    <w:rsid w:val="00FF3ACD"/>
    <w:rsid w:val="00FF5C45"/>
    <w:rsid w:val="00FF645F"/>
    <w:rsid w:val="00FF7702"/>
    <w:rsid w:val="00FF7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481C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uiPriority="0"/>
    <w:lsdException w:name="header" w:locked="1" w:uiPriority="0"/>
    <w:lsdException w:name="footer" w:locked="1"/>
    <w:lsdException w:name="caption" w:locked="1" w:qFormat="1"/>
    <w:lsdException w:name="table of figures" w:locked="1" w:uiPriority="0"/>
    <w:lsdException w:name="footnote reference" w:locked="1" w:uiPriority="0"/>
    <w:lsdException w:name="annotation reference" w:locked="1" w:uiPriority="0"/>
    <w:lsdException w:name="page number"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locked="1" w:uiPriority="0"/>
    <w:lsdException w:name="No List" w:locked="1" w:uiPriority="0"/>
    <w:lsdException w:name="Balloon Text" w:locked="1"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1A8"/>
    <w:pPr>
      <w:spacing w:after="240" w:line="312" w:lineRule="auto"/>
      <w:jc w:val="both"/>
    </w:pPr>
    <w:rPr>
      <w:rFonts w:ascii="Tahoma" w:eastAsia="SimSun" w:hAnsi="Tahoma" w:cs="Tahoma"/>
      <w:sz w:val="20"/>
      <w:szCs w:val="20"/>
      <w:lang w:val="en-AU" w:eastAsia="zh-CN"/>
    </w:rPr>
  </w:style>
  <w:style w:type="paragraph" w:styleId="Heading1">
    <w:name w:val="heading 1"/>
    <w:basedOn w:val="Normal"/>
    <w:next w:val="Normal"/>
    <w:link w:val="Heading1Char"/>
    <w:uiPriority w:val="99"/>
    <w:qFormat/>
    <w:rsid w:val="000901A8"/>
    <w:pPr>
      <w:keepNext/>
      <w:spacing w:before="360" w:after="160"/>
      <w:outlineLvl w:val="0"/>
    </w:pPr>
    <w:rPr>
      <w:b/>
      <w:bCs/>
      <w:color w:val="215868"/>
      <w:sz w:val="24"/>
      <w:szCs w:val="32"/>
    </w:rPr>
  </w:style>
  <w:style w:type="paragraph" w:styleId="Heading2">
    <w:name w:val="heading 2"/>
    <w:basedOn w:val="Normal"/>
    <w:next w:val="Normal"/>
    <w:link w:val="Heading2Char"/>
    <w:uiPriority w:val="99"/>
    <w:qFormat/>
    <w:rsid w:val="00D5182D"/>
    <w:pPr>
      <w:keepNext/>
      <w:spacing w:before="240" w:after="160"/>
      <w:outlineLvl w:val="1"/>
    </w:pPr>
    <w:rPr>
      <w:b/>
      <w:color w:val="215868"/>
      <w:szCs w:val="28"/>
      <w:lang w:val="en-GB" w:eastAsia="ja-JP"/>
    </w:rPr>
  </w:style>
  <w:style w:type="paragraph" w:styleId="Heading3">
    <w:name w:val="heading 3"/>
    <w:basedOn w:val="Normal"/>
    <w:next w:val="Normal"/>
    <w:link w:val="Heading3Char"/>
    <w:uiPriority w:val="99"/>
    <w:qFormat/>
    <w:rsid w:val="003B232A"/>
    <w:pPr>
      <w:keepNext/>
      <w:spacing w:after="120"/>
      <w:outlineLvl w:val="2"/>
    </w:pPr>
    <w:rPr>
      <w:color w:val="41A7BF"/>
    </w:rPr>
  </w:style>
  <w:style w:type="paragraph" w:styleId="Heading4">
    <w:name w:val="heading 4"/>
    <w:basedOn w:val="Normal"/>
    <w:next w:val="Normal"/>
    <w:link w:val="Heading4Char"/>
    <w:uiPriority w:val="99"/>
    <w:qFormat/>
    <w:rsid w:val="00ED7A91"/>
    <w:pPr>
      <w:keepNext/>
      <w:numPr>
        <w:ilvl w:val="3"/>
        <w:numId w:val="1"/>
      </w:numPr>
      <w:outlineLvl w:val="3"/>
    </w:pPr>
    <w:rPr>
      <w:u w:val="single"/>
    </w:rPr>
  </w:style>
  <w:style w:type="paragraph" w:styleId="Heading5">
    <w:name w:val="heading 5"/>
    <w:basedOn w:val="Normal"/>
    <w:next w:val="Normal"/>
    <w:link w:val="Heading5Char"/>
    <w:uiPriority w:val="99"/>
    <w:qFormat/>
    <w:rsid w:val="00ED7A91"/>
    <w:pPr>
      <w:keepNext/>
      <w:numPr>
        <w:ilvl w:val="4"/>
        <w:numId w:val="1"/>
      </w:numPr>
      <w:tabs>
        <w:tab w:val="left" w:pos="709"/>
      </w:tabs>
      <w:outlineLvl w:val="4"/>
    </w:pPr>
    <w:rPr>
      <w:b/>
      <w:i/>
    </w:rPr>
  </w:style>
  <w:style w:type="paragraph" w:styleId="Heading6">
    <w:name w:val="heading 6"/>
    <w:basedOn w:val="Normal"/>
    <w:next w:val="Normal"/>
    <w:link w:val="Heading6Char"/>
    <w:uiPriority w:val="99"/>
    <w:qFormat/>
    <w:rsid w:val="00ED7A91"/>
    <w:pPr>
      <w:keepNext/>
      <w:numPr>
        <w:ilvl w:val="5"/>
        <w:numId w:val="1"/>
      </w:numPr>
      <w:jc w:val="center"/>
      <w:outlineLvl w:val="5"/>
    </w:pPr>
    <w:rPr>
      <w:b/>
      <w:sz w:val="28"/>
    </w:rPr>
  </w:style>
  <w:style w:type="paragraph" w:styleId="Heading7">
    <w:name w:val="heading 7"/>
    <w:basedOn w:val="Normal"/>
    <w:next w:val="Normal"/>
    <w:link w:val="Heading7Char"/>
    <w:uiPriority w:val="99"/>
    <w:qFormat/>
    <w:rsid w:val="00ED7A91"/>
    <w:pPr>
      <w:keepNext/>
      <w:outlineLvl w:val="6"/>
    </w:pPr>
    <w:rPr>
      <w:i/>
    </w:rPr>
  </w:style>
  <w:style w:type="paragraph" w:styleId="Heading8">
    <w:name w:val="heading 8"/>
    <w:basedOn w:val="Normal"/>
    <w:next w:val="Normal"/>
    <w:link w:val="Heading8Char"/>
    <w:uiPriority w:val="99"/>
    <w:qFormat/>
    <w:rsid w:val="00ED7A91"/>
    <w:pPr>
      <w:keepNext/>
      <w:numPr>
        <w:ilvl w:val="7"/>
        <w:numId w:val="1"/>
      </w:numPr>
      <w:spacing w:line="288" w:lineRule="auto"/>
      <w:jc w:val="center"/>
      <w:outlineLvl w:val="7"/>
    </w:pPr>
    <w:rPr>
      <w:sz w:val="48"/>
    </w:rPr>
  </w:style>
  <w:style w:type="paragraph" w:styleId="Heading9">
    <w:name w:val="heading 9"/>
    <w:basedOn w:val="Normal"/>
    <w:next w:val="Normal"/>
    <w:link w:val="Heading9Char"/>
    <w:uiPriority w:val="99"/>
    <w:qFormat/>
    <w:rsid w:val="00ED7A91"/>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01A8"/>
    <w:rPr>
      <w:rFonts w:ascii="Tahoma" w:eastAsia="SimSun" w:hAnsi="Tahoma" w:cs="Tahoma"/>
      <w:b/>
      <w:bCs/>
      <w:color w:val="215868"/>
      <w:sz w:val="32"/>
      <w:szCs w:val="32"/>
      <w:lang w:eastAsia="zh-CN"/>
    </w:rPr>
  </w:style>
  <w:style w:type="character" w:customStyle="1" w:styleId="Heading2Char">
    <w:name w:val="Heading 2 Char"/>
    <w:basedOn w:val="DefaultParagraphFont"/>
    <w:link w:val="Heading2"/>
    <w:uiPriority w:val="99"/>
    <w:locked/>
    <w:rsid w:val="00D5182D"/>
    <w:rPr>
      <w:rFonts w:ascii="Tahoma" w:eastAsia="SimSun" w:hAnsi="Tahoma" w:cs="Tahoma"/>
      <w:b/>
      <w:color w:val="215868"/>
      <w:sz w:val="28"/>
      <w:szCs w:val="28"/>
      <w:lang w:val="en-GB" w:eastAsia="ja-JP"/>
    </w:rPr>
  </w:style>
  <w:style w:type="character" w:customStyle="1" w:styleId="Heading3Char">
    <w:name w:val="Heading 3 Char"/>
    <w:basedOn w:val="DefaultParagraphFont"/>
    <w:link w:val="Heading3"/>
    <w:uiPriority w:val="99"/>
    <w:locked/>
    <w:rsid w:val="003B232A"/>
    <w:rPr>
      <w:rFonts w:ascii="Tahoma" w:eastAsia="SimSun" w:hAnsi="Tahoma" w:cs="Tahoma"/>
      <w:color w:val="41A7BF"/>
      <w:sz w:val="20"/>
      <w:szCs w:val="20"/>
      <w:lang w:eastAsia="zh-CN"/>
    </w:rPr>
  </w:style>
  <w:style w:type="character" w:customStyle="1" w:styleId="Heading4Char">
    <w:name w:val="Heading 4 Char"/>
    <w:basedOn w:val="DefaultParagraphFont"/>
    <w:link w:val="Heading4"/>
    <w:uiPriority w:val="99"/>
    <w:locked/>
    <w:rsid w:val="00ED7A91"/>
    <w:rPr>
      <w:rFonts w:ascii="Tahoma" w:eastAsia="SimSun" w:hAnsi="Tahoma" w:cs="Tahoma"/>
      <w:sz w:val="20"/>
      <w:szCs w:val="20"/>
      <w:u w:val="single"/>
      <w:lang w:val="en-AU" w:eastAsia="zh-CN"/>
    </w:rPr>
  </w:style>
  <w:style w:type="character" w:customStyle="1" w:styleId="Heading5Char">
    <w:name w:val="Heading 5 Char"/>
    <w:basedOn w:val="DefaultParagraphFont"/>
    <w:link w:val="Heading5"/>
    <w:uiPriority w:val="99"/>
    <w:locked/>
    <w:rsid w:val="00ED7A91"/>
    <w:rPr>
      <w:rFonts w:ascii="Tahoma" w:eastAsia="SimSun" w:hAnsi="Tahoma" w:cs="Tahoma"/>
      <w:b/>
      <w:i/>
      <w:sz w:val="20"/>
      <w:szCs w:val="20"/>
      <w:lang w:val="en-AU" w:eastAsia="zh-CN"/>
    </w:rPr>
  </w:style>
  <w:style w:type="character" w:customStyle="1" w:styleId="Heading6Char">
    <w:name w:val="Heading 6 Char"/>
    <w:basedOn w:val="DefaultParagraphFont"/>
    <w:link w:val="Heading6"/>
    <w:uiPriority w:val="99"/>
    <w:locked/>
    <w:rsid w:val="00ED7A91"/>
    <w:rPr>
      <w:rFonts w:ascii="Tahoma" w:eastAsia="SimSun" w:hAnsi="Tahoma" w:cs="Tahoma"/>
      <w:b/>
      <w:sz w:val="28"/>
      <w:szCs w:val="20"/>
      <w:lang w:val="en-AU" w:eastAsia="zh-CN"/>
    </w:rPr>
  </w:style>
  <w:style w:type="character" w:customStyle="1" w:styleId="Heading7Char">
    <w:name w:val="Heading 7 Char"/>
    <w:basedOn w:val="DefaultParagraphFont"/>
    <w:link w:val="Heading7"/>
    <w:uiPriority w:val="99"/>
    <w:locked/>
    <w:rsid w:val="00ED7A91"/>
    <w:rPr>
      <w:rFonts w:ascii="Times New Roman" w:eastAsia="SimSun" w:hAnsi="Times New Roman" w:cs="Times New Roman"/>
      <w:i/>
      <w:sz w:val="20"/>
      <w:szCs w:val="20"/>
      <w:lang w:eastAsia="zh-CN"/>
    </w:rPr>
  </w:style>
  <w:style w:type="character" w:customStyle="1" w:styleId="Heading8Char">
    <w:name w:val="Heading 8 Char"/>
    <w:basedOn w:val="DefaultParagraphFont"/>
    <w:link w:val="Heading8"/>
    <w:uiPriority w:val="99"/>
    <w:locked/>
    <w:rsid w:val="00ED7A91"/>
    <w:rPr>
      <w:rFonts w:ascii="Tahoma" w:eastAsia="SimSun" w:hAnsi="Tahoma" w:cs="Tahoma"/>
      <w:sz w:val="48"/>
      <w:szCs w:val="20"/>
      <w:lang w:val="en-AU" w:eastAsia="zh-CN"/>
    </w:rPr>
  </w:style>
  <w:style w:type="character" w:customStyle="1" w:styleId="Heading9Char">
    <w:name w:val="Heading 9 Char"/>
    <w:basedOn w:val="DefaultParagraphFont"/>
    <w:link w:val="Heading9"/>
    <w:uiPriority w:val="99"/>
    <w:locked/>
    <w:rsid w:val="00ED7A91"/>
    <w:rPr>
      <w:rFonts w:ascii="Tahoma" w:eastAsia="SimSun" w:hAnsi="Tahoma" w:cs="Tahoma"/>
      <w:i/>
      <w:sz w:val="20"/>
      <w:szCs w:val="20"/>
      <w:lang w:val="en-AU" w:eastAsia="zh-CN"/>
    </w:rPr>
  </w:style>
  <w:style w:type="paragraph" w:customStyle="1" w:styleId="Attachmentheading">
    <w:name w:val="Attachment heading"/>
    <w:basedOn w:val="Normal"/>
    <w:next w:val="Normal"/>
    <w:uiPriority w:val="99"/>
    <w:rsid w:val="00ED7A91"/>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ED7A91"/>
    <w:pPr>
      <w:spacing w:line="240" w:lineRule="auto"/>
    </w:pPr>
    <w:rPr>
      <w:sz w:val="16"/>
      <w:szCs w:val="16"/>
    </w:rPr>
  </w:style>
  <w:style w:type="character" w:customStyle="1" w:styleId="BalloonTextChar">
    <w:name w:val="Balloon Text Char"/>
    <w:basedOn w:val="DefaultParagraphFont"/>
    <w:link w:val="BalloonText"/>
    <w:uiPriority w:val="99"/>
    <w:locked/>
    <w:rsid w:val="00ED7A91"/>
    <w:rPr>
      <w:rFonts w:ascii="Tahoma" w:eastAsia="SimSun" w:hAnsi="Tahoma" w:cs="Tahoma"/>
      <w:sz w:val="16"/>
      <w:szCs w:val="16"/>
      <w:lang w:eastAsia="zh-CN"/>
    </w:rPr>
  </w:style>
  <w:style w:type="paragraph" w:customStyle="1" w:styleId="Bulletedtext">
    <w:name w:val="Bulleted text"/>
    <w:basedOn w:val="Normal"/>
    <w:uiPriority w:val="99"/>
    <w:rsid w:val="00ED7A91"/>
    <w:pPr>
      <w:tabs>
        <w:tab w:val="left" w:pos="2835"/>
      </w:tabs>
    </w:pPr>
  </w:style>
  <w:style w:type="paragraph" w:customStyle="1" w:styleId="Bulletedtext2ndlevel">
    <w:name w:val="Bulleted text 2nd level"/>
    <w:basedOn w:val="Normal"/>
    <w:uiPriority w:val="99"/>
    <w:rsid w:val="00ED7A91"/>
    <w:pPr>
      <w:tabs>
        <w:tab w:val="num" w:pos="720"/>
      </w:tabs>
      <w:ind w:left="720" w:hanging="360"/>
      <w:jc w:val="left"/>
    </w:pPr>
  </w:style>
  <w:style w:type="paragraph" w:customStyle="1" w:styleId="Captioncontinued">
    <w:name w:val="Caption (continued)"/>
    <w:basedOn w:val="Normal"/>
    <w:next w:val="Normal"/>
    <w:uiPriority w:val="99"/>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uiPriority w:val="99"/>
    <w:rsid w:val="00ED7A91"/>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uiPriority w:val="99"/>
    <w:semiHidden/>
    <w:rsid w:val="00ED7A91"/>
    <w:rPr>
      <w:rFonts w:cs="Times New Roman"/>
      <w:sz w:val="16"/>
      <w:szCs w:val="16"/>
    </w:rPr>
  </w:style>
  <w:style w:type="paragraph" w:styleId="CommentText">
    <w:name w:val="annotation text"/>
    <w:basedOn w:val="Normal"/>
    <w:link w:val="CommentTextChar"/>
    <w:uiPriority w:val="99"/>
    <w:semiHidden/>
    <w:rsid w:val="00ED7A91"/>
  </w:style>
  <w:style w:type="character" w:customStyle="1" w:styleId="CommentTextChar">
    <w:name w:val="Comment Text Char"/>
    <w:basedOn w:val="DefaultParagraphFont"/>
    <w:link w:val="CommentText"/>
    <w:uiPriority w:val="99"/>
    <w:semiHidden/>
    <w:locked/>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D7A91"/>
    <w:rPr>
      <w:b/>
      <w:bCs/>
    </w:rPr>
  </w:style>
  <w:style w:type="character" w:customStyle="1" w:styleId="CommentSubjectChar">
    <w:name w:val="Comment Subject Char"/>
    <w:basedOn w:val="CommentTextChar"/>
    <w:link w:val="CommentSubject"/>
    <w:uiPriority w:val="99"/>
    <w:semiHidden/>
    <w:locked/>
    <w:rsid w:val="00ED7A91"/>
    <w:rPr>
      <w:rFonts w:ascii="Times New Roman" w:eastAsia="SimSun" w:hAnsi="Times New Roman" w:cs="Times New Roman"/>
      <w:b/>
      <w:bCs/>
      <w:sz w:val="20"/>
      <w:szCs w:val="20"/>
      <w:lang w:eastAsia="zh-CN"/>
    </w:rPr>
  </w:style>
  <w:style w:type="paragraph" w:customStyle="1" w:styleId="Execsummary">
    <w:name w:val="Exec summary"/>
    <w:basedOn w:val="Normal"/>
    <w:uiPriority w:val="99"/>
    <w:semiHidden/>
    <w:rsid w:val="00ED7A91"/>
    <w:pPr>
      <w:spacing w:line="288" w:lineRule="auto"/>
    </w:pPr>
    <w:rPr>
      <w:sz w:val="22"/>
    </w:rPr>
  </w:style>
  <w:style w:type="paragraph" w:styleId="Footer">
    <w:name w:val="footer"/>
    <w:basedOn w:val="Normal"/>
    <w:link w:val="FooterChar"/>
    <w:uiPriority w:val="99"/>
    <w:rsid w:val="00ED7A91"/>
    <w:pPr>
      <w:tabs>
        <w:tab w:val="center" w:pos="4320"/>
        <w:tab w:val="right" w:pos="8640"/>
      </w:tabs>
    </w:pPr>
  </w:style>
  <w:style w:type="character" w:customStyle="1" w:styleId="FooterChar">
    <w:name w:val="Footer Char"/>
    <w:basedOn w:val="DefaultParagraphFont"/>
    <w:link w:val="Footer"/>
    <w:uiPriority w:val="99"/>
    <w:locked/>
    <w:rsid w:val="00ED7A91"/>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rsid w:val="00ED7A91"/>
    <w:rPr>
      <w:rFonts w:cs="Times New Roman"/>
      <w:vertAlign w:val="superscript"/>
    </w:rPr>
  </w:style>
  <w:style w:type="paragraph" w:styleId="FootnoteText">
    <w:name w:val="footnote text"/>
    <w:basedOn w:val="Normal"/>
    <w:link w:val="FootnoteTextChar"/>
    <w:uiPriority w:val="99"/>
    <w:semiHidden/>
    <w:rsid w:val="00ED7A91"/>
    <w:pPr>
      <w:spacing w:line="240" w:lineRule="auto"/>
      <w:jc w:val="left"/>
    </w:pPr>
    <w:rPr>
      <w:rFonts w:ascii="Calibri" w:eastAsia="Calibri" w:hAnsi="Calibri"/>
      <w:lang w:eastAsia="en-US"/>
    </w:rPr>
  </w:style>
  <w:style w:type="character" w:customStyle="1" w:styleId="FootnoteTextChar">
    <w:name w:val="Footnote Text Char"/>
    <w:basedOn w:val="DefaultParagraphFont"/>
    <w:link w:val="FootnoteText"/>
    <w:uiPriority w:val="99"/>
    <w:semiHidden/>
    <w:locked/>
    <w:rsid w:val="00ED7A91"/>
    <w:rPr>
      <w:rFonts w:cs="Times New Roman"/>
      <w:sz w:val="20"/>
      <w:szCs w:val="20"/>
    </w:rPr>
  </w:style>
  <w:style w:type="paragraph" w:customStyle="1" w:styleId="GMHEADING1">
    <w:name w:val="GMHEADING1"/>
    <w:basedOn w:val="Normal"/>
    <w:next w:val="Normal"/>
    <w:uiPriority w:val="99"/>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ED7A91"/>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ED7A91"/>
    <w:pPr>
      <w:tabs>
        <w:tab w:val="right" w:pos="9240"/>
      </w:tabs>
      <w:spacing w:line="240" w:lineRule="auto"/>
      <w:ind w:right="28"/>
      <w:jc w:val="left"/>
    </w:pPr>
    <w:rPr>
      <w:sz w:val="18"/>
      <w:u w:val="single"/>
    </w:rPr>
  </w:style>
  <w:style w:type="character" w:customStyle="1" w:styleId="HeaderChar">
    <w:name w:val="Header Char"/>
    <w:basedOn w:val="DefaultParagraphFont"/>
    <w:link w:val="Header"/>
    <w:uiPriority w:val="99"/>
    <w:locked/>
    <w:rsid w:val="00ED7A91"/>
    <w:rPr>
      <w:rFonts w:ascii="Times New Roman" w:eastAsia="SimSun" w:hAnsi="Times New Roman" w:cs="Times New Roman"/>
      <w:sz w:val="20"/>
      <w:szCs w:val="20"/>
      <w:u w:val="single"/>
      <w:lang w:eastAsia="zh-CN"/>
    </w:rPr>
  </w:style>
  <w:style w:type="character" w:styleId="Hyperlink">
    <w:name w:val="Hyperlink"/>
    <w:basedOn w:val="DefaultParagraphFont"/>
    <w:uiPriority w:val="99"/>
    <w:rsid w:val="00ED7A91"/>
    <w:rPr>
      <w:rFonts w:cs="Times New Roman"/>
      <w:color w:val="0000FF"/>
      <w:u w:val="single"/>
    </w:rPr>
  </w:style>
  <w:style w:type="paragraph" w:customStyle="1" w:styleId="Numberedtext">
    <w:name w:val="Numbered text"/>
    <w:basedOn w:val="Normal"/>
    <w:uiPriority w:val="99"/>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ED7A91"/>
    <w:pPr>
      <w:tabs>
        <w:tab w:val="left" w:pos="0"/>
      </w:tabs>
      <w:spacing w:before="40" w:after="40" w:line="288" w:lineRule="auto"/>
      <w:jc w:val="left"/>
    </w:pPr>
    <w:rPr>
      <w:sz w:val="22"/>
      <w:szCs w:val="22"/>
    </w:rPr>
  </w:style>
  <w:style w:type="character" w:styleId="PageNumber">
    <w:name w:val="page number"/>
    <w:basedOn w:val="DefaultParagraphFont"/>
    <w:uiPriority w:val="99"/>
    <w:semiHidden/>
    <w:rsid w:val="00ED7A91"/>
    <w:rPr>
      <w:rFonts w:cs="Times New Roman"/>
    </w:rPr>
  </w:style>
  <w:style w:type="paragraph" w:customStyle="1" w:styleId="Source">
    <w:name w:val="Source"/>
    <w:basedOn w:val="Normal"/>
    <w:uiPriority w:val="99"/>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basedOn w:val="DefaultParagraphFont"/>
    <w:uiPriority w:val="99"/>
    <w:rsid w:val="00ED7A91"/>
    <w:rPr>
      <w:rFonts w:eastAsia="SimSun" w:cs="Times New Roman"/>
      <w:sz w:val="18"/>
      <w:szCs w:val="18"/>
      <w:lang w:val="en-AU" w:eastAsia="en-US" w:bidi="ar-SA"/>
    </w:rPr>
  </w:style>
  <w:style w:type="paragraph" w:customStyle="1" w:styleId="Spaceundertable">
    <w:name w:val="Space under table"/>
    <w:basedOn w:val="Normal"/>
    <w:uiPriority w:val="99"/>
    <w:rsid w:val="00ED7A91"/>
    <w:pPr>
      <w:numPr>
        <w:numId w:val="4"/>
      </w:numPr>
      <w:spacing w:line="240" w:lineRule="auto"/>
      <w:jc w:val="left"/>
    </w:pPr>
    <w:rPr>
      <w:sz w:val="8"/>
      <w:szCs w:val="8"/>
    </w:rPr>
  </w:style>
  <w:style w:type="paragraph" w:customStyle="1" w:styleId="Style1">
    <w:name w:val="Style1"/>
    <w:basedOn w:val="GMHeading2"/>
    <w:uiPriority w:val="99"/>
    <w:rsid w:val="00ED7A91"/>
  </w:style>
  <w:style w:type="paragraph" w:customStyle="1" w:styleId="Style2">
    <w:name w:val="Style2"/>
    <w:basedOn w:val="GMHeading3"/>
    <w:uiPriority w:val="99"/>
    <w:rsid w:val="00ED7A91"/>
  </w:style>
  <w:style w:type="table" w:styleId="TableGrid">
    <w:name w:val="Table Grid"/>
    <w:basedOn w:val="TableNormal"/>
    <w:uiPriority w:val="99"/>
    <w:rsid w:val="00ED7A91"/>
    <w:pPr>
      <w:tabs>
        <w:tab w:val="left" w:pos="2835"/>
      </w:tabs>
      <w:spacing w:before="40" w:after="40"/>
      <w:jc w:val="both"/>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styleId="TableofFigures">
    <w:name w:val="table of figures"/>
    <w:basedOn w:val="Normal"/>
    <w:next w:val="Normal"/>
    <w:uiPriority w:val="99"/>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ED7A91"/>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ED7A91"/>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ED7A91"/>
    <w:pPr>
      <w:numPr>
        <w:numId w:val="2"/>
      </w:numPr>
      <w:spacing w:before="40" w:after="40" w:line="240" w:lineRule="auto"/>
      <w:jc w:val="left"/>
    </w:pPr>
  </w:style>
  <w:style w:type="paragraph" w:customStyle="1" w:styleId="Tabletextbullettedv2">
    <w:name w:val="Table text bulletted v2"/>
    <w:basedOn w:val="Tabletextbulleted"/>
    <w:uiPriority w:val="99"/>
    <w:rsid w:val="00ED7A91"/>
    <w:pPr>
      <w:numPr>
        <w:numId w:val="0"/>
      </w:numPr>
      <w:spacing w:before="20" w:after="20"/>
    </w:pPr>
    <w:rPr>
      <w:lang w:val="en-US"/>
    </w:rPr>
  </w:style>
  <w:style w:type="paragraph" w:customStyle="1" w:styleId="Tabletextindentleft">
    <w:name w:val="Table text indent left"/>
    <w:basedOn w:val="TableText1left"/>
    <w:uiPriority w:val="99"/>
    <w:semiHidden/>
    <w:rsid w:val="00ED7A91"/>
    <w:pPr>
      <w:ind w:left="252"/>
    </w:pPr>
    <w:rPr>
      <w:lang w:val="en-AU"/>
    </w:rPr>
  </w:style>
  <w:style w:type="paragraph" w:customStyle="1" w:styleId="TabletextindentedlistA">
    <w:name w:val="Table text indented list A"/>
    <w:aliases w:val="B,C"/>
    <w:basedOn w:val="Tabletextbulleted"/>
    <w:uiPriority w:val="99"/>
    <w:rsid w:val="00ED7A91"/>
    <w:pPr>
      <w:numPr>
        <w:numId w:val="0"/>
      </w:numPr>
      <w:tabs>
        <w:tab w:val="left" w:pos="284"/>
        <w:tab w:val="left" w:pos="2835"/>
      </w:tabs>
    </w:pPr>
  </w:style>
  <w:style w:type="paragraph" w:customStyle="1" w:styleId="TabletextRelativeRisksRR">
    <w:name w:val="Table text Relative Risks (RR)"/>
    <w:basedOn w:val="Normal"/>
    <w:uiPriority w:val="99"/>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ED7A91"/>
    <w:pPr>
      <w:spacing w:after="170" w:line="280" w:lineRule="atLeast"/>
    </w:pPr>
    <w:rPr>
      <w:lang w:val="en-US"/>
    </w:rPr>
  </w:style>
  <w:style w:type="paragraph" w:styleId="Title">
    <w:name w:val="Title"/>
    <w:basedOn w:val="Normal"/>
    <w:link w:val="TitleChar"/>
    <w:uiPriority w:val="99"/>
    <w:qFormat/>
    <w:rsid w:val="00ED7A9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ED7A91"/>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A32E1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39"/>
    <w:rsid w:val="0025035F"/>
    <w:pPr>
      <w:tabs>
        <w:tab w:val="left" w:pos="1800"/>
        <w:tab w:val="right" w:leader="dot" w:pos="9240"/>
      </w:tabs>
      <w:spacing w:before="60" w:after="60" w:line="240" w:lineRule="auto"/>
      <w:ind w:left="1797" w:right="601" w:hanging="958"/>
      <w:jc w:val="left"/>
    </w:pPr>
    <w:rPr>
      <w:noProof/>
      <w:sz w:val="18"/>
      <w:lang w:val="fr-FR" w:eastAsia="en-US"/>
    </w:rPr>
  </w:style>
  <w:style w:type="paragraph" w:styleId="TOC4">
    <w:name w:val="toc 4"/>
    <w:basedOn w:val="Normal"/>
    <w:next w:val="Normal"/>
    <w:uiPriority w:val="99"/>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ED7A91"/>
    <w:pPr>
      <w:tabs>
        <w:tab w:val="right" w:leader="dot" w:pos="9469"/>
      </w:tabs>
      <w:ind w:left="960"/>
    </w:pPr>
  </w:style>
  <w:style w:type="paragraph" w:styleId="TOC6">
    <w:name w:val="toc 6"/>
    <w:basedOn w:val="Normal"/>
    <w:next w:val="Normal"/>
    <w:uiPriority w:val="99"/>
    <w:semiHidden/>
    <w:rsid w:val="00ED7A91"/>
    <w:pPr>
      <w:tabs>
        <w:tab w:val="right" w:leader="dot" w:pos="9469"/>
      </w:tabs>
      <w:ind w:left="1200"/>
    </w:pPr>
  </w:style>
  <w:style w:type="paragraph" w:styleId="TOCHeading0">
    <w:name w:val="TOC Heading"/>
    <w:basedOn w:val="Heading1"/>
    <w:next w:val="Normal"/>
    <w:uiPriority w:val="99"/>
    <w:qFormat/>
    <w:rsid w:val="00D61C4E"/>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34"/>
    <w:qFormat/>
    <w:rsid w:val="00B4562F"/>
    <w:pPr>
      <w:ind w:left="720"/>
      <w:contextualSpacing/>
    </w:pPr>
  </w:style>
  <w:style w:type="paragraph" w:styleId="NoSpacing">
    <w:name w:val="No Spacing"/>
    <w:link w:val="NoSpacingChar"/>
    <w:uiPriority w:val="1"/>
    <w:qFormat/>
    <w:rsid w:val="00A32E13"/>
    <w:rPr>
      <w:rFonts w:eastAsia="Times New Roman"/>
    </w:rPr>
  </w:style>
  <w:style w:type="character" w:customStyle="1" w:styleId="NoSpacingChar">
    <w:name w:val="No Spacing Char"/>
    <w:basedOn w:val="DefaultParagraphFont"/>
    <w:link w:val="NoSpacing"/>
    <w:uiPriority w:val="99"/>
    <w:locked/>
    <w:rsid w:val="00A32E13"/>
    <w:rPr>
      <w:rFonts w:eastAsia="Times New Roman" w:cs="Times New Roman"/>
      <w:sz w:val="22"/>
      <w:szCs w:val="22"/>
      <w:lang w:val="en-US" w:eastAsia="en-US" w:bidi="ar-SA"/>
    </w:rPr>
  </w:style>
  <w:style w:type="character" w:styleId="FollowedHyperlink">
    <w:name w:val="FollowedHyperlink"/>
    <w:basedOn w:val="DefaultParagraphFont"/>
    <w:uiPriority w:val="99"/>
    <w:semiHidden/>
    <w:rsid w:val="00A24873"/>
    <w:rPr>
      <w:rFonts w:cs="Times New Roman"/>
      <w:color w:val="800080"/>
      <w:u w:val="single"/>
    </w:rPr>
  </w:style>
  <w:style w:type="paragraph" w:customStyle="1" w:styleId="CharChar1CharCharCharChar">
    <w:name w:val="Char Char1 Char Char Char Char"/>
    <w:basedOn w:val="Normal"/>
    <w:uiPriority w:val="99"/>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uiPriority w:val="99"/>
    <w:rsid w:val="00C873D8"/>
    <w:pPr>
      <w:keepNext/>
      <w:spacing w:after="0" w:line="240" w:lineRule="auto"/>
      <w:jc w:val="left"/>
    </w:pPr>
    <w:rPr>
      <w:rFonts w:ascii="Trebuchet MS" w:eastAsia="Times New Roman" w:hAnsi="Trebuchet MS" w:cs="Times New Roman"/>
      <w:sz w:val="18"/>
      <w:lang w:eastAsia="en-US"/>
    </w:rPr>
  </w:style>
  <w:style w:type="paragraph" w:customStyle="1" w:styleId="Default">
    <w:name w:val="Default"/>
    <w:rsid w:val="0019733A"/>
    <w:pPr>
      <w:autoSpaceDE w:val="0"/>
      <w:autoSpaceDN w:val="0"/>
      <w:adjustRightInd w:val="0"/>
    </w:pPr>
    <w:rPr>
      <w:rFonts w:ascii="Times New Roman" w:eastAsiaTheme="minorHAnsi" w:hAnsi="Times New Roman"/>
      <w:color w:val="000000"/>
      <w:sz w:val="24"/>
      <w:szCs w:val="24"/>
      <w:lang w:val="en-AU"/>
    </w:rPr>
  </w:style>
  <w:style w:type="paragraph" w:styleId="NormalWeb">
    <w:name w:val="Normal (Web)"/>
    <w:basedOn w:val="Normal"/>
    <w:uiPriority w:val="99"/>
    <w:unhideWhenUsed/>
    <w:rsid w:val="00B666FF"/>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character" w:customStyle="1" w:styleId="st1">
    <w:name w:val="st1"/>
    <w:basedOn w:val="DefaultParagraphFont"/>
    <w:rsid w:val="00B10D71"/>
  </w:style>
  <w:style w:type="paragraph" w:styleId="Revision">
    <w:name w:val="Revision"/>
    <w:hidden/>
    <w:uiPriority w:val="99"/>
    <w:semiHidden/>
    <w:rsid w:val="000F6FCA"/>
    <w:rPr>
      <w:rFonts w:ascii="Tahoma" w:eastAsia="SimSun" w:hAnsi="Tahoma" w:cs="Tahoma"/>
      <w:sz w:val="20"/>
      <w:szCs w:val="20"/>
      <w:lang w:val="en-A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uiPriority="0"/>
    <w:lsdException w:name="header" w:locked="1" w:uiPriority="0"/>
    <w:lsdException w:name="footer" w:locked="1"/>
    <w:lsdException w:name="caption" w:locked="1" w:qFormat="1"/>
    <w:lsdException w:name="table of figures" w:locked="1" w:uiPriority="0"/>
    <w:lsdException w:name="footnote reference" w:locked="1" w:uiPriority="0"/>
    <w:lsdException w:name="annotation reference" w:locked="1" w:uiPriority="0"/>
    <w:lsdException w:name="page number"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locked="1" w:uiPriority="0"/>
    <w:lsdException w:name="No List" w:locked="1" w:uiPriority="0"/>
    <w:lsdException w:name="Balloon Text" w:locked="1"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1A8"/>
    <w:pPr>
      <w:spacing w:after="240" w:line="312" w:lineRule="auto"/>
      <w:jc w:val="both"/>
    </w:pPr>
    <w:rPr>
      <w:rFonts w:ascii="Tahoma" w:eastAsia="SimSun" w:hAnsi="Tahoma" w:cs="Tahoma"/>
      <w:sz w:val="20"/>
      <w:szCs w:val="20"/>
      <w:lang w:val="en-AU" w:eastAsia="zh-CN"/>
    </w:rPr>
  </w:style>
  <w:style w:type="paragraph" w:styleId="Heading1">
    <w:name w:val="heading 1"/>
    <w:basedOn w:val="Normal"/>
    <w:next w:val="Normal"/>
    <w:link w:val="Heading1Char"/>
    <w:uiPriority w:val="99"/>
    <w:qFormat/>
    <w:rsid w:val="000901A8"/>
    <w:pPr>
      <w:keepNext/>
      <w:spacing w:before="360" w:after="160"/>
      <w:outlineLvl w:val="0"/>
    </w:pPr>
    <w:rPr>
      <w:b/>
      <w:bCs/>
      <w:color w:val="215868"/>
      <w:sz w:val="24"/>
      <w:szCs w:val="32"/>
    </w:rPr>
  </w:style>
  <w:style w:type="paragraph" w:styleId="Heading2">
    <w:name w:val="heading 2"/>
    <w:basedOn w:val="Normal"/>
    <w:next w:val="Normal"/>
    <w:link w:val="Heading2Char"/>
    <w:uiPriority w:val="99"/>
    <w:qFormat/>
    <w:rsid w:val="00D5182D"/>
    <w:pPr>
      <w:keepNext/>
      <w:spacing w:before="240" w:after="160"/>
      <w:outlineLvl w:val="1"/>
    </w:pPr>
    <w:rPr>
      <w:b/>
      <w:color w:val="215868"/>
      <w:szCs w:val="28"/>
      <w:lang w:val="en-GB" w:eastAsia="ja-JP"/>
    </w:rPr>
  </w:style>
  <w:style w:type="paragraph" w:styleId="Heading3">
    <w:name w:val="heading 3"/>
    <w:basedOn w:val="Normal"/>
    <w:next w:val="Normal"/>
    <w:link w:val="Heading3Char"/>
    <w:uiPriority w:val="99"/>
    <w:qFormat/>
    <w:rsid w:val="003B232A"/>
    <w:pPr>
      <w:keepNext/>
      <w:spacing w:after="120"/>
      <w:outlineLvl w:val="2"/>
    </w:pPr>
    <w:rPr>
      <w:color w:val="41A7BF"/>
    </w:rPr>
  </w:style>
  <w:style w:type="paragraph" w:styleId="Heading4">
    <w:name w:val="heading 4"/>
    <w:basedOn w:val="Normal"/>
    <w:next w:val="Normal"/>
    <w:link w:val="Heading4Char"/>
    <w:uiPriority w:val="99"/>
    <w:qFormat/>
    <w:rsid w:val="00ED7A91"/>
    <w:pPr>
      <w:keepNext/>
      <w:numPr>
        <w:ilvl w:val="3"/>
        <w:numId w:val="1"/>
      </w:numPr>
      <w:outlineLvl w:val="3"/>
    </w:pPr>
    <w:rPr>
      <w:u w:val="single"/>
    </w:rPr>
  </w:style>
  <w:style w:type="paragraph" w:styleId="Heading5">
    <w:name w:val="heading 5"/>
    <w:basedOn w:val="Normal"/>
    <w:next w:val="Normal"/>
    <w:link w:val="Heading5Char"/>
    <w:uiPriority w:val="99"/>
    <w:qFormat/>
    <w:rsid w:val="00ED7A91"/>
    <w:pPr>
      <w:keepNext/>
      <w:numPr>
        <w:ilvl w:val="4"/>
        <w:numId w:val="1"/>
      </w:numPr>
      <w:tabs>
        <w:tab w:val="left" w:pos="709"/>
      </w:tabs>
      <w:outlineLvl w:val="4"/>
    </w:pPr>
    <w:rPr>
      <w:b/>
      <w:i/>
    </w:rPr>
  </w:style>
  <w:style w:type="paragraph" w:styleId="Heading6">
    <w:name w:val="heading 6"/>
    <w:basedOn w:val="Normal"/>
    <w:next w:val="Normal"/>
    <w:link w:val="Heading6Char"/>
    <w:uiPriority w:val="99"/>
    <w:qFormat/>
    <w:rsid w:val="00ED7A91"/>
    <w:pPr>
      <w:keepNext/>
      <w:numPr>
        <w:ilvl w:val="5"/>
        <w:numId w:val="1"/>
      </w:numPr>
      <w:jc w:val="center"/>
      <w:outlineLvl w:val="5"/>
    </w:pPr>
    <w:rPr>
      <w:b/>
      <w:sz w:val="28"/>
    </w:rPr>
  </w:style>
  <w:style w:type="paragraph" w:styleId="Heading7">
    <w:name w:val="heading 7"/>
    <w:basedOn w:val="Normal"/>
    <w:next w:val="Normal"/>
    <w:link w:val="Heading7Char"/>
    <w:uiPriority w:val="99"/>
    <w:qFormat/>
    <w:rsid w:val="00ED7A91"/>
    <w:pPr>
      <w:keepNext/>
      <w:outlineLvl w:val="6"/>
    </w:pPr>
    <w:rPr>
      <w:i/>
    </w:rPr>
  </w:style>
  <w:style w:type="paragraph" w:styleId="Heading8">
    <w:name w:val="heading 8"/>
    <w:basedOn w:val="Normal"/>
    <w:next w:val="Normal"/>
    <w:link w:val="Heading8Char"/>
    <w:uiPriority w:val="99"/>
    <w:qFormat/>
    <w:rsid w:val="00ED7A91"/>
    <w:pPr>
      <w:keepNext/>
      <w:numPr>
        <w:ilvl w:val="7"/>
        <w:numId w:val="1"/>
      </w:numPr>
      <w:spacing w:line="288" w:lineRule="auto"/>
      <w:jc w:val="center"/>
      <w:outlineLvl w:val="7"/>
    </w:pPr>
    <w:rPr>
      <w:sz w:val="48"/>
    </w:rPr>
  </w:style>
  <w:style w:type="paragraph" w:styleId="Heading9">
    <w:name w:val="heading 9"/>
    <w:basedOn w:val="Normal"/>
    <w:next w:val="Normal"/>
    <w:link w:val="Heading9Char"/>
    <w:uiPriority w:val="99"/>
    <w:qFormat/>
    <w:rsid w:val="00ED7A91"/>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01A8"/>
    <w:rPr>
      <w:rFonts w:ascii="Tahoma" w:eastAsia="SimSun" w:hAnsi="Tahoma" w:cs="Tahoma"/>
      <w:b/>
      <w:bCs/>
      <w:color w:val="215868"/>
      <w:sz w:val="32"/>
      <w:szCs w:val="32"/>
      <w:lang w:eastAsia="zh-CN"/>
    </w:rPr>
  </w:style>
  <w:style w:type="character" w:customStyle="1" w:styleId="Heading2Char">
    <w:name w:val="Heading 2 Char"/>
    <w:basedOn w:val="DefaultParagraphFont"/>
    <w:link w:val="Heading2"/>
    <w:uiPriority w:val="99"/>
    <w:locked/>
    <w:rsid w:val="00D5182D"/>
    <w:rPr>
      <w:rFonts w:ascii="Tahoma" w:eastAsia="SimSun" w:hAnsi="Tahoma" w:cs="Tahoma"/>
      <w:b/>
      <w:color w:val="215868"/>
      <w:sz w:val="28"/>
      <w:szCs w:val="28"/>
      <w:lang w:val="en-GB" w:eastAsia="ja-JP"/>
    </w:rPr>
  </w:style>
  <w:style w:type="character" w:customStyle="1" w:styleId="Heading3Char">
    <w:name w:val="Heading 3 Char"/>
    <w:basedOn w:val="DefaultParagraphFont"/>
    <w:link w:val="Heading3"/>
    <w:uiPriority w:val="99"/>
    <w:locked/>
    <w:rsid w:val="003B232A"/>
    <w:rPr>
      <w:rFonts w:ascii="Tahoma" w:eastAsia="SimSun" w:hAnsi="Tahoma" w:cs="Tahoma"/>
      <w:color w:val="41A7BF"/>
      <w:sz w:val="20"/>
      <w:szCs w:val="20"/>
      <w:lang w:eastAsia="zh-CN"/>
    </w:rPr>
  </w:style>
  <w:style w:type="character" w:customStyle="1" w:styleId="Heading4Char">
    <w:name w:val="Heading 4 Char"/>
    <w:basedOn w:val="DefaultParagraphFont"/>
    <w:link w:val="Heading4"/>
    <w:uiPriority w:val="99"/>
    <w:locked/>
    <w:rsid w:val="00ED7A91"/>
    <w:rPr>
      <w:rFonts w:ascii="Tahoma" w:eastAsia="SimSun" w:hAnsi="Tahoma" w:cs="Tahoma"/>
      <w:sz w:val="20"/>
      <w:szCs w:val="20"/>
      <w:u w:val="single"/>
      <w:lang w:val="en-AU" w:eastAsia="zh-CN"/>
    </w:rPr>
  </w:style>
  <w:style w:type="character" w:customStyle="1" w:styleId="Heading5Char">
    <w:name w:val="Heading 5 Char"/>
    <w:basedOn w:val="DefaultParagraphFont"/>
    <w:link w:val="Heading5"/>
    <w:uiPriority w:val="99"/>
    <w:locked/>
    <w:rsid w:val="00ED7A91"/>
    <w:rPr>
      <w:rFonts w:ascii="Tahoma" w:eastAsia="SimSun" w:hAnsi="Tahoma" w:cs="Tahoma"/>
      <w:b/>
      <w:i/>
      <w:sz w:val="20"/>
      <w:szCs w:val="20"/>
      <w:lang w:val="en-AU" w:eastAsia="zh-CN"/>
    </w:rPr>
  </w:style>
  <w:style w:type="character" w:customStyle="1" w:styleId="Heading6Char">
    <w:name w:val="Heading 6 Char"/>
    <w:basedOn w:val="DefaultParagraphFont"/>
    <w:link w:val="Heading6"/>
    <w:uiPriority w:val="99"/>
    <w:locked/>
    <w:rsid w:val="00ED7A91"/>
    <w:rPr>
      <w:rFonts w:ascii="Tahoma" w:eastAsia="SimSun" w:hAnsi="Tahoma" w:cs="Tahoma"/>
      <w:b/>
      <w:sz w:val="28"/>
      <w:szCs w:val="20"/>
      <w:lang w:val="en-AU" w:eastAsia="zh-CN"/>
    </w:rPr>
  </w:style>
  <w:style w:type="character" w:customStyle="1" w:styleId="Heading7Char">
    <w:name w:val="Heading 7 Char"/>
    <w:basedOn w:val="DefaultParagraphFont"/>
    <w:link w:val="Heading7"/>
    <w:uiPriority w:val="99"/>
    <w:locked/>
    <w:rsid w:val="00ED7A91"/>
    <w:rPr>
      <w:rFonts w:ascii="Times New Roman" w:eastAsia="SimSun" w:hAnsi="Times New Roman" w:cs="Times New Roman"/>
      <w:i/>
      <w:sz w:val="20"/>
      <w:szCs w:val="20"/>
      <w:lang w:eastAsia="zh-CN"/>
    </w:rPr>
  </w:style>
  <w:style w:type="character" w:customStyle="1" w:styleId="Heading8Char">
    <w:name w:val="Heading 8 Char"/>
    <w:basedOn w:val="DefaultParagraphFont"/>
    <w:link w:val="Heading8"/>
    <w:uiPriority w:val="99"/>
    <w:locked/>
    <w:rsid w:val="00ED7A91"/>
    <w:rPr>
      <w:rFonts w:ascii="Tahoma" w:eastAsia="SimSun" w:hAnsi="Tahoma" w:cs="Tahoma"/>
      <w:sz w:val="48"/>
      <w:szCs w:val="20"/>
      <w:lang w:val="en-AU" w:eastAsia="zh-CN"/>
    </w:rPr>
  </w:style>
  <w:style w:type="character" w:customStyle="1" w:styleId="Heading9Char">
    <w:name w:val="Heading 9 Char"/>
    <w:basedOn w:val="DefaultParagraphFont"/>
    <w:link w:val="Heading9"/>
    <w:uiPriority w:val="99"/>
    <w:locked/>
    <w:rsid w:val="00ED7A91"/>
    <w:rPr>
      <w:rFonts w:ascii="Tahoma" w:eastAsia="SimSun" w:hAnsi="Tahoma" w:cs="Tahoma"/>
      <w:i/>
      <w:sz w:val="20"/>
      <w:szCs w:val="20"/>
      <w:lang w:val="en-AU" w:eastAsia="zh-CN"/>
    </w:rPr>
  </w:style>
  <w:style w:type="paragraph" w:customStyle="1" w:styleId="Attachmentheading">
    <w:name w:val="Attachment heading"/>
    <w:basedOn w:val="Normal"/>
    <w:next w:val="Normal"/>
    <w:uiPriority w:val="99"/>
    <w:rsid w:val="00ED7A91"/>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ED7A91"/>
    <w:pPr>
      <w:spacing w:line="240" w:lineRule="auto"/>
    </w:pPr>
    <w:rPr>
      <w:sz w:val="16"/>
      <w:szCs w:val="16"/>
    </w:rPr>
  </w:style>
  <w:style w:type="character" w:customStyle="1" w:styleId="BalloonTextChar">
    <w:name w:val="Balloon Text Char"/>
    <w:basedOn w:val="DefaultParagraphFont"/>
    <w:link w:val="BalloonText"/>
    <w:uiPriority w:val="99"/>
    <w:locked/>
    <w:rsid w:val="00ED7A91"/>
    <w:rPr>
      <w:rFonts w:ascii="Tahoma" w:eastAsia="SimSun" w:hAnsi="Tahoma" w:cs="Tahoma"/>
      <w:sz w:val="16"/>
      <w:szCs w:val="16"/>
      <w:lang w:eastAsia="zh-CN"/>
    </w:rPr>
  </w:style>
  <w:style w:type="paragraph" w:customStyle="1" w:styleId="Bulletedtext">
    <w:name w:val="Bulleted text"/>
    <w:basedOn w:val="Normal"/>
    <w:uiPriority w:val="99"/>
    <w:rsid w:val="00ED7A91"/>
    <w:pPr>
      <w:tabs>
        <w:tab w:val="left" w:pos="2835"/>
      </w:tabs>
    </w:pPr>
  </w:style>
  <w:style w:type="paragraph" w:customStyle="1" w:styleId="Bulletedtext2ndlevel">
    <w:name w:val="Bulleted text 2nd level"/>
    <w:basedOn w:val="Normal"/>
    <w:uiPriority w:val="99"/>
    <w:rsid w:val="00ED7A91"/>
    <w:pPr>
      <w:tabs>
        <w:tab w:val="num" w:pos="720"/>
      </w:tabs>
      <w:ind w:left="720" w:hanging="360"/>
      <w:jc w:val="left"/>
    </w:pPr>
  </w:style>
  <w:style w:type="paragraph" w:customStyle="1" w:styleId="Captioncontinued">
    <w:name w:val="Caption (continued)"/>
    <w:basedOn w:val="Normal"/>
    <w:next w:val="Normal"/>
    <w:uiPriority w:val="99"/>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uiPriority w:val="99"/>
    <w:rsid w:val="00ED7A91"/>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uiPriority w:val="99"/>
    <w:semiHidden/>
    <w:rsid w:val="00ED7A91"/>
    <w:rPr>
      <w:rFonts w:cs="Times New Roman"/>
      <w:sz w:val="16"/>
      <w:szCs w:val="16"/>
    </w:rPr>
  </w:style>
  <w:style w:type="paragraph" w:styleId="CommentText">
    <w:name w:val="annotation text"/>
    <w:basedOn w:val="Normal"/>
    <w:link w:val="CommentTextChar"/>
    <w:uiPriority w:val="99"/>
    <w:semiHidden/>
    <w:rsid w:val="00ED7A91"/>
  </w:style>
  <w:style w:type="character" w:customStyle="1" w:styleId="CommentTextChar">
    <w:name w:val="Comment Text Char"/>
    <w:basedOn w:val="DefaultParagraphFont"/>
    <w:link w:val="CommentText"/>
    <w:uiPriority w:val="99"/>
    <w:semiHidden/>
    <w:locked/>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D7A91"/>
    <w:rPr>
      <w:b/>
      <w:bCs/>
    </w:rPr>
  </w:style>
  <w:style w:type="character" w:customStyle="1" w:styleId="CommentSubjectChar">
    <w:name w:val="Comment Subject Char"/>
    <w:basedOn w:val="CommentTextChar"/>
    <w:link w:val="CommentSubject"/>
    <w:uiPriority w:val="99"/>
    <w:semiHidden/>
    <w:locked/>
    <w:rsid w:val="00ED7A91"/>
    <w:rPr>
      <w:rFonts w:ascii="Times New Roman" w:eastAsia="SimSun" w:hAnsi="Times New Roman" w:cs="Times New Roman"/>
      <w:b/>
      <w:bCs/>
      <w:sz w:val="20"/>
      <w:szCs w:val="20"/>
      <w:lang w:eastAsia="zh-CN"/>
    </w:rPr>
  </w:style>
  <w:style w:type="paragraph" w:customStyle="1" w:styleId="Execsummary">
    <w:name w:val="Exec summary"/>
    <w:basedOn w:val="Normal"/>
    <w:uiPriority w:val="99"/>
    <w:semiHidden/>
    <w:rsid w:val="00ED7A91"/>
    <w:pPr>
      <w:spacing w:line="288" w:lineRule="auto"/>
    </w:pPr>
    <w:rPr>
      <w:sz w:val="22"/>
    </w:rPr>
  </w:style>
  <w:style w:type="paragraph" w:styleId="Footer">
    <w:name w:val="footer"/>
    <w:basedOn w:val="Normal"/>
    <w:link w:val="FooterChar"/>
    <w:uiPriority w:val="99"/>
    <w:rsid w:val="00ED7A91"/>
    <w:pPr>
      <w:tabs>
        <w:tab w:val="center" w:pos="4320"/>
        <w:tab w:val="right" w:pos="8640"/>
      </w:tabs>
    </w:pPr>
  </w:style>
  <w:style w:type="character" w:customStyle="1" w:styleId="FooterChar">
    <w:name w:val="Footer Char"/>
    <w:basedOn w:val="DefaultParagraphFont"/>
    <w:link w:val="Footer"/>
    <w:uiPriority w:val="99"/>
    <w:locked/>
    <w:rsid w:val="00ED7A91"/>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rsid w:val="00ED7A91"/>
    <w:rPr>
      <w:rFonts w:cs="Times New Roman"/>
      <w:vertAlign w:val="superscript"/>
    </w:rPr>
  </w:style>
  <w:style w:type="paragraph" w:styleId="FootnoteText">
    <w:name w:val="footnote text"/>
    <w:basedOn w:val="Normal"/>
    <w:link w:val="FootnoteTextChar"/>
    <w:uiPriority w:val="99"/>
    <w:semiHidden/>
    <w:rsid w:val="00ED7A91"/>
    <w:pPr>
      <w:spacing w:line="240" w:lineRule="auto"/>
      <w:jc w:val="left"/>
    </w:pPr>
    <w:rPr>
      <w:rFonts w:ascii="Calibri" w:eastAsia="Calibri" w:hAnsi="Calibri"/>
      <w:lang w:eastAsia="en-US"/>
    </w:rPr>
  </w:style>
  <w:style w:type="character" w:customStyle="1" w:styleId="FootnoteTextChar">
    <w:name w:val="Footnote Text Char"/>
    <w:basedOn w:val="DefaultParagraphFont"/>
    <w:link w:val="FootnoteText"/>
    <w:uiPriority w:val="99"/>
    <w:semiHidden/>
    <w:locked/>
    <w:rsid w:val="00ED7A91"/>
    <w:rPr>
      <w:rFonts w:cs="Times New Roman"/>
      <w:sz w:val="20"/>
      <w:szCs w:val="20"/>
    </w:rPr>
  </w:style>
  <w:style w:type="paragraph" w:customStyle="1" w:styleId="GMHEADING1">
    <w:name w:val="GMHEADING1"/>
    <w:basedOn w:val="Normal"/>
    <w:next w:val="Normal"/>
    <w:uiPriority w:val="99"/>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ED7A91"/>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ED7A91"/>
    <w:pPr>
      <w:tabs>
        <w:tab w:val="right" w:pos="9240"/>
      </w:tabs>
      <w:spacing w:line="240" w:lineRule="auto"/>
      <w:ind w:right="28"/>
      <w:jc w:val="left"/>
    </w:pPr>
    <w:rPr>
      <w:sz w:val="18"/>
      <w:u w:val="single"/>
    </w:rPr>
  </w:style>
  <w:style w:type="character" w:customStyle="1" w:styleId="HeaderChar">
    <w:name w:val="Header Char"/>
    <w:basedOn w:val="DefaultParagraphFont"/>
    <w:link w:val="Header"/>
    <w:uiPriority w:val="99"/>
    <w:locked/>
    <w:rsid w:val="00ED7A91"/>
    <w:rPr>
      <w:rFonts w:ascii="Times New Roman" w:eastAsia="SimSun" w:hAnsi="Times New Roman" w:cs="Times New Roman"/>
      <w:sz w:val="20"/>
      <w:szCs w:val="20"/>
      <w:u w:val="single"/>
      <w:lang w:eastAsia="zh-CN"/>
    </w:rPr>
  </w:style>
  <w:style w:type="character" w:styleId="Hyperlink">
    <w:name w:val="Hyperlink"/>
    <w:basedOn w:val="DefaultParagraphFont"/>
    <w:uiPriority w:val="99"/>
    <w:rsid w:val="00ED7A91"/>
    <w:rPr>
      <w:rFonts w:cs="Times New Roman"/>
      <w:color w:val="0000FF"/>
      <w:u w:val="single"/>
    </w:rPr>
  </w:style>
  <w:style w:type="paragraph" w:customStyle="1" w:styleId="Numberedtext">
    <w:name w:val="Numbered text"/>
    <w:basedOn w:val="Normal"/>
    <w:uiPriority w:val="99"/>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ED7A91"/>
    <w:pPr>
      <w:tabs>
        <w:tab w:val="left" w:pos="0"/>
      </w:tabs>
      <w:spacing w:before="40" w:after="40" w:line="288" w:lineRule="auto"/>
      <w:jc w:val="left"/>
    </w:pPr>
    <w:rPr>
      <w:sz w:val="22"/>
      <w:szCs w:val="22"/>
    </w:rPr>
  </w:style>
  <w:style w:type="character" w:styleId="PageNumber">
    <w:name w:val="page number"/>
    <w:basedOn w:val="DefaultParagraphFont"/>
    <w:uiPriority w:val="99"/>
    <w:semiHidden/>
    <w:rsid w:val="00ED7A91"/>
    <w:rPr>
      <w:rFonts w:cs="Times New Roman"/>
    </w:rPr>
  </w:style>
  <w:style w:type="paragraph" w:customStyle="1" w:styleId="Source">
    <w:name w:val="Source"/>
    <w:basedOn w:val="Normal"/>
    <w:uiPriority w:val="99"/>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basedOn w:val="DefaultParagraphFont"/>
    <w:uiPriority w:val="99"/>
    <w:rsid w:val="00ED7A91"/>
    <w:rPr>
      <w:rFonts w:eastAsia="SimSun" w:cs="Times New Roman"/>
      <w:sz w:val="18"/>
      <w:szCs w:val="18"/>
      <w:lang w:val="en-AU" w:eastAsia="en-US" w:bidi="ar-SA"/>
    </w:rPr>
  </w:style>
  <w:style w:type="paragraph" w:customStyle="1" w:styleId="Spaceundertable">
    <w:name w:val="Space under table"/>
    <w:basedOn w:val="Normal"/>
    <w:uiPriority w:val="99"/>
    <w:rsid w:val="00ED7A91"/>
    <w:pPr>
      <w:numPr>
        <w:numId w:val="4"/>
      </w:numPr>
      <w:spacing w:line="240" w:lineRule="auto"/>
      <w:jc w:val="left"/>
    </w:pPr>
    <w:rPr>
      <w:sz w:val="8"/>
      <w:szCs w:val="8"/>
    </w:rPr>
  </w:style>
  <w:style w:type="paragraph" w:customStyle="1" w:styleId="Style1">
    <w:name w:val="Style1"/>
    <w:basedOn w:val="GMHeading2"/>
    <w:uiPriority w:val="99"/>
    <w:rsid w:val="00ED7A91"/>
  </w:style>
  <w:style w:type="paragraph" w:customStyle="1" w:styleId="Style2">
    <w:name w:val="Style2"/>
    <w:basedOn w:val="GMHeading3"/>
    <w:uiPriority w:val="99"/>
    <w:rsid w:val="00ED7A91"/>
  </w:style>
  <w:style w:type="table" w:styleId="TableGrid">
    <w:name w:val="Table Grid"/>
    <w:basedOn w:val="TableNormal"/>
    <w:uiPriority w:val="99"/>
    <w:rsid w:val="00ED7A91"/>
    <w:pPr>
      <w:tabs>
        <w:tab w:val="left" w:pos="2835"/>
      </w:tabs>
      <w:spacing w:before="40" w:after="40"/>
      <w:jc w:val="both"/>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styleId="TableofFigures">
    <w:name w:val="table of figures"/>
    <w:basedOn w:val="Normal"/>
    <w:next w:val="Normal"/>
    <w:uiPriority w:val="99"/>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ED7A91"/>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ED7A91"/>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ED7A91"/>
    <w:pPr>
      <w:numPr>
        <w:numId w:val="2"/>
      </w:numPr>
      <w:spacing w:before="40" w:after="40" w:line="240" w:lineRule="auto"/>
      <w:jc w:val="left"/>
    </w:pPr>
  </w:style>
  <w:style w:type="paragraph" w:customStyle="1" w:styleId="Tabletextbullettedv2">
    <w:name w:val="Table text bulletted v2"/>
    <w:basedOn w:val="Tabletextbulleted"/>
    <w:uiPriority w:val="99"/>
    <w:rsid w:val="00ED7A91"/>
    <w:pPr>
      <w:numPr>
        <w:numId w:val="0"/>
      </w:numPr>
      <w:spacing w:before="20" w:after="20"/>
    </w:pPr>
    <w:rPr>
      <w:lang w:val="en-US"/>
    </w:rPr>
  </w:style>
  <w:style w:type="paragraph" w:customStyle="1" w:styleId="Tabletextindentleft">
    <w:name w:val="Table text indent left"/>
    <w:basedOn w:val="TableText1left"/>
    <w:uiPriority w:val="99"/>
    <w:semiHidden/>
    <w:rsid w:val="00ED7A91"/>
    <w:pPr>
      <w:ind w:left="252"/>
    </w:pPr>
    <w:rPr>
      <w:lang w:val="en-AU"/>
    </w:rPr>
  </w:style>
  <w:style w:type="paragraph" w:customStyle="1" w:styleId="TabletextindentedlistA">
    <w:name w:val="Table text indented list A"/>
    <w:aliases w:val="B,C"/>
    <w:basedOn w:val="Tabletextbulleted"/>
    <w:uiPriority w:val="99"/>
    <w:rsid w:val="00ED7A91"/>
    <w:pPr>
      <w:numPr>
        <w:numId w:val="0"/>
      </w:numPr>
      <w:tabs>
        <w:tab w:val="left" w:pos="284"/>
        <w:tab w:val="left" w:pos="2835"/>
      </w:tabs>
    </w:pPr>
  </w:style>
  <w:style w:type="paragraph" w:customStyle="1" w:styleId="TabletextRelativeRisksRR">
    <w:name w:val="Table text Relative Risks (RR)"/>
    <w:basedOn w:val="Normal"/>
    <w:uiPriority w:val="99"/>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ED7A91"/>
    <w:pPr>
      <w:spacing w:after="170" w:line="280" w:lineRule="atLeast"/>
    </w:pPr>
    <w:rPr>
      <w:lang w:val="en-US"/>
    </w:rPr>
  </w:style>
  <w:style w:type="paragraph" w:styleId="Title">
    <w:name w:val="Title"/>
    <w:basedOn w:val="Normal"/>
    <w:link w:val="TitleChar"/>
    <w:uiPriority w:val="99"/>
    <w:qFormat/>
    <w:rsid w:val="00ED7A9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ED7A91"/>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A32E1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39"/>
    <w:rsid w:val="0025035F"/>
    <w:pPr>
      <w:tabs>
        <w:tab w:val="left" w:pos="1800"/>
        <w:tab w:val="right" w:leader="dot" w:pos="9240"/>
      </w:tabs>
      <w:spacing w:before="60" w:after="60" w:line="240" w:lineRule="auto"/>
      <w:ind w:left="1797" w:right="601" w:hanging="958"/>
      <w:jc w:val="left"/>
    </w:pPr>
    <w:rPr>
      <w:noProof/>
      <w:sz w:val="18"/>
      <w:lang w:val="fr-FR" w:eastAsia="en-US"/>
    </w:rPr>
  </w:style>
  <w:style w:type="paragraph" w:styleId="TOC4">
    <w:name w:val="toc 4"/>
    <w:basedOn w:val="Normal"/>
    <w:next w:val="Normal"/>
    <w:uiPriority w:val="99"/>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ED7A91"/>
    <w:pPr>
      <w:tabs>
        <w:tab w:val="right" w:leader="dot" w:pos="9469"/>
      </w:tabs>
      <w:ind w:left="960"/>
    </w:pPr>
  </w:style>
  <w:style w:type="paragraph" w:styleId="TOC6">
    <w:name w:val="toc 6"/>
    <w:basedOn w:val="Normal"/>
    <w:next w:val="Normal"/>
    <w:uiPriority w:val="99"/>
    <w:semiHidden/>
    <w:rsid w:val="00ED7A91"/>
    <w:pPr>
      <w:tabs>
        <w:tab w:val="right" w:leader="dot" w:pos="9469"/>
      </w:tabs>
      <w:ind w:left="1200"/>
    </w:pPr>
  </w:style>
  <w:style w:type="paragraph" w:styleId="TOCHeading0">
    <w:name w:val="TOC Heading"/>
    <w:basedOn w:val="Heading1"/>
    <w:next w:val="Normal"/>
    <w:uiPriority w:val="99"/>
    <w:qFormat/>
    <w:rsid w:val="00D61C4E"/>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34"/>
    <w:qFormat/>
    <w:rsid w:val="00B4562F"/>
    <w:pPr>
      <w:ind w:left="720"/>
      <w:contextualSpacing/>
    </w:pPr>
  </w:style>
  <w:style w:type="paragraph" w:styleId="NoSpacing">
    <w:name w:val="No Spacing"/>
    <w:link w:val="NoSpacingChar"/>
    <w:uiPriority w:val="1"/>
    <w:qFormat/>
    <w:rsid w:val="00A32E13"/>
    <w:rPr>
      <w:rFonts w:eastAsia="Times New Roman"/>
    </w:rPr>
  </w:style>
  <w:style w:type="character" w:customStyle="1" w:styleId="NoSpacingChar">
    <w:name w:val="No Spacing Char"/>
    <w:basedOn w:val="DefaultParagraphFont"/>
    <w:link w:val="NoSpacing"/>
    <w:uiPriority w:val="99"/>
    <w:locked/>
    <w:rsid w:val="00A32E13"/>
    <w:rPr>
      <w:rFonts w:eastAsia="Times New Roman" w:cs="Times New Roman"/>
      <w:sz w:val="22"/>
      <w:szCs w:val="22"/>
      <w:lang w:val="en-US" w:eastAsia="en-US" w:bidi="ar-SA"/>
    </w:rPr>
  </w:style>
  <w:style w:type="character" w:styleId="FollowedHyperlink">
    <w:name w:val="FollowedHyperlink"/>
    <w:basedOn w:val="DefaultParagraphFont"/>
    <w:uiPriority w:val="99"/>
    <w:semiHidden/>
    <w:rsid w:val="00A24873"/>
    <w:rPr>
      <w:rFonts w:cs="Times New Roman"/>
      <w:color w:val="800080"/>
      <w:u w:val="single"/>
    </w:rPr>
  </w:style>
  <w:style w:type="paragraph" w:customStyle="1" w:styleId="CharChar1CharCharCharChar">
    <w:name w:val="Char Char1 Char Char Char Char"/>
    <w:basedOn w:val="Normal"/>
    <w:uiPriority w:val="99"/>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uiPriority w:val="99"/>
    <w:rsid w:val="00C873D8"/>
    <w:pPr>
      <w:keepNext/>
      <w:spacing w:after="0" w:line="240" w:lineRule="auto"/>
      <w:jc w:val="left"/>
    </w:pPr>
    <w:rPr>
      <w:rFonts w:ascii="Trebuchet MS" w:eastAsia="Times New Roman" w:hAnsi="Trebuchet MS" w:cs="Times New Roman"/>
      <w:sz w:val="18"/>
      <w:lang w:eastAsia="en-US"/>
    </w:rPr>
  </w:style>
  <w:style w:type="paragraph" w:customStyle="1" w:styleId="Default">
    <w:name w:val="Default"/>
    <w:rsid w:val="0019733A"/>
    <w:pPr>
      <w:autoSpaceDE w:val="0"/>
      <w:autoSpaceDN w:val="0"/>
      <w:adjustRightInd w:val="0"/>
    </w:pPr>
    <w:rPr>
      <w:rFonts w:ascii="Times New Roman" w:eastAsiaTheme="minorHAnsi" w:hAnsi="Times New Roman"/>
      <w:color w:val="000000"/>
      <w:sz w:val="24"/>
      <w:szCs w:val="24"/>
      <w:lang w:val="en-AU"/>
    </w:rPr>
  </w:style>
  <w:style w:type="paragraph" w:styleId="NormalWeb">
    <w:name w:val="Normal (Web)"/>
    <w:basedOn w:val="Normal"/>
    <w:uiPriority w:val="99"/>
    <w:unhideWhenUsed/>
    <w:rsid w:val="00B666FF"/>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character" w:customStyle="1" w:styleId="st1">
    <w:name w:val="st1"/>
    <w:basedOn w:val="DefaultParagraphFont"/>
    <w:rsid w:val="00B10D71"/>
  </w:style>
  <w:style w:type="paragraph" w:styleId="Revision">
    <w:name w:val="Revision"/>
    <w:hidden/>
    <w:uiPriority w:val="99"/>
    <w:semiHidden/>
    <w:rsid w:val="000F6FCA"/>
    <w:rPr>
      <w:rFonts w:ascii="Tahoma" w:eastAsia="SimSun" w:hAnsi="Tahoma" w:cs="Tahoma"/>
      <w:sz w:val="20"/>
      <w:szCs w:val="20"/>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4603">
      <w:marLeft w:val="0"/>
      <w:marRight w:val="0"/>
      <w:marTop w:val="0"/>
      <w:marBottom w:val="0"/>
      <w:divBdr>
        <w:top w:val="none" w:sz="0" w:space="0" w:color="auto"/>
        <w:left w:val="none" w:sz="0" w:space="0" w:color="auto"/>
        <w:bottom w:val="none" w:sz="0" w:space="0" w:color="auto"/>
        <w:right w:val="none" w:sz="0" w:space="0" w:color="auto"/>
      </w:divBdr>
      <w:divsChild>
        <w:div w:id="534774623">
          <w:marLeft w:val="240"/>
          <w:marRight w:val="240"/>
          <w:marTop w:val="360"/>
          <w:marBottom w:val="0"/>
          <w:divBdr>
            <w:top w:val="none" w:sz="0" w:space="0" w:color="auto"/>
            <w:left w:val="none" w:sz="0" w:space="0" w:color="auto"/>
            <w:bottom w:val="none" w:sz="0" w:space="0" w:color="auto"/>
            <w:right w:val="none" w:sz="0" w:space="0" w:color="auto"/>
          </w:divBdr>
          <w:divsChild>
            <w:div w:id="534774610">
              <w:marLeft w:val="480"/>
              <w:marRight w:val="480"/>
              <w:marTop w:val="240"/>
              <w:marBottom w:val="0"/>
              <w:divBdr>
                <w:top w:val="none" w:sz="0" w:space="0" w:color="auto"/>
                <w:left w:val="none" w:sz="0" w:space="0" w:color="auto"/>
                <w:bottom w:val="none" w:sz="0" w:space="0" w:color="auto"/>
                <w:right w:val="none" w:sz="0" w:space="0" w:color="auto"/>
              </w:divBdr>
              <w:divsChild>
                <w:div w:id="534774612">
                  <w:marLeft w:val="720"/>
                  <w:marRight w:val="720"/>
                  <w:marTop w:val="0"/>
                  <w:marBottom w:val="0"/>
                  <w:divBdr>
                    <w:top w:val="none" w:sz="0" w:space="0" w:color="auto"/>
                    <w:left w:val="none" w:sz="0" w:space="0" w:color="auto"/>
                    <w:bottom w:val="none" w:sz="0" w:space="0" w:color="auto"/>
                    <w:right w:val="none" w:sz="0" w:space="0" w:color="auto"/>
                  </w:divBdr>
                  <w:divsChild>
                    <w:div w:id="5347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774605">
      <w:marLeft w:val="0"/>
      <w:marRight w:val="0"/>
      <w:marTop w:val="0"/>
      <w:marBottom w:val="0"/>
      <w:divBdr>
        <w:top w:val="none" w:sz="0" w:space="0" w:color="auto"/>
        <w:left w:val="none" w:sz="0" w:space="0" w:color="auto"/>
        <w:bottom w:val="none" w:sz="0" w:space="0" w:color="auto"/>
        <w:right w:val="none" w:sz="0" w:space="0" w:color="auto"/>
      </w:divBdr>
      <w:divsChild>
        <w:div w:id="534774618">
          <w:marLeft w:val="0"/>
          <w:marRight w:val="0"/>
          <w:marTop w:val="0"/>
          <w:marBottom w:val="0"/>
          <w:divBdr>
            <w:top w:val="none" w:sz="0" w:space="0" w:color="auto"/>
            <w:left w:val="none" w:sz="0" w:space="0" w:color="auto"/>
            <w:bottom w:val="none" w:sz="0" w:space="0" w:color="auto"/>
            <w:right w:val="none" w:sz="0" w:space="0" w:color="auto"/>
          </w:divBdr>
          <w:divsChild>
            <w:div w:id="5347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4609">
      <w:marLeft w:val="0"/>
      <w:marRight w:val="0"/>
      <w:marTop w:val="0"/>
      <w:marBottom w:val="0"/>
      <w:divBdr>
        <w:top w:val="none" w:sz="0" w:space="0" w:color="auto"/>
        <w:left w:val="none" w:sz="0" w:space="0" w:color="auto"/>
        <w:bottom w:val="none" w:sz="0" w:space="0" w:color="auto"/>
        <w:right w:val="none" w:sz="0" w:space="0" w:color="auto"/>
      </w:divBdr>
      <w:divsChild>
        <w:div w:id="534774607">
          <w:marLeft w:val="240"/>
          <w:marRight w:val="240"/>
          <w:marTop w:val="360"/>
          <w:marBottom w:val="0"/>
          <w:divBdr>
            <w:top w:val="none" w:sz="0" w:space="0" w:color="auto"/>
            <w:left w:val="none" w:sz="0" w:space="0" w:color="auto"/>
            <w:bottom w:val="none" w:sz="0" w:space="0" w:color="auto"/>
            <w:right w:val="none" w:sz="0" w:space="0" w:color="auto"/>
          </w:divBdr>
          <w:divsChild>
            <w:div w:id="534774604">
              <w:marLeft w:val="480"/>
              <w:marRight w:val="480"/>
              <w:marTop w:val="240"/>
              <w:marBottom w:val="0"/>
              <w:divBdr>
                <w:top w:val="none" w:sz="0" w:space="0" w:color="auto"/>
                <w:left w:val="none" w:sz="0" w:space="0" w:color="auto"/>
                <w:bottom w:val="none" w:sz="0" w:space="0" w:color="auto"/>
                <w:right w:val="none" w:sz="0" w:space="0" w:color="auto"/>
              </w:divBdr>
              <w:divsChild>
                <w:div w:id="534774617">
                  <w:marLeft w:val="720"/>
                  <w:marRight w:val="720"/>
                  <w:marTop w:val="0"/>
                  <w:marBottom w:val="0"/>
                  <w:divBdr>
                    <w:top w:val="none" w:sz="0" w:space="0" w:color="auto"/>
                    <w:left w:val="none" w:sz="0" w:space="0" w:color="auto"/>
                    <w:bottom w:val="none" w:sz="0" w:space="0" w:color="auto"/>
                    <w:right w:val="none" w:sz="0" w:space="0" w:color="auto"/>
                  </w:divBdr>
                  <w:divsChild>
                    <w:div w:id="53477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774614">
      <w:marLeft w:val="0"/>
      <w:marRight w:val="0"/>
      <w:marTop w:val="0"/>
      <w:marBottom w:val="0"/>
      <w:divBdr>
        <w:top w:val="none" w:sz="0" w:space="0" w:color="auto"/>
        <w:left w:val="none" w:sz="0" w:space="0" w:color="auto"/>
        <w:bottom w:val="none" w:sz="0" w:space="0" w:color="auto"/>
        <w:right w:val="none" w:sz="0" w:space="0" w:color="auto"/>
      </w:divBdr>
      <w:divsChild>
        <w:div w:id="534774602">
          <w:marLeft w:val="0"/>
          <w:marRight w:val="0"/>
          <w:marTop w:val="0"/>
          <w:marBottom w:val="0"/>
          <w:divBdr>
            <w:top w:val="none" w:sz="0" w:space="0" w:color="auto"/>
            <w:left w:val="none" w:sz="0" w:space="0" w:color="auto"/>
            <w:bottom w:val="none" w:sz="0" w:space="0" w:color="auto"/>
            <w:right w:val="none" w:sz="0" w:space="0" w:color="auto"/>
          </w:divBdr>
          <w:divsChild>
            <w:div w:id="5347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4616">
      <w:marLeft w:val="0"/>
      <w:marRight w:val="0"/>
      <w:marTop w:val="0"/>
      <w:marBottom w:val="0"/>
      <w:divBdr>
        <w:top w:val="none" w:sz="0" w:space="0" w:color="auto"/>
        <w:left w:val="none" w:sz="0" w:space="0" w:color="auto"/>
        <w:bottom w:val="none" w:sz="0" w:space="0" w:color="auto"/>
        <w:right w:val="none" w:sz="0" w:space="0" w:color="auto"/>
      </w:divBdr>
      <w:divsChild>
        <w:div w:id="534774606">
          <w:marLeft w:val="0"/>
          <w:marRight w:val="0"/>
          <w:marTop w:val="0"/>
          <w:marBottom w:val="150"/>
          <w:divBdr>
            <w:top w:val="single" w:sz="6" w:space="15" w:color="FFFFFF"/>
            <w:left w:val="none" w:sz="0" w:space="0" w:color="auto"/>
            <w:bottom w:val="none" w:sz="0" w:space="0" w:color="auto"/>
            <w:right w:val="none" w:sz="0" w:space="0" w:color="auto"/>
          </w:divBdr>
          <w:divsChild>
            <w:div w:id="53477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4622">
      <w:marLeft w:val="0"/>
      <w:marRight w:val="0"/>
      <w:marTop w:val="0"/>
      <w:marBottom w:val="0"/>
      <w:divBdr>
        <w:top w:val="none" w:sz="0" w:space="0" w:color="auto"/>
        <w:left w:val="none" w:sz="0" w:space="0" w:color="auto"/>
        <w:bottom w:val="none" w:sz="0" w:space="0" w:color="auto"/>
        <w:right w:val="none" w:sz="0" w:space="0" w:color="auto"/>
      </w:divBdr>
      <w:divsChild>
        <w:div w:id="534774608">
          <w:marLeft w:val="0"/>
          <w:marRight w:val="0"/>
          <w:marTop w:val="0"/>
          <w:marBottom w:val="150"/>
          <w:divBdr>
            <w:top w:val="single" w:sz="6" w:space="15" w:color="FFFFFF"/>
            <w:left w:val="none" w:sz="0" w:space="0" w:color="auto"/>
            <w:bottom w:val="none" w:sz="0" w:space="0" w:color="auto"/>
            <w:right w:val="none" w:sz="0" w:space="0" w:color="auto"/>
          </w:divBdr>
          <w:divsChild>
            <w:div w:id="53477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00219">
      <w:bodyDiv w:val="1"/>
      <w:marLeft w:val="0"/>
      <w:marRight w:val="0"/>
      <w:marTop w:val="0"/>
      <w:marBottom w:val="0"/>
      <w:divBdr>
        <w:top w:val="none" w:sz="0" w:space="0" w:color="auto"/>
        <w:left w:val="none" w:sz="0" w:space="0" w:color="auto"/>
        <w:bottom w:val="none" w:sz="0" w:space="0" w:color="auto"/>
        <w:right w:val="none" w:sz="0" w:space="0" w:color="auto"/>
      </w:divBdr>
    </w:div>
    <w:div w:id="1201698426">
      <w:bodyDiv w:val="1"/>
      <w:marLeft w:val="0"/>
      <w:marRight w:val="0"/>
      <w:marTop w:val="0"/>
      <w:marBottom w:val="0"/>
      <w:divBdr>
        <w:top w:val="none" w:sz="0" w:space="0" w:color="auto"/>
        <w:left w:val="none" w:sz="0" w:space="0" w:color="auto"/>
        <w:bottom w:val="none" w:sz="0" w:space="0" w:color="auto"/>
        <w:right w:val="none" w:sz="0" w:space="0" w:color="auto"/>
      </w:divBdr>
      <w:divsChild>
        <w:div w:id="747651675">
          <w:marLeft w:val="0"/>
          <w:marRight w:val="0"/>
          <w:marTop w:val="0"/>
          <w:marBottom w:val="0"/>
          <w:divBdr>
            <w:top w:val="none" w:sz="0" w:space="0" w:color="auto"/>
            <w:left w:val="none" w:sz="0" w:space="0" w:color="auto"/>
            <w:bottom w:val="none" w:sz="0" w:space="0" w:color="auto"/>
            <w:right w:val="none" w:sz="0" w:space="0" w:color="auto"/>
          </w:divBdr>
          <w:divsChild>
            <w:div w:id="1721828567">
              <w:marLeft w:val="0"/>
              <w:marRight w:val="0"/>
              <w:marTop w:val="0"/>
              <w:marBottom w:val="0"/>
              <w:divBdr>
                <w:top w:val="none" w:sz="0" w:space="0" w:color="auto"/>
                <w:left w:val="none" w:sz="0" w:space="0" w:color="auto"/>
                <w:bottom w:val="none" w:sz="0" w:space="0" w:color="auto"/>
                <w:right w:val="none" w:sz="0" w:space="0" w:color="auto"/>
              </w:divBdr>
              <w:divsChild>
                <w:div w:id="5207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967781">
      <w:bodyDiv w:val="1"/>
      <w:marLeft w:val="0"/>
      <w:marRight w:val="0"/>
      <w:marTop w:val="0"/>
      <w:marBottom w:val="0"/>
      <w:divBdr>
        <w:top w:val="none" w:sz="0" w:space="0" w:color="auto"/>
        <w:left w:val="none" w:sz="0" w:space="0" w:color="auto"/>
        <w:bottom w:val="none" w:sz="0" w:space="0" w:color="auto"/>
        <w:right w:val="none" w:sz="0" w:space="0" w:color="auto"/>
      </w:divBdr>
      <w:divsChild>
        <w:div w:id="1415319238">
          <w:marLeft w:val="0"/>
          <w:marRight w:val="0"/>
          <w:marTop w:val="240"/>
          <w:marBottom w:val="480"/>
          <w:divBdr>
            <w:top w:val="none" w:sz="0" w:space="0" w:color="auto"/>
            <w:left w:val="none" w:sz="0" w:space="0" w:color="auto"/>
            <w:bottom w:val="none" w:sz="0" w:space="0" w:color="auto"/>
            <w:right w:val="none" w:sz="0" w:space="0" w:color="auto"/>
          </w:divBdr>
          <w:divsChild>
            <w:div w:id="464349984">
              <w:marLeft w:val="0"/>
              <w:marRight w:val="0"/>
              <w:marTop w:val="0"/>
              <w:marBottom w:val="0"/>
              <w:divBdr>
                <w:top w:val="none" w:sz="0" w:space="0" w:color="auto"/>
                <w:left w:val="none" w:sz="0" w:space="0" w:color="auto"/>
                <w:bottom w:val="none" w:sz="0" w:space="0" w:color="auto"/>
                <w:right w:val="none" w:sz="0" w:space="0" w:color="auto"/>
              </w:divBdr>
              <w:divsChild>
                <w:div w:id="1051684889">
                  <w:marLeft w:val="0"/>
                  <w:marRight w:val="0"/>
                  <w:marTop w:val="0"/>
                  <w:marBottom w:val="0"/>
                  <w:divBdr>
                    <w:top w:val="none" w:sz="0" w:space="0" w:color="auto"/>
                    <w:left w:val="none" w:sz="0" w:space="0" w:color="auto"/>
                    <w:bottom w:val="none" w:sz="0" w:space="0" w:color="auto"/>
                    <w:right w:val="none" w:sz="0" w:space="0" w:color="auto"/>
                  </w:divBdr>
                  <w:divsChild>
                    <w:div w:id="825509664">
                      <w:marLeft w:val="0"/>
                      <w:marRight w:val="0"/>
                      <w:marTop w:val="0"/>
                      <w:marBottom w:val="0"/>
                      <w:divBdr>
                        <w:top w:val="none" w:sz="0" w:space="0" w:color="auto"/>
                        <w:left w:val="none" w:sz="0" w:space="0" w:color="auto"/>
                        <w:bottom w:val="none" w:sz="0" w:space="0" w:color="auto"/>
                        <w:right w:val="none" w:sz="0" w:space="0" w:color="auto"/>
                      </w:divBdr>
                      <w:divsChild>
                        <w:div w:id="778060689">
                          <w:marLeft w:val="0"/>
                          <w:marRight w:val="0"/>
                          <w:marTop w:val="0"/>
                          <w:marBottom w:val="0"/>
                          <w:divBdr>
                            <w:top w:val="none" w:sz="0" w:space="0" w:color="auto"/>
                            <w:left w:val="none" w:sz="0" w:space="0" w:color="auto"/>
                            <w:bottom w:val="none" w:sz="0" w:space="0" w:color="auto"/>
                            <w:right w:val="none" w:sz="0" w:space="0" w:color="auto"/>
                          </w:divBdr>
                          <w:divsChild>
                            <w:div w:id="1516532308">
                              <w:marLeft w:val="0"/>
                              <w:marRight w:val="0"/>
                              <w:marTop w:val="0"/>
                              <w:marBottom w:val="0"/>
                              <w:divBdr>
                                <w:top w:val="none" w:sz="0" w:space="0" w:color="auto"/>
                                <w:left w:val="none" w:sz="0" w:space="0" w:color="auto"/>
                                <w:bottom w:val="none" w:sz="0" w:space="0" w:color="auto"/>
                                <w:right w:val="none" w:sz="0" w:space="0" w:color="auto"/>
                              </w:divBdr>
                              <w:divsChild>
                                <w:div w:id="932935113">
                                  <w:marLeft w:val="0"/>
                                  <w:marRight w:val="0"/>
                                  <w:marTop w:val="150"/>
                                  <w:marBottom w:val="150"/>
                                  <w:divBdr>
                                    <w:top w:val="none" w:sz="0" w:space="0" w:color="auto"/>
                                    <w:left w:val="none" w:sz="0" w:space="0" w:color="auto"/>
                                    <w:bottom w:val="none" w:sz="0" w:space="0" w:color="auto"/>
                                    <w:right w:val="none" w:sz="0" w:space="0" w:color="auto"/>
                                  </w:divBdr>
                                  <w:divsChild>
                                    <w:div w:id="481191988">
                                      <w:marLeft w:val="0"/>
                                      <w:marRight w:val="0"/>
                                      <w:marTop w:val="0"/>
                                      <w:marBottom w:val="0"/>
                                      <w:divBdr>
                                        <w:top w:val="none" w:sz="0" w:space="0" w:color="auto"/>
                                        <w:left w:val="none" w:sz="0" w:space="0" w:color="auto"/>
                                        <w:bottom w:val="none" w:sz="0" w:space="0" w:color="auto"/>
                                        <w:right w:val="none" w:sz="0" w:space="0" w:color="auto"/>
                                      </w:divBdr>
                                      <w:divsChild>
                                        <w:div w:id="1901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2839087">
      <w:bodyDiv w:val="1"/>
      <w:marLeft w:val="0"/>
      <w:marRight w:val="0"/>
      <w:marTop w:val="0"/>
      <w:marBottom w:val="0"/>
      <w:divBdr>
        <w:top w:val="none" w:sz="0" w:space="0" w:color="auto"/>
        <w:left w:val="none" w:sz="0" w:space="0" w:color="auto"/>
        <w:bottom w:val="none" w:sz="0" w:space="0" w:color="auto"/>
        <w:right w:val="none" w:sz="0" w:space="0" w:color="auto"/>
      </w:divBdr>
    </w:div>
    <w:div w:id="1938561497">
      <w:bodyDiv w:val="1"/>
      <w:marLeft w:val="0"/>
      <w:marRight w:val="0"/>
      <w:marTop w:val="0"/>
      <w:marBottom w:val="0"/>
      <w:divBdr>
        <w:top w:val="none" w:sz="0" w:space="0" w:color="auto"/>
        <w:left w:val="none" w:sz="0" w:space="0" w:color="auto"/>
        <w:bottom w:val="none" w:sz="0" w:space="0" w:color="auto"/>
        <w:right w:val="none" w:sz="0" w:space="0" w:color="auto"/>
      </w:divBdr>
      <w:divsChild>
        <w:div w:id="306321673">
          <w:marLeft w:val="0"/>
          <w:marRight w:val="0"/>
          <w:marTop w:val="0"/>
          <w:marBottom w:val="0"/>
          <w:divBdr>
            <w:top w:val="none" w:sz="0" w:space="0" w:color="auto"/>
            <w:left w:val="none" w:sz="0" w:space="0" w:color="auto"/>
            <w:bottom w:val="none" w:sz="0" w:space="0" w:color="auto"/>
            <w:right w:val="none" w:sz="0" w:space="0" w:color="auto"/>
          </w:divBdr>
          <w:divsChild>
            <w:div w:id="1597784633">
              <w:marLeft w:val="0"/>
              <w:marRight w:val="0"/>
              <w:marTop w:val="0"/>
              <w:marBottom w:val="4500"/>
              <w:divBdr>
                <w:top w:val="none" w:sz="0" w:space="0" w:color="auto"/>
                <w:left w:val="none" w:sz="0" w:space="0" w:color="auto"/>
                <w:bottom w:val="none" w:sz="0" w:space="0" w:color="auto"/>
                <w:right w:val="none" w:sz="0" w:space="0" w:color="auto"/>
              </w:divBdr>
              <w:divsChild>
                <w:div w:id="1801149866">
                  <w:marLeft w:val="0"/>
                  <w:marRight w:val="0"/>
                  <w:marTop w:val="0"/>
                  <w:marBottom w:val="0"/>
                  <w:divBdr>
                    <w:top w:val="none" w:sz="0" w:space="0" w:color="auto"/>
                    <w:left w:val="none" w:sz="0" w:space="0" w:color="auto"/>
                    <w:bottom w:val="none" w:sz="0" w:space="0" w:color="auto"/>
                    <w:right w:val="none" w:sz="0" w:space="0" w:color="auto"/>
                  </w:divBdr>
                  <w:divsChild>
                    <w:div w:id="266499890">
                      <w:marLeft w:val="0"/>
                      <w:marRight w:val="0"/>
                      <w:marTop w:val="0"/>
                      <w:marBottom w:val="0"/>
                      <w:divBdr>
                        <w:top w:val="none" w:sz="0" w:space="0" w:color="auto"/>
                        <w:left w:val="none" w:sz="0" w:space="0" w:color="auto"/>
                        <w:bottom w:val="none" w:sz="0" w:space="0" w:color="auto"/>
                        <w:right w:val="none" w:sz="0" w:space="0" w:color="auto"/>
                      </w:divBdr>
                      <w:divsChild>
                        <w:div w:id="270823362">
                          <w:marLeft w:val="0"/>
                          <w:marRight w:val="0"/>
                          <w:marTop w:val="0"/>
                          <w:marBottom w:val="0"/>
                          <w:divBdr>
                            <w:top w:val="none" w:sz="0" w:space="0" w:color="auto"/>
                            <w:left w:val="none" w:sz="0" w:space="0" w:color="auto"/>
                            <w:bottom w:val="none" w:sz="0" w:space="0" w:color="auto"/>
                            <w:right w:val="none" w:sz="0" w:space="0" w:color="auto"/>
                          </w:divBdr>
                          <w:divsChild>
                            <w:div w:id="88633840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emf"/><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FF10F-CBD5-4E12-BCEC-B440D7696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5152</Words>
  <Characters>29367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Draft protocol to guide the assessment of  [name of intervention]</vt:lpstr>
    </vt:vector>
  </TitlesOfParts>
  <Company>University of Sydney</Company>
  <LinksUpToDate>false</LinksUpToDate>
  <CharactersWithSpaces>34451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protocol to guide the assessment of  [name of intervention]</dc:title>
  <dc:creator>Liliana Bulfone</dc:creator>
  <cp:lastModifiedBy>Hart Amanda</cp:lastModifiedBy>
  <cp:revision>7</cp:revision>
  <cp:lastPrinted>2015-09-18T06:10:00Z</cp:lastPrinted>
  <dcterms:created xsi:type="dcterms:W3CDTF">2016-03-15T03:25:00Z</dcterms:created>
  <dcterms:modified xsi:type="dcterms:W3CDTF">2016-03-17T23:22:00Z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