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8519C" w14:textId="77777777" w:rsidR="000C5257" w:rsidRPr="00861324" w:rsidRDefault="000C5257" w:rsidP="00861324">
      <w:pPr>
        <w:spacing w:before="180"/>
        <w:jc w:val="center"/>
        <w:rPr>
          <w:sz w:val="144"/>
        </w:rPr>
      </w:pPr>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11"/>
      </w:tblGrid>
      <w:tr w:rsidR="000C5257" w:rsidRPr="008F4EBB" w14:paraId="0C5938CE" w14:textId="77777777" w:rsidTr="00861324">
        <w:tc>
          <w:tcPr>
            <w:tcW w:w="5000" w:type="pct"/>
          </w:tcPr>
          <w:p w14:paraId="46DFD3F1" w14:textId="77777777" w:rsidR="000C5257" w:rsidRPr="008F4EBB" w:rsidRDefault="000C5257" w:rsidP="006D76B2">
            <w:pPr>
              <w:spacing w:after="0" w:line="240" w:lineRule="auto"/>
              <w:rPr>
                <w:rFonts w:ascii="Tahoma" w:eastAsia="Times New Roman" w:hAnsi="Tahoma" w:cs="Tahoma"/>
                <w:sz w:val="44"/>
                <w:szCs w:val="56"/>
              </w:rPr>
            </w:pPr>
            <w:bookmarkStart w:id="0" w:name="_Toc279153756"/>
            <w:r>
              <w:rPr>
                <w:rFonts w:ascii="Tahoma" w:eastAsia="Times New Roman" w:hAnsi="Tahoma" w:cs="Tahoma"/>
                <w:sz w:val="44"/>
                <w:szCs w:val="56"/>
              </w:rPr>
              <w:t>Application 1400</w:t>
            </w:r>
          </w:p>
          <w:p w14:paraId="13D2B193" w14:textId="77777777" w:rsidR="000C5257" w:rsidRPr="008F4EBB" w:rsidRDefault="000C5257" w:rsidP="006D76B2">
            <w:pPr>
              <w:spacing w:after="0" w:line="240" w:lineRule="auto"/>
              <w:rPr>
                <w:rFonts w:ascii="Tahoma" w:eastAsia="Times New Roman" w:hAnsi="Tahoma" w:cs="Tahoma"/>
                <w:sz w:val="44"/>
                <w:szCs w:val="56"/>
              </w:rPr>
            </w:pPr>
          </w:p>
          <w:p w14:paraId="14F312E5" w14:textId="77777777" w:rsidR="000C5257" w:rsidRPr="008F4EBB" w:rsidRDefault="00436F4C" w:rsidP="006D76B2">
            <w:pPr>
              <w:spacing w:after="0" w:line="240" w:lineRule="auto"/>
              <w:rPr>
                <w:rFonts w:ascii="Tahoma" w:eastAsia="Times New Roman" w:hAnsi="Tahoma" w:cs="Tahoma"/>
                <w:sz w:val="44"/>
                <w:szCs w:val="56"/>
              </w:rPr>
            </w:pPr>
            <w:r>
              <w:rPr>
                <w:rFonts w:ascii="Tahoma" w:eastAsia="Times New Roman" w:hAnsi="Tahoma" w:cs="Tahoma"/>
                <w:sz w:val="44"/>
                <w:szCs w:val="56"/>
              </w:rPr>
              <w:t>Final</w:t>
            </w:r>
            <w:r w:rsidR="00327E24">
              <w:rPr>
                <w:rFonts w:ascii="Tahoma" w:eastAsia="Times New Roman" w:hAnsi="Tahoma" w:cs="Tahoma"/>
                <w:sz w:val="44"/>
                <w:szCs w:val="56"/>
              </w:rPr>
              <w:t xml:space="preserve"> </w:t>
            </w:r>
            <w:r w:rsidR="000C5257" w:rsidRPr="008F4EBB">
              <w:rPr>
                <w:rFonts w:ascii="Tahoma" w:eastAsia="Times New Roman" w:hAnsi="Tahoma" w:cs="Tahoma"/>
                <w:sz w:val="44"/>
                <w:szCs w:val="56"/>
              </w:rPr>
              <w:t xml:space="preserve">Protocol to guide the assessment </w:t>
            </w:r>
            <w:r w:rsidR="000C5257">
              <w:rPr>
                <w:rFonts w:ascii="Tahoma" w:eastAsia="Times New Roman" w:hAnsi="Tahoma" w:cs="Tahoma"/>
                <w:sz w:val="44"/>
                <w:szCs w:val="56"/>
              </w:rPr>
              <w:t>of Clinical Neuropsychology Assessment</w:t>
            </w:r>
            <w:r w:rsidR="002F7721">
              <w:rPr>
                <w:rFonts w:ascii="Tahoma" w:eastAsia="Times New Roman" w:hAnsi="Tahoma" w:cs="Tahoma"/>
                <w:sz w:val="44"/>
                <w:szCs w:val="56"/>
              </w:rPr>
              <w:t xml:space="preserve"> (CNA)</w:t>
            </w:r>
            <w:r w:rsidR="000C5257">
              <w:rPr>
                <w:rFonts w:ascii="Tahoma" w:eastAsia="Times New Roman" w:hAnsi="Tahoma" w:cs="Tahoma"/>
                <w:sz w:val="44"/>
                <w:szCs w:val="56"/>
              </w:rPr>
              <w:t xml:space="preserve"> Services</w:t>
            </w:r>
          </w:p>
          <w:p w14:paraId="4C28A166" w14:textId="77777777" w:rsidR="000C5257" w:rsidRPr="008F4EBB" w:rsidRDefault="000C5257" w:rsidP="006D76B2">
            <w:pPr>
              <w:spacing w:after="0" w:line="240" w:lineRule="auto"/>
              <w:rPr>
                <w:rFonts w:ascii="Tahoma" w:eastAsia="Times New Roman" w:hAnsi="Tahoma" w:cs="Tahoma"/>
                <w:sz w:val="200"/>
                <w:szCs w:val="200"/>
                <w:lang w:val="en-US"/>
              </w:rPr>
            </w:pPr>
          </w:p>
          <w:p w14:paraId="4DC4A776" w14:textId="77777777" w:rsidR="000C5257" w:rsidRPr="008F4EBB" w:rsidRDefault="000C5257" w:rsidP="006D76B2">
            <w:pPr>
              <w:spacing w:after="0" w:line="240" w:lineRule="auto"/>
              <w:jc w:val="center"/>
              <w:rPr>
                <w:rFonts w:ascii="Tahoma" w:eastAsia="Times New Roman" w:hAnsi="Tahoma" w:cs="Tahoma"/>
                <w:sz w:val="48"/>
                <w:szCs w:val="56"/>
                <w:lang w:val="en-US"/>
              </w:rPr>
            </w:pPr>
          </w:p>
        </w:tc>
      </w:tr>
      <w:tr w:rsidR="000C5257" w:rsidRPr="008F4EBB" w14:paraId="4AC9E78D" w14:textId="77777777" w:rsidTr="00861324">
        <w:tc>
          <w:tcPr>
            <w:tcW w:w="5000" w:type="pct"/>
          </w:tcPr>
          <w:p w14:paraId="55E4EFA1" w14:textId="07A6984D" w:rsidR="000C5257" w:rsidRPr="008F4EBB" w:rsidRDefault="00861324" w:rsidP="006D76B2">
            <w:pPr>
              <w:spacing w:after="0" w:line="240" w:lineRule="auto"/>
              <w:rPr>
                <w:rFonts w:ascii="Tahoma" w:eastAsia="Times New Roman" w:hAnsi="Tahoma" w:cs="Tahoma"/>
                <w:sz w:val="32"/>
                <w:szCs w:val="40"/>
                <w:lang w:val="en-US"/>
              </w:rPr>
            </w:pPr>
            <w:r>
              <w:rPr>
                <w:rFonts w:ascii="Tahoma" w:eastAsia="Times New Roman" w:hAnsi="Tahoma" w:cs="Tahoma"/>
                <w:sz w:val="32"/>
                <w:szCs w:val="40"/>
              </w:rPr>
              <w:t>April</w:t>
            </w:r>
            <w:r w:rsidR="00436F4C">
              <w:rPr>
                <w:rFonts w:ascii="Tahoma" w:eastAsia="Times New Roman" w:hAnsi="Tahoma" w:cs="Tahoma"/>
                <w:sz w:val="32"/>
                <w:szCs w:val="40"/>
              </w:rPr>
              <w:t xml:space="preserve"> 2016</w:t>
            </w:r>
          </w:p>
        </w:tc>
      </w:tr>
    </w:tbl>
    <w:p w14:paraId="3EC4F3EC" w14:textId="77777777" w:rsidR="000C5257" w:rsidRPr="008F4EBB" w:rsidRDefault="000C5257" w:rsidP="000C5257">
      <w:pPr>
        <w:spacing w:after="240" w:line="312" w:lineRule="auto"/>
        <w:jc w:val="both"/>
        <w:rPr>
          <w:rFonts w:ascii="Tahoma" w:eastAsia="SimSun" w:hAnsi="Tahoma" w:cs="Tahoma"/>
          <w:lang w:eastAsia="zh-CN"/>
        </w:rPr>
      </w:pPr>
    </w:p>
    <w:p w14:paraId="24CE8D90" w14:textId="77777777" w:rsidR="000C5257" w:rsidRPr="008F4EBB" w:rsidRDefault="000C5257" w:rsidP="000C5257">
      <w:pPr>
        <w:spacing w:after="240" w:line="312" w:lineRule="auto"/>
        <w:jc w:val="both"/>
        <w:rPr>
          <w:rFonts w:ascii="Cambria" w:eastAsia="Times New Roman" w:hAnsi="Cambria" w:cs="Times New Roman"/>
          <w:b/>
          <w:i/>
          <w:color w:val="365F91"/>
          <w:lang w:val="en-US"/>
        </w:rPr>
      </w:pPr>
      <w:r w:rsidRPr="008F4EBB">
        <w:rPr>
          <w:rFonts w:ascii="Tahoma" w:eastAsia="SimSun" w:hAnsi="Tahoma" w:cs="Tahoma"/>
          <w:lang w:eastAsia="zh-CN"/>
        </w:rPr>
        <w:br w:type="page"/>
      </w:r>
    </w:p>
    <w:bookmarkEnd w:id="0"/>
    <w:p w14:paraId="23198536" w14:textId="77777777" w:rsidR="00BC4EFE" w:rsidRPr="00F26322" w:rsidRDefault="00BC4EFE" w:rsidP="00C407E2">
      <w:pPr>
        <w:pStyle w:val="Heading1"/>
        <w:numPr>
          <w:ilvl w:val="0"/>
          <w:numId w:val="27"/>
        </w:numPr>
        <w:rPr>
          <w:b w:val="0"/>
        </w:rPr>
      </w:pPr>
      <w:r w:rsidRPr="00EF3DFE">
        <w:lastRenderedPageBreak/>
        <w:t>Title of Application</w:t>
      </w:r>
    </w:p>
    <w:p w14:paraId="25182F6D" w14:textId="77777777" w:rsidR="00D90D8F" w:rsidRPr="00BC4EFE" w:rsidRDefault="006342B7" w:rsidP="00D90D8F">
      <w:r>
        <w:t>Clinical Neuropsychology A</w:t>
      </w:r>
      <w:r w:rsidR="002F7721">
        <w:t xml:space="preserve">ssessment (CNA) </w:t>
      </w:r>
      <w:r>
        <w:t>S</w:t>
      </w:r>
      <w:r w:rsidR="00CF0EDF">
        <w:t xml:space="preserve">ervices </w:t>
      </w:r>
    </w:p>
    <w:p w14:paraId="2BE03507" w14:textId="77777777" w:rsidR="00BC4EFE" w:rsidRPr="00EF3DFE" w:rsidRDefault="00BC4EFE" w:rsidP="00C407E2">
      <w:pPr>
        <w:pStyle w:val="Heading1"/>
        <w:numPr>
          <w:ilvl w:val="0"/>
          <w:numId w:val="27"/>
        </w:numPr>
      </w:pPr>
      <w:r w:rsidRPr="00EF3DFE">
        <w:t>Purpose of application</w:t>
      </w:r>
    </w:p>
    <w:p w14:paraId="535F0B82" w14:textId="77777777" w:rsidR="00BE45E2" w:rsidRDefault="00BE45E2" w:rsidP="005330BF">
      <w:pPr>
        <w:jc w:val="both"/>
      </w:pPr>
      <w:r>
        <w:t>An application was received from the College of Clinical Neuropsychologists (CCN) of the Australian Psychological Society (APS), requesting Medicare Benefits Schedule (MBS) listing of Clinical Neuropsychology Assessment (CNA) services.</w:t>
      </w:r>
    </w:p>
    <w:p w14:paraId="00495C63" w14:textId="1BC7DEDB" w:rsidR="008F6DCF" w:rsidRDefault="008F6DCF" w:rsidP="008F6DCF">
      <w:pPr>
        <w:jc w:val="both"/>
      </w:pPr>
      <w:r>
        <w:t>Clinical Neuropsychology is an applied science that examines the impact of both normal and abnormal brain functioning on a broad range of cognitive, emoti</w:t>
      </w:r>
      <w:r w:rsidR="00881730">
        <w:t>onal, and behavioural functions</w:t>
      </w:r>
      <w:r>
        <w:t xml:space="preserve"> </w:t>
      </w:r>
      <w:r>
        <w:fldChar w:fldCharType="begin"/>
      </w:r>
      <w:r w:rsidR="0092551E">
        <w:instrText xml:space="preserve"> ADDIN EN.CITE &lt;EndNote&gt;&lt;Cite&gt;&lt;Author&gt;American Academy of Clinical&lt;/Author&gt;&lt;Year&gt;2007&lt;/Year&gt;&lt;RecNum&gt;4&lt;/RecNum&gt;&lt;IDText&gt;209-31&lt;/IDText&gt;&lt;DisplayText&gt;(American Academy of Clinical Neuropsychology 2007)&lt;/DisplayText&gt;&lt;record&gt;&lt;rec-number&gt;4&lt;/rec-number&gt;&lt;foreign-keys&gt;&lt;key app="EN" db-id="ar5dxszwoae9faedw9b5xwdcd2wzaftfwfer" timestamp="1431645937"&gt;4&lt;/key&gt;&lt;/foreign-keys&gt;&lt;ref-type name="Journal Article"&gt;17&lt;/ref-type&gt;&lt;contributors&gt;&lt;authors&gt;&lt;author&gt;American Academy of Clinical Neuropsychology,.&lt;/author&gt;&lt;/authors&gt;&lt;/contributors&gt;&lt;titles&gt;&lt;title&gt;American Academy of Clinical Neuropsychology (AACN) practice guidelines for neuropsychological assessment and consultation&lt;/title&gt;&lt;secondary-title&gt;Clin Neuropsychol&lt;/secondary-title&gt;&lt;alt-title&gt;The Clinical neuropsychologist&lt;/alt-title&gt;&lt;/titles&gt;&lt;periodical&gt;&lt;full-title&gt;Clin Neuropsychol&lt;/full-title&gt;&lt;abbr-1&gt;The Clinical neuropsychologist&lt;/abbr-1&gt;&lt;/periodical&gt;&lt;alt-periodical&gt;&lt;full-title&gt;Clin Neuropsychol&lt;/full-title&gt;&lt;abbr-1&gt;The Clinical neuropsychologist&lt;/abbr-1&gt;&lt;/alt-periodical&gt;&lt;pages&gt;209-31&lt;/pages&gt;&lt;volume&gt;21&lt;/volume&gt;&lt;number&gt;2&lt;/number&gt;&lt;edition&gt;2007/04/25&lt;/edition&gt;&lt;keywords&gt;&lt;keyword&gt;Humans&lt;/keyword&gt;&lt;keyword&gt;Neuropsychological Tests/*standards&lt;/keyword&gt;&lt;keyword&gt;Neuropsychology/*standards&lt;/keyword&gt;&lt;keyword&gt;Psychology, Clinical/*standards&lt;/keyword&gt;&lt;keyword&gt;*Referral and Consultation&lt;/keyword&gt;&lt;/keywords&gt;&lt;dates&gt;&lt;year&gt;2007&lt;/year&gt;&lt;pub-dates&gt;&lt;date&gt;Mar&lt;/date&gt;&lt;/pub-dates&gt;&lt;/dates&gt;&lt;isbn&gt;1385-4046 (Print)&amp;#xD;1385-4046 (Linking)&lt;/isbn&gt;&lt;accession-num&gt;17455014&lt;/accession-num&gt;&lt;work-type&gt;Practice Guideline&lt;/work-type&gt;&lt;urls&gt;&lt;related-urls&gt;&lt;url&gt;http://www.ncbi.nlm.nih.gov/pubmed/17455014&lt;/url&gt;&lt;url&gt;http://www.tandfonline.com/doi/pdf/10.1080/13825580601025932&lt;/url&gt;&lt;/related-urls&gt;&lt;/urls&gt;&lt;electronic-resource-num&gt;10.1080/13825580601025932&lt;/electronic-resource-num&gt;&lt;/record&gt;&lt;/Cite&gt;&lt;/EndNote&gt;</w:instrText>
      </w:r>
      <w:r>
        <w:fldChar w:fldCharType="separate"/>
      </w:r>
      <w:r w:rsidR="0092551E">
        <w:rPr>
          <w:noProof/>
        </w:rPr>
        <w:t>(</w:t>
      </w:r>
      <w:hyperlink w:anchor="_ENREF_4" w:tooltip="American Academy of Clinical Neuropsychology, 2007 #4" w:history="1">
        <w:r w:rsidR="00A8082F">
          <w:rPr>
            <w:noProof/>
          </w:rPr>
          <w:t>American Academy of Clinical Neuropsychology 2007</w:t>
        </w:r>
      </w:hyperlink>
      <w:r w:rsidR="0092551E">
        <w:rPr>
          <w:noProof/>
        </w:rPr>
        <w:t>)</w:t>
      </w:r>
      <w:r>
        <w:fldChar w:fldCharType="end"/>
      </w:r>
      <w:r w:rsidR="00881730">
        <w:t>.</w:t>
      </w:r>
      <w:r w:rsidR="00031315">
        <w:t xml:space="preserve"> It is the intersection of neurology, psychology and psychiatry </w:t>
      </w:r>
      <w:r w:rsidR="00881730">
        <w:fldChar w:fldCharType="begin"/>
      </w:r>
      <w:r w:rsidR="00881730">
        <w:instrText xml:space="preserve"> ADDIN EN.CITE &lt;EndNote&gt;&lt;Cite&gt;&lt;Author&gt;Kulas&lt;/Author&gt;&lt;Year&gt;2003&lt;/Year&gt;&lt;RecNum&gt;1&lt;/RecNum&gt;&lt;IDText&gt;785-6, 788, 791-2&lt;/IDText&gt;&lt;DisplayText&gt;(Kulas &amp;amp; Naugle 2003)&lt;/DisplayText&gt;&lt;record&gt;&lt;rec-number&gt;1&lt;/rec-number&gt;&lt;foreign-keys&gt;&lt;key app="EN" db-id="ar5dxszwoae9faedw9b5xwdcd2wzaftfwfer" timestamp="1431387104"&gt;1&lt;/key&gt;&lt;/foreign-keys&gt;&lt;ref-type name="Journal Article"&gt;17&lt;/ref-type&gt;&lt;contributors&gt;&lt;authors&gt;&lt;author&gt;Kulas, J. F.&lt;/author&gt;&lt;author&gt;Naugle, R. I.&lt;/author&gt;&lt;/authors&gt;&lt;/contributors&gt;&lt;auth-address&gt;Department of Psychiatry and Psychology, The Cleveland Clinic Foundation, OH 44195, USA. jfkulas@ccmckids.org&lt;/auth-address&gt;&lt;titles&gt;&lt;title&gt;Indications for neuropsychological assessment&lt;/title&gt;&lt;secondary-title&gt;Cleve Clin J Med&lt;/secondary-title&gt;&lt;alt-title&gt;Cleveland Clinic journal of medicine&lt;/alt-title&gt;&lt;/titles&gt;&lt;periodical&gt;&lt;full-title&gt;Cleve Clin J Med&lt;/full-title&gt;&lt;abbr-1&gt;Cleveland Clinic journal of medicine&lt;/abbr-1&gt;&lt;/periodical&gt;&lt;alt-periodical&gt;&lt;full-title&gt;Cleve Clin J Med&lt;/full-title&gt;&lt;abbr-1&gt;Cleveland Clinic journal of medicine&lt;/abbr-1&gt;&lt;/alt-periodical&gt;&lt;pages&gt;785-6, 788, 791-2&lt;/pages&gt;&lt;volume&gt;70&lt;/volume&gt;&lt;number&gt;9&lt;/number&gt;&lt;edition&gt;2003/10/02&lt;/edition&gt;&lt;keywords&gt;&lt;keyword&gt;Cognition Disorders/*diagnosis/physiopathology&lt;/keyword&gt;&lt;keyword&gt;Diagnosis, Differential&lt;/keyword&gt;&lt;keyword&gt;Female&lt;/keyword&gt;&lt;keyword&gt;Humans&lt;/keyword&gt;&lt;keyword&gt;Middle Aged&lt;/keyword&gt;&lt;keyword&gt;Nervous System Diseases/*diagnosis&lt;/keyword&gt;&lt;keyword&gt;Neurodegenerative Diseases/diagnosis&lt;/keyword&gt;&lt;keyword&gt;*Neuropsychological Tests&lt;/keyword&gt;&lt;keyword&gt;Referral and Consultation&lt;/keyword&gt;&lt;/keywords&gt;&lt;dates&gt;&lt;year&gt;2003&lt;/year&gt;&lt;pub-dates&gt;&lt;date&gt;Sep&lt;/date&gt;&lt;/pub-dates&gt;&lt;/dates&gt;&lt;isbn&gt;0891-1150 (Print)&amp;#xD;0891-1150 (Linking)&lt;/isbn&gt;&lt;accession-num&gt;14518573&lt;/accession-num&gt;&lt;work-type&gt;Case Reports&amp;#xD;Review&lt;/work-type&gt;&lt;urls&gt;&lt;related-urls&gt;&lt;url&gt;http://www.ncbi.nlm.nih.gov/pubmed/14518573&lt;/url&gt;&lt;/related-urls&gt;&lt;/urls&gt;&lt;/record&gt;&lt;/Cite&gt;&lt;/EndNote&gt;</w:instrText>
      </w:r>
      <w:r w:rsidR="00881730">
        <w:fldChar w:fldCharType="separate"/>
      </w:r>
      <w:r w:rsidR="00881730">
        <w:rPr>
          <w:noProof/>
        </w:rPr>
        <w:t>(</w:t>
      </w:r>
      <w:hyperlink w:anchor="_ENREF_20" w:tooltip="Kulas, 2003 #1" w:history="1">
        <w:r w:rsidR="00A8082F">
          <w:rPr>
            <w:noProof/>
          </w:rPr>
          <w:t>Kulas &amp; Naugle 2003</w:t>
        </w:r>
      </w:hyperlink>
      <w:r w:rsidR="00881730">
        <w:rPr>
          <w:noProof/>
        </w:rPr>
        <w:t>)</w:t>
      </w:r>
      <w:r w:rsidR="00881730">
        <w:fldChar w:fldCharType="end"/>
      </w:r>
      <w:r w:rsidR="00031315">
        <w:t>.</w:t>
      </w:r>
      <w:r>
        <w:t xml:space="preserve"> Clinical Neuropsychology Assessment (CNA) services synthesize data from </w:t>
      </w:r>
      <w:r w:rsidR="009313B9">
        <w:t xml:space="preserve">the patient interview, family member/guardian </w:t>
      </w:r>
      <w:r>
        <w:t>interview, record review, behavioural observations, and objective tests of cognitive, emotional and motor function to diagnose or give a prognosis and functional status for patients with neurocognitive, psychiat</w:t>
      </w:r>
      <w:r w:rsidR="00881730">
        <w:t>ric and other medical disorders</w:t>
      </w:r>
      <w:r>
        <w:t xml:space="preserve"> </w:t>
      </w:r>
      <w:r w:rsidR="00881730">
        <w:fldChar w:fldCharType="begin">
          <w:fldData xml:space="preserve">PEVuZE5vdGU+PENpdGU+PEF1dGhvcj5CcmF1bjwvQXV0aG9yPjxZZWFyPjIwMTE8L1llYXI+PFJl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</w:fldData>
        </w:fldChar>
      </w:r>
      <w:r w:rsidR="00881730">
        <w:instrText xml:space="preserve"> ADDIN EN.CITE </w:instrText>
      </w:r>
      <w:r w:rsidR="00881730">
        <w:fldChar w:fldCharType="begin">
          <w:fldData xml:space="preserve">PEVuZE5vdGU+PENpdGU+PEF1dGhvcj5CcmF1bjwvQXV0aG9yPjxZZWFyPjIwMTE8L1llYXI+PFJl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</w:fldData>
        </w:fldChar>
      </w:r>
      <w:r w:rsidR="00881730">
        <w:instrText xml:space="preserve"> ADDIN EN.CITE.DATA </w:instrText>
      </w:r>
      <w:r w:rsidR="00881730">
        <w:fldChar w:fldCharType="end"/>
      </w:r>
      <w:r w:rsidR="00881730">
        <w:fldChar w:fldCharType="separate"/>
      </w:r>
      <w:r w:rsidR="00881730">
        <w:rPr>
          <w:noProof/>
        </w:rPr>
        <w:t>(</w:t>
      </w:r>
      <w:hyperlink w:anchor="_ENREF_13" w:tooltip="Braun, 2011 #6" w:history="1">
        <w:r w:rsidR="00A8082F">
          <w:rPr>
            <w:noProof/>
          </w:rPr>
          <w:t>Braun et al. 2011</w:t>
        </w:r>
      </w:hyperlink>
      <w:r w:rsidR="00881730">
        <w:rPr>
          <w:noProof/>
        </w:rPr>
        <w:t>)</w:t>
      </w:r>
      <w:r w:rsidR="00881730">
        <w:fldChar w:fldCharType="end"/>
      </w:r>
      <w:r w:rsidR="00881730">
        <w:t>.</w:t>
      </w:r>
    </w:p>
    <w:p w14:paraId="1969F37F" w14:textId="43F82B14" w:rsidR="009D5E8E" w:rsidRDefault="009D5E8E" w:rsidP="008F6DCF">
      <w:pPr>
        <w:jc w:val="both"/>
      </w:pPr>
      <w:r>
        <w:t>It is claimed that incorporating CNA into the clinical care of individuals with cognitive dysfunction can provide valuable specialist assessment, diagnosis, prognosis and the basis for sound management of nearly all disorders and medical conditions affecting the brain</w:t>
      </w:r>
      <w:r w:rsidR="005050EE">
        <w:t>, on an ongoing basis</w:t>
      </w:r>
      <w:r>
        <w:t xml:space="preserve"> </w:t>
      </w:r>
      <w:r w:rsidR="00881730">
        <w:fldChar w:fldCharType="begin"/>
      </w:r>
      <w:r w:rsidR="00881730">
        <w:instrText xml:space="preserve"> ADDIN EN.CITE &lt;EndNote&gt;&lt;Cite&gt;&lt;Author&gt;Kulas&lt;/Author&gt;&lt;Year&gt;2003&lt;/Year&gt;&lt;RecNum&gt;1&lt;/RecNum&gt;&lt;IDText&gt;785-6, 788, 791-2&lt;/IDText&gt;&lt;DisplayText&gt;(Kulas &amp;amp; Naugle 2003)&lt;/DisplayText&gt;&lt;record&gt;&lt;rec-number&gt;1&lt;/rec-number&gt;&lt;foreign-keys&gt;&lt;key app="EN" db-id="ar5dxszwoae9faedw9b5xwdcd2wzaftfwfer" timestamp="1431387104"&gt;1&lt;/key&gt;&lt;/foreign-keys&gt;&lt;ref-type name="Journal Article"&gt;17&lt;/ref-type&gt;&lt;contributors&gt;&lt;authors&gt;&lt;author&gt;Kulas, J. F.&lt;/author&gt;&lt;author&gt;Naugle, R. I.&lt;/author&gt;&lt;/authors&gt;&lt;/contributors&gt;&lt;auth-address&gt;Department of Psychiatry and Psychology, The Cleveland Clinic Foundation, OH 44195, USA. jfkulas@ccmckids.org&lt;/auth-address&gt;&lt;titles&gt;&lt;title&gt;Indications for neuropsychological assessment&lt;/title&gt;&lt;secondary-title&gt;Cleve Clin J Med&lt;/secondary-title&gt;&lt;alt-title&gt;Cleveland Clinic journal of medicine&lt;/alt-title&gt;&lt;/titles&gt;&lt;periodical&gt;&lt;full-title&gt;Cleve Clin J Med&lt;/full-title&gt;&lt;abbr-1&gt;Cleveland Clinic journal of medicine&lt;/abbr-1&gt;&lt;/periodical&gt;&lt;alt-periodical&gt;&lt;full-title&gt;Cleve Clin J Med&lt;/full-title&gt;&lt;abbr-1&gt;Cleveland Clinic journal of medicine&lt;/abbr-1&gt;&lt;/alt-periodical&gt;&lt;pages&gt;785-6, 788, 791-2&lt;/pages&gt;&lt;volume&gt;70&lt;/volume&gt;&lt;number&gt;9&lt;/number&gt;&lt;edition&gt;2003/10/02&lt;/edition&gt;&lt;keywords&gt;&lt;keyword&gt;Cognition Disorders/*diagnosis/physiopathology&lt;/keyword&gt;&lt;keyword&gt;Diagnosis, Differential&lt;/keyword&gt;&lt;keyword&gt;Female&lt;/keyword&gt;&lt;keyword&gt;Humans&lt;/keyword&gt;&lt;keyword&gt;Middle Aged&lt;/keyword&gt;&lt;keyword&gt;Nervous System Diseases/*diagnosis&lt;/keyword&gt;&lt;keyword&gt;Neurodegenerative Diseases/diagnosis&lt;/keyword&gt;&lt;keyword&gt;*Neuropsychological Tests&lt;/keyword&gt;&lt;keyword&gt;Referral and Consultation&lt;/keyword&gt;&lt;/keywords&gt;&lt;dates&gt;&lt;year&gt;2003&lt;/year&gt;&lt;pub-dates&gt;&lt;date&gt;Sep&lt;/date&gt;&lt;/pub-dates&gt;&lt;/dates&gt;&lt;isbn&gt;0891-1150 (Print)&amp;#xD;0891-1150 (Linking)&lt;/isbn&gt;&lt;accession-num&gt;14518573&lt;/accession-num&gt;&lt;work-type&gt;Case Reports&amp;#xD;Review&lt;/work-type&gt;&lt;urls&gt;&lt;related-urls&gt;&lt;url&gt;http://www.ncbi.nlm.nih.gov/pubmed/14518573&lt;/url&gt;&lt;/related-urls&gt;&lt;/urls&gt;&lt;/record&gt;&lt;/Cite&gt;&lt;/EndNote&gt;</w:instrText>
      </w:r>
      <w:r w:rsidR="00881730">
        <w:fldChar w:fldCharType="separate"/>
      </w:r>
      <w:r w:rsidR="00881730">
        <w:rPr>
          <w:noProof/>
        </w:rPr>
        <w:t>(</w:t>
      </w:r>
      <w:hyperlink w:anchor="_ENREF_20" w:tooltip="Kulas, 2003 #1" w:history="1">
        <w:r w:rsidR="00A8082F">
          <w:rPr>
            <w:noProof/>
          </w:rPr>
          <w:t>Kulas &amp; Naugle 2003</w:t>
        </w:r>
      </w:hyperlink>
      <w:r w:rsidR="00881730">
        <w:rPr>
          <w:noProof/>
        </w:rPr>
        <w:t>)</w:t>
      </w:r>
      <w:r w:rsidR="00881730">
        <w:fldChar w:fldCharType="end"/>
      </w:r>
      <w:r w:rsidR="005050EE">
        <w:t xml:space="preserve">. In patients with a diagnosed condition, information from CNAs can define the patient’s functional and cognitive limitations and strengths, and improve the quality of care </w:t>
      </w:r>
      <w:r w:rsidR="00881730">
        <w:fldChar w:fldCharType="begin"/>
      </w:r>
      <w:r w:rsidR="00881730">
        <w:instrText xml:space="preserve"> ADDIN EN.CITE &lt;EndNote&gt;&lt;Cite&gt;&lt;Author&gt;Kulas&lt;/Author&gt;&lt;Year&gt;2003&lt;/Year&gt;&lt;RecNum&gt;1&lt;/RecNum&gt;&lt;IDText&gt;785-6, 788, 791-2&lt;/IDText&gt;&lt;DisplayText&gt;(Kulas &amp;amp; Naugle 2003)&lt;/DisplayText&gt;&lt;record&gt;&lt;rec-number&gt;1&lt;/rec-number&gt;&lt;foreign-keys&gt;&lt;key app="EN" db-id="ar5dxszwoae9faedw9b5xwdcd2wzaftfwfer" timestamp="1431387104"&gt;1&lt;/key&gt;&lt;/foreign-keys&gt;&lt;ref-type name="Journal Article"&gt;17&lt;/ref-type&gt;&lt;contributors&gt;&lt;authors&gt;&lt;author&gt;Kulas, J. F.&lt;/author&gt;&lt;author&gt;Naugle, R. I.&lt;/author&gt;&lt;/authors&gt;&lt;/contributors&gt;&lt;auth-address&gt;Department of Psychiatry and Psychology, The Cleveland Clinic Foundation, OH 44195, USA. jfkulas@ccmckids.org&lt;/auth-address&gt;&lt;titles&gt;&lt;title&gt;Indications for neuropsychological assessment&lt;/title&gt;&lt;secondary-title&gt;Cleve Clin J Med&lt;/secondary-title&gt;&lt;alt-title&gt;Cleveland Clinic journal of medicine&lt;/alt-title&gt;&lt;/titles&gt;&lt;periodical&gt;&lt;full-title&gt;Cleve Clin J Med&lt;/full-title&gt;&lt;abbr-1&gt;Cleveland Clinic journal of medicine&lt;/abbr-1&gt;&lt;/periodical&gt;&lt;alt-periodical&gt;&lt;full-title&gt;Cleve Clin J Med&lt;/full-title&gt;&lt;abbr-1&gt;Cleveland Clinic journal of medicine&lt;/abbr-1&gt;&lt;/alt-periodical&gt;&lt;pages&gt;785-6, 788, 791-2&lt;/pages&gt;&lt;volume&gt;70&lt;/volume&gt;&lt;number&gt;9&lt;/number&gt;&lt;edition&gt;2003/10/02&lt;/edition&gt;&lt;keywords&gt;&lt;keyword&gt;Cognition Disorders/*diagnosis/physiopathology&lt;/keyword&gt;&lt;keyword&gt;Diagnosis, Differential&lt;/keyword&gt;&lt;keyword&gt;Female&lt;/keyword&gt;&lt;keyword&gt;Humans&lt;/keyword&gt;&lt;keyword&gt;Middle Aged&lt;/keyword&gt;&lt;keyword&gt;Nervous System Diseases/*diagnosis&lt;/keyword&gt;&lt;keyword&gt;Neurodegenerative Diseases/diagnosis&lt;/keyword&gt;&lt;keyword&gt;*Neuropsychological Tests&lt;/keyword&gt;&lt;keyword&gt;Referral and Consultation&lt;/keyword&gt;&lt;/keywords&gt;&lt;dates&gt;&lt;year&gt;2003&lt;/year&gt;&lt;pub-dates&gt;&lt;date&gt;Sep&lt;/date&gt;&lt;/pub-dates&gt;&lt;/dates&gt;&lt;isbn&gt;0891-1150 (Print)&amp;#xD;0891-1150 (Linking)&lt;/isbn&gt;&lt;accession-num&gt;14518573&lt;/accession-num&gt;&lt;work-type&gt;Case Reports&amp;#xD;Review&lt;/work-type&gt;&lt;urls&gt;&lt;related-urls&gt;&lt;url&gt;http://www.ncbi.nlm.nih.gov/pubmed/14518573&lt;/url&gt;&lt;/related-urls&gt;&lt;/urls&gt;&lt;/record&gt;&lt;/Cite&gt;&lt;/EndNote&gt;</w:instrText>
      </w:r>
      <w:r w:rsidR="00881730">
        <w:fldChar w:fldCharType="separate"/>
      </w:r>
      <w:r w:rsidR="00881730">
        <w:rPr>
          <w:noProof/>
        </w:rPr>
        <w:t>(</w:t>
      </w:r>
      <w:hyperlink w:anchor="_ENREF_20" w:tooltip="Kulas, 2003 #1" w:history="1">
        <w:r w:rsidR="00A8082F">
          <w:rPr>
            <w:noProof/>
          </w:rPr>
          <w:t>Kulas &amp; Naugle 2003</w:t>
        </w:r>
      </w:hyperlink>
      <w:r w:rsidR="00881730">
        <w:rPr>
          <w:noProof/>
        </w:rPr>
        <w:t>)</w:t>
      </w:r>
      <w:r w:rsidR="00881730">
        <w:fldChar w:fldCharType="end"/>
      </w:r>
      <w:r w:rsidR="005050EE">
        <w:t>.</w:t>
      </w:r>
      <w:r w:rsidR="009C5764">
        <w:t xml:space="preserve"> Despite the clear rationale of CNA services,</w:t>
      </w:r>
      <w:r w:rsidR="00D90684">
        <w:t xml:space="preserve"> there seems to be</w:t>
      </w:r>
      <w:r w:rsidR="00692B8F">
        <w:t xml:space="preserve"> a lack of</w:t>
      </w:r>
      <w:r w:rsidR="009C5764">
        <w:t xml:space="preserve"> </w:t>
      </w:r>
      <w:r w:rsidR="00D90684">
        <w:t>s</w:t>
      </w:r>
      <w:r w:rsidR="009C5764">
        <w:t>tudies on clinical outcomes associated with CNA</w:t>
      </w:r>
      <w:r w:rsidR="002F500E">
        <w:t xml:space="preserve"> </w:t>
      </w:r>
      <w:r w:rsidR="002F500E">
        <w:fldChar w:fldCharType="begin">
          <w:fldData xml:space="preserve">PEVuZE5vdGU+PENpdGU+PEF1dGhvcj5BbGxvdHQ8L0F1dGhvcj48WWVhcj4yMDExPC9ZZWFyPjxS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L0VuZE5vdGU+AG==
</w:fldData>
        </w:fldChar>
      </w:r>
      <w:r w:rsidR="002F500E">
        <w:instrText xml:space="preserve"> ADDIN EN.CITE </w:instrText>
      </w:r>
      <w:r w:rsidR="002F500E">
        <w:fldChar w:fldCharType="begin">
          <w:fldData xml:space="preserve">PEVuZE5vdGU+PENpdGU+PEF1dGhvcj5BbGxvdHQ8L0F1dGhvcj48WWVhcj4yMDExPC9ZZWFyPjxS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L0VuZE5vdGU+AG==
</w:fldData>
        </w:fldChar>
      </w:r>
      <w:r w:rsidR="002F500E">
        <w:instrText xml:space="preserve"> ADDIN EN.CITE.DATA </w:instrText>
      </w:r>
      <w:r w:rsidR="002F500E">
        <w:fldChar w:fldCharType="end"/>
      </w:r>
      <w:r w:rsidR="002F500E">
        <w:fldChar w:fldCharType="separate"/>
      </w:r>
      <w:r w:rsidR="002F500E">
        <w:rPr>
          <w:noProof/>
        </w:rPr>
        <w:t>(</w:t>
      </w:r>
      <w:hyperlink w:anchor="_ENREF_3" w:tooltip="Allott, 2011 #28" w:history="1">
        <w:r w:rsidR="00A8082F">
          <w:rPr>
            <w:noProof/>
          </w:rPr>
          <w:t>Allott et al. 2011</w:t>
        </w:r>
      </w:hyperlink>
      <w:r w:rsidR="002F500E">
        <w:rPr>
          <w:noProof/>
        </w:rPr>
        <w:t>)</w:t>
      </w:r>
      <w:r w:rsidR="002F500E">
        <w:fldChar w:fldCharType="end"/>
      </w:r>
      <w:r w:rsidR="009C5764">
        <w:t>.</w:t>
      </w:r>
      <w:r w:rsidR="006946C6">
        <w:t xml:space="preserve"> As CNA is an investigative medical service, and is not beneficial by itself, it needs to have an impact on patient management to benefit patients’ health.</w:t>
      </w:r>
      <w:r w:rsidR="009C5764">
        <w:t xml:space="preserve"> A scoping search identified</w:t>
      </w:r>
      <w:r w:rsidR="002F500E">
        <w:t xml:space="preserve"> </w:t>
      </w:r>
      <w:r w:rsidR="00692B8F">
        <w:t>a study</w:t>
      </w:r>
      <w:r w:rsidR="009C5764">
        <w:t xml:space="preserve"> on change in patient management after CNA </w:t>
      </w:r>
      <w:r w:rsidR="00775AFD">
        <w:fldChar w:fldCharType="begin">
          <w:fldData xml:space="preserve">PEVuZE5vdGU+PENpdGU+PEF1dGhvcj5BbGxvdHQ8L0F1dGhvcj48WWVhcj4yMDExPC9ZZWFyPjxS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L0VuZE5vdGU+AG==
</w:fldData>
        </w:fldChar>
      </w:r>
      <w:r w:rsidR="00775AFD">
        <w:instrText xml:space="preserve"> ADDIN EN.CITE </w:instrText>
      </w:r>
      <w:r w:rsidR="00775AFD">
        <w:fldChar w:fldCharType="begin">
          <w:fldData xml:space="preserve">PEVuZE5vdGU+PENpdGU+PEF1dGhvcj5BbGxvdHQ8L0F1dGhvcj48WWVhcj4yMDExPC9ZZWFyPjxS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</w:fldData>
        </w:fldChar>
      </w:r>
      <w:r w:rsidR="00775AFD">
        <w:instrText xml:space="preserve"> ADDIN EN.CITE.DATA </w:instrText>
      </w:r>
      <w:r w:rsidR="00775AFD">
        <w:fldChar w:fldCharType="end"/>
      </w:r>
      <w:r w:rsidR="00775AFD">
        <w:fldChar w:fldCharType="separate"/>
      </w:r>
      <w:r w:rsidR="00775AFD">
        <w:rPr>
          <w:noProof/>
        </w:rPr>
        <w:t>(</w:t>
      </w:r>
      <w:hyperlink w:anchor="_ENREF_3" w:tooltip="Allott, 2011 #28" w:history="1">
        <w:r w:rsidR="00A8082F">
          <w:rPr>
            <w:noProof/>
          </w:rPr>
          <w:t>Allott et al. 2011</w:t>
        </w:r>
      </w:hyperlink>
      <w:r w:rsidR="00775AFD">
        <w:rPr>
          <w:noProof/>
        </w:rPr>
        <w:t>)</w:t>
      </w:r>
      <w:r w:rsidR="00775AFD">
        <w:fldChar w:fldCharType="end"/>
      </w:r>
      <w:r w:rsidR="00775AFD">
        <w:t xml:space="preserve">. </w:t>
      </w:r>
      <w:r w:rsidR="00C24A64">
        <w:t>F</w:t>
      </w:r>
      <w:r w:rsidR="002F500E">
        <w:t>ollowing</w:t>
      </w:r>
      <w:r w:rsidR="00775AFD">
        <w:t xml:space="preserve"> CNA in a mental health service for adolescents and young adults, 11% of patients had a change of diagnosis, 52% had a changed approach to treatment, </w:t>
      </w:r>
      <w:r w:rsidR="002F500E">
        <w:t>and 33% had increased or more appropriate access to services, education or work.</w:t>
      </w:r>
      <w:r w:rsidR="00FE61AC">
        <w:t xml:space="preserve"> In a study in patients suspected of dementia</w:t>
      </w:r>
      <w:r w:rsidR="001970EF">
        <w:t>,</w:t>
      </w:r>
      <w:r w:rsidR="00FE61AC">
        <w:t xml:space="preserve"> there was less change in patient management after CNA </w:t>
      </w:r>
      <w:r w:rsidR="00F723B0">
        <w:fldChar w:fldCharType="begin"/>
      </w:r>
      <w:r w:rsidR="00F723B0">
        <w:instrText xml:space="preserve"> ADDIN EN.CITE &lt;EndNote&gt;&lt;Cite&gt;&lt;Author&gt;Geroldi&lt;/Author&gt;&lt;Year&gt;2008&lt;/Year&gt;&lt;RecNum&gt;30&lt;/RecNum&gt;&lt;IDText&gt;309-20&lt;/IDText&gt;&lt;DisplayText&gt;(Geroldi et al. 2008)&lt;/DisplayText&gt;&lt;record&gt;&lt;rec-number&gt;30&lt;/rec-number&gt;&lt;foreign-keys&gt;&lt;key app="EN" db-id="ar5dxszwoae9faedw9b5xwdcd2wzaftfwfer" timestamp="1439773138"&gt;30&lt;/key&gt;&lt;/foreign-keys&gt;&lt;ref-type name="Journal Article"&gt;17&lt;/ref-type&gt;&lt;contributors&gt;&lt;authors&gt;&lt;author&gt;Geroldi, C.&lt;/author&gt;&lt;author&gt;Canu, E.&lt;/author&gt;&lt;author&gt;Bruni, A. C.&lt;/author&gt;&lt;author&gt;Dal Forno, G.&lt;/author&gt;&lt;author&gt;Ferri, R.&lt;/author&gt;&lt;author&gt;Gabelli, C.&lt;/author&gt;&lt;author&gt;Perri, R.&lt;/author&gt;&lt;author&gt;Iapaolo, D.&lt;/author&gt;&lt;author&gt;Scarpino, O.&lt;/author&gt;&lt;author&gt;Sinforiani, E.&lt;/author&gt;&lt;author&gt;Zanetti, O.&lt;/author&gt;&lt;author&gt;Frisoni, G. B.&lt;/author&gt;&lt;/authors&gt;&lt;/contributors&gt;&lt;auth-address&gt;Laboratory of Epidemiology, Neuroimaging and Telemedicine, Scientific Institute for Research and Care (IRCCS) San Giovanni di Dio, FBF, Brescia, Italy. cgeroldi@fatebenefratelli.it&lt;/auth-address&gt;&lt;titles&gt;&lt;title&gt;The added value of neuropsychologic tests and structural imaging for the etiologic diagnosis of dementia in italian expert centers&lt;/title&gt;&lt;secondary-title&gt;Alzheimer Dis Assoc Disord&lt;/secondary-title&gt;&lt;/titles&gt;&lt;periodical&gt;&lt;full-title&gt;Alzheimer Dis Assoc Disord&lt;/full-title&gt;&lt;/periodical&gt;&lt;pages&gt;309-20&lt;/pages&gt;&lt;volume&gt;22&lt;/volume&gt;&lt;number&gt;4&lt;/number&gt;&lt;keywords&gt;&lt;keyword&gt;Aged&lt;/keyword&gt;&lt;keyword&gt;Dementia/*diagnosis/etiology&lt;/keyword&gt;&lt;keyword&gt;Female&lt;/keyword&gt;&lt;keyword&gt;Humans&lt;/keyword&gt;&lt;keyword&gt;Italy&lt;/keyword&gt;&lt;keyword&gt;*Magnetic Resonance Imaging&lt;/keyword&gt;&lt;keyword&gt;Male&lt;/keyword&gt;&lt;keyword&gt;Medical History Taking&lt;/keyword&gt;&lt;keyword&gt;Neurologic Examination&lt;/keyword&gt;&lt;keyword&gt;*Neuropsychological Tests&lt;/keyword&gt;&lt;keyword&gt;*Tomography, X-Ray Computed&lt;/keyword&gt;&lt;/keywords&gt;&lt;dates&gt;&lt;year&gt;2008&lt;/year&gt;&lt;pub-dates&gt;&lt;date&gt;Oct-Dec&lt;/date&gt;&lt;/pub-dates&gt;&lt;/dates&gt;&lt;isbn&gt;1546-4156 (Electronic)&amp;#xD;0893-0341 (Linking)&lt;/isbn&gt;&lt;accession-num&gt;19068498&lt;/accession-num&gt;&lt;urls&gt;&lt;related-urls&gt;&lt;url&gt;http://www.ncbi.nlm.nih.gov/pubmed/19068498&lt;/url&gt;&lt;/related-urls&gt;&lt;/urls&gt;&lt;/record&gt;&lt;/Cite&gt;&lt;/EndNote&gt;</w:instrText>
      </w:r>
      <w:r w:rsidR="00F723B0">
        <w:fldChar w:fldCharType="separate"/>
      </w:r>
      <w:r w:rsidR="00F723B0">
        <w:rPr>
          <w:noProof/>
        </w:rPr>
        <w:t>(</w:t>
      </w:r>
      <w:hyperlink w:anchor="_ENREF_15" w:tooltip="Geroldi, 2008 #30" w:history="1">
        <w:r w:rsidR="00A8082F">
          <w:rPr>
            <w:noProof/>
          </w:rPr>
          <w:t>Geroldi et al. 2008</w:t>
        </w:r>
      </w:hyperlink>
      <w:r w:rsidR="00F723B0">
        <w:rPr>
          <w:noProof/>
        </w:rPr>
        <w:t>)</w:t>
      </w:r>
      <w:r w:rsidR="00F723B0">
        <w:fldChar w:fldCharType="end"/>
      </w:r>
      <w:r w:rsidR="00FE61AC">
        <w:t>. The change in a differential diagnosis of degenerative dementia</w:t>
      </w:r>
      <w:r w:rsidR="00F723B0">
        <w:t xml:space="preserve"> usually</w:t>
      </w:r>
      <w:r w:rsidR="00FE61AC">
        <w:t xml:space="preserve"> does not lead to a therapy change</w:t>
      </w:r>
      <w:r w:rsidR="00F723B0">
        <w:t xml:space="preserve">, as an effective medical therapy against degenerative dementias is not yet available. </w:t>
      </w:r>
    </w:p>
    <w:p w14:paraId="10AF0517" w14:textId="77777777" w:rsidR="00CF727B" w:rsidRDefault="005050EE" w:rsidP="008F6DCF">
      <w:pPr>
        <w:jc w:val="both"/>
      </w:pPr>
      <w:r>
        <w:t xml:space="preserve">In Australia, </w:t>
      </w:r>
      <w:r w:rsidR="009D5E8E">
        <w:t xml:space="preserve">CNAs are currently provided and funded by </w:t>
      </w:r>
      <w:r>
        <w:t xml:space="preserve">the Department of Veteran’s Affairs (DVA), and accident compensation insurance schemes like </w:t>
      </w:r>
      <w:proofErr w:type="spellStart"/>
      <w:r>
        <w:t>Workcover</w:t>
      </w:r>
      <w:proofErr w:type="spellEnd"/>
      <w:r>
        <w:t xml:space="preserve">, Motor Accidents Board (NSW) and Transport Accident </w:t>
      </w:r>
      <w:r w:rsidR="00EB26D8">
        <w:t>Commission</w:t>
      </w:r>
      <w:r>
        <w:t xml:space="preserve"> (Victoria). </w:t>
      </w:r>
      <w:r w:rsidR="00CF727B">
        <w:t>Public patie</w:t>
      </w:r>
      <w:r w:rsidR="009313B9">
        <w:t>nts needing a CNA would have it</w:t>
      </w:r>
      <w:r w:rsidR="00CF727B">
        <w:t xml:space="preserve"> funded through the States/</w:t>
      </w:r>
      <w:proofErr w:type="gramStart"/>
      <w:r w:rsidR="00CF727B">
        <w:t>Territories,</w:t>
      </w:r>
      <w:proofErr w:type="gramEnd"/>
      <w:r w:rsidR="00CF727B">
        <w:t xml:space="preserve"> however, patients seeking the services in private practice currently have to pay for it themselves. This creates inequity in the provision and access to CNA services. </w:t>
      </w:r>
      <w:r w:rsidR="00691D20">
        <w:t xml:space="preserve">The applicant claims that </w:t>
      </w:r>
      <w:r w:rsidR="007505D1">
        <w:t xml:space="preserve">only a small proportion of the people who need CNA currently receive it, in any setting. </w:t>
      </w:r>
      <w:r w:rsidR="00CF727B">
        <w:t xml:space="preserve">Funding through the MBS would allow </w:t>
      </w:r>
      <w:r w:rsidR="00031315">
        <w:t>more people to</w:t>
      </w:r>
      <w:r w:rsidR="00CF727B">
        <w:t xml:space="preserve"> </w:t>
      </w:r>
      <w:r w:rsidR="00031315">
        <w:t>access</w:t>
      </w:r>
      <w:r w:rsidR="00CF727B">
        <w:t xml:space="preserve"> specialised CNA services via Medicare items. </w:t>
      </w:r>
    </w:p>
    <w:p w14:paraId="75BFFA45" w14:textId="77777777" w:rsidR="00861324" w:rsidRDefault="00861324">
      <w:r>
        <w:br w:type="page"/>
      </w:r>
    </w:p>
    <w:p w14:paraId="2562FCCF" w14:textId="1D2D8124" w:rsidR="007505D1" w:rsidRPr="00C407E2" w:rsidRDefault="00BE45E2" w:rsidP="00A128D3">
      <w:pPr>
        <w:jc w:val="both"/>
        <w:rPr>
          <w:b/>
        </w:rPr>
      </w:pPr>
      <w:r>
        <w:lastRenderedPageBreak/>
        <w:t>Adelaide Health Technology Assessment (AHTA), in the School of P</w:t>
      </w:r>
      <w:r w:rsidR="00DB47D4">
        <w:t>ublic</w:t>
      </w:r>
      <w:r>
        <w:t xml:space="preserve"> Health, University of Adelaide,</w:t>
      </w:r>
      <w:r w:rsidRPr="003F13C7">
        <w:t xml:space="preserve"> as part of its contract with the Department of Health, drafted this </w:t>
      </w:r>
      <w:r>
        <w:t xml:space="preserve">protocol </w:t>
      </w:r>
      <w:r w:rsidR="00EB26D8">
        <w:t>to guide the assessment of</w:t>
      </w:r>
      <w:r w:rsidRPr="003F13C7">
        <w:t xml:space="preserve"> the safety, effectivenes</w:t>
      </w:r>
      <w:r>
        <w:t>s and cost-effectiveness of CNA services</w:t>
      </w:r>
      <w:r w:rsidRPr="003F13C7">
        <w:t xml:space="preserve"> in order to inform MSAC’s </w:t>
      </w:r>
      <w:r w:rsidR="00DB47D4">
        <w:t>recommendations</w:t>
      </w:r>
      <w:r w:rsidRPr="003F13C7">
        <w:t xml:space="preserve"> regarding public funding of the intervention</w:t>
      </w:r>
      <w:r>
        <w:t>.</w:t>
      </w:r>
      <w:r w:rsidR="00530E87">
        <w:t xml:space="preserve"> This protocol was finalised after input from public consultation, and has been ratified by the Protocol Advisory Sub</w:t>
      </w:r>
      <w:r w:rsidR="00733E47">
        <w:t>-Committee of the Medical Services Advisory Committee (MSAC).</w:t>
      </w:r>
    </w:p>
    <w:p w14:paraId="618958BC" w14:textId="77777777" w:rsidR="00BC4EFE" w:rsidRPr="00F26322" w:rsidRDefault="00BC4EFE" w:rsidP="00C407E2">
      <w:pPr>
        <w:pStyle w:val="Heading1"/>
        <w:numPr>
          <w:ilvl w:val="0"/>
          <w:numId w:val="27"/>
        </w:numPr>
        <w:rPr>
          <w:b w:val="0"/>
        </w:rPr>
      </w:pPr>
      <w:r w:rsidRPr="00EF3DFE">
        <w:t>Po</w:t>
      </w:r>
      <w:r w:rsidR="00D90D8F" w:rsidRPr="00EF3DFE">
        <w:t xml:space="preserve">pulation and medical condition </w:t>
      </w:r>
      <w:r w:rsidRPr="00EF3DFE">
        <w:t>eligible for the proposed medical services</w:t>
      </w:r>
    </w:p>
    <w:p w14:paraId="6D1E17E9" w14:textId="327D7952" w:rsidR="0073231B" w:rsidRDefault="002B6467" w:rsidP="0073231B">
      <w:pPr>
        <w:jc w:val="both"/>
      </w:pPr>
      <w:r>
        <w:t>CNA covers a range of cognitive domains, including: intelligence, learning, memory, receptive and expressive language, visuospatial reasoning and psychopathology</w:t>
      </w:r>
      <w:r w:rsidR="0073231B">
        <w:t xml:space="preserve"> </w:t>
      </w:r>
      <w:r w:rsidR="00881730">
        <w:fldChar w:fldCharType="begin"/>
      </w:r>
      <w:r w:rsidR="00881730">
        <w:instrText xml:space="preserve"> ADDIN EN.CITE &lt;EndNote&gt;&lt;Cite&gt;&lt;Author&gt;Kulas&lt;/Author&gt;&lt;Year&gt;2003&lt;/Year&gt;&lt;RecNum&gt;1&lt;/RecNum&gt;&lt;IDText&gt;785-6, 788, 791-2&lt;/IDText&gt;&lt;DisplayText&gt;(Kulas &amp;amp; Naugle 2003)&lt;/DisplayText&gt;&lt;record&gt;&lt;rec-number&gt;1&lt;/rec-number&gt;&lt;foreign-keys&gt;&lt;key app="EN" db-id="ar5dxszwoae9faedw9b5xwdcd2wzaftfwfer" timestamp="1431387104"&gt;1&lt;/key&gt;&lt;/foreign-keys&gt;&lt;ref-type name="Journal Article"&gt;17&lt;/ref-type&gt;&lt;contributors&gt;&lt;authors&gt;&lt;author&gt;Kulas, J. F.&lt;/author&gt;&lt;author&gt;Naugle, R. I.&lt;/author&gt;&lt;/authors&gt;&lt;/contributors&gt;&lt;auth-address&gt;Department of Psychiatry and Psychology, The Cleveland Clinic Foundation, OH 44195, USA. jfkulas@ccmckids.org&lt;/auth-address&gt;&lt;titles&gt;&lt;title&gt;Indications for neuropsychological assessment&lt;/title&gt;&lt;secondary-title&gt;Cleve Clin J Med&lt;/secondary-title&gt;&lt;alt-title&gt;Cleveland Clinic journal of medicine&lt;/alt-title&gt;&lt;/titles&gt;&lt;periodical&gt;&lt;full-title&gt;Cleve Clin J Med&lt;/full-title&gt;&lt;abbr-1&gt;Cleveland Clinic journal of medicine&lt;/abbr-1&gt;&lt;/periodical&gt;&lt;alt-periodical&gt;&lt;full-title&gt;Cleve Clin J Med&lt;/full-title&gt;&lt;abbr-1&gt;Cleveland Clinic journal of medicine&lt;/abbr-1&gt;&lt;/alt-periodical&gt;&lt;pages&gt;785-6, 788, 791-2&lt;/pages&gt;&lt;volume&gt;70&lt;/volume&gt;&lt;number&gt;9&lt;/number&gt;&lt;edition&gt;2003/10/02&lt;/edition&gt;&lt;keywords&gt;&lt;keyword&gt;Cognition Disorders/*diagnosis/physiopathology&lt;/keyword&gt;&lt;keyword&gt;Diagnosis, Differential&lt;/keyword&gt;&lt;keyword&gt;Female&lt;/keyword&gt;&lt;keyword&gt;Humans&lt;/keyword&gt;&lt;keyword&gt;Middle Aged&lt;/keyword&gt;&lt;keyword&gt;Nervous System Diseases/*diagnosis&lt;/keyword&gt;&lt;keyword&gt;Neurodegenerative Diseases/diagnosis&lt;/keyword&gt;&lt;keyword&gt;*Neuropsychological Tests&lt;/keyword&gt;&lt;keyword&gt;Referral and Consultation&lt;/keyword&gt;&lt;/keywords&gt;&lt;dates&gt;&lt;year&gt;2003&lt;/year&gt;&lt;pub-dates&gt;&lt;date&gt;Sep&lt;/date&gt;&lt;/pub-dates&gt;&lt;/dates&gt;&lt;isbn&gt;0891-1150 (Print)&amp;#xD;0891-1150 (Linking)&lt;/isbn&gt;&lt;accession-num&gt;14518573&lt;/accession-num&gt;&lt;work-type&gt;Case Reports&amp;#xD;Review&lt;/work-type&gt;&lt;urls&gt;&lt;related-urls&gt;&lt;url&gt;http://www.ncbi.nlm.nih.gov/pubmed/14518573&lt;/url&gt;&lt;/related-urls&gt;&lt;/urls&gt;&lt;/record&gt;&lt;/Cite&gt;&lt;/EndNote&gt;</w:instrText>
      </w:r>
      <w:r w:rsidR="00881730">
        <w:fldChar w:fldCharType="separate"/>
      </w:r>
      <w:r w:rsidR="00881730">
        <w:rPr>
          <w:noProof/>
        </w:rPr>
        <w:t>(</w:t>
      </w:r>
      <w:hyperlink w:anchor="_ENREF_20" w:tooltip="Kulas, 2003 #1" w:history="1">
        <w:r w:rsidR="00A8082F">
          <w:rPr>
            <w:noProof/>
          </w:rPr>
          <w:t>Kulas &amp; Naugle 2003</w:t>
        </w:r>
      </w:hyperlink>
      <w:r w:rsidR="00881730">
        <w:rPr>
          <w:noProof/>
        </w:rPr>
        <w:t>)</w:t>
      </w:r>
      <w:r w:rsidR="00881730">
        <w:fldChar w:fldCharType="end"/>
      </w:r>
      <w:r>
        <w:t>.</w:t>
      </w:r>
      <w:r w:rsidR="0073231B">
        <w:t xml:space="preserve"> A referral for CNA should be considered when there is a question about a patient’s cognitive functioning, or about a patient’s competency </w:t>
      </w:r>
      <w:r w:rsidR="00881730">
        <w:fldChar w:fldCharType="begin"/>
      </w:r>
      <w:r w:rsidR="00881730">
        <w:instrText xml:space="preserve"> ADDIN EN.CITE &lt;EndNote&gt;&lt;Cite&gt;&lt;Author&gt;Kulas&lt;/Author&gt;&lt;Year&gt;2003&lt;/Year&gt;&lt;RecNum&gt;1&lt;/RecNum&gt;&lt;IDText&gt;785-6, 788, 791-2&lt;/IDText&gt;&lt;DisplayText&gt;(Kulas &amp;amp; Naugle 2003)&lt;/DisplayText&gt;&lt;record&gt;&lt;rec-number&gt;1&lt;/rec-number&gt;&lt;foreign-keys&gt;&lt;key app="EN" db-id="ar5dxszwoae9faedw9b5xwdcd2wzaftfwfer" timestamp="1431387104"&gt;1&lt;/key&gt;&lt;/foreign-keys&gt;&lt;ref-type name="Journal Article"&gt;17&lt;/ref-type&gt;&lt;contributors&gt;&lt;authors&gt;&lt;author&gt;Kulas, J. F.&lt;/author&gt;&lt;author&gt;Naugle, R. I.&lt;/author&gt;&lt;/authors&gt;&lt;/contributors&gt;&lt;auth-address&gt;Department of Psychiatry and Psychology, The Cleveland Clinic Foundation, OH 44195, USA. jfkulas@ccmckids.org&lt;/auth-address&gt;&lt;titles&gt;&lt;title&gt;Indications for neuropsychological assessment&lt;/title&gt;&lt;secondary-title&gt;Cleve Clin J Med&lt;/secondary-title&gt;&lt;alt-title&gt;Cleveland Clinic journal of medicine&lt;/alt-title&gt;&lt;/titles&gt;&lt;periodical&gt;&lt;full-title&gt;Cleve Clin J Med&lt;/full-title&gt;&lt;abbr-1&gt;Cleveland Clinic journal of medicine&lt;/abbr-1&gt;&lt;/periodical&gt;&lt;alt-periodical&gt;&lt;full-title&gt;Cleve Clin J Med&lt;/full-title&gt;&lt;abbr-1&gt;Cleveland Clinic journal of medicine&lt;/abbr-1&gt;&lt;/alt-periodical&gt;&lt;pages&gt;785-6, 788, 791-2&lt;/pages&gt;&lt;volume&gt;70&lt;/volume&gt;&lt;number&gt;9&lt;/number&gt;&lt;edition&gt;2003/10/02&lt;/edition&gt;&lt;keywords&gt;&lt;keyword&gt;Cognition Disorders/*diagnosis/physiopathology&lt;/keyword&gt;&lt;keyword&gt;Diagnosis, Differential&lt;/keyword&gt;&lt;keyword&gt;Female&lt;/keyword&gt;&lt;keyword&gt;Humans&lt;/keyword&gt;&lt;keyword&gt;Middle Aged&lt;/keyword&gt;&lt;keyword&gt;Nervous System Diseases/*diagnosis&lt;/keyword&gt;&lt;keyword&gt;Neurodegenerative Diseases/diagnosis&lt;/keyword&gt;&lt;keyword&gt;*Neuropsychological Tests&lt;/keyword&gt;&lt;keyword&gt;Referral and Consultation&lt;/keyword&gt;&lt;/keywords&gt;&lt;dates&gt;&lt;year&gt;2003&lt;/year&gt;&lt;pub-dates&gt;&lt;date&gt;Sep&lt;/date&gt;&lt;/pub-dates&gt;&lt;/dates&gt;&lt;isbn&gt;0891-1150 (Print)&amp;#xD;0891-1150 (Linking)&lt;/isbn&gt;&lt;accession-num&gt;14518573&lt;/accession-num&gt;&lt;work-type&gt;Case Reports&amp;#xD;Review&lt;/work-type&gt;&lt;urls&gt;&lt;related-urls&gt;&lt;url&gt;http://www.ncbi.nlm.nih.gov/pubmed/14518573&lt;/url&gt;&lt;/related-urls&gt;&lt;/urls&gt;&lt;/record&gt;&lt;/Cite&gt;&lt;/EndNote&gt;</w:instrText>
      </w:r>
      <w:r w:rsidR="00881730">
        <w:fldChar w:fldCharType="separate"/>
      </w:r>
      <w:r w:rsidR="00881730">
        <w:rPr>
          <w:noProof/>
        </w:rPr>
        <w:t>(</w:t>
      </w:r>
      <w:hyperlink w:anchor="_ENREF_20" w:tooltip="Kulas, 2003 #1" w:history="1">
        <w:r w:rsidR="00A8082F">
          <w:rPr>
            <w:noProof/>
          </w:rPr>
          <w:t>Kulas &amp; Naugle 2003</w:t>
        </w:r>
      </w:hyperlink>
      <w:r w:rsidR="00881730">
        <w:rPr>
          <w:noProof/>
        </w:rPr>
        <w:t>)</w:t>
      </w:r>
      <w:r w:rsidR="00881730">
        <w:fldChar w:fldCharType="end"/>
      </w:r>
      <w:r w:rsidR="0073231B">
        <w:t>.</w:t>
      </w:r>
      <w:r>
        <w:t xml:space="preserve"> </w:t>
      </w:r>
      <w:r w:rsidR="0073231B">
        <w:t>Common indications for CNA include: changes in memory, poor attention and concentration, changes in language functioning, changes in visuospatial abilities, impaired executive function, changes in emotional functioning, and f</w:t>
      </w:r>
      <w:r w:rsidR="00DE011A">
        <w:t>luctuations in mental status. As th</w:t>
      </w:r>
      <w:r w:rsidR="0073231B">
        <w:t>is could occur in nearly all medical conditions affecting the brain</w:t>
      </w:r>
      <w:r w:rsidR="00321B0B">
        <w:t>, there is no specific disease or medical condition that defines the patient population</w:t>
      </w:r>
      <w:r w:rsidR="0073231B">
        <w:t>.</w:t>
      </w:r>
    </w:p>
    <w:p w14:paraId="368829E6" w14:textId="77777777" w:rsidR="006E5A3A" w:rsidRDefault="00D10129" w:rsidP="0073231B">
      <w:pPr>
        <w:jc w:val="both"/>
      </w:pPr>
      <w:r>
        <w:t>CNA may be requested</w:t>
      </w:r>
      <w:r w:rsidR="006E5A3A">
        <w:t>:</w:t>
      </w:r>
    </w:p>
    <w:p w14:paraId="20BC37E5" w14:textId="77777777" w:rsidR="00C60682" w:rsidRDefault="00C60682" w:rsidP="00541A4D">
      <w:pPr>
        <w:pStyle w:val="ListParagraph"/>
        <w:numPr>
          <w:ilvl w:val="0"/>
          <w:numId w:val="3"/>
        </w:numPr>
        <w:jc w:val="both"/>
      </w:pPr>
      <w:r>
        <w:t>To provide diagnostic information for detection of dementia or other traumatic conditions.</w:t>
      </w:r>
    </w:p>
    <w:p w14:paraId="6FB90FC6" w14:textId="77777777" w:rsidR="006E5A3A" w:rsidRDefault="002A69C8" w:rsidP="00541A4D">
      <w:pPr>
        <w:pStyle w:val="ListParagraph"/>
        <w:numPr>
          <w:ilvl w:val="0"/>
          <w:numId w:val="3"/>
        </w:numPr>
        <w:jc w:val="both"/>
      </w:pPr>
      <w:r>
        <w:t>When t</w:t>
      </w:r>
      <w:r w:rsidR="006E5A3A">
        <w:t>here are mild or questionable deficiencies on mental status testing</w:t>
      </w:r>
      <w:r w:rsidR="00D10129">
        <w:t>, so a more thorough</w:t>
      </w:r>
      <w:r w:rsidR="006E5A3A">
        <w:t xml:space="preserve"> evaluation is needed to investigate the presence of abnormalities compared to normal aging.</w:t>
      </w:r>
    </w:p>
    <w:p w14:paraId="299F18FD" w14:textId="77777777" w:rsidR="006E5A3A" w:rsidRDefault="006E5A3A" w:rsidP="00541A4D">
      <w:pPr>
        <w:pStyle w:val="ListParagraph"/>
        <w:numPr>
          <w:ilvl w:val="0"/>
          <w:numId w:val="3"/>
        </w:numPr>
        <w:jc w:val="both"/>
      </w:pPr>
      <w:r>
        <w:t xml:space="preserve"> </w:t>
      </w:r>
      <w:r w:rsidR="002A69C8">
        <w:t>When t</w:t>
      </w:r>
      <w:r>
        <w:t>he patient’s deficits need to be quantified</w:t>
      </w:r>
      <w:r w:rsidR="00855DD3">
        <w:t xml:space="preserve">, especially when predicting or monitoring </w:t>
      </w:r>
      <w:r w:rsidR="00DE011A">
        <w:t>the course of a disorder (</w:t>
      </w:r>
      <w:r w:rsidR="00855DD3">
        <w:t>recovery or decline).</w:t>
      </w:r>
    </w:p>
    <w:p w14:paraId="578E77B4" w14:textId="77777777" w:rsidR="00855DD3" w:rsidRDefault="00855DD3" w:rsidP="00541A4D">
      <w:pPr>
        <w:pStyle w:val="ListParagraph"/>
        <w:numPr>
          <w:ilvl w:val="0"/>
          <w:numId w:val="3"/>
        </w:numPr>
        <w:jc w:val="both"/>
      </w:pPr>
      <w:r>
        <w:t xml:space="preserve">To characterise the </w:t>
      </w:r>
      <w:r w:rsidR="002A69C8">
        <w:t>strengths and weaknesses of a patient as part of a management or rehabilitation plan.</w:t>
      </w:r>
    </w:p>
    <w:p w14:paraId="4CF98D4B" w14:textId="77777777" w:rsidR="00855E1E" w:rsidRDefault="002A69C8" w:rsidP="00541A4D">
      <w:pPr>
        <w:pStyle w:val="ListParagraph"/>
        <w:numPr>
          <w:ilvl w:val="0"/>
          <w:numId w:val="3"/>
        </w:numPr>
        <w:jc w:val="both"/>
      </w:pPr>
      <w:r>
        <w:t>When the neuropsychologist can provide specific necessary rehabilitation or therapeutic services.</w:t>
      </w:r>
      <w:r w:rsidR="00855E1E">
        <w:t xml:space="preserve"> </w:t>
      </w:r>
    </w:p>
    <w:p w14:paraId="0F930D69" w14:textId="1CAE49F2" w:rsidR="00D35932" w:rsidRDefault="00D35932" w:rsidP="00541A4D">
      <w:pPr>
        <w:pStyle w:val="ListParagraph"/>
        <w:numPr>
          <w:ilvl w:val="0"/>
          <w:numId w:val="3"/>
        </w:numPr>
        <w:jc w:val="both"/>
      </w:pPr>
      <w:r>
        <w:t xml:space="preserve">For </w:t>
      </w:r>
      <w:r w:rsidR="004F456F">
        <w:t>monitoring</w:t>
      </w:r>
      <w:r>
        <w:t xml:space="preserve"> of treatment response.</w:t>
      </w:r>
    </w:p>
    <w:p w14:paraId="17762088" w14:textId="77777777" w:rsidR="002A69C8" w:rsidRDefault="002A69C8" w:rsidP="00541A4D">
      <w:pPr>
        <w:pStyle w:val="ListParagraph"/>
        <w:numPr>
          <w:ilvl w:val="0"/>
          <w:numId w:val="3"/>
        </w:numPr>
        <w:jc w:val="both"/>
      </w:pPr>
      <w:r>
        <w:t>When there is litigation that concerns the patient’s cognitive status</w:t>
      </w:r>
      <w:r w:rsidR="00D35932">
        <w:t xml:space="preserve"> or functional potential</w:t>
      </w:r>
      <w:r>
        <w:t>.</w:t>
      </w:r>
    </w:p>
    <w:p w14:paraId="29CABB67" w14:textId="382FD9C1" w:rsidR="00EB26D8" w:rsidRDefault="00EB26D8" w:rsidP="00EB26D8">
      <w:pPr>
        <w:jc w:val="both"/>
      </w:pPr>
      <w:r>
        <w:t>Source</w:t>
      </w:r>
      <w:r w:rsidR="00D35932">
        <w:t>s</w:t>
      </w:r>
      <w:r>
        <w:t xml:space="preserve">: </w:t>
      </w:r>
      <w:r>
        <w:fldChar w:fldCharType="begin">
          <w:fldData xml:space="preserve">PEVuZE5vdGU+PENpdGUgRXhjbHVkZUF1dGg9IjEiPjxZZWFyPjE5OTY8L1llYXI+PFJlY051bT44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</w:fldData>
        </w:fldChar>
      </w:r>
      <w:r w:rsidR="00D35932">
        <w:instrText xml:space="preserve"> ADDIN EN.CITE </w:instrText>
      </w:r>
      <w:r w:rsidR="00D35932">
        <w:fldChar w:fldCharType="begin">
          <w:fldData xml:space="preserve">PEVuZE5vdGU+PENpdGUgRXhjbHVkZUF1dGg9IjEiPjxZZWFyPjE5OTY8L1llYXI+PFJlY051bT44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</w:fldData>
        </w:fldChar>
      </w:r>
      <w:r w:rsidR="00D35932">
        <w:instrText xml:space="preserve"> ADDIN EN.CITE.DATA </w:instrText>
      </w:r>
      <w:r w:rsidR="00D35932">
        <w:fldChar w:fldCharType="end"/>
      </w:r>
      <w:r>
        <w:fldChar w:fldCharType="separate"/>
      </w:r>
      <w:r w:rsidR="00D35932">
        <w:rPr>
          <w:noProof/>
        </w:rPr>
        <w:t>(</w:t>
      </w:r>
      <w:hyperlink w:anchor="_ENREF_5" w:tooltip=", 1996 #8" w:history="1">
        <w:r w:rsidR="00A8082F">
          <w:rPr>
            <w:noProof/>
          </w:rPr>
          <w:t>'Assessment: neuropsychological testing of adults. Considerations for neurologists. Report of the Therapeutics and Technology Assessment Subcommittee of the American Academy of Neurology'  1996</w:t>
        </w:r>
      </w:hyperlink>
      <w:r w:rsidR="00D35932">
        <w:rPr>
          <w:noProof/>
        </w:rPr>
        <w:t xml:space="preserve">; </w:t>
      </w:r>
      <w:hyperlink w:anchor="_ENREF_16" w:tooltip="Harvey, 2012 #22" w:history="1">
        <w:r w:rsidR="00A8082F">
          <w:rPr>
            <w:noProof/>
          </w:rPr>
          <w:t>Harvey 2012</w:t>
        </w:r>
      </w:hyperlink>
      <w:r w:rsidR="00D35932">
        <w:rPr>
          <w:noProof/>
        </w:rPr>
        <w:t>)</w:t>
      </w:r>
      <w:r>
        <w:fldChar w:fldCharType="end"/>
      </w:r>
    </w:p>
    <w:p w14:paraId="61842885" w14:textId="77777777" w:rsidR="00855F40" w:rsidRDefault="0073231B" w:rsidP="00424DF1">
      <w:pPr>
        <w:jc w:val="both"/>
      </w:pPr>
      <w:r>
        <w:t>It is claimed</w:t>
      </w:r>
      <w:r w:rsidR="00DE011A">
        <w:t xml:space="preserve"> by the applicant</w:t>
      </w:r>
      <w:r>
        <w:t xml:space="preserve"> that most </w:t>
      </w:r>
      <w:r w:rsidR="004F456F">
        <w:t>people</w:t>
      </w:r>
      <w:r>
        <w:t xml:space="preserve"> referred for CNA</w:t>
      </w:r>
      <w:r w:rsidR="007829FD">
        <w:t xml:space="preserve"> (who</w:t>
      </w:r>
      <w:r w:rsidR="001616AD">
        <w:t xml:space="preserve"> have one or more of the indications)</w:t>
      </w:r>
      <w:r>
        <w:t xml:space="preserve"> will be patients suffering from/suspected of:</w:t>
      </w:r>
    </w:p>
    <w:p w14:paraId="261368CF" w14:textId="77777777" w:rsidR="0073231B" w:rsidRDefault="00855F40" w:rsidP="00541A4D">
      <w:pPr>
        <w:pStyle w:val="ListParagraph"/>
        <w:numPr>
          <w:ilvl w:val="0"/>
          <w:numId w:val="2"/>
        </w:numPr>
        <w:jc w:val="both"/>
      </w:pPr>
      <w:r w:rsidRPr="00F91AC2">
        <w:rPr>
          <w:u w:val="single"/>
        </w:rPr>
        <w:t>Group</w:t>
      </w:r>
      <w:r w:rsidR="00047E01" w:rsidRPr="00F91AC2">
        <w:rPr>
          <w:u w:val="single"/>
        </w:rPr>
        <w:t xml:space="preserve"> 1</w:t>
      </w:r>
      <w:r w:rsidR="00047E01">
        <w:t xml:space="preserve">: neurodegenerative diseases; </w:t>
      </w:r>
      <w:r>
        <w:t>a range of conditions which primarily affect</w:t>
      </w:r>
      <w:r w:rsidR="00047E01">
        <w:t xml:space="preserve"> the neurons in the human brain</w:t>
      </w:r>
      <w:r>
        <w:t xml:space="preserve">. </w:t>
      </w:r>
      <w:r w:rsidR="0073231B">
        <w:t>This includes Alzheimer’s disease, dementia, multiple sclerosis, etc.</w:t>
      </w:r>
    </w:p>
    <w:p w14:paraId="51A895A7" w14:textId="77777777" w:rsidR="00047E01" w:rsidRDefault="00047E01" w:rsidP="00541A4D">
      <w:pPr>
        <w:pStyle w:val="ListParagraph"/>
        <w:numPr>
          <w:ilvl w:val="0"/>
          <w:numId w:val="2"/>
        </w:numPr>
        <w:jc w:val="both"/>
      </w:pPr>
      <w:r w:rsidRPr="00F91AC2">
        <w:rPr>
          <w:u w:val="single"/>
        </w:rPr>
        <w:t>Group 2</w:t>
      </w:r>
      <w:r w:rsidR="00EB26D8">
        <w:t xml:space="preserve">: </w:t>
      </w:r>
      <w:r w:rsidR="00D10129">
        <w:t>acquired</w:t>
      </w:r>
      <w:r>
        <w:t xml:space="preserve"> brain injury (ABI); brain damage caused by events after birth (non-congenital). This consists of two subgroups</w:t>
      </w:r>
      <w:r w:rsidR="004F456F">
        <w:t>.</w:t>
      </w:r>
    </w:p>
    <w:p w14:paraId="4B821A4F" w14:textId="77777777" w:rsidR="00047E01" w:rsidRDefault="00047E01" w:rsidP="00541A4D">
      <w:pPr>
        <w:pStyle w:val="ListParagraph"/>
        <w:numPr>
          <w:ilvl w:val="1"/>
          <w:numId w:val="2"/>
        </w:numPr>
        <w:jc w:val="both"/>
      </w:pPr>
      <w:r w:rsidRPr="00F91AC2">
        <w:rPr>
          <w:u w:val="single"/>
        </w:rPr>
        <w:lastRenderedPageBreak/>
        <w:t>Group 2a</w:t>
      </w:r>
      <w:r>
        <w:t>: non-traumatic brain injury</w:t>
      </w:r>
      <w:r w:rsidR="00943A6F">
        <w:t xml:space="preserve"> (NTBI)</w:t>
      </w:r>
      <w:r>
        <w:t>, which does not involve external mechanical force. This includes stroke, encephalitis, meningitis, etc.</w:t>
      </w:r>
    </w:p>
    <w:p w14:paraId="59381F17" w14:textId="77777777" w:rsidR="00CB33A2" w:rsidRPr="007E3968" w:rsidRDefault="00047E01" w:rsidP="005330BF">
      <w:pPr>
        <w:pStyle w:val="ListParagraph"/>
        <w:numPr>
          <w:ilvl w:val="1"/>
          <w:numId w:val="2"/>
        </w:numPr>
        <w:jc w:val="both"/>
        <w:rPr>
          <w:u w:val="single"/>
        </w:rPr>
      </w:pPr>
      <w:r w:rsidRPr="005330BF">
        <w:rPr>
          <w:u w:val="single"/>
        </w:rPr>
        <w:t>Group 2b</w:t>
      </w:r>
      <w:r w:rsidR="00EB26D8">
        <w:t>: t</w:t>
      </w:r>
      <w:r>
        <w:t>raumatic brain injury (TBI), which includes damage to the brain due to external mechanical force, e.g. from motor vehicle accidents, assault, sporting injuries, falls, birth trauma, etc.</w:t>
      </w:r>
    </w:p>
    <w:p w14:paraId="4C3FD98F" w14:textId="1C7D51B9" w:rsidR="0066665D" w:rsidRPr="007E3968" w:rsidRDefault="0066665D" w:rsidP="007E3968">
      <w:pPr>
        <w:pStyle w:val="ListParagraph"/>
        <w:numPr>
          <w:ilvl w:val="0"/>
          <w:numId w:val="69"/>
        </w:numPr>
        <w:jc w:val="both"/>
      </w:pPr>
      <w:r>
        <w:rPr>
          <w:u w:val="single"/>
        </w:rPr>
        <w:t>Group 3:</w:t>
      </w:r>
      <w:r w:rsidRPr="007E3968">
        <w:t xml:space="preserve"> Paediatric and Developmental disorders; </w:t>
      </w:r>
      <w:r w:rsidR="007E3968">
        <w:t>psychiatric conditions originating in childhood, involving serious impairment in different areas</w:t>
      </w:r>
      <w:r w:rsidR="00D555CB">
        <w:t>, e.g. language disorders, learning disorders, motor disorders and autism spectrum disorders.</w:t>
      </w:r>
    </w:p>
    <w:p w14:paraId="590D9FC1" w14:textId="77777777" w:rsidR="00637045" w:rsidRPr="008A2099" w:rsidRDefault="008A2099" w:rsidP="00637045">
      <w:pPr>
        <w:jc w:val="both"/>
        <w:rPr>
          <w:u w:val="single"/>
        </w:rPr>
      </w:pPr>
      <w:r>
        <w:rPr>
          <w:u w:val="single"/>
        </w:rPr>
        <w:t>Prevalence and e</w:t>
      </w:r>
      <w:r w:rsidR="00637045" w:rsidRPr="008A2099">
        <w:rPr>
          <w:u w:val="single"/>
        </w:rPr>
        <w:t>xpected utilisation</w:t>
      </w:r>
    </w:p>
    <w:p w14:paraId="7AB68640" w14:textId="539F9959" w:rsidR="00084DFB" w:rsidRDefault="00D10129" w:rsidP="00637045">
      <w:pPr>
        <w:jc w:val="both"/>
      </w:pPr>
      <w:r>
        <w:t xml:space="preserve">An estimate of the number of people included in </w:t>
      </w:r>
      <w:r w:rsidR="007505D1">
        <w:t xml:space="preserve">some of </w:t>
      </w:r>
      <w:r>
        <w:t xml:space="preserve">the groups who are most likely to be eligible for CNA services are shown in Table 1. </w:t>
      </w:r>
      <w:r w:rsidR="00084DFB">
        <w:t>It was estimated that in 2003, 483,300 people in Australia had a form of ABI (group</w:t>
      </w:r>
      <w:r w:rsidR="008A2099">
        <w:t xml:space="preserve"> </w:t>
      </w:r>
      <w:r w:rsidR="00084DFB">
        <w:t>2) with disability</w:t>
      </w:r>
      <w:r w:rsidR="00EA31E3">
        <w:t>. It was reported that</w:t>
      </w:r>
      <w:r w:rsidR="00084DFB">
        <w:t xml:space="preserve"> 432,700 people had ABI and some activity limitations or participation restrictions, which is 2.2 per cent of the Australian population.</w:t>
      </w:r>
      <w:r w:rsidR="00EA31E3">
        <w:t xml:space="preserve"> Almost three </w:t>
      </w:r>
      <w:r w:rsidR="004F456F">
        <w:t>quarters</w:t>
      </w:r>
      <w:r w:rsidR="00EA31E3">
        <w:t xml:space="preserve"> of these people (311,800) were aged </w:t>
      </w:r>
      <w:r w:rsidR="00F06C5E">
        <w:t>less than</w:t>
      </w:r>
      <w:r w:rsidR="00EA31E3">
        <w:t xml:space="preserve"> 65 years. </w:t>
      </w:r>
      <w:r w:rsidR="00F72037">
        <w:t>Among older people, neurodegenerative diseases/disorders such as Parkinson’s disease or dementia can</w:t>
      </w:r>
      <w:r w:rsidR="00EB26D8">
        <w:t xml:space="preserve"> often</w:t>
      </w:r>
      <w:r w:rsidR="00F72037">
        <w:t xml:space="preserve"> be a cause of ABI. Few people (around 1,400/120,900) over 65 years listed ABI as their main disabling condition, as it is often one of several health conditions related to their disability</w:t>
      </w:r>
      <w:r w:rsidR="00BE0E12">
        <w:t xml:space="preserve"> </w:t>
      </w:r>
      <w:r w:rsidR="00881730">
        <w:fldChar w:fldCharType="begin"/>
      </w:r>
      <w:r w:rsidR="00881730">
        <w:instrText xml:space="preserve"> ADDIN EN.CITE &lt;EndNote&gt;&lt;Cite&gt;&lt;Author&gt;Australian Institute of Health and Welfare&lt;/Author&gt;&lt;Year&gt;2007&lt;/Year&gt;&lt;RecNum&gt;7&lt;/RecNum&gt;&lt;DisplayText&gt;(Australian Institute of Health and Welfare 2007)&lt;/DisplayText&gt;&lt;record&gt;&lt;rec-number&gt;7&lt;/rec-number&gt;&lt;foreign-keys&gt;&lt;key app="EN" db-id="ar5dxszwoae9faedw9b5xwdcd2wzaftfwfer" timestamp="1432010945"&gt;7&lt;/key&gt;&lt;/foreign-keys&gt;&lt;ref-type name="Report"&gt;27&lt;/ref-type&gt;&lt;contributors&gt;&lt;authors&gt;&lt;author&gt;Australian Institute of Health and Welfare,.&lt;/author&gt;&lt;/authors&gt;&lt;/contributors&gt;&lt;titles&gt;&lt;title&gt;Disability in Australia: acquired brain injury. Bulletin no. 55. &lt;/title&gt;&lt;/titles&gt;&lt;dates&gt;&lt;year&gt;2007&lt;/year&gt;&lt;/dates&gt;&lt;pub-location&gt;Canberra&lt;/pub-location&gt;&lt;publisher&gt;AIHW&lt;/publisher&gt;&lt;urls&gt;&lt;related-urls&gt;&lt;url&gt;http://www.aihw.gov.au/WorkArea/DownloadAsset.aspx?id=6442453666&lt;/url&gt;&lt;/related-urls&gt;&lt;/urls&gt;&lt;/record&gt;&lt;/Cite&gt;&lt;/EndNote&gt;</w:instrText>
      </w:r>
      <w:r w:rsidR="00881730">
        <w:fldChar w:fldCharType="separate"/>
      </w:r>
      <w:r w:rsidR="00881730">
        <w:rPr>
          <w:noProof/>
        </w:rPr>
        <w:t>(</w:t>
      </w:r>
      <w:hyperlink w:anchor="_ENREF_7" w:tooltip="Australian Institute of Health and Welfare, 2007 #7" w:history="1">
        <w:r w:rsidR="00A8082F">
          <w:rPr>
            <w:noProof/>
          </w:rPr>
          <w:t>Australian Institute of Health and Welfare 2007</w:t>
        </w:r>
      </w:hyperlink>
      <w:r w:rsidR="00881730">
        <w:rPr>
          <w:noProof/>
        </w:rPr>
        <w:t>)</w:t>
      </w:r>
      <w:r w:rsidR="00881730">
        <w:fldChar w:fldCharType="end"/>
      </w:r>
      <w:r w:rsidR="00DB47D4">
        <w:t>.</w:t>
      </w:r>
      <w:r w:rsidR="00F72037">
        <w:t xml:space="preserve"> </w:t>
      </w:r>
      <w:r w:rsidR="00F81CCA">
        <w:t>The Australian Institute of Health and Welfare also states that over 40 per</w:t>
      </w:r>
      <w:r w:rsidR="00DB47D4">
        <w:t xml:space="preserve"> </w:t>
      </w:r>
      <w:r w:rsidR="00F81CCA">
        <w:t>cent of people with an ABI have a co-morbid mental health issue.</w:t>
      </w:r>
    </w:p>
    <w:p w14:paraId="47494EF8" w14:textId="39AF1A20" w:rsidR="00084DFB" w:rsidRDefault="008A2099" w:rsidP="00637045">
      <w:pPr>
        <w:jc w:val="both"/>
      </w:pPr>
      <w:r>
        <w:t xml:space="preserve">In 2004-2005, there were around 21,800 hospital stays </w:t>
      </w:r>
      <w:r w:rsidR="00F72037">
        <w:t>for which the diagnosis was associated with TBI (group 2b), which means there were 107 hospital stays per 100,000 peop</w:t>
      </w:r>
      <w:r w:rsidR="00DB47D4">
        <w:t xml:space="preserve">le. This group consisted of 69 per cent </w:t>
      </w:r>
      <w:r w:rsidR="00F72037">
        <w:t xml:space="preserve">males, and there was a strong peak in TBI-related hospitalisations for males between the ages of 15 and 24 years (almost 300 </w:t>
      </w:r>
      <w:proofErr w:type="gramStart"/>
      <w:r w:rsidR="00F72037">
        <w:t>hospital</w:t>
      </w:r>
      <w:proofErr w:type="gramEnd"/>
      <w:r w:rsidR="00F72037">
        <w:t xml:space="preserve"> stays per 100,000 people). There was also a steep rise in hospitalisations for people older than 75 years, in males and females</w:t>
      </w:r>
      <w:r w:rsidR="00BE0E12">
        <w:t xml:space="preserve"> </w:t>
      </w:r>
      <w:r w:rsidR="00881730">
        <w:fldChar w:fldCharType="begin"/>
      </w:r>
      <w:r w:rsidR="00881730">
        <w:instrText xml:space="preserve"> ADDIN EN.CITE &lt;EndNote&gt;&lt;Cite&gt;&lt;Author&gt;Australian Institute of Health and Welfare&lt;/Author&gt;&lt;Year&gt;2007&lt;/Year&gt;&lt;RecNum&gt;7&lt;/RecNum&gt;&lt;DisplayText&gt;(Australian Institute of Health and Welfare 2007)&lt;/DisplayText&gt;&lt;record&gt;&lt;rec-number&gt;7&lt;/rec-number&gt;&lt;foreign-keys&gt;&lt;key app="EN" db-id="ar5dxszwoae9faedw9b5xwdcd2wzaftfwfer" timestamp="1432010945"&gt;7&lt;/key&gt;&lt;/foreign-keys&gt;&lt;ref-type name="Report"&gt;27&lt;/ref-type&gt;&lt;contributors&gt;&lt;authors&gt;&lt;author&gt;Australian Institute of Health and Welfare,.&lt;/author&gt;&lt;/authors&gt;&lt;/contributors&gt;&lt;titles&gt;&lt;title&gt;Disability in Australia: acquired brain injury. Bulletin no. 55. &lt;/title&gt;&lt;/titles&gt;&lt;dates&gt;&lt;year&gt;2007&lt;/year&gt;&lt;/dates&gt;&lt;pub-location&gt;Canberra&lt;/pub-location&gt;&lt;publisher&gt;AIHW&lt;/publisher&gt;&lt;urls&gt;&lt;related-urls&gt;&lt;url&gt;http://www.aihw.gov.au/WorkArea/DownloadAsset.aspx?id=6442453666&lt;/url&gt;&lt;/related-urls&gt;&lt;/urls&gt;&lt;/record&gt;&lt;/Cite&gt;&lt;/EndNote&gt;</w:instrText>
      </w:r>
      <w:r w:rsidR="00881730">
        <w:fldChar w:fldCharType="separate"/>
      </w:r>
      <w:r w:rsidR="00881730">
        <w:rPr>
          <w:noProof/>
        </w:rPr>
        <w:t>(</w:t>
      </w:r>
      <w:hyperlink w:anchor="_ENREF_7" w:tooltip="Australian Institute of Health and Welfare, 2007 #7" w:history="1">
        <w:r w:rsidR="00A8082F">
          <w:rPr>
            <w:noProof/>
          </w:rPr>
          <w:t>Australian Institute of Health and Welfare 2007</w:t>
        </w:r>
      </w:hyperlink>
      <w:r w:rsidR="00881730">
        <w:rPr>
          <w:noProof/>
        </w:rPr>
        <w:t>)</w:t>
      </w:r>
      <w:r w:rsidR="00881730">
        <w:fldChar w:fldCharType="end"/>
      </w:r>
      <w:r w:rsidR="00F72037">
        <w:t xml:space="preserve">. </w:t>
      </w:r>
      <w:r w:rsidR="00D10129">
        <w:t>Even though we can give an estimate on how many people fall within the patient populations, we do not know how many of them would actually benefit from CNA.</w:t>
      </w:r>
    </w:p>
    <w:p w14:paraId="3F6EE1E2" w14:textId="2756D665" w:rsidR="00A8082F" w:rsidRDefault="00A8082F" w:rsidP="00A8082F">
      <w:pPr>
        <w:jc w:val="both"/>
      </w:pPr>
      <w:r>
        <w:t xml:space="preserve">Estimates of paediatric and developmental disorders are difficult. Indeed the available official estimates </w:t>
      </w:r>
      <w:r>
        <w:fldChar w:fldCharType="begin"/>
      </w:r>
      <w:r>
        <w:instrText xml:space="preserve"> ADDIN EN.CITE &lt;EndNote&gt;&lt;Cite&gt;&lt;Author&gt;ABS&lt;/Author&gt;&lt;Year&gt;2012&lt;/Year&gt;&lt;RecNum&gt;34&lt;/RecNum&gt;&lt;DisplayText&gt;(ABS 2012; AIHW 2004)&lt;/DisplayText&gt;&lt;record&gt;&lt;rec-number&gt;34&lt;/rec-number&gt;&lt;foreign-keys&gt;&lt;key app="EN" db-id="ar5dxszwoae9faedw9b5xwdcd2wzaftfwfer" timestamp="1458621013"&gt;34&lt;/key&gt;&lt;/foreign-keys&gt;&lt;ref-type name="Web Page"&gt;12&lt;/ref-type&gt;&lt;contributors&gt;&lt;authors&gt;&lt;author&gt;ABS&lt;/author&gt;&lt;/authors&gt;&lt;/contributors&gt;&lt;titles&gt;&lt;title&gt;Australian Social Trends&lt;/title&gt;&lt;/titles&gt;&lt;number&gt;March 2016&lt;/number&gt;&lt;dates&gt;&lt;year&gt;2012&lt;/year&gt;&lt;/dates&gt;&lt;pub-location&gt;Canberra&lt;/pub-location&gt;&lt;publisher&gt;Austrlian Bureau of Statistics&lt;/publisher&gt;&lt;urls&gt;&lt;related-urls&gt;&lt;url&gt;http://www.abs.gov.au/AUSSTATS/abs@.nsf/Lookup/4102.0Main+Features30Jun+2012&lt;/url&gt;&lt;/related-urls&gt;&lt;/urls&gt;&lt;/record&gt;&lt;/Cite&gt;&lt;Cite&gt;&lt;Author&gt;AIHW&lt;/Author&gt;&lt;Year&gt;2004&lt;/Year&gt;&lt;RecNum&gt;33&lt;/RecNum&gt;&lt;record&gt;&lt;rec-number&gt;33&lt;/rec-number&gt;&lt;foreign-keys&gt;&lt;key app="EN" db-id="ar5dxszwoae9faedw9b5xwdcd2wzaftfwfer" timestamp="1458613316"&gt;33&lt;/key&gt;&lt;/foreign-keys&gt;&lt;ref-type name="Report"&gt;27&lt;/ref-type&gt;&lt;contributors&gt;&lt;authors&gt;&lt;author&gt;AIHW&lt;/author&gt;&lt;/authors&gt;&lt;/contributors&gt;&lt;titles&gt;&lt;title&gt;Children with disabilities in Australia&lt;/title&gt;&lt;/titles&gt;&lt;dates&gt;&lt;year&gt;2004&lt;/year&gt;&lt;/dates&gt;&lt;pub-location&gt;Australian Institute of Health and Welfare, Canberra. Cat. no. DIS38&lt;/pub-location&gt;&lt;urls&gt;&lt;related-urls&gt;&lt;url&gt;www.aihw.gov.au/WorkArea/DownloadAsset.aspx?id=6442455787&lt;/url&gt;&lt;/related-urls&gt;&lt;/urls&gt;&lt;/record&gt;&lt;/Cite&gt;&lt;/EndNote&gt;</w:instrText>
      </w:r>
      <w:r>
        <w:fldChar w:fldCharType="separate"/>
      </w:r>
      <w:r>
        <w:rPr>
          <w:noProof/>
        </w:rPr>
        <w:t>(</w:t>
      </w:r>
      <w:hyperlink w:anchor="_ENREF_1" w:tooltip="ABS, 2012 #34" w:history="1">
        <w:r>
          <w:rPr>
            <w:noProof/>
          </w:rPr>
          <w:t>ABS 2012</w:t>
        </w:r>
      </w:hyperlink>
      <w:r>
        <w:rPr>
          <w:noProof/>
        </w:rPr>
        <w:t xml:space="preserve">; </w:t>
      </w:r>
      <w:hyperlink w:anchor="_ENREF_2" w:tooltip="AIHW, 2004 #33" w:history="1">
        <w:r>
          <w:rPr>
            <w:noProof/>
          </w:rPr>
          <w:t>AIHW 2004</w:t>
        </w:r>
      </w:hyperlink>
      <w:r>
        <w:rPr>
          <w:noProof/>
        </w:rPr>
        <w:t>)</w:t>
      </w:r>
      <w:r>
        <w:fldChar w:fldCharType="end"/>
      </w:r>
      <w:r>
        <w:t xml:space="preserve"> group these disorders broadly across three main categories: intellectual/learning disorders, psychiatric disorders and sensory/speech disorders. Some Australian research has been conducted which provides an indication on the prevalence of autism spectrum disorders </w:t>
      </w:r>
      <w:r>
        <w:fldChar w:fldCharType="begin">
          <w:fldData xml:space="preserve">PEVuZE5vdGU+PENpdGU+PEF1dGhvcj5CYXJiYXJvPC9BdXRob3I+PFllYXI+MjAxMDwvWWVhcj48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</w:fldData>
        </w:fldChar>
      </w:r>
      <w:r>
        <w:instrText xml:space="preserve"> ADDIN EN.CITE </w:instrText>
      </w:r>
      <w:r>
        <w:fldChar w:fldCharType="begin">
          <w:fldData xml:space="preserve">PEVuZE5vdGU+PENpdGU+PEF1dGhvcj5CYXJiYXJvPC9BdXRob3I+PFllYXI+MjAxMDwvWWVhcj48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</w:fldData>
        </w:fldChar>
      </w:r>
      <w:r>
        <w:instrText xml:space="preserve"> ADDIN EN.CITE.DATA </w:instrText>
      </w:r>
      <w:r>
        <w:fldChar w:fldCharType="end"/>
      </w:r>
      <w:r>
        <w:fldChar w:fldCharType="separate"/>
      </w:r>
      <w:r>
        <w:rPr>
          <w:noProof/>
        </w:rPr>
        <w:t>(</w:t>
      </w:r>
      <w:hyperlink w:anchor="_ENREF_12" w:tooltip="Barbaro, 2010 #37" w:history="1">
        <w:r>
          <w:rPr>
            <w:noProof/>
          </w:rPr>
          <w:t>Barbaro &amp; Dissanayake 2010</w:t>
        </w:r>
      </w:hyperlink>
      <w:r>
        <w:rPr>
          <w:noProof/>
        </w:rPr>
        <w:t xml:space="preserve">; </w:t>
      </w:r>
      <w:hyperlink w:anchor="_ENREF_26" w:tooltip="Williams, 2008 #36" w:history="1">
        <w:r>
          <w:rPr>
            <w:noProof/>
          </w:rPr>
          <w:t>Williams et al. 2008</w:t>
        </w:r>
      </w:hyperlink>
      <w:r>
        <w:rPr>
          <w:noProof/>
        </w:rPr>
        <w:t>)</w:t>
      </w:r>
      <w:r>
        <w:fldChar w:fldCharType="end"/>
      </w:r>
      <w:r>
        <w:t>.</w:t>
      </w:r>
    </w:p>
    <w:p w14:paraId="1BDC6655" w14:textId="6EFF4561" w:rsidR="00A8082F" w:rsidRDefault="00A8082F" w:rsidP="00A8082F">
      <w:pPr>
        <w:jc w:val="both"/>
      </w:pPr>
      <w:r>
        <w:t xml:space="preserve">The ABS reported in 2012 that approximately 9 per cent of boys and 5 per cent of girls aged 0 to 14 years had a disability of some sort during 2009 </w:t>
      </w:r>
      <w:r>
        <w:fldChar w:fldCharType="begin"/>
      </w:r>
      <w:r>
        <w:instrText xml:space="preserve"> ADDIN EN.CITE &lt;EndNote&gt;&lt;Cite&gt;&lt;Author&gt;ABS&lt;/Author&gt;&lt;Year&gt;2012&lt;/Year&gt;&lt;RecNum&gt;34&lt;/RecNum&gt;&lt;DisplayText&gt;(ABS 2012)&lt;/DisplayText&gt;&lt;record&gt;&lt;rec-number&gt;34&lt;/rec-number&gt;&lt;foreign-keys&gt;&lt;key app="EN" db-id="ar5dxszwoae9faedw9b5xwdcd2wzaftfwfer" timestamp="1458621013"&gt;34&lt;/key&gt;&lt;/foreign-keys&gt;&lt;ref-type name="Web Page"&gt;12&lt;/ref-type&gt;&lt;contributors&gt;&lt;authors&gt;&lt;author&gt;ABS&lt;/author&gt;&lt;/authors&gt;&lt;/contributors&gt;&lt;titles&gt;&lt;title&gt;Australian Social Trends&lt;/title&gt;&lt;/titles&gt;&lt;number&gt;March 2016&lt;/number&gt;&lt;dates&gt;&lt;year&gt;2012&lt;/year&gt;&lt;/dates&gt;&lt;pub-location&gt;Canberra&lt;/pub-location&gt;&lt;publisher&gt;Austrlian Bureau of Statistics&lt;/publisher&gt;&lt;urls&gt;&lt;related-urls&gt;&lt;url&gt;http://www.abs.gov.au/AUSSTATS/abs@.nsf/Lookup/4102.0Main+Features30Jun+2012&lt;/url&gt;&lt;/related-urls&gt;&lt;/urls&gt;&lt;/record&gt;&lt;/Cite&gt;&lt;/EndNote&gt;</w:instrText>
      </w:r>
      <w:r>
        <w:fldChar w:fldCharType="separate"/>
      </w:r>
      <w:r>
        <w:rPr>
          <w:noProof/>
        </w:rPr>
        <w:t>(</w:t>
      </w:r>
      <w:hyperlink w:anchor="_ENREF_1" w:tooltip="ABS, 2012 #34" w:history="1">
        <w:r>
          <w:rPr>
            <w:noProof/>
          </w:rPr>
          <w:t>ABS 2012</w:t>
        </w:r>
      </w:hyperlink>
      <w:r>
        <w:rPr>
          <w:noProof/>
        </w:rPr>
        <w:t>)</w:t>
      </w:r>
      <w:r>
        <w:fldChar w:fldCharType="end"/>
      </w:r>
      <w:r>
        <w:t xml:space="preserve">. Based on the 2009 Australian population age 0 to 14, this equates to over 500,000 children living with a disability in that year. The greatest proportion of children with a disability in the 0 to 4 age group were affected by sensory and speech disorders (63%), while 29 per cent had an intellectual disability. In this age group, nearly 40 per cent had a mental or behavioural disorder that lasted or was expected to last six months or more. By contrast 37 per cent of 5 to 14 year olds had a sensory or speech disorder and 61 per cent in that age group had an intellectual disability. Among 5 to 14 year olds, nearly 70 per cent had a mental or behavioural disorder lasting or expected to last at least six months </w:t>
      </w:r>
      <w:r>
        <w:fldChar w:fldCharType="begin"/>
      </w:r>
      <w:r>
        <w:instrText xml:space="preserve"> ADDIN EN.CITE &lt;EndNote&gt;&lt;Cite&gt;&lt;Author&gt;ABS&lt;/Author&gt;&lt;Year&gt;2012&lt;/Year&gt;&lt;RecNum&gt;34&lt;/RecNum&gt;&lt;DisplayText&gt;(ABS 2012)&lt;/DisplayText&gt;&lt;record&gt;&lt;rec-number&gt;34&lt;/rec-number&gt;&lt;foreign-keys&gt;&lt;key app="EN" db-id="ar5dxszwoae9faedw9b5xwdcd2wzaftfwfer" timestamp="1458621013"&gt;34&lt;/key&gt;&lt;/foreign-keys&gt;&lt;ref-type name="Web Page"&gt;12&lt;/ref-type&gt;&lt;contributors&gt;&lt;authors&gt;&lt;author&gt;ABS&lt;/author&gt;&lt;/authors&gt;&lt;/contributors&gt;&lt;titles&gt;&lt;title&gt;Australian Social Trends&lt;/title&gt;&lt;/titles&gt;&lt;number&gt;March 2016&lt;/number&gt;&lt;dates&gt;&lt;year&gt;2012&lt;/year&gt;&lt;/dates&gt;&lt;pub-location&gt;Canberra&lt;/pub-location&gt;&lt;publisher&gt;Austrlian Bureau of Statistics&lt;/publisher&gt;&lt;urls&gt;&lt;related-urls&gt;&lt;url&gt;http://www.abs.gov.au/AUSSTATS/abs@.nsf/Lookup/4102.0Main+Features30Jun+2012&lt;/url&gt;&lt;/related-urls&gt;&lt;/urls&gt;&lt;/record&gt;&lt;/Cite&gt;&lt;/EndNote&gt;</w:instrText>
      </w:r>
      <w:r>
        <w:fldChar w:fldCharType="separate"/>
      </w:r>
      <w:r>
        <w:rPr>
          <w:noProof/>
        </w:rPr>
        <w:t>(</w:t>
      </w:r>
      <w:hyperlink w:anchor="_ENREF_1" w:tooltip="ABS, 2012 #34" w:history="1">
        <w:r>
          <w:rPr>
            <w:noProof/>
          </w:rPr>
          <w:t>ABS 2012</w:t>
        </w:r>
      </w:hyperlink>
      <w:r>
        <w:rPr>
          <w:noProof/>
        </w:rPr>
        <w:t>)</w:t>
      </w:r>
      <w:r>
        <w:fldChar w:fldCharType="end"/>
      </w:r>
      <w:r>
        <w:t xml:space="preserve">. Additional information published by the AIHW </w:t>
      </w:r>
      <w:r>
        <w:fldChar w:fldCharType="begin"/>
      </w:r>
      <w:r>
        <w:instrText xml:space="preserve"> ADDIN EN.CITE &lt;EndNote&gt;&lt;Cite&gt;&lt;Author&gt;AIHW&lt;/Author&gt;&lt;Year&gt;2004&lt;/Year&gt;&lt;RecNum&gt;33&lt;/RecNum&gt;&lt;DisplayText&gt;(AIHW 2004)&lt;/DisplayText&gt;&lt;record&gt;&lt;rec-number&gt;33&lt;/rec-number&gt;&lt;foreign-keys&gt;&lt;key app="EN" db-id="ar5dxszwoae9faedw9b5xwdcd2wzaftfwfer" timestamp="1458613316"&gt;33&lt;/key&gt;&lt;/foreign-keys&gt;&lt;ref-type name="Report"&gt;27&lt;/ref-type&gt;&lt;contributors&gt;&lt;authors&gt;&lt;author&gt;AIHW&lt;/author&gt;&lt;/authors&gt;&lt;/contributors&gt;&lt;titles&gt;&lt;title&gt;Children with disabilities in Australia&lt;/title&gt;&lt;/titles&gt;&lt;dates&gt;&lt;year&gt;2004&lt;/year&gt;&lt;/dates&gt;&lt;pub-location&gt;Australian Institute of Health and Welfare, Canberra. Cat. no. DIS38&lt;/pub-location&gt;&lt;urls&gt;&lt;related-urls&gt;&lt;url&gt;www.aihw.gov.au/WorkArea/DownloadAsset.aspx?id=6442455787&lt;/url&gt;&lt;/related-urls&gt;&lt;/urls&gt;&lt;/record&gt;&lt;/Cite&gt;&lt;/EndNote&gt;</w:instrText>
      </w:r>
      <w:r>
        <w:fldChar w:fldCharType="separate"/>
      </w:r>
      <w:r>
        <w:rPr>
          <w:noProof/>
        </w:rPr>
        <w:t>(</w:t>
      </w:r>
      <w:hyperlink w:anchor="_ENREF_2" w:tooltip="AIHW, 2004 #33" w:history="1">
        <w:r>
          <w:rPr>
            <w:noProof/>
          </w:rPr>
          <w:t>AIHW 2004</w:t>
        </w:r>
      </w:hyperlink>
      <w:r>
        <w:rPr>
          <w:noProof/>
        </w:rPr>
        <w:t>)</w:t>
      </w:r>
      <w:r>
        <w:fldChar w:fldCharType="end"/>
      </w:r>
      <w:r>
        <w:t xml:space="preserve"> is available in </w:t>
      </w:r>
      <w:r w:rsidRPr="00AD74B7">
        <w:fldChar w:fldCharType="begin"/>
      </w:r>
      <w:r w:rsidRPr="00AD74B7">
        <w:instrText xml:space="preserve"> REF _Ref446412815 \h  \* MERGEFORMAT </w:instrText>
      </w:r>
      <w:r w:rsidRPr="00AD74B7">
        <w:fldChar w:fldCharType="separate"/>
      </w:r>
      <w:r w:rsidRPr="00AD74B7">
        <w:t>Supplementary Table 1</w:t>
      </w:r>
      <w:r w:rsidRPr="00AD74B7">
        <w:fldChar w:fldCharType="end"/>
      </w:r>
      <w:r>
        <w:t>.</w:t>
      </w:r>
    </w:p>
    <w:p w14:paraId="714E8C70" w14:textId="5D2E1BBE" w:rsidR="00A8082F" w:rsidRDefault="00A8082F" w:rsidP="00A8082F">
      <w:pPr>
        <w:jc w:val="both"/>
      </w:pPr>
      <w:r>
        <w:lastRenderedPageBreak/>
        <w:t xml:space="preserve">Williams and colleagues </w:t>
      </w:r>
      <w:r>
        <w:fldChar w:fldCharType="begin"/>
      </w:r>
      <w:r>
        <w:instrText xml:space="preserve"> ADDIN EN.CITE &lt;EndNote&gt;&lt;Cite&gt;&lt;Author&gt;Williams&lt;/Author&gt;&lt;Year&gt;2008&lt;/Year&gt;&lt;RecNum&gt;36&lt;/RecNum&gt;&lt;DisplayText&gt;(Williams et al. 2008)&lt;/DisplayText&gt;&lt;record&gt;&lt;rec-number&gt;36&lt;/rec-number&gt;&lt;foreign-keys&gt;&lt;key app="EN" db-id="ar5dxszwoae9faedw9b5xwdcd2wzaftfwfer" timestamp="1458624642"&gt;36&lt;/key&gt;&lt;/foreign-keys&gt;&lt;ref-type name="Journal Article"&gt;17&lt;/ref-type&gt;&lt;contributors&gt;&lt;authors&gt;&lt;author&gt;Williams, K.&lt;/author&gt;&lt;author&gt;MacDermott, S.&lt;/author&gt;&lt;author&gt;Ridley, G.&lt;/author&gt;&lt;author&gt;Glasson, E. J.&lt;/author&gt;&lt;author&gt;Wray, J. A.&lt;/author&gt;&lt;/authors&gt;&lt;/contributors&gt;&lt;auth-address&gt;Sydney Children&amp;apos;s Hospital, Sydney, Australia. katrina.williams@sesiahs.health.nsw.gov.au&lt;/auth-address&gt;&lt;titles&gt;&lt;title&gt;The prevalence of autism in Australia. Can it be established from existing data?&lt;/title&gt;&lt;secondary-title&gt;J Paediatr Child Health&lt;/secondary-title&gt;&lt;/titles&gt;&lt;periodical&gt;&lt;full-title&gt;J Paediatr Child Health&lt;/full-title&gt;&lt;/periodical&gt;&lt;pages&gt;504-10&lt;/pages&gt;&lt;volume&gt;44&lt;/volume&gt;&lt;number&gt;9&lt;/number&gt;&lt;keywords&gt;&lt;keyword&gt;Adolescent&lt;/keyword&gt;&lt;keyword&gt;Asperger Syndrome/epidemiology&lt;/keyword&gt;&lt;keyword&gt;Autistic Disorder/*epidemiology&lt;/keyword&gt;&lt;keyword&gt;Child&lt;/keyword&gt;&lt;keyword&gt;Child, Preschool&lt;/keyword&gt;&lt;keyword&gt;Female&lt;/keyword&gt;&lt;keyword&gt;Humans&lt;/keyword&gt;&lt;keyword&gt;Infant&lt;/keyword&gt;&lt;keyword&gt;Infant, Newborn&lt;/keyword&gt;&lt;keyword&gt;Male&lt;/keyword&gt;&lt;keyword&gt;Prevalence&lt;/keyword&gt;&lt;keyword&gt;Surveys and Questionnaires&lt;/keyword&gt;&lt;keyword&gt;Western Australia&lt;/keyword&gt;&lt;/keywords&gt;&lt;dates&gt;&lt;year&gt;2008&lt;/year&gt;&lt;pub-dates&gt;&lt;date&gt;Sep&lt;/date&gt;&lt;/pub-dates&gt;&lt;/dates&gt;&lt;isbn&gt;1440-1754 (Electronic)&amp;#xD;1034-4810 (Linking)&lt;/isbn&gt;&lt;accession-num&gt;18564076&lt;/accession-num&gt;&lt;urls&gt;&lt;related-urls&gt;&lt;url&gt;http://www.ncbi.nlm.nih.gov/pubmed/18564076&lt;/url&gt;&lt;/related-urls&gt;&lt;/urls&gt;&lt;electronic-resource-num&gt;10.1111/j.1440-1754.2008.01331.x&lt;/electronic-resource-num&gt;&lt;/record&gt;&lt;/Cite&gt;&lt;/EndNote&gt;</w:instrText>
      </w:r>
      <w:r>
        <w:fldChar w:fldCharType="separate"/>
      </w:r>
      <w:r>
        <w:rPr>
          <w:noProof/>
        </w:rPr>
        <w:t>(</w:t>
      </w:r>
      <w:hyperlink w:anchor="_ENREF_26" w:tooltip="Williams, 2008 #36" w:history="1">
        <w:r>
          <w:rPr>
            <w:noProof/>
          </w:rPr>
          <w:t>Williams et al. 2008</w:t>
        </w:r>
      </w:hyperlink>
      <w:r>
        <w:rPr>
          <w:noProof/>
        </w:rPr>
        <w:t>)</w:t>
      </w:r>
      <w:r>
        <w:fldChar w:fldCharType="end"/>
      </w:r>
      <w:r>
        <w:t xml:space="preserve"> reported an estimated prevalence of autism spectrum disorders of 0.6 per cent in Australian children. </w:t>
      </w:r>
      <w:proofErr w:type="spellStart"/>
      <w:r>
        <w:t>Barbaro</w:t>
      </w:r>
      <w:proofErr w:type="spellEnd"/>
      <w:r>
        <w:t xml:space="preserve"> et al reported on a prospective surveillance study suggesting that 0.8 per cent of Victorian children at the age of two fulfilled diagnostic criteria for autism spectrum disorders </w:t>
      </w:r>
      <w:r>
        <w:fldChar w:fldCharType="begin">
          <w:fldData xml:space="preserve">PEVuZE5vdGU+PENpdGU+PEF1dGhvcj5CYXJiYXJvPC9BdXRob3I+PFllYXI+MjAxMDwvWWVhcj48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YnItMT48L2FsdC1wZXJpb2RpY2FsPjxwYWdlcz4zNzYtMzg1PC9wYWdlcz48dm9sdW1lPjMxPC92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</w:fldData>
        </w:fldChar>
      </w:r>
      <w:r>
        <w:instrText xml:space="preserve"> ADDIN EN.CITE </w:instrText>
      </w:r>
      <w:r>
        <w:fldChar w:fldCharType="begin">
          <w:fldData xml:space="preserve">PEVuZE5vdGU+PENpdGU+PEF1dGhvcj5CYXJiYXJvPC9BdXRob3I+PFllYXI+MjAxMDwvWWVhcj48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YnItMT48L2FsdC1wZXJpb2RpY2FsPjxwYWdlcz4zNzYtMzg1PC9wYWdlcz48dm9sdW1lPjMxPC92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</w:fldData>
        </w:fldChar>
      </w:r>
      <w:r>
        <w:instrText xml:space="preserve"> ADDIN EN.CITE.DATA </w:instrText>
      </w:r>
      <w:r>
        <w:fldChar w:fldCharType="end"/>
      </w:r>
      <w:r>
        <w:fldChar w:fldCharType="separate"/>
      </w:r>
      <w:r>
        <w:rPr>
          <w:noProof/>
        </w:rPr>
        <w:t>(</w:t>
      </w:r>
      <w:hyperlink w:anchor="_ENREF_12" w:tooltip="Barbaro, 2010 #37" w:history="1">
        <w:r>
          <w:rPr>
            <w:noProof/>
          </w:rPr>
          <w:t>Barbaro &amp; Dissanayake 2010</w:t>
        </w:r>
      </w:hyperlink>
      <w:r>
        <w:rPr>
          <w:noProof/>
        </w:rPr>
        <w:t>)</w:t>
      </w:r>
      <w:r>
        <w:fldChar w:fldCharType="end"/>
      </w:r>
      <w:r>
        <w:t>.</w:t>
      </w:r>
    </w:p>
    <w:p w14:paraId="4557413F" w14:textId="77777777" w:rsidR="00A8082F" w:rsidRDefault="00A8082F" w:rsidP="00637045">
      <w:pPr>
        <w:jc w:val="both"/>
      </w:pPr>
    </w:p>
    <w:p w14:paraId="62675489" w14:textId="0D8A0D6D" w:rsidR="007505D1" w:rsidRDefault="007505D1" w:rsidP="00637045">
      <w:pPr>
        <w:jc w:val="both"/>
      </w:pPr>
      <w:r>
        <w:t>Other groups potentially eligible for CNA (not listed in the table) include patients with</w:t>
      </w:r>
      <w:r w:rsidR="00536BCC">
        <w:t xml:space="preserve"> seizure disorders</w:t>
      </w:r>
      <w:r>
        <w:t>; intellectual disability with neurological or psychiatric comorbidities; deficiency states; psychiatric or somatoform disorders with cognitive impairment; and, cognitive impairment secondary to other conditions such as cancer, connective tissue disorders and chronic diseases.</w:t>
      </w:r>
    </w:p>
    <w:p w14:paraId="312300CF" w14:textId="77777777" w:rsidR="006A02B3" w:rsidRDefault="006A02B3" w:rsidP="006A02B3">
      <w:pPr>
        <w:pStyle w:val="Caption"/>
      </w:pPr>
      <w:bookmarkStart w:id="1" w:name="_Ref420585619"/>
      <w:r>
        <w:t xml:space="preserve">Table </w:t>
      </w:r>
      <w:r>
        <w:fldChar w:fldCharType="begin"/>
      </w:r>
      <w:r>
        <w:instrText xml:space="preserve"> SEQ Table \* ARABIC </w:instrText>
      </w:r>
      <w:r>
        <w:fldChar w:fldCharType="separate"/>
      </w:r>
      <w:r w:rsidR="00C44008">
        <w:rPr>
          <w:noProof/>
        </w:rPr>
        <w:t>1</w:t>
      </w:r>
      <w:r>
        <w:fldChar w:fldCharType="end"/>
      </w:r>
      <w:bookmarkEnd w:id="1"/>
      <w:r>
        <w:t xml:space="preserve"> Prevalence of most common disorders included in</w:t>
      </w:r>
      <w:r w:rsidR="007505D1">
        <w:t xml:space="preserve"> some of the</w:t>
      </w:r>
      <w:r>
        <w:t xml:space="preserve"> groups</w:t>
      </w:r>
      <w:r>
        <w:rPr>
          <w:noProof/>
        </w:rPr>
        <w:t xml:space="preserve"> eligible for CNA services</w:t>
      </w:r>
    </w:p>
    <w:tbl>
      <w:tblPr>
        <w:tblStyle w:val="TableGrid"/>
        <w:tblpPr w:leftFromText="180" w:rightFromText="180" w:vertAnchor="text" w:tblpY="1"/>
        <w:tblOverlap w:val="never"/>
        <w:tblW w:w="0" w:type="auto"/>
        <w:tblLayout w:type="fixed"/>
        <w:tblLook w:val="04A0" w:firstRow="1" w:lastRow="0" w:firstColumn="1" w:lastColumn="0" w:noHBand="0" w:noVBand="1"/>
        <w:tblCaption w:val="Prevalence of most common disorders included in some of the groups eligible for CNA services"/>
        <w:tblDescription w:val="Prevalence of most common disorders included in some of the groups eligible for CNA services"/>
      </w:tblPr>
      <w:tblGrid>
        <w:gridCol w:w="1802"/>
        <w:gridCol w:w="3126"/>
        <w:gridCol w:w="4336"/>
      </w:tblGrid>
      <w:tr w:rsidR="00637045" w:rsidRPr="00114714" w14:paraId="4FC4EA01" w14:textId="77777777" w:rsidTr="00861324">
        <w:trPr>
          <w:tblHeader/>
        </w:trPr>
        <w:tc>
          <w:tcPr>
            <w:tcW w:w="1802" w:type="dxa"/>
            <w:tcBorders>
              <w:bottom w:val="single" w:sz="4" w:space="0" w:color="auto"/>
            </w:tcBorders>
          </w:tcPr>
          <w:p w14:paraId="26E2D466" w14:textId="77777777" w:rsidR="00637045" w:rsidRPr="001E400A" w:rsidRDefault="00637045" w:rsidP="00881730">
            <w:pPr>
              <w:pStyle w:val="Caption"/>
              <w:ind w:left="0" w:firstLine="0"/>
            </w:pPr>
            <w:r w:rsidRPr="001E400A">
              <w:t>Groups</w:t>
            </w:r>
          </w:p>
        </w:tc>
        <w:tc>
          <w:tcPr>
            <w:tcW w:w="3126" w:type="dxa"/>
            <w:tcBorders>
              <w:bottom w:val="single" w:sz="4" w:space="0" w:color="auto"/>
            </w:tcBorders>
          </w:tcPr>
          <w:p w14:paraId="66FB26AB" w14:textId="77777777" w:rsidR="00637045" w:rsidRPr="001E400A" w:rsidRDefault="00637045" w:rsidP="00881730">
            <w:pPr>
              <w:pStyle w:val="Caption"/>
              <w:ind w:left="0" w:firstLine="0"/>
            </w:pPr>
            <w:r w:rsidRPr="001E400A">
              <w:t>Subgroups/diseases/disorders</w:t>
            </w:r>
            <w:r w:rsidR="00114714" w:rsidRPr="001E400A">
              <w:t xml:space="preserve"> (most common)</w:t>
            </w:r>
          </w:p>
        </w:tc>
        <w:tc>
          <w:tcPr>
            <w:tcW w:w="4336" w:type="dxa"/>
            <w:tcBorders>
              <w:bottom w:val="single" w:sz="4" w:space="0" w:color="auto"/>
            </w:tcBorders>
          </w:tcPr>
          <w:p w14:paraId="4C075140" w14:textId="77777777" w:rsidR="00637045" w:rsidRPr="001E400A" w:rsidRDefault="00D10129" w:rsidP="00881730">
            <w:pPr>
              <w:pStyle w:val="Caption"/>
              <w:ind w:left="0" w:firstLine="0"/>
            </w:pPr>
            <w:r>
              <w:t>Number of patients in Australia</w:t>
            </w:r>
            <w:r w:rsidR="00637045" w:rsidRPr="001E400A">
              <w:t xml:space="preserve"> </w:t>
            </w:r>
          </w:p>
        </w:tc>
      </w:tr>
      <w:tr w:rsidR="00637045" w14:paraId="09AEA439" w14:textId="77777777" w:rsidTr="00861324">
        <w:tc>
          <w:tcPr>
            <w:tcW w:w="1802" w:type="dxa"/>
            <w:tcBorders>
              <w:top w:val="single" w:sz="4" w:space="0" w:color="auto"/>
              <w:left w:val="single" w:sz="4" w:space="0" w:color="auto"/>
              <w:bottom w:val="nil"/>
              <w:right w:val="single" w:sz="4" w:space="0" w:color="auto"/>
            </w:tcBorders>
          </w:tcPr>
          <w:p w14:paraId="5051F577" w14:textId="77777777" w:rsidR="00637045" w:rsidRPr="005F0AF1" w:rsidRDefault="00637045" w:rsidP="00881730">
            <w:pPr>
              <w:pStyle w:val="Caption"/>
              <w:ind w:left="0" w:firstLine="0"/>
              <w:rPr>
                <w:b w:val="0"/>
              </w:rPr>
            </w:pPr>
            <w:r w:rsidRPr="005F0AF1">
              <w:rPr>
                <w:b w:val="0"/>
              </w:rPr>
              <w:t>1. Neuro</w:t>
            </w:r>
            <w:r w:rsidR="00BE0E12" w:rsidRPr="005F0AF1">
              <w:rPr>
                <w:b w:val="0"/>
              </w:rPr>
              <w:t>-</w:t>
            </w:r>
            <w:r w:rsidRPr="005F0AF1">
              <w:rPr>
                <w:b w:val="0"/>
              </w:rPr>
              <w:t>degenerative diseases</w:t>
            </w:r>
          </w:p>
        </w:tc>
        <w:tc>
          <w:tcPr>
            <w:tcW w:w="3126" w:type="dxa"/>
            <w:tcBorders>
              <w:top w:val="single" w:sz="4" w:space="0" w:color="auto"/>
              <w:left w:val="single" w:sz="4" w:space="0" w:color="auto"/>
              <w:bottom w:val="dotted" w:sz="4" w:space="0" w:color="auto"/>
              <w:right w:val="single" w:sz="4" w:space="0" w:color="auto"/>
            </w:tcBorders>
          </w:tcPr>
          <w:p w14:paraId="7342AC8C" w14:textId="77777777" w:rsidR="00637045" w:rsidRPr="005F0AF1" w:rsidRDefault="004B4265" w:rsidP="00881730">
            <w:pPr>
              <w:pStyle w:val="Caption"/>
              <w:ind w:left="0" w:firstLine="0"/>
              <w:rPr>
                <w:b w:val="0"/>
              </w:rPr>
            </w:pPr>
            <w:r w:rsidRPr="005F0AF1">
              <w:rPr>
                <w:b w:val="0"/>
              </w:rPr>
              <w:t xml:space="preserve">a. </w:t>
            </w:r>
            <w:r w:rsidR="00F06C5E" w:rsidRPr="005F0AF1">
              <w:rPr>
                <w:b w:val="0"/>
              </w:rPr>
              <w:t>Alzheimer’s</w:t>
            </w:r>
            <w:r w:rsidR="00637045" w:rsidRPr="005F0AF1">
              <w:rPr>
                <w:b w:val="0"/>
              </w:rPr>
              <w:t xml:space="preserve"> disease and other forms of dementia</w:t>
            </w:r>
          </w:p>
        </w:tc>
        <w:tc>
          <w:tcPr>
            <w:tcW w:w="4336" w:type="dxa"/>
            <w:tcBorders>
              <w:top w:val="single" w:sz="4" w:space="0" w:color="auto"/>
              <w:left w:val="single" w:sz="4" w:space="0" w:color="auto"/>
              <w:bottom w:val="dotted" w:sz="4" w:space="0" w:color="auto"/>
              <w:right w:val="single" w:sz="4" w:space="0" w:color="auto"/>
            </w:tcBorders>
          </w:tcPr>
          <w:p w14:paraId="5FE25A4A" w14:textId="2D57ADC1" w:rsidR="00637045" w:rsidRPr="005F0AF1" w:rsidRDefault="00BA20E5" w:rsidP="00A8082F">
            <w:pPr>
              <w:pStyle w:val="Caption"/>
              <w:ind w:left="0" w:firstLine="0"/>
              <w:rPr>
                <w:b w:val="0"/>
              </w:rPr>
            </w:pPr>
            <w:r w:rsidRPr="005F0AF1">
              <w:rPr>
                <w:b w:val="0"/>
              </w:rPr>
              <w:t>298,000</w:t>
            </w:r>
            <w:r w:rsidR="00D10129">
              <w:rPr>
                <w:b w:val="0"/>
              </w:rPr>
              <w:t xml:space="preserve"> patients</w:t>
            </w:r>
            <w:r w:rsidRPr="005F0AF1">
              <w:rPr>
                <w:b w:val="0"/>
              </w:rPr>
              <w:t xml:space="preserve"> (2011)</w:t>
            </w:r>
            <w:r w:rsidR="004E7C30">
              <w:rPr>
                <w:b w:val="0"/>
              </w:rPr>
              <w:fldChar w:fldCharType="begin"/>
            </w:r>
            <w:r w:rsidR="004E7C30">
              <w:rPr>
                <w:b w:val="0"/>
              </w:rPr>
              <w:instrText xml:space="preserve"> ADDIN EN.CITE &lt;EndNote&gt;&lt;Cite&gt;&lt;Author&gt;Australian Institute of Health and Welfare&lt;/Author&gt;&lt;Year&gt;2012&lt;/Year&gt;&lt;RecNum&gt;12&lt;/RecNum&gt;&lt;DisplayText&gt;(Australian Institute of Health and Welfare 2012)&lt;/DisplayText&gt;&lt;record&gt;&lt;rec-number&gt;12&lt;/rec-number&gt;&lt;foreign-keys&gt;&lt;key app="EN" db-id="ar5dxszwoae9faedw9b5xwdcd2wzaftfwfer" timestamp="1432708830"&gt;12&lt;/key&gt;&lt;/foreign-keys&gt;&lt;ref-type name="Report"&gt;27&lt;/ref-type&gt;&lt;contributors&gt;&lt;authors&gt;&lt;author&gt;Australian Institute of Health and Welfare, .&lt;/author&gt;&lt;/authors&gt;&lt;/contributors&gt;&lt;titles&gt;&lt;title&gt;Dementia in Australia&lt;/title&gt;&lt;/titles&gt;&lt;volume&gt;Cat. no. AGE 70.&lt;/volume&gt;&lt;dates&gt;&lt;year&gt;2012&lt;/year&gt;&lt;/dates&gt;&lt;pub-location&gt;Canberra&lt;/pub-location&gt;&lt;publisher&gt;AIHW&lt;/publisher&gt;&lt;urls&gt;&lt;related-urls&gt;&lt;url&gt;http://www.aihw.gov.au/workarea/downloadasset.aspx?id=10737422943&lt;/url&gt;&lt;/related-urls&gt;&lt;/urls&gt;&lt;/record&gt;&lt;/Cite&gt;&lt;/EndNote&gt;</w:instrText>
            </w:r>
            <w:r w:rsidR="004E7C30">
              <w:rPr>
                <w:b w:val="0"/>
              </w:rPr>
              <w:fldChar w:fldCharType="separate"/>
            </w:r>
            <w:r w:rsidR="004E7C30">
              <w:rPr>
                <w:b w:val="0"/>
                <w:noProof/>
              </w:rPr>
              <w:t>(</w:t>
            </w:r>
            <w:hyperlink w:anchor="_ENREF_8" w:tooltip="Australian Institute of Health and Welfare, 2012 #12" w:history="1">
              <w:r w:rsidR="00A8082F">
                <w:rPr>
                  <w:b w:val="0"/>
                  <w:noProof/>
                </w:rPr>
                <w:t>Australian Institute of Health and Welfare 2012</w:t>
              </w:r>
            </w:hyperlink>
            <w:r w:rsidR="004E7C30">
              <w:rPr>
                <w:b w:val="0"/>
                <w:noProof/>
              </w:rPr>
              <w:t>)</w:t>
            </w:r>
            <w:r w:rsidR="004E7C30">
              <w:rPr>
                <w:b w:val="0"/>
              </w:rPr>
              <w:fldChar w:fldCharType="end"/>
            </w:r>
            <w:r w:rsidRPr="005F0AF1">
              <w:rPr>
                <w:b w:val="0"/>
              </w:rPr>
              <w:t xml:space="preserve"> </w:t>
            </w:r>
          </w:p>
        </w:tc>
      </w:tr>
      <w:tr w:rsidR="00114714" w14:paraId="5B906A1D" w14:textId="77777777" w:rsidTr="00861324">
        <w:tc>
          <w:tcPr>
            <w:tcW w:w="1802" w:type="dxa"/>
            <w:tcBorders>
              <w:top w:val="nil"/>
              <w:left w:val="single" w:sz="4" w:space="0" w:color="auto"/>
              <w:bottom w:val="nil"/>
              <w:right w:val="single" w:sz="4" w:space="0" w:color="auto"/>
            </w:tcBorders>
          </w:tcPr>
          <w:p w14:paraId="0BDEE24C" w14:textId="77777777" w:rsidR="00114714" w:rsidRPr="005F0AF1" w:rsidRDefault="00114714"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009C2AF2" w14:textId="77777777" w:rsidR="00114714" w:rsidRPr="005F0AF1" w:rsidRDefault="004B4265" w:rsidP="00881730">
            <w:pPr>
              <w:pStyle w:val="Caption"/>
              <w:ind w:left="0" w:firstLine="0"/>
              <w:rPr>
                <w:b w:val="0"/>
              </w:rPr>
            </w:pPr>
            <w:r w:rsidRPr="005F0AF1">
              <w:rPr>
                <w:b w:val="0"/>
              </w:rPr>
              <w:t xml:space="preserve">b. </w:t>
            </w:r>
            <w:r w:rsidR="00114714" w:rsidRPr="005F0AF1">
              <w:rPr>
                <w:b w:val="0"/>
              </w:rPr>
              <w:t>Parkinson</w:t>
            </w:r>
            <w:r w:rsidR="0013275A" w:rsidRPr="005F0AF1">
              <w:rPr>
                <w:b w:val="0"/>
              </w:rPr>
              <w:t>’s</w:t>
            </w:r>
            <w:r w:rsidR="00114714" w:rsidRPr="005F0AF1">
              <w:rPr>
                <w:b w:val="0"/>
              </w:rPr>
              <w:t xml:space="preserve"> disease</w:t>
            </w:r>
          </w:p>
        </w:tc>
        <w:tc>
          <w:tcPr>
            <w:tcW w:w="4336" w:type="dxa"/>
            <w:tcBorders>
              <w:top w:val="dotted" w:sz="4" w:space="0" w:color="auto"/>
              <w:left w:val="single" w:sz="4" w:space="0" w:color="auto"/>
              <w:bottom w:val="dotted" w:sz="4" w:space="0" w:color="auto"/>
              <w:right w:val="single" w:sz="4" w:space="0" w:color="auto"/>
            </w:tcBorders>
          </w:tcPr>
          <w:p w14:paraId="02283546" w14:textId="49566E2B" w:rsidR="00114714" w:rsidRPr="005F0AF1" w:rsidRDefault="00FE14C9" w:rsidP="00A8082F">
            <w:pPr>
              <w:pStyle w:val="Caption"/>
              <w:ind w:left="0" w:firstLine="0"/>
              <w:rPr>
                <w:b w:val="0"/>
              </w:rPr>
            </w:pPr>
            <w:r w:rsidRPr="005F0AF1">
              <w:rPr>
                <w:b w:val="0"/>
              </w:rPr>
              <w:t>80,000</w:t>
            </w:r>
            <w:r w:rsidR="00D10129">
              <w:rPr>
                <w:b w:val="0"/>
              </w:rPr>
              <w:t xml:space="preserve"> patients</w:t>
            </w:r>
            <w:r w:rsidRPr="005F0AF1">
              <w:rPr>
                <w:b w:val="0"/>
              </w:rPr>
              <w:t xml:space="preserve"> </w:t>
            </w:r>
            <w:r w:rsidR="004E7C30">
              <w:rPr>
                <w:b w:val="0"/>
              </w:rPr>
              <w:fldChar w:fldCharType="begin"/>
            </w:r>
            <w:r w:rsidR="00A8082F">
              <w:rPr>
                <w:b w:val="0"/>
              </w:rPr>
              <w:instrText xml:space="preserve"> ADDIN EN.CITE &lt;EndNote&gt;&lt;Cite ExcludeYear="1"&gt;&lt;Author&gt;Parkinson&amp;apos;s Australia&lt;/Author&gt;&lt;RecNum&gt;13&lt;/RecNum&gt;&lt;DisplayText&gt;(Parkinson&amp;apos;s Australia)&lt;/DisplayText&gt;&lt;record&gt;&lt;rec-number&gt;13&lt;/rec-number&gt;&lt;foreign-keys&gt;&lt;key app="EN" db-id="ar5dxszwoae9faedw9b5xwdcd2wzaftfwfer" timestamp="1432708972"&gt;13&lt;/key&gt;&lt;/foreign-keys&gt;&lt;ref-type name="Web Page"&gt;12&lt;/ref-type&gt;&lt;contributors&gt;&lt;authors&gt;&lt;author&gt;Parkinson&amp;apos;s Australia,.&lt;/author&gt;&lt;/authors&gt;&lt;/contributors&gt;&lt;titles&gt;&lt;title&gt;What is Parkinson&amp;apos;s?&lt;/title&gt;&lt;/titles&gt;&lt;number&gt;27/05/2015&lt;/number&gt;&lt;dates&gt;&lt;/dates&gt;&lt;urls&gt;&lt;related-urls&gt;&lt;url&gt;http://www.parkinsons.org.au/what-is-parkinsons&lt;/url&gt;&lt;/related-urls&gt;&lt;/urls&gt;&lt;/record&gt;&lt;/Cite&gt;&lt;/EndNote&gt;</w:instrText>
            </w:r>
            <w:r w:rsidR="004E7C30">
              <w:rPr>
                <w:b w:val="0"/>
              </w:rPr>
              <w:fldChar w:fldCharType="separate"/>
            </w:r>
            <w:r w:rsidR="00A8082F">
              <w:rPr>
                <w:b w:val="0"/>
                <w:noProof/>
              </w:rPr>
              <w:t>(</w:t>
            </w:r>
            <w:hyperlink w:anchor="_ENREF_24" w:tooltip="Parkinson's Australia,  #13" w:history="1">
              <w:r w:rsidR="00A8082F">
                <w:rPr>
                  <w:b w:val="0"/>
                  <w:noProof/>
                </w:rPr>
                <w:t>Parkinson's Australia</w:t>
              </w:r>
            </w:hyperlink>
            <w:r w:rsidR="00A8082F">
              <w:rPr>
                <w:b w:val="0"/>
                <w:noProof/>
              </w:rPr>
              <w:t>)</w:t>
            </w:r>
            <w:r w:rsidR="004E7C30">
              <w:rPr>
                <w:b w:val="0"/>
              </w:rPr>
              <w:fldChar w:fldCharType="end"/>
            </w:r>
          </w:p>
        </w:tc>
      </w:tr>
      <w:tr w:rsidR="00BF2DE8" w14:paraId="71B2765D" w14:textId="77777777" w:rsidTr="00861324">
        <w:tc>
          <w:tcPr>
            <w:tcW w:w="1802" w:type="dxa"/>
            <w:tcBorders>
              <w:top w:val="nil"/>
              <w:left w:val="single" w:sz="4" w:space="0" w:color="auto"/>
              <w:bottom w:val="nil"/>
              <w:right w:val="single" w:sz="4" w:space="0" w:color="auto"/>
            </w:tcBorders>
          </w:tcPr>
          <w:p w14:paraId="4E43BBE7"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178C6496" w14:textId="77777777" w:rsidR="00BF2DE8" w:rsidRPr="005F0AF1" w:rsidRDefault="00BF2DE8" w:rsidP="00881730">
            <w:pPr>
              <w:pStyle w:val="Caption"/>
              <w:ind w:left="0" w:firstLine="0"/>
              <w:rPr>
                <w:b w:val="0"/>
              </w:rPr>
            </w:pPr>
            <w:r w:rsidRPr="005F0AF1">
              <w:rPr>
                <w:b w:val="0"/>
              </w:rPr>
              <w:t>c. Multiple Sclerosis (MS)</w:t>
            </w:r>
          </w:p>
        </w:tc>
        <w:tc>
          <w:tcPr>
            <w:tcW w:w="4336" w:type="dxa"/>
            <w:tcBorders>
              <w:top w:val="dotted" w:sz="4" w:space="0" w:color="auto"/>
              <w:left w:val="single" w:sz="4" w:space="0" w:color="auto"/>
              <w:bottom w:val="dotted" w:sz="4" w:space="0" w:color="auto"/>
              <w:right w:val="single" w:sz="4" w:space="0" w:color="auto"/>
            </w:tcBorders>
          </w:tcPr>
          <w:p w14:paraId="7FFB95E5" w14:textId="1DCA6A14" w:rsidR="00BF2DE8" w:rsidRPr="005F0AF1" w:rsidRDefault="004E7C30" w:rsidP="00A8082F">
            <w:pPr>
              <w:pStyle w:val="Caption"/>
              <w:ind w:left="0" w:firstLine="0"/>
              <w:rPr>
                <w:b w:val="0"/>
              </w:rPr>
            </w:pPr>
            <w:r>
              <w:rPr>
                <w:b w:val="0"/>
              </w:rPr>
              <w:t>23,700</w:t>
            </w:r>
            <w:r w:rsidR="00D10129">
              <w:rPr>
                <w:b w:val="0"/>
              </w:rPr>
              <w:t xml:space="preserve"> patients</w:t>
            </w:r>
            <w:r>
              <w:rPr>
                <w:b w:val="0"/>
              </w:rPr>
              <w:t xml:space="preserve"> (2009) </w:t>
            </w:r>
            <w:r>
              <w:rPr>
                <w:b w:val="0"/>
              </w:rPr>
              <w:fldChar w:fldCharType="begin"/>
            </w:r>
            <w:r>
              <w:rPr>
                <w:b w:val="0"/>
              </w:rPr>
              <w:instrText xml:space="preserve"> ADDIN EN.CITE &lt;EndNote&gt;&lt;Cite&gt;&lt;Author&gt;Australian Bureau of Statistics&lt;/Author&gt;&lt;Year&gt;2009&lt;/Year&gt;&lt;RecNum&gt;14&lt;/RecNum&gt;&lt;DisplayText&gt;(Australian Bureau of Statistics 2009)&lt;/DisplayText&gt;&lt;record&gt;&lt;rec-number&gt;14&lt;/rec-number&gt;&lt;foreign-keys&gt;&lt;key app="EN" db-id="ar5dxszwoae9faedw9b5xwdcd2wzaftfwfer" timestamp="1432709406"&gt;14&lt;/key&gt;&lt;/foreign-keys&gt;&lt;ref-type name="Web Page"&gt;12&lt;/ref-type&gt;&lt;contributors&gt;&lt;authors&gt;&lt;author&gt;Australian Bureau of Statistics,.&lt;/author&gt;&lt;/authors&gt;&lt;/contributors&gt;&lt;titles&gt;&lt;title&gt;Profiles of Disability, Australia. Multiple Sclerosis&lt;/title&gt;&lt;/titles&gt;&lt;number&gt;27/05/2015&lt;/number&gt;&lt;dates&gt;&lt;year&gt;2009&lt;/year&gt;&lt;/dates&gt;&lt;publisher&gt;ABS&lt;/publisher&gt;&lt;urls&gt;&lt;related-urls&gt;&lt;url&gt;http://www.abs.gov.au/ausstats/abs@.nsf/Lookup/4429.0Main+Features100182009&lt;/url&gt;&lt;/related-urls&gt;&lt;/urls&gt;&lt;/record&gt;&lt;/Cite&gt;&lt;/EndNote&gt;</w:instrText>
            </w:r>
            <w:r>
              <w:rPr>
                <w:b w:val="0"/>
              </w:rPr>
              <w:fldChar w:fldCharType="separate"/>
            </w:r>
            <w:r>
              <w:rPr>
                <w:b w:val="0"/>
                <w:noProof/>
              </w:rPr>
              <w:t>(</w:t>
            </w:r>
            <w:hyperlink w:anchor="_ENREF_6" w:tooltip="Australian Bureau of Statistics, 2009 #14" w:history="1">
              <w:r w:rsidR="00A8082F">
                <w:rPr>
                  <w:b w:val="0"/>
                  <w:noProof/>
                </w:rPr>
                <w:t>Australian Bureau of Statistics 2009</w:t>
              </w:r>
            </w:hyperlink>
            <w:r>
              <w:rPr>
                <w:b w:val="0"/>
                <w:noProof/>
              </w:rPr>
              <w:t>)</w:t>
            </w:r>
            <w:r>
              <w:rPr>
                <w:b w:val="0"/>
              </w:rPr>
              <w:fldChar w:fldCharType="end"/>
            </w:r>
          </w:p>
        </w:tc>
      </w:tr>
      <w:tr w:rsidR="00BF2DE8" w14:paraId="03BD569C" w14:textId="77777777" w:rsidTr="00861324">
        <w:tc>
          <w:tcPr>
            <w:tcW w:w="1802" w:type="dxa"/>
            <w:tcBorders>
              <w:top w:val="nil"/>
              <w:left w:val="single" w:sz="4" w:space="0" w:color="auto"/>
              <w:bottom w:val="nil"/>
              <w:right w:val="single" w:sz="4" w:space="0" w:color="auto"/>
            </w:tcBorders>
          </w:tcPr>
          <w:p w14:paraId="6673B782"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0053DB75" w14:textId="77777777" w:rsidR="00BF2DE8" w:rsidRPr="005F0AF1" w:rsidRDefault="00BF2DE8" w:rsidP="00881730">
            <w:pPr>
              <w:pStyle w:val="Caption"/>
              <w:ind w:left="0" w:firstLine="0"/>
              <w:rPr>
                <w:b w:val="0"/>
              </w:rPr>
            </w:pPr>
            <w:r w:rsidRPr="005F0AF1">
              <w:rPr>
                <w:b w:val="0"/>
              </w:rPr>
              <w:t xml:space="preserve">d. Amyotrophic </w:t>
            </w:r>
            <w:r w:rsidR="0013275A" w:rsidRPr="005F0AF1">
              <w:rPr>
                <w:b w:val="0"/>
              </w:rPr>
              <w:t>Lateral S</w:t>
            </w:r>
            <w:r w:rsidRPr="005F0AF1">
              <w:rPr>
                <w:b w:val="0"/>
              </w:rPr>
              <w:t>clerosis/ Motor Neurone Disease (ALS/MND)</w:t>
            </w:r>
          </w:p>
        </w:tc>
        <w:tc>
          <w:tcPr>
            <w:tcW w:w="4336" w:type="dxa"/>
            <w:tcBorders>
              <w:top w:val="dotted" w:sz="4" w:space="0" w:color="auto"/>
              <w:left w:val="single" w:sz="4" w:space="0" w:color="auto"/>
              <w:bottom w:val="dotted" w:sz="4" w:space="0" w:color="auto"/>
              <w:right w:val="single" w:sz="4" w:space="0" w:color="auto"/>
            </w:tcBorders>
          </w:tcPr>
          <w:p w14:paraId="2C16DA31" w14:textId="455B16C0" w:rsidR="00BF2DE8" w:rsidRPr="005F0AF1" w:rsidRDefault="00344155" w:rsidP="00A8082F">
            <w:pPr>
              <w:pStyle w:val="Caption"/>
              <w:ind w:left="0" w:firstLine="0"/>
              <w:rPr>
                <w:b w:val="0"/>
              </w:rPr>
            </w:pPr>
            <w:r>
              <w:rPr>
                <w:b w:val="0"/>
              </w:rPr>
              <w:t>1,900</w:t>
            </w:r>
            <w:r w:rsidR="00D10129">
              <w:rPr>
                <w:b w:val="0"/>
              </w:rPr>
              <w:t xml:space="preserve"> patients</w:t>
            </w:r>
            <w:r>
              <w:rPr>
                <w:b w:val="0"/>
              </w:rPr>
              <w:t xml:space="preserve"> </w:t>
            </w:r>
            <w:r>
              <w:rPr>
                <w:b w:val="0"/>
              </w:rPr>
              <w:fldChar w:fldCharType="begin"/>
            </w:r>
            <w:r>
              <w:rPr>
                <w:b w:val="0"/>
              </w:rPr>
              <w:instrText xml:space="preserve"> ADDIN EN.CITE &lt;EndNote&gt;&lt;Cite&gt;&lt;Author&gt;Motor Neurone Disease Australia&lt;/Author&gt;&lt;Year&gt;2014&lt;/Year&gt;&lt;RecNum&gt;15&lt;/RecNum&gt;&lt;DisplayText&gt;(Motor Neurone Disease Australia 2014)&lt;/DisplayText&gt;&lt;record&gt;&lt;rec-number&gt;15&lt;/rec-number&gt;&lt;foreign-keys&gt;&lt;key app="EN" db-id="ar5dxszwoae9faedw9b5xwdcd2wzaftfwfer" timestamp="1432709613"&gt;15&lt;/key&gt;&lt;/foreign-keys&gt;&lt;ref-type name="Report"&gt;27&lt;/ref-type&gt;&lt;contributors&gt;&lt;authors&gt;&lt;author&gt;Motor Neurone Disease Australia,.&lt;/author&gt;&lt;/authors&gt;&lt;/contributors&gt;&lt;titles&gt;&lt;title&gt;Motor Neurone Disease. More Facts.&lt;/title&gt;&lt;/titles&gt;&lt;dates&gt;&lt;year&gt;2014&lt;/year&gt;&lt;/dates&gt;&lt;publisher&gt;MND Australia Inc.&lt;/publisher&gt;&lt;urls&gt;&lt;related-urls&gt;&lt;url&gt;http://www.mndaust.asn.au/Documents/Information-resources/More-Facts-2011-web.aspx&lt;/url&gt;&lt;/related-urls&gt;&lt;/urls&gt;&lt;/record&gt;&lt;/Cite&gt;&lt;/EndNote&gt;</w:instrText>
            </w:r>
            <w:r>
              <w:rPr>
                <w:b w:val="0"/>
              </w:rPr>
              <w:fldChar w:fldCharType="separate"/>
            </w:r>
            <w:r>
              <w:rPr>
                <w:b w:val="0"/>
                <w:noProof/>
              </w:rPr>
              <w:t>(</w:t>
            </w:r>
            <w:hyperlink w:anchor="_ENREF_22" w:tooltip="Motor Neurone Disease Australia, 2014 #15" w:history="1">
              <w:r w:rsidR="00A8082F">
                <w:rPr>
                  <w:b w:val="0"/>
                  <w:noProof/>
                </w:rPr>
                <w:t>Motor Neurone Disease Australia 2014</w:t>
              </w:r>
            </w:hyperlink>
            <w:r>
              <w:rPr>
                <w:b w:val="0"/>
                <w:noProof/>
              </w:rPr>
              <w:t>)</w:t>
            </w:r>
            <w:r>
              <w:rPr>
                <w:b w:val="0"/>
              </w:rPr>
              <w:fldChar w:fldCharType="end"/>
            </w:r>
          </w:p>
        </w:tc>
      </w:tr>
      <w:tr w:rsidR="00BF2DE8" w14:paraId="7F736850" w14:textId="77777777" w:rsidTr="00861324">
        <w:tc>
          <w:tcPr>
            <w:tcW w:w="1802" w:type="dxa"/>
            <w:tcBorders>
              <w:top w:val="nil"/>
              <w:left w:val="single" w:sz="4" w:space="0" w:color="auto"/>
              <w:bottom w:val="nil"/>
              <w:right w:val="single" w:sz="4" w:space="0" w:color="auto"/>
            </w:tcBorders>
          </w:tcPr>
          <w:p w14:paraId="11B04124"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31BFCAD6" w14:textId="77777777" w:rsidR="00BF2DE8" w:rsidRPr="005F0AF1" w:rsidRDefault="00BF2DE8" w:rsidP="00881730">
            <w:pPr>
              <w:pStyle w:val="Caption"/>
              <w:ind w:left="0" w:firstLine="0"/>
              <w:rPr>
                <w:b w:val="0"/>
              </w:rPr>
            </w:pPr>
            <w:r w:rsidRPr="005F0AF1">
              <w:rPr>
                <w:b w:val="0"/>
              </w:rPr>
              <w:t>e. Huntington’s disease</w:t>
            </w:r>
          </w:p>
        </w:tc>
        <w:tc>
          <w:tcPr>
            <w:tcW w:w="4336" w:type="dxa"/>
            <w:tcBorders>
              <w:top w:val="dotted" w:sz="4" w:space="0" w:color="auto"/>
              <w:left w:val="single" w:sz="4" w:space="0" w:color="auto"/>
              <w:bottom w:val="dotted" w:sz="4" w:space="0" w:color="auto"/>
              <w:right w:val="single" w:sz="4" w:space="0" w:color="auto"/>
            </w:tcBorders>
          </w:tcPr>
          <w:p w14:paraId="25D53588" w14:textId="693E5BD4" w:rsidR="00BF2DE8" w:rsidRPr="005F0AF1" w:rsidRDefault="00323B07" w:rsidP="00A8082F">
            <w:pPr>
              <w:pStyle w:val="Caption"/>
              <w:ind w:left="0" w:firstLine="0"/>
              <w:rPr>
                <w:b w:val="0"/>
              </w:rPr>
            </w:pPr>
            <w:r>
              <w:rPr>
                <w:b w:val="0"/>
              </w:rPr>
              <w:t>1,600</w:t>
            </w:r>
            <w:r w:rsidR="00D10129">
              <w:rPr>
                <w:b w:val="0"/>
              </w:rPr>
              <w:t xml:space="preserve"> patients</w:t>
            </w:r>
            <w:r>
              <w:rPr>
                <w:b w:val="0"/>
              </w:rPr>
              <w:t xml:space="preserve"> </w:t>
            </w:r>
            <w:r>
              <w:rPr>
                <w:b w:val="0"/>
              </w:rPr>
              <w:fldChar w:fldCharType="begin"/>
            </w:r>
            <w:r w:rsidR="00A8082F">
              <w:rPr>
                <w:b w:val="0"/>
              </w:rPr>
              <w:instrText xml:space="preserve"> ADDIN EN.CITE &lt;EndNote&gt;&lt;Cite&gt;&lt;Author&gt;Huntington&amp;apos;s New South Wales&lt;/Author&gt;&lt;Year&gt;2001&lt;/Year&gt;&lt;RecNum&gt;16&lt;/RecNum&gt;&lt;DisplayText&gt;(Huntington&amp;apos;s New South Wales 2001)&lt;/DisplayText&gt;&lt;record&gt;&lt;rec-number&gt;16&lt;/rec-number&gt;&lt;foreign-keys&gt;&lt;key app="EN" db-id="ar5dxszwoae9faedw9b5xwdcd2wzaftfwfer" timestamp="1432709801"&gt;16&lt;/key&gt;&lt;/foreign-keys&gt;&lt;ref-type name="Web Page"&gt;12&lt;/ref-type&gt;&lt;contributors&gt;&lt;authors&gt;&lt;author&gt;Huntington&amp;apos;s New South Wales,.&lt;/author&gt;&lt;/authors&gt;&lt;/contributors&gt;&lt;titles&gt;&lt;title&gt;How common is Huntington&amp;apos;s Disease (HD)?&lt;/title&gt;&lt;/titles&gt;&lt;number&gt;27/05/2015&lt;/number&gt;&lt;dates&gt;&lt;year&gt;2001&lt;/year&gt;&lt;/dates&gt;&lt;urls&gt;&lt;related-urls&gt;&lt;url&gt;http://www.huntingtonsnsw.org.au/information/hd-facts/how-common&lt;/url&gt;&lt;/related-urls&gt;&lt;/urls&gt;&lt;/record&gt;&lt;/Cite&gt;&lt;/EndNote&gt;</w:instrText>
            </w:r>
            <w:r>
              <w:rPr>
                <w:b w:val="0"/>
              </w:rPr>
              <w:fldChar w:fldCharType="separate"/>
            </w:r>
            <w:r w:rsidR="00A8082F">
              <w:rPr>
                <w:b w:val="0"/>
                <w:noProof/>
              </w:rPr>
              <w:t>(</w:t>
            </w:r>
            <w:hyperlink w:anchor="_ENREF_17" w:tooltip="Huntington's New South Wales, 2001 #16" w:history="1">
              <w:r w:rsidR="00A8082F">
                <w:rPr>
                  <w:b w:val="0"/>
                  <w:noProof/>
                </w:rPr>
                <w:t>Huntington's New South Wales 2001</w:t>
              </w:r>
            </w:hyperlink>
            <w:r w:rsidR="00A8082F">
              <w:rPr>
                <w:b w:val="0"/>
                <w:noProof/>
              </w:rPr>
              <w:t>)</w:t>
            </w:r>
            <w:r>
              <w:rPr>
                <w:b w:val="0"/>
              </w:rPr>
              <w:fldChar w:fldCharType="end"/>
            </w:r>
          </w:p>
        </w:tc>
      </w:tr>
      <w:tr w:rsidR="00BF2DE8" w14:paraId="50DA4EFB" w14:textId="77777777" w:rsidTr="00861324">
        <w:tc>
          <w:tcPr>
            <w:tcW w:w="1802" w:type="dxa"/>
            <w:tcBorders>
              <w:top w:val="nil"/>
              <w:left w:val="single" w:sz="4" w:space="0" w:color="auto"/>
              <w:bottom w:val="single" w:sz="4" w:space="0" w:color="auto"/>
              <w:right w:val="single" w:sz="4" w:space="0" w:color="auto"/>
            </w:tcBorders>
          </w:tcPr>
          <w:p w14:paraId="0975B0F7"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single" w:sz="4" w:space="0" w:color="auto"/>
              <w:right w:val="single" w:sz="4" w:space="0" w:color="auto"/>
            </w:tcBorders>
          </w:tcPr>
          <w:p w14:paraId="0312966D" w14:textId="77777777" w:rsidR="00BF2DE8" w:rsidRPr="005F0AF1" w:rsidRDefault="00BF2DE8" w:rsidP="00881730">
            <w:pPr>
              <w:pStyle w:val="Caption"/>
              <w:ind w:left="0" w:firstLine="0"/>
              <w:rPr>
                <w:b w:val="0"/>
              </w:rPr>
            </w:pPr>
            <w:r w:rsidRPr="005F0AF1">
              <w:rPr>
                <w:b w:val="0"/>
              </w:rPr>
              <w:t xml:space="preserve">f. </w:t>
            </w:r>
            <w:proofErr w:type="spellStart"/>
            <w:r w:rsidRPr="005F0AF1">
              <w:rPr>
                <w:b w:val="0"/>
              </w:rPr>
              <w:t>Creutzfeldt</w:t>
            </w:r>
            <w:proofErr w:type="spellEnd"/>
            <w:r w:rsidRPr="005F0AF1">
              <w:rPr>
                <w:b w:val="0"/>
              </w:rPr>
              <w:t>-Jacob disease (and other prion diseases)</w:t>
            </w:r>
          </w:p>
        </w:tc>
        <w:tc>
          <w:tcPr>
            <w:tcW w:w="4336" w:type="dxa"/>
            <w:tcBorders>
              <w:top w:val="dotted" w:sz="4" w:space="0" w:color="auto"/>
              <w:left w:val="single" w:sz="4" w:space="0" w:color="auto"/>
              <w:bottom w:val="single" w:sz="4" w:space="0" w:color="auto"/>
              <w:right w:val="single" w:sz="4" w:space="0" w:color="auto"/>
            </w:tcBorders>
          </w:tcPr>
          <w:p w14:paraId="7B218AE4" w14:textId="21CED1BD" w:rsidR="00BF2DE8" w:rsidRPr="005F0AF1" w:rsidRDefault="0013275A" w:rsidP="00A8082F">
            <w:pPr>
              <w:pStyle w:val="Caption"/>
              <w:ind w:left="0" w:firstLine="0"/>
              <w:rPr>
                <w:b w:val="0"/>
              </w:rPr>
            </w:pPr>
            <w:r w:rsidRPr="005F0AF1">
              <w:rPr>
                <w:b w:val="0"/>
              </w:rPr>
              <w:t>1,426</w:t>
            </w:r>
            <w:r w:rsidR="00503781">
              <w:rPr>
                <w:b w:val="0"/>
              </w:rPr>
              <w:t xml:space="preserve"> diagnosed</w:t>
            </w:r>
            <w:r w:rsidRPr="005F0AF1">
              <w:rPr>
                <w:b w:val="0"/>
              </w:rPr>
              <w:t xml:space="preserve"> cases from 1993-March 2010</w:t>
            </w:r>
            <w:r w:rsidR="00323B07">
              <w:rPr>
                <w:b w:val="0"/>
              </w:rPr>
              <w:t xml:space="preserve"> </w:t>
            </w:r>
            <w:r w:rsidR="00323B07">
              <w:rPr>
                <w:b w:val="0"/>
              </w:rPr>
              <w:fldChar w:fldCharType="begin"/>
            </w:r>
            <w:r w:rsidR="00323B07">
              <w:rPr>
                <w:b w:val="0"/>
              </w:rPr>
              <w:instrText xml:space="preserve"> ADDIN EN.CITE &lt;EndNote&gt;&lt;Cite&gt;&lt;Author&gt;Klug&lt;/Author&gt;&lt;Year&gt;2011&lt;/Year&gt;&lt;RecNum&gt;17&lt;/RecNum&gt;&lt;IDText&gt;149-53&lt;/IDText&gt;&lt;DisplayText&gt;(Klug et al. 2011)&lt;/DisplayText&gt;&lt;record&gt;&lt;rec-number&gt;17&lt;/rec-number&gt;&lt;foreign-keys&gt;&lt;key app="EN" db-id="ar5dxszwoae9faedw9b5xwdcd2wzaftfwfer" timestamp="1432709951"&gt;17&lt;/key&gt;&lt;/foreign-keys&gt;&lt;ref-type name="Journal Article"&gt;17&lt;/ref-type&gt;&lt;contributors&gt;&lt;authors&gt;&lt;author&gt;Klug, G. M.&lt;/author&gt;&lt;author&gt;Boyd, A.&lt;/author&gt;&lt;author&gt;McGlade, A.&lt;/author&gt;&lt;author&gt;Stehmann, C.&lt;/author&gt;&lt;author&gt;Masters, C. L.&lt;/author&gt;&lt;author&gt;Collins, S. J.&lt;/author&gt;&lt;/authors&gt;&lt;/contributors&gt;&lt;auth-address&gt;Australian National Creutzfeldt-Jakob Disease Registry, Department of Pathology, The University of Melbourne, Victoria, Australia. gmjak@unimelb.edu.au&lt;/auth-address&gt;&lt;titles&gt;&lt;title&gt;Surveillance of Creutzfeldt-Jakob disease in Australia: update to December 2010&lt;/title&gt;&lt;secondary-title&gt;Commun Dis Intell Q Rep&lt;/secondary-title&gt;&lt;alt-title&gt;Communicable diseases intelligence quarterly report&lt;/alt-title&gt;&lt;/titles&gt;&lt;periodical&gt;&lt;full-title&gt;Commun Dis Intell Q Rep&lt;/full-title&gt;&lt;abbr-1&gt;Communicable diseases intelligence quarterly report&lt;/abbr-1&gt;&lt;/periodical&gt;&lt;alt-periodical&gt;&lt;full-title&gt;Commun Dis Intell Q Rep&lt;/full-title&gt;&lt;abbr-1&gt;Communicable diseases intelligence quarterly report&lt;/abbr-1&gt;&lt;/alt-periodical&gt;&lt;pages&gt;149-53&lt;/pages&gt;&lt;volume&gt;35&lt;/volume&gt;&lt;number&gt;2&lt;/number&gt;&lt;edition&gt;2011/10/21&lt;/edition&gt;&lt;keywords&gt;&lt;keyword&gt;Australia/epidemiology&lt;/keyword&gt;&lt;keyword&gt;Creutzfeldt-Jakob Syndrome/*epidemiology/mortality&lt;/keyword&gt;&lt;keyword&gt;Disease Notification/statistics &amp;amp; numerical data&lt;/keyword&gt;&lt;keyword&gt;Humans&lt;/keyword&gt;&lt;keyword&gt;Incidence&lt;/keyword&gt;&lt;keyword&gt;*Population Surveillance&lt;/keyword&gt;&lt;/keywords&gt;&lt;dates&gt;&lt;year&gt;2011&lt;/year&gt;&lt;pub-dates&gt;&lt;date&gt;Jun&lt;/date&gt;&lt;/pub-dates&gt;&lt;/dates&gt;&lt;isbn&gt;1447-4514 (Print)&amp;#xD;1447-4514 (Linking)&lt;/isbn&gt;&lt;accession-num&gt;22010507&lt;/accession-num&gt;&lt;urls&gt;&lt;related-urls&gt;&lt;url&gt;http://www.ncbi.nlm.nih.gov/pubmed/22010507&lt;/url&gt;&lt;/related-urls&gt;&lt;/urls&gt;&lt;/record&gt;&lt;/Cite&gt;&lt;/EndNote&gt;</w:instrText>
            </w:r>
            <w:r w:rsidR="00323B07">
              <w:rPr>
                <w:b w:val="0"/>
              </w:rPr>
              <w:fldChar w:fldCharType="separate"/>
            </w:r>
            <w:r w:rsidR="00323B07">
              <w:rPr>
                <w:b w:val="0"/>
                <w:noProof/>
              </w:rPr>
              <w:t>(</w:t>
            </w:r>
            <w:hyperlink w:anchor="_ENREF_19" w:tooltip="Klug, 2011 #17" w:history="1">
              <w:r w:rsidR="00A8082F">
                <w:rPr>
                  <w:b w:val="0"/>
                  <w:noProof/>
                </w:rPr>
                <w:t>Klug et al. 2011</w:t>
              </w:r>
            </w:hyperlink>
            <w:r w:rsidR="00323B07">
              <w:rPr>
                <w:b w:val="0"/>
                <w:noProof/>
              </w:rPr>
              <w:t>)</w:t>
            </w:r>
            <w:r w:rsidR="00323B07">
              <w:rPr>
                <w:b w:val="0"/>
              </w:rPr>
              <w:fldChar w:fldCharType="end"/>
            </w:r>
          </w:p>
        </w:tc>
      </w:tr>
      <w:tr w:rsidR="00BE0E12" w14:paraId="7D657812" w14:textId="77777777" w:rsidTr="00861324">
        <w:tc>
          <w:tcPr>
            <w:tcW w:w="1802" w:type="dxa"/>
            <w:tcBorders>
              <w:top w:val="single" w:sz="4" w:space="0" w:color="auto"/>
              <w:left w:val="single" w:sz="4" w:space="0" w:color="auto"/>
              <w:bottom w:val="nil"/>
              <w:right w:val="single" w:sz="4" w:space="0" w:color="auto"/>
            </w:tcBorders>
          </w:tcPr>
          <w:p w14:paraId="6214D138" w14:textId="77777777" w:rsidR="00BF2DE8" w:rsidRPr="005F0AF1" w:rsidRDefault="00BF2DE8" w:rsidP="00881730">
            <w:pPr>
              <w:pStyle w:val="Caption"/>
              <w:ind w:left="0" w:firstLine="0"/>
              <w:rPr>
                <w:b w:val="0"/>
              </w:rPr>
            </w:pPr>
            <w:r w:rsidRPr="005F0AF1">
              <w:rPr>
                <w:b w:val="0"/>
              </w:rPr>
              <w:t>2a. Non-traumatic brain injury (NTBI)</w:t>
            </w:r>
          </w:p>
        </w:tc>
        <w:tc>
          <w:tcPr>
            <w:tcW w:w="3126" w:type="dxa"/>
            <w:tcBorders>
              <w:top w:val="single" w:sz="4" w:space="0" w:color="auto"/>
              <w:left w:val="single" w:sz="4" w:space="0" w:color="auto"/>
              <w:bottom w:val="dotted" w:sz="4" w:space="0" w:color="auto"/>
              <w:right w:val="single" w:sz="4" w:space="0" w:color="auto"/>
            </w:tcBorders>
          </w:tcPr>
          <w:p w14:paraId="53AB299C" w14:textId="77777777" w:rsidR="00BF2DE8" w:rsidRPr="005F0AF1" w:rsidRDefault="00BF2DE8" w:rsidP="00881730">
            <w:pPr>
              <w:pStyle w:val="Caption"/>
              <w:ind w:left="0" w:firstLine="0"/>
              <w:rPr>
                <w:b w:val="0"/>
              </w:rPr>
            </w:pPr>
            <w:r w:rsidRPr="005F0AF1">
              <w:rPr>
                <w:b w:val="0"/>
              </w:rPr>
              <w:t>a. Stroke</w:t>
            </w:r>
          </w:p>
        </w:tc>
        <w:tc>
          <w:tcPr>
            <w:tcW w:w="4336" w:type="dxa"/>
            <w:tcBorders>
              <w:top w:val="single" w:sz="4" w:space="0" w:color="auto"/>
              <w:left w:val="single" w:sz="4" w:space="0" w:color="auto"/>
              <w:bottom w:val="dotted" w:sz="4" w:space="0" w:color="auto"/>
              <w:right w:val="single" w:sz="4" w:space="0" w:color="auto"/>
            </w:tcBorders>
          </w:tcPr>
          <w:p w14:paraId="68681E76" w14:textId="1D54CDD8" w:rsidR="0013275A" w:rsidRPr="005F0AF1" w:rsidRDefault="0013275A" w:rsidP="00A8082F">
            <w:pPr>
              <w:pStyle w:val="Caption"/>
              <w:ind w:left="0" w:firstLine="0"/>
              <w:rPr>
                <w:b w:val="0"/>
              </w:rPr>
            </w:pPr>
            <w:r w:rsidRPr="005F0AF1">
              <w:rPr>
                <w:b w:val="0"/>
              </w:rPr>
              <w:t>375,800</w:t>
            </w:r>
            <w:r w:rsidR="00D10129">
              <w:rPr>
                <w:b w:val="0"/>
              </w:rPr>
              <w:t xml:space="preserve"> patients</w:t>
            </w:r>
            <w:r w:rsidRPr="005F0AF1">
              <w:rPr>
                <w:b w:val="0"/>
              </w:rPr>
              <w:t xml:space="preserve"> (2009)</w:t>
            </w:r>
            <w:r w:rsidR="00323B07">
              <w:rPr>
                <w:b w:val="0"/>
              </w:rPr>
              <w:t xml:space="preserve"> </w:t>
            </w:r>
            <w:r w:rsidR="00323B07">
              <w:rPr>
                <w:b w:val="0"/>
              </w:rPr>
              <w:fldChar w:fldCharType="begin"/>
            </w:r>
            <w:r w:rsidR="00323B07">
              <w:rPr>
                <w:b w:val="0"/>
              </w:rPr>
              <w:instrText xml:space="preserve"> ADDIN EN.CITE &lt;EndNote&gt;&lt;Cite&gt;&lt;Author&gt;Australian Institute of Health and Welfare&lt;/Author&gt;&lt;Year&gt;2013&lt;/Year&gt;&lt;RecNum&gt;18&lt;/RecNum&gt;&lt;DisplayText&gt;(Australian Institute of Health and Welfare 2013)&lt;/DisplayText&gt;&lt;record&gt;&lt;rec-number&gt;18&lt;/rec-number&gt;&lt;foreign-keys&gt;&lt;key app="EN" db-id="ar5dxszwoae9faedw9b5xwdcd2wzaftfwfer" timestamp="1432710538"&gt;18&lt;/key&gt;&lt;/foreign-keys&gt;&lt;ref-type name="Report"&gt;27&lt;/ref-type&gt;&lt;contributors&gt;&lt;authors&gt;&lt;author&gt;Australian Institute of Health and Welfare, .&lt;/author&gt;&lt;/authors&gt;&lt;/contributors&gt;&lt;titles&gt;&lt;title&gt;Stroke and its management in Australia: an update. Cardiovascular disease series no. 37. Cat. no. CVD 61.&lt;/title&gt;&lt;/titles&gt;&lt;dates&gt;&lt;year&gt;2013&lt;/year&gt;&lt;/dates&gt;&lt;pub-location&gt;Canberra&lt;/pub-location&gt;&lt;publisher&gt;AIHW&lt;/publisher&gt;&lt;urls&gt;&lt;related-urls&gt;&lt;url&gt;http://www.aihw.gov.au/WorkArea/DownloadAsset.aspx?id=60129543611&lt;/url&gt;&lt;/related-urls&gt;&lt;/urls&gt;&lt;/record&gt;&lt;/Cite&gt;&lt;/EndNote&gt;</w:instrText>
            </w:r>
            <w:r w:rsidR="00323B07">
              <w:rPr>
                <w:b w:val="0"/>
              </w:rPr>
              <w:fldChar w:fldCharType="separate"/>
            </w:r>
            <w:r w:rsidR="00323B07">
              <w:rPr>
                <w:b w:val="0"/>
                <w:noProof/>
              </w:rPr>
              <w:t>(</w:t>
            </w:r>
            <w:hyperlink w:anchor="_ENREF_9" w:tooltip="Australian Institute of Health and Welfare, 2013 #18" w:history="1">
              <w:r w:rsidR="00A8082F">
                <w:rPr>
                  <w:b w:val="0"/>
                  <w:noProof/>
                </w:rPr>
                <w:t>Australian Institute of Health and Welfare 2013</w:t>
              </w:r>
            </w:hyperlink>
            <w:r w:rsidR="00323B07">
              <w:rPr>
                <w:b w:val="0"/>
                <w:noProof/>
              </w:rPr>
              <w:t>)</w:t>
            </w:r>
            <w:r w:rsidR="00323B07">
              <w:rPr>
                <w:b w:val="0"/>
              </w:rPr>
              <w:fldChar w:fldCharType="end"/>
            </w:r>
          </w:p>
        </w:tc>
      </w:tr>
      <w:tr w:rsidR="00BF2DE8" w14:paraId="239E167C" w14:textId="77777777" w:rsidTr="00861324">
        <w:tc>
          <w:tcPr>
            <w:tcW w:w="1802" w:type="dxa"/>
            <w:tcBorders>
              <w:top w:val="nil"/>
              <w:left w:val="single" w:sz="4" w:space="0" w:color="auto"/>
              <w:bottom w:val="nil"/>
              <w:right w:val="single" w:sz="4" w:space="0" w:color="auto"/>
            </w:tcBorders>
          </w:tcPr>
          <w:p w14:paraId="38BC3743"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27A0CE66" w14:textId="77777777" w:rsidR="00BF2DE8" w:rsidRPr="005F0AF1" w:rsidRDefault="00BF2DE8" w:rsidP="00881730">
            <w:pPr>
              <w:pStyle w:val="Caption"/>
              <w:ind w:left="0" w:firstLine="0"/>
              <w:rPr>
                <w:b w:val="0"/>
              </w:rPr>
            </w:pPr>
            <w:r w:rsidRPr="005F0AF1">
              <w:rPr>
                <w:b w:val="0"/>
              </w:rPr>
              <w:t>b. Brain aneurysm</w:t>
            </w:r>
          </w:p>
        </w:tc>
        <w:tc>
          <w:tcPr>
            <w:tcW w:w="4336" w:type="dxa"/>
            <w:tcBorders>
              <w:top w:val="dotted" w:sz="4" w:space="0" w:color="auto"/>
              <w:left w:val="single" w:sz="4" w:space="0" w:color="auto"/>
              <w:bottom w:val="dotted" w:sz="4" w:space="0" w:color="auto"/>
              <w:right w:val="single" w:sz="4" w:space="0" w:color="auto"/>
            </w:tcBorders>
          </w:tcPr>
          <w:p w14:paraId="5F1AD65A" w14:textId="77777777" w:rsidR="00BF2DE8" w:rsidRPr="005F0AF1" w:rsidRDefault="002434F6" w:rsidP="00881730">
            <w:pPr>
              <w:pStyle w:val="Caption"/>
              <w:ind w:left="0" w:firstLine="0"/>
              <w:rPr>
                <w:b w:val="0"/>
              </w:rPr>
            </w:pPr>
            <w:r w:rsidRPr="005F0AF1">
              <w:rPr>
                <w:b w:val="0"/>
              </w:rPr>
              <w:t>NA</w:t>
            </w:r>
          </w:p>
        </w:tc>
      </w:tr>
      <w:tr w:rsidR="00BF2DE8" w14:paraId="289C2825" w14:textId="77777777" w:rsidTr="00861324">
        <w:tc>
          <w:tcPr>
            <w:tcW w:w="1802" w:type="dxa"/>
            <w:tcBorders>
              <w:top w:val="nil"/>
              <w:left w:val="single" w:sz="4" w:space="0" w:color="auto"/>
              <w:bottom w:val="nil"/>
              <w:right w:val="single" w:sz="4" w:space="0" w:color="auto"/>
            </w:tcBorders>
          </w:tcPr>
          <w:p w14:paraId="02D15A15"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34799299" w14:textId="77777777" w:rsidR="00BF2DE8" w:rsidRPr="005F0AF1" w:rsidRDefault="00BF2DE8" w:rsidP="00881730">
            <w:pPr>
              <w:pStyle w:val="Caption"/>
              <w:ind w:left="0" w:firstLine="0"/>
              <w:rPr>
                <w:b w:val="0"/>
              </w:rPr>
            </w:pPr>
            <w:r w:rsidRPr="005F0AF1">
              <w:rPr>
                <w:b w:val="0"/>
              </w:rPr>
              <w:t xml:space="preserve">c. Brain </w:t>
            </w:r>
            <w:r w:rsidR="00F06C5E" w:rsidRPr="005F0AF1">
              <w:rPr>
                <w:b w:val="0"/>
              </w:rPr>
              <w:t>tumours</w:t>
            </w:r>
          </w:p>
        </w:tc>
        <w:tc>
          <w:tcPr>
            <w:tcW w:w="4336" w:type="dxa"/>
            <w:tcBorders>
              <w:top w:val="dotted" w:sz="4" w:space="0" w:color="auto"/>
              <w:left w:val="single" w:sz="4" w:space="0" w:color="auto"/>
              <w:bottom w:val="dotted" w:sz="4" w:space="0" w:color="auto"/>
              <w:right w:val="single" w:sz="4" w:space="0" w:color="auto"/>
            </w:tcBorders>
          </w:tcPr>
          <w:p w14:paraId="36F9CF8D" w14:textId="1ED4C342" w:rsidR="006B067A" w:rsidRPr="005F0AF1" w:rsidRDefault="006B067A" w:rsidP="00A8082F">
            <w:pPr>
              <w:pStyle w:val="Caption"/>
              <w:ind w:left="0" w:firstLine="0"/>
              <w:rPr>
                <w:b w:val="0"/>
              </w:rPr>
            </w:pPr>
            <w:r w:rsidRPr="005F0AF1">
              <w:rPr>
                <w:b w:val="0"/>
              </w:rPr>
              <w:t>6,206</w:t>
            </w:r>
            <w:r w:rsidR="00D10129">
              <w:rPr>
                <w:b w:val="0"/>
              </w:rPr>
              <w:t xml:space="preserve"> patients suffering from brain cancer</w:t>
            </w:r>
            <w:r w:rsidRPr="005F0AF1">
              <w:rPr>
                <w:b w:val="0"/>
              </w:rPr>
              <w:t xml:space="preserve"> (2009)</w:t>
            </w:r>
            <w:r w:rsidR="006821B2">
              <w:rPr>
                <w:b w:val="0"/>
              </w:rPr>
              <w:t xml:space="preserve"> </w:t>
            </w:r>
            <w:r w:rsidR="006821B2">
              <w:rPr>
                <w:b w:val="0"/>
              </w:rPr>
              <w:fldChar w:fldCharType="begin"/>
            </w:r>
            <w:r w:rsidR="006821B2">
              <w:rPr>
                <w:b w:val="0"/>
              </w:rPr>
              <w:instrText xml:space="preserve"> ADDIN EN.CITE &lt;EndNote&gt;&lt;Cite&gt;&lt;Author&gt;Australian Institute of Health and Welfare&lt;/Author&gt;&lt;Year&gt;2015&lt;/Year&gt;&lt;RecNum&gt;19&lt;/RecNum&gt;&lt;DisplayText&gt;(Australian Institute of Health and Welfare 2015b)&lt;/DisplayText&gt;&lt;record&gt;&lt;rec-number&gt;19&lt;/rec-number&gt;&lt;foreign-keys&gt;&lt;key app="EN" db-id="ar5dxszwoae9faedw9b5xwdcd2wzaftfwfer" timestamp="1432710748"&gt;19&lt;/key&gt;&lt;/foreign-keys&gt;&lt;ref-type name="Web Page"&gt;12&lt;/ref-type&gt;&lt;contributors&gt;&lt;authors&gt;&lt;author&gt;Australian Institute of Health and Welfare, .&lt;/author&gt;&lt;/authors&gt;&lt;/contributors&gt;&lt;titles&gt;&lt;title&gt;Australian Cancer Incidence and Mortality (ACIM) books&lt;/title&gt;&lt;/titles&gt;&lt;number&gt;27/05/2015&lt;/number&gt;&lt;dates&gt;&lt;year&gt;2015&lt;/year&gt;&lt;/dates&gt;&lt;pub-location&gt;Canberra&lt;/pub-location&gt;&lt;publisher&gt;AIHW&lt;/publisher&gt;&lt;urls&gt;&lt;related-urls&gt;&lt;url&gt;http://www.aihw.gov.au/acim-books/&lt;/url&gt;&lt;/related-urls&gt;&lt;/urls&gt;&lt;/record&gt;&lt;/Cite&gt;&lt;/EndNote&gt;</w:instrText>
            </w:r>
            <w:r w:rsidR="006821B2">
              <w:rPr>
                <w:b w:val="0"/>
              </w:rPr>
              <w:fldChar w:fldCharType="separate"/>
            </w:r>
            <w:r w:rsidR="006821B2">
              <w:rPr>
                <w:b w:val="0"/>
                <w:noProof/>
              </w:rPr>
              <w:t>(</w:t>
            </w:r>
            <w:hyperlink w:anchor="_ENREF_11" w:tooltip="Australian Institute of Health and Welfare, 2015 #19" w:history="1">
              <w:r w:rsidR="00A8082F">
                <w:rPr>
                  <w:b w:val="0"/>
                  <w:noProof/>
                </w:rPr>
                <w:t>Australian Institute of Health and Welfare 2015b</w:t>
              </w:r>
            </w:hyperlink>
            <w:r w:rsidR="006821B2">
              <w:rPr>
                <w:b w:val="0"/>
                <w:noProof/>
              </w:rPr>
              <w:t>)</w:t>
            </w:r>
            <w:r w:rsidR="006821B2">
              <w:rPr>
                <w:b w:val="0"/>
              </w:rPr>
              <w:fldChar w:fldCharType="end"/>
            </w:r>
          </w:p>
        </w:tc>
      </w:tr>
      <w:tr w:rsidR="00BF2DE8" w14:paraId="5CBBE39C" w14:textId="77777777" w:rsidTr="00861324">
        <w:tc>
          <w:tcPr>
            <w:tcW w:w="1802" w:type="dxa"/>
            <w:tcBorders>
              <w:top w:val="nil"/>
              <w:left w:val="single" w:sz="4" w:space="0" w:color="auto"/>
              <w:bottom w:val="nil"/>
              <w:right w:val="single" w:sz="4" w:space="0" w:color="auto"/>
            </w:tcBorders>
          </w:tcPr>
          <w:p w14:paraId="09BCD7B4"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2CABDA13" w14:textId="77777777" w:rsidR="00BF2DE8" w:rsidRPr="005F0AF1" w:rsidRDefault="00BF2DE8" w:rsidP="00881730">
            <w:pPr>
              <w:pStyle w:val="Caption"/>
              <w:ind w:left="0" w:firstLine="0"/>
              <w:rPr>
                <w:b w:val="0"/>
              </w:rPr>
            </w:pPr>
            <w:r w:rsidRPr="005F0AF1">
              <w:rPr>
                <w:b w:val="0"/>
              </w:rPr>
              <w:t>d. hypoxia or anoxia</w:t>
            </w:r>
            <w:r w:rsidR="00BE0E12" w:rsidRPr="005F0AF1">
              <w:rPr>
                <w:b w:val="0"/>
              </w:rPr>
              <w:t xml:space="preserve"> (causes are e.g. stroke, drowning, heart attack, strangulation, asthma, drug overdose, carbon monoxide inhalation, poisoning)</w:t>
            </w:r>
          </w:p>
        </w:tc>
        <w:tc>
          <w:tcPr>
            <w:tcW w:w="4336" w:type="dxa"/>
            <w:tcBorders>
              <w:top w:val="dotted" w:sz="4" w:space="0" w:color="auto"/>
              <w:left w:val="single" w:sz="4" w:space="0" w:color="auto"/>
              <w:bottom w:val="dotted" w:sz="4" w:space="0" w:color="auto"/>
              <w:right w:val="single" w:sz="4" w:space="0" w:color="auto"/>
            </w:tcBorders>
          </w:tcPr>
          <w:p w14:paraId="57D9E1E5" w14:textId="77777777" w:rsidR="00BF2DE8" w:rsidRPr="005F0AF1" w:rsidRDefault="002434F6" w:rsidP="00881730">
            <w:pPr>
              <w:pStyle w:val="Caption"/>
              <w:ind w:left="0" w:firstLine="0"/>
              <w:rPr>
                <w:b w:val="0"/>
              </w:rPr>
            </w:pPr>
            <w:r w:rsidRPr="005F0AF1">
              <w:rPr>
                <w:b w:val="0"/>
              </w:rPr>
              <w:t>NA</w:t>
            </w:r>
          </w:p>
        </w:tc>
      </w:tr>
      <w:tr w:rsidR="00BF2DE8" w14:paraId="2E065276" w14:textId="77777777" w:rsidTr="00861324">
        <w:tc>
          <w:tcPr>
            <w:tcW w:w="1802" w:type="dxa"/>
            <w:tcBorders>
              <w:top w:val="nil"/>
              <w:left w:val="single" w:sz="4" w:space="0" w:color="auto"/>
              <w:bottom w:val="nil"/>
              <w:right w:val="single" w:sz="4" w:space="0" w:color="auto"/>
            </w:tcBorders>
          </w:tcPr>
          <w:p w14:paraId="2F17B436"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3B693B9B" w14:textId="77777777" w:rsidR="00BF2DE8" w:rsidRPr="005F0AF1" w:rsidRDefault="00BF2DE8" w:rsidP="00881730">
            <w:pPr>
              <w:pStyle w:val="Caption"/>
              <w:ind w:left="0" w:firstLine="0"/>
              <w:rPr>
                <w:b w:val="0"/>
              </w:rPr>
            </w:pPr>
            <w:r w:rsidRPr="005F0AF1">
              <w:rPr>
                <w:b w:val="0"/>
              </w:rPr>
              <w:t>e. toxic or metabolic injury</w:t>
            </w:r>
          </w:p>
        </w:tc>
        <w:tc>
          <w:tcPr>
            <w:tcW w:w="4336" w:type="dxa"/>
            <w:tcBorders>
              <w:top w:val="dotted" w:sz="4" w:space="0" w:color="auto"/>
              <w:left w:val="single" w:sz="4" w:space="0" w:color="auto"/>
              <w:bottom w:val="dotted" w:sz="4" w:space="0" w:color="auto"/>
              <w:right w:val="single" w:sz="4" w:space="0" w:color="auto"/>
            </w:tcBorders>
          </w:tcPr>
          <w:p w14:paraId="4F2087CB" w14:textId="77777777" w:rsidR="00BF2DE8" w:rsidRPr="005F0AF1" w:rsidRDefault="002434F6" w:rsidP="00881730">
            <w:pPr>
              <w:pStyle w:val="Caption"/>
              <w:ind w:left="0" w:firstLine="0"/>
              <w:rPr>
                <w:b w:val="0"/>
              </w:rPr>
            </w:pPr>
            <w:r w:rsidRPr="005F0AF1">
              <w:rPr>
                <w:b w:val="0"/>
              </w:rPr>
              <w:t>NA</w:t>
            </w:r>
          </w:p>
        </w:tc>
      </w:tr>
      <w:tr w:rsidR="00BF2DE8" w14:paraId="515D7B75" w14:textId="77777777" w:rsidTr="00861324">
        <w:tc>
          <w:tcPr>
            <w:tcW w:w="1802" w:type="dxa"/>
            <w:tcBorders>
              <w:top w:val="nil"/>
              <w:left w:val="single" w:sz="4" w:space="0" w:color="auto"/>
              <w:bottom w:val="nil"/>
              <w:right w:val="single" w:sz="4" w:space="0" w:color="auto"/>
            </w:tcBorders>
          </w:tcPr>
          <w:p w14:paraId="439638EE"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dotted" w:sz="4" w:space="0" w:color="auto"/>
              <w:right w:val="single" w:sz="4" w:space="0" w:color="auto"/>
            </w:tcBorders>
          </w:tcPr>
          <w:p w14:paraId="7512E7E9" w14:textId="77777777" w:rsidR="00BF2DE8" w:rsidRPr="005F0AF1" w:rsidRDefault="00BF2DE8" w:rsidP="00881730">
            <w:pPr>
              <w:pStyle w:val="Caption"/>
              <w:ind w:left="0" w:firstLine="0"/>
              <w:rPr>
                <w:b w:val="0"/>
              </w:rPr>
            </w:pPr>
            <w:r w:rsidRPr="005F0AF1">
              <w:rPr>
                <w:b w:val="0"/>
              </w:rPr>
              <w:t>f. infection (e.g. encephalitis or meningitis)</w:t>
            </w:r>
          </w:p>
        </w:tc>
        <w:tc>
          <w:tcPr>
            <w:tcW w:w="4336" w:type="dxa"/>
            <w:tcBorders>
              <w:top w:val="dotted" w:sz="4" w:space="0" w:color="auto"/>
              <w:left w:val="single" w:sz="4" w:space="0" w:color="auto"/>
              <w:bottom w:val="dotted" w:sz="4" w:space="0" w:color="auto"/>
              <w:right w:val="single" w:sz="4" w:space="0" w:color="auto"/>
            </w:tcBorders>
          </w:tcPr>
          <w:p w14:paraId="7157D399" w14:textId="389CDAC9" w:rsidR="00861C89" w:rsidRPr="005F0AF1" w:rsidRDefault="00861C89" w:rsidP="00A8082F">
            <w:pPr>
              <w:pStyle w:val="Caption"/>
              <w:ind w:left="0" w:firstLine="0"/>
              <w:rPr>
                <w:b w:val="0"/>
              </w:rPr>
            </w:pPr>
            <w:r w:rsidRPr="005F0AF1">
              <w:rPr>
                <w:b w:val="0"/>
              </w:rPr>
              <w:t xml:space="preserve">Average annual hospitalisation rate encephalitis from 1990-2007: 5.2/100.000 </w:t>
            </w:r>
            <w:r w:rsidR="006821B2">
              <w:rPr>
                <w:b w:val="0"/>
              </w:rPr>
              <w:fldChar w:fldCharType="begin">
                <w:fldData xml:space="preserve">PEVuZE5vdGU+PENpdGU+PEF1dGhvcj5IdXBwYXR6PC9BdXRob3I+PFllYXI+MjAwOTwvWWVhcj48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</w:fldData>
              </w:fldChar>
            </w:r>
            <w:r w:rsidR="006821B2">
              <w:rPr>
                <w:b w:val="0"/>
              </w:rPr>
              <w:instrText xml:space="preserve"> ADDIN EN.CITE </w:instrText>
            </w:r>
            <w:r w:rsidR="006821B2">
              <w:rPr>
                <w:b w:val="0"/>
              </w:rPr>
              <w:fldChar w:fldCharType="begin">
                <w:fldData xml:space="preserve">PEVuZE5vdGU+PENpdGU+PEF1dGhvcj5IdXBwYXR6PC9BdXRob3I+PFllYXI+MjAwOTwvWWVhcj48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</w:fldData>
              </w:fldChar>
            </w:r>
            <w:r w:rsidR="006821B2">
              <w:rPr>
                <w:b w:val="0"/>
              </w:rPr>
              <w:instrText xml:space="preserve"> ADDIN EN.CITE.DATA </w:instrText>
            </w:r>
            <w:r w:rsidR="006821B2">
              <w:rPr>
                <w:b w:val="0"/>
              </w:rPr>
            </w:r>
            <w:r w:rsidR="006821B2">
              <w:rPr>
                <w:b w:val="0"/>
              </w:rPr>
              <w:fldChar w:fldCharType="end"/>
            </w:r>
            <w:r w:rsidR="006821B2">
              <w:rPr>
                <w:b w:val="0"/>
              </w:rPr>
            </w:r>
            <w:r w:rsidR="006821B2">
              <w:rPr>
                <w:b w:val="0"/>
              </w:rPr>
              <w:fldChar w:fldCharType="separate"/>
            </w:r>
            <w:r w:rsidR="006821B2">
              <w:rPr>
                <w:b w:val="0"/>
                <w:noProof/>
              </w:rPr>
              <w:t>(</w:t>
            </w:r>
            <w:hyperlink w:anchor="_ENREF_18" w:tooltip="Huppatz, 2009 #20" w:history="1">
              <w:r w:rsidR="00A8082F">
                <w:rPr>
                  <w:b w:val="0"/>
                  <w:noProof/>
                </w:rPr>
                <w:t>Huppatz et al. 2009</w:t>
              </w:r>
            </w:hyperlink>
            <w:r w:rsidR="006821B2">
              <w:rPr>
                <w:b w:val="0"/>
                <w:noProof/>
              </w:rPr>
              <w:t>)</w:t>
            </w:r>
            <w:r w:rsidR="006821B2">
              <w:rPr>
                <w:b w:val="0"/>
              </w:rPr>
              <w:fldChar w:fldCharType="end"/>
            </w:r>
          </w:p>
        </w:tc>
      </w:tr>
      <w:tr w:rsidR="00BF2DE8" w14:paraId="4D279B47" w14:textId="77777777" w:rsidTr="00861324">
        <w:tc>
          <w:tcPr>
            <w:tcW w:w="1802" w:type="dxa"/>
            <w:tcBorders>
              <w:top w:val="nil"/>
              <w:left w:val="single" w:sz="4" w:space="0" w:color="auto"/>
              <w:bottom w:val="single" w:sz="4" w:space="0" w:color="auto"/>
              <w:right w:val="single" w:sz="4" w:space="0" w:color="auto"/>
            </w:tcBorders>
          </w:tcPr>
          <w:p w14:paraId="0A56207B" w14:textId="77777777" w:rsidR="00BF2DE8" w:rsidRPr="005F0AF1" w:rsidRDefault="00BF2DE8" w:rsidP="00881730">
            <w:pPr>
              <w:pStyle w:val="Caption"/>
              <w:ind w:left="0" w:firstLine="0"/>
              <w:rPr>
                <w:b w:val="0"/>
              </w:rPr>
            </w:pPr>
          </w:p>
        </w:tc>
        <w:tc>
          <w:tcPr>
            <w:tcW w:w="3126" w:type="dxa"/>
            <w:tcBorders>
              <w:top w:val="dotted" w:sz="4" w:space="0" w:color="auto"/>
              <w:left w:val="single" w:sz="4" w:space="0" w:color="auto"/>
              <w:bottom w:val="single" w:sz="4" w:space="0" w:color="auto"/>
              <w:right w:val="single" w:sz="4" w:space="0" w:color="auto"/>
            </w:tcBorders>
          </w:tcPr>
          <w:p w14:paraId="2528D485" w14:textId="77777777" w:rsidR="00BF2DE8" w:rsidRPr="005F0AF1" w:rsidRDefault="00BF2DE8" w:rsidP="00881730">
            <w:pPr>
              <w:pStyle w:val="Caption"/>
              <w:ind w:left="0" w:firstLine="0"/>
              <w:rPr>
                <w:b w:val="0"/>
              </w:rPr>
            </w:pPr>
            <w:r w:rsidRPr="005F0AF1">
              <w:rPr>
                <w:b w:val="0"/>
              </w:rPr>
              <w:t>g. alcohol and drug abuse</w:t>
            </w:r>
          </w:p>
        </w:tc>
        <w:tc>
          <w:tcPr>
            <w:tcW w:w="4336" w:type="dxa"/>
            <w:tcBorders>
              <w:top w:val="dotted" w:sz="4" w:space="0" w:color="auto"/>
              <w:left w:val="single" w:sz="4" w:space="0" w:color="auto"/>
              <w:bottom w:val="single" w:sz="4" w:space="0" w:color="auto"/>
              <w:right w:val="single" w:sz="4" w:space="0" w:color="auto"/>
            </w:tcBorders>
          </w:tcPr>
          <w:p w14:paraId="2A6DB0E2" w14:textId="04456EB6" w:rsidR="000222F9" w:rsidRPr="005F0AF1" w:rsidRDefault="000222F9" w:rsidP="00A8082F">
            <w:pPr>
              <w:pStyle w:val="Caption"/>
              <w:ind w:left="0" w:firstLine="0"/>
              <w:rPr>
                <w:b w:val="0"/>
              </w:rPr>
            </w:pPr>
            <w:r w:rsidRPr="005F0AF1">
              <w:rPr>
                <w:b w:val="0"/>
              </w:rPr>
              <w:t xml:space="preserve">In 2013-2014, around 122,000 people received care from alcohol and </w:t>
            </w:r>
            <w:r w:rsidR="00BC53D4">
              <w:rPr>
                <w:b w:val="0"/>
              </w:rPr>
              <w:t>other drug treatment agencies. Forty per cent is for alcohol.</w:t>
            </w:r>
            <w:r w:rsidR="006821B2">
              <w:rPr>
                <w:b w:val="0"/>
              </w:rPr>
              <w:t xml:space="preserve"> </w:t>
            </w:r>
            <w:r w:rsidR="006821B2">
              <w:rPr>
                <w:b w:val="0"/>
              </w:rPr>
              <w:fldChar w:fldCharType="begin"/>
            </w:r>
            <w:r w:rsidR="006821B2">
              <w:rPr>
                <w:b w:val="0"/>
              </w:rPr>
              <w:instrText xml:space="preserve"> ADDIN EN.CITE &lt;EndNote&gt;&lt;Cite&gt;&lt;Author&gt;Australian Institute of Health and Welfare&lt;/Author&gt;&lt;Year&gt;2015&lt;/Year&gt;&lt;RecNum&gt;21&lt;/RecNum&gt;&lt;DisplayText&gt;(Australian Institute of Health and Welfare 2015a)&lt;/DisplayText&gt;&lt;record&gt;&lt;rec-number&gt;21&lt;/rec-number&gt;&lt;foreign-keys&gt;&lt;key app="EN" db-id="ar5dxszwoae9faedw9b5xwdcd2wzaftfwfer" timestamp="1432711054"&gt;21&lt;/key&gt;&lt;/foreign-keys&gt;&lt;ref-type name="Web Page"&gt;12&lt;/ref-type&gt;&lt;contributors&gt;&lt;authors&gt;&lt;author&gt;Australian Institute of Health and Welfare, .&lt;/author&gt;&lt;/authors&gt;&lt;/contributors&gt;&lt;titles&gt;&lt;title&gt;Alcohol and other drug treatment services (AODTS)&lt;/title&gt;&lt;/titles&gt;&lt;number&gt;27/05/2015&lt;/number&gt;&lt;dates&gt;&lt;year&gt;2015&lt;/year&gt;&lt;/dates&gt;&lt;pub-location&gt;Canberra&lt;/pub-location&gt;&lt;publisher&gt;AIHW&lt;/publisher&gt;&lt;urls&gt;&lt;related-urls&gt;&lt;url&gt;http://www.aihw.gov.au/alcohol-and-other-drugs/aodts/&lt;/url&gt;&lt;/related-urls&gt;&lt;/urls&gt;&lt;/record&gt;&lt;/Cite&gt;&lt;/EndNote&gt;</w:instrText>
            </w:r>
            <w:r w:rsidR="006821B2">
              <w:rPr>
                <w:b w:val="0"/>
              </w:rPr>
              <w:fldChar w:fldCharType="separate"/>
            </w:r>
            <w:r w:rsidR="006821B2">
              <w:rPr>
                <w:b w:val="0"/>
                <w:noProof/>
              </w:rPr>
              <w:t>(</w:t>
            </w:r>
            <w:hyperlink w:anchor="_ENREF_10" w:tooltip="Australian Institute of Health and Welfare, 2015 #21" w:history="1">
              <w:r w:rsidR="00A8082F">
                <w:rPr>
                  <w:b w:val="0"/>
                  <w:noProof/>
                </w:rPr>
                <w:t>Australian Institute of Health and Welfare 2015a</w:t>
              </w:r>
            </w:hyperlink>
            <w:r w:rsidR="006821B2">
              <w:rPr>
                <w:b w:val="0"/>
                <w:noProof/>
              </w:rPr>
              <w:t>)</w:t>
            </w:r>
            <w:r w:rsidR="006821B2">
              <w:rPr>
                <w:b w:val="0"/>
              </w:rPr>
              <w:fldChar w:fldCharType="end"/>
            </w:r>
          </w:p>
        </w:tc>
      </w:tr>
      <w:tr w:rsidR="00756934" w14:paraId="6624073B" w14:textId="77777777" w:rsidTr="00861324">
        <w:trPr>
          <w:trHeight w:val="1387"/>
        </w:trPr>
        <w:tc>
          <w:tcPr>
            <w:tcW w:w="1802" w:type="dxa"/>
            <w:tcBorders>
              <w:top w:val="single" w:sz="4" w:space="0" w:color="auto"/>
              <w:left w:val="single" w:sz="4" w:space="0" w:color="auto"/>
              <w:bottom w:val="single" w:sz="4" w:space="0" w:color="auto"/>
              <w:right w:val="single" w:sz="4" w:space="0" w:color="auto"/>
            </w:tcBorders>
          </w:tcPr>
          <w:p w14:paraId="037CD015" w14:textId="77777777" w:rsidR="00756934" w:rsidRPr="005F0AF1" w:rsidRDefault="00756934" w:rsidP="00881730">
            <w:pPr>
              <w:pStyle w:val="Caption"/>
              <w:ind w:left="0" w:firstLine="0"/>
              <w:rPr>
                <w:b w:val="0"/>
              </w:rPr>
            </w:pPr>
            <w:r w:rsidRPr="005F0AF1">
              <w:rPr>
                <w:b w:val="0"/>
              </w:rPr>
              <w:t>2b. Traumatic brain injury (TBI)</w:t>
            </w:r>
          </w:p>
        </w:tc>
        <w:tc>
          <w:tcPr>
            <w:tcW w:w="3126" w:type="dxa"/>
            <w:tcBorders>
              <w:top w:val="single" w:sz="4" w:space="0" w:color="auto"/>
              <w:left w:val="single" w:sz="4" w:space="0" w:color="auto"/>
              <w:bottom w:val="single" w:sz="4" w:space="0" w:color="auto"/>
              <w:right w:val="single" w:sz="4" w:space="0" w:color="auto"/>
            </w:tcBorders>
          </w:tcPr>
          <w:p w14:paraId="66476E93" w14:textId="77777777" w:rsidR="00756934" w:rsidRPr="005F0AF1" w:rsidRDefault="00756934" w:rsidP="00881730">
            <w:pPr>
              <w:pStyle w:val="Caption"/>
              <w:ind w:left="0" w:firstLine="0"/>
              <w:rPr>
                <w:b w:val="0"/>
              </w:rPr>
            </w:pPr>
            <w:r w:rsidRPr="005F0AF1">
              <w:rPr>
                <w:b w:val="0"/>
              </w:rPr>
              <w:t>a. road traffic accidents</w:t>
            </w:r>
          </w:p>
          <w:p w14:paraId="5D69D90A" w14:textId="77777777" w:rsidR="00756934" w:rsidRPr="005F0AF1" w:rsidRDefault="00756934" w:rsidP="00881730">
            <w:pPr>
              <w:pStyle w:val="Caption"/>
              <w:ind w:left="0" w:firstLine="0"/>
              <w:rPr>
                <w:b w:val="0"/>
              </w:rPr>
            </w:pPr>
            <w:r w:rsidRPr="005F0AF1">
              <w:rPr>
                <w:b w:val="0"/>
              </w:rPr>
              <w:t>b. assaults</w:t>
            </w:r>
          </w:p>
          <w:p w14:paraId="40B83417" w14:textId="77777777" w:rsidR="00756934" w:rsidRPr="005F0AF1" w:rsidRDefault="00756934" w:rsidP="00881730">
            <w:pPr>
              <w:pStyle w:val="Caption"/>
              <w:ind w:left="0" w:firstLine="0"/>
              <w:rPr>
                <w:b w:val="0"/>
              </w:rPr>
            </w:pPr>
            <w:r w:rsidRPr="005F0AF1">
              <w:rPr>
                <w:b w:val="0"/>
              </w:rPr>
              <w:t>c. penetrating or open head injuries</w:t>
            </w:r>
          </w:p>
          <w:p w14:paraId="75B33FED" w14:textId="77777777" w:rsidR="00756934" w:rsidRPr="00756934" w:rsidRDefault="00756934" w:rsidP="00756934">
            <w:pPr>
              <w:pStyle w:val="Caption"/>
              <w:ind w:left="0" w:firstLine="0"/>
              <w:rPr>
                <w:b w:val="0"/>
              </w:rPr>
            </w:pPr>
            <w:r w:rsidRPr="005F0AF1">
              <w:rPr>
                <w:b w:val="0"/>
              </w:rPr>
              <w:t>d. falls</w:t>
            </w:r>
          </w:p>
          <w:p w14:paraId="78A864AD" w14:textId="77777777" w:rsidR="00756934" w:rsidRPr="005F0AF1" w:rsidRDefault="00756934" w:rsidP="00756934">
            <w:pPr>
              <w:pStyle w:val="Caption"/>
              <w:ind w:left="0" w:firstLine="0"/>
              <w:rPr>
                <w:b w:val="0"/>
              </w:rPr>
            </w:pPr>
            <w:r w:rsidRPr="005F0AF1">
              <w:rPr>
                <w:b w:val="0"/>
              </w:rPr>
              <w:t>e. sports injuries (e.g. concussions)</w:t>
            </w:r>
          </w:p>
        </w:tc>
        <w:tc>
          <w:tcPr>
            <w:tcW w:w="4336" w:type="dxa"/>
            <w:tcBorders>
              <w:top w:val="single" w:sz="4" w:space="0" w:color="auto"/>
              <w:left w:val="single" w:sz="4" w:space="0" w:color="auto"/>
              <w:bottom w:val="single" w:sz="4" w:space="0" w:color="auto"/>
              <w:right w:val="single" w:sz="4" w:space="0" w:color="auto"/>
            </w:tcBorders>
          </w:tcPr>
          <w:p w14:paraId="6F2B2B2B" w14:textId="2E0209B6" w:rsidR="00756934" w:rsidRPr="005F0AF1" w:rsidRDefault="00D10129" w:rsidP="00A8082F">
            <w:pPr>
              <w:pStyle w:val="Caption"/>
              <w:ind w:left="0" w:firstLine="0"/>
              <w:rPr>
                <w:b w:val="0"/>
              </w:rPr>
            </w:pPr>
            <w:r>
              <w:rPr>
                <w:b w:val="0"/>
              </w:rPr>
              <w:t>In 2</w:t>
            </w:r>
            <w:r w:rsidR="00503781" w:rsidRPr="005F0AF1">
              <w:rPr>
                <w:b w:val="0"/>
              </w:rPr>
              <w:t>004-2005</w:t>
            </w:r>
            <w:r>
              <w:rPr>
                <w:b w:val="0"/>
              </w:rPr>
              <w:t xml:space="preserve"> there were</w:t>
            </w:r>
            <w:r w:rsidR="00756934" w:rsidRPr="005F0AF1">
              <w:rPr>
                <w:b w:val="0"/>
              </w:rPr>
              <w:t xml:space="preserve"> around 21</w:t>
            </w:r>
            <w:r w:rsidR="00503781">
              <w:rPr>
                <w:b w:val="0"/>
              </w:rPr>
              <w:t>,800 hospital stays per year due to</w:t>
            </w:r>
            <w:r w:rsidR="00756934" w:rsidRPr="005F0AF1">
              <w:rPr>
                <w:b w:val="0"/>
              </w:rPr>
              <w:t xml:space="preserve"> TBI</w:t>
            </w:r>
            <w:r w:rsidR="00503781">
              <w:rPr>
                <w:b w:val="0"/>
              </w:rPr>
              <w:t xml:space="preserve"> </w:t>
            </w:r>
            <w:r w:rsidR="00756934">
              <w:rPr>
                <w:b w:val="0"/>
              </w:rPr>
              <w:fldChar w:fldCharType="begin"/>
            </w:r>
            <w:r w:rsidR="00756934">
              <w:rPr>
                <w:b w:val="0"/>
              </w:rPr>
              <w:instrText xml:space="preserve"> ADDIN EN.CITE &lt;EndNote&gt;&lt;Cite&gt;&lt;Author&gt;Australian Institute of Health and Welfare&lt;/Author&gt;&lt;Year&gt;2007&lt;/Year&gt;&lt;RecNum&gt;7&lt;/RecNum&gt;&lt;DisplayText&gt;(Australian Institute of Health and Welfare 2007)&lt;/DisplayText&gt;&lt;record&gt;&lt;rec-number&gt;7&lt;/rec-number&gt;&lt;foreign-keys&gt;&lt;key app="EN" db-id="ar5dxszwoae9faedw9b5xwdcd2wzaftfwfer" timestamp="1432010945"&gt;7&lt;/key&gt;&lt;/foreign-keys&gt;&lt;ref-type name="Report"&gt;27&lt;/ref-type&gt;&lt;contributors&gt;&lt;authors&gt;&lt;author&gt;Australian Institute of Health and Welfare,.&lt;/author&gt;&lt;/authors&gt;&lt;/contributors&gt;&lt;titles&gt;&lt;title&gt;Disability in Australia: acquired brain injury. Bulletin no. 55. &lt;/title&gt;&lt;/titles&gt;&lt;dates&gt;&lt;year&gt;2007&lt;/year&gt;&lt;/dates&gt;&lt;pub-location&gt;Canberra&lt;/pub-location&gt;&lt;publisher&gt;AIHW&lt;/publisher&gt;&lt;urls&gt;&lt;related-urls&gt;&lt;url&gt;http://www.aihw.gov.au/WorkArea/DownloadAsset.aspx?id=6442453666&lt;/url&gt;&lt;/related-urls&gt;&lt;/urls&gt;&lt;/record&gt;&lt;/Cite&gt;&lt;/EndNote&gt;</w:instrText>
            </w:r>
            <w:r w:rsidR="00756934">
              <w:rPr>
                <w:b w:val="0"/>
              </w:rPr>
              <w:fldChar w:fldCharType="separate"/>
            </w:r>
            <w:r w:rsidR="00756934">
              <w:rPr>
                <w:b w:val="0"/>
                <w:noProof/>
              </w:rPr>
              <w:t>(</w:t>
            </w:r>
            <w:hyperlink w:anchor="_ENREF_7" w:tooltip="Australian Institute of Health and Welfare, 2007 #7" w:history="1">
              <w:r w:rsidR="00A8082F">
                <w:rPr>
                  <w:b w:val="0"/>
                  <w:noProof/>
                </w:rPr>
                <w:t>Australian Institute of Health and Welfare 2007</w:t>
              </w:r>
            </w:hyperlink>
            <w:r w:rsidR="00756934">
              <w:rPr>
                <w:b w:val="0"/>
                <w:noProof/>
              </w:rPr>
              <w:t>)</w:t>
            </w:r>
            <w:r w:rsidR="00756934">
              <w:rPr>
                <w:b w:val="0"/>
              </w:rPr>
              <w:fldChar w:fldCharType="end"/>
            </w:r>
          </w:p>
        </w:tc>
      </w:tr>
      <w:tr w:rsidR="00536BCC" w:rsidRPr="00167921" w14:paraId="2AD203F7" w14:textId="77777777" w:rsidTr="00D555CB">
        <w:trPr>
          <w:trHeight w:val="1387"/>
        </w:trPr>
        <w:tc>
          <w:tcPr>
            <w:tcW w:w="1802" w:type="dxa"/>
            <w:tcBorders>
              <w:top w:val="single" w:sz="4" w:space="0" w:color="auto"/>
              <w:left w:val="single" w:sz="4" w:space="0" w:color="auto"/>
              <w:right w:val="single" w:sz="4" w:space="0" w:color="auto"/>
            </w:tcBorders>
          </w:tcPr>
          <w:p w14:paraId="3C36EC08" w14:textId="1EC147F9" w:rsidR="00536BCC" w:rsidRPr="00D555CB" w:rsidRDefault="00536BCC" w:rsidP="0093215D">
            <w:pPr>
              <w:pStyle w:val="Caption"/>
              <w:ind w:left="0" w:firstLine="0"/>
              <w:rPr>
                <w:b w:val="0"/>
              </w:rPr>
            </w:pPr>
            <w:r w:rsidRPr="00D555CB">
              <w:rPr>
                <w:b w:val="0"/>
              </w:rPr>
              <w:t>3. Paediatric and</w:t>
            </w:r>
            <w:r w:rsidR="00C15E88">
              <w:rPr>
                <w:b w:val="0"/>
              </w:rPr>
              <w:t xml:space="preserve"> </w:t>
            </w:r>
            <w:r w:rsidRPr="00D555CB">
              <w:rPr>
                <w:b w:val="0"/>
              </w:rPr>
              <w:t>developmental disorders</w:t>
            </w:r>
          </w:p>
        </w:tc>
        <w:tc>
          <w:tcPr>
            <w:tcW w:w="3126" w:type="dxa"/>
            <w:tcBorders>
              <w:top w:val="single" w:sz="4" w:space="0" w:color="auto"/>
              <w:left w:val="single" w:sz="4" w:space="0" w:color="auto"/>
              <w:right w:val="single" w:sz="4" w:space="0" w:color="auto"/>
            </w:tcBorders>
          </w:tcPr>
          <w:p w14:paraId="41F8C566" w14:textId="77777777" w:rsidR="00536BCC" w:rsidRPr="00D555CB" w:rsidRDefault="00B90F47" w:rsidP="00881730">
            <w:pPr>
              <w:pStyle w:val="Caption"/>
              <w:ind w:left="0" w:firstLine="0"/>
              <w:rPr>
                <w:b w:val="0"/>
              </w:rPr>
            </w:pPr>
            <w:r w:rsidRPr="00D555CB">
              <w:rPr>
                <w:b w:val="0"/>
              </w:rPr>
              <w:t>a. language disorders</w:t>
            </w:r>
          </w:p>
          <w:p w14:paraId="0F2C2CEA" w14:textId="77777777" w:rsidR="00B90F47" w:rsidRPr="00D555CB" w:rsidRDefault="00B90F47" w:rsidP="00D555CB">
            <w:r w:rsidRPr="00D555CB">
              <w:rPr>
                <w:rFonts w:ascii="Arial Narrow" w:eastAsia="Times New Roman" w:hAnsi="Arial Narrow" w:cs="Tahoma"/>
                <w:sz w:val="20"/>
                <w:szCs w:val="20"/>
                <w:lang w:val="en-GB" w:eastAsia="ja-JP"/>
              </w:rPr>
              <w:t>b. learning disorders</w:t>
            </w:r>
          </w:p>
          <w:p w14:paraId="6F73BC8C" w14:textId="77777777" w:rsidR="00B90F47" w:rsidRPr="00D555CB" w:rsidRDefault="00B90F47" w:rsidP="00D555CB">
            <w:r w:rsidRPr="00D555CB">
              <w:rPr>
                <w:rFonts w:ascii="Arial Narrow" w:eastAsia="Times New Roman" w:hAnsi="Arial Narrow" w:cs="Tahoma"/>
                <w:sz w:val="20"/>
                <w:szCs w:val="20"/>
                <w:lang w:val="en-GB" w:eastAsia="ja-JP"/>
              </w:rPr>
              <w:t>c. motor disorders</w:t>
            </w:r>
          </w:p>
          <w:p w14:paraId="2209C48D" w14:textId="34C4F711" w:rsidR="00B90F47" w:rsidRPr="00D555CB" w:rsidRDefault="00B90F47" w:rsidP="00D555CB">
            <w:r w:rsidRPr="00D555CB">
              <w:rPr>
                <w:rFonts w:ascii="Arial Narrow" w:eastAsia="Times New Roman" w:hAnsi="Arial Narrow" w:cs="Tahoma"/>
                <w:sz w:val="20"/>
                <w:szCs w:val="20"/>
                <w:lang w:val="en-GB" w:eastAsia="ja-JP"/>
              </w:rPr>
              <w:t>d. autism spectrum disorders</w:t>
            </w:r>
          </w:p>
        </w:tc>
        <w:tc>
          <w:tcPr>
            <w:tcW w:w="4336" w:type="dxa"/>
            <w:tcBorders>
              <w:top w:val="single" w:sz="4" w:space="0" w:color="auto"/>
              <w:left w:val="single" w:sz="4" w:space="0" w:color="auto"/>
              <w:right w:val="single" w:sz="4" w:space="0" w:color="auto"/>
            </w:tcBorders>
          </w:tcPr>
          <w:p w14:paraId="3ABCCA16" w14:textId="650D0D64" w:rsidR="00FB6728" w:rsidRPr="00D555CB" w:rsidRDefault="00FB6728" w:rsidP="00C40BC5">
            <w:pPr>
              <w:pStyle w:val="Caption"/>
              <w:ind w:left="0" w:firstLine="0"/>
              <w:rPr>
                <w:b w:val="0"/>
                <w:vertAlign w:val="superscript"/>
              </w:rPr>
            </w:pPr>
            <w:r w:rsidRPr="00D555CB">
              <w:rPr>
                <w:b w:val="0"/>
              </w:rPr>
              <w:t>In a 2012 release of Australian Social Trends, the ABS reported that in 2009, 8.8% of boys and 5% of girls aged 0</w:t>
            </w:r>
            <w:r w:rsidRPr="00D555CB">
              <w:rPr>
                <w:b w:val="0"/>
              </w:rPr>
              <w:noBreakHyphen/>
              <w:t>14 years had some form of disability</w:t>
            </w:r>
            <w:r w:rsidR="00133E26" w:rsidRPr="00D555CB">
              <w:rPr>
                <w:b w:val="0"/>
              </w:rPr>
              <w:t xml:space="preserve"> </w:t>
            </w:r>
            <w:r w:rsidR="00A8082F">
              <w:rPr>
                <w:b w:val="0"/>
              </w:rPr>
              <w:fldChar w:fldCharType="begin"/>
            </w:r>
            <w:r w:rsidR="00A8082F">
              <w:rPr>
                <w:b w:val="0"/>
              </w:rPr>
              <w:instrText xml:space="preserve"> ADDIN EN.CITE &lt;EndNote&gt;&lt;Cite&gt;&lt;Author&gt;ABS&lt;/Author&gt;&lt;Year&gt;2012&lt;/Year&gt;&lt;RecNum&gt;34&lt;/RecNum&gt;&lt;DisplayText&gt;(ABS 2012)&lt;/DisplayText&gt;&lt;record&gt;&lt;rec-number&gt;34&lt;/rec-number&gt;&lt;foreign-keys&gt;&lt;key app="EN" db-id="ar5dxszwoae9faedw9b5xwdcd2wzaftfwfer" timestamp="1458621013"&gt;34&lt;/key&gt;&lt;/foreign-keys&gt;&lt;ref-type name="Web Page"&gt;12&lt;/ref-type&gt;&lt;contributors&gt;&lt;authors&gt;&lt;author&gt;ABS&lt;/author&gt;&lt;/authors&gt;&lt;/contributors&gt;&lt;titles&gt;&lt;title&gt;Australian Social Trends&lt;/title&gt;&lt;/titles&gt;&lt;number&gt;March 2016&lt;/number&gt;&lt;dates&gt;&lt;year&gt;2012&lt;/year&gt;&lt;/dates&gt;&lt;pub-location&gt;Canberra&lt;/pub-location&gt;&lt;publisher&gt;Austrlian Bureau of Statistics&lt;/publisher&gt;&lt;urls&gt;&lt;related-urls&gt;&lt;url&gt;http://www.abs.gov.au/AUSSTATS/abs@.nsf/Lookup/4102.0Main+Features30Jun+2012&lt;/url&gt;&lt;/related-urls&gt;&lt;/urls&gt;&lt;/record&gt;&lt;/Cite&gt;&lt;/EndNote&gt;</w:instrText>
            </w:r>
            <w:r w:rsidR="00A8082F">
              <w:rPr>
                <w:b w:val="0"/>
              </w:rPr>
              <w:fldChar w:fldCharType="separate"/>
            </w:r>
            <w:r w:rsidR="00A8082F">
              <w:rPr>
                <w:b w:val="0"/>
                <w:noProof/>
              </w:rPr>
              <w:t>(</w:t>
            </w:r>
            <w:hyperlink w:anchor="_ENREF_1" w:tooltip="ABS, 2012 #34" w:history="1">
              <w:r w:rsidR="00A8082F">
                <w:rPr>
                  <w:b w:val="0"/>
                  <w:noProof/>
                </w:rPr>
                <w:t>ABS 2012</w:t>
              </w:r>
            </w:hyperlink>
            <w:r w:rsidR="00A8082F">
              <w:rPr>
                <w:b w:val="0"/>
                <w:noProof/>
              </w:rPr>
              <w:t>)</w:t>
            </w:r>
            <w:r w:rsidR="00A8082F">
              <w:rPr>
                <w:b w:val="0"/>
              </w:rPr>
              <w:fldChar w:fldCharType="end"/>
            </w:r>
            <w:r w:rsidRPr="00D555CB">
              <w:rPr>
                <w:b w:val="0"/>
              </w:rPr>
              <w:t>.</w:t>
            </w:r>
            <w:r w:rsidR="00BC100B" w:rsidRPr="00D555CB">
              <w:rPr>
                <w:b w:val="0"/>
              </w:rPr>
              <w:t xml:space="preserve"> Based on a 2009 total Australian population of 21.7 million, of whom 19.1% were aged 0</w:t>
            </w:r>
            <w:r w:rsidR="00BC100B" w:rsidRPr="00D555CB">
              <w:rPr>
                <w:b w:val="0"/>
              </w:rPr>
              <w:noBreakHyphen/>
              <w:t>14 in 2009</w:t>
            </w:r>
            <w:r w:rsidR="0098743C" w:rsidRPr="00D555CB">
              <w:rPr>
                <w:b w:val="0"/>
              </w:rPr>
              <w:t xml:space="preserve"> (or 4.1 million children)</w:t>
            </w:r>
            <w:r w:rsidR="00BC100B" w:rsidRPr="00D555CB">
              <w:rPr>
                <w:b w:val="0"/>
              </w:rPr>
              <w:t xml:space="preserve">, this equates to approximately </w:t>
            </w:r>
            <w:r w:rsidR="0098743C" w:rsidRPr="00D555CB">
              <w:rPr>
                <w:b w:val="0"/>
              </w:rPr>
              <w:t xml:space="preserve">571 968 </w:t>
            </w:r>
            <w:r w:rsidR="0098743C" w:rsidRPr="00D555CB">
              <w:rPr>
                <w:b w:val="0"/>
              </w:rPr>
              <w:lastRenderedPageBreak/>
              <w:t>children living with a disability in 2009.</w:t>
            </w:r>
            <w:r w:rsidR="0098743C" w:rsidRPr="00D555CB">
              <w:rPr>
                <w:b w:val="0"/>
                <w:vertAlign w:val="superscript"/>
              </w:rPr>
              <w:t>a</w:t>
            </w:r>
          </w:p>
          <w:p w14:paraId="70780F13" w14:textId="1F20A7FF" w:rsidR="00FB6728" w:rsidRPr="00D555CB" w:rsidRDefault="00FB6728" w:rsidP="00D555CB">
            <w:pPr>
              <w:rPr>
                <w:b/>
              </w:rPr>
            </w:pPr>
            <w:r w:rsidRPr="00D555CB">
              <w:rPr>
                <w:rFonts w:ascii="Arial Narrow" w:eastAsia="Times New Roman" w:hAnsi="Arial Narrow" w:cs="Tahoma"/>
                <w:sz w:val="20"/>
                <w:szCs w:val="20"/>
                <w:lang w:val="en-GB" w:eastAsia="ja-JP"/>
              </w:rPr>
              <w:t>Among those children with a disability</w:t>
            </w:r>
            <w:r w:rsidR="00BC100B" w:rsidRPr="00D555CB">
              <w:rPr>
                <w:rFonts w:ascii="Arial Narrow" w:eastAsia="Times New Roman" w:hAnsi="Arial Narrow" w:cs="Tahoma"/>
                <w:sz w:val="20"/>
                <w:szCs w:val="20"/>
                <w:lang w:val="en-GB" w:eastAsia="ja-JP"/>
              </w:rPr>
              <w:t xml:space="preserve"> in 2009:</w:t>
            </w:r>
          </w:p>
          <w:p w14:paraId="7C87E32F" w14:textId="4C899DF9" w:rsidR="00FB6728" w:rsidRPr="00D555CB" w:rsidRDefault="00FB6728" w:rsidP="00D555CB">
            <w:pPr>
              <w:pStyle w:val="ListParagraph"/>
              <w:numPr>
                <w:ilvl w:val="0"/>
                <w:numId w:val="70"/>
              </w:numPr>
            </w:pPr>
            <w:r w:rsidRPr="00D555CB">
              <w:rPr>
                <w:rFonts w:ascii="Arial Narrow" w:eastAsia="Times New Roman" w:hAnsi="Arial Narrow" w:cs="Tahoma"/>
                <w:sz w:val="20"/>
                <w:szCs w:val="20"/>
                <w:lang w:val="en-GB" w:eastAsia="ja-JP"/>
              </w:rPr>
              <w:t>62</w:t>
            </w:r>
            <w:r w:rsidR="00BC100B" w:rsidRPr="00D555CB">
              <w:rPr>
                <w:rFonts w:ascii="Arial Narrow" w:eastAsia="Times New Roman" w:hAnsi="Arial Narrow" w:cs="Tahoma"/>
                <w:sz w:val="20"/>
                <w:szCs w:val="20"/>
                <w:lang w:val="en-GB" w:eastAsia="ja-JP"/>
              </w:rPr>
              <w:t>.8</w:t>
            </w:r>
            <w:r w:rsidR="0098743C" w:rsidRPr="00D555CB">
              <w:rPr>
                <w:rFonts w:ascii="Arial Narrow" w:eastAsia="Times New Roman" w:hAnsi="Arial Narrow" w:cs="Tahoma"/>
                <w:sz w:val="20"/>
                <w:szCs w:val="20"/>
                <w:lang w:val="en-GB" w:eastAsia="ja-JP"/>
              </w:rPr>
              <w:t>%</w:t>
            </w:r>
            <w:r w:rsidR="00D11911" w:rsidRPr="00D555CB">
              <w:rPr>
                <w:rFonts w:ascii="Arial Narrow" w:eastAsia="Times New Roman" w:hAnsi="Arial Narrow" w:cs="Tahoma"/>
                <w:sz w:val="20"/>
                <w:szCs w:val="20"/>
                <w:lang w:val="en-GB" w:eastAsia="ja-JP"/>
              </w:rPr>
              <w:t xml:space="preserve"> aged 0</w:t>
            </w:r>
            <w:r w:rsidR="00D11911" w:rsidRPr="00D555CB">
              <w:rPr>
                <w:rFonts w:ascii="Arial Narrow" w:eastAsia="Times New Roman" w:hAnsi="Arial Narrow" w:cs="Tahoma"/>
                <w:sz w:val="20"/>
                <w:szCs w:val="20"/>
                <w:lang w:val="en-GB" w:eastAsia="ja-JP"/>
              </w:rPr>
              <w:noBreakHyphen/>
              <w:t>4 years and 37.1% aged 5</w:t>
            </w:r>
            <w:r w:rsidR="00D11911" w:rsidRPr="00D555CB">
              <w:rPr>
                <w:rFonts w:ascii="Arial Narrow" w:eastAsia="Times New Roman" w:hAnsi="Arial Narrow" w:cs="Tahoma"/>
                <w:sz w:val="20"/>
                <w:szCs w:val="20"/>
                <w:lang w:val="en-GB" w:eastAsia="ja-JP"/>
              </w:rPr>
              <w:noBreakHyphen/>
              <w:t>14 years had sensory and speech disorders;</w:t>
            </w:r>
          </w:p>
          <w:p w14:paraId="310526FC" w14:textId="44124A4E" w:rsidR="00D11911" w:rsidRPr="00D555CB" w:rsidRDefault="00D11911" w:rsidP="00D555CB">
            <w:pPr>
              <w:pStyle w:val="ListParagraph"/>
              <w:numPr>
                <w:ilvl w:val="0"/>
                <w:numId w:val="70"/>
              </w:numPr>
            </w:pPr>
            <w:r w:rsidRPr="00D555CB">
              <w:rPr>
                <w:rFonts w:ascii="Arial Narrow" w:eastAsia="Times New Roman" w:hAnsi="Arial Narrow" w:cs="Tahoma"/>
                <w:sz w:val="20"/>
                <w:szCs w:val="20"/>
                <w:lang w:val="en-GB" w:eastAsia="ja-JP"/>
              </w:rPr>
              <w:t>29% aged 0-4 years and 61.4% aged 5</w:t>
            </w:r>
            <w:r w:rsidRPr="00D555CB">
              <w:rPr>
                <w:rFonts w:ascii="Arial Narrow" w:eastAsia="Times New Roman" w:hAnsi="Arial Narrow" w:cs="Tahoma"/>
                <w:sz w:val="20"/>
                <w:szCs w:val="20"/>
                <w:lang w:val="en-GB" w:eastAsia="ja-JP"/>
              </w:rPr>
              <w:noBreakHyphen/>
              <w:t>14 years had intellectual disabilities;</w:t>
            </w:r>
          </w:p>
          <w:p w14:paraId="0CB96E5A" w14:textId="32942023" w:rsidR="00D11911" w:rsidRPr="00D555CB" w:rsidRDefault="00D11911" w:rsidP="00D555CB">
            <w:pPr>
              <w:pStyle w:val="ListParagraph"/>
              <w:numPr>
                <w:ilvl w:val="0"/>
                <w:numId w:val="70"/>
              </w:numPr>
              <w:rPr>
                <w:b/>
              </w:rPr>
            </w:pPr>
            <w:r w:rsidRPr="00D555CB">
              <w:rPr>
                <w:rFonts w:ascii="Arial Narrow" w:eastAsia="Times New Roman" w:hAnsi="Arial Narrow" w:cs="Tahoma"/>
                <w:sz w:val="20"/>
                <w:szCs w:val="20"/>
                <w:lang w:val="en-GB" w:eastAsia="ja-JP"/>
              </w:rPr>
              <w:t>39.9% aged 0</w:t>
            </w:r>
            <w:r w:rsidRPr="00D555CB">
              <w:rPr>
                <w:rFonts w:ascii="Arial Narrow" w:eastAsia="Times New Roman" w:hAnsi="Arial Narrow" w:cs="Tahoma"/>
                <w:sz w:val="20"/>
                <w:szCs w:val="20"/>
                <w:lang w:val="en-GB" w:eastAsia="ja-JP"/>
              </w:rPr>
              <w:noBreakHyphen/>
              <w:t>4 years and 68% aged 5</w:t>
            </w:r>
            <w:r w:rsidRPr="00D555CB">
              <w:rPr>
                <w:rFonts w:ascii="Arial Narrow" w:eastAsia="Times New Roman" w:hAnsi="Arial Narrow" w:cs="Tahoma"/>
                <w:sz w:val="20"/>
                <w:szCs w:val="20"/>
                <w:lang w:val="en-GB" w:eastAsia="ja-JP"/>
              </w:rPr>
              <w:noBreakHyphen/>
              <w:t>14 years had mental or behavioural disorders that had lasted or were expected to last 6 months or more.</w:t>
            </w:r>
          </w:p>
          <w:p w14:paraId="478BBCCF" w14:textId="40F3F89C" w:rsidR="00D70EAF" w:rsidRPr="00D555CB" w:rsidRDefault="00D11911" w:rsidP="00D555CB">
            <w:pPr>
              <w:rPr>
                <w:rFonts w:ascii="Arial Narrow" w:eastAsia="Times New Roman" w:hAnsi="Arial Narrow" w:cs="Tahoma"/>
                <w:sz w:val="20"/>
                <w:szCs w:val="20"/>
                <w:lang w:val="en-GB" w:eastAsia="ja-JP"/>
              </w:rPr>
            </w:pPr>
            <w:r w:rsidRPr="00D555CB">
              <w:rPr>
                <w:rFonts w:ascii="Arial Narrow" w:eastAsia="Times New Roman" w:hAnsi="Arial Narrow" w:cs="Tahoma"/>
                <w:sz w:val="20"/>
                <w:szCs w:val="20"/>
                <w:lang w:val="en-GB" w:eastAsia="ja-JP"/>
              </w:rPr>
              <w:t>More detailed p</w:t>
            </w:r>
            <w:r w:rsidR="0098743C" w:rsidRPr="00D555CB">
              <w:rPr>
                <w:rFonts w:ascii="Arial Narrow" w:eastAsia="Times New Roman" w:hAnsi="Arial Narrow" w:cs="Tahoma"/>
                <w:sz w:val="20"/>
                <w:szCs w:val="20"/>
                <w:lang w:val="en-GB" w:eastAsia="ja-JP"/>
              </w:rPr>
              <w:t xml:space="preserve">revalence data stratified by disability types </w:t>
            </w:r>
            <w:r w:rsidRPr="00D555CB">
              <w:rPr>
                <w:rFonts w:ascii="Arial Narrow" w:eastAsia="Times New Roman" w:hAnsi="Arial Narrow" w:cs="Tahoma"/>
                <w:sz w:val="20"/>
                <w:szCs w:val="20"/>
                <w:lang w:val="en-GB" w:eastAsia="ja-JP"/>
              </w:rPr>
              <w:t xml:space="preserve">is available, but has not been updated since 1998. </w:t>
            </w:r>
            <w:r w:rsidR="00D555CB">
              <w:rPr>
                <w:rFonts w:ascii="Arial Narrow" w:eastAsia="Times New Roman" w:hAnsi="Arial Narrow" w:cs="Tahoma"/>
                <w:sz w:val="20"/>
                <w:szCs w:val="20"/>
                <w:lang w:val="en-GB" w:eastAsia="ja-JP"/>
              </w:rPr>
              <w:t>(See</w:t>
            </w:r>
            <w:r w:rsidR="00D70EAF" w:rsidRPr="00D555CB">
              <w:rPr>
                <w:rFonts w:ascii="Arial Narrow" w:eastAsia="Times New Roman" w:hAnsi="Arial Narrow" w:cs="Tahoma"/>
                <w:sz w:val="20"/>
                <w:szCs w:val="20"/>
                <w:lang w:val="en-GB" w:eastAsia="ja-JP"/>
              </w:rPr>
              <w:t xml:space="preserve"> </w:t>
            </w:r>
            <w:r w:rsidR="00D70EAF" w:rsidRPr="00D555CB">
              <w:rPr>
                <w:rFonts w:ascii="Arial Narrow" w:eastAsia="Times New Roman" w:hAnsi="Arial Narrow" w:cs="Tahoma"/>
                <w:sz w:val="20"/>
                <w:szCs w:val="20"/>
                <w:lang w:val="en-GB" w:eastAsia="ja-JP"/>
              </w:rPr>
              <w:fldChar w:fldCharType="begin"/>
            </w:r>
            <w:r w:rsidR="00D70EAF" w:rsidRPr="00D555CB">
              <w:rPr>
                <w:rFonts w:ascii="Arial Narrow" w:eastAsia="Times New Roman" w:hAnsi="Arial Narrow" w:cs="Tahoma"/>
                <w:sz w:val="20"/>
                <w:szCs w:val="20"/>
                <w:lang w:val="en-GB" w:eastAsia="ja-JP"/>
              </w:rPr>
              <w:instrText xml:space="preserve"> REF _Ref446412815 \h </w:instrText>
            </w:r>
            <w:r w:rsidRPr="00D555CB">
              <w:rPr>
                <w:rFonts w:ascii="Arial Narrow" w:eastAsia="Times New Roman" w:hAnsi="Arial Narrow" w:cs="Tahoma"/>
                <w:sz w:val="20"/>
                <w:szCs w:val="20"/>
                <w:lang w:val="en-GB" w:eastAsia="ja-JP"/>
              </w:rPr>
              <w:instrText xml:space="preserve"> \* MERGEFORMAT </w:instrText>
            </w:r>
            <w:r w:rsidR="00D70EAF" w:rsidRPr="00D555CB">
              <w:rPr>
                <w:rFonts w:ascii="Arial Narrow" w:eastAsia="Times New Roman" w:hAnsi="Arial Narrow" w:cs="Tahoma"/>
                <w:sz w:val="20"/>
                <w:szCs w:val="20"/>
                <w:lang w:val="en-GB" w:eastAsia="ja-JP"/>
              </w:rPr>
            </w:r>
            <w:r w:rsidR="00D70EAF" w:rsidRPr="00D555CB">
              <w:rPr>
                <w:rFonts w:ascii="Arial Narrow" w:eastAsia="Times New Roman" w:hAnsi="Arial Narrow" w:cs="Tahoma"/>
                <w:sz w:val="20"/>
                <w:szCs w:val="20"/>
                <w:lang w:val="en-GB" w:eastAsia="ja-JP"/>
              </w:rPr>
              <w:fldChar w:fldCharType="separate"/>
            </w:r>
            <w:r w:rsidR="00D70EAF" w:rsidRPr="00D555CB">
              <w:rPr>
                <w:rFonts w:ascii="Arial Narrow" w:eastAsia="Times New Roman" w:hAnsi="Arial Narrow" w:cs="Tahoma"/>
                <w:sz w:val="20"/>
                <w:szCs w:val="20"/>
                <w:lang w:val="en-GB" w:eastAsia="ja-JP"/>
              </w:rPr>
              <w:t>Supplementary Table 1</w:t>
            </w:r>
            <w:r w:rsidR="00D70EAF" w:rsidRPr="00D555CB">
              <w:rPr>
                <w:rFonts w:ascii="Arial Narrow" w:eastAsia="Times New Roman" w:hAnsi="Arial Narrow" w:cs="Tahoma"/>
                <w:sz w:val="20"/>
                <w:szCs w:val="20"/>
                <w:lang w:val="en-GB" w:eastAsia="ja-JP"/>
              </w:rPr>
              <w:fldChar w:fldCharType="end"/>
            </w:r>
            <w:r w:rsidR="00D555CB">
              <w:rPr>
                <w:rFonts w:ascii="Arial Narrow" w:eastAsia="Times New Roman" w:hAnsi="Arial Narrow" w:cs="Tahoma"/>
                <w:sz w:val="20"/>
                <w:szCs w:val="20"/>
                <w:lang w:val="en-GB" w:eastAsia="ja-JP"/>
              </w:rPr>
              <w:t>)</w:t>
            </w:r>
            <w:r w:rsidR="00D70EAF" w:rsidRPr="00D555CB">
              <w:rPr>
                <w:rFonts w:ascii="Arial Narrow" w:eastAsia="Times New Roman" w:hAnsi="Arial Narrow" w:cs="Tahoma"/>
                <w:sz w:val="20"/>
                <w:szCs w:val="20"/>
                <w:lang w:val="en-GB" w:eastAsia="ja-JP"/>
              </w:rPr>
              <w:t>.</w:t>
            </w:r>
          </w:p>
          <w:p w14:paraId="6BC6204C" w14:textId="78F2E9BF" w:rsidR="007E3968" w:rsidRPr="00D555CB" w:rsidRDefault="007E3968" w:rsidP="00A8082F">
            <w:pPr>
              <w:rPr>
                <w:b/>
              </w:rPr>
            </w:pPr>
            <w:r w:rsidRPr="00D555CB">
              <w:rPr>
                <w:rFonts w:ascii="Arial Narrow" w:eastAsia="Times New Roman" w:hAnsi="Arial Narrow" w:cs="Tahoma"/>
                <w:sz w:val="20"/>
                <w:szCs w:val="20"/>
                <w:lang w:val="en-GB" w:eastAsia="ja-JP"/>
              </w:rPr>
              <w:t xml:space="preserve">Williams et al estimated a prevalence estimate of 1:160 or 0.6% of Australia children met criteria for autism spectrum disorders a range of data sources </w:t>
            </w:r>
            <w:r w:rsidR="00A8082F">
              <w:rPr>
                <w:rFonts w:ascii="Arial Narrow" w:eastAsia="Times New Roman" w:hAnsi="Arial Narrow" w:cs="Tahoma"/>
                <w:sz w:val="20"/>
                <w:szCs w:val="20"/>
                <w:lang w:val="en-GB" w:eastAsia="ja-JP"/>
              </w:rPr>
              <w:fldChar w:fldCharType="begin"/>
            </w:r>
            <w:r w:rsidR="00A8082F">
              <w:rPr>
                <w:rFonts w:ascii="Arial Narrow" w:eastAsia="Times New Roman" w:hAnsi="Arial Narrow" w:cs="Tahoma"/>
                <w:sz w:val="20"/>
                <w:szCs w:val="20"/>
                <w:lang w:val="en-GB" w:eastAsia="ja-JP"/>
              </w:rPr>
              <w:instrText xml:space="preserve"> ADDIN EN.CITE &lt;EndNote&gt;&lt;Cite&gt;&lt;Author&gt;Williams&lt;/Author&gt;&lt;Year&gt;2008&lt;/Year&gt;&lt;RecNum&gt;36&lt;/RecNum&gt;&lt;DisplayText&gt;(Williams et al. 2008)&lt;/DisplayText&gt;&lt;record&gt;&lt;rec-number&gt;36&lt;/rec-number&gt;&lt;foreign-keys&gt;&lt;key app="EN" db-id="ar5dxszwoae9faedw9b5xwdcd2wzaftfwfer" timestamp="1458624642"&gt;36&lt;/key&gt;&lt;/foreign-keys&gt;&lt;ref-type name="Journal Article"&gt;17&lt;/ref-type&gt;&lt;contributors&gt;&lt;authors&gt;&lt;author&gt;Williams, K.&lt;/author&gt;&lt;author&gt;MacDermott, S.&lt;/author&gt;&lt;author&gt;Ridley, G.&lt;/author&gt;&lt;author&gt;Glasson, E. J.&lt;/author&gt;&lt;author&gt;Wray, J. A.&lt;/author&gt;&lt;/authors&gt;&lt;/contributors&gt;&lt;auth-address&gt;Sydney Children&amp;apos;s Hospital, Sydney, Australia. katrina.williams@sesiahs.health.nsw.gov.au&lt;/auth-address&gt;&lt;titles&gt;&lt;title&gt;The prevalence of autism in Australia. Can it be established from existing data?&lt;/title&gt;&lt;secondary-title&gt;J Paediatr Child Health&lt;/secondary-title&gt;&lt;/titles&gt;&lt;periodical&gt;&lt;full-title&gt;J Paediatr Child Health&lt;/full-title&gt;&lt;/periodical&gt;&lt;pages&gt;504-10&lt;/pages&gt;&lt;volume&gt;44&lt;/volume&gt;&lt;number&gt;9&lt;/number&gt;&lt;keywords&gt;&lt;keyword&gt;Adolescent&lt;/keyword&gt;&lt;keyword&gt;Asperger Syndrome/epidemiology&lt;/keyword&gt;&lt;keyword&gt;Autistic Disorder/*epidemiology&lt;/keyword&gt;&lt;keyword&gt;Child&lt;/keyword&gt;&lt;keyword&gt;Child, Preschool&lt;/keyword&gt;&lt;keyword&gt;Female&lt;/keyword&gt;&lt;keyword&gt;Humans&lt;/keyword&gt;&lt;keyword&gt;Infant&lt;/keyword&gt;&lt;keyword&gt;Infant, Newborn&lt;/keyword&gt;&lt;keyword&gt;Male&lt;/keyword&gt;&lt;keyword&gt;Prevalence&lt;/keyword&gt;&lt;keyword&gt;Surveys and Questionnaires&lt;/keyword&gt;&lt;keyword&gt;Western Australia&lt;/keyword&gt;&lt;/keywords&gt;&lt;dates&gt;&lt;year&gt;2008&lt;/year&gt;&lt;pub-dates&gt;&lt;date&gt;Sep&lt;/date&gt;&lt;/pub-dates&gt;&lt;/dates&gt;&lt;isbn&gt;1440-1754 (Electronic)&amp;#xD;1034-4810 (Linking)&lt;/isbn&gt;&lt;accession-num&gt;18564076&lt;/accession-num&gt;&lt;urls&gt;&lt;related-urls&gt;&lt;url&gt;http://www.ncbi.nlm.nih.gov/pubmed/18564076&lt;/url&gt;&lt;/related-urls&gt;&lt;/urls&gt;&lt;electronic-resource-num&gt;10.1111/j.1440-1754.2008.01331.x&lt;/electronic-resource-num&gt;&lt;/record&gt;&lt;/Cite&gt;&lt;/EndNote&gt;</w:instrText>
            </w:r>
            <w:r w:rsidR="00A8082F">
              <w:rPr>
                <w:rFonts w:ascii="Arial Narrow" w:eastAsia="Times New Roman" w:hAnsi="Arial Narrow" w:cs="Tahoma"/>
                <w:sz w:val="20"/>
                <w:szCs w:val="20"/>
                <w:lang w:val="en-GB" w:eastAsia="ja-JP"/>
              </w:rPr>
              <w:fldChar w:fldCharType="separate"/>
            </w:r>
            <w:r w:rsidR="00A8082F">
              <w:rPr>
                <w:rFonts w:ascii="Arial Narrow" w:eastAsia="Times New Roman" w:hAnsi="Arial Narrow" w:cs="Tahoma"/>
                <w:noProof/>
                <w:sz w:val="20"/>
                <w:szCs w:val="20"/>
                <w:lang w:val="en-GB" w:eastAsia="ja-JP"/>
              </w:rPr>
              <w:t>(</w:t>
            </w:r>
            <w:hyperlink w:anchor="_ENREF_26" w:tooltip="Williams, 2008 #36" w:history="1">
              <w:r w:rsidR="00A8082F">
                <w:rPr>
                  <w:rFonts w:ascii="Arial Narrow" w:eastAsia="Times New Roman" w:hAnsi="Arial Narrow" w:cs="Tahoma"/>
                  <w:noProof/>
                  <w:sz w:val="20"/>
                  <w:szCs w:val="20"/>
                  <w:lang w:val="en-GB" w:eastAsia="ja-JP"/>
                </w:rPr>
                <w:t>Williams et al. 2008</w:t>
              </w:r>
            </w:hyperlink>
            <w:r w:rsidR="00A8082F">
              <w:rPr>
                <w:rFonts w:ascii="Arial Narrow" w:eastAsia="Times New Roman" w:hAnsi="Arial Narrow" w:cs="Tahoma"/>
                <w:noProof/>
                <w:sz w:val="20"/>
                <w:szCs w:val="20"/>
                <w:lang w:val="en-GB" w:eastAsia="ja-JP"/>
              </w:rPr>
              <w:t>)</w:t>
            </w:r>
            <w:r w:rsidR="00A8082F">
              <w:rPr>
                <w:rFonts w:ascii="Arial Narrow" w:eastAsia="Times New Roman" w:hAnsi="Arial Narrow" w:cs="Tahoma"/>
                <w:sz w:val="20"/>
                <w:szCs w:val="20"/>
                <w:lang w:val="en-GB" w:eastAsia="ja-JP"/>
              </w:rPr>
              <w:fldChar w:fldCharType="end"/>
            </w:r>
            <w:r w:rsidRPr="00D555CB">
              <w:rPr>
                <w:rFonts w:ascii="Arial Narrow" w:eastAsia="Times New Roman" w:hAnsi="Arial Narrow" w:cs="Tahoma"/>
                <w:sz w:val="20"/>
                <w:szCs w:val="20"/>
                <w:lang w:val="en-GB" w:eastAsia="ja-JP"/>
              </w:rPr>
              <w:t xml:space="preserve">. More recent reports based on a prospective surveillance study suggest, 1:119 (0.8%) Victorian children aged 2 years met criteria for autism spectrum disorders </w:t>
            </w:r>
            <w:r w:rsidR="00A8082F">
              <w:rPr>
                <w:rFonts w:ascii="Arial Narrow" w:eastAsia="Times New Roman" w:hAnsi="Arial Narrow" w:cs="Tahoma"/>
                <w:sz w:val="20"/>
                <w:szCs w:val="20"/>
                <w:lang w:val="en-GB" w:eastAsia="ja-JP"/>
              </w:rPr>
              <w:fldChar w:fldCharType="begin">
                <w:fldData xml:space="preserve">PEVuZE5vdGU+PENpdGU+PEF1dGhvcj5CYXJiYXJvPC9BdXRob3I+PFllYXI+MjAxMDwvWWVhcj48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YnItMT48L2FsdC1wZXJpb2RpY2FsPjxwYWdlcz4zNzYtMzg1PC9wYWdlcz48dm9sdW1lPjMxPC92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</w:fldData>
              </w:fldChar>
            </w:r>
            <w:r w:rsidR="00A8082F">
              <w:rPr>
                <w:rFonts w:ascii="Arial Narrow" w:eastAsia="Times New Roman" w:hAnsi="Arial Narrow" w:cs="Tahoma"/>
                <w:sz w:val="20"/>
                <w:szCs w:val="20"/>
                <w:lang w:val="en-GB" w:eastAsia="ja-JP"/>
              </w:rPr>
              <w:instrText xml:space="preserve"> ADDIN EN.CITE </w:instrText>
            </w:r>
            <w:r w:rsidR="00A8082F">
              <w:rPr>
                <w:rFonts w:ascii="Arial Narrow" w:eastAsia="Times New Roman" w:hAnsi="Arial Narrow" w:cs="Tahoma"/>
                <w:sz w:val="20"/>
                <w:szCs w:val="20"/>
                <w:lang w:val="en-GB" w:eastAsia="ja-JP"/>
              </w:rPr>
              <w:fldChar w:fldCharType="begin">
                <w:fldData xml:space="preserve">PEVuZE5vdGU+PENpdGU+PEF1dGhvcj5CYXJiYXJvPC9BdXRob3I+PFllYXI+MjAxMDwvWWVhcj48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</w:fldData>
              </w:fldChar>
            </w:r>
            <w:r w:rsidR="00A8082F">
              <w:rPr>
                <w:rFonts w:ascii="Arial Narrow" w:eastAsia="Times New Roman" w:hAnsi="Arial Narrow" w:cs="Tahoma"/>
                <w:sz w:val="20"/>
                <w:szCs w:val="20"/>
                <w:lang w:val="en-GB" w:eastAsia="ja-JP"/>
              </w:rPr>
              <w:instrText xml:space="preserve"> ADDIN EN.CITE.DATA </w:instrText>
            </w:r>
            <w:r w:rsidR="00A8082F">
              <w:rPr>
                <w:rFonts w:ascii="Arial Narrow" w:eastAsia="Times New Roman" w:hAnsi="Arial Narrow" w:cs="Tahoma"/>
                <w:sz w:val="20"/>
                <w:szCs w:val="20"/>
                <w:lang w:val="en-GB" w:eastAsia="ja-JP"/>
              </w:rPr>
            </w:r>
            <w:r w:rsidR="00A8082F">
              <w:rPr>
                <w:rFonts w:ascii="Arial Narrow" w:eastAsia="Times New Roman" w:hAnsi="Arial Narrow" w:cs="Tahoma"/>
                <w:sz w:val="20"/>
                <w:szCs w:val="20"/>
                <w:lang w:val="en-GB" w:eastAsia="ja-JP"/>
              </w:rPr>
              <w:fldChar w:fldCharType="end"/>
            </w:r>
            <w:r w:rsidR="00A8082F">
              <w:rPr>
                <w:rFonts w:ascii="Arial Narrow" w:eastAsia="Times New Roman" w:hAnsi="Arial Narrow" w:cs="Tahoma"/>
                <w:sz w:val="20"/>
                <w:szCs w:val="20"/>
                <w:lang w:val="en-GB" w:eastAsia="ja-JP"/>
              </w:rPr>
            </w:r>
            <w:r w:rsidR="00A8082F">
              <w:rPr>
                <w:rFonts w:ascii="Arial Narrow" w:eastAsia="Times New Roman" w:hAnsi="Arial Narrow" w:cs="Tahoma"/>
                <w:sz w:val="20"/>
                <w:szCs w:val="20"/>
                <w:lang w:val="en-GB" w:eastAsia="ja-JP"/>
              </w:rPr>
              <w:fldChar w:fldCharType="separate"/>
            </w:r>
            <w:r w:rsidR="00A8082F">
              <w:rPr>
                <w:rFonts w:ascii="Arial Narrow" w:eastAsia="Times New Roman" w:hAnsi="Arial Narrow" w:cs="Tahoma"/>
                <w:noProof/>
                <w:sz w:val="20"/>
                <w:szCs w:val="20"/>
                <w:lang w:val="en-GB" w:eastAsia="ja-JP"/>
              </w:rPr>
              <w:t>(</w:t>
            </w:r>
            <w:hyperlink w:anchor="_ENREF_12" w:tooltip="Barbaro, 2010 #37" w:history="1">
              <w:r w:rsidR="00A8082F">
                <w:rPr>
                  <w:rFonts w:ascii="Arial Narrow" w:eastAsia="Times New Roman" w:hAnsi="Arial Narrow" w:cs="Tahoma"/>
                  <w:noProof/>
                  <w:sz w:val="20"/>
                  <w:szCs w:val="20"/>
                  <w:lang w:val="en-GB" w:eastAsia="ja-JP"/>
                </w:rPr>
                <w:t>Barbaro &amp; Dissanayake 2010</w:t>
              </w:r>
            </w:hyperlink>
            <w:r w:rsidR="00A8082F">
              <w:rPr>
                <w:rFonts w:ascii="Arial Narrow" w:eastAsia="Times New Roman" w:hAnsi="Arial Narrow" w:cs="Tahoma"/>
                <w:noProof/>
                <w:sz w:val="20"/>
                <w:szCs w:val="20"/>
                <w:lang w:val="en-GB" w:eastAsia="ja-JP"/>
              </w:rPr>
              <w:t>)</w:t>
            </w:r>
            <w:r w:rsidR="00A8082F">
              <w:rPr>
                <w:rFonts w:ascii="Arial Narrow" w:eastAsia="Times New Roman" w:hAnsi="Arial Narrow" w:cs="Tahoma"/>
                <w:sz w:val="20"/>
                <w:szCs w:val="20"/>
                <w:lang w:val="en-GB" w:eastAsia="ja-JP"/>
              </w:rPr>
              <w:fldChar w:fldCharType="end"/>
            </w:r>
            <w:r w:rsidRPr="00D555CB">
              <w:rPr>
                <w:rFonts w:ascii="Arial Narrow" w:eastAsia="Times New Roman" w:hAnsi="Arial Narrow" w:cs="Tahoma"/>
                <w:sz w:val="20"/>
                <w:szCs w:val="20"/>
                <w:lang w:val="en-GB" w:eastAsia="ja-JP"/>
              </w:rPr>
              <w:t>.</w:t>
            </w:r>
          </w:p>
        </w:tc>
      </w:tr>
    </w:tbl>
    <w:p w14:paraId="0B072C09" w14:textId="77777777" w:rsidR="00D555CB" w:rsidRPr="00861324" w:rsidRDefault="00FB6728" w:rsidP="00861324">
      <w:pPr>
        <w:pStyle w:val="NoSpacing"/>
        <w:rPr>
          <w:b/>
        </w:rPr>
      </w:pPr>
      <w:r w:rsidRPr="00D555CB">
        <w:rPr>
          <w:rFonts w:ascii="Arial Narrow" w:eastAsia="Times New Roman" w:hAnsi="Arial Narrow" w:cs="Tahoma"/>
          <w:sz w:val="20"/>
          <w:szCs w:val="20"/>
          <w:lang w:val="en-GB" w:eastAsia="ja-JP"/>
        </w:rPr>
        <w:lastRenderedPageBreak/>
        <w:t xml:space="preserve">ABS = Australian Bureau of Statistics; </w:t>
      </w:r>
      <w:r w:rsidR="004A656C" w:rsidRPr="00861324">
        <w:rPr>
          <w:rFonts w:ascii="Arial Narrow" w:hAnsi="Arial Narrow"/>
          <w:sz w:val="20"/>
          <w:lang w:val="en-GB"/>
        </w:rPr>
        <w:t>NA = not available</w:t>
      </w:r>
    </w:p>
    <w:p w14:paraId="1BA0C4E9" w14:textId="3520EB4E" w:rsidR="00536BCC" w:rsidRPr="00D555CB" w:rsidRDefault="00D555CB" w:rsidP="00D555CB">
      <w:pPr>
        <w:pStyle w:val="NoSpacing"/>
        <w:rPr>
          <w:rFonts w:ascii="Arial Narrow" w:eastAsia="Times New Roman" w:hAnsi="Arial Narrow" w:cs="Tahoma"/>
          <w:sz w:val="20"/>
          <w:szCs w:val="20"/>
          <w:lang w:val="en-GB" w:eastAsia="ja-JP"/>
        </w:rPr>
      </w:pPr>
      <w:proofErr w:type="gramStart"/>
      <w:r w:rsidRPr="00D555CB">
        <w:rPr>
          <w:rFonts w:ascii="Arial Narrow" w:eastAsia="Times New Roman" w:hAnsi="Arial Narrow" w:cs="Tahoma"/>
          <w:sz w:val="20"/>
          <w:szCs w:val="20"/>
          <w:vertAlign w:val="superscript"/>
          <w:lang w:val="en-GB" w:eastAsia="ja-JP"/>
        </w:rPr>
        <w:t>a</w:t>
      </w:r>
      <w:proofErr w:type="gramEnd"/>
      <w:r>
        <w:rPr>
          <w:rFonts w:ascii="Arial Narrow" w:eastAsia="Times New Roman" w:hAnsi="Arial Narrow" w:cs="Tahoma"/>
          <w:sz w:val="20"/>
          <w:szCs w:val="20"/>
          <w:lang w:val="en-GB" w:eastAsia="ja-JP"/>
        </w:rPr>
        <w:t xml:space="preserve"> </w:t>
      </w:r>
      <w:r w:rsidR="0098743C" w:rsidRPr="00D555CB">
        <w:rPr>
          <w:rFonts w:ascii="Arial Narrow" w:eastAsia="Times New Roman" w:hAnsi="Arial Narrow" w:cs="Tahoma"/>
          <w:sz w:val="20"/>
          <w:szCs w:val="20"/>
          <w:lang w:val="en-GB" w:eastAsia="ja-JP"/>
        </w:rPr>
        <w:t>4.1 million x (8.8 + 5%)</w:t>
      </w:r>
    </w:p>
    <w:p w14:paraId="31CC7769" w14:textId="77777777" w:rsidR="00237ED7" w:rsidRDefault="00237ED7" w:rsidP="00861324">
      <w:pPr>
        <w:pStyle w:val="Caption"/>
        <w:ind w:left="0" w:firstLine="0"/>
      </w:pPr>
    </w:p>
    <w:p w14:paraId="0C0DB7A9" w14:textId="77777777" w:rsidR="00237ED7" w:rsidRPr="00237ED7" w:rsidRDefault="00237ED7" w:rsidP="002878AD">
      <w:pPr>
        <w:jc w:val="both"/>
      </w:pPr>
      <w:r w:rsidRPr="00237ED7">
        <w:t xml:space="preserve">It is recognised that the potential population for this intervention is quite large, and </w:t>
      </w:r>
      <w:r>
        <w:t>for the l</w:t>
      </w:r>
      <w:r w:rsidRPr="00237ED7">
        <w:t>it</w:t>
      </w:r>
      <w:r>
        <w:t>erature review</w:t>
      </w:r>
      <w:r w:rsidRPr="00237ED7">
        <w:t xml:space="preserve"> might not be possible, in practical terms, to limit the population</w:t>
      </w:r>
      <w:r>
        <w:t xml:space="preserve"> to any degree.</w:t>
      </w:r>
    </w:p>
    <w:p w14:paraId="054B90EF" w14:textId="50AB9521" w:rsidR="00BC69A5" w:rsidRDefault="00D10129" w:rsidP="00D10129">
      <w:pPr>
        <w:jc w:val="both"/>
      </w:pPr>
      <w:r>
        <w:t>The precise demand or need for CNA services</w:t>
      </w:r>
      <w:r w:rsidR="000B1D95">
        <w:t>, and the current level of unmet need,</w:t>
      </w:r>
      <w:r>
        <w:t xml:space="preserve"> </w:t>
      </w:r>
      <w:r w:rsidR="000B1D95">
        <w:t>are</w:t>
      </w:r>
      <w:r>
        <w:t xml:space="preserve"> not known. It is estimated, based on the indications for CNA above, that not all patients suffering from neurodegenerative diseases</w:t>
      </w:r>
      <w:r w:rsidR="00C15E88">
        <w:t>, developmental disorders</w:t>
      </w:r>
      <w:r>
        <w:t xml:space="preserve"> or ABI would need to be referred, and some patients not </w:t>
      </w:r>
      <w:r w:rsidR="005D143D">
        <w:t>specifically mentioned</w:t>
      </w:r>
      <w:r>
        <w:t xml:space="preserve"> in one of the groups might benefit from CNA services. However, according to the Royal College of Physicians and British Society of Rehabilitation Medicine, adequate neuropsychological input in patients with cognitive and/or behavioural problems should be available in any rehabilitation setting </w:t>
      </w:r>
      <w:r>
        <w:fldChar w:fldCharType="begin"/>
      </w:r>
      <w:r>
        <w:instrText xml:space="preserve"> ADDIN EN.CITE &lt;EndNote&gt;&lt;Cite&gt;&lt;Author&gt;Royal College of Physicians and British Society of Rehabilitation Medicine&lt;/Author&gt;&lt;Year&gt;2003&lt;/Year&gt;&lt;RecNum&gt;10&lt;/RecNum&gt;&lt;DisplayText&gt;(Royal College of Physicians and British Society of Rehabilitation Medicine 2003)&lt;/DisplayText&gt;&lt;record&gt;&lt;rec-number&gt;10&lt;/rec-number&gt;&lt;foreign-keys&gt;&lt;key app="EN" db-id="ar5dxszwoae9faedw9b5xwdcd2wzaftfwfer" timestamp="1432174124"&gt;10&lt;/key&gt;&lt;/foreign-keys&gt;&lt;ref-type name="Report"&gt;27&lt;/ref-type&gt;&lt;contributors&gt;&lt;authors&gt;&lt;author&gt;Royal College of Physicians and British Society of Rehabilitation Medicine,. &lt;/author&gt;&lt;/authors&gt;&lt;/contributors&gt;&lt;titles&gt;&lt;title&gt;Rehabilitation following acquired brain injury. National clinical guidelines.&lt;/title&gt;&lt;/titles&gt;&lt;dates&gt;&lt;year&gt;2003&lt;/year&gt;&lt;/dates&gt;&lt;publisher&gt;London: RCP&lt;/publisher&gt;&lt;urls&gt;&lt;related-urls&gt;&lt;url&gt;https://www.rcplondon.ac.uk/sites/default/files/documents/rehabilitation-followingacquired-brain-injury.pdf&lt;/url&gt;&lt;/related-urls&gt;&lt;/urls&gt;&lt;/record&gt;&lt;/Cite&gt;&lt;/EndNote&gt;</w:instrText>
      </w:r>
      <w:r>
        <w:fldChar w:fldCharType="separate"/>
      </w:r>
      <w:r>
        <w:rPr>
          <w:noProof/>
        </w:rPr>
        <w:t>(</w:t>
      </w:r>
      <w:hyperlink w:anchor="_ENREF_25" w:tooltip="Royal College of Physicians and British Society of Rehabilitation Medicine, 2003 #10" w:history="1">
        <w:r w:rsidR="00A8082F">
          <w:rPr>
            <w:noProof/>
          </w:rPr>
          <w:t>Royal College of Physicians and British Society of Rehabilitation Medicine 2003</w:t>
        </w:r>
      </w:hyperlink>
      <w:r>
        <w:rPr>
          <w:noProof/>
        </w:rPr>
        <w:t>)</w:t>
      </w:r>
      <w:r>
        <w:fldChar w:fldCharType="end"/>
      </w:r>
      <w:r>
        <w:t xml:space="preserve">. The number of CNA services will depend on the number of referrals from medical specialists (e.g. geriatricians, neurologists, neurosurgeons, rehab physicians, paediatricians, or psychiatrists). The applicant estimated there would be 27,120 assessments per year, based on one specialist referral per week per neuropsychologist, and the same number returning for feedback (i.e. every patient has two sessions, one for tests, one for results). </w:t>
      </w:r>
      <w:r w:rsidR="00D6705F">
        <w:t>It should be noted that this figure is based on the number of current neuropsychologists</w:t>
      </w:r>
      <w:r w:rsidR="00C10F2A">
        <w:t xml:space="preserve"> (supply driven)</w:t>
      </w:r>
      <w:r w:rsidR="00D6705F">
        <w:t xml:space="preserve">, not on </w:t>
      </w:r>
      <w:r w:rsidR="000B1D95">
        <w:t xml:space="preserve">the potential patient pool. </w:t>
      </w:r>
      <w:r>
        <w:t>The applicant also claims that one third of assessed patients may require an annual review, so this would be around 9,040 services per year.</w:t>
      </w:r>
      <w:r w:rsidR="00CB33A2">
        <w:t xml:space="preserve"> </w:t>
      </w:r>
    </w:p>
    <w:p w14:paraId="3F03DFB0" w14:textId="1AF954BE" w:rsidR="00BC69A5" w:rsidRDefault="00BC69A5" w:rsidP="00D10129">
      <w:pPr>
        <w:jc w:val="both"/>
      </w:pPr>
      <w:r w:rsidRPr="00BF32DC">
        <w:t xml:space="preserve">As it is not known if the demand for CNA services matches the supply, there still may be an issue with equity of access and a risk of distortion of access to neuropsychologists after the listing of CNA services on the MBS. Currently, </w:t>
      </w:r>
      <w:r w:rsidR="00975B37" w:rsidRPr="00BF32DC">
        <w:t xml:space="preserve">usage of </w:t>
      </w:r>
      <w:r w:rsidRPr="00BF32DC">
        <w:t xml:space="preserve">MBS items </w:t>
      </w:r>
      <w:r w:rsidR="00975B37" w:rsidRPr="00BF32DC">
        <w:t>under the ‘Better Access’ initiative is greater in more advantaged socio-economic areas and less rural areas, especially with consultant psychiatrist items. Socioecono</w:t>
      </w:r>
      <w:r w:rsidR="00387696" w:rsidRPr="00BF32DC">
        <w:t>mically disadvantaged areas are</w:t>
      </w:r>
      <w:r w:rsidR="00975B37" w:rsidRPr="00BF32DC">
        <w:t xml:space="preserve"> also associated with lower activity rates for clinical psychologist services</w:t>
      </w:r>
      <w:r w:rsidR="00387696" w:rsidRPr="00BF32DC">
        <w:t xml:space="preserve"> </w:t>
      </w:r>
      <w:r w:rsidR="00387696" w:rsidRPr="00BF32DC">
        <w:fldChar w:fldCharType="begin"/>
      </w:r>
      <w:r w:rsidR="00387696" w:rsidRPr="00BF32DC">
        <w:instrText xml:space="preserve"> ADDIN EN.CITE &lt;EndNote&gt;&lt;Cite&gt;&lt;Author&gt;Meadows&lt;/Author&gt;&lt;Year&gt;2015&lt;/Year&gt;&lt;RecNum&gt;32&lt;/RecNum&gt;&lt;IDText&gt;190-4&lt;/IDText&gt;&lt;DisplayText&gt;(Meadows et al. 2015)&lt;/DisplayText&gt;&lt;record&gt;&lt;rec-number&gt;32&lt;/rec-number&gt;&lt;foreign-keys&gt;&lt;key app="EN" db-id="ar5dxszwoae9faedw9b5xwdcd2wzaftfwfer" timestamp="1442457174"&gt;32&lt;/key&gt;&lt;/foreign-keys&gt;&lt;ref-type name="Journal Article"&gt;17&lt;/ref-type&gt;&lt;contributors&gt;&lt;authors&gt;&lt;author&gt;Meadows, G. N.&lt;/author&gt;&lt;author&gt;Enticott, J. C.&lt;/author&gt;&lt;author&gt;Inder, B.&lt;/author&gt;&lt;author&gt;Russell, G. M.&lt;/author&gt;&lt;author&gt;Gurr, R.&lt;/author&gt;&lt;/authors&gt;&lt;/contributors&gt;&lt;auth-address&gt;Monash University, Melbourne, VIC, Australia. graham.meadows@monash.edu.&amp;#xD;Monash University, Melbourne, VIC, Australia.&amp;#xD;University of Western Sydney, Sydney, NSW, Australia.&lt;/auth-address&gt;&lt;titles&gt;&lt;title&gt;Better access to mental health care and the failure of the Medicare principle of universality&lt;/title&gt;&lt;secondary-title&gt;Med J Aust&lt;/secondary-title&gt;&lt;/titles&gt;&lt;periodical&gt;&lt;full-title&gt;Med J Aust&lt;/full-title&gt;&lt;/periodical&gt;&lt;pages&gt;190-4&lt;/pages&gt;&lt;volume&gt;202&lt;/volume&gt;&lt;number&gt;4&lt;/number&gt;&lt;keywords&gt;&lt;keyword&gt;Adult&lt;/keyword&gt;&lt;keyword&gt;Australia&lt;/keyword&gt;&lt;keyword&gt;Female&lt;/keyword&gt;&lt;keyword&gt;Health Services Accessibility/*organization &amp;amp; administration&lt;/keyword&gt;&lt;keyword&gt;Humans&lt;/keyword&gt;&lt;keyword&gt;Male&lt;/keyword&gt;&lt;keyword&gt;Medicare/*standards&lt;/keyword&gt;&lt;keyword&gt;Mental Disorders/economics/*therapy&lt;/keyword&gt;&lt;keyword&gt;*Mental Health&lt;/keyword&gt;&lt;keyword&gt;Mental Health Services/economics/*utilization&lt;/keyword&gt;&lt;keyword&gt;*Referral and Consultation&lt;/keyword&gt;&lt;keyword&gt;United States&lt;/keyword&gt;&lt;/keywords&gt;&lt;dates&gt;&lt;year&gt;2015&lt;/year&gt;&lt;pub-dates&gt;&lt;date&gt;Mar 2&lt;/date&gt;&lt;/pub-dates&gt;&lt;/dates&gt;&lt;isbn&gt;1326-5377 (Electronic)&amp;#xD;0025-729X (Linking)&lt;/isbn&gt;&lt;accession-num&gt;25716601&lt;/accession-num&gt;&lt;urls&gt;&lt;related-urls&gt;&lt;url&gt;http://www.ncbi.nlm.nih.gov/pubmed/25716601&lt;/url&gt;&lt;url&gt;https://www.mja.com.au/system/files/issues/mea00330.pdf&lt;/url&gt;&lt;/related-urls&gt;&lt;/urls&gt;&lt;/record&gt;&lt;/Cite&gt;&lt;/EndNote&gt;</w:instrText>
      </w:r>
      <w:r w:rsidR="00387696" w:rsidRPr="00BF32DC">
        <w:fldChar w:fldCharType="separate"/>
      </w:r>
      <w:r w:rsidR="00387696" w:rsidRPr="00BF32DC">
        <w:rPr>
          <w:noProof/>
        </w:rPr>
        <w:t>(</w:t>
      </w:r>
      <w:hyperlink w:anchor="_ENREF_21" w:tooltip="Meadows, 2015 #32" w:history="1">
        <w:r w:rsidR="00A8082F" w:rsidRPr="00BF32DC">
          <w:rPr>
            <w:noProof/>
          </w:rPr>
          <w:t>Meadows et al. 2015</w:t>
        </w:r>
      </w:hyperlink>
      <w:r w:rsidR="00387696" w:rsidRPr="00BF32DC">
        <w:rPr>
          <w:noProof/>
        </w:rPr>
        <w:t>)</w:t>
      </w:r>
      <w:r w:rsidR="00387696" w:rsidRPr="00BF32DC">
        <w:fldChar w:fldCharType="end"/>
      </w:r>
      <w:r w:rsidR="00975B37" w:rsidRPr="00BF32DC">
        <w:t>.</w:t>
      </w:r>
    </w:p>
    <w:p w14:paraId="12A94BFD" w14:textId="77777777" w:rsidR="00BC4EFE" w:rsidRPr="00EF3DFE" w:rsidRDefault="00BC4EFE" w:rsidP="00C407E2">
      <w:pPr>
        <w:pStyle w:val="Heading1"/>
        <w:numPr>
          <w:ilvl w:val="0"/>
          <w:numId w:val="27"/>
        </w:numPr>
      </w:pPr>
      <w:r w:rsidRPr="00EF3DFE">
        <w:lastRenderedPageBreak/>
        <w:t xml:space="preserve">Intervention – proposed medical service </w:t>
      </w:r>
    </w:p>
    <w:p w14:paraId="03D4F5B7" w14:textId="19DB2F63" w:rsidR="00A07213" w:rsidRDefault="00832DFF" w:rsidP="003F2278">
      <w:pPr>
        <w:jc w:val="both"/>
      </w:pPr>
      <w:r>
        <w:t>A comprehensive CNA includes the identification and description of the cognitive and behavioural correlates of brain disease or neurodevelopmental disorder, information regarding prognosis and the formulation of treatment plans</w:t>
      </w:r>
      <w:r w:rsidR="0092551E">
        <w:t xml:space="preserve"> </w:t>
      </w:r>
      <w:r w:rsidR="00881730">
        <w:fldChar w:fldCharType="begin"/>
      </w:r>
      <w:r w:rsidR="0092551E">
        <w:instrText xml:space="preserve"> ADDIN EN.CITE &lt;EndNote&gt;&lt;Cite&gt;&lt;Author&gt;American Academy of Clinical&lt;/Author&gt;&lt;Year&gt;2007&lt;/Year&gt;&lt;RecNum&gt;4&lt;/RecNum&gt;&lt;IDText&gt;209-31&lt;/IDText&gt;&lt;DisplayText&gt;(American Academy of Clinical Neuropsychology 2007)&lt;/DisplayText&gt;&lt;record&gt;&lt;rec-number&gt;4&lt;/rec-number&gt;&lt;foreign-keys&gt;&lt;key app="EN" db-id="ar5dxszwoae9faedw9b5xwdcd2wzaftfwfer" timestamp="1431645937"&gt;4&lt;/key&gt;&lt;/foreign-keys&gt;&lt;ref-type name="Journal Article"&gt;17&lt;/ref-type&gt;&lt;contributors&gt;&lt;authors&gt;&lt;author&gt;American Academy of Clinical Neuropsychology,.&lt;/author&gt;&lt;/authors&gt;&lt;/contributors&gt;&lt;titles&gt;&lt;title&gt;American Academy of Clinical Neuropsychology (AACN) practice guidelines for neuropsychological assessment and consultation&lt;/title&gt;&lt;secondary-title&gt;Clin Neuropsychol&lt;/secondary-title&gt;&lt;alt-title&gt;The Clinical neuropsychologist&lt;/alt-title&gt;&lt;/titles&gt;&lt;periodical&gt;&lt;full-title&gt;Clin Neuropsychol&lt;/full-title&gt;&lt;abbr-1&gt;The Clinical neuropsychologist&lt;/abbr-1&gt;&lt;/periodical&gt;&lt;alt-periodical&gt;&lt;full-title&gt;Clin Neuropsychol&lt;/full-title&gt;&lt;abbr-1&gt;The Clinical neuropsychologist&lt;/abbr-1&gt;&lt;/alt-periodical&gt;&lt;pages&gt;209-31&lt;/pages&gt;&lt;volume&gt;21&lt;/volume&gt;&lt;number&gt;2&lt;/number&gt;&lt;edition&gt;2007/04/25&lt;/edition&gt;&lt;keywords&gt;&lt;keyword&gt;Humans&lt;/keyword&gt;&lt;keyword&gt;Neuropsychological Tests/*standards&lt;/keyword&gt;&lt;keyword&gt;Neuropsychology/*standards&lt;/keyword&gt;&lt;keyword&gt;Psychology, Clinical/*standards&lt;/keyword&gt;&lt;keyword&gt;*Referral and Consultation&lt;/keyword&gt;&lt;/keywords&gt;&lt;dates&gt;&lt;year&gt;2007&lt;/year&gt;&lt;pub-dates&gt;&lt;date&gt;Mar&lt;/date&gt;&lt;/pub-dates&gt;&lt;/dates&gt;&lt;isbn&gt;1385-4046 (Print)&amp;#xD;1385-4046 (Linking)&lt;/isbn&gt;&lt;accession-num&gt;17455014&lt;/accession-num&gt;&lt;work-type&gt;Practice Guideline&lt;/work-type&gt;&lt;urls&gt;&lt;related-urls&gt;&lt;url&gt;http://www.ncbi.nlm.nih.gov/pubmed/17455014&lt;/url&gt;&lt;url&gt;http://www.tandfonline.com/doi/pdf/10.1080/13825580601025932&lt;/url&gt;&lt;/related-urls&gt;&lt;/urls&gt;&lt;electronic-resource-num&gt;10.1080/13825580601025932&lt;/electronic-resource-num&gt;&lt;/record&gt;&lt;/Cite&gt;&lt;/EndNote&gt;</w:instrText>
      </w:r>
      <w:r w:rsidR="00881730">
        <w:fldChar w:fldCharType="separate"/>
      </w:r>
      <w:r w:rsidR="0092551E">
        <w:rPr>
          <w:noProof/>
        </w:rPr>
        <w:t>(</w:t>
      </w:r>
      <w:hyperlink w:anchor="_ENREF_4" w:tooltip="American Academy of Clinical Neuropsychology, 2007 #4" w:history="1">
        <w:r w:rsidR="00A8082F">
          <w:rPr>
            <w:noProof/>
          </w:rPr>
          <w:t>American Academy of Clinical Neuropsychology 2007</w:t>
        </w:r>
      </w:hyperlink>
      <w:r w:rsidR="0092551E">
        <w:rPr>
          <w:noProof/>
        </w:rPr>
        <w:t>)</w:t>
      </w:r>
      <w:r w:rsidR="00881730">
        <w:fldChar w:fldCharType="end"/>
      </w:r>
      <w:r>
        <w:t xml:space="preserve">. </w:t>
      </w:r>
      <w:r w:rsidR="00526BE7">
        <w:t xml:space="preserve">During a CNA, scientifically validated </w:t>
      </w:r>
      <w:r w:rsidR="00BC53D4">
        <w:t>performance-based tests</w:t>
      </w:r>
      <w:r w:rsidR="00526BE7">
        <w:t xml:space="preserve"> of cognitive, motor, sensory and emotional functioning will be conducted</w:t>
      </w:r>
      <w:r w:rsidR="00C3292A">
        <w:t xml:space="preserve"> </w:t>
      </w:r>
      <w:r w:rsidR="00881730">
        <w:fldChar w:fldCharType="begin">
          <w:fldData xml:space="preserve">PEVuZE5vdGU+PENpdGU+PEF1dGhvcj5CcmF1bjwvQXV0aG9yPjxZZWFyPjIwMTE8L1llYXI+PFJl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</w:fldData>
        </w:fldChar>
      </w:r>
      <w:r w:rsidR="00881730">
        <w:instrText xml:space="preserve"> ADDIN EN.CITE </w:instrText>
      </w:r>
      <w:r w:rsidR="00881730">
        <w:fldChar w:fldCharType="begin">
          <w:fldData xml:space="preserve">PEVuZE5vdGU+PENpdGU+PEF1dGhvcj5CcmF1bjwvQXV0aG9yPjxZZWFyPjIwMTE8L1llYXI+PFJl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</w:fldData>
        </w:fldChar>
      </w:r>
      <w:r w:rsidR="00881730">
        <w:instrText xml:space="preserve"> ADDIN EN.CITE.DATA </w:instrText>
      </w:r>
      <w:r w:rsidR="00881730">
        <w:fldChar w:fldCharType="end"/>
      </w:r>
      <w:r w:rsidR="00881730">
        <w:fldChar w:fldCharType="separate"/>
      </w:r>
      <w:r w:rsidR="00881730">
        <w:rPr>
          <w:noProof/>
        </w:rPr>
        <w:t>(</w:t>
      </w:r>
      <w:hyperlink w:anchor="_ENREF_13" w:tooltip="Braun, 2011 #6" w:history="1">
        <w:r w:rsidR="00A8082F">
          <w:rPr>
            <w:noProof/>
          </w:rPr>
          <w:t>Braun et al. 2011</w:t>
        </w:r>
      </w:hyperlink>
      <w:r w:rsidR="00881730">
        <w:rPr>
          <w:noProof/>
        </w:rPr>
        <w:t>)</w:t>
      </w:r>
      <w:r w:rsidR="00881730">
        <w:fldChar w:fldCharType="end"/>
      </w:r>
      <w:r w:rsidR="007E5F65">
        <w:t>. The six neurocognitive domains t</w:t>
      </w:r>
      <w:r w:rsidR="00A46776">
        <w:t>horoughly assessed with CNA are:</w:t>
      </w:r>
      <w:r w:rsidR="007E5F65">
        <w:t xml:space="preserve"> learning and memory, language, perceptual-motor skills (e.g. finding oneself lost), executive function (e.g. multi-tasking), complex attention (e.g. how long it takes to do things), and social cognitive skills (e.g. personality changes and behaviours). Th</w:t>
      </w:r>
      <w:r w:rsidR="00526BE7">
        <w:t xml:space="preserve">e selection of tests depends on the </w:t>
      </w:r>
      <w:r w:rsidR="004A656C">
        <w:t xml:space="preserve">patient’s </w:t>
      </w:r>
      <w:r w:rsidR="00526BE7">
        <w:t>medical history, interviews</w:t>
      </w:r>
      <w:r w:rsidR="004A656C">
        <w:t xml:space="preserve"> with the clinical neuropsychologist</w:t>
      </w:r>
      <w:r w:rsidR="00526BE7">
        <w:t>, observations</w:t>
      </w:r>
      <w:r w:rsidR="004A656C">
        <w:t xml:space="preserve"> made by the clinical neuropsychologist</w:t>
      </w:r>
      <w:r w:rsidR="00526BE7">
        <w:t>, symptoms and patient characteristics.</w:t>
      </w:r>
      <w:r w:rsidR="00A07213">
        <w:t xml:space="preserve"> Other relevant information, such as neuroimaging and laboratory results, may also be included.</w:t>
      </w:r>
    </w:p>
    <w:p w14:paraId="1BE327ED" w14:textId="128F96C9" w:rsidR="00687587" w:rsidRDefault="00707F9F" w:rsidP="003F2278">
      <w:pPr>
        <w:jc w:val="both"/>
      </w:pPr>
      <w:r>
        <w:t>The applicant claims</w:t>
      </w:r>
      <w:r w:rsidR="00251971">
        <w:t xml:space="preserve"> CNA may be able to specify </w:t>
      </w:r>
      <w:r>
        <w:t>which</w:t>
      </w:r>
      <w:r w:rsidR="00251971">
        <w:t xml:space="preserve"> areas of the brain are affected, and which syndrome/d</w:t>
      </w:r>
      <w:r>
        <w:t>isorder is associated with it. T</w:t>
      </w:r>
      <w:r w:rsidR="00251971">
        <w:t xml:space="preserve">herefore it sits among the other neuro-clinical assessments for diagnosis, e.g. electroencephalogram (EEG), computed tomography (CT), magnetic resonance imaging (MRI) and single-photon emission computed tomography (SPECT). </w:t>
      </w:r>
      <w:r w:rsidR="00687587">
        <w:t xml:space="preserve">CNA is not likely to be replaced by technology, as there is a lack of clear prediction of cognition and functioning from cortical changes (visible through imaging), in late life </w:t>
      </w:r>
      <w:r w:rsidR="00775AFD">
        <w:fldChar w:fldCharType="begin"/>
      </w:r>
      <w:r w:rsidR="00775AFD">
        <w:instrText xml:space="preserve"> ADDIN EN.CITE &lt;EndNote&gt;&lt;Cite&gt;&lt;Author&gt;Harvey&lt;/Author&gt;&lt;Year&gt;2012&lt;/Year&gt;&lt;RecNum&gt;22&lt;/RecNum&gt;&lt;IDText&gt;91-99&lt;/IDText&gt;&lt;DisplayText&gt;(Harvey 2012)&lt;/DisplayText&gt;&lt;record&gt;&lt;rec-number&gt;22&lt;/rec-number&gt;&lt;foreign-keys&gt;&lt;key app="EN" db-id="ar5dxszwoae9faedw9b5xwdcd2wzaftfwfer" timestamp="1432774899"&gt;22&lt;/key&gt;&lt;/foreign-keys&gt;&lt;ref-type name="Journal Article"&gt;17&lt;/ref-type&gt;&lt;contributors&gt;&lt;authors&gt;&lt;author&gt;Harvey, P.D.&lt;/author&gt;&lt;/authors&gt;&lt;/contributors&gt;&lt;titles&gt;&lt;title&gt;Clinical applications of neuropsychological assessment&lt;/title&gt;&lt;secondary-title&gt;Dialogues Clin Neurosci&lt;/secondary-title&gt;&lt;/titles&gt;&lt;periodical&gt;&lt;full-title&gt;Dialogues Clin Neurosci&lt;/full-title&gt;&lt;/periodical&gt;&lt;pages&gt;91-99&lt;/pages&gt;&lt;volume&gt;14(1)&lt;/volume&gt;&lt;dates&gt;&lt;year&gt;2012&lt;/year&gt;&lt;/dates&gt;&lt;urls&gt;&lt;related-urls&gt;&lt;url&gt;http://www.ncbi.nlm.nih.gov/pmc/articles/PMC3341654/&lt;/url&gt;&lt;/related-urls&gt;&lt;/urls&gt;&lt;custom2&gt;PMC3341654&lt;/custom2&gt;&lt;/record&gt;&lt;/Cite&gt;&lt;/EndNote&gt;</w:instrText>
      </w:r>
      <w:r w:rsidR="00775AFD">
        <w:fldChar w:fldCharType="separate"/>
      </w:r>
      <w:r w:rsidR="00775AFD">
        <w:rPr>
          <w:noProof/>
        </w:rPr>
        <w:t>(</w:t>
      </w:r>
      <w:hyperlink w:anchor="_ENREF_16" w:tooltip="Harvey, 2012 #22" w:history="1">
        <w:r w:rsidR="00A8082F">
          <w:rPr>
            <w:noProof/>
          </w:rPr>
          <w:t>Harvey 2012</w:t>
        </w:r>
      </w:hyperlink>
      <w:r w:rsidR="00775AFD">
        <w:rPr>
          <w:noProof/>
        </w:rPr>
        <w:t>)</w:t>
      </w:r>
      <w:r w:rsidR="00775AFD">
        <w:fldChar w:fldCharType="end"/>
      </w:r>
      <w:r w:rsidR="00687587">
        <w:t xml:space="preserve">. Neuropsychological testing </w:t>
      </w:r>
      <w:r w:rsidR="00526C94">
        <w:t xml:space="preserve">does not provide good information for differential diagnoses for neuropsychiatric disorders, but it does provide information that cannot be obtained through other tests on abilities, motivation, and potential for future outcomes </w:t>
      </w:r>
      <w:r w:rsidR="00775AFD">
        <w:fldChar w:fldCharType="begin"/>
      </w:r>
      <w:r w:rsidR="00775AFD">
        <w:instrText xml:space="preserve"> ADDIN EN.CITE &lt;EndNote&gt;&lt;Cite&gt;&lt;Author&gt;Harvey&lt;/Author&gt;&lt;Year&gt;2012&lt;/Year&gt;&lt;RecNum&gt;22&lt;/RecNum&gt;&lt;IDText&gt;91-99&lt;/IDText&gt;&lt;DisplayText&gt;(Harvey 2012)&lt;/DisplayText&gt;&lt;record&gt;&lt;rec-number&gt;22&lt;/rec-number&gt;&lt;foreign-keys&gt;&lt;key app="EN" db-id="ar5dxszwoae9faedw9b5xwdcd2wzaftfwfer" timestamp="1432774899"&gt;22&lt;/key&gt;&lt;/foreign-keys&gt;&lt;ref-type name="Journal Article"&gt;17&lt;/ref-type&gt;&lt;contributors&gt;&lt;authors&gt;&lt;author&gt;Harvey, P.D.&lt;/author&gt;&lt;/authors&gt;&lt;/contributors&gt;&lt;titles&gt;&lt;title&gt;Clinical applications of neuropsychological assessment&lt;/title&gt;&lt;secondary-title&gt;Dialogues Clin Neurosci&lt;/secondary-title&gt;&lt;/titles&gt;&lt;periodical&gt;&lt;full-title&gt;Dialogues Clin Neurosci&lt;/full-title&gt;&lt;/periodical&gt;&lt;pages&gt;91-99&lt;/pages&gt;&lt;volume&gt;14(1)&lt;/volume&gt;&lt;dates&gt;&lt;year&gt;2012&lt;/year&gt;&lt;/dates&gt;&lt;urls&gt;&lt;related-urls&gt;&lt;url&gt;http://www.ncbi.nlm.nih.gov/pmc/articles/PMC3341654/&lt;/url&gt;&lt;/related-urls&gt;&lt;/urls&gt;&lt;custom2&gt;PMC3341654&lt;/custom2&gt;&lt;/record&gt;&lt;/Cite&gt;&lt;/EndNote&gt;</w:instrText>
      </w:r>
      <w:r w:rsidR="00775AFD">
        <w:fldChar w:fldCharType="separate"/>
      </w:r>
      <w:r w:rsidR="00775AFD">
        <w:rPr>
          <w:noProof/>
        </w:rPr>
        <w:t>(</w:t>
      </w:r>
      <w:hyperlink w:anchor="_ENREF_16" w:tooltip="Harvey, 2012 #22" w:history="1">
        <w:r w:rsidR="00A8082F">
          <w:rPr>
            <w:noProof/>
          </w:rPr>
          <w:t>Harvey 2012</w:t>
        </w:r>
      </w:hyperlink>
      <w:r w:rsidR="00775AFD">
        <w:rPr>
          <w:noProof/>
        </w:rPr>
        <w:t>)</w:t>
      </w:r>
      <w:r w:rsidR="00775AFD">
        <w:fldChar w:fldCharType="end"/>
      </w:r>
      <w:r w:rsidR="00526C94">
        <w:t>. It adds information to other (psychological, neurological, and neuroimaging) assessments.</w:t>
      </w:r>
    </w:p>
    <w:p w14:paraId="747F7CA5" w14:textId="0B4E1888" w:rsidR="003F2278" w:rsidRDefault="00A07213" w:rsidP="003F2278">
      <w:pPr>
        <w:jc w:val="both"/>
      </w:pPr>
      <w:r>
        <w:t>CNA</w:t>
      </w:r>
      <w:r w:rsidR="003F2278">
        <w:t>s may sometimes be repeated to measure change due to spontaneous recovery, treatment effects or deterioration in brain function. However, the first CNA can have a significant impact on the results of the subsequent one. These ‘practice effects’ can inflate results and invalidate the opinions or recommendations made for rehabilit</w:t>
      </w:r>
      <w:r w:rsidR="0092551E">
        <w:t>ation</w:t>
      </w:r>
      <w:r w:rsidR="00707F9F">
        <w:t xml:space="preserve"> </w:t>
      </w:r>
      <w:r w:rsidR="00707F9F">
        <w:fldChar w:fldCharType="begin"/>
      </w:r>
      <w:r w:rsidR="00707F9F">
        <w:instrText xml:space="preserve"> ADDIN EN.CITE &lt;EndNote&gt;&lt;Cite ExcludeAuth="1"&gt;&lt;Year&gt;2013&lt;/Year&gt;&lt;RecNum&gt;5&lt;/RecNum&gt;&lt;DisplayText&gt;(&lt;style face="italic"&gt;Neuropsychological Assessment of Children and Adults with Traumatic Brain Injury: Guidelines for the NSW Compulsory Third Party Scheme and Lifetime Care and Support Scheme&lt;/style&gt;  2013)&lt;/DisplayText&gt;&lt;record&gt;&lt;rec-number&gt;5&lt;/rec-number&gt;&lt;foreign-keys&gt;&lt;key app="EN" db-id="ar5dxszwoae9faedw9b5xwdcd2wzaftfwfer" timestamp="1431654600"&gt;5&lt;/key&gt;&lt;/foreign-keys&gt;&lt;ref-type name="Report"&gt;27&lt;/ref-type&gt;&lt;contributors&gt;&lt;secondary-authors&gt;&lt;author&gt;Motor Accidents Authority&lt;/author&gt;&lt;/secondary-authors&gt;&lt;/contributors&gt;&lt;titles&gt;&lt;title&gt;Neuropsychological Assessment of Children and Adults with Traumatic Brain Injury: Guidelines for the NSW Compulsory Third Party Scheme and Lifetime Care and Support Scheme&lt;/title&gt;&lt;/titles&gt;&lt;dates&gt;&lt;year&gt;2013&lt;/year&gt;&lt;/dates&gt;&lt;pub-location&gt;Sydney&lt;/pub-location&gt;&lt;publisher&gt;Motor Accidents Authority, NSW government&lt;/publisher&gt;&lt;urls&gt;&lt;related-urls&gt;&lt;url&gt;http://www.maa.nsw.gov.au/__data/assets/pdf_file/0019/12097/Neuropsychological_assessment_of_children_and_adults_with_traumatic_brain_injury_Guidelines_for_the_NSW_CTP_and_LTCS_Schemes1.pdf&lt;/url&gt;&lt;/related-urls&gt;&lt;/urls&gt;&lt;/record&gt;&lt;/Cite&gt;&lt;/EndNote&gt;</w:instrText>
      </w:r>
      <w:r w:rsidR="00707F9F">
        <w:fldChar w:fldCharType="separate"/>
      </w:r>
      <w:r w:rsidR="00707F9F">
        <w:rPr>
          <w:noProof/>
        </w:rPr>
        <w:t>(</w:t>
      </w:r>
      <w:hyperlink w:anchor="_ENREF_23" w:tooltip=", 2013 #5" w:history="1">
        <w:r w:rsidR="00A8082F" w:rsidRPr="00881730">
          <w:rPr>
            <w:i/>
            <w:noProof/>
          </w:rPr>
          <w:t>Neuropsychological Assessment of Children and Adults with Traumatic Brain Injury: Guidelines for the NSW Compulsory Third Party Scheme and Lifetime Care and Support Scheme</w:t>
        </w:r>
        <w:r w:rsidR="00A8082F">
          <w:rPr>
            <w:noProof/>
          </w:rPr>
          <w:t xml:space="preserve">  2013</w:t>
        </w:r>
      </w:hyperlink>
      <w:r w:rsidR="00707F9F">
        <w:rPr>
          <w:noProof/>
        </w:rPr>
        <w:t>)</w:t>
      </w:r>
      <w:r w:rsidR="00707F9F">
        <w:fldChar w:fldCharType="end"/>
      </w:r>
      <w:r w:rsidR="0092551E">
        <w:t>. Therefore, timing of a CNA</w:t>
      </w:r>
      <w:r w:rsidR="003F2278">
        <w:t xml:space="preserve"> needs to be carefully considered and the number of tests should be kept to a minimum. At</w:t>
      </w:r>
      <w:r w:rsidR="0092551E">
        <w:t xml:space="preserve"> least 12-24 months between CNA</w:t>
      </w:r>
      <w:r w:rsidR="003F2278">
        <w:t>s is recommended</w:t>
      </w:r>
      <w:r w:rsidR="00707F9F">
        <w:t>.</w:t>
      </w:r>
      <w:r w:rsidR="003F2278">
        <w:t xml:space="preserve"> </w:t>
      </w:r>
      <w:r w:rsidR="00CD2631">
        <w:t>However, the applicant claims it is possible to determine reliable change indices with regard to re-administered clinical assessments, allowing clinicians to determine reliably whether any change in score from repeated assessment is due to reliable improvement or deterioration whilst correcting for the fact that the client is undergoing a repeated administration of the instrument used.</w:t>
      </w:r>
    </w:p>
    <w:p w14:paraId="59DDC611" w14:textId="77777777" w:rsidR="000D7F43" w:rsidRDefault="000D7F43" w:rsidP="00BC4EFE">
      <w:r>
        <w:t>The applicant proposes three CNA services for listing on the MBS:</w:t>
      </w:r>
    </w:p>
    <w:p w14:paraId="2C046B65" w14:textId="77777777" w:rsidR="000D7F43" w:rsidRDefault="000D7F43" w:rsidP="00541A4D">
      <w:pPr>
        <w:pStyle w:val="ListParagraph"/>
        <w:numPr>
          <w:ilvl w:val="0"/>
          <w:numId w:val="4"/>
        </w:numPr>
        <w:jc w:val="both"/>
      </w:pPr>
      <w:r w:rsidRPr="000D7F43">
        <w:rPr>
          <w:u w:val="single"/>
        </w:rPr>
        <w:t>Assessment</w:t>
      </w:r>
      <w:r>
        <w:t xml:space="preserve">. </w:t>
      </w:r>
      <w:r w:rsidR="00ED2C94">
        <w:t>This is the assessment itself, where the tests are conducted. The duration of the assessment can take anywhere between one and eight hours. A short assessment is seen as 1-4 hours, a medium assessment is 4-6 hours and a long assessment is 6-8 hours. First assessments are generally medium or extended.</w:t>
      </w:r>
    </w:p>
    <w:p w14:paraId="4098C6C7" w14:textId="77777777" w:rsidR="00915CE9" w:rsidRDefault="00162213" w:rsidP="00541A4D">
      <w:pPr>
        <w:pStyle w:val="ListParagraph"/>
        <w:numPr>
          <w:ilvl w:val="0"/>
          <w:numId w:val="4"/>
        </w:numPr>
        <w:jc w:val="both"/>
      </w:pPr>
      <w:r w:rsidRPr="00915CE9">
        <w:rPr>
          <w:u w:val="single"/>
        </w:rPr>
        <w:t>Feedback.</w:t>
      </w:r>
      <w:r w:rsidR="00ED2C94" w:rsidRPr="009B30D3">
        <w:t xml:space="preserve"> </w:t>
      </w:r>
      <w:r w:rsidR="00F961A0">
        <w:t>Neuropsychological</w:t>
      </w:r>
      <w:r w:rsidR="009B30D3">
        <w:t xml:space="preserve"> feedback </w:t>
      </w:r>
      <w:r w:rsidR="00F961A0">
        <w:t xml:space="preserve">requires the preparation of a written plain-language summary for the patient (or parent, carer or guardian), individualised recommendations and </w:t>
      </w:r>
      <w:r w:rsidR="00F961A0">
        <w:lastRenderedPageBreak/>
        <w:t>verbal delivery of the feedback</w:t>
      </w:r>
      <w:r w:rsidR="00915CE9">
        <w:t xml:space="preserve">. There are basic or short feedback (1-2 hours) reports, and extended feedback reports (3-4 hours). The latter also includes a management plan. </w:t>
      </w:r>
    </w:p>
    <w:p w14:paraId="400E85E7" w14:textId="77777777" w:rsidR="00162213" w:rsidRDefault="00162213" w:rsidP="00541A4D">
      <w:pPr>
        <w:pStyle w:val="ListParagraph"/>
        <w:numPr>
          <w:ilvl w:val="0"/>
          <w:numId w:val="4"/>
        </w:numPr>
        <w:jc w:val="both"/>
      </w:pPr>
      <w:r w:rsidRPr="00915CE9">
        <w:rPr>
          <w:u w:val="single"/>
        </w:rPr>
        <w:t>Review.</w:t>
      </w:r>
      <w:r w:rsidR="00915CE9">
        <w:t xml:space="preserve"> This would be a re-assessment (maximum one per patient per year) of either short or medium length, based on clinical need, to assess progress or decline over time.</w:t>
      </w:r>
    </w:p>
    <w:p w14:paraId="0833BEF2" w14:textId="77777777" w:rsidR="00336E33" w:rsidRDefault="00487CCE" w:rsidP="00220876">
      <w:pPr>
        <w:jc w:val="both"/>
      </w:pPr>
      <w:r>
        <w:t>CNA</w:t>
      </w:r>
      <w:r w:rsidR="00494765">
        <w:t xml:space="preserve">s </w:t>
      </w:r>
      <w:r w:rsidR="005D143D">
        <w:t>are currently</w:t>
      </w:r>
      <w:r w:rsidR="00494765">
        <w:t xml:space="preserve"> cond</w:t>
      </w:r>
      <w:r w:rsidR="009E3E6E">
        <w:t xml:space="preserve">ucted in (1) tertiary medical centres, (2) primary care, (3) patient’s homes, and (4) residential aged care facilities. The majority of need for CNA services is </w:t>
      </w:r>
      <w:r w:rsidR="005D143D">
        <w:t>for patients under the care of specialists i</w:t>
      </w:r>
      <w:r w:rsidR="009E3E6E">
        <w:t>n private practices (</w:t>
      </w:r>
      <w:r w:rsidR="005D143D">
        <w:t>or</w:t>
      </w:r>
      <w:r w:rsidR="009E3E6E">
        <w:t xml:space="preserve"> GPs </w:t>
      </w:r>
      <w:r w:rsidR="005D143D">
        <w:t>in rural areas</w:t>
      </w:r>
      <w:r w:rsidR="009E3E6E">
        <w:t>). CNA</w:t>
      </w:r>
      <w:r w:rsidR="00FC6320">
        <w:t xml:space="preserve"> services</w:t>
      </w:r>
      <w:r w:rsidR="009E3E6E">
        <w:t xml:space="preserve"> would assist with diagnosis</w:t>
      </w:r>
      <w:r w:rsidR="00C8789C">
        <w:t>,</w:t>
      </w:r>
      <w:r w:rsidR="009E3E6E">
        <w:t xml:space="preserve"> management decisions and </w:t>
      </w:r>
      <w:r w:rsidR="0053429C">
        <w:t xml:space="preserve">determining </w:t>
      </w:r>
      <w:r w:rsidR="009E3E6E">
        <w:t xml:space="preserve">prognosis in many cases. </w:t>
      </w:r>
      <w:r w:rsidR="00FC6320">
        <w:t>In tertiary medical centres CNA</w:t>
      </w:r>
      <w:r w:rsidR="009E3E6E">
        <w:t xml:space="preserve">s are funded and provided in some inpatient and outpatient units (both public and private hospitals). </w:t>
      </w:r>
      <w:r w:rsidR="00220876">
        <w:t>The use of these services is mainly diagnostic, but may also provide information for treatment and rehabilitation planning. For people who are immobile or anxious and scared to be away from</w:t>
      </w:r>
      <w:r w:rsidR="00FC6320">
        <w:t xml:space="preserve"> home (e.g. with dementia), CNA</w:t>
      </w:r>
      <w:r w:rsidR="00220876">
        <w:t xml:space="preserve">s </w:t>
      </w:r>
      <w:r w:rsidR="005D143D">
        <w:t>can</w:t>
      </w:r>
      <w:r w:rsidR="00220876">
        <w:t xml:space="preserve"> be conducted in the patient’s home or in a residential aged care facility.</w:t>
      </w:r>
      <w:r w:rsidR="009E3E6E">
        <w:t xml:space="preserve"> </w:t>
      </w:r>
    </w:p>
    <w:p w14:paraId="4430FD17" w14:textId="77777777" w:rsidR="00DE1132" w:rsidRDefault="00DE1132" w:rsidP="00DE1132">
      <w:pPr>
        <w:jc w:val="both"/>
      </w:pPr>
      <w:r>
        <w:t>The applicant claims CNAs should be performed by an Australian Health Practitioner Regulation Agency (AHPRA) endorsed clinical neuropsychologist</w:t>
      </w:r>
      <w:r w:rsidR="005D143D">
        <w:t>, as these practitioners are the only service providers appropriately trained and credentialed to undertake CNA</w:t>
      </w:r>
      <w:r>
        <w:t>. Referrals shou</w:t>
      </w:r>
      <w:r w:rsidR="006A414A">
        <w:t>ld be made by specialists (e.g.</w:t>
      </w:r>
      <w:r w:rsidRPr="00C2370C">
        <w:t xml:space="preserve"> geriatrician, neurologist, neurosurgeon, rehab</w:t>
      </w:r>
      <w:r w:rsidR="006A414A">
        <w:t>ilitation</w:t>
      </w:r>
      <w:r w:rsidRPr="00C2370C">
        <w:t xml:space="preserve"> physician, paediatrician,</w:t>
      </w:r>
      <w:r>
        <w:t xml:space="preserve"> or</w:t>
      </w:r>
      <w:r w:rsidRPr="00C2370C">
        <w:t xml:space="preserve"> psychiatrist</w:t>
      </w:r>
      <w:r>
        <w:t>), and in order to support rural GPs and patients, the applicant proposes that rural GPs should be able to refer patients for CNA services after a consultation (e.g. tele-health) with a specialist physician.</w:t>
      </w:r>
      <w:r w:rsidR="00F92515">
        <w:t xml:space="preserve"> </w:t>
      </w:r>
      <w:r w:rsidR="005D143D">
        <w:t>The applicant has suggested that other GPs should not be able to refer directly</w:t>
      </w:r>
      <w:r w:rsidR="001D5110">
        <w:t xml:space="preserve"> for CNA so that referrals are appropriately made and over servicing is limited.</w:t>
      </w:r>
    </w:p>
    <w:p w14:paraId="266A3785" w14:textId="77777777" w:rsidR="00BC4EFE" w:rsidRPr="00EF3DFE" w:rsidRDefault="00BC4EFE" w:rsidP="00C407E2">
      <w:pPr>
        <w:pStyle w:val="Heading1"/>
        <w:numPr>
          <w:ilvl w:val="0"/>
          <w:numId w:val="27"/>
        </w:numPr>
      </w:pPr>
      <w:r w:rsidRPr="00EF3DFE">
        <w:t>Co-dependent information</w:t>
      </w:r>
    </w:p>
    <w:p w14:paraId="53E0ACD3" w14:textId="77777777" w:rsidR="00D90D8F" w:rsidRPr="00BC4EFE" w:rsidRDefault="00093D78" w:rsidP="00BC4EFE">
      <w:r>
        <w:t>Not applicable.</w:t>
      </w:r>
    </w:p>
    <w:p w14:paraId="6D530DBD" w14:textId="77777777" w:rsidR="00BC4EFE" w:rsidRPr="00EF3DFE" w:rsidRDefault="00BC4EFE" w:rsidP="00C407E2">
      <w:pPr>
        <w:pStyle w:val="Heading1"/>
        <w:numPr>
          <w:ilvl w:val="0"/>
          <w:numId w:val="27"/>
        </w:numPr>
      </w:pPr>
      <w:r w:rsidRPr="00EF3DFE">
        <w:t>Comparator – clinical claim for the proposed medical service</w:t>
      </w:r>
    </w:p>
    <w:p w14:paraId="26430BDD" w14:textId="77777777" w:rsidR="00425D04" w:rsidRDefault="00735CE3" w:rsidP="009C53D1">
      <w:pPr>
        <w:jc w:val="both"/>
      </w:pPr>
      <w:r w:rsidRPr="00735CE3">
        <w:t xml:space="preserve">Comparators </w:t>
      </w:r>
      <w:r>
        <w:t xml:space="preserve">are usually selected by determining the technology most likely to be replaced by the technology submitted for a new MBS item number. </w:t>
      </w:r>
      <w:r w:rsidR="00A77B61">
        <w:t>As stated earlier, some patients may currently be receiving CNAs, funded through the public hospital system, the DVA or accident compensation insurance schemes. Patients receiving the treatment through an alternative funding source are not considered comparators for the proposed assessment.</w:t>
      </w:r>
    </w:p>
    <w:p w14:paraId="752AEF07" w14:textId="77777777" w:rsidR="00B05632" w:rsidRDefault="00425D04" w:rsidP="009C53D1">
      <w:pPr>
        <w:jc w:val="both"/>
      </w:pPr>
      <w:r>
        <w:t>C</w:t>
      </w:r>
      <w:r w:rsidR="00A77B61">
        <w:t xml:space="preserve">urrently, in the absence of </w:t>
      </w:r>
      <w:r>
        <w:t xml:space="preserve">funded CNA services, there are </w:t>
      </w:r>
      <w:r w:rsidR="006A414A">
        <w:t>several</w:t>
      </w:r>
      <w:r>
        <w:t xml:space="preserve"> paths a patient can take:</w:t>
      </w:r>
    </w:p>
    <w:p w14:paraId="0B20E645" w14:textId="77777777" w:rsidR="00261D0C" w:rsidRDefault="00985259" w:rsidP="00C407E2">
      <w:pPr>
        <w:pStyle w:val="ListParagraph"/>
        <w:numPr>
          <w:ilvl w:val="0"/>
          <w:numId w:val="24"/>
        </w:numPr>
        <w:jc w:val="both"/>
      </w:pPr>
      <w:r>
        <w:t>The patient</w:t>
      </w:r>
      <w:r w:rsidR="006F004F">
        <w:t>s pay</w:t>
      </w:r>
      <w:r>
        <w:t xml:space="preserve"> for CNA themselves</w:t>
      </w:r>
      <w:r w:rsidR="00075FAF">
        <w:t>.</w:t>
      </w:r>
    </w:p>
    <w:p w14:paraId="082E88F6" w14:textId="1AFD0FF6" w:rsidR="00985259" w:rsidRDefault="000133D1" w:rsidP="00C407E2">
      <w:pPr>
        <w:pStyle w:val="ListParagraph"/>
        <w:numPr>
          <w:ilvl w:val="0"/>
          <w:numId w:val="24"/>
        </w:numPr>
        <w:jc w:val="both"/>
      </w:pPr>
      <w:r>
        <w:t xml:space="preserve">Cognitive and </w:t>
      </w:r>
      <w:r w:rsidR="00985259">
        <w:t>behavioural</w:t>
      </w:r>
      <w:r>
        <w:t xml:space="preserve"> symptom</w:t>
      </w:r>
      <w:r w:rsidR="00985259">
        <w:t xml:space="preserve"> assessment</w:t>
      </w:r>
      <w:r w:rsidR="00E065BF">
        <w:t xml:space="preserve"> done</w:t>
      </w:r>
      <w:r w:rsidR="00985259">
        <w:t xml:space="preserve"> through other specialties (e.g. general practitioner, psychologist, geriatrician, neurologist, neurosurgeon, rehab</w:t>
      </w:r>
      <w:r w:rsidR="006A414A">
        <w:t>ilitation</w:t>
      </w:r>
      <w:r w:rsidR="00985259">
        <w:t xml:space="preserve"> physician, paed</w:t>
      </w:r>
      <w:r w:rsidR="006F004F">
        <w:t>iatrician, or psychiatrist).</w:t>
      </w:r>
      <w:r>
        <w:t xml:space="preserve"> Most of these services would consist of brief mental-status type assessments e.g. the Mini-Mental Status Examination (MMSE) or the Montreal Cognitive Assessment.</w:t>
      </w:r>
      <w:r w:rsidR="00261D0C">
        <w:t xml:space="preserve"> For patients suspected of dementia there is the Quick Dementia Rating System (QDRS) </w:t>
      </w:r>
      <w:r w:rsidR="00261D0C">
        <w:fldChar w:fldCharType="begin"/>
      </w:r>
      <w:r w:rsidR="00261D0C">
        <w:instrText xml:space="preserve"> ADDIN EN.CITE &lt;EndNote&gt;&lt;Cite&gt;&lt;Author&gt;Galvin&lt;/Author&gt;&lt;Year&gt;2015&lt;/Year&gt;&lt;RecNum&gt;31&lt;/RecNum&gt;&lt;IDText&gt;249-259&lt;/IDText&gt;&lt;DisplayText&gt;(Galvin 2015)&lt;/DisplayText&gt;&lt;record&gt;&lt;rec-number&gt;31&lt;/rec-number&gt;&lt;foreign-keys&gt;&lt;key app="EN" db-id="ar5dxszwoae9faedw9b5xwdcd2wzaftfwfer" timestamp="1439781684"&gt;31&lt;/key&gt;&lt;/foreign-keys&gt;&lt;ref-type name="Journal Article"&gt;17&lt;/ref-type&gt;&lt;contributors&gt;&lt;authors&gt;&lt;author&gt;Galvin, J. E.&lt;/author&gt;&lt;/authors&gt;&lt;/contributors&gt;&lt;auth-address&gt;Center for Cognitive Neurology, Departments of Neurology, Psychiatry, and Population Health, NYU Langone Medical Center.&lt;/auth-address&gt;&lt;titles&gt;&lt;title&gt;The Quick Dementia Rating System (Qdrs): A Rapid Dementia Staging Tool&lt;/title&gt;&lt;secondary-title&gt;Alzheimers Dement (Amst)&lt;/secondary-title&gt;&lt;/titles&gt;&lt;periodical&gt;&lt;full-title&gt;Alzheimers Dement (Amst)&lt;/full-title&gt;&lt;/periodical&gt;&lt;pages&gt;249-259&lt;/pages&gt;&lt;volume&gt;1&lt;/volume&gt;&lt;number&gt;2&lt;/number&gt;&lt;keywords&gt;&lt;keyword&gt;Clinical Dementia Rating&lt;/keyword&gt;&lt;keyword&gt;Clinical Trials&lt;/keyword&gt;&lt;keyword&gt;Dementia&lt;/keyword&gt;&lt;keyword&gt;Staging&lt;/keyword&gt;&lt;keyword&gt;neurocognitive disorders&lt;/keyword&gt;&lt;/keywords&gt;&lt;dates&gt;&lt;year&gt;2015&lt;/year&gt;&lt;pub-dates&gt;&lt;date&gt;Jun 1&lt;/date&gt;&lt;/pub-dates&gt;&lt;/dates&gt;&lt;isbn&gt;2352-8729 (Print)&lt;/isbn&gt;&lt;accession-num&gt;26140284&lt;/accession-num&gt;&lt;urls&gt;&lt;related-urls&gt;&lt;url&gt;http://www.ncbi.nlm.nih.gov/pubmed/26140284&lt;/url&gt;&lt;/related-urls&gt;&lt;/urls&gt;&lt;custom2&gt;4484882&lt;/custom2&gt;&lt;electronic-resource-num&gt;10.1016/j.dadm.2015.03.003&lt;/electronic-resource-num&gt;&lt;/record&gt;&lt;/Cite&gt;&lt;/EndNote&gt;</w:instrText>
      </w:r>
      <w:r w:rsidR="00261D0C">
        <w:fldChar w:fldCharType="separate"/>
      </w:r>
      <w:r w:rsidR="00261D0C">
        <w:rPr>
          <w:noProof/>
        </w:rPr>
        <w:t>(</w:t>
      </w:r>
      <w:hyperlink w:anchor="_ENREF_14" w:tooltip="Galvin, 2015 #31" w:history="1">
        <w:r w:rsidR="00A8082F">
          <w:rPr>
            <w:noProof/>
          </w:rPr>
          <w:t>Galvin 2015</w:t>
        </w:r>
      </w:hyperlink>
      <w:r w:rsidR="00261D0C">
        <w:rPr>
          <w:noProof/>
        </w:rPr>
        <w:t>)</w:t>
      </w:r>
      <w:r w:rsidR="00261D0C">
        <w:fldChar w:fldCharType="end"/>
      </w:r>
      <w:r w:rsidR="00261D0C">
        <w:t>.</w:t>
      </w:r>
      <w:r w:rsidR="006F004F">
        <w:t xml:space="preserve"> </w:t>
      </w:r>
      <w:r w:rsidR="00EA1011">
        <w:t xml:space="preserve">These services are limited in scope, depth and breadth compared to a CNA. </w:t>
      </w:r>
      <w:r w:rsidR="006F004F">
        <w:t>Assessment s</w:t>
      </w:r>
      <w:r w:rsidR="00985259">
        <w:t xml:space="preserve">ervices currently listed on the MBS are shown in </w:t>
      </w:r>
      <w:r w:rsidR="004A4751" w:rsidRPr="00EF10B3">
        <w:rPr>
          <w:highlight w:val="yellow"/>
        </w:rPr>
        <w:fldChar w:fldCharType="begin"/>
      </w:r>
      <w:r w:rsidR="004A4751">
        <w:instrText xml:space="preserve"> REF _Ref420404345 \h </w:instrText>
      </w:r>
      <w:r w:rsidR="004A4751" w:rsidRPr="00EF10B3">
        <w:rPr>
          <w:highlight w:val="yellow"/>
        </w:rPr>
      </w:r>
      <w:r w:rsidR="004A4751" w:rsidRPr="00EF10B3">
        <w:rPr>
          <w:highlight w:val="yellow"/>
        </w:rPr>
        <w:fldChar w:fldCharType="separate"/>
      </w:r>
      <w:r w:rsidR="004A4751">
        <w:t xml:space="preserve">Table </w:t>
      </w:r>
      <w:r w:rsidR="004A4751">
        <w:rPr>
          <w:noProof/>
        </w:rPr>
        <w:t>2</w:t>
      </w:r>
      <w:r w:rsidR="004A4751" w:rsidRPr="00EF10B3">
        <w:rPr>
          <w:highlight w:val="yellow"/>
        </w:rPr>
        <w:fldChar w:fldCharType="end"/>
      </w:r>
      <w:r w:rsidR="004A4751">
        <w:t>.</w:t>
      </w:r>
    </w:p>
    <w:p w14:paraId="7C48F910" w14:textId="77777777" w:rsidR="00985259" w:rsidRDefault="006F004F" w:rsidP="00C407E2">
      <w:pPr>
        <w:pStyle w:val="ListParagraph"/>
        <w:numPr>
          <w:ilvl w:val="0"/>
          <w:numId w:val="24"/>
        </w:numPr>
        <w:jc w:val="both"/>
      </w:pPr>
      <w:r>
        <w:lastRenderedPageBreak/>
        <w:t>No CNA</w:t>
      </w:r>
      <w:r w:rsidR="00E065BF">
        <w:t xml:space="preserve"> is done</w:t>
      </w:r>
      <w:r w:rsidR="006B1BAC">
        <w:t>; only medical imaging</w:t>
      </w:r>
      <w:r>
        <w:t xml:space="preserve"> and symptom guided treatment.</w:t>
      </w:r>
    </w:p>
    <w:p w14:paraId="1687E7C1" w14:textId="77777777" w:rsidR="00EE700E" w:rsidRDefault="00EE700E" w:rsidP="00EE700E">
      <w:pPr>
        <w:jc w:val="both"/>
      </w:pPr>
      <w:r w:rsidRPr="00EE700E">
        <w:t xml:space="preserve">As stated on page 5, the precise demand or need for CNA services is not known. Therefore, it is also difficult to assess the number of patients who would benefit from CNA but currently miss out on the service, the number of patients who currently receive </w:t>
      </w:r>
      <w:r>
        <w:t>CNA but not in a timely manner</w:t>
      </w:r>
      <w:r w:rsidR="001D5110">
        <w:t xml:space="preserve"> (anecdotal evidence from the applicant suggests a waiting time of 18 months to three years or longer</w:t>
      </w:r>
      <w:r w:rsidR="00075FAF">
        <w:t xml:space="preserve"> in the public system</w:t>
      </w:r>
      <w:r w:rsidR="001D5110">
        <w:t>)</w:t>
      </w:r>
      <w:r>
        <w:t>,</w:t>
      </w:r>
      <w:r w:rsidRPr="00EE700E">
        <w:t xml:space="preserve"> and the number who </w:t>
      </w:r>
      <w:r>
        <w:t>currently</w:t>
      </w:r>
      <w:r w:rsidRPr="00EE700E">
        <w:t xml:space="preserve"> access CNA services in a different setting who may switch to the MBS funded setting. </w:t>
      </w:r>
      <w:r w:rsidR="00237ED7">
        <w:t>T</w:t>
      </w:r>
      <w:r w:rsidRPr="00EE700E">
        <w:t>he numbe</w:t>
      </w:r>
      <w:r>
        <w:t xml:space="preserve">r of eligible patients could be </w:t>
      </w:r>
      <w:r w:rsidRPr="00EE700E">
        <w:t>anywhere between zero and a million Australians.</w:t>
      </w:r>
    </w:p>
    <w:p w14:paraId="76D2A436" w14:textId="77777777" w:rsidR="00200451" w:rsidRDefault="00200451" w:rsidP="00200451">
      <w:pPr>
        <w:jc w:val="both"/>
      </w:pPr>
      <w:r>
        <w:t>Depending on the comparator(s) chosen, the approach for the assessment would differ (i.e. it determines whether a health technology assessment is an appropriate framework or not for considering its impact).</w:t>
      </w:r>
      <w:r w:rsidR="006A414A">
        <w:t xml:space="preserve"> The potential approaches are:</w:t>
      </w:r>
    </w:p>
    <w:p w14:paraId="09F2A84D" w14:textId="77777777" w:rsidR="00200451" w:rsidRDefault="00261D0C" w:rsidP="00541A4D">
      <w:pPr>
        <w:pStyle w:val="ListParagraph"/>
        <w:numPr>
          <w:ilvl w:val="0"/>
          <w:numId w:val="5"/>
        </w:numPr>
        <w:jc w:val="both"/>
      </w:pPr>
      <w:r>
        <w:t>If the comparator is CNA</w:t>
      </w:r>
      <w:r w:rsidR="00200451">
        <w:t xml:space="preserve"> funded by patients, it is not expected that there would be health outcomes which would differ, and only the financial impact of the change need be assessed</w:t>
      </w:r>
      <w:r w:rsidR="00075FAF">
        <w:t>, including potential uptake of the item from patients not receiving CNA in a timely manner in the public system</w:t>
      </w:r>
      <w:r w:rsidR="00200451">
        <w:t xml:space="preserve">. </w:t>
      </w:r>
    </w:p>
    <w:p w14:paraId="3D2F4F0A" w14:textId="77777777" w:rsidR="00200451" w:rsidRDefault="009A458C" w:rsidP="00541A4D">
      <w:pPr>
        <w:pStyle w:val="ListParagraph"/>
        <w:numPr>
          <w:ilvl w:val="0"/>
          <w:numId w:val="5"/>
        </w:numPr>
        <w:jc w:val="both"/>
      </w:pPr>
      <w:r>
        <w:t>With comparator 2</w:t>
      </w:r>
      <w:r w:rsidR="00F51599">
        <w:t>,</w:t>
      </w:r>
      <w:r w:rsidR="00200451">
        <w:t xml:space="preserve"> other specialists providing </w:t>
      </w:r>
      <w:r w:rsidR="00F51599">
        <w:t>b</w:t>
      </w:r>
      <w:r w:rsidR="001D5110">
        <w:t>ehavioural and cognitive symptom assessment</w:t>
      </w:r>
      <w:r w:rsidR="00200451">
        <w:t xml:space="preserve">, </w:t>
      </w:r>
      <w:r w:rsidR="00F51599">
        <w:t>a health technology assessment sh</w:t>
      </w:r>
      <w:r w:rsidR="00200451">
        <w:t xml:space="preserve">ould be performed to see if any literature is available comparing the health impacts of the delivery of </w:t>
      </w:r>
      <w:r w:rsidR="001D5110">
        <w:t>limited</w:t>
      </w:r>
      <w:r w:rsidR="00200451">
        <w:t xml:space="preserve"> service</w:t>
      </w:r>
      <w:r w:rsidR="001D5110">
        <w:t>s</w:t>
      </w:r>
      <w:r w:rsidR="00200451">
        <w:t xml:space="preserve"> by other specialties</w:t>
      </w:r>
      <w:r w:rsidR="001D5110">
        <w:t xml:space="preserve"> to CNA delivered by neuropsychologists</w:t>
      </w:r>
      <w:r w:rsidR="00200451">
        <w:t xml:space="preserve">. </w:t>
      </w:r>
    </w:p>
    <w:p w14:paraId="5AF80DE5" w14:textId="77777777" w:rsidR="00200451" w:rsidRDefault="009A458C" w:rsidP="00541A4D">
      <w:pPr>
        <w:pStyle w:val="ListParagraph"/>
        <w:numPr>
          <w:ilvl w:val="0"/>
          <w:numId w:val="5"/>
        </w:numPr>
        <w:jc w:val="both"/>
      </w:pPr>
      <w:r>
        <w:t>With comparator 3</w:t>
      </w:r>
      <w:r w:rsidR="00F51599">
        <w:t xml:space="preserve">, </w:t>
      </w:r>
      <w:r w:rsidR="00200451">
        <w:t xml:space="preserve">no CNA (and symptom guided management), the safety, effectiveness and cost-effectiveness of CNA may be assessed. </w:t>
      </w:r>
    </w:p>
    <w:p w14:paraId="7939ED2B" w14:textId="77777777" w:rsidR="00F51599" w:rsidRDefault="00F51599" w:rsidP="001018F3">
      <w:pPr>
        <w:jc w:val="both"/>
      </w:pPr>
      <w:r>
        <w:t xml:space="preserve">For children, </w:t>
      </w:r>
      <w:r w:rsidR="009A458C">
        <w:t xml:space="preserve">the applicants suggested that </w:t>
      </w:r>
      <w:r>
        <w:t>a CNA is currently the onl</w:t>
      </w:r>
      <w:r w:rsidR="00541A4D">
        <w:t>y option</w:t>
      </w:r>
      <w:r>
        <w:t xml:space="preserve"> as there i</w:t>
      </w:r>
      <w:r w:rsidR="00541A4D">
        <w:t>s no</w:t>
      </w:r>
      <w:r>
        <w:t xml:space="preserve"> MMSE </w:t>
      </w:r>
      <w:r w:rsidR="00541A4D">
        <w:t>available for this group</w:t>
      </w:r>
      <w:r w:rsidR="009A458C">
        <w:t>, and imaging is inappropriate</w:t>
      </w:r>
      <w:r w:rsidR="00541A4D">
        <w:t>. CNA is the approach of choice with this population and is accessed through the public system or out of poc</w:t>
      </w:r>
      <w:r w:rsidR="009A458C">
        <w:t>ket. For adults, comparator 1, 2 and 3</w:t>
      </w:r>
      <w:r w:rsidR="00541A4D">
        <w:t xml:space="preserve"> are relevant.</w:t>
      </w:r>
    </w:p>
    <w:p w14:paraId="3E4C88CD" w14:textId="77777777" w:rsidR="001018F3" w:rsidRDefault="001018F3" w:rsidP="001018F3">
      <w:pPr>
        <w:jc w:val="both"/>
      </w:pPr>
      <w:r>
        <w:fldChar w:fldCharType="begin"/>
      </w:r>
      <w:r>
        <w:instrText xml:space="preserve"> REF _Ref420405644 \h </w:instrText>
      </w:r>
      <w:r>
        <w:fldChar w:fldCharType="separate"/>
      </w:r>
      <w:r>
        <w:t xml:space="preserve">Table </w:t>
      </w:r>
      <w:r>
        <w:rPr>
          <w:noProof/>
        </w:rPr>
        <w:t>2</w:t>
      </w:r>
      <w:r>
        <w:fldChar w:fldCharType="end"/>
      </w:r>
      <w:r>
        <w:t xml:space="preserve"> outlines some possible MBS items which could potentially be used by other practitioners, to perform </w:t>
      </w:r>
      <w:r w:rsidR="001D5110">
        <w:t xml:space="preserve">limited </w:t>
      </w:r>
      <w:r>
        <w:t>cognitive</w:t>
      </w:r>
      <w:r w:rsidR="001D5110">
        <w:t xml:space="preserve"> and </w:t>
      </w:r>
      <w:r>
        <w:t>behavioural assessments</w:t>
      </w:r>
      <w:r w:rsidR="001D5110">
        <w:t xml:space="preserve"> (not full CNA), as described in b) above</w:t>
      </w:r>
      <w:r>
        <w:t xml:space="preserve">. </w:t>
      </w:r>
    </w:p>
    <w:p w14:paraId="1928F5D2" w14:textId="73F2C33E" w:rsidR="00984E82" w:rsidRDefault="001D5110" w:rsidP="001018F3">
      <w:pPr>
        <w:jc w:val="both"/>
      </w:pPr>
      <w:r>
        <w:t xml:space="preserve">An additional item </w:t>
      </w:r>
      <w:r w:rsidR="004E6E5B">
        <w:t xml:space="preserve">was considered: </w:t>
      </w:r>
      <w:r>
        <w:t xml:space="preserve">80000, the psychological </w:t>
      </w:r>
      <w:r w:rsidR="004E6E5B">
        <w:t xml:space="preserve">assessment and treatment item available through the Better Access to mental health care initiative. This item is for patients only with a diagnosed mental disorder, </w:t>
      </w:r>
      <w:r w:rsidR="00075FAF">
        <w:t xml:space="preserve">and so </w:t>
      </w:r>
      <w:r w:rsidR="004E6E5B">
        <w:t xml:space="preserve">may be </w:t>
      </w:r>
      <w:r w:rsidR="00075FAF">
        <w:t>applicable</w:t>
      </w:r>
      <w:r w:rsidR="004E6E5B">
        <w:t xml:space="preserve"> to some of the groups in the eligible population; however, it is only available by referral from a General Practitioner, and so is not relevant to this application. </w:t>
      </w:r>
      <w:r w:rsidR="00536BCC">
        <w:t xml:space="preserve">Furthermore, the applicants indicated that </w:t>
      </w:r>
      <w:proofErr w:type="gramStart"/>
      <w:r w:rsidR="00536BCC">
        <w:t>those conducting item number</w:t>
      </w:r>
      <w:proofErr w:type="gramEnd"/>
      <w:r w:rsidR="00536BCC">
        <w:t xml:space="preserve"> 80000 would not be qualified to conduct CNAs.</w:t>
      </w:r>
    </w:p>
    <w:p w14:paraId="43390A6C" w14:textId="77777777" w:rsidR="00984E82" w:rsidRDefault="00984E82">
      <w:r>
        <w:br w:type="page"/>
      </w:r>
    </w:p>
    <w:p w14:paraId="2BD70BF7" w14:textId="77777777" w:rsidR="001D5110" w:rsidRDefault="001D5110" w:rsidP="001018F3">
      <w:pPr>
        <w:jc w:val="both"/>
      </w:pPr>
      <w:bookmarkStart w:id="2" w:name="_GoBack"/>
      <w:bookmarkEnd w:id="2"/>
    </w:p>
    <w:p w14:paraId="536B287E" w14:textId="77777777" w:rsidR="00C93365" w:rsidRDefault="00C93365" w:rsidP="00C93365">
      <w:pPr>
        <w:pStyle w:val="Caption"/>
      </w:pPr>
      <w:bookmarkStart w:id="3" w:name="_Ref420404345"/>
      <w:r>
        <w:t xml:space="preserve">Table </w:t>
      </w:r>
      <w:r>
        <w:fldChar w:fldCharType="begin"/>
      </w:r>
      <w:r>
        <w:instrText xml:space="preserve"> SEQ Table \* ARABIC </w:instrText>
      </w:r>
      <w:r>
        <w:fldChar w:fldCharType="separate"/>
      </w:r>
      <w:r w:rsidR="00C44008">
        <w:rPr>
          <w:noProof/>
        </w:rPr>
        <w:t>2</w:t>
      </w:r>
      <w:r>
        <w:fldChar w:fldCharType="end"/>
      </w:r>
      <w:bookmarkEnd w:id="3"/>
      <w:r>
        <w:t xml:space="preserve"> Current MBS items for patient assessment services</w:t>
      </w:r>
    </w:p>
    <w:tbl>
      <w:tblPr>
        <w:tblStyle w:val="TableGrid"/>
        <w:tblpPr w:leftFromText="180" w:rightFromText="180" w:vertAnchor="text" w:tblpY="1"/>
        <w:tblOverlap w:val="never"/>
        <w:tblW w:w="0" w:type="auto"/>
        <w:tblLook w:val="04A0" w:firstRow="1" w:lastRow="0" w:firstColumn="1" w:lastColumn="0" w:noHBand="0" w:noVBand="1"/>
        <w:tblCaption w:val="Current MBS items for patient assessment services"/>
        <w:tblDescription w:val="Current MBS items for patient assessment services"/>
      </w:tblPr>
      <w:tblGrid>
        <w:gridCol w:w="818"/>
        <w:gridCol w:w="1558"/>
        <w:gridCol w:w="1418"/>
        <w:gridCol w:w="3544"/>
        <w:gridCol w:w="1926"/>
      </w:tblGrid>
      <w:tr w:rsidR="000C0F05" w:rsidRPr="00FF10E4" w14:paraId="6FDEDE94" w14:textId="77777777" w:rsidTr="00861324">
        <w:trPr>
          <w:tblHeader/>
        </w:trPr>
        <w:tc>
          <w:tcPr>
            <w:tcW w:w="818" w:type="dxa"/>
            <w:tcBorders>
              <w:top w:val="single" w:sz="4" w:space="0" w:color="auto"/>
              <w:left w:val="single" w:sz="4" w:space="0" w:color="auto"/>
              <w:bottom w:val="single" w:sz="4" w:space="0" w:color="auto"/>
              <w:right w:val="nil"/>
            </w:tcBorders>
          </w:tcPr>
          <w:p w14:paraId="50FD543F" w14:textId="77777777" w:rsidR="00FF10E4" w:rsidRPr="00FF10E4" w:rsidRDefault="00FF10E4" w:rsidP="00881730">
            <w:pPr>
              <w:pStyle w:val="Caption"/>
              <w:ind w:left="0" w:firstLine="0"/>
            </w:pPr>
            <w:r>
              <w:t>MBS item number</w:t>
            </w:r>
          </w:p>
        </w:tc>
        <w:tc>
          <w:tcPr>
            <w:tcW w:w="1558" w:type="dxa"/>
            <w:tcBorders>
              <w:top w:val="single" w:sz="4" w:space="0" w:color="auto"/>
              <w:left w:val="nil"/>
              <w:bottom w:val="single" w:sz="4" w:space="0" w:color="auto"/>
              <w:right w:val="nil"/>
            </w:tcBorders>
          </w:tcPr>
          <w:p w14:paraId="2195D300" w14:textId="77777777" w:rsidR="00FF10E4" w:rsidRPr="00FF10E4" w:rsidRDefault="00FF10E4" w:rsidP="00881730">
            <w:pPr>
              <w:pStyle w:val="Caption"/>
              <w:ind w:left="0" w:firstLine="0"/>
            </w:pPr>
            <w:r w:rsidRPr="00FF10E4">
              <w:t>Specialty</w:t>
            </w:r>
          </w:p>
        </w:tc>
        <w:tc>
          <w:tcPr>
            <w:tcW w:w="1418" w:type="dxa"/>
            <w:tcBorders>
              <w:top w:val="single" w:sz="4" w:space="0" w:color="auto"/>
              <w:left w:val="nil"/>
              <w:bottom w:val="single" w:sz="4" w:space="0" w:color="auto"/>
              <w:right w:val="nil"/>
            </w:tcBorders>
          </w:tcPr>
          <w:p w14:paraId="0BCC5FE0" w14:textId="77777777" w:rsidR="00FF10E4" w:rsidRPr="00FF10E4" w:rsidRDefault="00FF10E4" w:rsidP="00881730">
            <w:pPr>
              <w:pStyle w:val="Caption"/>
              <w:ind w:left="0" w:firstLine="0"/>
            </w:pPr>
            <w:r w:rsidRPr="00FF10E4">
              <w:t>Group</w:t>
            </w:r>
          </w:p>
        </w:tc>
        <w:tc>
          <w:tcPr>
            <w:tcW w:w="3544" w:type="dxa"/>
            <w:tcBorders>
              <w:top w:val="single" w:sz="4" w:space="0" w:color="auto"/>
              <w:left w:val="nil"/>
              <w:bottom w:val="single" w:sz="4" w:space="0" w:color="auto"/>
              <w:right w:val="nil"/>
            </w:tcBorders>
          </w:tcPr>
          <w:p w14:paraId="3A86C2AE" w14:textId="77777777" w:rsidR="00FF10E4" w:rsidRPr="00FF10E4" w:rsidRDefault="00FF10E4" w:rsidP="00881730">
            <w:pPr>
              <w:pStyle w:val="Caption"/>
              <w:ind w:left="0" w:firstLine="0"/>
            </w:pPr>
            <w:r w:rsidRPr="00FF10E4">
              <w:t>Service</w:t>
            </w:r>
          </w:p>
        </w:tc>
        <w:tc>
          <w:tcPr>
            <w:tcW w:w="1926" w:type="dxa"/>
            <w:tcBorders>
              <w:top w:val="single" w:sz="4" w:space="0" w:color="auto"/>
              <w:left w:val="nil"/>
              <w:bottom w:val="single" w:sz="4" w:space="0" w:color="auto"/>
              <w:right w:val="single" w:sz="4" w:space="0" w:color="auto"/>
            </w:tcBorders>
          </w:tcPr>
          <w:p w14:paraId="5EE770CA" w14:textId="77777777" w:rsidR="00FF10E4" w:rsidRPr="00FF10E4" w:rsidRDefault="00FF10E4" w:rsidP="00881730">
            <w:pPr>
              <w:pStyle w:val="Caption"/>
              <w:ind w:left="0" w:firstLine="0"/>
            </w:pPr>
            <w:r w:rsidRPr="00FF10E4">
              <w:t>Fee</w:t>
            </w:r>
          </w:p>
        </w:tc>
      </w:tr>
      <w:tr w:rsidR="00DD77AE" w:rsidRPr="00DD77AE" w14:paraId="4BCF4BD8" w14:textId="77777777" w:rsidTr="00861324">
        <w:tc>
          <w:tcPr>
            <w:tcW w:w="818" w:type="dxa"/>
            <w:tcBorders>
              <w:top w:val="single" w:sz="4" w:space="0" w:color="auto"/>
              <w:left w:val="single" w:sz="4" w:space="0" w:color="auto"/>
              <w:bottom w:val="nil"/>
              <w:right w:val="nil"/>
            </w:tcBorders>
          </w:tcPr>
          <w:p w14:paraId="540DD4DE" w14:textId="77777777" w:rsidR="00DD77AE" w:rsidRPr="00DD77AE" w:rsidRDefault="00DD77AE" w:rsidP="00881730">
            <w:pPr>
              <w:pStyle w:val="Caption"/>
              <w:ind w:left="0" w:firstLine="0"/>
              <w:rPr>
                <w:b w:val="0"/>
              </w:rPr>
            </w:pPr>
            <w:r>
              <w:rPr>
                <w:b w:val="0"/>
              </w:rPr>
              <w:t>132</w:t>
            </w:r>
          </w:p>
        </w:tc>
        <w:tc>
          <w:tcPr>
            <w:tcW w:w="1558" w:type="dxa"/>
            <w:tcBorders>
              <w:top w:val="single" w:sz="4" w:space="0" w:color="auto"/>
              <w:left w:val="nil"/>
              <w:bottom w:val="nil"/>
              <w:right w:val="nil"/>
            </w:tcBorders>
          </w:tcPr>
          <w:p w14:paraId="31AC214A" w14:textId="77777777" w:rsidR="00DD77AE" w:rsidRPr="00DD77AE" w:rsidRDefault="00B66F65" w:rsidP="00881730">
            <w:pPr>
              <w:pStyle w:val="Caption"/>
              <w:ind w:left="0" w:firstLine="0"/>
              <w:rPr>
                <w:b w:val="0"/>
              </w:rPr>
            </w:pPr>
            <w:r>
              <w:rPr>
                <w:b w:val="0"/>
              </w:rPr>
              <w:t>Consultant physician (other than in psychiatry)</w:t>
            </w:r>
          </w:p>
        </w:tc>
        <w:tc>
          <w:tcPr>
            <w:tcW w:w="1418" w:type="dxa"/>
            <w:tcBorders>
              <w:top w:val="single" w:sz="4" w:space="0" w:color="auto"/>
              <w:left w:val="nil"/>
              <w:bottom w:val="nil"/>
              <w:right w:val="nil"/>
            </w:tcBorders>
          </w:tcPr>
          <w:p w14:paraId="3385E927" w14:textId="77777777" w:rsidR="00DD77AE" w:rsidRPr="00DD77AE" w:rsidRDefault="00B66F65" w:rsidP="00881730">
            <w:pPr>
              <w:pStyle w:val="Caption"/>
              <w:ind w:left="0" w:firstLine="0"/>
              <w:rPr>
                <w:b w:val="0"/>
              </w:rPr>
            </w:pPr>
            <w:r>
              <w:rPr>
                <w:b w:val="0"/>
              </w:rPr>
              <w:t>A4 – Consultant Physician Attendances to which no other item applies</w:t>
            </w:r>
          </w:p>
        </w:tc>
        <w:tc>
          <w:tcPr>
            <w:tcW w:w="3544" w:type="dxa"/>
            <w:tcBorders>
              <w:top w:val="single" w:sz="4" w:space="0" w:color="auto"/>
              <w:left w:val="nil"/>
              <w:bottom w:val="nil"/>
              <w:right w:val="nil"/>
            </w:tcBorders>
          </w:tcPr>
          <w:p w14:paraId="334E4BC5" w14:textId="77777777" w:rsidR="00DD77AE" w:rsidRPr="00DD77AE" w:rsidRDefault="00B66F65" w:rsidP="00881730">
            <w:pPr>
              <w:pStyle w:val="Caption"/>
              <w:ind w:left="0" w:firstLine="0"/>
              <w:rPr>
                <w:b w:val="0"/>
              </w:rPr>
            </w:pPr>
            <w:r w:rsidRPr="00B66F65">
              <w:rPr>
                <w:b w:val="0"/>
              </w:rPr>
              <w:t>Professional attendance of at least 45 minutes duration for an initial assessment of a patient with at least two morbidities (this can include complex congenital, developmental and behavioural disorders), where the patient is refer</w:t>
            </w:r>
            <w:r>
              <w:rPr>
                <w:b w:val="0"/>
              </w:rPr>
              <w:t>red by a referring practitioner.</w:t>
            </w:r>
          </w:p>
        </w:tc>
        <w:tc>
          <w:tcPr>
            <w:tcW w:w="1926" w:type="dxa"/>
            <w:tcBorders>
              <w:top w:val="single" w:sz="4" w:space="0" w:color="auto"/>
              <w:left w:val="nil"/>
              <w:bottom w:val="nil"/>
              <w:right w:val="single" w:sz="4" w:space="0" w:color="auto"/>
            </w:tcBorders>
          </w:tcPr>
          <w:p w14:paraId="5DBD8CCC" w14:textId="77777777" w:rsidR="00DD77AE" w:rsidRPr="00B66F65" w:rsidRDefault="00B66F65" w:rsidP="00881730">
            <w:pPr>
              <w:pStyle w:val="Caption"/>
              <w:ind w:left="0" w:firstLine="0"/>
              <w:rPr>
                <w:b w:val="0"/>
              </w:rPr>
            </w:pPr>
            <w:r w:rsidRPr="00B66F65">
              <w:rPr>
                <w:b w:val="0"/>
                <w:bCs/>
              </w:rPr>
              <w:t>Fee:</w:t>
            </w:r>
            <w:r w:rsidRPr="00B66F65">
              <w:rPr>
                <w:b w:val="0"/>
              </w:rPr>
              <w:t xml:space="preserve"> $263.90 </w:t>
            </w:r>
            <w:r w:rsidRPr="00B66F65">
              <w:rPr>
                <w:b w:val="0"/>
                <w:bCs/>
              </w:rPr>
              <w:t>Benefit:</w:t>
            </w:r>
            <w:r w:rsidRPr="00B66F65">
              <w:rPr>
                <w:b w:val="0"/>
              </w:rPr>
              <w:t xml:space="preserve"> 75% = $197.95 85% = $224.35</w:t>
            </w:r>
          </w:p>
        </w:tc>
      </w:tr>
      <w:tr w:rsidR="00B66F65" w:rsidRPr="00DD77AE" w14:paraId="02FC8704" w14:textId="77777777" w:rsidTr="00861324">
        <w:tc>
          <w:tcPr>
            <w:tcW w:w="818" w:type="dxa"/>
            <w:tcBorders>
              <w:top w:val="nil"/>
              <w:left w:val="single" w:sz="4" w:space="0" w:color="auto"/>
              <w:bottom w:val="single" w:sz="4" w:space="0" w:color="auto"/>
              <w:right w:val="nil"/>
            </w:tcBorders>
          </w:tcPr>
          <w:p w14:paraId="6A9D8039" w14:textId="77777777" w:rsidR="00B66F65" w:rsidRDefault="003A7D54" w:rsidP="00881730">
            <w:pPr>
              <w:pStyle w:val="Caption"/>
              <w:ind w:left="0" w:firstLine="0"/>
              <w:rPr>
                <w:b w:val="0"/>
              </w:rPr>
            </w:pPr>
            <w:r>
              <w:rPr>
                <w:b w:val="0"/>
              </w:rPr>
              <w:t>133</w:t>
            </w:r>
          </w:p>
        </w:tc>
        <w:tc>
          <w:tcPr>
            <w:tcW w:w="1558" w:type="dxa"/>
            <w:tcBorders>
              <w:top w:val="nil"/>
              <w:left w:val="nil"/>
              <w:bottom w:val="single" w:sz="4" w:space="0" w:color="auto"/>
              <w:right w:val="nil"/>
            </w:tcBorders>
          </w:tcPr>
          <w:p w14:paraId="374CF3FB" w14:textId="77777777" w:rsidR="00B66F65" w:rsidRDefault="003A7D54" w:rsidP="00881730">
            <w:pPr>
              <w:pStyle w:val="Caption"/>
              <w:ind w:left="0" w:firstLine="0"/>
              <w:rPr>
                <w:b w:val="0"/>
              </w:rPr>
            </w:pPr>
            <w:r>
              <w:rPr>
                <w:b w:val="0"/>
              </w:rPr>
              <w:t>Consultant physician (other than in psychiatry)</w:t>
            </w:r>
          </w:p>
        </w:tc>
        <w:tc>
          <w:tcPr>
            <w:tcW w:w="1418" w:type="dxa"/>
            <w:tcBorders>
              <w:top w:val="nil"/>
              <w:left w:val="nil"/>
              <w:bottom w:val="single" w:sz="4" w:space="0" w:color="auto"/>
              <w:right w:val="nil"/>
            </w:tcBorders>
          </w:tcPr>
          <w:p w14:paraId="1E38C5E4" w14:textId="77777777" w:rsidR="00B66F65" w:rsidRPr="00C93365" w:rsidRDefault="003A7D54" w:rsidP="00881730">
            <w:pPr>
              <w:pStyle w:val="Caption"/>
              <w:ind w:left="0" w:firstLine="0"/>
              <w:rPr>
                <w:b w:val="0"/>
              </w:rPr>
            </w:pPr>
            <w:r w:rsidRPr="00C93365">
              <w:rPr>
                <w:b w:val="0"/>
              </w:rPr>
              <w:t>A4 – Consultant Physician Attendances to which no other item applies</w:t>
            </w:r>
          </w:p>
        </w:tc>
        <w:tc>
          <w:tcPr>
            <w:tcW w:w="3544" w:type="dxa"/>
            <w:tcBorders>
              <w:top w:val="nil"/>
              <w:left w:val="nil"/>
              <w:bottom w:val="single" w:sz="4" w:space="0" w:color="auto"/>
              <w:right w:val="nil"/>
            </w:tcBorders>
          </w:tcPr>
          <w:p w14:paraId="030C9047" w14:textId="77777777" w:rsidR="00B66F65" w:rsidRPr="00C93365" w:rsidRDefault="003A7D54" w:rsidP="00881730">
            <w:pPr>
              <w:pStyle w:val="Caption"/>
              <w:ind w:left="0" w:firstLine="0"/>
              <w:rPr>
                <w:b w:val="0"/>
              </w:rPr>
            </w:pPr>
            <w:r w:rsidRPr="00C93365">
              <w:rPr>
                <w:b w:val="0"/>
              </w:rPr>
              <w:t>Professional attendance of at least 20 minutes duration subsequent to the first attendance in a single course of treatment for a review of a patient with at least two morbidities (this can include complex congenital, developmental and behavioural disorders)</w:t>
            </w:r>
          </w:p>
        </w:tc>
        <w:tc>
          <w:tcPr>
            <w:tcW w:w="1926" w:type="dxa"/>
            <w:tcBorders>
              <w:top w:val="nil"/>
              <w:left w:val="nil"/>
              <w:bottom w:val="single" w:sz="4" w:space="0" w:color="auto"/>
              <w:right w:val="single" w:sz="4" w:space="0" w:color="auto"/>
            </w:tcBorders>
          </w:tcPr>
          <w:p w14:paraId="14079C1B" w14:textId="77777777" w:rsidR="00B66F65" w:rsidRPr="00C93365" w:rsidRDefault="00C93365" w:rsidP="00881730">
            <w:pPr>
              <w:pStyle w:val="Caption"/>
              <w:ind w:left="0" w:firstLine="0"/>
              <w:rPr>
                <w:b w:val="0"/>
                <w:bCs/>
              </w:rPr>
            </w:pPr>
            <w:r w:rsidRPr="00C93365">
              <w:rPr>
                <w:b w:val="0"/>
                <w:bCs/>
              </w:rPr>
              <w:t>Fee:</w:t>
            </w:r>
            <w:r w:rsidRPr="00C93365">
              <w:rPr>
                <w:b w:val="0"/>
              </w:rPr>
              <w:t xml:space="preserve"> $132.10 </w:t>
            </w:r>
            <w:r w:rsidRPr="00C93365">
              <w:rPr>
                <w:b w:val="0"/>
                <w:bCs/>
              </w:rPr>
              <w:t>Benefit:</w:t>
            </w:r>
            <w:r w:rsidRPr="00C93365">
              <w:rPr>
                <w:b w:val="0"/>
              </w:rPr>
              <w:t xml:space="preserve"> 75% = $99.10 85% = $112.30</w:t>
            </w:r>
          </w:p>
        </w:tc>
      </w:tr>
      <w:tr w:rsidR="00F379CE" w:rsidRPr="00FF10E4" w14:paraId="7CAFE267" w14:textId="77777777" w:rsidTr="00861324">
        <w:tc>
          <w:tcPr>
            <w:tcW w:w="818" w:type="dxa"/>
            <w:tcBorders>
              <w:top w:val="single" w:sz="4" w:space="0" w:color="auto"/>
              <w:left w:val="single" w:sz="4" w:space="0" w:color="auto"/>
              <w:bottom w:val="nil"/>
              <w:right w:val="nil"/>
            </w:tcBorders>
          </w:tcPr>
          <w:p w14:paraId="2CD44858" w14:textId="77777777" w:rsidR="00FF10E4" w:rsidRPr="00FF10E4" w:rsidRDefault="00FF10E4" w:rsidP="00881730">
            <w:pPr>
              <w:pStyle w:val="Caption"/>
              <w:ind w:left="0" w:firstLine="0"/>
              <w:rPr>
                <w:b w:val="0"/>
              </w:rPr>
            </w:pPr>
            <w:r>
              <w:rPr>
                <w:b w:val="0"/>
              </w:rPr>
              <w:t>141</w:t>
            </w:r>
          </w:p>
        </w:tc>
        <w:tc>
          <w:tcPr>
            <w:tcW w:w="1558" w:type="dxa"/>
            <w:tcBorders>
              <w:top w:val="single" w:sz="4" w:space="0" w:color="auto"/>
              <w:left w:val="nil"/>
              <w:bottom w:val="nil"/>
              <w:right w:val="nil"/>
            </w:tcBorders>
          </w:tcPr>
          <w:p w14:paraId="66E83208" w14:textId="77777777" w:rsidR="00FF10E4" w:rsidRPr="00FF10E4" w:rsidRDefault="00FF10E4" w:rsidP="00881730">
            <w:pPr>
              <w:pStyle w:val="Caption"/>
              <w:ind w:left="0" w:firstLine="0"/>
              <w:rPr>
                <w:b w:val="0"/>
              </w:rPr>
            </w:pPr>
            <w:r>
              <w:rPr>
                <w:rStyle w:val="Strong"/>
              </w:rPr>
              <w:t>Consultant physician or Specialist in Geriatric Medicine</w:t>
            </w:r>
          </w:p>
        </w:tc>
        <w:tc>
          <w:tcPr>
            <w:tcW w:w="1418" w:type="dxa"/>
            <w:tcBorders>
              <w:top w:val="single" w:sz="4" w:space="0" w:color="auto"/>
              <w:left w:val="nil"/>
              <w:bottom w:val="nil"/>
              <w:right w:val="nil"/>
            </w:tcBorders>
          </w:tcPr>
          <w:p w14:paraId="74D45A7C" w14:textId="77777777" w:rsidR="00FF10E4" w:rsidRPr="00FF10E4" w:rsidRDefault="00FF10E4" w:rsidP="00881730">
            <w:pPr>
              <w:pStyle w:val="Caption"/>
              <w:ind w:left="0" w:firstLine="0"/>
              <w:rPr>
                <w:b w:val="0"/>
              </w:rPr>
            </w:pPr>
            <w:r>
              <w:rPr>
                <w:b w:val="0"/>
              </w:rPr>
              <w:t>A28 – Geriatric medicine</w:t>
            </w:r>
          </w:p>
        </w:tc>
        <w:tc>
          <w:tcPr>
            <w:tcW w:w="3544" w:type="dxa"/>
            <w:tcBorders>
              <w:top w:val="single" w:sz="4" w:space="0" w:color="auto"/>
              <w:left w:val="nil"/>
              <w:bottom w:val="nil"/>
              <w:right w:val="nil"/>
            </w:tcBorders>
          </w:tcPr>
          <w:p w14:paraId="11A03160" w14:textId="77777777" w:rsidR="00FF10E4" w:rsidRPr="00FF10E4" w:rsidRDefault="00FF10E4" w:rsidP="00881730">
            <w:pPr>
              <w:pStyle w:val="Caption"/>
              <w:ind w:left="0" w:firstLine="0"/>
              <w:rPr>
                <w:b w:val="0"/>
              </w:rPr>
            </w:pPr>
            <w:r>
              <w:rPr>
                <w:rStyle w:val="Strong"/>
              </w:rPr>
              <w:t>Review of Referred Patient, Initial Comprehensive Assessment and Management -</w:t>
            </w:r>
            <w:r>
              <w:t xml:space="preserve"> </w:t>
            </w:r>
            <w:r>
              <w:rPr>
                <w:rStyle w:val="Strong"/>
              </w:rPr>
              <w:t>Surgery or Hospital. &gt; 60 minutes.</w:t>
            </w:r>
          </w:p>
        </w:tc>
        <w:tc>
          <w:tcPr>
            <w:tcW w:w="1926" w:type="dxa"/>
            <w:tcBorders>
              <w:top w:val="single" w:sz="4" w:space="0" w:color="auto"/>
              <w:left w:val="nil"/>
              <w:bottom w:val="nil"/>
              <w:right w:val="single" w:sz="4" w:space="0" w:color="auto"/>
            </w:tcBorders>
          </w:tcPr>
          <w:p w14:paraId="4992D9C2" w14:textId="77777777" w:rsidR="00FF10E4" w:rsidRDefault="006D5EB9" w:rsidP="00881730">
            <w:pPr>
              <w:pStyle w:val="Caption"/>
              <w:ind w:left="0" w:firstLine="0"/>
              <w:rPr>
                <w:b w:val="0"/>
              </w:rPr>
            </w:pPr>
            <w:r>
              <w:rPr>
                <w:b w:val="0"/>
              </w:rPr>
              <w:t xml:space="preserve">Fee: </w:t>
            </w:r>
            <w:r w:rsidR="00FF10E4">
              <w:rPr>
                <w:b w:val="0"/>
              </w:rPr>
              <w:t>$452.65</w:t>
            </w:r>
          </w:p>
          <w:p w14:paraId="21B8D5EC" w14:textId="77777777" w:rsidR="00FF10E4" w:rsidRPr="00FF10E4" w:rsidRDefault="00FF10E4" w:rsidP="00881730">
            <w:pPr>
              <w:rPr>
                <w:rStyle w:val="Strong"/>
                <w:rFonts w:ascii="Arial Narrow" w:eastAsia="Times New Roman" w:hAnsi="Arial Narrow" w:cs="Tahoma"/>
                <w:b w:val="0"/>
                <w:sz w:val="20"/>
                <w:szCs w:val="20"/>
                <w:lang w:val="en-GB" w:eastAsia="ja-JP"/>
              </w:rPr>
            </w:pPr>
            <w:r w:rsidRPr="00FF10E4">
              <w:rPr>
                <w:rStyle w:val="Strong"/>
                <w:rFonts w:ascii="Arial Narrow" w:eastAsia="Times New Roman" w:hAnsi="Arial Narrow" w:cs="Tahoma"/>
                <w:b w:val="0"/>
                <w:bCs w:val="0"/>
                <w:sz w:val="20"/>
                <w:szCs w:val="20"/>
                <w:lang w:val="en-GB" w:eastAsia="ja-JP"/>
              </w:rPr>
              <w:t>Benefit:</w:t>
            </w:r>
            <w:r w:rsidRPr="00FF10E4">
              <w:rPr>
                <w:rStyle w:val="Strong"/>
                <w:rFonts w:ascii="Arial Narrow" w:eastAsia="Times New Roman" w:hAnsi="Arial Narrow" w:cs="Tahoma"/>
                <w:b w:val="0"/>
                <w:sz w:val="20"/>
                <w:szCs w:val="20"/>
                <w:lang w:val="en-GB" w:eastAsia="ja-JP"/>
              </w:rPr>
              <w:t xml:space="preserve"> 75% = $339.50 85% = $384.80</w:t>
            </w:r>
          </w:p>
          <w:p w14:paraId="4AF38E88" w14:textId="77777777" w:rsidR="00FF10E4" w:rsidRPr="00FF10E4" w:rsidRDefault="00FF10E4" w:rsidP="00881730">
            <w:pPr>
              <w:rPr>
                <w:lang w:val="en-GB" w:eastAsia="ja-JP"/>
              </w:rPr>
            </w:pPr>
          </w:p>
        </w:tc>
      </w:tr>
      <w:tr w:rsidR="00F379CE" w:rsidRPr="00FF10E4" w14:paraId="5127CB2B" w14:textId="77777777" w:rsidTr="00861324">
        <w:tc>
          <w:tcPr>
            <w:tcW w:w="818" w:type="dxa"/>
            <w:tcBorders>
              <w:top w:val="nil"/>
              <w:left w:val="single" w:sz="4" w:space="0" w:color="auto"/>
              <w:bottom w:val="nil"/>
              <w:right w:val="nil"/>
            </w:tcBorders>
          </w:tcPr>
          <w:p w14:paraId="028D71F2" w14:textId="77777777" w:rsidR="00FF10E4" w:rsidRPr="00FF10E4" w:rsidRDefault="00FF10E4" w:rsidP="00881730">
            <w:pPr>
              <w:pStyle w:val="Caption"/>
              <w:ind w:left="0" w:firstLine="0"/>
              <w:rPr>
                <w:b w:val="0"/>
              </w:rPr>
            </w:pPr>
            <w:r>
              <w:rPr>
                <w:b w:val="0"/>
              </w:rPr>
              <w:t>143</w:t>
            </w:r>
          </w:p>
        </w:tc>
        <w:tc>
          <w:tcPr>
            <w:tcW w:w="1558" w:type="dxa"/>
            <w:tcBorders>
              <w:top w:val="nil"/>
              <w:left w:val="nil"/>
              <w:bottom w:val="nil"/>
              <w:right w:val="nil"/>
            </w:tcBorders>
          </w:tcPr>
          <w:p w14:paraId="07591361" w14:textId="77777777" w:rsidR="00FF10E4" w:rsidRPr="00FF10E4" w:rsidRDefault="00FF10E4" w:rsidP="00881730">
            <w:pPr>
              <w:pStyle w:val="Caption"/>
              <w:ind w:left="0" w:firstLine="0"/>
              <w:rPr>
                <w:b w:val="0"/>
              </w:rPr>
            </w:pPr>
            <w:r>
              <w:rPr>
                <w:rStyle w:val="Strong"/>
              </w:rPr>
              <w:t>Consultant physician or Specialist in Geriatric Medicine</w:t>
            </w:r>
          </w:p>
        </w:tc>
        <w:tc>
          <w:tcPr>
            <w:tcW w:w="1418" w:type="dxa"/>
            <w:tcBorders>
              <w:top w:val="nil"/>
              <w:left w:val="nil"/>
              <w:bottom w:val="nil"/>
              <w:right w:val="nil"/>
            </w:tcBorders>
          </w:tcPr>
          <w:p w14:paraId="7F492822" w14:textId="77777777" w:rsidR="00FF10E4" w:rsidRPr="00FF10E4" w:rsidRDefault="00FF10E4" w:rsidP="00881730">
            <w:pPr>
              <w:pStyle w:val="Caption"/>
              <w:ind w:left="0" w:firstLine="0"/>
              <w:rPr>
                <w:b w:val="0"/>
              </w:rPr>
            </w:pPr>
            <w:r>
              <w:rPr>
                <w:b w:val="0"/>
              </w:rPr>
              <w:t>A28 – Geriatric medicine</w:t>
            </w:r>
          </w:p>
        </w:tc>
        <w:tc>
          <w:tcPr>
            <w:tcW w:w="3544" w:type="dxa"/>
            <w:tcBorders>
              <w:top w:val="nil"/>
              <w:left w:val="nil"/>
              <w:bottom w:val="nil"/>
              <w:right w:val="nil"/>
            </w:tcBorders>
          </w:tcPr>
          <w:p w14:paraId="3495A484" w14:textId="77777777" w:rsidR="00FF10E4" w:rsidRPr="00FF10E4" w:rsidRDefault="00FF10E4" w:rsidP="00881730">
            <w:pPr>
              <w:pStyle w:val="Caption"/>
              <w:ind w:left="0" w:firstLine="0"/>
              <w:rPr>
                <w:b w:val="0"/>
              </w:rPr>
            </w:pPr>
            <w:r>
              <w:rPr>
                <w:rStyle w:val="Strong"/>
              </w:rPr>
              <w:t>Review of Referred Patient, Initial Comprehensive Assessment and Management -</w:t>
            </w:r>
            <w:r>
              <w:t xml:space="preserve"> </w:t>
            </w:r>
            <w:r>
              <w:rPr>
                <w:rStyle w:val="Strong"/>
              </w:rPr>
              <w:t>Surgery or Hospital. &gt;</w:t>
            </w:r>
            <w:r w:rsidR="00DD77AE">
              <w:rPr>
                <w:rStyle w:val="Strong"/>
              </w:rPr>
              <w:t xml:space="preserve"> </w:t>
            </w:r>
            <w:r>
              <w:rPr>
                <w:rStyle w:val="Strong"/>
              </w:rPr>
              <w:t>30 minutes</w:t>
            </w:r>
            <w:r w:rsidR="00AA1053">
              <w:rPr>
                <w:rStyle w:val="Strong"/>
              </w:rPr>
              <w:t>.</w:t>
            </w:r>
          </w:p>
        </w:tc>
        <w:tc>
          <w:tcPr>
            <w:tcW w:w="1926" w:type="dxa"/>
            <w:tcBorders>
              <w:top w:val="nil"/>
              <w:left w:val="nil"/>
              <w:bottom w:val="nil"/>
              <w:right w:val="single" w:sz="4" w:space="0" w:color="auto"/>
            </w:tcBorders>
          </w:tcPr>
          <w:p w14:paraId="6BD5368A" w14:textId="77777777" w:rsidR="00FF10E4" w:rsidRPr="00FF10E4" w:rsidRDefault="00FF10E4" w:rsidP="00881730">
            <w:pPr>
              <w:pStyle w:val="Caption"/>
              <w:ind w:left="0" w:firstLine="0"/>
              <w:rPr>
                <w:b w:val="0"/>
              </w:rPr>
            </w:pPr>
            <w:r w:rsidRPr="00FF10E4">
              <w:rPr>
                <w:b w:val="0"/>
              </w:rPr>
              <w:t xml:space="preserve">Fee: $282.95 </w:t>
            </w:r>
          </w:p>
          <w:p w14:paraId="6D9A3D1F" w14:textId="77777777" w:rsidR="00FF10E4" w:rsidRPr="00FF10E4" w:rsidRDefault="00FF10E4" w:rsidP="00881730">
            <w:pPr>
              <w:pStyle w:val="Caption"/>
              <w:ind w:left="0" w:firstLine="0"/>
              <w:rPr>
                <w:b w:val="0"/>
              </w:rPr>
            </w:pPr>
            <w:r w:rsidRPr="00FF10E4">
              <w:rPr>
                <w:b w:val="0"/>
              </w:rPr>
              <w:t>Benefit: 75% = $212.25 85% = $240.55</w:t>
            </w:r>
          </w:p>
        </w:tc>
      </w:tr>
      <w:tr w:rsidR="00F379CE" w:rsidRPr="00FF10E4" w14:paraId="37126C51" w14:textId="77777777" w:rsidTr="00861324">
        <w:tc>
          <w:tcPr>
            <w:tcW w:w="818" w:type="dxa"/>
            <w:tcBorders>
              <w:top w:val="nil"/>
              <w:left w:val="single" w:sz="4" w:space="0" w:color="auto"/>
              <w:bottom w:val="nil"/>
              <w:right w:val="nil"/>
            </w:tcBorders>
          </w:tcPr>
          <w:p w14:paraId="7EAA02AA" w14:textId="77777777" w:rsidR="00FF10E4" w:rsidRPr="00FF10E4" w:rsidRDefault="00AA1053" w:rsidP="00881730">
            <w:pPr>
              <w:pStyle w:val="Caption"/>
              <w:ind w:left="0" w:firstLine="0"/>
              <w:rPr>
                <w:b w:val="0"/>
              </w:rPr>
            </w:pPr>
            <w:r>
              <w:rPr>
                <w:b w:val="0"/>
              </w:rPr>
              <w:t>145</w:t>
            </w:r>
          </w:p>
        </w:tc>
        <w:tc>
          <w:tcPr>
            <w:tcW w:w="1558" w:type="dxa"/>
            <w:tcBorders>
              <w:top w:val="nil"/>
              <w:left w:val="nil"/>
              <w:bottom w:val="nil"/>
              <w:right w:val="nil"/>
            </w:tcBorders>
          </w:tcPr>
          <w:p w14:paraId="5B352FFD" w14:textId="77777777" w:rsidR="00FF10E4" w:rsidRPr="00FF10E4" w:rsidRDefault="00AA1053" w:rsidP="00881730">
            <w:pPr>
              <w:pStyle w:val="Caption"/>
              <w:ind w:left="0" w:firstLine="0"/>
              <w:rPr>
                <w:b w:val="0"/>
              </w:rPr>
            </w:pPr>
            <w:r>
              <w:rPr>
                <w:rStyle w:val="Strong"/>
              </w:rPr>
              <w:t>Consultant physician or Specialist in Geriatric Medicine</w:t>
            </w:r>
          </w:p>
        </w:tc>
        <w:tc>
          <w:tcPr>
            <w:tcW w:w="1418" w:type="dxa"/>
            <w:tcBorders>
              <w:top w:val="nil"/>
              <w:left w:val="nil"/>
              <w:bottom w:val="nil"/>
              <w:right w:val="nil"/>
            </w:tcBorders>
          </w:tcPr>
          <w:p w14:paraId="227EDD0C" w14:textId="77777777" w:rsidR="00FF10E4" w:rsidRPr="00FF10E4" w:rsidRDefault="00AA1053" w:rsidP="00881730">
            <w:pPr>
              <w:pStyle w:val="Caption"/>
              <w:ind w:left="0" w:firstLine="0"/>
              <w:rPr>
                <w:b w:val="0"/>
              </w:rPr>
            </w:pPr>
            <w:r>
              <w:rPr>
                <w:b w:val="0"/>
              </w:rPr>
              <w:t>A28 – Geriatric medicine</w:t>
            </w:r>
          </w:p>
        </w:tc>
        <w:tc>
          <w:tcPr>
            <w:tcW w:w="3544" w:type="dxa"/>
            <w:tcBorders>
              <w:top w:val="nil"/>
              <w:left w:val="nil"/>
              <w:bottom w:val="nil"/>
              <w:right w:val="nil"/>
            </w:tcBorders>
          </w:tcPr>
          <w:p w14:paraId="77F2CA8E" w14:textId="77777777" w:rsidR="00FF10E4" w:rsidRPr="00FF10E4" w:rsidRDefault="00AA1053" w:rsidP="00881730">
            <w:pPr>
              <w:pStyle w:val="Caption"/>
              <w:ind w:left="0" w:firstLine="0"/>
              <w:rPr>
                <w:b w:val="0"/>
              </w:rPr>
            </w:pPr>
            <w:r>
              <w:rPr>
                <w:rStyle w:val="Strong"/>
              </w:rPr>
              <w:t>Referred Patient, Initial Comprehensive Assessment and Management - Home Visit. &gt; 60 minutes.</w:t>
            </w:r>
          </w:p>
        </w:tc>
        <w:tc>
          <w:tcPr>
            <w:tcW w:w="1926" w:type="dxa"/>
            <w:tcBorders>
              <w:top w:val="nil"/>
              <w:left w:val="nil"/>
              <w:bottom w:val="nil"/>
              <w:right w:val="single" w:sz="4" w:space="0" w:color="auto"/>
            </w:tcBorders>
          </w:tcPr>
          <w:p w14:paraId="3851A871" w14:textId="77777777" w:rsidR="00AA1053" w:rsidRDefault="00AA1053" w:rsidP="00881730">
            <w:pPr>
              <w:pStyle w:val="Caption"/>
              <w:ind w:left="0" w:firstLine="0"/>
              <w:rPr>
                <w:b w:val="0"/>
              </w:rPr>
            </w:pPr>
            <w:r w:rsidRPr="00AA1053">
              <w:rPr>
                <w:b w:val="0"/>
              </w:rPr>
              <w:t xml:space="preserve">Fee: $548.85 </w:t>
            </w:r>
          </w:p>
          <w:p w14:paraId="2FB7BE75" w14:textId="77777777" w:rsidR="00FF10E4" w:rsidRPr="00FF10E4" w:rsidRDefault="00AA1053" w:rsidP="00881730">
            <w:pPr>
              <w:pStyle w:val="Caption"/>
              <w:ind w:left="0" w:firstLine="0"/>
              <w:rPr>
                <w:b w:val="0"/>
              </w:rPr>
            </w:pPr>
            <w:r w:rsidRPr="00AA1053">
              <w:rPr>
                <w:b w:val="0"/>
              </w:rPr>
              <w:t>Benefit: 85% = $470.45</w:t>
            </w:r>
          </w:p>
        </w:tc>
      </w:tr>
      <w:tr w:rsidR="000C0F05" w:rsidRPr="00FF10E4" w14:paraId="5AE4B18C" w14:textId="77777777" w:rsidTr="00861324">
        <w:tc>
          <w:tcPr>
            <w:tcW w:w="818" w:type="dxa"/>
            <w:tcBorders>
              <w:top w:val="nil"/>
              <w:left w:val="single" w:sz="4" w:space="0" w:color="auto"/>
              <w:bottom w:val="single" w:sz="4" w:space="0" w:color="auto"/>
              <w:right w:val="nil"/>
            </w:tcBorders>
          </w:tcPr>
          <w:p w14:paraId="58D222C9" w14:textId="77777777" w:rsidR="00FF10E4" w:rsidRPr="00FF10E4" w:rsidRDefault="00AA1053" w:rsidP="00881730">
            <w:pPr>
              <w:pStyle w:val="Caption"/>
              <w:ind w:left="0" w:firstLine="0"/>
              <w:rPr>
                <w:b w:val="0"/>
              </w:rPr>
            </w:pPr>
            <w:r>
              <w:rPr>
                <w:b w:val="0"/>
              </w:rPr>
              <w:t>147</w:t>
            </w:r>
          </w:p>
        </w:tc>
        <w:tc>
          <w:tcPr>
            <w:tcW w:w="1558" w:type="dxa"/>
            <w:tcBorders>
              <w:top w:val="nil"/>
              <w:left w:val="nil"/>
              <w:bottom w:val="single" w:sz="4" w:space="0" w:color="auto"/>
              <w:right w:val="nil"/>
            </w:tcBorders>
          </w:tcPr>
          <w:p w14:paraId="108D5E2D" w14:textId="77777777" w:rsidR="00FF10E4" w:rsidRPr="00FF10E4" w:rsidRDefault="00AA1053" w:rsidP="00881730">
            <w:pPr>
              <w:pStyle w:val="Caption"/>
              <w:ind w:left="0" w:firstLine="0"/>
              <w:rPr>
                <w:b w:val="0"/>
              </w:rPr>
            </w:pPr>
            <w:r>
              <w:rPr>
                <w:rStyle w:val="Strong"/>
              </w:rPr>
              <w:t>Consultant physician or Specialist in Geriatric Medicine</w:t>
            </w:r>
          </w:p>
        </w:tc>
        <w:tc>
          <w:tcPr>
            <w:tcW w:w="1418" w:type="dxa"/>
            <w:tcBorders>
              <w:top w:val="nil"/>
              <w:left w:val="nil"/>
              <w:bottom w:val="single" w:sz="4" w:space="0" w:color="auto"/>
              <w:right w:val="nil"/>
            </w:tcBorders>
          </w:tcPr>
          <w:p w14:paraId="1A62A011" w14:textId="77777777" w:rsidR="00FF10E4" w:rsidRPr="00FF10E4" w:rsidRDefault="00AA1053" w:rsidP="00881730">
            <w:pPr>
              <w:pStyle w:val="Caption"/>
              <w:ind w:left="0" w:firstLine="0"/>
              <w:rPr>
                <w:b w:val="0"/>
              </w:rPr>
            </w:pPr>
            <w:r>
              <w:rPr>
                <w:b w:val="0"/>
              </w:rPr>
              <w:t>A28 – Geriatric medicine</w:t>
            </w:r>
          </w:p>
        </w:tc>
        <w:tc>
          <w:tcPr>
            <w:tcW w:w="3544" w:type="dxa"/>
            <w:tcBorders>
              <w:top w:val="nil"/>
              <w:left w:val="nil"/>
              <w:bottom w:val="single" w:sz="4" w:space="0" w:color="auto"/>
              <w:right w:val="nil"/>
            </w:tcBorders>
          </w:tcPr>
          <w:p w14:paraId="54A37D19" w14:textId="77777777" w:rsidR="00FF10E4" w:rsidRPr="00FF10E4" w:rsidRDefault="00AA1053" w:rsidP="00881730">
            <w:pPr>
              <w:pStyle w:val="Caption"/>
              <w:ind w:left="0" w:firstLine="0"/>
              <w:rPr>
                <w:b w:val="0"/>
              </w:rPr>
            </w:pPr>
            <w:r w:rsidRPr="00AA1053">
              <w:rPr>
                <w:rStyle w:val="Strong"/>
                <w:bCs w:val="0"/>
              </w:rPr>
              <w:t>Review of Referred Patient, Initial Comprehensive Assessment and Management -Home Visit. &gt; 30 minutes.</w:t>
            </w:r>
          </w:p>
        </w:tc>
        <w:tc>
          <w:tcPr>
            <w:tcW w:w="1926" w:type="dxa"/>
            <w:tcBorders>
              <w:top w:val="nil"/>
              <w:left w:val="nil"/>
              <w:bottom w:val="single" w:sz="4" w:space="0" w:color="auto"/>
              <w:right w:val="single" w:sz="4" w:space="0" w:color="auto"/>
            </w:tcBorders>
          </w:tcPr>
          <w:p w14:paraId="1F030884" w14:textId="77777777" w:rsidR="00AA1053" w:rsidRDefault="00AA1053" w:rsidP="00881730">
            <w:pPr>
              <w:pStyle w:val="Caption"/>
              <w:ind w:left="0" w:firstLine="0"/>
              <w:rPr>
                <w:b w:val="0"/>
              </w:rPr>
            </w:pPr>
            <w:r w:rsidRPr="00AA1053">
              <w:rPr>
                <w:b w:val="0"/>
              </w:rPr>
              <w:t xml:space="preserve">Fee: $343.10 </w:t>
            </w:r>
          </w:p>
          <w:p w14:paraId="526A8106" w14:textId="77777777" w:rsidR="00FF10E4" w:rsidRPr="00FF10E4" w:rsidRDefault="00AA1053" w:rsidP="00881730">
            <w:pPr>
              <w:pStyle w:val="Caption"/>
              <w:ind w:left="0" w:firstLine="0"/>
              <w:rPr>
                <w:b w:val="0"/>
              </w:rPr>
            </w:pPr>
            <w:r w:rsidRPr="00AA1053">
              <w:rPr>
                <w:b w:val="0"/>
              </w:rPr>
              <w:t>Benefit: 85% = $291.65</w:t>
            </w:r>
          </w:p>
        </w:tc>
      </w:tr>
      <w:tr w:rsidR="000C0F05" w:rsidRPr="00FF10E4" w14:paraId="016CAEC0" w14:textId="77777777" w:rsidTr="00861324">
        <w:tc>
          <w:tcPr>
            <w:tcW w:w="818" w:type="dxa"/>
            <w:tcBorders>
              <w:top w:val="single" w:sz="4" w:space="0" w:color="auto"/>
              <w:left w:val="single" w:sz="4" w:space="0" w:color="auto"/>
              <w:bottom w:val="nil"/>
              <w:right w:val="nil"/>
            </w:tcBorders>
          </w:tcPr>
          <w:p w14:paraId="127C370E" w14:textId="77777777" w:rsidR="000C0F05" w:rsidRDefault="000C0F05" w:rsidP="00881730">
            <w:pPr>
              <w:pStyle w:val="Caption"/>
              <w:ind w:left="0" w:firstLine="0"/>
              <w:rPr>
                <w:b w:val="0"/>
              </w:rPr>
            </w:pPr>
            <w:r>
              <w:rPr>
                <w:b w:val="0"/>
              </w:rPr>
              <w:t>291</w:t>
            </w:r>
          </w:p>
        </w:tc>
        <w:tc>
          <w:tcPr>
            <w:tcW w:w="1558" w:type="dxa"/>
            <w:tcBorders>
              <w:top w:val="single" w:sz="4" w:space="0" w:color="auto"/>
              <w:left w:val="nil"/>
              <w:bottom w:val="nil"/>
              <w:right w:val="nil"/>
            </w:tcBorders>
          </w:tcPr>
          <w:p w14:paraId="4258DCD7" w14:textId="77777777" w:rsidR="000C0F05" w:rsidRDefault="000C0F05" w:rsidP="00881730">
            <w:pPr>
              <w:pStyle w:val="Caption"/>
              <w:ind w:left="0" w:firstLine="0"/>
              <w:rPr>
                <w:rStyle w:val="Strong"/>
              </w:rPr>
            </w:pPr>
            <w:r w:rsidRPr="000C0F05">
              <w:rPr>
                <w:rStyle w:val="Strong"/>
              </w:rPr>
              <w:t>Consultant physician in the practice of his or her speciality of psychiatry</w:t>
            </w:r>
          </w:p>
        </w:tc>
        <w:tc>
          <w:tcPr>
            <w:tcW w:w="1418" w:type="dxa"/>
            <w:tcBorders>
              <w:top w:val="single" w:sz="4" w:space="0" w:color="auto"/>
              <w:left w:val="nil"/>
              <w:bottom w:val="nil"/>
              <w:right w:val="nil"/>
            </w:tcBorders>
          </w:tcPr>
          <w:p w14:paraId="661D0C41" w14:textId="77777777" w:rsidR="000C0F05" w:rsidRDefault="000C0F05" w:rsidP="00881730">
            <w:pPr>
              <w:pStyle w:val="Caption"/>
              <w:ind w:left="0" w:firstLine="0"/>
              <w:rPr>
                <w:b w:val="0"/>
              </w:rPr>
            </w:pPr>
            <w:r>
              <w:rPr>
                <w:b w:val="0"/>
              </w:rPr>
              <w:t>A8 – Consultant psychiatrist attendances to which no other item applies</w:t>
            </w:r>
          </w:p>
        </w:tc>
        <w:tc>
          <w:tcPr>
            <w:tcW w:w="3544" w:type="dxa"/>
            <w:tcBorders>
              <w:top w:val="single" w:sz="4" w:space="0" w:color="auto"/>
              <w:left w:val="nil"/>
              <w:bottom w:val="nil"/>
              <w:right w:val="nil"/>
            </w:tcBorders>
          </w:tcPr>
          <w:p w14:paraId="036C05E4" w14:textId="77777777" w:rsidR="000C0F05" w:rsidRPr="00AA1053" w:rsidRDefault="000C0F05" w:rsidP="00881730">
            <w:pPr>
              <w:pStyle w:val="Caption"/>
              <w:ind w:left="0" w:firstLine="0"/>
              <w:rPr>
                <w:rStyle w:val="Strong"/>
                <w:bCs w:val="0"/>
              </w:rPr>
            </w:pPr>
            <w:r w:rsidRPr="00F379CE">
              <w:rPr>
                <w:rStyle w:val="Strong"/>
              </w:rPr>
              <w:t xml:space="preserve">Professional attendance where the patient is referred for the provision of an assessment and management plan by a </w:t>
            </w:r>
            <w:r w:rsidR="00F379CE" w:rsidRPr="00F379CE">
              <w:rPr>
                <w:rStyle w:val="Strong"/>
              </w:rPr>
              <w:t>GP</w:t>
            </w:r>
            <w:r w:rsidRPr="00F379CE">
              <w:rPr>
                <w:rStyle w:val="Strong"/>
              </w:rPr>
              <w:t xml:space="preserve"> or participating nurse </w:t>
            </w:r>
            <w:r w:rsidR="00F379CE" w:rsidRPr="00F379CE">
              <w:rPr>
                <w:rStyle w:val="Strong"/>
              </w:rPr>
              <w:t>p</w:t>
            </w:r>
            <w:r w:rsidRPr="00F379CE">
              <w:rPr>
                <w:rStyle w:val="Strong"/>
              </w:rPr>
              <w:t>ractition</w:t>
            </w:r>
            <w:r w:rsidR="00F379CE">
              <w:rPr>
                <w:rStyle w:val="Strong"/>
              </w:rPr>
              <w:t>er,</w:t>
            </w:r>
            <w:r w:rsidRPr="00F379CE">
              <w:rPr>
                <w:rStyle w:val="Strong"/>
              </w:rPr>
              <w:t> where the attendance is initiated by the referring practitioner and where the consultant psychiatrist provides the referring practitioner with an assessment and management plan to be undertaken by that practitioner for the patient, where clinically appropriate.</w:t>
            </w:r>
            <w:r w:rsidR="00F379CE">
              <w:rPr>
                <w:rStyle w:val="Strong"/>
              </w:rPr>
              <w:t xml:space="preserve"> &gt;</w:t>
            </w:r>
            <w:r w:rsidR="004A4751">
              <w:rPr>
                <w:rStyle w:val="Strong"/>
              </w:rPr>
              <w:t xml:space="preserve"> </w:t>
            </w:r>
            <w:r w:rsidR="00F379CE">
              <w:rPr>
                <w:rStyle w:val="Strong"/>
              </w:rPr>
              <w:t>45 minutes.</w:t>
            </w:r>
          </w:p>
        </w:tc>
        <w:tc>
          <w:tcPr>
            <w:tcW w:w="1926" w:type="dxa"/>
            <w:tcBorders>
              <w:top w:val="single" w:sz="4" w:space="0" w:color="auto"/>
              <w:left w:val="nil"/>
              <w:bottom w:val="nil"/>
              <w:right w:val="single" w:sz="4" w:space="0" w:color="auto"/>
            </w:tcBorders>
          </w:tcPr>
          <w:p w14:paraId="622A9AFF" w14:textId="77777777" w:rsidR="000C0F05" w:rsidRDefault="000C0F05" w:rsidP="00881730">
            <w:pPr>
              <w:pStyle w:val="Caption"/>
              <w:ind w:left="0" w:firstLine="0"/>
              <w:rPr>
                <w:b w:val="0"/>
              </w:rPr>
            </w:pPr>
            <w:r w:rsidRPr="000C0F05">
              <w:rPr>
                <w:b w:val="0"/>
              </w:rPr>
              <w:t xml:space="preserve">Fee: $452.65 </w:t>
            </w:r>
          </w:p>
          <w:p w14:paraId="1789180F" w14:textId="77777777" w:rsidR="000C0F05" w:rsidRPr="00AA1053" w:rsidRDefault="000C0F05" w:rsidP="00881730">
            <w:pPr>
              <w:pStyle w:val="Caption"/>
              <w:ind w:left="0" w:firstLine="0"/>
              <w:rPr>
                <w:b w:val="0"/>
              </w:rPr>
            </w:pPr>
            <w:r w:rsidRPr="000C0F05">
              <w:rPr>
                <w:b w:val="0"/>
              </w:rPr>
              <w:t>Benefit: 85% = $384.80</w:t>
            </w:r>
          </w:p>
        </w:tc>
      </w:tr>
      <w:tr w:rsidR="00F379CE" w:rsidRPr="00FF10E4" w14:paraId="56598061" w14:textId="77777777" w:rsidTr="00861324">
        <w:tc>
          <w:tcPr>
            <w:tcW w:w="818" w:type="dxa"/>
            <w:tcBorders>
              <w:top w:val="nil"/>
              <w:left w:val="single" w:sz="4" w:space="0" w:color="auto"/>
              <w:bottom w:val="nil"/>
              <w:right w:val="nil"/>
            </w:tcBorders>
          </w:tcPr>
          <w:p w14:paraId="4178B12D" w14:textId="77777777" w:rsidR="00F379CE" w:rsidRDefault="00F379CE" w:rsidP="00881730">
            <w:pPr>
              <w:pStyle w:val="Caption"/>
              <w:ind w:left="0" w:firstLine="0"/>
              <w:rPr>
                <w:b w:val="0"/>
              </w:rPr>
            </w:pPr>
            <w:r>
              <w:rPr>
                <w:b w:val="0"/>
              </w:rPr>
              <w:t>293</w:t>
            </w:r>
          </w:p>
        </w:tc>
        <w:tc>
          <w:tcPr>
            <w:tcW w:w="1558" w:type="dxa"/>
            <w:tcBorders>
              <w:top w:val="nil"/>
              <w:left w:val="nil"/>
              <w:bottom w:val="nil"/>
              <w:right w:val="nil"/>
            </w:tcBorders>
          </w:tcPr>
          <w:p w14:paraId="4E31D261" w14:textId="77777777" w:rsidR="00F379CE" w:rsidRPr="000C0F05" w:rsidRDefault="00F379CE" w:rsidP="00881730">
            <w:pPr>
              <w:pStyle w:val="Caption"/>
              <w:ind w:left="0" w:firstLine="0"/>
              <w:rPr>
                <w:rStyle w:val="Strong"/>
              </w:rPr>
            </w:pPr>
            <w:r w:rsidRPr="000C0F05">
              <w:rPr>
                <w:rStyle w:val="Strong"/>
              </w:rPr>
              <w:t>Consultant physician in the practice of his or her speciality of psychiatry</w:t>
            </w:r>
          </w:p>
        </w:tc>
        <w:tc>
          <w:tcPr>
            <w:tcW w:w="1418" w:type="dxa"/>
            <w:tcBorders>
              <w:top w:val="nil"/>
              <w:left w:val="nil"/>
              <w:bottom w:val="nil"/>
              <w:right w:val="nil"/>
            </w:tcBorders>
          </w:tcPr>
          <w:p w14:paraId="6860C008" w14:textId="77777777" w:rsidR="00F379CE" w:rsidRDefault="00F379CE" w:rsidP="00881730">
            <w:pPr>
              <w:pStyle w:val="Caption"/>
              <w:ind w:left="0" w:firstLine="0"/>
              <w:rPr>
                <w:b w:val="0"/>
              </w:rPr>
            </w:pPr>
            <w:r>
              <w:rPr>
                <w:b w:val="0"/>
              </w:rPr>
              <w:t>A8 – Consultant psychiatrist attendances to which no other item applies</w:t>
            </w:r>
          </w:p>
        </w:tc>
        <w:tc>
          <w:tcPr>
            <w:tcW w:w="3544" w:type="dxa"/>
            <w:tcBorders>
              <w:top w:val="nil"/>
              <w:left w:val="nil"/>
              <w:bottom w:val="nil"/>
              <w:right w:val="nil"/>
            </w:tcBorders>
          </w:tcPr>
          <w:p w14:paraId="62B3E937" w14:textId="77777777" w:rsidR="00F379CE" w:rsidRPr="00F379CE" w:rsidRDefault="00F379CE" w:rsidP="00881730">
            <w:pPr>
              <w:pStyle w:val="Caption"/>
              <w:ind w:left="0" w:firstLine="0"/>
              <w:rPr>
                <w:rStyle w:val="Strong"/>
              </w:rPr>
            </w:pPr>
            <w:r w:rsidRPr="00F379CE">
              <w:rPr>
                <w:rStyle w:val="Strong"/>
              </w:rPr>
              <w:t>Professional attendance to review a management plan previously prepared by that consultant psychiatrist for a patient and claimed under item 291, where the review is initiated by the referring medical practitioner practising in general practice or participating nurse practitioner.</w:t>
            </w:r>
            <w:r>
              <w:rPr>
                <w:rStyle w:val="Strong"/>
              </w:rPr>
              <w:t xml:space="preserve"> 30-45 minutes.</w:t>
            </w:r>
          </w:p>
        </w:tc>
        <w:tc>
          <w:tcPr>
            <w:tcW w:w="1926" w:type="dxa"/>
            <w:tcBorders>
              <w:top w:val="nil"/>
              <w:left w:val="nil"/>
              <w:bottom w:val="nil"/>
              <w:right w:val="single" w:sz="4" w:space="0" w:color="auto"/>
            </w:tcBorders>
          </w:tcPr>
          <w:p w14:paraId="2B06DBEB" w14:textId="77777777" w:rsidR="00F379CE" w:rsidRPr="00F379CE" w:rsidRDefault="00F379CE" w:rsidP="00881730">
            <w:pPr>
              <w:pStyle w:val="Caption"/>
              <w:ind w:left="0" w:firstLine="0"/>
              <w:rPr>
                <w:rStyle w:val="Strong"/>
              </w:rPr>
            </w:pPr>
            <w:r w:rsidRPr="00F379CE">
              <w:rPr>
                <w:rStyle w:val="Strong"/>
                <w:bCs w:val="0"/>
              </w:rPr>
              <w:t>Fee:</w:t>
            </w:r>
            <w:r w:rsidRPr="00F379CE">
              <w:rPr>
                <w:rStyle w:val="Strong"/>
              </w:rPr>
              <w:t xml:space="preserve"> $282.95 </w:t>
            </w:r>
          </w:p>
          <w:p w14:paraId="412F804A" w14:textId="77777777" w:rsidR="00F379CE" w:rsidRPr="000C0F05" w:rsidRDefault="00F379CE" w:rsidP="00881730">
            <w:pPr>
              <w:pStyle w:val="Caption"/>
              <w:ind w:left="0" w:firstLine="0"/>
              <w:rPr>
                <w:b w:val="0"/>
              </w:rPr>
            </w:pPr>
            <w:r w:rsidRPr="00F379CE">
              <w:rPr>
                <w:rStyle w:val="Strong"/>
                <w:bCs w:val="0"/>
              </w:rPr>
              <w:t>Benefit:</w:t>
            </w:r>
            <w:r w:rsidRPr="00F379CE">
              <w:rPr>
                <w:rStyle w:val="Strong"/>
              </w:rPr>
              <w:t xml:space="preserve"> 85% = $240.55</w:t>
            </w:r>
          </w:p>
        </w:tc>
      </w:tr>
      <w:tr w:rsidR="00F379CE" w:rsidRPr="00FF10E4" w14:paraId="4E5BB082" w14:textId="77777777" w:rsidTr="00861324">
        <w:tc>
          <w:tcPr>
            <w:tcW w:w="818" w:type="dxa"/>
            <w:tcBorders>
              <w:top w:val="nil"/>
              <w:left w:val="single" w:sz="4" w:space="0" w:color="auto"/>
              <w:bottom w:val="single" w:sz="4" w:space="0" w:color="auto"/>
              <w:right w:val="nil"/>
            </w:tcBorders>
          </w:tcPr>
          <w:p w14:paraId="429EFFDA" w14:textId="77777777" w:rsidR="00F379CE" w:rsidRDefault="00F379CE" w:rsidP="00881730">
            <w:pPr>
              <w:pStyle w:val="Caption"/>
              <w:ind w:left="0" w:firstLine="0"/>
              <w:rPr>
                <w:b w:val="0"/>
              </w:rPr>
            </w:pPr>
            <w:r>
              <w:rPr>
                <w:b w:val="0"/>
              </w:rPr>
              <w:t>359</w:t>
            </w:r>
          </w:p>
        </w:tc>
        <w:tc>
          <w:tcPr>
            <w:tcW w:w="1558" w:type="dxa"/>
            <w:tcBorders>
              <w:top w:val="nil"/>
              <w:left w:val="nil"/>
              <w:bottom w:val="single" w:sz="4" w:space="0" w:color="auto"/>
              <w:right w:val="nil"/>
            </w:tcBorders>
          </w:tcPr>
          <w:p w14:paraId="68CA1646" w14:textId="77777777" w:rsidR="00F379CE" w:rsidRPr="000C0F05" w:rsidRDefault="00F379CE" w:rsidP="00881730">
            <w:pPr>
              <w:pStyle w:val="Caption"/>
              <w:ind w:left="0" w:firstLine="0"/>
              <w:rPr>
                <w:rStyle w:val="Strong"/>
              </w:rPr>
            </w:pPr>
            <w:r w:rsidRPr="000C0F05">
              <w:rPr>
                <w:rStyle w:val="Strong"/>
              </w:rPr>
              <w:t xml:space="preserve">Consultant physician in the practice of his or her speciality of </w:t>
            </w:r>
            <w:r w:rsidRPr="000C0F05">
              <w:rPr>
                <w:rStyle w:val="Strong"/>
              </w:rPr>
              <w:lastRenderedPageBreak/>
              <w:t>psychiatry</w:t>
            </w:r>
          </w:p>
        </w:tc>
        <w:tc>
          <w:tcPr>
            <w:tcW w:w="1418" w:type="dxa"/>
            <w:tcBorders>
              <w:top w:val="nil"/>
              <w:left w:val="nil"/>
              <w:bottom w:val="single" w:sz="4" w:space="0" w:color="auto"/>
              <w:right w:val="nil"/>
            </w:tcBorders>
          </w:tcPr>
          <w:p w14:paraId="2BC57198" w14:textId="77777777" w:rsidR="00F379CE" w:rsidRDefault="00F379CE" w:rsidP="00881730">
            <w:pPr>
              <w:pStyle w:val="Caption"/>
              <w:ind w:left="0" w:firstLine="0"/>
              <w:rPr>
                <w:b w:val="0"/>
              </w:rPr>
            </w:pPr>
            <w:r>
              <w:rPr>
                <w:b w:val="0"/>
              </w:rPr>
              <w:lastRenderedPageBreak/>
              <w:t xml:space="preserve">A8 – Consultant psychiatrist attendances to which no other </w:t>
            </w:r>
            <w:r>
              <w:rPr>
                <w:b w:val="0"/>
              </w:rPr>
              <w:lastRenderedPageBreak/>
              <w:t>item applies</w:t>
            </w:r>
          </w:p>
        </w:tc>
        <w:tc>
          <w:tcPr>
            <w:tcW w:w="3544" w:type="dxa"/>
            <w:tcBorders>
              <w:top w:val="nil"/>
              <w:left w:val="nil"/>
              <w:bottom w:val="single" w:sz="4" w:space="0" w:color="auto"/>
              <w:right w:val="nil"/>
            </w:tcBorders>
          </w:tcPr>
          <w:p w14:paraId="50A398DA" w14:textId="77777777" w:rsidR="00F379CE" w:rsidRPr="006D76B2" w:rsidRDefault="00F379CE" w:rsidP="00881730">
            <w:pPr>
              <w:pStyle w:val="NormalWeb"/>
              <w:rPr>
                <w:rStyle w:val="Strong"/>
                <w:rFonts w:ascii="Arial Narrow" w:hAnsi="Arial Narrow" w:cs="Tahoma"/>
                <w:b w:val="0"/>
                <w:sz w:val="20"/>
                <w:szCs w:val="20"/>
                <w:lang w:val="en-GB" w:eastAsia="ja-JP"/>
              </w:rPr>
            </w:pPr>
            <w:r w:rsidRPr="00CE098D">
              <w:rPr>
                <w:rStyle w:val="Strong"/>
                <w:rFonts w:ascii="Arial Narrow" w:hAnsi="Arial Narrow" w:cs="Tahoma"/>
                <w:b w:val="0"/>
                <w:sz w:val="20"/>
                <w:szCs w:val="20"/>
                <w:lang w:val="en-GB" w:eastAsia="ja-JP"/>
              </w:rPr>
              <w:lastRenderedPageBreak/>
              <w:t xml:space="preserve">A </w:t>
            </w:r>
            <w:proofErr w:type="spellStart"/>
            <w:r w:rsidRPr="00CE098D">
              <w:rPr>
                <w:rStyle w:val="Strong"/>
                <w:rFonts w:ascii="Arial Narrow" w:hAnsi="Arial Narrow" w:cs="Tahoma"/>
                <w:b w:val="0"/>
                <w:sz w:val="20"/>
                <w:szCs w:val="20"/>
                <w:lang w:val="en-GB" w:eastAsia="ja-JP"/>
              </w:rPr>
              <w:t>telepsychiatry</w:t>
            </w:r>
            <w:proofErr w:type="spellEnd"/>
            <w:r w:rsidRPr="00CE098D">
              <w:rPr>
                <w:rStyle w:val="Strong"/>
                <w:rFonts w:ascii="Arial Narrow" w:hAnsi="Arial Narrow" w:cs="Tahoma"/>
                <w:b w:val="0"/>
                <w:sz w:val="20"/>
                <w:szCs w:val="20"/>
                <w:lang w:val="en-GB" w:eastAsia="ja-JP"/>
              </w:rPr>
              <w:t xml:space="preserve"> consultation where: the patient is located in a regional, rural or remote area (RRMA 3-7);  in the preceding 12 months, payment has been made under </w:t>
            </w:r>
            <w:r w:rsidRPr="00CE098D">
              <w:rPr>
                <w:rStyle w:val="Strong"/>
                <w:rFonts w:ascii="Arial Narrow" w:hAnsi="Arial Narrow" w:cs="Tahoma"/>
                <w:b w:val="0"/>
                <w:sz w:val="20"/>
                <w:szCs w:val="20"/>
                <w:lang w:val="en-GB" w:eastAsia="ja-JP"/>
              </w:rPr>
              <w:lastRenderedPageBreak/>
              <w:t>item 291; an outcome tool is used where clinically appropriate; a mental state examination is conducted; a psychiatric diagnosis is made; a management plan provided under Item 291 is reviewed and revised</w:t>
            </w:r>
            <w:r w:rsidR="00CE098D" w:rsidRPr="00CE098D">
              <w:rPr>
                <w:rStyle w:val="Strong"/>
                <w:rFonts w:ascii="Arial Narrow" w:hAnsi="Arial Narrow" w:cs="Tahoma"/>
                <w:b w:val="0"/>
                <w:sz w:val="20"/>
                <w:szCs w:val="20"/>
                <w:lang w:val="en-GB" w:eastAsia="ja-JP"/>
              </w:rPr>
              <w:t>;</w:t>
            </w:r>
            <w:r w:rsidRPr="00CE098D">
              <w:rPr>
                <w:rStyle w:val="Strong"/>
                <w:rFonts w:ascii="Arial Narrow" w:hAnsi="Arial Narrow" w:cs="Tahoma"/>
                <w:b w:val="0"/>
                <w:sz w:val="20"/>
                <w:szCs w:val="20"/>
                <w:lang w:val="en-GB" w:eastAsia="ja-JP"/>
              </w:rPr>
              <w:t> the reviewed management plan is explained and provided, unless clinically inappropriate, to the patient and/or the carer (with the patient's agreement)</w:t>
            </w:r>
            <w:r w:rsidR="00CE098D" w:rsidRPr="00CE098D">
              <w:rPr>
                <w:rStyle w:val="Strong"/>
                <w:rFonts w:ascii="Arial Narrow" w:hAnsi="Arial Narrow" w:cs="Tahoma"/>
                <w:b w:val="0"/>
                <w:sz w:val="20"/>
                <w:szCs w:val="20"/>
                <w:lang w:val="en-GB" w:eastAsia="ja-JP"/>
              </w:rPr>
              <w:t>;</w:t>
            </w:r>
            <w:r w:rsidRPr="00CE098D">
              <w:rPr>
                <w:rStyle w:val="Strong"/>
                <w:rFonts w:ascii="Arial Narrow" w:hAnsi="Arial Narrow" w:cs="Tahoma"/>
                <w:b w:val="0"/>
                <w:sz w:val="20"/>
                <w:szCs w:val="20"/>
                <w:lang w:val="en-GB" w:eastAsia="ja-JP"/>
              </w:rPr>
              <w:t> the reviewed management plan is communicated in writing to the referring practitioner</w:t>
            </w:r>
            <w:r w:rsidR="006D76B2">
              <w:rPr>
                <w:rStyle w:val="Strong"/>
                <w:rFonts w:ascii="Arial Narrow" w:hAnsi="Arial Narrow" w:cs="Tahoma"/>
                <w:b w:val="0"/>
                <w:sz w:val="20"/>
                <w:szCs w:val="20"/>
                <w:lang w:val="en-GB" w:eastAsia="ja-JP"/>
              </w:rPr>
              <w:t>. 30-45 minutes.</w:t>
            </w:r>
          </w:p>
        </w:tc>
        <w:tc>
          <w:tcPr>
            <w:tcW w:w="1926" w:type="dxa"/>
            <w:tcBorders>
              <w:top w:val="nil"/>
              <w:left w:val="nil"/>
              <w:bottom w:val="single" w:sz="4" w:space="0" w:color="auto"/>
              <w:right w:val="single" w:sz="4" w:space="0" w:color="auto"/>
            </w:tcBorders>
          </w:tcPr>
          <w:p w14:paraId="2F2BCBB9" w14:textId="77777777" w:rsidR="00CE098D" w:rsidRDefault="00CE098D" w:rsidP="00881730">
            <w:pPr>
              <w:pStyle w:val="Caption"/>
              <w:ind w:left="0" w:firstLine="0"/>
              <w:rPr>
                <w:b w:val="0"/>
              </w:rPr>
            </w:pPr>
            <w:r w:rsidRPr="00CE098D">
              <w:rPr>
                <w:b w:val="0"/>
                <w:bCs/>
              </w:rPr>
              <w:lastRenderedPageBreak/>
              <w:t>Fee:</w:t>
            </w:r>
            <w:r w:rsidRPr="00CE098D">
              <w:rPr>
                <w:b w:val="0"/>
              </w:rPr>
              <w:t xml:space="preserve"> $325.35 </w:t>
            </w:r>
          </w:p>
          <w:p w14:paraId="3E333A98" w14:textId="77777777" w:rsidR="00F379CE" w:rsidRPr="00CE098D" w:rsidRDefault="00CE098D" w:rsidP="00881730">
            <w:pPr>
              <w:pStyle w:val="Caption"/>
              <w:ind w:left="0" w:firstLine="0"/>
              <w:rPr>
                <w:rStyle w:val="Strong"/>
                <w:b/>
                <w:bCs w:val="0"/>
              </w:rPr>
            </w:pPr>
            <w:r w:rsidRPr="00CE098D">
              <w:rPr>
                <w:b w:val="0"/>
                <w:bCs/>
              </w:rPr>
              <w:t>Benefit:</w:t>
            </w:r>
            <w:r w:rsidRPr="00CE098D">
              <w:rPr>
                <w:b w:val="0"/>
              </w:rPr>
              <w:t xml:space="preserve"> 75% = $244.05 85% = $276.55</w:t>
            </w:r>
          </w:p>
        </w:tc>
      </w:tr>
      <w:tr w:rsidR="006D76B2" w:rsidRPr="00FF10E4" w14:paraId="764D2F75" w14:textId="77777777" w:rsidTr="00861324">
        <w:tc>
          <w:tcPr>
            <w:tcW w:w="818" w:type="dxa"/>
            <w:tcBorders>
              <w:top w:val="single" w:sz="4" w:space="0" w:color="auto"/>
              <w:left w:val="single" w:sz="4" w:space="0" w:color="auto"/>
              <w:bottom w:val="single" w:sz="4" w:space="0" w:color="auto"/>
              <w:right w:val="nil"/>
            </w:tcBorders>
          </w:tcPr>
          <w:p w14:paraId="2E8F5C85" w14:textId="77777777" w:rsidR="006D76B2" w:rsidRDefault="006D76B2" w:rsidP="00881730">
            <w:pPr>
              <w:pStyle w:val="Caption"/>
              <w:ind w:left="0" w:firstLine="0"/>
              <w:rPr>
                <w:b w:val="0"/>
              </w:rPr>
            </w:pPr>
            <w:r>
              <w:rPr>
                <w:b w:val="0"/>
              </w:rPr>
              <w:lastRenderedPageBreak/>
              <w:t>707</w:t>
            </w:r>
          </w:p>
        </w:tc>
        <w:tc>
          <w:tcPr>
            <w:tcW w:w="1558" w:type="dxa"/>
            <w:tcBorders>
              <w:top w:val="single" w:sz="4" w:space="0" w:color="auto"/>
              <w:left w:val="nil"/>
              <w:bottom w:val="single" w:sz="4" w:space="0" w:color="auto"/>
              <w:right w:val="nil"/>
            </w:tcBorders>
          </w:tcPr>
          <w:p w14:paraId="4CDD265E" w14:textId="77777777" w:rsidR="006D76B2" w:rsidRDefault="006D76B2" w:rsidP="00881730">
            <w:pPr>
              <w:pStyle w:val="Caption"/>
              <w:ind w:left="0" w:firstLine="0"/>
              <w:rPr>
                <w:rStyle w:val="Strong"/>
              </w:rPr>
            </w:pPr>
            <w:r>
              <w:rPr>
                <w:rStyle w:val="Strong"/>
              </w:rPr>
              <w:t>Medical practitioner (</w:t>
            </w:r>
            <w:r w:rsidRPr="006D76B2">
              <w:rPr>
                <w:rStyle w:val="Strong"/>
              </w:rPr>
              <w:t>including a general practitioner, but not including a specialist or consultant physician)</w:t>
            </w:r>
          </w:p>
        </w:tc>
        <w:tc>
          <w:tcPr>
            <w:tcW w:w="1418" w:type="dxa"/>
            <w:tcBorders>
              <w:top w:val="single" w:sz="4" w:space="0" w:color="auto"/>
              <w:left w:val="nil"/>
              <w:bottom w:val="single" w:sz="4" w:space="0" w:color="auto"/>
              <w:right w:val="nil"/>
            </w:tcBorders>
          </w:tcPr>
          <w:p w14:paraId="5B15CBFF" w14:textId="77777777" w:rsidR="006D76B2" w:rsidRDefault="006D76B2" w:rsidP="00881730">
            <w:pPr>
              <w:pStyle w:val="Caption"/>
              <w:ind w:left="0" w:firstLine="0"/>
              <w:rPr>
                <w:b w:val="0"/>
              </w:rPr>
            </w:pPr>
            <w:r>
              <w:rPr>
                <w:b w:val="0"/>
              </w:rPr>
              <w:t>A14- Health Assessments</w:t>
            </w:r>
          </w:p>
        </w:tc>
        <w:tc>
          <w:tcPr>
            <w:tcW w:w="3544" w:type="dxa"/>
            <w:tcBorders>
              <w:top w:val="single" w:sz="4" w:space="0" w:color="auto"/>
              <w:left w:val="nil"/>
              <w:bottom w:val="single" w:sz="4" w:space="0" w:color="auto"/>
              <w:right w:val="nil"/>
            </w:tcBorders>
          </w:tcPr>
          <w:p w14:paraId="6E3FEC65" w14:textId="77777777" w:rsidR="00DD77AE" w:rsidRPr="006D76B2" w:rsidRDefault="006D76B2" w:rsidP="00AF334A">
            <w:pPr>
              <w:pStyle w:val="NormalWeb"/>
              <w:rPr>
                <w:rStyle w:val="Strong"/>
                <w:rFonts w:ascii="Arial Narrow" w:hAnsi="Arial Narrow" w:cs="Tahoma"/>
                <w:b w:val="0"/>
                <w:sz w:val="20"/>
                <w:szCs w:val="20"/>
                <w:lang w:val="en-GB" w:eastAsia="ja-JP"/>
              </w:rPr>
            </w:pPr>
            <w:r w:rsidRPr="006D76B2">
              <w:rPr>
                <w:rStyle w:val="Strong"/>
                <w:rFonts w:ascii="Arial Narrow" w:hAnsi="Arial Narrow" w:cs="Tahoma"/>
                <w:b w:val="0"/>
                <w:sz w:val="20"/>
                <w:szCs w:val="20"/>
                <w:lang w:val="en-GB" w:eastAsia="ja-JP"/>
              </w:rPr>
              <w:t>Attendance by a medical practitioner to perform a prolonged health assessment, including:</w:t>
            </w:r>
            <w:r>
              <w:rPr>
                <w:rStyle w:val="Strong"/>
                <w:rFonts w:ascii="Arial Narrow" w:hAnsi="Arial Narrow" w:cs="Tahoma"/>
                <w:b w:val="0"/>
                <w:sz w:val="20"/>
                <w:szCs w:val="20"/>
                <w:lang w:val="en-GB" w:eastAsia="ja-JP"/>
              </w:rPr>
              <w:t xml:space="preserve"> c</w:t>
            </w:r>
            <w:r w:rsidRPr="006D76B2">
              <w:rPr>
                <w:rStyle w:val="Strong"/>
                <w:rFonts w:ascii="Arial Narrow" w:hAnsi="Arial Narrow" w:cs="Tahoma"/>
                <w:b w:val="0"/>
                <w:sz w:val="20"/>
                <w:szCs w:val="20"/>
                <w:lang w:val="en-GB" w:eastAsia="ja-JP"/>
              </w:rPr>
              <w:t xml:space="preserve">omprehensive information collection, including taking a patient history; </w:t>
            </w:r>
            <w:r>
              <w:rPr>
                <w:rStyle w:val="Strong"/>
                <w:rFonts w:ascii="Arial Narrow" w:hAnsi="Arial Narrow" w:cs="Tahoma"/>
                <w:b w:val="0"/>
                <w:sz w:val="20"/>
                <w:szCs w:val="20"/>
                <w:lang w:val="en-GB" w:eastAsia="ja-JP"/>
              </w:rPr>
              <w:t>a</w:t>
            </w:r>
            <w:r w:rsidRPr="006D76B2">
              <w:rPr>
                <w:rStyle w:val="Strong"/>
                <w:rFonts w:ascii="Arial Narrow" w:hAnsi="Arial Narrow" w:cs="Tahoma"/>
                <w:b w:val="0"/>
                <w:sz w:val="20"/>
                <w:szCs w:val="20"/>
                <w:lang w:val="en-GB" w:eastAsia="ja-JP"/>
              </w:rPr>
              <w:t xml:space="preserve">n extensive examination of the patient's medical condition, and physical, </w:t>
            </w:r>
            <w:r w:rsidRPr="00AF334A">
              <w:rPr>
                <w:rStyle w:val="Strong"/>
                <w:rFonts w:ascii="Arial Narrow" w:hAnsi="Arial Narrow" w:cs="Tahoma"/>
                <w:b w:val="0"/>
                <w:sz w:val="20"/>
                <w:szCs w:val="20"/>
                <w:u w:val="single"/>
                <w:lang w:val="en-GB" w:eastAsia="ja-JP"/>
              </w:rPr>
              <w:t>ps</w:t>
            </w:r>
            <w:r w:rsidR="00DD77AE" w:rsidRPr="00AF334A">
              <w:rPr>
                <w:rStyle w:val="Strong"/>
                <w:rFonts w:ascii="Arial Narrow" w:hAnsi="Arial Narrow" w:cs="Tahoma"/>
                <w:b w:val="0"/>
                <w:sz w:val="20"/>
                <w:szCs w:val="20"/>
                <w:u w:val="single"/>
                <w:lang w:val="en-GB" w:eastAsia="ja-JP"/>
              </w:rPr>
              <w:t>ychological</w:t>
            </w:r>
            <w:r w:rsidR="00AF334A">
              <w:rPr>
                <w:rStyle w:val="Strong"/>
                <w:rFonts w:ascii="Arial Narrow" w:hAnsi="Arial Narrow" w:cs="Tahoma"/>
                <w:b w:val="0"/>
                <w:sz w:val="20"/>
                <w:szCs w:val="20"/>
                <w:lang w:val="en-GB" w:eastAsia="ja-JP"/>
              </w:rPr>
              <w:t xml:space="preserve"> </w:t>
            </w:r>
            <w:r w:rsidR="00DD77AE" w:rsidRPr="00AF334A">
              <w:rPr>
                <w:rStyle w:val="Strong"/>
                <w:rFonts w:ascii="Arial Narrow" w:hAnsi="Arial Narrow" w:cs="Tahoma"/>
                <w:b w:val="0"/>
                <w:sz w:val="20"/>
                <w:szCs w:val="20"/>
                <w:lang w:val="en-GB" w:eastAsia="ja-JP"/>
              </w:rPr>
              <w:t>and</w:t>
            </w:r>
            <w:r w:rsidR="00DD77AE">
              <w:rPr>
                <w:rStyle w:val="Strong"/>
                <w:rFonts w:ascii="Arial Narrow" w:hAnsi="Arial Narrow" w:cs="Tahoma"/>
                <w:b w:val="0"/>
                <w:sz w:val="20"/>
                <w:szCs w:val="20"/>
                <w:lang w:val="en-GB" w:eastAsia="ja-JP"/>
              </w:rPr>
              <w:t xml:space="preserve"> social function; in</w:t>
            </w:r>
            <w:r w:rsidRPr="006D76B2">
              <w:rPr>
                <w:rStyle w:val="Strong"/>
                <w:rFonts w:ascii="Arial Narrow" w:hAnsi="Arial Narrow" w:cs="Tahoma"/>
                <w:b w:val="0"/>
                <w:sz w:val="20"/>
                <w:szCs w:val="20"/>
                <w:lang w:val="en-GB" w:eastAsia="ja-JP"/>
              </w:rPr>
              <w:t xml:space="preserve">itiating interventions and referrals as indicated; and </w:t>
            </w:r>
            <w:r w:rsidR="00DD77AE">
              <w:rPr>
                <w:rStyle w:val="Strong"/>
                <w:rFonts w:ascii="Arial Narrow" w:hAnsi="Arial Narrow" w:cs="Tahoma"/>
                <w:b w:val="0"/>
                <w:sz w:val="20"/>
                <w:szCs w:val="20"/>
                <w:lang w:val="en-GB" w:eastAsia="ja-JP"/>
              </w:rPr>
              <w:t>p</w:t>
            </w:r>
            <w:r w:rsidRPr="006D76B2">
              <w:rPr>
                <w:rStyle w:val="Strong"/>
                <w:rFonts w:ascii="Arial Narrow" w:hAnsi="Arial Narrow" w:cs="Tahoma"/>
                <w:b w:val="0"/>
                <w:sz w:val="20"/>
                <w:szCs w:val="20"/>
                <w:lang w:val="en-GB" w:eastAsia="ja-JP"/>
              </w:rPr>
              <w:t>roviding a comprehensive preventive health care management plan for the patient.</w:t>
            </w:r>
            <w:r w:rsidR="00DD77AE">
              <w:rPr>
                <w:rStyle w:val="Strong"/>
                <w:rFonts w:ascii="Arial Narrow" w:hAnsi="Arial Narrow" w:cs="Tahoma"/>
                <w:b w:val="0"/>
                <w:sz w:val="20"/>
                <w:szCs w:val="20"/>
                <w:lang w:val="en-GB" w:eastAsia="ja-JP"/>
              </w:rPr>
              <w:t xml:space="preserve"> &gt;60 minutes.</w:t>
            </w:r>
          </w:p>
        </w:tc>
        <w:tc>
          <w:tcPr>
            <w:tcW w:w="1926" w:type="dxa"/>
            <w:tcBorders>
              <w:top w:val="single" w:sz="4" w:space="0" w:color="auto"/>
              <w:left w:val="nil"/>
              <w:bottom w:val="single" w:sz="4" w:space="0" w:color="auto"/>
              <w:right w:val="single" w:sz="4" w:space="0" w:color="auto"/>
            </w:tcBorders>
          </w:tcPr>
          <w:p w14:paraId="255CDB13" w14:textId="77777777" w:rsidR="006D76B2" w:rsidRPr="00DD77AE" w:rsidRDefault="00DD77AE" w:rsidP="00881730">
            <w:pPr>
              <w:pStyle w:val="Caption"/>
              <w:ind w:left="0" w:firstLine="0"/>
              <w:rPr>
                <w:b w:val="0"/>
                <w:bCs/>
              </w:rPr>
            </w:pPr>
            <w:r w:rsidRPr="00DD77AE">
              <w:rPr>
                <w:b w:val="0"/>
                <w:bCs/>
              </w:rPr>
              <w:t>Fee:</w:t>
            </w:r>
            <w:r w:rsidRPr="00DD77AE">
              <w:rPr>
                <w:b w:val="0"/>
              </w:rPr>
              <w:t xml:space="preserve"> $268.80 </w:t>
            </w:r>
            <w:r w:rsidRPr="00DD77AE">
              <w:rPr>
                <w:b w:val="0"/>
                <w:bCs/>
              </w:rPr>
              <w:t>Benefit:</w:t>
            </w:r>
            <w:r w:rsidRPr="00DD77AE">
              <w:rPr>
                <w:b w:val="0"/>
              </w:rPr>
              <w:t xml:space="preserve"> 100% = $268.80</w:t>
            </w:r>
          </w:p>
        </w:tc>
      </w:tr>
    </w:tbl>
    <w:p w14:paraId="2DCBFF81" w14:textId="795A18F8" w:rsidR="00C15E88" w:rsidRDefault="00C15E88" w:rsidP="00AF334A">
      <w:pPr>
        <w:tabs>
          <w:tab w:val="left" w:pos="6810"/>
        </w:tabs>
        <w:rPr>
          <w:b/>
        </w:rPr>
      </w:pPr>
    </w:p>
    <w:p w14:paraId="69AB83E1" w14:textId="77777777" w:rsidR="00BC4EFE" w:rsidRPr="00EF3DFE" w:rsidRDefault="00BC4EFE" w:rsidP="00C407E2">
      <w:pPr>
        <w:pStyle w:val="Heading1"/>
        <w:numPr>
          <w:ilvl w:val="0"/>
          <w:numId w:val="27"/>
        </w:numPr>
      </w:pPr>
      <w:r w:rsidRPr="00EF3DFE">
        <w:t>Expected health outcomes relating to the medical service</w:t>
      </w:r>
    </w:p>
    <w:p w14:paraId="73EF4293" w14:textId="77777777" w:rsidR="00845FE7" w:rsidRDefault="00541A4D" w:rsidP="00B165D6">
      <w:pPr>
        <w:jc w:val="both"/>
      </w:pPr>
      <w:r>
        <w:t>T</w:t>
      </w:r>
      <w:r w:rsidR="007E3A67">
        <w:t>he health outcomes, upon which the comparative clinical performance of CNA services will be measured, are:</w:t>
      </w:r>
    </w:p>
    <w:p w14:paraId="3CD9FA90" w14:textId="77777777" w:rsidR="007E3A67" w:rsidRDefault="007E3A67" w:rsidP="00B165D6">
      <w:pPr>
        <w:jc w:val="both"/>
        <w:rPr>
          <w:u w:val="single"/>
        </w:rPr>
      </w:pPr>
      <w:r w:rsidRPr="007E3A67">
        <w:rPr>
          <w:u w:val="single"/>
        </w:rPr>
        <w:t>Primary:</w:t>
      </w:r>
    </w:p>
    <w:p w14:paraId="116E3537" w14:textId="77777777" w:rsidR="007E3A67" w:rsidRPr="007E3A67" w:rsidRDefault="007E3A67" w:rsidP="00541A4D">
      <w:pPr>
        <w:pStyle w:val="ListParagraph"/>
        <w:numPr>
          <w:ilvl w:val="0"/>
          <w:numId w:val="2"/>
        </w:numPr>
        <w:jc w:val="both"/>
        <w:rPr>
          <w:u w:val="single"/>
        </w:rPr>
      </w:pPr>
      <w:r>
        <w:t>Mortality</w:t>
      </w:r>
    </w:p>
    <w:p w14:paraId="4BFC3CB9" w14:textId="77777777" w:rsidR="007E3A67" w:rsidRPr="007E3A67" w:rsidRDefault="007E3A67" w:rsidP="00541A4D">
      <w:pPr>
        <w:pStyle w:val="ListParagraph"/>
        <w:numPr>
          <w:ilvl w:val="0"/>
          <w:numId w:val="2"/>
        </w:numPr>
        <w:jc w:val="both"/>
        <w:rPr>
          <w:u w:val="single"/>
        </w:rPr>
      </w:pPr>
      <w:r>
        <w:t>Quality of Life</w:t>
      </w:r>
    </w:p>
    <w:p w14:paraId="26B25276" w14:textId="77777777" w:rsidR="007E3A67" w:rsidRPr="007E3A67" w:rsidRDefault="00617DF9" w:rsidP="00541A4D">
      <w:pPr>
        <w:pStyle w:val="ListParagraph"/>
        <w:numPr>
          <w:ilvl w:val="0"/>
          <w:numId w:val="2"/>
        </w:numPr>
        <w:jc w:val="both"/>
        <w:rPr>
          <w:u w:val="single"/>
        </w:rPr>
      </w:pPr>
      <w:r>
        <w:t>Psychological health</w:t>
      </w:r>
    </w:p>
    <w:p w14:paraId="221236C3" w14:textId="77777777" w:rsidR="007E3A67" w:rsidRDefault="007E3A67" w:rsidP="00B165D6">
      <w:pPr>
        <w:jc w:val="both"/>
        <w:rPr>
          <w:u w:val="single"/>
        </w:rPr>
      </w:pPr>
      <w:r w:rsidRPr="007E3A67">
        <w:rPr>
          <w:u w:val="single"/>
        </w:rPr>
        <w:t>Secondary:</w:t>
      </w:r>
    </w:p>
    <w:p w14:paraId="2FCB8BAA" w14:textId="77777777" w:rsidR="007E3A67" w:rsidRPr="007E3A67" w:rsidRDefault="007E3A67" w:rsidP="00541A4D">
      <w:pPr>
        <w:pStyle w:val="ListParagraph"/>
        <w:numPr>
          <w:ilvl w:val="0"/>
          <w:numId w:val="2"/>
        </w:numPr>
        <w:jc w:val="both"/>
        <w:rPr>
          <w:u w:val="single"/>
        </w:rPr>
      </w:pPr>
      <w:r>
        <w:t xml:space="preserve">Avoidance of inappropriate </w:t>
      </w:r>
      <w:r w:rsidR="001970EF">
        <w:t xml:space="preserve">investigations and </w:t>
      </w:r>
      <w:r>
        <w:t>treatment</w:t>
      </w:r>
      <w:r w:rsidR="004F571D">
        <w:t xml:space="preserve"> </w:t>
      </w:r>
    </w:p>
    <w:p w14:paraId="2EB9D4C5" w14:textId="77777777" w:rsidR="007E3A67" w:rsidRPr="007E3A67" w:rsidRDefault="007E3A67" w:rsidP="00541A4D">
      <w:pPr>
        <w:pStyle w:val="ListParagraph"/>
        <w:numPr>
          <w:ilvl w:val="0"/>
          <w:numId w:val="2"/>
        </w:numPr>
        <w:jc w:val="both"/>
        <w:rPr>
          <w:u w:val="single"/>
        </w:rPr>
      </w:pPr>
      <w:r>
        <w:t xml:space="preserve">Treatment delay </w:t>
      </w:r>
    </w:p>
    <w:p w14:paraId="2A246581" w14:textId="77777777" w:rsidR="007E3A67" w:rsidRDefault="007E3A67" w:rsidP="00541A4D">
      <w:pPr>
        <w:pStyle w:val="ListParagraph"/>
        <w:numPr>
          <w:ilvl w:val="0"/>
          <w:numId w:val="2"/>
        </w:numPr>
        <w:jc w:val="both"/>
      </w:pPr>
      <w:r w:rsidRPr="007E3A67">
        <w:t>Length</w:t>
      </w:r>
      <w:r>
        <w:t xml:space="preserve"> of hospital stays</w:t>
      </w:r>
    </w:p>
    <w:p w14:paraId="5156DAD5" w14:textId="77777777" w:rsidR="00963D66" w:rsidRDefault="00963D66" w:rsidP="00541A4D">
      <w:pPr>
        <w:pStyle w:val="ListParagraph"/>
        <w:numPr>
          <w:ilvl w:val="0"/>
          <w:numId w:val="2"/>
        </w:numPr>
        <w:jc w:val="both"/>
      </w:pPr>
      <w:r>
        <w:t>Diagnostic yield</w:t>
      </w:r>
    </w:p>
    <w:p w14:paraId="0C15F679" w14:textId="77777777" w:rsidR="007E3A67" w:rsidRDefault="00617DF9" w:rsidP="00B165D6">
      <w:pPr>
        <w:jc w:val="both"/>
        <w:rPr>
          <w:u w:val="single"/>
        </w:rPr>
      </w:pPr>
      <w:r>
        <w:rPr>
          <w:u w:val="single"/>
        </w:rPr>
        <w:t>Safety:</w:t>
      </w:r>
    </w:p>
    <w:p w14:paraId="419D324F" w14:textId="77777777" w:rsidR="00617DF9" w:rsidRPr="00185F1B" w:rsidRDefault="00617DF9" w:rsidP="00541A4D">
      <w:pPr>
        <w:pStyle w:val="ListParagraph"/>
        <w:numPr>
          <w:ilvl w:val="0"/>
          <w:numId w:val="2"/>
        </w:numPr>
        <w:spacing w:after="240" w:line="312" w:lineRule="auto"/>
        <w:jc w:val="both"/>
      </w:pPr>
      <w:r>
        <w:t>Psychological harms from testing / no testing</w:t>
      </w:r>
      <w:r w:rsidR="006572D5">
        <w:t>.</w:t>
      </w:r>
    </w:p>
    <w:p w14:paraId="469FDCF0" w14:textId="77777777" w:rsidR="00617DF9" w:rsidRPr="00617DF9" w:rsidRDefault="00617DF9" w:rsidP="00617DF9">
      <w:pPr>
        <w:pStyle w:val="ListParagraph"/>
        <w:rPr>
          <w:u w:val="single"/>
        </w:rPr>
      </w:pPr>
    </w:p>
    <w:p w14:paraId="7DEBADAA" w14:textId="77777777" w:rsidR="008E5822" w:rsidRDefault="008E5822" w:rsidP="00974EBC">
      <w:pPr>
        <w:jc w:val="both"/>
      </w:pPr>
      <w:r>
        <w:t xml:space="preserve">For patients who currently pay for CNAs themselves (and who would make use of MBS-listed CNAs if funded), current management would be unchanged and no effects on health outcomes would be expected. An economic evaluation would therefore not be required. </w:t>
      </w:r>
    </w:p>
    <w:p w14:paraId="557241BA" w14:textId="77777777" w:rsidR="002423B6" w:rsidRDefault="002423B6" w:rsidP="00974EBC">
      <w:pPr>
        <w:jc w:val="both"/>
      </w:pPr>
      <w:r>
        <w:t xml:space="preserve">If there is evidence of superior effectiveness or safety compared to investigations performed by other specialties, then a cost-effectiveness analysis or cost-benefit analysis should be performed. </w:t>
      </w:r>
    </w:p>
    <w:p w14:paraId="1B5056DD" w14:textId="77777777" w:rsidR="00C6719B" w:rsidRDefault="002423B6" w:rsidP="00974EBC">
      <w:pPr>
        <w:jc w:val="both"/>
      </w:pPr>
      <w:r>
        <w:lastRenderedPageBreak/>
        <w:t xml:space="preserve">If the comparator is ‘no testing’, non-inferior safety and superior effectiveness would be expected and therefore a cost-effectiveness analysis or cost-benefit analysis would be done </w:t>
      </w:r>
      <w:r w:rsidR="00644458">
        <w:t>(</w:t>
      </w:r>
      <w:r w:rsidR="00644458">
        <w:fldChar w:fldCharType="begin"/>
      </w:r>
      <w:r w:rsidR="00644458">
        <w:instrText xml:space="preserve"> REF _Ref283288109 \h </w:instrText>
      </w:r>
      <w:r w:rsidR="00974EBC">
        <w:instrText xml:space="preserve"> \* MERGEFORMAT </w:instrText>
      </w:r>
      <w:r w:rsidR="00644458">
        <w:fldChar w:fldCharType="separate"/>
      </w:r>
      <w:r w:rsidR="00644458">
        <w:t xml:space="preserve">Table </w:t>
      </w:r>
      <w:r w:rsidR="00644458">
        <w:rPr>
          <w:noProof/>
        </w:rPr>
        <w:t>3</w:t>
      </w:r>
      <w:r w:rsidR="00644458">
        <w:fldChar w:fldCharType="end"/>
      </w:r>
      <w:r w:rsidR="00644458">
        <w:t xml:space="preserve">). </w:t>
      </w:r>
    </w:p>
    <w:p w14:paraId="74210B0A" w14:textId="77777777" w:rsidR="00C6719B" w:rsidRDefault="00C6719B" w:rsidP="00C6719B">
      <w:pPr>
        <w:pStyle w:val="Caption"/>
      </w:pPr>
      <w:bookmarkStart w:id="4" w:name="_Ref283288109"/>
      <w:r>
        <w:t xml:space="preserve">Table </w:t>
      </w:r>
      <w:r>
        <w:fldChar w:fldCharType="begin"/>
      </w:r>
      <w:r>
        <w:instrText xml:space="preserve"> SEQ Table \* ARABIC </w:instrText>
      </w:r>
      <w:r>
        <w:fldChar w:fldCharType="separate"/>
      </w:r>
      <w:r w:rsidR="00C44008">
        <w:rPr>
          <w:noProof/>
        </w:rPr>
        <w:t>3</w:t>
      </w:r>
      <w:r>
        <w:fldChar w:fldCharType="end"/>
      </w:r>
      <w:bookmarkEnd w:id="4"/>
      <w:r>
        <w:t>:</w:t>
      </w:r>
      <w:r>
        <w:tab/>
        <w:t>Classification of an intervention for determination of economic evaluation to be presented</w:t>
      </w:r>
    </w:p>
    <w:p w14:paraId="32B165A9" w14:textId="77777777" w:rsidR="00FF3121" w:rsidRDefault="00FF3121" w:rsidP="00FF3121">
      <w:pPr>
        <w:pStyle w:val="Caption"/>
        <w:ind w:left="0" w:firstLine="0"/>
        <w:rPr>
          <w:b w:val="0"/>
        </w:rPr>
      </w:pPr>
      <w:r>
        <w:rPr>
          <w:b w:val="0"/>
          <w:noProof/>
          <w:lang w:val="en-AU" w:eastAsia="en-AU"/>
        </w:rPr>
        <w:drawing>
          <wp:inline distT="0" distB="0" distL="0" distR="0" wp14:anchorId="4409D3E6" wp14:editId="4812E789">
            <wp:extent cx="6084662" cy="1685925"/>
            <wp:effectExtent l="0" t="0" r="0" b="0"/>
            <wp:docPr id="2" name="Picture 2" descr="Classification of an intervention for determination of economic evaluation to be presented" title="Classification of an intervention for determination of economic evaluation to be pres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ermination economic evaluation.png"/>
                    <pic:cNvPicPr/>
                  </pic:nvPicPr>
                  <pic:blipFill>
                    <a:blip r:embed="rId9">
                      <a:extLst>
                        <a:ext uri="{28A0092B-C50C-407E-A947-70E740481C1C}">
                          <a14:useLocalDpi xmlns:a14="http://schemas.microsoft.com/office/drawing/2010/main" val="0"/>
                        </a:ext>
                      </a:extLst>
                    </a:blip>
                    <a:stretch>
                      <a:fillRect/>
                    </a:stretch>
                  </pic:blipFill>
                  <pic:spPr>
                    <a:xfrm>
                      <a:off x="0" y="0"/>
                      <a:ext cx="6089520" cy="1687271"/>
                    </a:xfrm>
                    <a:prstGeom prst="rect">
                      <a:avLst/>
                    </a:prstGeom>
                  </pic:spPr>
                </pic:pic>
              </a:graphicData>
            </a:graphic>
          </wp:inline>
        </w:drawing>
      </w:r>
    </w:p>
    <w:p w14:paraId="5A95D4F1" w14:textId="77777777" w:rsidR="00C6719B" w:rsidRPr="00FF3121" w:rsidRDefault="00C6719B" w:rsidP="00FF3121">
      <w:pPr>
        <w:pStyle w:val="Caption"/>
        <w:ind w:left="0" w:firstLine="0"/>
        <w:rPr>
          <w:b w:val="0"/>
        </w:rPr>
      </w:pPr>
      <w:r w:rsidRPr="00FF3121">
        <w:rPr>
          <w:b w:val="0"/>
        </w:rPr>
        <w:t>Abbreviations:  CEA = cost-effectiveness analysis; CUA = cost-utility analysis</w:t>
      </w:r>
    </w:p>
    <w:p w14:paraId="41170581" w14:textId="77777777" w:rsidR="00C6719B" w:rsidRPr="00FF3121" w:rsidRDefault="00C6719B" w:rsidP="00FF3121">
      <w:pPr>
        <w:pStyle w:val="Caption"/>
        <w:ind w:left="0" w:firstLine="0"/>
        <w:rPr>
          <w:b w:val="0"/>
        </w:rPr>
      </w:pPr>
      <w:r w:rsidRPr="00FF3121">
        <w:rPr>
          <w:b w:val="0"/>
        </w:rPr>
        <w:t>*</w:t>
      </w:r>
      <w:r w:rsidRPr="00FF3121">
        <w:rPr>
          <w:b w:val="0"/>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14:paraId="2B3B0B8B" w14:textId="77777777" w:rsidR="00C6719B" w:rsidRPr="00FF3121" w:rsidRDefault="00C6719B" w:rsidP="00FF3121">
      <w:pPr>
        <w:pStyle w:val="Caption"/>
        <w:ind w:left="0" w:firstLine="0"/>
        <w:rPr>
          <w:b w:val="0"/>
        </w:rPr>
      </w:pPr>
      <w:r w:rsidRPr="00FF3121">
        <w:rPr>
          <w:b w:val="0"/>
        </w:rPr>
        <w:t>^</w:t>
      </w:r>
      <w:r w:rsidRPr="00FF3121">
        <w:rPr>
          <w:b w:val="0"/>
        </w:rPr>
        <w:tab/>
        <w:t>No economic evaluation needs to be presented; MSAC is unlikely to recommend government subsidy of this intervention</w:t>
      </w:r>
    </w:p>
    <w:p w14:paraId="30B08FEE" w14:textId="77777777" w:rsidR="00BC4EFE" w:rsidRPr="00F26322" w:rsidRDefault="00BC4EFE" w:rsidP="00C407E2">
      <w:pPr>
        <w:pStyle w:val="Heading1"/>
        <w:numPr>
          <w:ilvl w:val="0"/>
          <w:numId w:val="27"/>
        </w:numPr>
        <w:rPr>
          <w:b w:val="0"/>
        </w:rPr>
      </w:pPr>
      <w:r w:rsidRPr="00EF3DFE">
        <w:t>Fee for the proposed medical service</w:t>
      </w:r>
    </w:p>
    <w:p w14:paraId="008E5A28" w14:textId="77777777" w:rsidR="00C2370C" w:rsidRDefault="003C4554" w:rsidP="006A02B3">
      <w:pPr>
        <w:jc w:val="both"/>
      </w:pPr>
      <w:r>
        <w:t>The following fees have been proposed by the applicant (</w:t>
      </w:r>
      <w:r>
        <w:fldChar w:fldCharType="begin"/>
      </w:r>
      <w:r>
        <w:instrText xml:space="preserve"> REF _Ref420055056 \h </w:instrText>
      </w:r>
      <w:r w:rsidR="006A02B3">
        <w:instrText xml:space="preserve"> \* MERGEFORMAT </w:instrText>
      </w:r>
      <w:r>
        <w:fldChar w:fldCharType="separate"/>
      </w:r>
      <w:r w:rsidR="008C4BB9">
        <w:t xml:space="preserve">Table </w:t>
      </w:r>
      <w:r w:rsidR="008C4BB9">
        <w:rPr>
          <w:noProof/>
        </w:rPr>
        <w:t>4</w:t>
      </w:r>
      <w:r>
        <w:fldChar w:fldCharType="end"/>
      </w:r>
      <w:r>
        <w:t xml:space="preserve">). All </w:t>
      </w:r>
      <w:r w:rsidR="00051CA8">
        <w:t>estimated costs are based on the Department of Veterans Affairs (DVA) average hourly rate of $148.91 and the indicated maximum hourly limit applies for each item</w:t>
      </w:r>
      <w:r w:rsidR="000C1CE9">
        <w:t xml:space="preserve">; it is </w:t>
      </w:r>
      <w:r w:rsidR="006572D5">
        <w:t>recognis</w:t>
      </w:r>
      <w:r w:rsidR="000C1CE9">
        <w:t>ed</w:t>
      </w:r>
      <w:r w:rsidR="006572D5">
        <w:t xml:space="preserve"> that DVA rates are usually higher</w:t>
      </w:r>
      <w:r w:rsidR="000C1CE9">
        <w:t xml:space="preserve"> than MBS rates</w:t>
      </w:r>
      <w:r w:rsidR="006572D5">
        <w:t xml:space="preserve"> to ensure no out-of-pocket expenses for patients</w:t>
      </w:r>
      <w:r w:rsidR="00051CA8">
        <w:t xml:space="preserve">. </w:t>
      </w:r>
      <w:r w:rsidR="003906B0">
        <w:t>These maximum hourly limits do not directly relate to the session, as all assessments, feedback and review services may need to be conducted over several shorter sessions if people fatigue and cannot complete each service in one session.</w:t>
      </w:r>
      <w:r w:rsidR="00F44538">
        <w:t xml:space="preserve"> PASC noted that these proposed fees seem disproportional to other consultation fees. No further justification of these fees has been provided. </w:t>
      </w:r>
    </w:p>
    <w:p w14:paraId="702568F3" w14:textId="77777777" w:rsidR="003C4554" w:rsidRDefault="003C4554" w:rsidP="00C407E2">
      <w:pPr>
        <w:pStyle w:val="Caption"/>
        <w:keepNext w:val="0"/>
      </w:pPr>
      <w:bookmarkStart w:id="5" w:name="_Ref420055056"/>
      <w:r>
        <w:t xml:space="preserve">Table </w:t>
      </w:r>
      <w:r>
        <w:fldChar w:fldCharType="begin"/>
      </w:r>
      <w:r>
        <w:instrText xml:space="preserve"> SEQ Table \* ARABIC </w:instrText>
      </w:r>
      <w:r>
        <w:fldChar w:fldCharType="separate"/>
      </w:r>
      <w:r w:rsidR="00C44008">
        <w:rPr>
          <w:noProof/>
        </w:rPr>
        <w:t>4</w:t>
      </w:r>
      <w:r>
        <w:fldChar w:fldCharType="end"/>
      </w:r>
      <w:bookmarkEnd w:id="5"/>
      <w:r>
        <w:t xml:space="preserve"> Proposed items and fees for CNA services by the applicant</w:t>
      </w:r>
    </w:p>
    <w:tbl>
      <w:tblPr>
        <w:tblW w:w="8826" w:type="dxa"/>
        <w:tblCellMar>
          <w:left w:w="10" w:type="dxa"/>
          <w:right w:w="10" w:type="dxa"/>
        </w:tblCellMar>
        <w:tblLook w:val="0000" w:firstRow="0" w:lastRow="0" w:firstColumn="0" w:lastColumn="0" w:noHBand="0" w:noVBand="0"/>
      </w:tblPr>
      <w:tblGrid>
        <w:gridCol w:w="1165"/>
        <w:gridCol w:w="1806"/>
        <w:gridCol w:w="4743"/>
        <w:gridCol w:w="1112"/>
      </w:tblGrid>
      <w:tr w:rsidR="003C4554" w:rsidRPr="008520C3" w14:paraId="45E0859C" w14:textId="77777777" w:rsidTr="00861324">
        <w:trPr>
          <w:trHeight w:val="542"/>
          <w:tblHeader/>
        </w:trPr>
        <w:tc>
          <w:tcPr>
            <w:tcW w:w="1165" w:type="dxa"/>
            <w:tcBorders>
              <w:top w:val="single" w:sz="8" w:space="0" w:color="000000"/>
              <w:left w:val="single" w:sz="8" w:space="0" w:color="000000"/>
              <w:bottom w:val="single" w:sz="8" w:space="0" w:color="000000"/>
              <w:right w:val="single" w:sz="8" w:space="0" w:color="000000"/>
            </w:tcBorders>
          </w:tcPr>
          <w:p w14:paraId="663829DD" w14:textId="77777777" w:rsidR="003C4554" w:rsidRPr="008520C3" w:rsidRDefault="003C4554" w:rsidP="00C407E2">
            <w:pPr>
              <w:pStyle w:val="Caption"/>
              <w:keepNext w:val="0"/>
              <w:ind w:left="0" w:firstLine="0"/>
            </w:pPr>
            <w:r w:rsidRPr="008520C3">
              <w:t>Proposed Item</w:t>
            </w:r>
          </w:p>
        </w:tc>
        <w:tc>
          <w:tcPr>
            <w:tcW w:w="1806" w:type="dxa"/>
            <w:tcBorders>
              <w:top w:val="single" w:sz="8" w:space="0" w:color="000000"/>
              <w:left w:val="single" w:sz="8" w:space="0" w:color="000000"/>
              <w:bottom w:val="single" w:sz="8" w:space="0" w:color="000000"/>
              <w:right w:val="single" w:sz="8" w:space="0" w:color="000000"/>
            </w:tcBorders>
          </w:tcPr>
          <w:p w14:paraId="13AAE4C5" w14:textId="77777777" w:rsidR="003C4554" w:rsidRPr="008520C3" w:rsidRDefault="003C4554" w:rsidP="00C407E2">
            <w:pPr>
              <w:pStyle w:val="Caption"/>
              <w:keepNext w:val="0"/>
              <w:ind w:left="0" w:firstLine="0"/>
            </w:pPr>
            <w:r w:rsidRPr="008520C3">
              <w:t>DVA Item</w:t>
            </w:r>
          </w:p>
          <w:p w14:paraId="1E17191C" w14:textId="77777777" w:rsidR="003C4554" w:rsidRPr="008520C3" w:rsidRDefault="003C4554" w:rsidP="00C407E2">
            <w:pPr>
              <w:pStyle w:val="Caption"/>
              <w:keepNext w:val="0"/>
              <w:ind w:left="0" w:firstLine="0"/>
            </w:pPr>
            <w:r w:rsidRPr="008520C3">
              <w:t>(</w:t>
            </w:r>
            <w:proofErr w:type="gramStart"/>
            <w:r w:rsidRPr="008520C3">
              <w:t>if</w:t>
            </w:r>
            <w:proofErr w:type="gramEnd"/>
            <w:r w:rsidRPr="008520C3">
              <w:t xml:space="preserve"> avail.)</w:t>
            </w:r>
          </w:p>
        </w:tc>
        <w:tc>
          <w:tcPr>
            <w:tcW w:w="4743" w:type="dxa"/>
            <w:tcBorders>
              <w:top w:val="single" w:sz="8" w:space="0" w:color="000000"/>
              <w:left w:val="single" w:sz="8" w:space="0" w:color="000000"/>
              <w:bottom w:val="single" w:sz="8" w:space="0" w:color="000000"/>
              <w:right w:val="single" w:sz="8" w:space="0" w:color="000000"/>
            </w:tcBorders>
          </w:tcPr>
          <w:p w14:paraId="772AFBD8" w14:textId="77777777" w:rsidR="003C4554" w:rsidRPr="008520C3" w:rsidRDefault="003C4554" w:rsidP="00C407E2">
            <w:pPr>
              <w:pStyle w:val="Caption"/>
              <w:keepNext w:val="0"/>
              <w:ind w:left="0" w:firstLine="0"/>
            </w:pPr>
            <w:r w:rsidRPr="008520C3">
              <w:t>Item Description</w:t>
            </w:r>
          </w:p>
        </w:tc>
        <w:tc>
          <w:tcPr>
            <w:tcW w:w="1112" w:type="dxa"/>
            <w:tcBorders>
              <w:top w:val="single" w:sz="8" w:space="0" w:color="000000"/>
              <w:left w:val="single" w:sz="8" w:space="0" w:color="000000"/>
              <w:bottom w:val="single" w:sz="8" w:space="0" w:color="000000"/>
              <w:right w:val="single" w:sz="8" w:space="0" w:color="000000"/>
            </w:tcBorders>
          </w:tcPr>
          <w:p w14:paraId="470C81E8" w14:textId="77777777" w:rsidR="003C4554" w:rsidRPr="008520C3" w:rsidRDefault="003C4554" w:rsidP="00C407E2">
            <w:pPr>
              <w:pStyle w:val="Caption"/>
              <w:keepNext w:val="0"/>
              <w:ind w:left="0" w:firstLine="0"/>
            </w:pPr>
            <w:r>
              <w:t xml:space="preserve">Maximum </w:t>
            </w:r>
            <w:r w:rsidRPr="008520C3">
              <w:t>Cost**</w:t>
            </w:r>
          </w:p>
        </w:tc>
      </w:tr>
      <w:tr w:rsidR="003C4554" w:rsidRPr="003C4554" w14:paraId="0E974B9C"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517293D4" w14:textId="77777777" w:rsidR="003C4554" w:rsidRPr="003C4554" w:rsidRDefault="003C4554" w:rsidP="00C407E2">
            <w:pPr>
              <w:pStyle w:val="Caption"/>
              <w:keepNext w:val="0"/>
              <w:ind w:left="170" w:right="170" w:firstLine="0"/>
              <w:rPr>
                <w:b w:val="0"/>
              </w:rPr>
            </w:pPr>
            <w:r w:rsidRPr="003C4554">
              <w:rPr>
                <w:b w:val="0"/>
              </w:rPr>
              <w:t>1</w:t>
            </w:r>
          </w:p>
        </w:tc>
        <w:tc>
          <w:tcPr>
            <w:tcW w:w="1806" w:type="dxa"/>
            <w:tcBorders>
              <w:top w:val="single" w:sz="8" w:space="0" w:color="000000"/>
              <w:left w:val="single" w:sz="8" w:space="0" w:color="000000"/>
              <w:bottom w:val="single" w:sz="8" w:space="0" w:color="000000"/>
              <w:right w:val="single" w:sz="8" w:space="0" w:color="000000"/>
            </w:tcBorders>
          </w:tcPr>
          <w:p w14:paraId="339E03E8" w14:textId="77777777" w:rsidR="003C4554" w:rsidRPr="003C4554" w:rsidRDefault="003C4554" w:rsidP="00C407E2">
            <w:pPr>
              <w:pStyle w:val="Caption"/>
              <w:keepNext w:val="0"/>
              <w:ind w:left="170" w:right="170" w:firstLine="0"/>
              <w:rPr>
                <w:b w:val="0"/>
              </w:rPr>
            </w:pPr>
            <w:r w:rsidRPr="003C4554">
              <w:rPr>
                <w:b w:val="0"/>
              </w:rPr>
              <w:t xml:space="preserve">CL20* </w:t>
            </w:r>
          </w:p>
        </w:tc>
        <w:tc>
          <w:tcPr>
            <w:tcW w:w="4743" w:type="dxa"/>
            <w:tcBorders>
              <w:top w:val="single" w:sz="8" w:space="0" w:color="000000"/>
              <w:left w:val="single" w:sz="8" w:space="0" w:color="000000"/>
              <w:bottom w:val="single" w:sz="8" w:space="0" w:color="000000"/>
              <w:right w:val="single" w:sz="8" w:space="0" w:color="000000"/>
            </w:tcBorders>
          </w:tcPr>
          <w:p w14:paraId="5008B798" w14:textId="77777777" w:rsidR="003C4554" w:rsidRPr="003C4554" w:rsidRDefault="003C4554" w:rsidP="00C407E2">
            <w:pPr>
              <w:pStyle w:val="Caption"/>
              <w:keepNext w:val="0"/>
              <w:ind w:left="170" w:right="170" w:firstLine="0"/>
              <w:rPr>
                <w:b w:val="0"/>
              </w:rPr>
            </w:pPr>
            <w:r w:rsidRPr="003C4554">
              <w:rPr>
                <w:b w:val="0"/>
                <w:i/>
              </w:rPr>
              <w:t>Neuropsychology Assessment</w:t>
            </w:r>
            <w:r w:rsidRPr="003C4554">
              <w:rPr>
                <w:b w:val="0"/>
              </w:rPr>
              <w:t xml:space="preserve"> (Short 1-4 hours) </w:t>
            </w:r>
          </w:p>
        </w:tc>
        <w:tc>
          <w:tcPr>
            <w:tcW w:w="1112" w:type="dxa"/>
            <w:tcBorders>
              <w:top w:val="single" w:sz="8" w:space="0" w:color="000000"/>
              <w:left w:val="single" w:sz="8" w:space="0" w:color="000000"/>
              <w:bottom w:val="single" w:sz="8" w:space="0" w:color="000000"/>
              <w:right w:val="single" w:sz="8" w:space="0" w:color="000000"/>
            </w:tcBorders>
          </w:tcPr>
          <w:p w14:paraId="797813AA" w14:textId="77777777" w:rsidR="003C4554" w:rsidRPr="003C4554" w:rsidRDefault="003C4554" w:rsidP="00C407E2">
            <w:pPr>
              <w:pStyle w:val="Caption"/>
              <w:keepNext w:val="0"/>
              <w:ind w:left="170" w:right="170" w:firstLine="0"/>
              <w:rPr>
                <w:b w:val="0"/>
              </w:rPr>
            </w:pPr>
            <w:r w:rsidRPr="003C4554">
              <w:rPr>
                <w:b w:val="0"/>
              </w:rPr>
              <w:t>$595.65</w:t>
            </w:r>
          </w:p>
        </w:tc>
      </w:tr>
      <w:tr w:rsidR="003C4554" w:rsidRPr="003C4554" w14:paraId="5B557305"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5D3C540C" w14:textId="77777777" w:rsidR="003C4554" w:rsidRPr="003C4554" w:rsidRDefault="003C4554" w:rsidP="00C407E2">
            <w:pPr>
              <w:pStyle w:val="Caption"/>
              <w:keepNext w:val="0"/>
              <w:ind w:left="170" w:right="170" w:firstLine="0"/>
              <w:rPr>
                <w:b w:val="0"/>
              </w:rPr>
            </w:pPr>
            <w:r w:rsidRPr="003C4554">
              <w:rPr>
                <w:b w:val="0"/>
              </w:rPr>
              <w:t>2</w:t>
            </w:r>
          </w:p>
        </w:tc>
        <w:tc>
          <w:tcPr>
            <w:tcW w:w="1806" w:type="dxa"/>
            <w:tcBorders>
              <w:top w:val="single" w:sz="8" w:space="0" w:color="000000"/>
              <w:left w:val="single" w:sz="8" w:space="0" w:color="000000"/>
              <w:bottom w:val="single" w:sz="8" w:space="0" w:color="000000"/>
              <w:right w:val="single" w:sz="8" w:space="0" w:color="000000"/>
            </w:tcBorders>
          </w:tcPr>
          <w:p w14:paraId="6E7128EC" w14:textId="77777777" w:rsidR="003C4554" w:rsidRPr="003C4554" w:rsidRDefault="003C4554" w:rsidP="00C407E2">
            <w:pPr>
              <w:pStyle w:val="Caption"/>
              <w:keepNext w:val="0"/>
              <w:ind w:left="170" w:right="170" w:firstLine="0"/>
              <w:rPr>
                <w:b w:val="0"/>
              </w:rPr>
            </w:pPr>
            <w:r w:rsidRPr="003C4554">
              <w:rPr>
                <w:b w:val="0"/>
              </w:rPr>
              <w:t xml:space="preserve">CL25* </w:t>
            </w:r>
          </w:p>
        </w:tc>
        <w:tc>
          <w:tcPr>
            <w:tcW w:w="4743" w:type="dxa"/>
            <w:tcBorders>
              <w:top w:val="single" w:sz="8" w:space="0" w:color="000000"/>
              <w:left w:val="single" w:sz="8" w:space="0" w:color="000000"/>
              <w:bottom w:val="single" w:sz="8" w:space="0" w:color="000000"/>
              <w:right w:val="single" w:sz="8" w:space="0" w:color="000000"/>
            </w:tcBorders>
          </w:tcPr>
          <w:p w14:paraId="063BDA67" w14:textId="77777777" w:rsidR="003C4554" w:rsidRPr="003C4554" w:rsidRDefault="003C4554" w:rsidP="00C407E2">
            <w:pPr>
              <w:pStyle w:val="Caption"/>
              <w:keepNext w:val="0"/>
              <w:ind w:left="170" w:right="170" w:firstLine="0"/>
              <w:rPr>
                <w:b w:val="0"/>
              </w:rPr>
            </w:pPr>
            <w:r w:rsidRPr="003C4554">
              <w:rPr>
                <w:b w:val="0"/>
                <w:i/>
              </w:rPr>
              <w:t>Neuropsychology Assessment</w:t>
            </w:r>
            <w:r w:rsidRPr="003C4554">
              <w:rPr>
                <w:b w:val="0"/>
              </w:rPr>
              <w:t xml:space="preserve"> (Medium 4-6 hours)</w:t>
            </w:r>
          </w:p>
        </w:tc>
        <w:tc>
          <w:tcPr>
            <w:tcW w:w="1112" w:type="dxa"/>
            <w:tcBorders>
              <w:top w:val="single" w:sz="8" w:space="0" w:color="000000"/>
              <w:left w:val="single" w:sz="8" w:space="0" w:color="000000"/>
              <w:bottom w:val="single" w:sz="8" w:space="0" w:color="000000"/>
              <w:right w:val="single" w:sz="8" w:space="0" w:color="000000"/>
            </w:tcBorders>
          </w:tcPr>
          <w:p w14:paraId="41364DDA" w14:textId="77777777" w:rsidR="003C4554" w:rsidRPr="003C4554" w:rsidRDefault="003C4554" w:rsidP="00C407E2">
            <w:pPr>
              <w:pStyle w:val="Caption"/>
              <w:keepNext w:val="0"/>
              <w:ind w:left="170" w:right="170" w:firstLine="0"/>
              <w:rPr>
                <w:b w:val="0"/>
              </w:rPr>
            </w:pPr>
            <w:r w:rsidRPr="003C4554">
              <w:rPr>
                <w:b w:val="0"/>
              </w:rPr>
              <w:t>$893.48</w:t>
            </w:r>
          </w:p>
        </w:tc>
      </w:tr>
      <w:tr w:rsidR="003C4554" w:rsidRPr="003C4554" w14:paraId="7102A7DE"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782A63F3" w14:textId="77777777" w:rsidR="003C4554" w:rsidRPr="003C4554" w:rsidRDefault="003C4554" w:rsidP="00C407E2">
            <w:pPr>
              <w:pStyle w:val="Caption"/>
              <w:keepNext w:val="0"/>
              <w:ind w:left="170" w:right="170" w:firstLine="0"/>
              <w:rPr>
                <w:b w:val="0"/>
              </w:rPr>
            </w:pPr>
            <w:r w:rsidRPr="003C4554">
              <w:rPr>
                <w:b w:val="0"/>
              </w:rPr>
              <w:t>3</w:t>
            </w:r>
          </w:p>
        </w:tc>
        <w:tc>
          <w:tcPr>
            <w:tcW w:w="1806" w:type="dxa"/>
            <w:tcBorders>
              <w:top w:val="single" w:sz="8" w:space="0" w:color="000000"/>
              <w:left w:val="single" w:sz="8" w:space="0" w:color="000000"/>
              <w:bottom w:val="single" w:sz="8" w:space="0" w:color="000000"/>
              <w:right w:val="single" w:sz="8" w:space="0" w:color="000000"/>
            </w:tcBorders>
          </w:tcPr>
          <w:p w14:paraId="0D495904" w14:textId="77777777" w:rsidR="003C4554" w:rsidRPr="003C4554" w:rsidRDefault="003C4554" w:rsidP="00C407E2">
            <w:pPr>
              <w:pStyle w:val="Caption"/>
              <w:keepNext w:val="0"/>
              <w:ind w:left="170" w:right="170" w:firstLine="0"/>
              <w:rPr>
                <w:b w:val="0"/>
              </w:rPr>
            </w:pPr>
            <w:r w:rsidRPr="003C4554">
              <w:rPr>
                <w:b w:val="0"/>
              </w:rPr>
              <w:t xml:space="preserve">CL30* </w:t>
            </w:r>
          </w:p>
        </w:tc>
        <w:tc>
          <w:tcPr>
            <w:tcW w:w="4743" w:type="dxa"/>
            <w:tcBorders>
              <w:top w:val="single" w:sz="8" w:space="0" w:color="000000"/>
              <w:left w:val="single" w:sz="8" w:space="0" w:color="000000"/>
              <w:bottom w:val="single" w:sz="8" w:space="0" w:color="000000"/>
              <w:right w:val="single" w:sz="8" w:space="0" w:color="000000"/>
            </w:tcBorders>
          </w:tcPr>
          <w:p w14:paraId="51E8AC1E" w14:textId="77777777" w:rsidR="003C4554" w:rsidRPr="003C4554" w:rsidRDefault="003C4554" w:rsidP="00C407E2">
            <w:pPr>
              <w:pStyle w:val="Caption"/>
              <w:keepNext w:val="0"/>
              <w:ind w:left="170" w:right="170" w:firstLine="0"/>
              <w:rPr>
                <w:b w:val="0"/>
              </w:rPr>
            </w:pPr>
            <w:r w:rsidRPr="003C4554">
              <w:rPr>
                <w:b w:val="0"/>
                <w:i/>
              </w:rPr>
              <w:t>Neuropsychology Assessment</w:t>
            </w:r>
            <w:r w:rsidRPr="003C4554">
              <w:rPr>
                <w:b w:val="0"/>
              </w:rPr>
              <w:t xml:space="preserve"> (Long 6-8 hours)</w:t>
            </w:r>
          </w:p>
        </w:tc>
        <w:tc>
          <w:tcPr>
            <w:tcW w:w="1112" w:type="dxa"/>
            <w:tcBorders>
              <w:top w:val="single" w:sz="8" w:space="0" w:color="000000"/>
              <w:left w:val="single" w:sz="8" w:space="0" w:color="000000"/>
              <w:bottom w:val="single" w:sz="8" w:space="0" w:color="000000"/>
              <w:right w:val="single" w:sz="8" w:space="0" w:color="000000"/>
            </w:tcBorders>
          </w:tcPr>
          <w:p w14:paraId="661FE78B" w14:textId="77777777" w:rsidR="003C4554" w:rsidRPr="003C4554" w:rsidRDefault="003C4554" w:rsidP="00C407E2">
            <w:pPr>
              <w:pStyle w:val="Caption"/>
              <w:keepNext w:val="0"/>
              <w:ind w:left="170" w:right="170" w:firstLine="0"/>
              <w:rPr>
                <w:b w:val="0"/>
              </w:rPr>
            </w:pPr>
            <w:r w:rsidRPr="003C4554">
              <w:rPr>
                <w:b w:val="0"/>
              </w:rPr>
              <w:t>$1191.30</w:t>
            </w:r>
          </w:p>
        </w:tc>
      </w:tr>
      <w:tr w:rsidR="003C4554" w:rsidRPr="003C4554" w14:paraId="5151C58C"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0DEEF0D4" w14:textId="77777777" w:rsidR="003C4554" w:rsidRPr="003C4554" w:rsidRDefault="003C4554" w:rsidP="00C407E2">
            <w:pPr>
              <w:pStyle w:val="Caption"/>
              <w:keepNext w:val="0"/>
              <w:ind w:left="170" w:right="170" w:firstLine="0"/>
              <w:rPr>
                <w:b w:val="0"/>
              </w:rPr>
            </w:pPr>
            <w:r w:rsidRPr="003C4554">
              <w:rPr>
                <w:b w:val="0"/>
              </w:rPr>
              <w:t>4</w:t>
            </w:r>
          </w:p>
        </w:tc>
        <w:tc>
          <w:tcPr>
            <w:tcW w:w="1806" w:type="dxa"/>
            <w:tcBorders>
              <w:top w:val="single" w:sz="8" w:space="0" w:color="000000"/>
              <w:left w:val="single" w:sz="8" w:space="0" w:color="000000"/>
              <w:bottom w:val="single" w:sz="8" w:space="0" w:color="000000"/>
              <w:right w:val="single" w:sz="8" w:space="0" w:color="000000"/>
            </w:tcBorders>
          </w:tcPr>
          <w:p w14:paraId="2299AE30" w14:textId="77777777" w:rsidR="003C4554" w:rsidRPr="003C4554" w:rsidRDefault="003C4554" w:rsidP="00C407E2">
            <w:pPr>
              <w:pStyle w:val="Caption"/>
              <w:keepNext w:val="0"/>
              <w:ind w:left="170" w:right="170" w:firstLine="0"/>
              <w:rPr>
                <w:b w:val="0"/>
              </w:rPr>
            </w:pPr>
            <w:r w:rsidRPr="003C4554">
              <w:rPr>
                <w:b w:val="0"/>
              </w:rPr>
              <w:t>n/a</w:t>
            </w:r>
          </w:p>
        </w:tc>
        <w:tc>
          <w:tcPr>
            <w:tcW w:w="4743" w:type="dxa"/>
            <w:tcBorders>
              <w:top w:val="single" w:sz="8" w:space="0" w:color="000000"/>
              <w:left w:val="single" w:sz="8" w:space="0" w:color="000000"/>
              <w:bottom w:val="single" w:sz="8" w:space="0" w:color="000000"/>
              <w:right w:val="single" w:sz="8" w:space="0" w:color="000000"/>
            </w:tcBorders>
          </w:tcPr>
          <w:p w14:paraId="7CBC319D" w14:textId="77777777" w:rsidR="003C4554" w:rsidRPr="003C4554" w:rsidRDefault="003C4554" w:rsidP="00C407E2">
            <w:pPr>
              <w:pStyle w:val="Caption"/>
              <w:keepNext w:val="0"/>
              <w:ind w:left="170" w:right="170" w:firstLine="0"/>
              <w:rPr>
                <w:b w:val="0"/>
              </w:rPr>
            </w:pPr>
            <w:r w:rsidRPr="003C4554">
              <w:rPr>
                <w:b w:val="0"/>
                <w:i/>
              </w:rPr>
              <w:t xml:space="preserve">Neuropsychology Feedback </w:t>
            </w:r>
            <w:r w:rsidRPr="003C4554">
              <w:rPr>
                <w:b w:val="0"/>
              </w:rPr>
              <w:t>(Standard 1-2 hours) Includes written report and recommendations specifically for the patient.</w:t>
            </w:r>
          </w:p>
        </w:tc>
        <w:tc>
          <w:tcPr>
            <w:tcW w:w="1112" w:type="dxa"/>
            <w:tcBorders>
              <w:top w:val="single" w:sz="8" w:space="0" w:color="000000"/>
              <w:left w:val="single" w:sz="8" w:space="0" w:color="000000"/>
              <w:bottom w:val="single" w:sz="8" w:space="0" w:color="000000"/>
              <w:right w:val="single" w:sz="8" w:space="0" w:color="000000"/>
            </w:tcBorders>
          </w:tcPr>
          <w:p w14:paraId="5AC84D7E" w14:textId="77777777" w:rsidR="003C4554" w:rsidRPr="003C4554" w:rsidRDefault="003C4554" w:rsidP="00C407E2">
            <w:pPr>
              <w:pStyle w:val="Caption"/>
              <w:keepNext w:val="0"/>
              <w:ind w:left="170" w:right="170" w:firstLine="0"/>
              <w:rPr>
                <w:b w:val="0"/>
              </w:rPr>
            </w:pPr>
            <w:r w:rsidRPr="003C4554">
              <w:rPr>
                <w:b w:val="0"/>
              </w:rPr>
              <w:t>$297.82</w:t>
            </w:r>
          </w:p>
        </w:tc>
      </w:tr>
      <w:tr w:rsidR="003C4554" w:rsidRPr="003C4554" w14:paraId="30A08736"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49145F7B" w14:textId="77777777" w:rsidR="003C4554" w:rsidRPr="003C4554" w:rsidRDefault="003C4554" w:rsidP="00C407E2">
            <w:pPr>
              <w:pStyle w:val="Caption"/>
              <w:keepNext w:val="0"/>
              <w:ind w:left="170" w:right="170" w:firstLine="0"/>
              <w:rPr>
                <w:b w:val="0"/>
              </w:rPr>
            </w:pPr>
            <w:r w:rsidRPr="003C4554">
              <w:rPr>
                <w:b w:val="0"/>
              </w:rPr>
              <w:t>5</w:t>
            </w:r>
          </w:p>
        </w:tc>
        <w:tc>
          <w:tcPr>
            <w:tcW w:w="1806" w:type="dxa"/>
            <w:tcBorders>
              <w:top w:val="single" w:sz="8" w:space="0" w:color="000000"/>
              <w:left w:val="single" w:sz="8" w:space="0" w:color="000000"/>
              <w:bottom w:val="single" w:sz="8" w:space="0" w:color="000000"/>
              <w:right w:val="single" w:sz="8" w:space="0" w:color="000000"/>
            </w:tcBorders>
          </w:tcPr>
          <w:p w14:paraId="2D9FC06F" w14:textId="77777777" w:rsidR="003C4554" w:rsidRPr="003C4554" w:rsidRDefault="003C4554" w:rsidP="00C407E2">
            <w:pPr>
              <w:pStyle w:val="Caption"/>
              <w:keepNext w:val="0"/>
              <w:ind w:left="170" w:right="170" w:firstLine="0"/>
              <w:rPr>
                <w:b w:val="0"/>
              </w:rPr>
            </w:pPr>
            <w:r w:rsidRPr="003C4554">
              <w:rPr>
                <w:b w:val="0"/>
              </w:rPr>
              <w:t>n/a</w:t>
            </w:r>
          </w:p>
        </w:tc>
        <w:tc>
          <w:tcPr>
            <w:tcW w:w="4743" w:type="dxa"/>
            <w:tcBorders>
              <w:top w:val="single" w:sz="8" w:space="0" w:color="000000"/>
              <w:left w:val="single" w:sz="8" w:space="0" w:color="000000"/>
              <w:bottom w:val="single" w:sz="8" w:space="0" w:color="000000"/>
              <w:right w:val="single" w:sz="8" w:space="0" w:color="000000"/>
            </w:tcBorders>
          </w:tcPr>
          <w:p w14:paraId="64A6387D" w14:textId="77777777" w:rsidR="003C4554" w:rsidRPr="003C4554" w:rsidRDefault="003C4554" w:rsidP="00C407E2">
            <w:pPr>
              <w:pStyle w:val="Caption"/>
              <w:keepNext w:val="0"/>
              <w:ind w:left="170" w:right="170" w:firstLine="0"/>
              <w:rPr>
                <w:b w:val="0"/>
                <w:i/>
              </w:rPr>
            </w:pPr>
            <w:r w:rsidRPr="003C4554">
              <w:rPr>
                <w:b w:val="0"/>
                <w:i/>
              </w:rPr>
              <w:t xml:space="preserve">Neuropsychology Feedback </w:t>
            </w:r>
            <w:r w:rsidRPr="003C4554">
              <w:rPr>
                <w:b w:val="0"/>
              </w:rPr>
              <w:t>(Extended 3-4 hours) Includes written report with management plan and detailed recommendations specifically for the patient.</w:t>
            </w:r>
          </w:p>
        </w:tc>
        <w:tc>
          <w:tcPr>
            <w:tcW w:w="1112" w:type="dxa"/>
            <w:tcBorders>
              <w:top w:val="single" w:sz="8" w:space="0" w:color="000000"/>
              <w:left w:val="single" w:sz="8" w:space="0" w:color="000000"/>
              <w:bottom w:val="single" w:sz="8" w:space="0" w:color="000000"/>
              <w:right w:val="single" w:sz="8" w:space="0" w:color="000000"/>
            </w:tcBorders>
          </w:tcPr>
          <w:p w14:paraId="57D20F44" w14:textId="77777777" w:rsidR="003C4554" w:rsidRPr="003C4554" w:rsidRDefault="003C4554" w:rsidP="00C407E2">
            <w:pPr>
              <w:pStyle w:val="Caption"/>
              <w:keepNext w:val="0"/>
              <w:ind w:left="170" w:right="170" w:firstLine="0"/>
              <w:rPr>
                <w:b w:val="0"/>
              </w:rPr>
            </w:pPr>
            <w:r w:rsidRPr="003C4554">
              <w:rPr>
                <w:b w:val="0"/>
              </w:rPr>
              <w:t>$595.65</w:t>
            </w:r>
          </w:p>
        </w:tc>
      </w:tr>
      <w:tr w:rsidR="003C4554" w:rsidRPr="003C4554" w14:paraId="5926D97D"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196FDE7D" w14:textId="77777777" w:rsidR="003C4554" w:rsidRPr="003C4554" w:rsidRDefault="003C4554" w:rsidP="00C407E2">
            <w:pPr>
              <w:pStyle w:val="Caption"/>
              <w:keepNext w:val="0"/>
              <w:ind w:left="170" w:right="170" w:firstLine="0"/>
              <w:rPr>
                <w:b w:val="0"/>
              </w:rPr>
            </w:pPr>
            <w:r w:rsidRPr="003C4554">
              <w:rPr>
                <w:b w:val="0"/>
              </w:rPr>
              <w:lastRenderedPageBreak/>
              <w:t>6</w:t>
            </w:r>
          </w:p>
        </w:tc>
        <w:tc>
          <w:tcPr>
            <w:tcW w:w="1806" w:type="dxa"/>
            <w:tcBorders>
              <w:top w:val="single" w:sz="8" w:space="0" w:color="000000"/>
              <w:left w:val="single" w:sz="8" w:space="0" w:color="000000"/>
              <w:bottom w:val="single" w:sz="8" w:space="0" w:color="000000"/>
              <w:right w:val="single" w:sz="8" w:space="0" w:color="000000"/>
            </w:tcBorders>
          </w:tcPr>
          <w:p w14:paraId="73B719E7" w14:textId="77777777" w:rsidR="003C4554" w:rsidRPr="003C4554" w:rsidRDefault="003C4554" w:rsidP="00C407E2">
            <w:pPr>
              <w:pStyle w:val="Caption"/>
              <w:keepNext w:val="0"/>
              <w:ind w:left="170" w:right="170" w:firstLine="0"/>
              <w:rPr>
                <w:b w:val="0"/>
              </w:rPr>
            </w:pPr>
            <w:r w:rsidRPr="003C4554">
              <w:rPr>
                <w:b w:val="0"/>
              </w:rPr>
              <w:t>n/a</w:t>
            </w:r>
          </w:p>
        </w:tc>
        <w:tc>
          <w:tcPr>
            <w:tcW w:w="4743" w:type="dxa"/>
            <w:tcBorders>
              <w:top w:val="single" w:sz="8" w:space="0" w:color="000000"/>
              <w:left w:val="single" w:sz="8" w:space="0" w:color="000000"/>
              <w:bottom w:val="single" w:sz="8" w:space="0" w:color="000000"/>
              <w:right w:val="single" w:sz="8" w:space="0" w:color="000000"/>
            </w:tcBorders>
          </w:tcPr>
          <w:p w14:paraId="5269B179" w14:textId="77777777" w:rsidR="003C4554" w:rsidRPr="003C4554" w:rsidRDefault="003C4554" w:rsidP="00C407E2">
            <w:pPr>
              <w:pStyle w:val="Caption"/>
              <w:keepNext w:val="0"/>
              <w:ind w:left="170" w:right="170" w:firstLine="0"/>
              <w:rPr>
                <w:b w:val="0"/>
              </w:rPr>
            </w:pPr>
            <w:r w:rsidRPr="003C4554">
              <w:rPr>
                <w:b w:val="0"/>
                <w:i/>
              </w:rPr>
              <w:t>Neuropsychology Review</w:t>
            </w:r>
            <w:r w:rsidRPr="003C4554">
              <w:rPr>
                <w:b w:val="0"/>
              </w:rPr>
              <w:t xml:space="preserve"> (Short 1-4 hours) Includes reassessment as required, written report and recommendations.</w:t>
            </w:r>
          </w:p>
        </w:tc>
        <w:tc>
          <w:tcPr>
            <w:tcW w:w="1112" w:type="dxa"/>
            <w:tcBorders>
              <w:top w:val="single" w:sz="8" w:space="0" w:color="000000"/>
              <w:left w:val="single" w:sz="8" w:space="0" w:color="000000"/>
              <w:bottom w:val="single" w:sz="8" w:space="0" w:color="000000"/>
              <w:right w:val="single" w:sz="8" w:space="0" w:color="000000"/>
            </w:tcBorders>
          </w:tcPr>
          <w:p w14:paraId="3BCA40DB" w14:textId="77777777" w:rsidR="003C4554" w:rsidRPr="003C4554" w:rsidRDefault="003C4554" w:rsidP="00C407E2">
            <w:pPr>
              <w:pStyle w:val="Caption"/>
              <w:keepNext w:val="0"/>
              <w:ind w:left="170" w:right="170" w:firstLine="0"/>
              <w:rPr>
                <w:b w:val="0"/>
              </w:rPr>
            </w:pPr>
            <w:r w:rsidRPr="003C4554">
              <w:rPr>
                <w:b w:val="0"/>
              </w:rPr>
              <w:t>$595.65</w:t>
            </w:r>
          </w:p>
        </w:tc>
      </w:tr>
      <w:tr w:rsidR="003C4554" w:rsidRPr="003C4554" w14:paraId="491E53CB" w14:textId="77777777" w:rsidTr="00861324">
        <w:trPr>
          <w:trHeight w:val="542"/>
        </w:trPr>
        <w:tc>
          <w:tcPr>
            <w:tcW w:w="1165" w:type="dxa"/>
            <w:tcBorders>
              <w:top w:val="single" w:sz="8" w:space="0" w:color="000000"/>
              <w:left w:val="single" w:sz="8" w:space="0" w:color="000000"/>
              <w:bottom w:val="single" w:sz="8" w:space="0" w:color="000000"/>
              <w:right w:val="single" w:sz="8" w:space="0" w:color="000000"/>
            </w:tcBorders>
          </w:tcPr>
          <w:p w14:paraId="427278A3" w14:textId="77777777" w:rsidR="003C4554" w:rsidRPr="003C4554" w:rsidRDefault="003C4554" w:rsidP="00C407E2">
            <w:pPr>
              <w:pStyle w:val="Caption"/>
              <w:keepNext w:val="0"/>
              <w:ind w:left="170" w:right="170" w:firstLine="0"/>
              <w:rPr>
                <w:b w:val="0"/>
              </w:rPr>
            </w:pPr>
            <w:r w:rsidRPr="003C4554">
              <w:rPr>
                <w:b w:val="0"/>
              </w:rPr>
              <w:t>7</w:t>
            </w:r>
          </w:p>
        </w:tc>
        <w:tc>
          <w:tcPr>
            <w:tcW w:w="1806" w:type="dxa"/>
            <w:tcBorders>
              <w:top w:val="single" w:sz="8" w:space="0" w:color="000000"/>
              <w:left w:val="single" w:sz="8" w:space="0" w:color="000000"/>
              <w:bottom w:val="single" w:sz="8" w:space="0" w:color="000000"/>
              <w:right w:val="single" w:sz="8" w:space="0" w:color="000000"/>
            </w:tcBorders>
          </w:tcPr>
          <w:p w14:paraId="3C8AD218" w14:textId="77777777" w:rsidR="003C4554" w:rsidRPr="003C4554" w:rsidRDefault="003C4554" w:rsidP="00C407E2">
            <w:pPr>
              <w:pStyle w:val="Caption"/>
              <w:keepNext w:val="0"/>
              <w:ind w:left="170" w:right="170" w:firstLine="0"/>
              <w:rPr>
                <w:b w:val="0"/>
              </w:rPr>
            </w:pPr>
            <w:r w:rsidRPr="003C4554">
              <w:rPr>
                <w:b w:val="0"/>
              </w:rPr>
              <w:t>n/a</w:t>
            </w:r>
          </w:p>
        </w:tc>
        <w:tc>
          <w:tcPr>
            <w:tcW w:w="4743" w:type="dxa"/>
            <w:tcBorders>
              <w:top w:val="single" w:sz="8" w:space="0" w:color="000000"/>
              <w:left w:val="single" w:sz="8" w:space="0" w:color="000000"/>
              <w:bottom w:val="single" w:sz="8" w:space="0" w:color="000000"/>
              <w:right w:val="single" w:sz="8" w:space="0" w:color="000000"/>
            </w:tcBorders>
          </w:tcPr>
          <w:p w14:paraId="34AAA422" w14:textId="77777777" w:rsidR="003C4554" w:rsidRPr="003C4554" w:rsidRDefault="003C4554" w:rsidP="00C407E2">
            <w:pPr>
              <w:pStyle w:val="Caption"/>
              <w:keepNext w:val="0"/>
              <w:ind w:left="170" w:right="170" w:firstLine="0"/>
              <w:rPr>
                <w:b w:val="0"/>
              </w:rPr>
            </w:pPr>
            <w:r w:rsidRPr="003C4554">
              <w:rPr>
                <w:b w:val="0"/>
                <w:i/>
              </w:rPr>
              <w:t>Neuropsychology Review</w:t>
            </w:r>
            <w:r w:rsidRPr="003C4554">
              <w:rPr>
                <w:b w:val="0"/>
              </w:rPr>
              <w:t xml:space="preserve"> (Medium 4-6 hours)</w:t>
            </w:r>
          </w:p>
        </w:tc>
        <w:tc>
          <w:tcPr>
            <w:tcW w:w="1112" w:type="dxa"/>
            <w:tcBorders>
              <w:top w:val="single" w:sz="8" w:space="0" w:color="000000"/>
              <w:left w:val="single" w:sz="8" w:space="0" w:color="000000"/>
              <w:bottom w:val="single" w:sz="8" w:space="0" w:color="000000"/>
              <w:right w:val="single" w:sz="8" w:space="0" w:color="000000"/>
            </w:tcBorders>
          </w:tcPr>
          <w:p w14:paraId="116775C9" w14:textId="77777777" w:rsidR="003C4554" w:rsidRPr="003C4554" w:rsidRDefault="003C4554" w:rsidP="00C407E2">
            <w:pPr>
              <w:pStyle w:val="Caption"/>
              <w:keepNext w:val="0"/>
              <w:ind w:left="170" w:right="170" w:firstLine="0"/>
              <w:rPr>
                <w:b w:val="0"/>
              </w:rPr>
            </w:pPr>
            <w:r w:rsidRPr="003C4554">
              <w:rPr>
                <w:b w:val="0"/>
              </w:rPr>
              <w:t>$893.48</w:t>
            </w:r>
          </w:p>
        </w:tc>
      </w:tr>
    </w:tbl>
    <w:p w14:paraId="2B81804B" w14:textId="77777777" w:rsidR="003C4554" w:rsidRPr="003C4554" w:rsidRDefault="003C4554" w:rsidP="00C407E2">
      <w:pPr>
        <w:pStyle w:val="Caption"/>
        <w:keepNext w:val="0"/>
        <w:rPr>
          <w:b w:val="0"/>
        </w:rPr>
      </w:pPr>
      <w:r w:rsidRPr="003C4554">
        <w:rPr>
          <w:b w:val="0"/>
        </w:rPr>
        <w:t>DVA = department of veterans affairs</w:t>
      </w:r>
    </w:p>
    <w:p w14:paraId="22238627" w14:textId="77777777" w:rsidR="003C4554" w:rsidRPr="003C4554" w:rsidRDefault="003C4554" w:rsidP="00C407E2">
      <w:pPr>
        <w:pStyle w:val="Caption"/>
        <w:keepNext w:val="0"/>
        <w:rPr>
          <w:b w:val="0"/>
        </w:rPr>
      </w:pPr>
      <w:r w:rsidRPr="003C4554">
        <w:rPr>
          <w:b w:val="0"/>
        </w:rPr>
        <w:t>*From Neuropsychologists Schedule of Fees, November 2013, DVA</w:t>
      </w:r>
    </w:p>
    <w:p w14:paraId="47DE55E4" w14:textId="77777777" w:rsidR="003C4554" w:rsidRPr="003C4554" w:rsidRDefault="003C4554" w:rsidP="00C407E2">
      <w:pPr>
        <w:pStyle w:val="Caption"/>
        <w:keepNext w:val="0"/>
        <w:rPr>
          <w:b w:val="0"/>
        </w:rPr>
      </w:pPr>
      <w:r w:rsidRPr="003C4554">
        <w:rPr>
          <w:b w:val="0"/>
        </w:rPr>
        <w:t>**All items are calculated without GST.</w:t>
      </w:r>
    </w:p>
    <w:p w14:paraId="7F4AAD5D" w14:textId="77777777" w:rsidR="00C15E88" w:rsidRDefault="00C15E88" w:rsidP="00861324">
      <w:pPr>
        <w:jc w:val="both"/>
      </w:pPr>
    </w:p>
    <w:p w14:paraId="74AB9134" w14:textId="77777777" w:rsidR="004E6E5B" w:rsidRPr="009E72D4" w:rsidRDefault="00CB33A2" w:rsidP="004F423B">
      <w:pPr>
        <w:jc w:val="both"/>
      </w:pPr>
      <w:r w:rsidRPr="009E72D4">
        <w:t>PASC recommended that bundles of tests should be defined for assessment time periods</w:t>
      </w:r>
      <w:r w:rsidR="00535C2F" w:rsidRPr="009E72D4">
        <w:t xml:space="preserve"> (short, medium, long)</w:t>
      </w:r>
      <w:r w:rsidRPr="009E72D4">
        <w:t>.</w:t>
      </w:r>
      <w:r w:rsidR="00535C2F" w:rsidRPr="009E72D4">
        <w:t xml:space="preserve"> </w:t>
      </w:r>
      <w:r w:rsidR="009E72D4">
        <w:t xml:space="preserve"> However, t</w:t>
      </w:r>
      <w:r w:rsidR="004E6E5B" w:rsidRPr="009E72D4">
        <w:t>he applicant has indicated that it is very difficult to judge in advance how long a CNA will take</w:t>
      </w:r>
      <w:r w:rsidR="00F528EB" w:rsidRPr="009E72D4">
        <w:t>, and needs to be based on the patient’s individual needs.</w:t>
      </w:r>
    </w:p>
    <w:p w14:paraId="74EE6043" w14:textId="77777777" w:rsidR="00BC4EFE" w:rsidRPr="00F26322" w:rsidRDefault="00BC4EFE" w:rsidP="00C407E2">
      <w:pPr>
        <w:pStyle w:val="Heading1"/>
        <w:numPr>
          <w:ilvl w:val="0"/>
          <w:numId w:val="27"/>
        </w:numPr>
        <w:rPr>
          <w:b w:val="0"/>
        </w:rPr>
      </w:pPr>
      <w:r w:rsidRPr="00EF3DFE">
        <w:t xml:space="preserve">Clinical Management Algorithm - clinical place for the proposed intervention </w:t>
      </w:r>
    </w:p>
    <w:p w14:paraId="77EFEB97" w14:textId="77777777" w:rsidR="00321B0B" w:rsidRPr="00321B0B" w:rsidRDefault="00321B0B" w:rsidP="00321B0B">
      <w:pPr>
        <w:jc w:val="both"/>
      </w:pPr>
      <w:r>
        <w:t>The clinical place for CNA services occurs at a point at which the patient’s specialist (or rural GP) makes a clinical judgement that a CNA is necessary to assist with diagnosis, and/or to determine an a</w:t>
      </w:r>
      <w:r w:rsidR="0039384B">
        <w:t>ppropriate management plan. The intervention (CNA services, grey boxes)</w:t>
      </w:r>
      <w:r>
        <w:t xml:space="preserve"> is described below in a clinical management algorithm, alongside the comparators</w:t>
      </w:r>
      <w:r w:rsidR="00DF3BE8">
        <w:t xml:space="preserve"> (testing by other specialties, n</w:t>
      </w:r>
      <w:r w:rsidR="006236FD">
        <w:t>o cognitive/behavioural testing</w:t>
      </w:r>
      <w:r w:rsidR="00DF3BE8">
        <w:t>)</w:t>
      </w:r>
      <w:r>
        <w:t>.</w:t>
      </w:r>
      <w:r w:rsidR="006236FD">
        <w:t xml:space="preserve"> Other tests such as imaging (MRI, CT, functional imaging)</w:t>
      </w:r>
      <w:r w:rsidR="002E362E">
        <w:t xml:space="preserve"> or blood tests</w:t>
      </w:r>
      <w:r w:rsidR="006236FD">
        <w:t xml:space="preserve"> may be done either before or after CNA, depending on the situation and the patient’s symptoms. </w:t>
      </w:r>
      <w:r w:rsidR="002E362E">
        <w:t>CNA may be done to assess the functional capacity after an abnormal imaging result, or the patient may b</w:t>
      </w:r>
      <w:r w:rsidR="008E05C3">
        <w:t>e referred for other tests if</w:t>
      </w:r>
      <w:r w:rsidR="002E362E">
        <w:t xml:space="preserve"> CNA shows cognitive or behavioural deficits.</w:t>
      </w:r>
      <w:r w:rsidR="00FA689E">
        <w:t xml:space="preserve"> Please note that children will usually not receive cognitive/behavioural testing by other specialties</w:t>
      </w:r>
      <w:r w:rsidR="00460032">
        <w:t xml:space="preserve"> (such as the MMSE)</w:t>
      </w:r>
      <w:r w:rsidR="00FA689E">
        <w:t xml:space="preserve">, therefore the only pathways relevant in this population will be CNA and ‘no cognitive/behavioural testing’. </w:t>
      </w:r>
    </w:p>
    <w:p w14:paraId="4A2DE66F" w14:textId="77777777" w:rsidR="00707F9F" w:rsidRDefault="00707F9F" w:rsidP="00707F9F">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Clinical management algorithm</w:t>
      </w:r>
    </w:p>
    <w:p w14:paraId="5DEDFD6D" w14:textId="77777777" w:rsidR="00707F9F" w:rsidRDefault="005330BF" w:rsidP="00707F9F">
      <w:pPr>
        <w:keepNext/>
      </w:pPr>
      <w:r>
        <w:object w:dxaOrig="7917" w:dyaOrig="7917" w14:anchorId="18494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nical management algorithm" style="width:396pt;height:396pt" o:ole="">
            <v:imagedata r:id="rId10" o:title=""/>
          </v:shape>
          <o:OLEObject Type="Embed" ProgID="Visio.Drawing.11" ShapeID="_x0000_i1025" DrawAspect="Content" ObjectID="_1521981570" r:id="rId11"/>
        </w:object>
      </w:r>
    </w:p>
    <w:p w14:paraId="0E2014EB" w14:textId="77777777" w:rsidR="006A414A" w:rsidRPr="001A57A2" w:rsidRDefault="001A57A2" w:rsidP="001A57A2">
      <w:pPr>
        <w:pStyle w:val="Caption"/>
        <w:rPr>
          <w:b w:val="0"/>
        </w:rPr>
      </w:pPr>
      <w:r w:rsidRPr="001A57A2">
        <w:rPr>
          <w:b w:val="0"/>
        </w:rPr>
        <w:t>CNA = clinical neuropsychology assessment; GP = general practi</w:t>
      </w:r>
      <w:r w:rsidR="00EE700E">
        <w:rPr>
          <w:b w:val="0"/>
        </w:rPr>
        <w:t>ti</w:t>
      </w:r>
      <w:r w:rsidRPr="001A57A2">
        <w:rPr>
          <w:b w:val="0"/>
        </w:rPr>
        <w:t xml:space="preserve">oner </w:t>
      </w:r>
    </w:p>
    <w:p w14:paraId="4BB4FBF3" w14:textId="77777777" w:rsidR="00BC4EFE" w:rsidRPr="00EF3DFE" w:rsidRDefault="00BC4EFE" w:rsidP="00C407E2">
      <w:pPr>
        <w:pStyle w:val="Heading1"/>
        <w:numPr>
          <w:ilvl w:val="0"/>
          <w:numId w:val="27"/>
        </w:numPr>
      </w:pPr>
      <w:r w:rsidRPr="00EF3DFE">
        <w:t>Regulatory Information</w:t>
      </w:r>
    </w:p>
    <w:p w14:paraId="79327C68" w14:textId="77777777" w:rsidR="00BC4EFE" w:rsidRPr="0083189E" w:rsidRDefault="00DE1132" w:rsidP="00BC4EFE">
      <w:pPr>
        <w:rPr>
          <w:i/>
        </w:rPr>
      </w:pPr>
      <w:r>
        <w:t>Not applicable.</w:t>
      </w:r>
    </w:p>
    <w:p w14:paraId="20DB8789" w14:textId="77777777" w:rsidR="00BC4EFE" w:rsidRPr="00EF3DFE" w:rsidRDefault="00BC4EFE" w:rsidP="00C407E2">
      <w:pPr>
        <w:pStyle w:val="Heading1"/>
        <w:numPr>
          <w:ilvl w:val="0"/>
          <w:numId w:val="27"/>
        </w:numPr>
      </w:pPr>
      <w:r w:rsidRPr="00EF3DFE">
        <w:t>Decision analytic</w:t>
      </w:r>
    </w:p>
    <w:p w14:paraId="20EB6006" w14:textId="77777777" w:rsidR="00034B07" w:rsidRDefault="00520514" w:rsidP="00E065BF">
      <w:pPr>
        <w:jc w:val="both"/>
      </w:pPr>
      <w:r>
        <w:t>Depending on the comparator, the outcomes assessed would either be financial (if CNA is compared to other funding sources), or safety, effectiveness and cost-effectiveness (when no testing or alternative testing is used as a comparator). The criteria</w:t>
      </w:r>
      <w:r w:rsidR="00A32F72">
        <w:t xml:space="preserve"> for assessment of CNA services</w:t>
      </w:r>
      <w:r>
        <w:t xml:space="preserve"> are defined through a description of the relevant population, intervention, comparator and outcomes (PICO), and described in </w:t>
      </w:r>
      <w:r>
        <w:fldChar w:fldCharType="begin"/>
      </w:r>
      <w:r>
        <w:instrText xml:space="preserve"> REF _Ref420588258 \h </w:instrText>
      </w:r>
      <w:r w:rsidR="00E065BF">
        <w:instrText xml:space="preserve"> \* MERGEFORMAT </w:instrText>
      </w:r>
      <w:r>
        <w:fldChar w:fldCharType="separate"/>
      </w:r>
      <w:r>
        <w:t xml:space="preserve">Table </w:t>
      </w:r>
      <w:r>
        <w:rPr>
          <w:noProof/>
        </w:rPr>
        <w:t>5</w:t>
      </w:r>
      <w:r>
        <w:fldChar w:fldCharType="end"/>
      </w:r>
      <w:r>
        <w:t xml:space="preserve"> below. </w:t>
      </w:r>
    </w:p>
    <w:p w14:paraId="00CF8413" w14:textId="77777777" w:rsidR="000A6897" w:rsidRDefault="000A6897" w:rsidP="000A6897">
      <w:pPr>
        <w:jc w:val="both"/>
        <w:rPr>
          <w:rFonts w:ascii="Arial Narrow" w:eastAsia="Times New Roman" w:hAnsi="Arial Narrow" w:cs="Tahoma"/>
          <w:b/>
          <w:sz w:val="20"/>
          <w:szCs w:val="20"/>
          <w:lang w:val="en-GB" w:eastAsia="ja-JP"/>
        </w:rPr>
      </w:pPr>
      <w:r>
        <w:t xml:space="preserve">The effectiveness of CNA services depends on whether it improves patient outcomes. This can be assessed by studies which directly investigate the impact of CNA on health outcomes, compared to one of the comparators (direct evidence). However, as this type of evidence is often lacking, a linked evidence approach should be used where key elements of the diagnostic-to-treatment pathway are linked. This includes evidence on diagnostic test performance (e.g. diagnostic yield), </w:t>
      </w:r>
      <w:r w:rsidR="002423B6">
        <w:t xml:space="preserve">the therapeutic </w:t>
      </w:r>
      <w:r w:rsidR="002423B6">
        <w:lastRenderedPageBreak/>
        <w:t>efficacy (change in management)</w:t>
      </w:r>
      <w:r>
        <w:t xml:space="preserve">, and the </w:t>
      </w:r>
      <w:r w:rsidR="002423B6">
        <w:t>therapeutic effectiveness (impact of change in management on health outcomes)</w:t>
      </w:r>
      <w:r>
        <w:t xml:space="preserve">. A linked evidence approach needs to be undertaken when there is no direct evidence available. </w:t>
      </w:r>
    </w:p>
    <w:p w14:paraId="340A81BA" w14:textId="77777777" w:rsidR="00C44008" w:rsidRDefault="00C44008" w:rsidP="00C44008">
      <w:pPr>
        <w:pStyle w:val="Caption"/>
      </w:pPr>
      <w:bookmarkStart w:id="6" w:name="_Ref420588258"/>
      <w:r>
        <w:t xml:space="preserve">Table </w:t>
      </w:r>
      <w:r>
        <w:fldChar w:fldCharType="begin"/>
      </w:r>
      <w:r>
        <w:instrText xml:space="preserve"> SEQ Table \* ARABIC </w:instrText>
      </w:r>
      <w:r>
        <w:fldChar w:fldCharType="separate"/>
      </w:r>
      <w:r>
        <w:rPr>
          <w:noProof/>
        </w:rPr>
        <w:t>5</w:t>
      </w:r>
      <w:r>
        <w:fldChar w:fldCharType="end"/>
      </w:r>
      <w:bookmarkEnd w:id="6"/>
      <w:r>
        <w:t xml:space="preserve"> </w:t>
      </w:r>
      <w:r w:rsidRPr="004A38BB">
        <w:t>Summary of PICO to define research question</w:t>
      </w:r>
    </w:p>
    <w:tbl>
      <w:tblPr>
        <w:tblStyle w:val="TableGrid1"/>
        <w:tblW w:w="4879" w:type="pct"/>
        <w:tblLayout w:type="fixed"/>
        <w:tblLook w:val="04A0" w:firstRow="1" w:lastRow="0" w:firstColumn="1" w:lastColumn="0" w:noHBand="0" w:noVBand="1"/>
        <w:tblCaption w:val="PICO criteria for evaluating safety, diagnostic accuracy, effectiveness, and cost effectiveness of TE for diagnosing liver fibrosis in patients with hepatitis B or C"/>
      </w:tblPr>
      <w:tblGrid>
        <w:gridCol w:w="1769"/>
        <w:gridCol w:w="1883"/>
        <w:gridCol w:w="2126"/>
        <w:gridCol w:w="3262"/>
      </w:tblGrid>
      <w:tr w:rsidR="001018F3" w:rsidRPr="00124B06" w14:paraId="75BB664F" w14:textId="77777777" w:rsidTr="00861324">
        <w:trPr>
          <w:tblHeader/>
        </w:trPr>
        <w:tc>
          <w:tcPr>
            <w:tcW w:w="978" w:type="pct"/>
            <w:tcBorders>
              <w:top w:val="single" w:sz="4" w:space="0" w:color="auto"/>
              <w:left w:val="single" w:sz="4" w:space="0" w:color="auto"/>
              <w:bottom w:val="single" w:sz="4" w:space="0" w:color="auto"/>
              <w:right w:val="single" w:sz="4" w:space="0" w:color="auto"/>
            </w:tcBorders>
          </w:tcPr>
          <w:p w14:paraId="121F9896" w14:textId="77777777" w:rsidR="001018F3" w:rsidRPr="00124B06" w:rsidRDefault="001018F3" w:rsidP="00B6156B">
            <w:pPr>
              <w:rPr>
                <w:rFonts w:ascii="Arial Narrow" w:eastAsia="SimSun" w:hAnsi="Arial Narrow" w:cs="Tahoma"/>
                <w:b/>
              </w:rPr>
            </w:pPr>
            <w:r w:rsidRPr="00124B06">
              <w:rPr>
                <w:rFonts w:ascii="Arial Narrow" w:eastAsia="SimSun" w:hAnsi="Arial Narrow" w:cs="Tahoma"/>
                <w:b/>
              </w:rPr>
              <w:t>Patients</w:t>
            </w:r>
          </w:p>
        </w:tc>
        <w:tc>
          <w:tcPr>
            <w:tcW w:w="1041" w:type="pct"/>
            <w:tcBorders>
              <w:top w:val="single" w:sz="4" w:space="0" w:color="auto"/>
              <w:left w:val="single" w:sz="4" w:space="0" w:color="auto"/>
              <w:bottom w:val="single" w:sz="4" w:space="0" w:color="auto"/>
              <w:right w:val="single" w:sz="4" w:space="0" w:color="auto"/>
            </w:tcBorders>
          </w:tcPr>
          <w:p w14:paraId="612D7391" w14:textId="77777777" w:rsidR="001018F3" w:rsidRPr="00124B06" w:rsidRDefault="001018F3" w:rsidP="00B6156B">
            <w:pPr>
              <w:rPr>
                <w:rFonts w:ascii="Arial Narrow" w:eastAsia="SimSun" w:hAnsi="Arial Narrow" w:cs="Tahoma"/>
                <w:b/>
              </w:rPr>
            </w:pPr>
            <w:r w:rsidRPr="00124B06">
              <w:rPr>
                <w:rFonts w:ascii="Arial Narrow" w:eastAsia="SimSun" w:hAnsi="Arial Narrow" w:cs="Tahoma"/>
                <w:b/>
              </w:rPr>
              <w:t>Intervention</w:t>
            </w:r>
          </w:p>
        </w:tc>
        <w:tc>
          <w:tcPr>
            <w:tcW w:w="1176" w:type="pct"/>
            <w:tcBorders>
              <w:top w:val="single" w:sz="4" w:space="0" w:color="auto"/>
              <w:left w:val="single" w:sz="4" w:space="0" w:color="auto"/>
              <w:bottom w:val="single" w:sz="4" w:space="0" w:color="auto"/>
              <w:right w:val="single" w:sz="4" w:space="0" w:color="auto"/>
            </w:tcBorders>
          </w:tcPr>
          <w:p w14:paraId="27B7654B" w14:textId="77777777" w:rsidR="001018F3" w:rsidRPr="00124B06" w:rsidRDefault="001018F3" w:rsidP="00B6156B">
            <w:pPr>
              <w:rPr>
                <w:rFonts w:ascii="Arial Narrow" w:eastAsia="SimSun" w:hAnsi="Arial Narrow" w:cs="Tahoma"/>
                <w:b/>
              </w:rPr>
            </w:pPr>
            <w:r w:rsidRPr="00124B06">
              <w:rPr>
                <w:rFonts w:ascii="Arial Narrow" w:eastAsia="SimSun" w:hAnsi="Arial Narrow" w:cs="Tahoma"/>
                <w:b/>
              </w:rPr>
              <w:t>Comparator</w:t>
            </w:r>
            <w:r>
              <w:rPr>
                <w:rFonts w:ascii="Arial Narrow" w:eastAsia="SimSun" w:hAnsi="Arial Narrow" w:cs="Tahoma"/>
                <w:b/>
              </w:rPr>
              <w:t>(s)</w:t>
            </w:r>
          </w:p>
        </w:tc>
        <w:tc>
          <w:tcPr>
            <w:tcW w:w="1804" w:type="pct"/>
            <w:tcBorders>
              <w:top w:val="single" w:sz="4" w:space="0" w:color="auto"/>
              <w:left w:val="single" w:sz="4" w:space="0" w:color="auto"/>
              <w:bottom w:val="single" w:sz="4" w:space="0" w:color="auto"/>
              <w:right w:val="single" w:sz="4" w:space="0" w:color="auto"/>
            </w:tcBorders>
          </w:tcPr>
          <w:p w14:paraId="41B5C7B6" w14:textId="77777777" w:rsidR="001018F3" w:rsidRPr="00124B06" w:rsidRDefault="001018F3" w:rsidP="00B6156B">
            <w:pPr>
              <w:rPr>
                <w:rFonts w:ascii="Arial Narrow" w:eastAsia="SimSun" w:hAnsi="Arial Narrow" w:cs="Tahoma"/>
                <w:b/>
              </w:rPr>
            </w:pPr>
            <w:r w:rsidRPr="00124B06">
              <w:rPr>
                <w:rFonts w:ascii="Arial Narrow" w:eastAsia="SimSun" w:hAnsi="Arial Narrow" w:cs="Tahoma"/>
                <w:b/>
              </w:rPr>
              <w:t>Outcomes to be assessed</w:t>
            </w:r>
          </w:p>
        </w:tc>
      </w:tr>
      <w:tr w:rsidR="001018F3" w:rsidRPr="00124B06" w14:paraId="0F9DFDBB" w14:textId="77777777" w:rsidTr="00861324">
        <w:trPr>
          <w:tblHeader/>
        </w:trPr>
        <w:tc>
          <w:tcPr>
            <w:tcW w:w="978" w:type="pct"/>
            <w:tcBorders>
              <w:top w:val="single" w:sz="4" w:space="0" w:color="auto"/>
              <w:left w:val="single" w:sz="4" w:space="0" w:color="auto"/>
              <w:bottom w:val="single" w:sz="4" w:space="0" w:color="auto"/>
              <w:right w:val="single" w:sz="4" w:space="0" w:color="auto"/>
            </w:tcBorders>
          </w:tcPr>
          <w:p w14:paraId="3150D2B2" w14:textId="77777777" w:rsidR="001018F3" w:rsidRPr="00697789" w:rsidRDefault="000A6897" w:rsidP="00C407E2">
            <w:pPr>
              <w:jc w:val="left"/>
              <w:rPr>
                <w:rFonts w:ascii="Arial Narrow" w:eastAsia="SimSun" w:hAnsi="Arial Narrow" w:cs="Tahoma"/>
              </w:rPr>
            </w:pPr>
            <w:r>
              <w:rPr>
                <w:rFonts w:ascii="Arial Narrow" w:eastAsia="SimSun" w:hAnsi="Arial Narrow" w:cs="Tahoma"/>
              </w:rPr>
              <w:t>Children or adults</w:t>
            </w:r>
            <w:r w:rsidR="001018F3" w:rsidRPr="00697789">
              <w:rPr>
                <w:rFonts w:ascii="Arial Narrow" w:eastAsia="SimSun" w:hAnsi="Arial Narrow" w:cs="Tahoma"/>
              </w:rPr>
              <w:t xml:space="preserve"> referred for </w:t>
            </w:r>
            <w:r w:rsidR="001018F3">
              <w:rPr>
                <w:rFonts w:ascii="Arial Narrow" w:eastAsia="SimSun" w:hAnsi="Arial Narrow" w:cs="Tahoma"/>
              </w:rPr>
              <w:t>neuropsychological assessment services</w:t>
            </w:r>
          </w:p>
        </w:tc>
        <w:tc>
          <w:tcPr>
            <w:tcW w:w="1041" w:type="pct"/>
            <w:tcBorders>
              <w:top w:val="single" w:sz="4" w:space="0" w:color="auto"/>
              <w:left w:val="single" w:sz="4" w:space="0" w:color="auto"/>
              <w:bottom w:val="single" w:sz="4" w:space="0" w:color="auto"/>
              <w:right w:val="single" w:sz="4" w:space="0" w:color="auto"/>
            </w:tcBorders>
          </w:tcPr>
          <w:p w14:paraId="04AFC305" w14:textId="77777777" w:rsidR="001018F3" w:rsidRDefault="001018F3" w:rsidP="00C407E2">
            <w:pPr>
              <w:jc w:val="left"/>
              <w:rPr>
                <w:rFonts w:ascii="Arial Narrow" w:eastAsia="SimSun" w:hAnsi="Arial Narrow" w:cs="Tahoma"/>
              </w:rPr>
            </w:pPr>
            <w:r>
              <w:rPr>
                <w:rFonts w:ascii="Arial Narrow" w:eastAsia="SimSun" w:hAnsi="Arial Narrow" w:cs="Tahoma"/>
              </w:rPr>
              <w:t>Clinical Neuropsychological Assessment services</w:t>
            </w:r>
            <w:r w:rsidR="00973F46">
              <w:rPr>
                <w:rFonts w:ascii="Arial Narrow" w:eastAsia="SimSun" w:hAnsi="Arial Narrow" w:cs="Tahoma"/>
              </w:rPr>
              <w:t xml:space="preserve"> by a neuropsychologist</w:t>
            </w:r>
          </w:p>
          <w:p w14:paraId="65D94DD0" w14:textId="77777777" w:rsidR="001018F3" w:rsidRDefault="001018F3" w:rsidP="00C407E2">
            <w:pPr>
              <w:pStyle w:val="ListParagraph"/>
              <w:numPr>
                <w:ilvl w:val="0"/>
                <w:numId w:val="13"/>
              </w:numPr>
              <w:rPr>
                <w:rFonts w:ascii="Arial Narrow" w:eastAsia="SimSun" w:hAnsi="Arial Narrow" w:cs="Tahoma"/>
              </w:rPr>
            </w:pPr>
            <w:r>
              <w:rPr>
                <w:rFonts w:ascii="Arial Narrow" w:eastAsia="SimSun" w:hAnsi="Arial Narrow" w:cs="Tahoma"/>
              </w:rPr>
              <w:t>Assessment</w:t>
            </w:r>
          </w:p>
          <w:p w14:paraId="5C8B0AD7" w14:textId="77777777" w:rsidR="001018F3" w:rsidRDefault="001018F3" w:rsidP="00C407E2">
            <w:pPr>
              <w:pStyle w:val="ListParagraph"/>
              <w:numPr>
                <w:ilvl w:val="0"/>
                <w:numId w:val="13"/>
              </w:numPr>
              <w:rPr>
                <w:rFonts w:ascii="Arial Narrow" w:eastAsia="SimSun" w:hAnsi="Arial Narrow" w:cs="Tahoma"/>
              </w:rPr>
            </w:pPr>
            <w:r>
              <w:rPr>
                <w:rFonts w:ascii="Arial Narrow" w:eastAsia="SimSun" w:hAnsi="Arial Narrow" w:cs="Tahoma"/>
              </w:rPr>
              <w:t>Feedback</w:t>
            </w:r>
          </w:p>
          <w:p w14:paraId="5D2BB19F" w14:textId="77777777" w:rsidR="001018F3" w:rsidRPr="0006351E" w:rsidRDefault="001018F3" w:rsidP="00C407E2">
            <w:pPr>
              <w:pStyle w:val="ListParagraph"/>
              <w:numPr>
                <w:ilvl w:val="0"/>
                <w:numId w:val="13"/>
              </w:numPr>
              <w:rPr>
                <w:rFonts w:ascii="Arial Narrow" w:eastAsia="SimSun" w:hAnsi="Arial Narrow" w:cs="Tahoma"/>
              </w:rPr>
            </w:pPr>
            <w:r>
              <w:rPr>
                <w:rFonts w:ascii="Arial Narrow" w:eastAsia="SimSun" w:hAnsi="Arial Narrow" w:cs="Tahoma"/>
              </w:rPr>
              <w:t>Review</w:t>
            </w:r>
          </w:p>
        </w:tc>
        <w:tc>
          <w:tcPr>
            <w:tcW w:w="1176" w:type="pct"/>
            <w:tcBorders>
              <w:top w:val="single" w:sz="4" w:space="0" w:color="auto"/>
              <w:left w:val="single" w:sz="4" w:space="0" w:color="auto"/>
              <w:bottom w:val="single" w:sz="4" w:space="0" w:color="auto"/>
              <w:right w:val="single" w:sz="4" w:space="0" w:color="auto"/>
            </w:tcBorders>
          </w:tcPr>
          <w:p w14:paraId="704A0098" w14:textId="77777777" w:rsidR="001018F3" w:rsidRDefault="000A6897" w:rsidP="00D13F42">
            <w:pPr>
              <w:ind w:left="-66"/>
              <w:rPr>
                <w:rFonts w:ascii="Arial Narrow" w:eastAsia="SimSun" w:hAnsi="Arial Narrow" w:cs="Tahoma"/>
              </w:rPr>
            </w:pPr>
            <w:r>
              <w:rPr>
                <w:rFonts w:ascii="Arial Narrow" w:eastAsia="SimSun" w:hAnsi="Arial Narrow" w:cs="Tahoma"/>
              </w:rPr>
              <w:t>CNA paid for out-of-pocket</w:t>
            </w:r>
          </w:p>
          <w:p w14:paraId="6205AD45" w14:textId="77777777" w:rsidR="000A6897" w:rsidRPr="00D13F42" w:rsidRDefault="000A6897" w:rsidP="00D13F42">
            <w:pPr>
              <w:ind w:left="-66"/>
              <w:rPr>
                <w:rFonts w:ascii="Arial Narrow" w:eastAsia="SimSun" w:hAnsi="Arial Narrow" w:cs="Tahoma"/>
                <w:b/>
              </w:rPr>
            </w:pPr>
          </w:p>
          <w:p w14:paraId="0ED51932" w14:textId="77777777" w:rsidR="001018F3" w:rsidDel="00835320" w:rsidRDefault="001018F3" w:rsidP="00D13F42">
            <w:pPr>
              <w:pStyle w:val="ListParagraph"/>
              <w:ind w:left="294"/>
              <w:rPr>
                <w:rFonts w:ascii="Arial Narrow" w:eastAsia="SimSun" w:hAnsi="Arial Narrow" w:cs="Tahoma"/>
              </w:rPr>
            </w:pPr>
          </w:p>
        </w:tc>
        <w:tc>
          <w:tcPr>
            <w:tcW w:w="1804" w:type="pct"/>
            <w:tcBorders>
              <w:top w:val="single" w:sz="4" w:space="0" w:color="auto"/>
              <w:left w:val="single" w:sz="4" w:space="0" w:color="auto"/>
              <w:bottom w:val="single" w:sz="4" w:space="0" w:color="auto"/>
              <w:right w:val="single" w:sz="4" w:space="0" w:color="auto"/>
            </w:tcBorders>
          </w:tcPr>
          <w:p w14:paraId="20344093" w14:textId="77777777" w:rsidR="001018F3" w:rsidRDefault="001018F3" w:rsidP="00B6156B">
            <w:pPr>
              <w:rPr>
                <w:rFonts w:ascii="Arial Narrow" w:eastAsia="SimSun" w:hAnsi="Arial Narrow" w:cs="Tahoma"/>
                <w:b/>
              </w:rPr>
            </w:pPr>
            <w:r>
              <w:rPr>
                <w:rFonts w:ascii="Arial Narrow" w:eastAsia="SimSun" w:hAnsi="Arial Narrow" w:cs="Tahoma"/>
                <w:b/>
              </w:rPr>
              <w:t>Financial impact</w:t>
            </w:r>
          </w:p>
        </w:tc>
      </w:tr>
      <w:tr w:rsidR="000A6897" w:rsidRPr="00124B06" w14:paraId="5514B3C7" w14:textId="77777777" w:rsidTr="00861324">
        <w:trPr>
          <w:tblHeader/>
        </w:trPr>
        <w:tc>
          <w:tcPr>
            <w:tcW w:w="978" w:type="pct"/>
            <w:tcBorders>
              <w:top w:val="single" w:sz="4" w:space="0" w:color="auto"/>
              <w:left w:val="single" w:sz="4" w:space="0" w:color="auto"/>
              <w:bottom w:val="single" w:sz="4" w:space="0" w:color="auto"/>
              <w:right w:val="single" w:sz="4" w:space="0" w:color="auto"/>
            </w:tcBorders>
          </w:tcPr>
          <w:p w14:paraId="3B1B967F" w14:textId="77777777" w:rsidR="000A6897" w:rsidRPr="00697789" w:rsidRDefault="0077222D" w:rsidP="00264E39">
            <w:pPr>
              <w:rPr>
                <w:rFonts w:ascii="Arial Narrow" w:eastAsia="SimSun" w:hAnsi="Arial Narrow" w:cs="Tahoma"/>
              </w:rPr>
            </w:pPr>
            <w:r>
              <w:rPr>
                <w:rFonts w:ascii="Arial Narrow" w:eastAsia="SimSun" w:hAnsi="Arial Narrow" w:cs="Tahoma"/>
              </w:rPr>
              <w:t>Adults</w:t>
            </w:r>
            <w:r w:rsidR="000A6897" w:rsidRPr="00697789">
              <w:rPr>
                <w:rFonts w:ascii="Arial Narrow" w:eastAsia="SimSun" w:hAnsi="Arial Narrow" w:cs="Tahoma"/>
              </w:rPr>
              <w:t xml:space="preserve"> referred for </w:t>
            </w:r>
            <w:r w:rsidR="000A6897">
              <w:rPr>
                <w:rFonts w:ascii="Arial Narrow" w:eastAsia="SimSun" w:hAnsi="Arial Narrow" w:cs="Tahoma"/>
              </w:rPr>
              <w:t>neuropsychological assessment services</w:t>
            </w:r>
          </w:p>
        </w:tc>
        <w:tc>
          <w:tcPr>
            <w:tcW w:w="1041" w:type="pct"/>
            <w:tcBorders>
              <w:top w:val="single" w:sz="4" w:space="0" w:color="auto"/>
              <w:left w:val="single" w:sz="4" w:space="0" w:color="auto"/>
              <w:bottom w:val="single" w:sz="4" w:space="0" w:color="auto"/>
              <w:right w:val="single" w:sz="4" w:space="0" w:color="auto"/>
            </w:tcBorders>
          </w:tcPr>
          <w:p w14:paraId="2C695C61" w14:textId="77777777" w:rsidR="000A6897" w:rsidRDefault="000A6897" w:rsidP="00C407E2">
            <w:pPr>
              <w:jc w:val="left"/>
              <w:rPr>
                <w:rFonts w:ascii="Arial Narrow" w:eastAsia="SimSun" w:hAnsi="Arial Narrow" w:cs="Tahoma"/>
              </w:rPr>
            </w:pPr>
            <w:r>
              <w:rPr>
                <w:rFonts w:ascii="Arial Narrow" w:eastAsia="SimSun" w:hAnsi="Arial Narrow" w:cs="Tahoma"/>
              </w:rPr>
              <w:t>Clinical Neuropsychological Assessment services by a neuropsychologist</w:t>
            </w:r>
          </w:p>
          <w:p w14:paraId="6109D1B3" w14:textId="77777777" w:rsidR="000A6897" w:rsidRDefault="000A6897" w:rsidP="00C407E2">
            <w:pPr>
              <w:pStyle w:val="ListParagraph"/>
              <w:numPr>
                <w:ilvl w:val="0"/>
                <w:numId w:val="13"/>
              </w:numPr>
              <w:rPr>
                <w:rFonts w:ascii="Arial Narrow" w:eastAsia="SimSun" w:hAnsi="Arial Narrow" w:cs="Tahoma"/>
              </w:rPr>
            </w:pPr>
            <w:r>
              <w:rPr>
                <w:rFonts w:ascii="Arial Narrow" w:eastAsia="SimSun" w:hAnsi="Arial Narrow" w:cs="Tahoma"/>
              </w:rPr>
              <w:t>Assessment</w:t>
            </w:r>
          </w:p>
          <w:p w14:paraId="50BE9F69" w14:textId="77777777" w:rsidR="000A6897" w:rsidRDefault="000A6897" w:rsidP="00C407E2">
            <w:pPr>
              <w:pStyle w:val="ListParagraph"/>
              <w:numPr>
                <w:ilvl w:val="0"/>
                <w:numId w:val="13"/>
              </w:numPr>
              <w:rPr>
                <w:rFonts w:ascii="Arial Narrow" w:eastAsia="SimSun" w:hAnsi="Arial Narrow" w:cs="Tahoma"/>
              </w:rPr>
            </w:pPr>
            <w:r>
              <w:rPr>
                <w:rFonts w:ascii="Arial Narrow" w:eastAsia="SimSun" w:hAnsi="Arial Narrow" w:cs="Tahoma"/>
              </w:rPr>
              <w:t>Feedback</w:t>
            </w:r>
          </w:p>
          <w:p w14:paraId="3BF661C0" w14:textId="77777777" w:rsidR="000A6897" w:rsidRPr="0006351E" w:rsidRDefault="000A6897" w:rsidP="00C407E2">
            <w:pPr>
              <w:pStyle w:val="ListParagraph"/>
              <w:numPr>
                <w:ilvl w:val="0"/>
                <w:numId w:val="13"/>
              </w:numPr>
              <w:rPr>
                <w:rFonts w:ascii="Arial Narrow" w:eastAsia="SimSun" w:hAnsi="Arial Narrow" w:cs="Tahoma"/>
              </w:rPr>
            </w:pPr>
            <w:r>
              <w:rPr>
                <w:rFonts w:ascii="Arial Narrow" w:eastAsia="SimSun" w:hAnsi="Arial Narrow" w:cs="Tahoma"/>
              </w:rPr>
              <w:t>Review</w:t>
            </w:r>
          </w:p>
        </w:tc>
        <w:tc>
          <w:tcPr>
            <w:tcW w:w="1176" w:type="pct"/>
            <w:tcBorders>
              <w:top w:val="single" w:sz="4" w:space="0" w:color="auto"/>
              <w:left w:val="single" w:sz="4" w:space="0" w:color="auto"/>
              <w:bottom w:val="single" w:sz="4" w:space="0" w:color="auto"/>
              <w:right w:val="single" w:sz="4" w:space="0" w:color="auto"/>
            </w:tcBorders>
          </w:tcPr>
          <w:p w14:paraId="7610DE16" w14:textId="77777777" w:rsidR="0077222D" w:rsidRPr="00D13F42" w:rsidRDefault="0077222D" w:rsidP="00F26322">
            <w:pPr>
              <w:ind w:left="-66"/>
              <w:rPr>
                <w:rFonts w:ascii="Arial Narrow" w:eastAsia="SimSun" w:hAnsi="Arial Narrow" w:cs="Tahoma"/>
                <w:b/>
              </w:rPr>
            </w:pPr>
            <w:r w:rsidRPr="00D13F42">
              <w:rPr>
                <w:rFonts w:ascii="Arial Narrow" w:eastAsia="SimSun" w:hAnsi="Arial Narrow" w:cs="Tahoma"/>
              </w:rPr>
              <w:t>Limited cognitive / behavioural assessment through other specialties</w:t>
            </w:r>
          </w:p>
          <w:p w14:paraId="0024DBF2" w14:textId="77777777" w:rsidR="000A6897" w:rsidRPr="00C407E2" w:rsidRDefault="0077222D" w:rsidP="00C407E2">
            <w:pPr>
              <w:ind w:left="-66"/>
              <w:rPr>
                <w:rFonts w:ascii="Arial Narrow" w:eastAsia="SimSun" w:hAnsi="Arial Narrow"/>
              </w:rPr>
            </w:pPr>
            <w:r w:rsidRPr="00D13F42">
              <w:rPr>
                <w:rFonts w:ascii="Arial Narrow" w:eastAsia="SimSun" w:hAnsi="Arial Narrow" w:cs="Tahoma"/>
              </w:rPr>
              <w:t>No CNA (and symptom guided management)</w:t>
            </w:r>
          </w:p>
        </w:tc>
        <w:tc>
          <w:tcPr>
            <w:tcW w:w="1804" w:type="pct"/>
            <w:tcBorders>
              <w:top w:val="single" w:sz="4" w:space="0" w:color="auto"/>
              <w:left w:val="single" w:sz="4" w:space="0" w:color="auto"/>
              <w:bottom w:val="single" w:sz="4" w:space="0" w:color="auto"/>
              <w:right w:val="single" w:sz="4" w:space="0" w:color="auto"/>
            </w:tcBorders>
          </w:tcPr>
          <w:p w14:paraId="21168066" w14:textId="77777777" w:rsidR="000A6897" w:rsidRDefault="000A6897" w:rsidP="00C407E2">
            <w:pPr>
              <w:jc w:val="left"/>
              <w:rPr>
                <w:rFonts w:ascii="Arial Narrow" w:eastAsia="SimSun" w:hAnsi="Arial Narrow" w:cs="Tahoma"/>
                <w:b/>
              </w:rPr>
            </w:pPr>
            <w:r>
              <w:rPr>
                <w:rFonts w:ascii="Arial Narrow" w:eastAsia="SimSun" w:hAnsi="Arial Narrow" w:cs="Tahoma"/>
                <w:b/>
              </w:rPr>
              <w:t>Safety:</w:t>
            </w:r>
          </w:p>
          <w:p w14:paraId="77488658" w14:textId="77777777" w:rsidR="000A6897" w:rsidRPr="004C521A" w:rsidRDefault="000A6897" w:rsidP="00C407E2">
            <w:pPr>
              <w:pStyle w:val="ListParagraph"/>
              <w:numPr>
                <w:ilvl w:val="0"/>
                <w:numId w:val="20"/>
              </w:numPr>
              <w:ind w:left="468"/>
              <w:jc w:val="left"/>
              <w:rPr>
                <w:rFonts w:ascii="Arial Narrow" w:eastAsia="SimSun" w:hAnsi="Arial Narrow" w:cs="Tahoma"/>
                <w:b/>
              </w:rPr>
            </w:pPr>
            <w:r>
              <w:rPr>
                <w:rFonts w:ascii="Arial Narrow" w:eastAsia="SimSun" w:hAnsi="Arial Narrow" w:cs="Tahoma"/>
              </w:rPr>
              <w:t>Psychological harms from CNA / no CNA (e.g. stress, anxiety, worrying)</w:t>
            </w:r>
          </w:p>
          <w:p w14:paraId="3456DC86" w14:textId="77777777" w:rsidR="000A6897" w:rsidRDefault="000A6897" w:rsidP="00C407E2">
            <w:pPr>
              <w:jc w:val="left"/>
              <w:rPr>
                <w:rFonts w:ascii="Arial Narrow" w:eastAsia="SimSun" w:hAnsi="Arial Narrow" w:cs="Tahoma"/>
                <w:b/>
              </w:rPr>
            </w:pPr>
            <w:r>
              <w:rPr>
                <w:rFonts w:ascii="Arial Narrow" w:eastAsia="SimSun" w:hAnsi="Arial Narrow" w:cs="Tahoma"/>
                <w:b/>
              </w:rPr>
              <w:t xml:space="preserve">Effectiveness: </w:t>
            </w:r>
          </w:p>
          <w:p w14:paraId="0356D295" w14:textId="77777777" w:rsidR="000A6897" w:rsidRPr="00D13F42" w:rsidRDefault="00E90859" w:rsidP="000A6897">
            <w:pPr>
              <w:jc w:val="left"/>
              <w:rPr>
                <w:rFonts w:ascii="Arial Narrow" w:eastAsia="SimSun" w:hAnsi="Arial Narrow" w:cs="Tahoma"/>
                <w:b/>
              </w:rPr>
            </w:pPr>
            <w:r>
              <w:rPr>
                <w:rFonts w:ascii="Arial Narrow" w:eastAsia="SimSun" w:hAnsi="Arial Narrow" w:cs="Tahoma"/>
              </w:rPr>
              <w:t xml:space="preserve">Direct evidence / </w:t>
            </w:r>
            <w:r w:rsidR="002423B6">
              <w:rPr>
                <w:rFonts w:ascii="Arial Narrow" w:eastAsia="SimSun" w:hAnsi="Arial Narrow" w:cs="Tahoma"/>
              </w:rPr>
              <w:t>therapeutic effectiveness</w:t>
            </w:r>
          </w:p>
          <w:p w14:paraId="34D93FB3" w14:textId="77777777" w:rsidR="000A6897" w:rsidRPr="00D93513" w:rsidRDefault="000A6897" w:rsidP="00C407E2">
            <w:pPr>
              <w:pStyle w:val="ListParagraph"/>
              <w:numPr>
                <w:ilvl w:val="0"/>
                <w:numId w:val="18"/>
              </w:numPr>
              <w:ind w:left="468"/>
              <w:jc w:val="left"/>
              <w:rPr>
                <w:rFonts w:ascii="Arial Narrow" w:eastAsia="SimSun" w:hAnsi="Arial Narrow" w:cs="Tahoma"/>
              </w:rPr>
            </w:pPr>
            <w:r w:rsidRPr="00D93513">
              <w:rPr>
                <w:rFonts w:ascii="Arial Narrow" w:eastAsia="SimSun" w:hAnsi="Arial Narrow" w:cs="Tahoma"/>
              </w:rPr>
              <w:t>Mortality</w:t>
            </w:r>
          </w:p>
          <w:p w14:paraId="0D6D77E5" w14:textId="77777777" w:rsidR="000A6897" w:rsidRPr="00D93513" w:rsidRDefault="000A6897" w:rsidP="00C407E2">
            <w:pPr>
              <w:pStyle w:val="ListParagraph"/>
              <w:numPr>
                <w:ilvl w:val="0"/>
                <w:numId w:val="18"/>
              </w:numPr>
              <w:ind w:left="468"/>
              <w:jc w:val="left"/>
              <w:rPr>
                <w:rFonts w:ascii="Arial Narrow" w:eastAsia="SimSun" w:hAnsi="Arial Narrow" w:cs="Tahoma"/>
              </w:rPr>
            </w:pPr>
            <w:r w:rsidRPr="00D93513">
              <w:rPr>
                <w:rFonts w:ascii="Arial Narrow" w:eastAsia="SimSun" w:hAnsi="Arial Narrow" w:cs="Tahoma"/>
              </w:rPr>
              <w:t>Quality of Life</w:t>
            </w:r>
          </w:p>
          <w:p w14:paraId="3B9D32B5" w14:textId="77777777" w:rsidR="000A6897" w:rsidRDefault="000A6897" w:rsidP="00C407E2">
            <w:pPr>
              <w:pStyle w:val="ListParagraph"/>
              <w:numPr>
                <w:ilvl w:val="0"/>
                <w:numId w:val="18"/>
              </w:numPr>
              <w:ind w:left="468"/>
              <w:jc w:val="left"/>
              <w:rPr>
                <w:rFonts w:ascii="Arial Narrow" w:eastAsia="SimSun" w:hAnsi="Arial Narrow" w:cs="Tahoma"/>
              </w:rPr>
            </w:pPr>
            <w:r w:rsidRPr="00D93513">
              <w:rPr>
                <w:rFonts w:ascii="Arial Narrow" w:eastAsia="SimSun" w:hAnsi="Arial Narrow" w:cs="Tahoma"/>
              </w:rPr>
              <w:t>Psychological health</w:t>
            </w:r>
          </w:p>
          <w:p w14:paraId="18AF0B2B" w14:textId="77777777" w:rsidR="00D665F1" w:rsidRPr="00D93513" w:rsidRDefault="00D665F1" w:rsidP="000A6897">
            <w:pPr>
              <w:pStyle w:val="ListParagraph"/>
              <w:numPr>
                <w:ilvl w:val="0"/>
                <w:numId w:val="18"/>
              </w:numPr>
              <w:ind w:left="468"/>
              <w:jc w:val="left"/>
              <w:rPr>
                <w:rFonts w:ascii="Arial Narrow" w:eastAsia="SimSun" w:hAnsi="Arial Narrow" w:cs="Tahoma"/>
              </w:rPr>
            </w:pPr>
            <w:r>
              <w:rPr>
                <w:rFonts w:ascii="Arial Narrow" w:eastAsia="SimSun" w:hAnsi="Arial Narrow" w:cs="Tahoma"/>
              </w:rPr>
              <w:t>Functioning</w:t>
            </w:r>
          </w:p>
          <w:p w14:paraId="0E4C3A0E" w14:textId="77777777" w:rsidR="000A6897" w:rsidRDefault="00E90859" w:rsidP="00E90859">
            <w:pPr>
              <w:jc w:val="left"/>
              <w:rPr>
                <w:rFonts w:ascii="Arial Narrow" w:eastAsia="SimSun" w:hAnsi="Arial Narrow" w:cs="Tahoma"/>
              </w:rPr>
            </w:pPr>
            <w:r>
              <w:rPr>
                <w:rFonts w:ascii="Arial Narrow" w:eastAsia="SimSun" w:hAnsi="Arial Narrow" w:cs="Tahoma"/>
              </w:rPr>
              <w:t>Diagnostic accuracy</w:t>
            </w:r>
          </w:p>
          <w:p w14:paraId="1D5BDEDD" w14:textId="77777777" w:rsidR="00E90859" w:rsidRDefault="00E90859" w:rsidP="00E90859">
            <w:pPr>
              <w:pStyle w:val="ListParagraph"/>
              <w:numPr>
                <w:ilvl w:val="0"/>
                <w:numId w:val="23"/>
              </w:numPr>
              <w:ind w:left="468"/>
              <w:rPr>
                <w:rFonts w:ascii="Arial Narrow" w:eastAsia="SimSun" w:hAnsi="Arial Narrow" w:cs="Tahoma"/>
              </w:rPr>
            </w:pPr>
            <w:r>
              <w:rPr>
                <w:rFonts w:ascii="Arial Narrow" w:eastAsia="SimSun" w:hAnsi="Arial Narrow" w:cs="Tahoma"/>
              </w:rPr>
              <w:t>Diagnostic yield</w:t>
            </w:r>
          </w:p>
          <w:p w14:paraId="68818B77" w14:textId="77777777" w:rsidR="0077222D" w:rsidRPr="00E90859" w:rsidRDefault="0077222D" w:rsidP="00E90859">
            <w:pPr>
              <w:pStyle w:val="ListParagraph"/>
              <w:numPr>
                <w:ilvl w:val="0"/>
                <w:numId w:val="23"/>
              </w:numPr>
              <w:ind w:left="468"/>
              <w:rPr>
                <w:rFonts w:ascii="Arial Narrow" w:eastAsia="SimSun" w:hAnsi="Arial Narrow" w:cs="Tahoma"/>
              </w:rPr>
            </w:pPr>
            <w:r>
              <w:rPr>
                <w:rFonts w:ascii="Arial Narrow" w:eastAsia="SimSun" w:hAnsi="Arial Narrow" w:cs="Tahoma"/>
              </w:rPr>
              <w:t>Concordance analysis</w:t>
            </w:r>
          </w:p>
          <w:p w14:paraId="4CD04380" w14:textId="77777777" w:rsidR="00E90859" w:rsidRDefault="0077222D" w:rsidP="00E90859">
            <w:pPr>
              <w:jc w:val="left"/>
              <w:rPr>
                <w:rFonts w:ascii="Arial Narrow" w:eastAsia="SimSun" w:hAnsi="Arial Narrow" w:cs="Tahoma"/>
              </w:rPr>
            </w:pPr>
            <w:r>
              <w:rPr>
                <w:rFonts w:ascii="Arial Narrow" w:eastAsia="SimSun" w:hAnsi="Arial Narrow" w:cs="Tahoma"/>
              </w:rPr>
              <w:t>Therapeutic efficacy</w:t>
            </w:r>
          </w:p>
          <w:p w14:paraId="6CBA5539" w14:textId="77777777" w:rsidR="00E90859" w:rsidRPr="00E90859" w:rsidRDefault="00E90859" w:rsidP="00C407E2">
            <w:pPr>
              <w:pStyle w:val="ListParagraph"/>
              <w:numPr>
                <w:ilvl w:val="0"/>
                <w:numId w:val="19"/>
              </w:numPr>
              <w:ind w:left="468"/>
              <w:jc w:val="left"/>
              <w:rPr>
                <w:rFonts w:ascii="Arial Narrow" w:eastAsia="SimSun" w:hAnsi="Arial Narrow" w:cs="Tahoma"/>
              </w:rPr>
            </w:pPr>
            <w:r>
              <w:rPr>
                <w:rFonts w:ascii="Arial Narrow" w:eastAsia="SimSun" w:hAnsi="Arial Narrow" w:cs="Tahoma"/>
              </w:rPr>
              <w:t>Any management changes due to CNA</w:t>
            </w:r>
          </w:p>
          <w:p w14:paraId="43644FBD" w14:textId="77777777" w:rsidR="000A6897" w:rsidRPr="00D93513" w:rsidRDefault="000A6897" w:rsidP="00C407E2">
            <w:pPr>
              <w:pStyle w:val="ListParagraph"/>
              <w:numPr>
                <w:ilvl w:val="0"/>
                <w:numId w:val="17"/>
              </w:numPr>
              <w:ind w:left="468"/>
              <w:jc w:val="left"/>
              <w:rPr>
                <w:rFonts w:ascii="Arial Narrow" w:eastAsia="SimSun" w:hAnsi="Arial Narrow" w:cs="Tahoma"/>
              </w:rPr>
            </w:pPr>
            <w:r w:rsidRPr="00D93513">
              <w:rPr>
                <w:rFonts w:ascii="Arial Narrow" w:eastAsia="SimSun" w:hAnsi="Arial Narrow" w:cs="Tahoma"/>
              </w:rPr>
              <w:t>Avoidance of inappropriate treatment</w:t>
            </w:r>
            <w:r w:rsidR="00E90859">
              <w:rPr>
                <w:rFonts w:ascii="Arial Narrow" w:eastAsia="SimSun" w:hAnsi="Arial Narrow" w:cs="Tahoma"/>
              </w:rPr>
              <w:t xml:space="preserve"> / investigations</w:t>
            </w:r>
          </w:p>
          <w:p w14:paraId="7A53CC04" w14:textId="77777777" w:rsidR="000A6897" w:rsidRPr="00D93513" w:rsidRDefault="000A6897" w:rsidP="00C407E2">
            <w:pPr>
              <w:pStyle w:val="ListParagraph"/>
              <w:numPr>
                <w:ilvl w:val="0"/>
                <w:numId w:val="17"/>
              </w:numPr>
              <w:ind w:left="468"/>
              <w:jc w:val="left"/>
              <w:rPr>
                <w:rFonts w:ascii="Arial Narrow" w:eastAsia="SimSun" w:hAnsi="Arial Narrow" w:cs="Tahoma"/>
              </w:rPr>
            </w:pPr>
            <w:r w:rsidRPr="00D93513">
              <w:rPr>
                <w:rFonts w:ascii="Arial Narrow" w:eastAsia="SimSun" w:hAnsi="Arial Narrow" w:cs="Tahoma"/>
              </w:rPr>
              <w:t xml:space="preserve">Treatment delay </w:t>
            </w:r>
          </w:p>
          <w:p w14:paraId="7BC6A4CB" w14:textId="77777777" w:rsidR="000A6897" w:rsidRPr="00D93513" w:rsidRDefault="000A6897" w:rsidP="00C407E2">
            <w:pPr>
              <w:pStyle w:val="ListParagraph"/>
              <w:numPr>
                <w:ilvl w:val="0"/>
                <w:numId w:val="17"/>
              </w:numPr>
              <w:ind w:left="468"/>
              <w:jc w:val="left"/>
              <w:rPr>
                <w:rFonts w:ascii="Arial Narrow" w:eastAsia="SimSun" w:hAnsi="Arial Narrow" w:cs="Tahoma"/>
              </w:rPr>
            </w:pPr>
            <w:r w:rsidRPr="00D93513">
              <w:rPr>
                <w:rFonts w:ascii="Arial Narrow" w:eastAsia="SimSun" w:hAnsi="Arial Narrow" w:cs="Tahoma"/>
              </w:rPr>
              <w:t>Length of hospital stays</w:t>
            </w:r>
          </w:p>
          <w:p w14:paraId="0EACFCF4" w14:textId="77777777" w:rsidR="000A6897" w:rsidRDefault="000A6897" w:rsidP="00C407E2">
            <w:pPr>
              <w:jc w:val="left"/>
              <w:rPr>
                <w:rFonts w:ascii="Arial Narrow" w:eastAsia="SimSun" w:hAnsi="Arial Narrow" w:cs="Tahoma"/>
                <w:b/>
              </w:rPr>
            </w:pPr>
            <w:r>
              <w:rPr>
                <w:rFonts w:ascii="Arial Narrow" w:eastAsia="SimSun" w:hAnsi="Arial Narrow" w:cs="Tahoma"/>
                <w:b/>
              </w:rPr>
              <w:t>Cost-effectiveness:</w:t>
            </w:r>
          </w:p>
          <w:p w14:paraId="1D70E433" w14:textId="77777777" w:rsidR="000A6897" w:rsidRPr="004C521A" w:rsidRDefault="000A6897" w:rsidP="00C407E2">
            <w:pPr>
              <w:pStyle w:val="ListParagraph"/>
              <w:numPr>
                <w:ilvl w:val="0"/>
                <w:numId w:val="16"/>
              </w:numPr>
              <w:ind w:left="468"/>
              <w:jc w:val="left"/>
              <w:rPr>
                <w:rFonts w:ascii="Arial Narrow" w:eastAsia="SimSun" w:hAnsi="Arial Narrow" w:cs="Tahoma"/>
              </w:rPr>
            </w:pPr>
            <w:r>
              <w:rPr>
                <w:rFonts w:ascii="Arial Narrow" w:eastAsia="SimSun" w:hAnsi="Arial Narrow" w:cs="Tahoma"/>
              </w:rPr>
              <w:t>Costs</w:t>
            </w:r>
          </w:p>
          <w:p w14:paraId="0EEF3DEA" w14:textId="77777777" w:rsidR="000A6897" w:rsidRPr="004C521A" w:rsidRDefault="000A6897" w:rsidP="00C407E2">
            <w:pPr>
              <w:pStyle w:val="ListParagraph"/>
              <w:numPr>
                <w:ilvl w:val="0"/>
                <w:numId w:val="16"/>
              </w:numPr>
              <w:ind w:left="468"/>
              <w:jc w:val="left"/>
              <w:rPr>
                <w:rFonts w:ascii="Arial Narrow" w:eastAsia="SimSun" w:hAnsi="Arial Narrow" w:cs="Tahoma"/>
              </w:rPr>
            </w:pPr>
            <w:r>
              <w:rPr>
                <w:rFonts w:ascii="Arial Narrow" w:eastAsia="SimSun" w:hAnsi="Arial Narrow" w:cs="Tahoma"/>
              </w:rPr>
              <w:t>Costs per quality adjusted life year</w:t>
            </w:r>
          </w:p>
          <w:p w14:paraId="0B26F521" w14:textId="77777777" w:rsidR="000A6897" w:rsidRPr="00075FAF" w:rsidRDefault="000A6897" w:rsidP="00C407E2">
            <w:pPr>
              <w:pStyle w:val="ListParagraph"/>
              <w:numPr>
                <w:ilvl w:val="0"/>
                <w:numId w:val="16"/>
              </w:numPr>
              <w:ind w:left="468"/>
              <w:jc w:val="left"/>
              <w:rPr>
                <w:rFonts w:ascii="Arial Narrow" w:eastAsia="SimSun" w:hAnsi="Arial Narrow" w:cs="Tahoma"/>
                <w:b/>
              </w:rPr>
            </w:pPr>
            <w:r>
              <w:rPr>
                <w:rFonts w:ascii="Arial Narrow" w:eastAsia="SimSun" w:hAnsi="Arial Narrow" w:cs="Tahoma"/>
              </w:rPr>
              <w:t>Costs per disability adjusted life year</w:t>
            </w:r>
          </w:p>
          <w:p w14:paraId="7096B286" w14:textId="77777777" w:rsidR="000A6897" w:rsidRPr="00D13F42" w:rsidRDefault="000A6897" w:rsidP="00F26322">
            <w:pPr>
              <w:rPr>
                <w:rFonts w:ascii="Arial Narrow" w:eastAsia="SimSun" w:hAnsi="Arial Narrow" w:cs="Tahoma"/>
                <w:b/>
              </w:rPr>
            </w:pPr>
            <w:r w:rsidRPr="00D13F42">
              <w:rPr>
                <w:rFonts w:ascii="Arial Narrow" w:eastAsia="SimSun" w:hAnsi="Arial Narrow" w:cs="Tahoma"/>
                <w:b/>
              </w:rPr>
              <w:t>Financial impact:</w:t>
            </w:r>
          </w:p>
          <w:p w14:paraId="604BC014" w14:textId="77777777" w:rsidR="000A6897" w:rsidRPr="00C407E2" w:rsidRDefault="000A6897" w:rsidP="00C407E2">
            <w:pPr>
              <w:pStyle w:val="ListParagraph"/>
              <w:numPr>
                <w:ilvl w:val="0"/>
                <w:numId w:val="21"/>
              </w:numPr>
              <w:ind w:left="468"/>
              <w:jc w:val="left"/>
              <w:rPr>
                <w:rFonts w:ascii="Arial Narrow" w:eastAsia="SimSun" w:hAnsi="Arial Narrow"/>
                <w:b/>
              </w:rPr>
            </w:pPr>
            <w:r w:rsidRPr="000A6897">
              <w:rPr>
                <w:rFonts w:ascii="Arial Narrow" w:eastAsia="SimSun" w:hAnsi="Arial Narrow" w:cs="Tahoma"/>
              </w:rPr>
              <w:t>Uptake of test by patients waiting in public system or otherwise not receiving CNA</w:t>
            </w:r>
          </w:p>
        </w:tc>
      </w:tr>
    </w:tbl>
    <w:p w14:paraId="1641C471" w14:textId="77777777" w:rsidR="00C44008" w:rsidRPr="001A57A2" w:rsidRDefault="001A57A2" w:rsidP="001A57A2">
      <w:pPr>
        <w:pStyle w:val="Caption"/>
        <w:rPr>
          <w:b w:val="0"/>
        </w:rPr>
      </w:pPr>
      <w:r w:rsidRPr="001A57A2">
        <w:rPr>
          <w:b w:val="0"/>
        </w:rPr>
        <w:t>CNA = clinical neuropsychology assessment</w:t>
      </w:r>
    </w:p>
    <w:p w14:paraId="7419F325" w14:textId="77777777" w:rsidR="001A57A2" w:rsidRDefault="001A57A2" w:rsidP="000F351E">
      <w:pPr>
        <w:jc w:val="both"/>
      </w:pPr>
    </w:p>
    <w:p w14:paraId="2291D950" w14:textId="77777777" w:rsidR="001018F3" w:rsidRPr="00861324" w:rsidRDefault="00844352" w:rsidP="000F351E">
      <w:pPr>
        <w:jc w:val="both"/>
        <w:rPr>
          <w:b/>
        </w:rPr>
      </w:pPr>
      <w:r w:rsidRPr="00861324">
        <w:rPr>
          <w:b/>
        </w:rPr>
        <w:t>Proposed r</w:t>
      </w:r>
      <w:r w:rsidR="001018F3" w:rsidRPr="00861324">
        <w:rPr>
          <w:b/>
        </w:rPr>
        <w:t xml:space="preserve">esearch questions: </w:t>
      </w:r>
    </w:p>
    <w:p w14:paraId="504AAA1A" w14:textId="107CE2AD" w:rsidR="001018F3" w:rsidRDefault="001018F3" w:rsidP="00541A4D">
      <w:pPr>
        <w:pStyle w:val="ListParagraph"/>
        <w:numPr>
          <w:ilvl w:val="0"/>
          <w:numId w:val="6"/>
        </w:numPr>
        <w:jc w:val="both"/>
      </w:pPr>
      <w:r>
        <w:t>What is the financial impact of listing clinical neuropsychological assessment (CNA) services for the assessment, feedback and review of patients (e.g. with neurodegenerative diseases</w:t>
      </w:r>
      <w:r w:rsidR="00536BCC">
        <w:t>,</w:t>
      </w:r>
      <w:r>
        <w:t xml:space="preserve"> acquired brain injuries</w:t>
      </w:r>
      <w:r w:rsidR="00536BCC">
        <w:t>, paediatric or developmental disorders</w:t>
      </w:r>
      <w:r>
        <w:t>) on the MBS, as compared to patients receiving CNA through self-pay?</w:t>
      </w:r>
    </w:p>
    <w:p w14:paraId="5B6C91B1" w14:textId="77777777" w:rsidR="001018F3" w:rsidRDefault="001018F3" w:rsidP="00541A4D">
      <w:pPr>
        <w:pStyle w:val="ListParagraph"/>
        <w:numPr>
          <w:ilvl w:val="0"/>
          <w:numId w:val="6"/>
        </w:numPr>
        <w:jc w:val="both"/>
      </w:pPr>
      <w:r>
        <w:lastRenderedPageBreak/>
        <w:t>Are CNA services for the assessment,</w:t>
      </w:r>
      <w:r w:rsidR="00654ACB">
        <w:t xml:space="preserve"> feedback and review of adult patients</w:t>
      </w:r>
      <w:r>
        <w:t xml:space="preserve"> (e.g. with neurodegenerative diseases or acquired brain injuries), safe, effective and cost-effective compared with </w:t>
      </w:r>
      <w:r w:rsidR="00F528EB">
        <w:t xml:space="preserve">limited </w:t>
      </w:r>
      <w:r>
        <w:t>cognitive/behavioural assessments pe</w:t>
      </w:r>
      <w:r w:rsidR="00A1547C">
        <w:t>rformed by other specialties</w:t>
      </w:r>
      <w:r>
        <w:t xml:space="preserve">? </w:t>
      </w:r>
    </w:p>
    <w:p w14:paraId="6F1E22DE" w14:textId="2210AEA3" w:rsidR="001018F3" w:rsidRDefault="001018F3" w:rsidP="00654ACB">
      <w:pPr>
        <w:pStyle w:val="ListParagraph"/>
        <w:numPr>
          <w:ilvl w:val="0"/>
          <w:numId w:val="6"/>
        </w:numPr>
        <w:jc w:val="both"/>
      </w:pPr>
      <w:r>
        <w:t>Are CNA services for the assessment, feedback and review of</w:t>
      </w:r>
      <w:r w:rsidR="00654ACB">
        <w:t xml:space="preserve"> adult</w:t>
      </w:r>
      <w:r>
        <w:t xml:space="preserve"> patients (e.g. with neurodegenerative diseases</w:t>
      </w:r>
      <w:r w:rsidR="00536BCC">
        <w:t>,</w:t>
      </w:r>
      <w:r>
        <w:t xml:space="preserve"> acquired brain injuries</w:t>
      </w:r>
      <w:r w:rsidR="00136EC6">
        <w:t>,</w:t>
      </w:r>
      <w:r w:rsidR="00536BCC">
        <w:t xml:space="preserve"> paediatric or developmental disorders</w:t>
      </w:r>
      <w:r>
        <w:t xml:space="preserve">), safe, effective and cost-effective compared with no CNA, and symptom guided management? </w:t>
      </w:r>
    </w:p>
    <w:p w14:paraId="722C8A3E" w14:textId="77777777" w:rsidR="00BC4EFE" w:rsidRPr="00C407E2" w:rsidRDefault="00BC4EFE" w:rsidP="00C407E2">
      <w:pPr>
        <w:pStyle w:val="Heading1"/>
        <w:numPr>
          <w:ilvl w:val="0"/>
          <w:numId w:val="27"/>
        </w:numPr>
      </w:pPr>
      <w:r w:rsidRPr="00C407E2">
        <w:t>Healthcare resources</w:t>
      </w:r>
    </w:p>
    <w:p w14:paraId="31C0666F" w14:textId="77777777" w:rsidR="00B24A28" w:rsidRDefault="00014E46" w:rsidP="00ED6348">
      <w:pPr>
        <w:jc w:val="both"/>
      </w:pPr>
      <w:r>
        <w:t>There</w:t>
      </w:r>
      <w:r w:rsidR="00ED6348">
        <w:t xml:space="preserve"> are no other resources </w:t>
      </w:r>
      <w:r w:rsidR="000F351E">
        <w:t>co-administered</w:t>
      </w:r>
      <w:r w:rsidR="00ED6348">
        <w:t xml:space="preserve"> with the intervention.</w:t>
      </w:r>
      <w:r w:rsidR="00BE12E5">
        <w:t xml:space="preserve"> The tests done during a CNA depend on the patient’s symptoms and (suspected) disease or disorder. If CNA </w:t>
      </w:r>
      <w:r w:rsidR="00F14BA1">
        <w:t>is</w:t>
      </w:r>
      <w:r w:rsidR="00BE12E5">
        <w:t xml:space="preserve"> compared to assessment by other specialties,</w:t>
      </w:r>
      <w:r w:rsidR="00ED6348">
        <w:t xml:space="preserve"> </w:t>
      </w:r>
      <w:r w:rsidR="00BE12E5">
        <w:t>the possible comparator consultations</w:t>
      </w:r>
      <w:r w:rsidR="00ED6348">
        <w:t xml:space="preserve"> are shown in </w:t>
      </w:r>
      <w:r w:rsidR="00ED6348">
        <w:fldChar w:fldCharType="begin"/>
      </w:r>
      <w:r w:rsidR="00ED6348">
        <w:instrText xml:space="preserve"> REF _Ref420404345 \h  \* MERGEFORMAT </w:instrText>
      </w:r>
      <w:r w:rsidR="00ED6348">
        <w:fldChar w:fldCharType="separate"/>
      </w:r>
      <w:r w:rsidR="00ED6348">
        <w:t xml:space="preserve">Table </w:t>
      </w:r>
      <w:r w:rsidR="00ED6348">
        <w:rPr>
          <w:noProof/>
        </w:rPr>
        <w:t>2</w:t>
      </w:r>
      <w:r w:rsidR="00ED6348">
        <w:fldChar w:fldCharType="end"/>
      </w:r>
      <w:r w:rsidR="00BE12E5">
        <w:t>.</w:t>
      </w:r>
      <w:r w:rsidR="00ED6348">
        <w:t xml:space="preserve"> The resources used to manage or treat patients after the intervention/comparator</w:t>
      </w:r>
      <w:r w:rsidR="000F351E">
        <w:t xml:space="preserve"> also</w:t>
      </w:r>
      <w:r w:rsidR="00ED6348">
        <w:t xml:space="preserve"> depend on the disease/disorder and the patient’s symptoms. </w:t>
      </w:r>
      <w:r w:rsidR="00B24A28">
        <w:t>CNA may be used as a gate keeping activity, e.g. if concerns are raised about the patient’s functioning. If deficits in cognitive functioning are found, more detailed investigation may be done, such as blood tests, imaging tests or nerve conduction studies. On the other hand,</w:t>
      </w:r>
      <w:r w:rsidR="000F351E">
        <w:t xml:space="preserve"> it can also be the case that</w:t>
      </w:r>
      <w:r w:rsidR="00B24A28">
        <w:t xml:space="preserve"> the results of blood t</w:t>
      </w:r>
      <w:r w:rsidR="000F351E">
        <w:t>ests and imaging studies</w:t>
      </w:r>
      <w:r w:rsidR="00B24A28">
        <w:t xml:space="preserve"> </w:t>
      </w:r>
      <w:r w:rsidR="00E76268">
        <w:t>lead to a</w:t>
      </w:r>
      <w:r w:rsidR="00B24A28">
        <w:t xml:space="preserve"> referral for </w:t>
      </w:r>
      <w:r w:rsidR="00E76268">
        <w:t>CNA services to assess functional capacity. As it depends on the situation of an individual</w:t>
      </w:r>
      <w:r w:rsidR="000F351E">
        <w:t xml:space="preserve"> patient</w:t>
      </w:r>
      <w:r w:rsidR="00E76268">
        <w:t xml:space="preserve"> which healthcare resources will be used with/without CNA, no resource table was included in the protocol. </w:t>
      </w:r>
    </w:p>
    <w:p w14:paraId="3D26782E" w14:textId="77777777" w:rsidR="00075FAF" w:rsidRDefault="00075FAF" w:rsidP="00ED6348">
      <w:pPr>
        <w:jc w:val="both"/>
      </w:pPr>
      <w:r>
        <w:t xml:space="preserve">If more people access CNA then there is likely to be a growth in demand for other specialty services, within and health and outside of it, if particular </w:t>
      </w:r>
      <w:r w:rsidR="00E60968">
        <w:t xml:space="preserve">diagnoses are made. The impact of this is not ascertainable; because the range of patient presentations and diagnoses is likely to be very broad, it is uncertain how many </w:t>
      </w:r>
      <w:r w:rsidR="00E60968" w:rsidRPr="00E60968">
        <w:rPr>
          <w:i/>
        </w:rPr>
        <w:t>extra</w:t>
      </w:r>
      <w:r w:rsidR="00E60968">
        <w:t xml:space="preserve"> services may be required as a result of recommendations of the CNA. However, there may also be a decrease in certain services or treatments on the basis of the results of the CNA.</w:t>
      </w:r>
    </w:p>
    <w:p w14:paraId="07DD5DF9" w14:textId="77777777" w:rsidR="000C1CE9" w:rsidRDefault="009D7D3C" w:rsidP="00ED6348">
      <w:pPr>
        <w:jc w:val="both"/>
      </w:pPr>
      <w:r>
        <w:t>Given that the unmet need for CNA services is</w:t>
      </w:r>
      <w:r w:rsidR="00D13F42">
        <w:t xml:space="preserve"> currently</w:t>
      </w:r>
      <w:r>
        <w:t xml:space="preserve"> unknown, t</w:t>
      </w:r>
      <w:r w:rsidR="000C1CE9">
        <w:t xml:space="preserve">he potential uptake of these services </w:t>
      </w:r>
      <w:r>
        <w:t>will</w:t>
      </w:r>
      <w:r w:rsidR="000C1CE9">
        <w:t xml:space="preserve"> need to be considered </w:t>
      </w:r>
      <w:r>
        <w:t>in light of which patients access the services and if their uptake is equitably distributed across socioeconomic groups; if CNA services are available to patients across regional and rural areas and not just in metropolitan centres; and, if the current workforce can meet potential demand for the services.</w:t>
      </w:r>
    </w:p>
    <w:p w14:paraId="120E8EBF" w14:textId="77777777" w:rsidR="002E2F65" w:rsidRPr="00861324" w:rsidRDefault="002E2F65">
      <w:pPr>
        <w:rPr>
          <w:rFonts w:asciiTheme="majorHAnsi" w:hAnsiTheme="majorHAnsi"/>
          <w:b/>
          <w:color w:val="365F91" w:themeColor="accent1" w:themeShade="BF"/>
          <w:sz w:val="28"/>
          <w:highlight w:val="lightGray"/>
        </w:rPr>
      </w:pPr>
      <w:r w:rsidRPr="00861324">
        <w:rPr>
          <w:highlight w:val="lightGray"/>
        </w:rPr>
        <w:br w:type="page"/>
      </w:r>
    </w:p>
    <w:p w14:paraId="67ACDD44" w14:textId="7A948CF6" w:rsidR="00D70EAF" w:rsidRDefault="00D70EAF" w:rsidP="00855E1E">
      <w:pPr>
        <w:pStyle w:val="Heading1"/>
        <w:numPr>
          <w:ilvl w:val="0"/>
          <w:numId w:val="27"/>
        </w:numPr>
      </w:pPr>
      <w:r>
        <w:lastRenderedPageBreak/>
        <w:t>Appendix</w:t>
      </w:r>
    </w:p>
    <w:p w14:paraId="26FE278E" w14:textId="5B536256" w:rsidR="00D70EAF" w:rsidRPr="00855E1E" w:rsidRDefault="00D70EAF" w:rsidP="00855E1E">
      <w:pPr>
        <w:pStyle w:val="Caption"/>
        <w:ind w:left="2127" w:hanging="2127"/>
      </w:pPr>
      <w:bookmarkStart w:id="7" w:name="_Ref446412815"/>
      <w:r w:rsidRPr="00855E1E">
        <w:t xml:space="preserve">Supplementary Table </w:t>
      </w:r>
      <w:r w:rsidRPr="00855E1E">
        <w:fldChar w:fldCharType="begin"/>
      </w:r>
      <w:r w:rsidRPr="00855E1E">
        <w:instrText xml:space="preserve"> SEQ Supplementary_Table \* ARABIC </w:instrText>
      </w:r>
      <w:r w:rsidRPr="00855E1E">
        <w:fldChar w:fldCharType="separate"/>
      </w:r>
      <w:r w:rsidRPr="00855E1E">
        <w:rPr>
          <w:noProof/>
        </w:rPr>
        <w:t>1</w:t>
      </w:r>
      <w:r w:rsidRPr="00855E1E">
        <w:fldChar w:fldCharType="end"/>
      </w:r>
      <w:bookmarkEnd w:id="7"/>
      <w:r w:rsidR="002E2F65" w:rsidRPr="00855E1E">
        <w:tab/>
        <w:t>P</w:t>
      </w:r>
      <w:r w:rsidR="00E110FA" w:rsidRPr="00855E1E">
        <w:t>revalence of p</w:t>
      </w:r>
      <w:r w:rsidR="002E2F65" w:rsidRPr="00855E1E">
        <w:t>aediatric and developmental disorders by level of restriction and sex, per cent of Australian population for relevant age group and sex, 1998</w:t>
      </w:r>
      <w:r w:rsidR="009B5230" w:rsidRPr="00855E1E">
        <w:t xml:space="preserve"> </w:t>
      </w:r>
      <w:r w:rsidR="00A8082F">
        <w:fldChar w:fldCharType="begin"/>
      </w:r>
      <w:r w:rsidR="00A8082F">
        <w:instrText xml:space="preserve"> ADDIN EN.CITE &lt;EndNote&gt;&lt;Cite&gt;&lt;Author&gt;AIHW&lt;/Author&gt;&lt;Year&gt;2004&lt;/Year&gt;&lt;RecNum&gt;33&lt;/RecNum&gt;&lt;DisplayText&gt;(AIHW 2004)&lt;/DisplayText&gt;&lt;record&gt;&lt;rec-number&gt;33&lt;/rec-number&gt;&lt;foreign-keys&gt;&lt;key app="EN" db-id="ar5dxszwoae9faedw9b5xwdcd2wzaftfwfer" timestamp="1458613316"&gt;33&lt;/key&gt;&lt;/foreign-keys&gt;&lt;ref-type name="Report"&gt;27&lt;/ref-type&gt;&lt;contributors&gt;&lt;authors&gt;&lt;author&gt;AIHW&lt;/author&gt;&lt;/authors&gt;&lt;/contributors&gt;&lt;titles&gt;&lt;title&gt;Children with disabilities in Australia&lt;/title&gt;&lt;/titles&gt;&lt;dates&gt;&lt;year&gt;2004&lt;/year&gt;&lt;/dates&gt;&lt;pub-location&gt;Australian Institute of Health and Welfare, Canberra. Cat. no. DIS38&lt;/pub-location&gt;&lt;urls&gt;&lt;related-urls&gt;&lt;url&gt;www.aihw.gov.au/WorkArea/DownloadAsset.aspx?id=6442455787&lt;/url&gt;&lt;/related-urls&gt;&lt;/urls&gt;&lt;/record&gt;&lt;/Cite&gt;&lt;/EndNote&gt;</w:instrText>
      </w:r>
      <w:r w:rsidR="00A8082F">
        <w:fldChar w:fldCharType="separate"/>
      </w:r>
      <w:r w:rsidR="00A8082F">
        <w:rPr>
          <w:noProof/>
        </w:rPr>
        <w:t>(</w:t>
      </w:r>
      <w:hyperlink w:anchor="_ENREF_2" w:tooltip="AIHW, 2004 #33" w:history="1">
        <w:r w:rsidR="00A8082F">
          <w:rPr>
            <w:noProof/>
          </w:rPr>
          <w:t>AIHW 2004</w:t>
        </w:r>
      </w:hyperlink>
      <w:r w:rsidR="00A8082F">
        <w:rPr>
          <w:noProof/>
        </w:rPr>
        <w:t>)</w:t>
      </w:r>
      <w:r w:rsidR="00A8082F">
        <w:fldChar w:fldCharType="end"/>
      </w:r>
    </w:p>
    <w:tbl>
      <w:tblPr>
        <w:tblStyle w:val="TableGrid"/>
        <w:tblW w:w="9209" w:type="dxa"/>
        <w:tblLook w:val="04A0" w:firstRow="1" w:lastRow="0" w:firstColumn="1" w:lastColumn="0" w:noHBand="0" w:noVBand="1"/>
        <w:tblCaption w:val="Supplementary Table 1 Prevalence of paediatric and developmental disorders by level of restriction and sex, per cent of Australian population for relevant age group and sex, 1998 (AIHW 2004)"/>
      </w:tblPr>
      <w:tblGrid>
        <w:gridCol w:w="1857"/>
        <w:gridCol w:w="1156"/>
        <w:gridCol w:w="1237"/>
        <w:gridCol w:w="1241"/>
        <w:gridCol w:w="1371"/>
        <w:gridCol w:w="1110"/>
        <w:gridCol w:w="1237"/>
      </w:tblGrid>
      <w:tr w:rsidR="002E2F65" w:rsidRPr="00855E1E" w14:paraId="7F316D3A" w14:textId="77777777" w:rsidTr="00A2320A">
        <w:trPr>
          <w:tblHeader/>
        </w:trPr>
        <w:tc>
          <w:tcPr>
            <w:tcW w:w="1857" w:type="dxa"/>
          </w:tcPr>
          <w:p w14:paraId="7F5C6EED" w14:textId="31D22E6B" w:rsidR="002E2F65" w:rsidRPr="00855E1E" w:rsidRDefault="002E2F65" w:rsidP="00D70EAF">
            <w:pPr>
              <w:rPr>
                <w:rFonts w:ascii="Arial Narrow" w:hAnsi="Arial Narrow"/>
                <w:sz w:val="20"/>
                <w:szCs w:val="20"/>
              </w:rPr>
            </w:pPr>
          </w:p>
        </w:tc>
        <w:tc>
          <w:tcPr>
            <w:tcW w:w="2393" w:type="dxa"/>
            <w:gridSpan w:val="2"/>
          </w:tcPr>
          <w:p w14:paraId="7B38DA5D" w14:textId="36120198" w:rsidR="002E2F65" w:rsidRPr="00855E1E" w:rsidRDefault="002E2F65" w:rsidP="00855E1E">
            <w:pPr>
              <w:jc w:val="center"/>
              <w:rPr>
                <w:rFonts w:ascii="Arial Narrow" w:hAnsi="Arial Narrow"/>
                <w:sz w:val="20"/>
                <w:szCs w:val="20"/>
              </w:rPr>
            </w:pPr>
            <w:r w:rsidRPr="00855E1E">
              <w:rPr>
                <w:rFonts w:ascii="Arial Narrow" w:hAnsi="Arial Narrow"/>
                <w:sz w:val="20"/>
                <w:szCs w:val="20"/>
              </w:rPr>
              <w:t>Boys, 0</w:t>
            </w:r>
            <w:r w:rsidRPr="00855E1E">
              <w:rPr>
                <w:rFonts w:ascii="Arial Narrow" w:hAnsi="Arial Narrow"/>
                <w:sz w:val="20"/>
                <w:szCs w:val="20"/>
              </w:rPr>
              <w:noBreakHyphen/>
              <w:t>14 years</w:t>
            </w:r>
          </w:p>
        </w:tc>
        <w:tc>
          <w:tcPr>
            <w:tcW w:w="2612" w:type="dxa"/>
            <w:gridSpan w:val="2"/>
          </w:tcPr>
          <w:p w14:paraId="4FFCB03F" w14:textId="6BD3E3AE" w:rsidR="002E2F65" w:rsidRPr="00855E1E" w:rsidRDefault="002E2F65" w:rsidP="00855E1E">
            <w:pPr>
              <w:jc w:val="center"/>
              <w:rPr>
                <w:rFonts w:ascii="Arial Narrow" w:hAnsi="Arial Narrow"/>
                <w:sz w:val="20"/>
                <w:szCs w:val="20"/>
              </w:rPr>
            </w:pPr>
            <w:r w:rsidRPr="00855E1E">
              <w:rPr>
                <w:rFonts w:ascii="Arial Narrow" w:hAnsi="Arial Narrow"/>
                <w:sz w:val="20"/>
                <w:szCs w:val="20"/>
              </w:rPr>
              <w:t>Girls, 0-14 years</w:t>
            </w:r>
          </w:p>
        </w:tc>
        <w:tc>
          <w:tcPr>
            <w:tcW w:w="2347" w:type="dxa"/>
            <w:gridSpan w:val="2"/>
          </w:tcPr>
          <w:p w14:paraId="704B386F" w14:textId="3AD284A5" w:rsidR="002E2F65" w:rsidRPr="00855E1E" w:rsidRDefault="002E2F65" w:rsidP="00855E1E">
            <w:pPr>
              <w:jc w:val="center"/>
              <w:rPr>
                <w:rFonts w:ascii="Arial Narrow" w:hAnsi="Arial Narrow"/>
                <w:sz w:val="20"/>
                <w:szCs w:val="20"/>
              </w:rPr>
            </w:pPr>
            <w:r w:rsidRPr="00855E1E">
              <w:rPr>
                <w:rFonts w:ascii="Arial Narrow" w:hAnsi="Arial Narrow"/>
                <w:sz w:val="20"/>
                <w:szCs w:val="20"/>
              </w:rPr>
              <w:t>Children, 0</w:t>
            </w:r>
            <w:r w:rsidRPr="00855E1E">
              <w:rPr>
                <w:rFonts w:ascii="Arial Narrow" w:hAnsi="Arial Narrow"/>
                <w:sz w:val="20"/>
                <w:szCs w:val="20"/>
              </w:rPr>
              <w:noBreakHyphen/>
              <w:t>14 years</w:t>
            </w:r>
          </w:p>
        </w:tc>
      </w:tr>
      <w:tr w:rsidR="009B5230" w:rsidRPr="00855E1E" w14:paraId="315F7DCA" w14:textId="77777777" w:rsidTr="00E110FA">
        <w:tc>
          <w:tcPr>
            <w:tcW w:w="1857" w:type="dxa"/>
          </w:tcPr>
          <w:p w14:paraId="26385789" w14:textId="7E2E98A9" w:rsidR="002E2F65" w:rsidRPr="00855E1E" w:rsidRDefault="002E2F65" w:rsidP="00D70EAF">
            <w:pPr>
              <w:rPr>
                <w:rFonts w:ascii="Arial Narrow" w:hAnsi="Arial Narrow"/>
                <w:b/>
                <w:sz w:val="20"/>
                <w:szCs w:val="20"/>
              </w:rPr>
            </w:pPr>
          </w:p>
        </w:tc>
        <w:tc>
          <w:tcPr>
            <w:tcW w:w="1156" w:type="dxa"/>
          </w:tcPr>
          <w:p w14:paraId="5A82FA36" w14:textId="565FCE3B" w:rsidR="002E2F65" w:rsidRPr="00855E1E" w:rsidRDefault="002E2F65" w:rsidP="00D70EAF">
            <w:pPr>
              <w:rPr>
                <w:rFonts w:ascii="Arial Narrow" w:hAnsi="Arial Narrow"/>
                <w:sz w:val="20"/>
                <w:szCs w:val="20"/>
              </w:rPr>
            </w:pPr>
            <w:r w:rsidRPr="00855E1E">
              <w:rPr>
                <w:rFonts w:ascii="Arial Narrow" w:hAnsi="Arial Narrow"/>
                <w:sz w:val="20"/>
                <w:szCs w:val="20"/>
              </w:rPr>
              <w:t>‘000</w:t>
            </w:r>
          </w:p>
        </w:tc>
        <w:tc>
          <w:tcPr>
            <w:tcW w:w="1237" w:type="dxa"/>
          </w:tcPr>
          <w:p w14:paraId="6DC5C27B" w14:textId="48457C80" w:rsidR="002E2F65" w:rsidRPr="00855E1E" w:rsidRDefault="002E2F65" w:rsidP="00D70EAF">
            <w:pPr>
              <w:rPr>
                <w:rFonts w:ascii="Arial Narrow" w:hAnsi="Arial Narrow"/>
                <w:sz w:val="20"/>
                <w:szCs w:val="20"/>
              </w:rPr>
            </w:pPr>
            <w:r w:rsidRPr="00855E1E">
              <w:rPr>
                <w:rFonts w:ascii="Arial Narrow" w:hAnsi="Arial Narrow"/>
                <w:sz w:val="20"/>
                <w:szCs w:val="20"/>
              </w:rPr>
              <w:t>%</w:t>
            </w:r>
          </w:p>
        </w:tc>
        <w:tc>
          <w:tcPr>
            <w:tcW w:w="1241" w:type="dxa"/>
          </w:tcPr>
          <w:p w14:paraId="56C2D2DB" w14:textId="67796684" w:rsidR="002E2F65" w:rsidRPr="00855E1E" w:rsidRDefault="002E2F65" w:rsidP="00D70EAF">
            <w:pPr>
              <w:rPr>
                <w:rFonts w:ascii="Arial Narrow" w:hAnsi="Arial Narrow"/>
                <w:sz w:val="20"/>
                <w:szCs w:val="20"/>
              </w:rPr>
            </w:pPr>
            <w:r w:rsidRPr="00855E1E">
              <w:rPr>
                <w:rFonts w:ascii="Arial Narrow" w:hAnsi="Arial Narrow"/>
                <w:sz w:val="20"/>
                <w:szCs w:val="20"/>
              </w:rPr>
              <w:t>‘000</w:t>
            </w:r>
          </w:p>
        </w:tc>
        <w:tc>
          <w:tcPr>
            <w:tcW w:w="1371" w:type="dxa"/>
          </w:tcPr>
          <w:p w14:paraId="0B20043D" w14:textId="2CC6256D" w:rsidR="002E2F65" w:rsidRPr="00855E1E" w:rsidRDefault="002E2F65" w:rsidP="00D70EAF">
            <w:pPr>
              <w:rPr>
                <w:rFonts w:ascii="Arial Narrow" w:hAnsi="Arial Narrow"/>
                <w:sz w:val="20"/>
                <w:szCs w:val="20"/>
              </w:rPr>
            </w:pPr>
            <w:r w:rsidRPr="00855E1E">
              <w:rPr>
                <w:rFonts w:ascii="Arial Narrow" w:hAnsi="Arial Narrow"/>
                <w:sz w:val="20"/>
                <w:szCs w:val="20"/>
              </w:rPr>
              <w:t>%</w:t>
            </w:r>
          </w:p>
        </w:tc>
        <w:tc>
          <w:tcPr>
            <w:tcW w:w="1110" w:type="dxa"/>
          </w:tcPr>
          <w:p w14:paraId="664F421E" w14:textId="375EBB55" w:rsidR="002E2F65" w:rsidRPr="00855E1E" w:rsidRDefault="002E2F65" w:rsidP="00D70EAF">
            <w:pPr>
              <w:rPr>
                <w:rFonts w:ascii="Arial Narrow" w:hAnsi="Arial Narrow"/>
                <w:sz w:val="20"/>
                <w:szCs w:val="20"/>
              </w:rPr>
            </w:pPr>
            <w:r w:rsidRPr="00855E1E">
              <w:rPr>
                <w:rFonts w:ascii="Arial Narrow" w:hAnsi="Arial Narrow"/>
                <w:sz w:val="20"/>
                <w:szCs w:val="20"/>
              </w:rPr>
              <w:t>‘000</w:t>
            </w:r>
          </w:p>
        </w:tc>
        <w:tc>
          <w:tcPr>
            <w:tcW w:w="1237" w:type="dxa"/>
          </w:tcPr>
          <w:p w14:paraId="09A86E51" w14:textId="489681CA" w:rsidR="002E2F65" w:rsidRPr="00855E1E" w:rsidRDefault="002E2F65" w:rsidP="00D70EAF">
            <w:pPr>
              <w:rPr>
                <w:rFonts w:ascii="Arial Narrow" w:hAnsi="Arial Narrow"/>
                <w:sz w:val="20"/>
                <w:szCs w:val="20"/>
              </w:rPr>
            </w:pPr>
            <w:r w:rsidRPr="00855E1E">
              <w:rPr>
                <w:rFonts w:ascii="Arial Narrow" w:hAnsi="Arial Narrow"/>
                <w:sz w:val="20"/>
                <w:szCs w:val="20"/>
              </w:rPr>
              <w:t>%</w:t>
            </w:r>
          </w:p>
        </w:tc>
      </w:tr>
      <w:tr w:rsidR="009B5230" w:rsidRPr="00855E1E" w14:paraId="0344242A" w14:textId="77777777" w:rsidTr="00E110FA">
        <w:tc>
          <w:tcPr>
            <w:tcW w:w="1857" w:type="dxa"/>
          </w:tcPr>
          <w:p w14:paraId="3769878C" w14:textId="7396383C" w:rsidR="002E2F65" w:rsidRPr="00855E1E" w:rsidRDefault="002E2F65" w:rsidP="009B5230">
            <w:pPr>
              <w:rPr>
                <w:rFonts w:ascii="Arial Narrow" w:hAnsi="Arial Narrow"/>
                <w:sz w:val="20"/>
                <w:szCs w:val="20"/>
              </w:rPr>
            </w:pPr>
            <w:r w:rsidRPr="00855E1E">
              <w:rPr>
                <w:rFonts w:ascii="Arial Narrow" w:hAnsi="Arial Narrow"/>
                <w:b/>
                <w:sz w:val="20"/>
                <w:szCs w:val="20"/>
              </w:rPr>
              <w:t xml:space="preserve">All </w:t>
            </w:r>
            <w:r w:rsidR="009B5230" w:rsidRPr="00855E1E">
              <w:rPr>
                <w:rFonts w:ascii="Arial Narrow" w:hAnsi="Arial Narrow"/>
                <w:b/>
                <w:sz w:val="20"/>
                <w:szCs w:val="20"/>
              </w:rPr>
              <w:t>disabilities</w:t>
            </w:r>
            <w:r w:rsidRPr="00855E1E">
              <w:rPr>
                <w:rFonts w:ascii="Arial Narrow" w:hAnsi="Arial Narrow"/>
                <w:b/>
                <w:sz w:val="20"/>
                <w:szCs w:val="20"/>
              </w:rPr>
              <w:t>/</w:t>
            </w:r>
            <w:r w:rsidR="009B5230" w:rsidRPr="00855E1E">
              <w:rPr>
                <w:rFonts w:ascii="Arial Narrow" w:hAnsi="Arial Narrow"/>
                <w:b/>
                <w:sz w:val="20"/>
                <w:szCs w:val="20"/>
              </w:rPr>
              <w:t>disorders</w:t>
            </w:r>
          </w:p>
        </w:tc>
        <w:tc>
          <w:tcPr>
            <w:tcW w:w="1156" w:type="dxa"/>
          </w:tcPr>
          <w:p w14:paraId="6681E58A" w14:textId="77777777" w:rsidR="002E2F65" w:rsidRPr="00855E1E" w:rsidRDefault="002E2F65" w:rsidP="002E2F65">
            <w:pPr>
              <w:rPr>
                <w:rFonts w:ascii="Arial Narrow" w:hAnsi="Arial Narrow"/>
                <w:sz w:val="20"/>
                <w:szCs w:val="20"/>
              </w:rPr>
            </w:pPr>
          </w:p>
        </w:tc>
        <w:tc>
          <w:tcPr>
            <w:tcW w:w="1237" w:type="dxa"/>
          </w:tcPr>
          <w:p w14:paraId="204FDD9D" w14:textId="77777777" w:rsidR="002E2F65" w:rsidRPr="00855E1E" w:rsidRDefault="002E2F65" w:rsidP="002E2F65">
            <w:pPr>
              <w:rPr>
                <w:rFonts w:ascii="Arial Narrow" w:hAnsi="Arial Narrow"/>
                <w:sz w:val="20"/>
                <w:szCs w:val="20"/>
              </w:rPr>
            </w:pPr>
          </w:p>
        </w:tc>
        <w:tc>
          <w:tcPr>
            <w:tcW w:w="1241" w:type="dxa"/>
          </w:tcPr>
          <w:p w14:paraId="32F59AE4" w14:textId="77777777" w:rsidR="002E2F65" w:rsidRPr="00855E1E" w:rsidRDefault="002E2F65" w:rsidP="002E2F65">
            <w:pPr>
              <w:rPr>
                <w:rFonts w:ascii="Arial Narrow" w:hAnsi="Arial Narrow"/>
                <w:sz w:val="20"/>
                <w:szCs w:val="20"/>
              </w:rPr>
            </w:pPr>
          </w:p>
        </w:tc>
        <w:tc>
          <w:tcPr>
            <w:tcW w:w="1371" w:type="dxa"/>
          </w:tcPr>
          <w:p w14:paraId="1343E1EA" w14:textId="77777777" w:rsidR="002E2F65" w:rsidRPr="00855E1E" w:rsidRDefault="002E2F65" w:rsidP="002E2F65">
            <w:pPr>
              <w:rPr>
                <w:rFonts w:ascii="Arial Narrow" w:hAnsi="Arial Narrow"/>
                <w:sz w:val="20"/>
                <w:szCs w:val="20"/>
              </w:rPr>
            </w:pPr>
          </w:p>
        </w:tc>
        <w:tc>
          <w:tcPr>
            <w:tcW w:w="1110" w:type="dxa"/>
          </w:tcPr>
          <w:p w14:paraId="2E3E939E" w14:textId="77777777" w:rsidR="002E2F65" w:rsidRPr="00855E1E" w:rsidRDefault="002E2F65" w:rsidP="002E2F65">
            <w:pPr>
              <w:rPr>
                <w:rFonts w:ascii="Arial Narrow" w:hAnsi="Arial Narrow"/>
                <w:sz w:val="20"/>
                <w:szCs w:val="20"/>
              </w:rPr>
            </w:pPr>
          </w:p>
        </w:tc>
        <w:tc>
          <w:tcPr>
            <w:tcW w:w="1237" w:type="dxa"/>
          </w:tcPr>
          <w:p w14:paraId="31B1E46C" w14:textId="77777777" w:rsidR="002E2F65" w:rsidRPr="00855E1E" w:rsidRDefault="002E2F65" w:rsidP="002E2F65">
            <w:pPr>
              <w:rPr>
                <w:rFonts w:ascii="Arial Narrow" w:hAnsi="Arial Narrow"/>
                <w:sz w:val="20"/>
                <w:szCs w:val="20"/>
              </w:rPr>
            </w:pPr>
          </w:p>
        </w:tc>
      </w:tr>
      <w:tr w:rsidR="009B5230" w:rsidRPr="00855E1E" w14:paraId="2E27D966" w14:textId="77777777" w:rsidTr="00E110FA">
        <w:tc>
          <w:tcPr>
            <w:tcW w:w="1857" w:type="dxa"/>
          </w:tcPr>
          <w:p w14:paraId="682C12BB" w14:textId="412BA065" w:rsidR="002E2F65" w:rsidRPr="00855E1E" w:rsidRDefault="002E2F65" w:rsidP="002E2F65">
            <w:pPr>
              <w:rPr>
                <w:rFonts w:ascii="Arial Narrow" w:hAnsi="Arial Narrow"/>
                <w:sz w:val="20"/>
                <w:szCs w:val="20"/>
              </w:rPr>
            </w:pPr>
            <w:r w:rsidRPr="00855E1E">
              <w:rPr>
                <w:rFonts w:ascii="Arial Narrow" w:hAnsi="Arial Narrow"/>
                <w:sz w:val="20"/>
                <w:szCs w:val="20"/>
              </w:rPr>
              <w:t>Intellectual/learning</w:t>
            </w:r>
          </w:p>
        </w:tc>
        <w:tc>
          <w:tcPr>
            <w:tcW w:w="1156" w:type="dxa"/>
          </w:tcPr>
          <w:p w14:paraId="7DD787F8" w14:textId="50FE0F41" w:rsidR="002E2F65" w:rsidRPr="00855E1E" w:rsidRDefault="002E2F65" w:rsidP="002E2F65">
            <w:pPr>
              <w:rPr>
                <w:rFonts w:ascii="Arial Narrow" w:hAnsi="Arial Narrow"/>
                <w:sz w:val="20"/>
                <w:szCs w:val="20"/>
              </w:rPr>
            </w:pPr>
            <w:r w:rsidRPr="00855E1E">
              <w:rPr>
                <w:rFonts w:ascii="Arial Narrow" w:hAnsi="Arial Narrow"/>
                <w:sz w:val="20"/>
                <w:szCs w:val="20"/>
              </w:rPr>
              <w:t>104.6</w:t>
            </w:r>
          </w:p>
        </w:tc>
        <w:tc>
          <w:tcPr>
            <w:tcW w:w="1237" w:type="dxa"/>
          </w:tcPr>
          <w:p w14:paraId="5088257C" w14:textId="3D9C0788" w:rsidR="002E2F65" w:rsidRPr="00855E1E" w:rsidRDefault="002E2F65" w:rsidP="002E2F65">
            <w:pPr>
              <w:rPr>
                <w:rFonts w:ascii="Arial Narrow" w:hAnsi="Arial Narrow"/>
                <w:sz w:val="20"/>
                <w:szCs w:val="20"/>
              </w:rPr>
            </w:pPr>
            <w:r w:rsidRPr="00855E1E">
              <w:rPr>
                <w:rFonts w:ascii="Arial Narrow" w:hAnsi="Arial Narrow"/>
                <w:sz w:val="20"/>
                <w:szCs w:val="20"/>
              </w:rPr>
              <w:t>5.2</w:t>
            </w:r>
          </w:p>
        </w:tc>
        <w:tc>
          <w:tcPr>
            <w:tcW w:w="1241" w:type="dxa"/>
          </w:tcPr>
          <w:p w14:paraId="1212F192" w14:textId="25D9BADC" w:rsidR="002E2F65" w:rsidRPr="00855E1E" w:rsidRDefault="002E2F65" w:rsidP="002E2F65">
            <w:pPr>
              <w:rPr>
                <w:rFonts w:ascii="Arial Narrow" w:hAnsi="Arial Narrow"/>
                <w:sz w:val="20"/>
                <w:szCs w:val="20"/>
              </w:rPr>
            </w:pPr>
            <w:r w:rsidRPr="00855E1E">
              <w:rPr>
                <w:rFonts w:ascii="Arial Narrow" w:hAnsi="Arial Narrow"/>
                <w:sz w:val="20"/>
                <w:szCs w:val="20"/>
              </w:rPr>
              <w:t>38.5</w:t>
            </w:r>
          </w:p>
        </w:tc>
        <w:tc>
          <w:tcPr>
            <w:tcW w:w="1371" w:type="dxa"/>
          </w:tcPr>
          <w:p w14:paraId="7BCA3A9D" w14:textId="2CE24438" w:rsidR="002E2F65" w:rsidRPr="00855E1E" w:rsidRDefault="002E2F65" w:rsidP="002E2F65">
            <w:pPr>
              <w:rPr>
                <w:rFonts w:ascii="Arial Narrow" w:hAnsi="Arial Narrow"/>
                <w:sz w:val="20"/>
                <w:szCs w:val="20"/>
              </w:rPr>
            </w:pPr>
            <w:r w:rsidRPr="00855E1E">
              <w:rPr>
                <w:rFonts w:ascii="Arial Narrow" w:hAnsi="Arial Narrow"/>
                <w:sz w:val="20"/>
                <w:szCs w:val="20"/>
              </w:rPr>
              <w:t>2.0</w:t>
            </w:r>
          </w:p>
        </w:tc>
        <w:tc>
          <w:tcPr>
            <w:tcW w:w="1110" w:type="dxa"/>
          </w:tcPr>
          <w:p w14:paraId="18378B4E" w14:textId="7F5FD7F4" w:rsidR="002E2F65" w:rsidRPr="00855E1E" w:rsidRDefault="002E2F65" w:rsidP="002E2F65">
            <w:pPr>
              <w:rPr>
                <w:rFonts w:ascii="Arial Narrow" w:hAnsi="Arial Narrow"/>
                <w:sz w:val="20"/>
                <w:szCs w:val="20"/>
              </w:rPr>
            </w:pPr>
            <w:r w:rsidRPr="00855E1E">
              <w:rPr>
                <w:rFonts w:ascii="Arial Narrow" w:hAnsi="Arial Narrow"/>
                <w:sz w:val="20"/>
                <w:szCs w:val="20"/>
              </w:rPr>
              <w:t>143.0</w:t>
            </w:r>
          </w:p>
        </w:tc>
        <w:tc>
          <w:tcPr>
            <w:tcW w:w="1237" w:type="dxa"/>
          </w:tcPr>
          <w:p w14:paraId="25E7E2F7" w14:textId="1AECB403" w:rsidR="002E2F65" w:rsidRPr="00855E1E" w:rsidRDefault="002E2F65" w:rsidP="002E2F65">
            <w:pPr>
              <w:rPr>
                <w:rFonts w:ascii="Arial Narrow" w:hAnsi="Arial Narrow"/>
                <w:sz w:val="20"/>
                <w:szCs w:val="20"/>
              </w:rPr>
            </w:pPr>
            <w:r w:rsidRPr="00855E1E">
              <w:rPr>
                <w:rFonts w:ascii="Arial Narrow" w:hAnsi="Arial Narrow"/>
                <w:sz w:val="20"/>
                <w:szCs w:val="20"/>
              </w:rPr>
              <w:t>3.7</w:t>
            </w:r>
          </w:p>
        </w:tc>
      </w:tr>
      <w:tr w:rsidR="009B5230" w:rsidRPr="00855E1E" w14:paraId="20A622D2" w14:textId="77777777" w:rsidTr="00E110FA">
        <w:tc>
          <w:tcPr>
            <w:tcW w:w="1857" w:type="dxa"/>
          </w:tcPr>
          <w:p w14:paraId="49CBF532" w14:textId="05C2A10C" w:rsidR="002E2F65" w:rsidRPr="00855E1E" w:rsidRDefault="002E2F65" w:rsidP="002E2F65">
            <w:pPr>
              <w:rPr>
                <w:rFonts w:ascii="Arial Narrow" w:hAnsi="Arial Narrow"/>
                <w:sz w:val="20"/>
                <w:szCs w:val="20"/>
              </w:rPr>
            </w:pPr>
            <w:r w:rsidRPr="00855E1E">
              <w:rPr>
                <w:rFonts w:ascii="Arial Narrow" w:hAnsi="Arial Narrow"/>
                <w:sz w:val="20"/>
                <w:szCs w:val="20"/>
              </w:rPr>
              <w:t>Psychiatric</w:t>
            </w:r>
          </w:p>
        </w:tc>
        <w:tc>
          <w:tcPr>
            <w:tcW w:w="1156" w:type="dxa"/>
          </w:tcPr>
          <w:p w14:paraId="308A6285" w14:textId="724614FA" w:rsidR="002E2F65" w:rsidRPr="00855E1E" w:rsidRDefault="009B71C5" w:rsidP="002E2F65">
            <w:pPr>
              <w:rPr>
                <w:rFonts w:ascii="Arial Narrow" w:hAnsi="Arial Narrow"/>
                <w:sz w:val="20"/>
                <w:szCs w:val="20"/>
              </w:rPr>
            </w:pPr>
            <w:r w:rsidRPr="00855E1E">
              <w:rPr>
                <w:rFonts w:ascii="Arial Narrow" w:hAnsi="Arial Narrow"/>
                <w:sz w:val="20"/>
                <w:szCs w:val="20"/>
              </w:rPr>
              <w:t>30.4</w:t>
            </w:r>
          </w:p>
        </w:tc>
        <w:tc>
          <w:tcPr>
            <w:tcW w:w="1237" w:type="dxa"/>
          </w:tcPr>
          <w:p w14:paraId="47F25C9C" w14:textId="573EFBE5" w:rsidR="002E2F65" w:rsidRPr="00855E1E" w:rsidRDefault="009B71C5" w:rsidP="002E2F65">
            <w:pPr>
              <w:rPr>
                <w:rFonts w:ascii="Arial Narrow" w:hAnsi="Arial Narrow"/>
                <w:sz w:val="20"/>
                <w:szCs w:val="20"/>
              </w:rPr>
            </w:pPr>
            <w:r w:rsidRPr="00855E1E">
              <w:rPr>
                <w:rFonts w:ascii="Arial Narrow" w:hAnsi="Arial Narrow"/>
                <w:sz w:val="20"/>
                <w:szCs w:val="20"/>
              </w:rPr>
              <w:t>1.5</w:t>
            </w:r>
          </w:p>
        </w:tc>
        <w:tc>
          <w:tcPr>
            <w:tcW w:w="1241" w:type="dxa"/>
          </w:tcPr>
          <w:p w14:paraId="37D7B3C6" w14:textId="41FB4391" w:rsidR="002E2F65" w:rsidRPr="00855E1E" w:rsidRDefault="009B71C5" w:rsidP="002E2F65">
            <w:pPr>
              <w:rPr>
                <w:rFonts w:ascii="Arial Narrow" w:hAnsi="Arial Narrow"/>
                <w:sz w:val="20"/>
                <w:szCs w:val="20"/>
              </w:rPr>
            </w:pPr>
            <w:r w:rsidRPr="00855E1E">
              <w:rPr>
                <w:rFonts w:ascii="Arial Narrow" w:hAnsi="Arial Narrow"/>
                <w:sz w:val="20"/>
                <w:szCs w:val="20"/>
              </w:rPr>
              <w:t>13.2</w:t>
            </w:r>
          </w:p>
        </w:tc>
        <w:tc>
          <w:tcPr>
            <w:tcW w:w="1371" w:type="dxa"/>
          </w:tcPr>
          <w:p w14:paraId="69188A5E" w14:textId="65894B90" w:rsidR="002E2F65" w:rsidRPr="00855E1E" w:rsidRDefault="009B71C5" w:rsidP="009B71C5">
            <w:pPr>
              <w:rPr>
                <w:rFonts w:ascii="Arial Narrow" w:hAnsi="Arial Narrow"/>
                <w:sz w:val="20"/>
                <w:szCs w:val="20"/>
              </w:rPr>
            </w:pPr>
            <w:r w:rsidRPr="00855E1E">
              <w:rPr>
                <w:rFonts w:ascii="Arial Narrow" w:hAnsi="Arial Narrow"/>
                <w:sz w:val="20"/>
                <w:szCs w:val="20"/>
              </w:rPr>
              <w:t>0.7</w:t>
            </w:r>
          </w:p>
        </w:tc>
        <w:tc>
          <w:tcPr>
            <w:tcW w:w="1110" w:type="dxa"/>
          </w:tcPr>
          <w:p w14:paraId="6D813760" w14:textId="1DDF99A9" w:rsidR="002E2F65" w:rsidRPr="00855E1E" w:rsidRDefault="009B71C5" w:rsidP="002E2F65">
            <w:pPr>
              <w:rPr>
                <w:rFonts w:ascii="Arial Narrow" w:hAnsi="Arial Narrow"/>
                <w:sz w:val="20"/>
                <w:szCs w:val="20"/>
              </w:rPr>
            </w:pPr>
            <w:r w:rsidRPr="00855E1E">
              <w:rPr>
                <w:rFonts w:ascii="Arial Narrow" w:hAnsi="Arial Narrow"/>
                <w:sz w:val="20"/>
                <w:szCs w:val="20"/>
              </w:rPr>
              <w:t>43.6</w:t>
            </w:r>
          </w:p>
        </w:tc>
        <w:tc>
          <w:tcPr>
            <w:tcW w:w="1237" w:type="dxa"/>
          </w:tcPr>
          <w:p w14:paraId="1136480D" w14:textId="4E7A53C2" w:rsidR="002E2F65" w:rsidRPr="00855E1E" w:rsidRDefault="009B71C5" w:rsidP="002E2F65">
            <w:pPr>
              <w:rPr>
                <w:rFonts w:ascii="Arial Narrow" w:hAnsi="Arial Narrow"/>
                <w:sz w:val="20"/>
                <w:szCs w:val="20"/>
              </w:rPr>
            </w:pPr>
            <w:r w:rsidRPr="00855E1E">
              <w:rPr>
                <w:rFonts w:ascii="Arial Narrow" w:hAnsi="Arial Narrow"/>
                <w:sz w:val="20"/>
                <w:szCs w:val="20"/>
              </w:rPr>
              <w:t>1.1</w:t>
            </w:r>
          </w:p>
        </w:tc>
      </w:tr>
      <w:tr w:rsidR="009B5230" w:rsidRPr="00855E1E" w14:paraId="68ABE53C" w14:textId="77777777" w:rsidTr="00E110FA">
        <w:tc>
          <w:tcPr>
            <w:tcW w:w="1857" w:type="dxa"/>
          </w:tcPr>
          <w:p w14:paraId="20929E45" w14:textId="16A9078D" w:rsidR="002E2F65" w:rsidRPr="00855E1E" w:rsidRDefault="002E2F65" w:rsidP="002E2F65">
            <w:pPr>
              <w:rPr>
                <w:rFonts w:ascii="Arial Narrow" w:hAnsi="Arial Narrow"/>
                <w:sz w:val="20"/>
                <w:szCs w:val="20"/>
              </w:rPr>
            </w:pPr>
            <w:r w:rsidRPr="00855E1E">
              <w:rPr>
                <w:rFonts w:ascii="Arial Narrow" w:hAnsi="Arial Narrow"/>
                <w:sz w:val="20"/>
                <w:szCs w:val="20"/>
              </w:rPr>
              <w:t>Sensory/speech</w:t>
            </w:r>
          </w:p>
        </w:tc>
        <w:tc>
          <w:tcPr>
            <w:tcW w:w="1156" w:type="dxa"/>
          </w:tcPr>
          <w:p w14:paraId="33CE7796" w14:textId="6EFBAFAA" w:rsidR="002E2F65" w:rsidRPr="00855E1E" w:rsidRDefault="000B6676" w:rsidP="002E2F65">
            <w:pPr>
              <w:rPr>
                <w:rFonts w:ascii="Arial Narrow" w:hAnsi="Arial Narrow"/>
                <w:sz w:val="20"/>
                <w:szCs w:val="20"/>
              </w:rPr>
            </w:pPr>
            <w:r w:rsidRPr="00855E1E">
              <w:rPr>
                <w:rFonts w:ascii="Arial Narrow" w:hAnsi="Arial Narrow"/>
                <w:sz w:val="20"/>
                <w:szCs w:val="20"/>
              </w:rPr>
              <w:t>80.0</w:t>
            </w:r>
          </w:p>
        </w:tc>
        <w:tc>
          <w:tcPr>
            <w:tcW w:w="1237" w:type="dxa"/>
          </w:tcPr>
          <w:p w14:paraId="12CE8A04" w14:textId="31E8ADF1" w:rsidR="002E2F65" w:rsidRPr="00855E1E" w:rsidRDefault="000B6676" w:rsidP="002E2F65">
            <w:pPr>
              <w:rPr>
                <w:rFonts w:ascii="Arial Narrow" w:hAnsi="Arial Narrow"/>
                <w:sz w:val="20"/>
                <w:szCs w:val="20"/>
              </w:rPr>
            </w:pPr>
            <w:r w:rsidRPr="00855E1E">
              <w:rPr>
                <w:rFonts w:ascii="Arial Narrow" w:hAnsi="Arial Narrow"/>
                <w:sz w:val="20"/>
                <w:szCs w:val="20"/>
              </w:rPr>
              <w:t>4.0</w:t>
            </w:r>
          </w:p>
        </w:tc>
        <w:tc>
          <w:tcPr>
            <w:tcW w:w="1241" w:type="dxa"/>
          </w:tcPr>
          <w:p w14:paraId="18916ABC" w14:textId="48DED62F" w:rsidR="002E2F65" w:rsidRPr="00855E1E" w:rsidRDefault="000B6676" w:rsidP="002E2F65">
            <w:pPr>
              <w:rPr>
                <w:rFonts w:ascii="Arial Narrow" w:hAnsi="Arial Narrow"/>
                <w:sz w:val="20"/>
                <w:szCs w:val="20"/>
              </w:rPr>
            </w:pPr>
            <w:r w:rsidRPr="00855E1E">
              <w:rPr>
                <w:rFonts w:ascii="Arial Narrow" w:hAnsi="Arial Narrow"/>
                <w:sz w:val="20"/>
                <w:szCs w:val="20"/>
              </w:rPr>
              <w:t>39.9</w:t>
            </w:r>
          </w:p>
        </w:tc>
        <w:tc>
          <w:tcPr>
            <w:tcW w:w="1371" w:type="dxa"/>
          </w:tcPr>
          <w:p w14:paraId="1DB87961" w14:textId="4AA5D7A3" w:rsidR="002E2F65" w:rsidRPr="00855E1E" w:rsidRDefault="000B6676" w:rsidP="002E2F65">
            <w:pPr>
              <w:rPr>
                <w:rFonts w:ascii="Arial Narrow" w:hAnsi="Arial Narrow"/>
                <w:sz w:val="20"/>
                <w:szCs w:val="20"/>
              </w:rPr>
            </w:pPr>
            <w:r w:rsidRPr="00855E1E">
              <w:rPr>
                <w:rFonts w:ascii="Arial Narrow" w:hAnsi="Arial Narrow"/>
                <w:sz w:val="20"/>
                <w:szCs w:val="20"/>
              </w:rPr>
              <w:t>2.1</w:t>
            </w:r>
          </w:p>
        </w:tc>
        <w:tc>
          <w:tcPr>
            <w:tcW w:w="1110" w:type="dxa"/>
          </w:tcPr>
          <w:p w14:paraId="491531DD" w14:textId="73EC7213" w:rsidR="002E2F65" w:rsidRPr="00855E1E" w:rsidRDefault="000B6676" w:rsidP="002E2F65">
            <w:pPr>
              <w:rPr>
                <w:rFonts w:ascii="Arial Narrow" w:hAnsi="Arial Narrow"/>
                <w:sz w:val="20"/>
                <w:szCs w:val="20"/>
              </w:rPr>
            </w:pPr>
            <w:r w:rsidRPr="00855E1E">
              <w:rPr>
                <w:rFonts w:ascii="Arial Narrow" w:hAnsi="Arial Narrow"/>
                <w:sz w:val="20"/>
                <w:szCs w:val="20"/>
              </w:rPr>
              <w:t>119.9</w:t>
            </w:r>
          </w:p>
        </w:tc>
        <w:tc>
          <w:tcPr>
            <w:tcW w:w="1237" w:type="dxa"/>
          </w:tcPr>
          <w:p w14:paraId="4D26CAE5" w14:textId="6D25D123" w:rsidR="002E2F65" w:rsidRPr="00855E1E" w:rsidRDefault="000B6676" w:rsidP="002E2F65">
            <w:pPr>
              <w:rPr>
                <w:rFonts w:ascii="Arial Narrow" w:hAnsi="Arial Narrow"/>
                <w:sz w:val="20"/>
                <w:szCs w:val="20"/>
              </w:rPr>
            </w:pPr>
            <w:r w:rsidRPr="00855E1E">
              <w:rPr>
                <w:rFonts w:ascii="Arial Narrow" w:hAnsi="Arial Narrow"/>
                <w:sz w:val="20"/>
                <w:szCs w:val="20"/>
              </w:rPr>
              <w:t>3.1</w:t>
            </w:r>
          </w:p>
        </w:tc>
      </w:tr>
      <w:tr w:rsidR="009B5230" w:rsidRPr="00855E1E" w14:paraId="2D7C7F73" w14:textId="77777777" w:rsidTr="00E110FA">
        <w:tc>
          <w:tcPr>
            <w:tcW w:w="1857" w:type="dxa"/>
          </w:tcPr>
          <w:p w14:paraId="2586136D" w14:textId="02DA652E" w:rsidR="002E2F65" w:rsidRPr="00855E1E" w:rsidRDefault="009B5230" w:rsidP="002E2F65">
            <w:pPr>
              <w:rPr>
                <w:rFonts w:ascii="Arial Narrow" w:hAnsi="Arial Narrow"/>
                <w:b/>
                <w:sz w:val="20"/>
                <w:szCs w:val="20"/>
              </w:rPr>
            </w:pPr>
            <w:r w:rsidRPr="00855E1E">
              <w:rPr>
                <w:rFonts w:ascii="Arial Narrow" w:hAnsi="Arial Narrow"/>
                <w:b/>
                <w:sz w:val="20"/>
                <w:szCs w:val="20"/>
              </w:rPr>
              <w:t>All disabilities/disorders and severe or profound core activity restriction</w:t>
            </w:r>
          </w:p>
        </w:tc>
        <w:tc>
          <w:tcPr>
            <w:tcW w:w="1156" w:type="dxa"/>
          </w:tcPr>
          <w:p w14:paraId="23A41444" w14:textId="77777777" w:rsidR="002E2F65" w:rsidRPr="00855E1E" w:rsidRDefault="002E2F65" w:rsidP="002E2F65">
            <w:pPr>
              <w:rPr>
                <w:rFonts w:ascii="Arial Narrow" w:hAnsi="Arial Narrow"/>
                <w:sz w:val="20"/>
                <w:szCs w:val="20"/>
              </w:rPr>
            </w:pPr>
          </w:p>
        </w:tc>
        <w:tc>
          <w:tcPr>
            <w:tcW w:w="1237" w:type="dxa"/>
          </w:tcPr>
          <w:p w14:paraId="68AA3C1C" w14:textId="77777777" w:rsidR="002E2F65" w:rsidRPr="00855E1E" w:rsidRDefault="002E2F65" w:rsidP="002E2F65">
            <w:pPr>
              <w:rPr>
                <w:rFonts w:ascii="Arial Narrow" w:hAnsi="Arial Narrow"/>
                <w:sz w:val="20"/>
                <w:szCs w:val="20"/>
              </w:rPr>
            </w:pPr>
          </w:p>
        </w:tc>
        <w:tc>
          <w:tcPr>
            <w:tcW w:w="1241" w:type="dxa"/>
          </w:tcPr>
          <w:p w14:paraId="65D0DBFB" w14:textId="77777777" w:rsidR="002E2F65" w:rsidRPr="00855E1E" w:rsidRDefault="002E2F65" w:rsidP="002E2F65">
            <w:pPr>
              <w:rPr>
                <w:rFonts w:ascii="Arial Narrow" w:hAnsi="Arial Narrow"/>
                <w:sz w:val="20"/>
                <w:szCs w:val="20"/>
              </w:rPr>
            </w:pPr>
          </w:p>
        </w:tc>
        <w:tc>
          <w:tcPr>
            <w:tcW w:w="1371" w:type="dxa"/>
          </w:tcPr>
          <w:p w14:paraId="189415E9" w14:textId="77777777" w:rsidR="002E2F65" w:rsidRPr="00855E1E" w:rsidRDefault="002E2F65" w:rsidP="002E2F65">
            <w:pPr>
              <w:rPr>
                <w:rFonts w:ascii="Arial Narrow" w:hAnsi="Arial Narrow"/>
                <w:sz w:val="20"/>
                <w:szCs w:val="20"/>
              </w:rPr>
            </w:pPr>
          </w:p>
        </w:tc>
        <w:tc>
          <w:tcPr>
            <w:tcW w:w="1110" w:type="dxa"/>
          </w:tcPr>
          <w:p w14:paraId="04194A70" w14:textId="77777777" w:rsidR="002E2F65" w:rsidRPr="00855E1E" w:rsidRDefault="002E2F65" w:rsidP="002E2F65">
            <w:pPr>
              <w:rPr>
                <w:rFonts w:ascii="Arial Narrow" w:hAnsi="Arial Narrow"/>
                <w:sz w:val="20"/>
                <w:szCs w:val="20"/>
              </w:rPr>
            </w:pPr>
          </w:p>
        </w:tc>
        <w:tc>
          <w:tcPr>
            <w:tcW w:w="1237" w:type="dxa"/>
          </w:tcPr>
          <w:p w14:paraId="59496667" w14:textId="77777777" w:rsidR="002E2F65" w:rsidRPr="00855E1E" w:rsidRDefault="002E2F65" w:rsidP="002E2F65">
            <w:pPr>
              <w:rPr>
                <w:rFonts w:ascii="Arial Narrow" w:hAnsi="Arial Narrow"/>
                <w:sz w:val="20"/>
                <w:szCs w:val="20"/>
              </w:rPr>
            </w:pPr>
          </w:p>
        </w:tc>
      </w:tr>
      <w:tr w:rsidR="00E110FA" w:rsidRPr="00855E1E" w14:paraId="56C745B1" w14:textId="77777777" w:rsidTr="00E110FA">
        <w:tc>
          <w:tcPr>
            <w:tcW w:w="1857" w:type="dxa"/>
          </w:tcPr>
          <w:p w14:paraId="1C32237D" w14:textId="7A05140B" w:rsidR="00E110FA" w:rsidRPr="00855E1E" w:rsidRDefault="00E110FA" w:rsidP="00E110FA">
            <w:pPr>
              <w:rPr>
                <w:rFonts w:ascii="Arial Narrow" w:hAnsi="Arial Narrow"/>
                <w:sz w:val="20"/>
                <w:szCs w:val="20"/>
              </w:rPr>
            </w:pPr>
            <w:r w:rsidRPr="00855E1E">
              <w:rPr>
                <w:rFonts w:ascii="Arial Narrow" w:hAnsi="Arial Narrow"/>
                <w:sz w:val="20"/>
                <w:szCs w:val="20"/>
              </w:rPr>
              <w:t>Intellectual/learning</w:t>
            </w:r>
          </w:p>
        </w:tc>
        <w:tc>
          <w:tcPr>
            <w:tcW w:w="1156" w:type="dxa"/>
          </w:tcPr>
          <w:p w14:paraId="4A883B8A" w14:textId="07A49F3F" w:rsidR="00E110FA" w:rsidRPr="00855E1E" w:rsidRDefault="000B6676" w:rsidP="00E110FA">
            <w:pPr>
              <w:rPr>
                <w:rFonts w:ascii="Arial Narrow" w:hAnsi="Arial Narrow"/>
                <w:sz w:val="20"/>
                <w:szCs w:val="20"/>
              </w:rPr>
            </w:pPr>
            <w:r w:rsidRPr="00855E1E">
              <w:rPr>
                <w:rFonts w:ascii="Arial Narrow" w:hAnsi="Arial Narrow"/>
                <w:sz w:val="20"/>
                <w:szCs w:val="20"/>
              </w:rPr>
              <w:t>58.7</w:t>
            </w:r>
          </w:p>
        </w:tc>
        <w:tc>
          <w:tcPr>
            <w:tcW w:w="1237" w:type="dxa"/>
          </w:tcPr>
          <w:p w14:paraId="676101C2" w14:textId="66BA059A" w:rsidR="00E110FA" w:rsidRPr="00855E1E" w:rsidRDefault="000B6676" w:rsidP="00E110FA">
            <w:pPr>
              <w:rPr>
                <w:rFonts w:ascii="Arial Narrow" w:hAnsi="Arial Narrow"/>
                <w:sz w:val="20"/>
                <w:szCs w:val="20"/>
              </w:rPr>
            </w:pPr>
            <w:r w:rsidRPr="00855E1E">
              <w:rPr>
                <w:rFonts w:ascii="Arial Narrow" w:hAnsi="Arial Narrow"/>
                <w:sz w:val="20"/>
                <w:szCs w:val="20"/>
              </w:rPr>
              <w:t>2.9</w:t>
            </w:r>
          </w:p>
        </w:tc>
        <w:tc>
          <w:tcPr>
            <w:tcW w:w="1241" w:type="dxa"/>
          </w:tcPr>
          <w:p w14:paraId="0F8D6D82" w14:textId="06D7032B" w:rsidR="00E110FA" w:rsidRPr="00855E1E" w:rsidRDefault="000B6676" w:rsidP="00E110FA">
            <w:pPr>
              <w:rPr>
                <w:rFonts w:ascii="Arial Narrow" w:hAnsi="Arial Narrow"/>
                <w:sz w:val="20"/>
                <w:szCs w:val="20"/>
              </w:rPr>
            </w:pPr>
            <w:r w:rsidRPr="00855E1E">
              <w:rPr>
                <w:rFonts w:ascii="Arial Narrow" w:hAnsi="Arial Narrow"/>
                <w:sz w:val="20"/>
                <w:szCs w:val="20"/>
              </w:rPr>
              <w:t>24.3</w:t>
            </w:r>
          </w:p>
        </w:tc>
        <w:tc>
          <w:tcPr>
            <w:tcW w:w="1371" w:type="dxa"/>
          </w:tcPr>
          <w:p w14:paraId="3FAEDBA2" w14:textId="7171C86F" w:rsidR="00E110FA" w:rsidRPr="00855E1E" w:rsidRDefault="000B6676" w:rsidP="00E110FA">
            <w:pPr>
              <w:rPr>
                <w:rFonts w:ascii="Arial Narrow" w:hAnsi="Arial Narrow"/>
                <w:sz w:val="20"/>
                <w:szCs w:val="20"/>
              </w:rPr>
            </w:pPr>
            <w:r w:rsidRPr="00855E1E">
              <w:rPr>
                <w:rFonts w:ascii="Arial Narrow" w:hAnsi="Arial Narrow"/>
                <w:sz w:val="20"/>
                <w:szCs w:val="20"/>
              </w:rPr>
              <w:t>1.3</w:t>
            </w:r>
          </w:p>
        </w:tc>
        <w:tc>
          <w:tcPr>
            <w:tcW w:w="1110" w:type="dxa"/>
          </w:tcPr>
          <w:p w14:paraId="322CB3AA" w14:textId="23BCF80A" w:rsidR="00E110FA" w:rsidRPr="00855E1E" w:rsidRDefault="000B6676" w:rsidP="00E110FA">
            <w:pPr>
              <w:rPr>
                <w:rFonts w:ascii="Arial Narrow" w:hAnsi="Arial Narrow"/>
                <w:sz w:val="20"/>
                <w:szCs w:val="20"/>
              </w:rPr>
            </w:pPr>
            <w:r w:rsidRPr="00855E1E">
              <w:rPr>
                <w:rFonts w:ascii="Arial Narrow" w:hAnsi="Arial Narrow"/>
                <w:sz w:val="20"/>
                <w:szCs w:val="20"/>
              </w:rPr>
              <w:t>83.0</w:t>
            </w:r>
          </w:p>
        </w:tc>
        <w:tc>
          <w:tcPr>
            <w:tcW w:w="1237" w:type="dxa"/>
          </w:tcPr>
          <w:p w14:paraId="77F5441E" w14:textId="25B81D8B" w:rsidR="00E110FA" w:rsidRPr="00855E1E" w:rsidRDefault="000B6676" w:rsidP="00E110FA">
            <w:pPr>
              <w:rPr>
                <w:rFonts w:ascii="Arial Narrow" w:hAnsi="Arial Narrow"/>
                <w:sz w:val="20"/>
                <w:szCs w:val="20"/>
              </w:rPr>
            </w:pPr>
            <w:r w:rsidRPr="00855E1E">
              <w:rPr>
                <w:rFonts w:ascii="Arial Narrow" w:hAnsi="Arial Narrow"/>
                <w:sz w:val="20"/>
                <w:szCs w:val="20"/>
              </w:rPr>
              <w:t>2.1</w:t>
            </w:r>
          </w:p>
        </w:tc>
      </w:tr>
      <w:tr w:rsidR="00E110FA" w:rsidRPr="00855E1E" w14:paraId="2971CB37" w14:textId="77777777" w:rsidTr="00E110FA">
        <w:tc>
          <w:tcPr>
            <w:tcW w:w="1857" w:type="dxa"/>
          </w:tcPr>
          <w:p w14:paraId="03AC6E03" w14:textId="2FDEDF69" w:rsidR="00E110FA" w:rsidRPr="00855E1E" w:rsidRDefault="00E110FA" w:rsidP="00E110FA">
            <w:pPr>
              <w:rPr>
                <w:rFonts w:ascii="Arial Narrow" w:hAnsi="Arial Narrow"/>
                <w:sz w:val="20"/>
                <w:szCs w:val="20"/>
              </w:rPr>
            </w:pPr>
            <w:r w:rsidRPr="00855E1E">
              <w:rPr>
                <w:rFonts w:ascii="Arial Narrow" w:hAnsi="Arial Narrow"/>
                <w:sz w:val="20"/>
                <w:szCs w:val="20"/>
              </w:rPr>
              <w:t>Psychiatric</w:t>
            </w:r>
          </w:p>
        </w:tc>
        <w:tc>
          <w:tcPr>
            <w:tcW w:w="1156" w:type="dxa"/>
          </w:tcPr>
          <w:p w14:paraId="09052BA1" w14:textId="21BD6B76" w:rsidR="00E110FA" w:rsidRPr="00855E1E" w:rsidRDefault="000B6676" w:rsidP="00E110FA">
            <w:pPr>
              <w:rPr>
                <w:rFonts w:ascii="Arial Narrow" w:hAnsi="Arial Narrow"/>
                <w:sz w:val="20"/>
                <w:szCs w:val="20"/>
              </w:rPr>
            </w:pPr>
            <w:r w:rsidRPr="00855E1E">
              <w:rPr>
                <w:rFonts w:ascii="Arial Narrow" w:hAnsi="Arial Narrow"/>
                <w:sz w:val="20"/>
                <w:szCs w:val="20"/>
              </w:rPr>
              <w:t>25.8</w:t>
            </w:r>
          </w:p>
        </w:tc>
        <w:tc>
          <w:tcPr>
            <w:tcW w:w="1237" w:type="dxa"/>
          </w:tcPr>
          <w:p w14:paraId="26677E5B" w14:textId="2766C518" w:rsidR="00E110FA" w:rsidRPr="00855E1E" w:rsidRDefault="000B6676" w:rsidP="00E110FA">
            <w:pPr>
              <w:rPr>
                <w:rFonts w:ascii="Arial Narrow" w:hAnsi="Arial Narrow"/>
                <w:sz w:val="20"/>
                <w:szCs w:val="20"/>
              </w:rPr>
            </w:pPr>
            <w:r w:rsidRPr="00855E1E">
              <w:rPr>
                <w:rFonts w:ascii="Arial Narrow" w:hAnsi="Arial Narrow"/>
                <w:sz w:val="20"/>
                <w:szCs w:val="20"/>
              </w:rPr>
              <w:t>1.3</w:t>
            </w:r>
          </w:p>
        </w:tc>
        <w:tc>
          <w:tcPr>
            <w:tcW w:w="1241" w:type="dxa"/>
          </w:tcPr>
          <w:p w14:paraId="6B672BBE" w14:textId="267D8C6C" w:rsidR="00E110FA" w:rsidRPr="00855E1E" w:rsidRDefault="000B6676" w:rsidP="00E110FA">
            <w:pPr>
              <w:rPr>
                <w:rFonts w:ascii="Arial Narrow" w:hAnsi="Arial Narrow"/>
                <w:sz w:val="20"/>
                <w:szCs w:val="20"/>
              </w:rPr>
            </w:pPr>
            <w:r w:rsidRPr="00855E1E">
              <w:rPr>
                <w:rFonts w:ascii="Arial Narrow" w:hAnsi="Arial Narrow"/>
                <w:sz w:val="20"/>
                <w:szCs w:val="20"/>
              </w:rPr>
              <w:t>11.2</w:t>
            </w:r>
          </w:p>
        </w:tc>
        <w:tc>
          <w:tcPr>
            <w:tcW w:w="1371" w:type="dxa"/>
          </w:tcPr>
          <w:p w14:paraId="70060B30" w14:textId="1F03B10B" w:rsidR="00E110FA" w:rsidRPr="00855E1E" w:rsidRDefault="000B6676" w:rsidP="00E110FA">
            <w:pPr>
              <w:rPr>
                <w:rFonts w:ascii="Arial Narrow" w:hAnsi="Arial Narrow"/>
                <w:sz w:val="20"/>
                <w:szCs w:val="20"/>
              </w:rPr>
            </w:pPr>
            <w:r w:rsidRPr="00855E1E">
              <w:rPr>
                <w:rFonts w:ascii="Arial Narrow" w:hAnsi="Arial Narrow"/>
                <w:sz w:val="20"/>
                <w:szCs w:val="20"/>
              </w:rPr>
              <w:t>0.6</w:t>
            </w:r>
          </w:p>
        </w:tc>
        <w:tc>
          <w:tcPr>
            <w:tcW w:w="1110" w:type="dxa"/>
          </w:tcPr>
          <w:p w14:paraId="32E81152" w14:textId="37D58B50" w:rsidR="00E110FA" w:rsidRPr="00855E1E" w:rsidRDefault="000B6676" w:rsidP="00E110FA">
            <w:pPr>
              <w:rPr>
                <w:rFonts w:ascii="Arial Narrow" w:hAnsi="Arial Narrow"/>
                <w:sz w:val="20"/>
                <w:szCs w:val="20"/>
              </w:rPr>
            </w:pPr>
            <w:r w:rsidRPr="00855E1E">
              <w:rPr>
                <w:rFonts w:ascii="Arial Narrow" w:hAnsi="Arial Narrow"/>
                <w:sz w:val="20"/>
                <w:szCs w:val="20"/>
              </w:rPr>
              <w:t>37.0</w:t>
            </w:r>
          </w:p>
        </w:tc>
        <w:tc>
          <w:tcPr>
            <w:tcW w:w="1237" w:type="dxa"/>
          </w:tcPr>
          <w:p w14:paraId="0BED4B63" w14:textId="558A58DE" w:rsidR="00E110FA" w:rsidRPr="00855E1E" w:rsidRDefault="000B6676" w:rsidP="00E110FA">
            <w:pPr>
              <w:rPr>
                <w:rFonts w:ascii="Arial Narrow" w:hAnsi="Arial Narrow"/>
                <w:sz w:val="20"/>
                <w:szCs w:val="20"/>
              </w:rPr>
            </w:pPr>
            <w:r w:rsidRPr="00855E1E">
              <w:rPr>
                <w:rFonts w:ascii="Arial Narrow" w:hAnsi="Arial Narrow"/>
                <w:sz w:val="20"/>
                <w:szCs w:val="20"/>
              </w:rPr>
              <w:t>0.9</w:t>
            </w:r>
          </w:p>
        </w:tc>
      </w:tr>
      <w:tr w:rsidR="00E110FA" w:rsidRPr="00855E1E" w14:paraId="3B10D9B0" w14:textId="77777777" w:rsidTr="00E110FA">
        <w:tc>
          <w:tcPr>
            <w:tcW w:w="1857" w:type="dxa"/>
          </w:tcPr>
          <w:p w14:paraId="636F6202" w14:textId="142D8AE6" w:rsidR="00E110FA" w:rsidRPr="00855E1E" w:rsidRDefault="00E110FA" w:rsidP="00E110FA">
            <w:pPr>
              <w:rPr>
                <w:rFonts w:ascii="Arial Narrow" w:hAnsi="Arial Narrow"/>
                <w:sz w:val="20"/>
                <w:szCs w:val="20"/>
              </w:rPr>
            </w:pPr>
            <w:r w:rsidRPr="00855E1E">
              <w:rPr>
                <w:rFonts w:ascii="Arial Narrow" w:hAnsi="Arial Narrow"/>
                <w:sz w:val="20"/>
                <w:szCs w:val="20"/>
              </w:rPr>
              <w:t>Sensory/speech</w:t>
            </w:r>
          </w:p>
        </w:tc>
        <w:tc>
          <w:tcPr>
            <w:tcW w:w="1156" w:type="dxa"/>
          </w:tcPr>
          <w:p w14:paraId="430FD971" w14:textId="47225422" w:rsidR="00E110FA" w:rsidRPr="00855E1E" w:rsidRDefault="000B6676" w:rsidP="00E110FA">
            <w:pPr>
              <w:rPr>
                <w:rFonts w:ascii="Arial Narrow" w:hAnsi="Arial Narrow"/>
                <w:sz w:val="20"/>
                <w:szCs w:val="20"/>
              </w:rPr>
            </w:pPr>
            <w:r w:rsidRPr="00855E1E">
              <w:rPr>
                <w:rFonts w:ascii="Arial Narrow" w:hAnsi="Arial Narrow"/>
                <w:sz w:val="20"/>
                <w:szCs w:val="20"/>
              </w:rPr>
              <w:t>54.1</w:t>
            </w:r>
          </w:p>
        </w:tc>
        <w:tc>
          <w:tcPr>
            <w:tcW w:w="1237" w:type="dxa"/>
          </w:tcPr>
          <w:p w14:paraId="5215A169" w14:textId="25334549" w:rsidR="00E110FA" w:rsidRPr="00855E1E" w:rsidRDefault="000B6676" w:rsidP="00E110FA">
            <w:pPr>
              <w:rPr>
                <w:rFonts w:ascii="Arial Narrow" w:hAnsi="Arial Narrow"/>
                <w:sz w:val="20"/>
                <w:szCs w:val="20"/>
              </w:rPr>
            </w:pPr>
            <w:r w:rsidRPr="00855E1E">
              <w:rPr>
                <w:rFonts w:ascii="Arial Narrow" w:hAnsi="Arial Narrow"/>
                <w:sz w:val="20"/>
                <w:szCs w:val="20"/>
              </w:rPr>
              <w:t>2.7</w:t>
            </w:r>
          </w:p>
        </w:tc>
        <w:tc>
          <w:tcPr>
            <w:tcW w:w="1241" w:type="dxa"/>
          </w:tcPr>
          <w:p w14:paraId="22DE1F6C" w14:textId="01B9EEF5" w:rsidR="00E110FA" w:rsidRPr="00855E1E" w:rsidRDefault="000B6676" w:rsidP="00E110FA">
            <w:pPr>
              <w:rPr>
                <w:rFonts w:ascii="Arial Narrow" w:hAnsi="Arial Narrow"/>
                <w:sz w:val="20"/>
                <w:szCs w:val="20"/>
              </w:rPr>
            </w:pPr>
            <w:r w:rsidRPr="00855E1E">
              <w:rPr>
                <w:rFonts w:ascii="Arial Narrow" w:hAnsi="Arial Narrow"/>
                <w:sz w:val="20"/>
                <w:szCs w:val="20"/>
              </w:rPr>
              <w:t>23.5</w:t>
            </w:r>
          </w:p>
        </w:tc>
        <w:tc>
          <w:tcPr>
            <w:tcW w:w="1371" w:type="dxa"/>
          </w:tcPr>
          <w:p w14:paraId="3E6849C0" w14:textId="01391A9D" w:rsidR="00E110FA" w:rsidRPr="00855E1E" w:rsidRDefault="000B6676" w:rsidP="00E110FA">
            <w:pPr>
              <w:rPr>
                <w:rFonts w:ascii="Arial Narrow" w:hAnsi="Arial Narrow"/>
                <w:sz w:val="20"/>
                <w:szCs w:val="20"/>
              </w:rPr>
            </w:pPr>
            <w:r w:rsidRPr="00855E1E">
              <w:rPr>
                <w:rFonts w:ascii="Arial Narrow" w:hAnsi="Arial Narrow"/>
                <w:sz w:val="20"/>
                <w:szCs w:val="20"/>
              </w:rPr>
              <w:t>1.2</w:t>
            </w:r>
          </w:p>
        </w:tc>
        <w:tc>
          <w:tcPr>
            <w:tcW w:w="1110" w:type="dxa"/>
          </w:tcPr>
          <w:p w14:paraId="41E22A95" w14:textId="5E319523" w:rsidR="00E110FA" w:rsidRPr="00855E1E" w:rsidRDefault="000B6676" w:rsidP="00E110FA">
            <w:pPr>
              <w:rPr>
                <w:rFonts w:ascii="Arial Narrow" w:hAnsi="Arial Narrow"/>
                <w:sz w:val="20"/>
                <w:szCs w:val="20"/>
              </w:rPr>
            </w:pPr>
            <w:r w:rsidRPr="00855E1E">
              <w:rPr>
                <w:rFonts w:ascii="Arial Narrow" w:hAnsi="Arial Narrow"/>
                <w:sz w:val="20"/>
                <w:szCs w:val="20"/>
              </w:rPr>
              <w:t>77.6</w:t>
            </w:r>
          </w:p>
        </w:tc>
        <w:tc>
          <w:tcPr>
            <w:tcW w:w="1237" w:type="dxa"/>
          </w:tcPr>
          <w:p w14:paraId="1C887C2F" w14:textId="5E96774D" w:rsidR="00E110FA" w:rsidRPr="00855E1E" w:rsidRDefault="000B6676" w:rsidP="00E110FA">
            <w:pPr>
              <w:rPr>
                <w:rFonts w:ascii="Arial Narrow" w:hAnsi="Arial Narrow"/>
                <w:sz w:val="20"/>
                <w:szCs w:val="20"/>
              </w:rPr>
            </w:pPr>
            <w:r w:rsidRPr="00855E1E">
              <w:rPr>
                <w:rFonts w:ascii="Arial Narrow" w:hAnsi="Arial Narrow"/>
                <w:sz w:val="20"/>
                <w:szCs w:val="20"/>
              </w:rPr>
              <w:t>2.0</w:t>
            </w:r>
          </w:p>
        </w:tc>
      </w:tr>
      <w:tr w:rsidR="00E110FA" w:rsidRPr="00855E1E" w14:paraId="26AB60A0" w14:textId="77777777" w:rsidTr="00E110FA">
        <w:tc>
          <w:tcPr>
            <w:tcW w:w="1857" w:type="dxa"/>
          </w:tcPr>
          <w:p w14:paraId="3D55DFE4" w14:textId="48C06ADB" w:rsidR="00E110FA" w:rsidRPr="00855E1E" w:rsidRDefault="00E110FA" w:rsidP="00E110FA">
            <w:pPr>
              <w:rPr>
                <w:rFonts w:ascii="Arial Narrow" w:hAnsi="Arial Narrow"/>
                <w:b/>
                <w:sz w:val="20"/>
                <w:szCs w:val="20"/>
              </w:rPr>
            </w:pPr>
            <w:r w:rsidRPr="00855E1E">
              <w:rPr>
                <w:rFonts w:ascii="Arial Narrow" w:hAnsi="Arial Narrow"/>
                <w:b/>
                <w:sz w:val="20"/>
                <w:szCs w:val="20"/>
              </w:rPr>
              <w:t>Main disability/disorder</w:t>
            </w:r>
          </w:p>
        </w:tc>
        <w:tc>
          <w:tcPr>
            <w:tcW w:w="1156" w:type="dxa"/>
          </w:tcPr>
          <w:p w14:paraId="227AFC5B" w14:textId="77777777" w:rsidR="00E110FA" w:rsidRPr="00855E1E" w:rsidRDefault="00E110FA" w:rsidP="00E110FA">
            <w:pPr>
              <w:rPr>
                <w:rFonts w:ascii="Arial Narrow" w:hAnsi="Arial Narrow"/>
                <w:sz w:val="20"/>
                <w:szCs w:val="20"/>
              </w:rPr>
            </w:pPr>
          </w:p>
        </w:tc>
        <w:tc>
          <w:tcPr>
            <w:tcW w:w="1237" w:type="dxa"/>
          </w:tcPr>
          <w:p w14:paraId="632FF052" w14:textId="77777777" w:rsidR="00E110FA" w:rsidRPr="00855E1E" w:rsidRDefault="00E110FA" w:rsidP="00E110FA">
            <w:pPr>
              <w:rPr>
                <w:rFonts w:ascii="Arial Narrow" w:hAnsi="Arial Narrow"/>
                <w:sz w:val="20"/>
                <w:szCs w:val="20"/>
              </w:rPr>
            </w:pPr>
          </w:p>
        </w:tc>
        <w:tc>
          <w:tcPr>
            <w:tcW w:w="1241" w:type="dxa"/>
          </w:tcPr>
          <w:p w14:paraId="41235BA5" w14:textId="77777777" w:rsidR="00E110FA" w:rsidRPr="00855E1E" w:rsidRDefault="00E110FA" w:rsidP="00E110FA">
            <w:pPr>
              <w:rPr>
                <w:rFonts w:ascii="Arial Narrow" w:hAnsi="Arial Narrow"/>
                <w:sz w:val="20"/>
                <w:szCs w:val="20"/>
              </w:rPr>
            </w:pPr>
          </w:p>
        </w:tc>
        <w:tc>
          <w:tcPr>
            <w:tcW w:w="1371" w:type="dxa"/>
          </w:tcPr>
          <w:p w14:paraId="047FAB54" w14:textId="77777777" w:rsidR="00E110FA" w:rsidRPr="00855E1E" w:rsidRDefault="00E110FA" w:rsidP="00E110FA">
            <w:pPr>
              <w:rPr>
                <w:rFonts w:ascii="Arial Narrow" w:hAnsi="Arial Narrow"/>
                <w:sz w:val="20"/>
                <w:szCs w:val="20"/>
              </w:rPr>
            </w:pPr>
          </w:p>
        </w:tc>
        <w:tc>
          <w:tcPr>
            <w:tcW w:w="1110" w:type="dxa"/>
          </w:tcPr>
          <w:p w14:paraId="30DC5596" w14:textId="77777777" w:rsidR="00E110FA" w:rsidRPr="00855E1E" w:rsidRDefault="00E110FA" w:rsidP="00E110FA">
            <w:pPr>
              <w:rPr>
                <w:rFonts w:ascii="Arial Narrow" w:hAnsi="Arial Narrow"/>
                <w:sz w:val="20"/>
                <w:szCs w:val="20"/>
              </w:rPr>
            </w:pPr>
          </w:p>
        </w:tc>
        <w:tc>
          <w:tcPr>
            <w:tcW w:w="1237" w:type="dxa"/>
          </w:tcPr>
          <w:p w14:paraId="0FCC2B72" w14:textId="77777777" w:rsidR="00E110FA" w:rsidRPr="00855E1E" w:rsidRDefault="00E110FA" w:rsidP="00E110FA">
            <w:pPr>
              <w:rPr>
                <w:rFonts w:ascii="Arial Narrow" w:hAnsi="Arial Narrow"/>
                <w:sz w:val="20"/>
                <w:szCs w:val="20"/>
              </w:rPr>
            </w:pPr>
          </w:p>
        </w:tc>
      </w:tr>
      <w:tr w:rsidR="00E110FA" w:rsidRPr="00855E1E" w14:paraId="0643773B" w14:textId="77777777" w:rsidTr="00E110FA">
        <w:tc>
          <w:tcPr>
            <w:tcW w:w="1857" w:type="dxa"/>
          </w:tcPr>
          <w:p w14:paraId="41BE1393" w14:textId="18429BD2" w:rsidR="00E110FA" w:rsidRPr="00855E1E" w:rsidRDefault="00E110FA" w:rsidP="00E110FA">
            <w:pPr>
              <w:rPr>
                <w:rFonts w:ascii="Arial Narrow" w:hAnsi="Arial Narrow"/>
                <w:sz w:val="20"/>
                <w:szCs w:val="20"/>
              </w:rPr>
            </w:pPr>
            <w:r w:rsidRPr="00855E1E">
              <w:rPr>
                <w:rFonts w:ascii="Arial Narrow" w:hAnsi="Arial Narrow"/>
                <w:sz w:val="20"/>
                <w:szCs w:val="20"/>
              </w:rPr>
              <w:t>Intellectual/learning</w:t>
            </w:r>
          </w:p>
        </w:tc>
        <w:tc>
          <w:tcPr>
            <w:tcW w:w="1156" w:type="dxa"/>
          </w:tcPr>
          <w:p w14:paraId="3401D847" w14:textId="38B1F574" w:rsidR="00E110FA" w:rsidRPr="00855E1E" w:rsidRDefault="000B6676" w:rsidP="00E110FA">
            <w:pPr>
              <w:rPr>
                <w:rFonts w:ascii="Arial Narrow" w:hAnsi="Arial Narrow"/>
                <w:sz w:val="20"/>
                <w:szCs w:val="20"/>
              </w:rPr>
            </w:pPr>
            <w:r w:rsidRPr="00855E1E">
              <w:rPr>
                <w:rFonts w:ascii="Arial Narrow" w:hAnsi="Arial Narrow"/>
                <w:sz w:val="20"/>
                <w:szCs w:val="20"/>
              </w:rPr>
              <w:t>87.1</w:t>
            </w:r>
          </w:p>
        </w:tc>
        <w:tc>
          <w:tcPr>
            <w:tcW w:w="1237" w:type="dxa"/>
          </w:tcPr>
          <w:p w14:paraId="45D2E885" w14:textId="2250BD72" w:rsidR="00E110FA" w:rsidRPr="00855E1E" w:rsidRDefault="000B6676" w:rsidP="00E110FA">
            <w:pPr>
              <w:rPr>
                <w:rFonts w:ascii="Arial Narrow" w:hAnsi="Arial Narrow"/>
                <w:sz w:val="20"/>
                <w:szCs w:val="20"/>
              </w:rPr>
            </w:pPr>
            <w:r w:rsidRPr="00855E1E">
              <w:rPr>
                <w:rFonts w:ascii="Arial Narrow" w:hAnsi="Arial Narrow"/>
                <w:sz w:val="20"/>
                <w:szCs w:val="20"/>
              </w:rPr>
              <w:t>4.4</w:t>
            </w:r>
          </w:p>
        </w:tc>
        <w:tc>
          <w:tcPr>
            <w:tcW w:w="1241" w:type="dxa"/>
          </w:tcPr>
          <w:p w14:paraId="472F1028" w14:textId="71674072" w:rsidR="00E110FA" w:rsidRPr="00855E1E" w:rsidRDefault="000B6676" w:rsidP="00E110FA">
            <w:pPr>
              <w:rPr>
                <w:rFonts w:ascii="Arial Narrow" w:hAnsi="Arial Narrow"/>
                <w:sz w:val="20"/>
                <w:szCs w:val="20"/>
              </w:rPr>
            </w:pPr>
            <w:r w:rsidRPr="00855E1E">
              <w:rPr>
                <w:rFonts w:ascii="Arial Narrow" w:hAnsi="Arial Narrow"/>
                <w:sz w:val="20"/>
                <w:szCs w:val="20"/>
              </w:rPr>
              <w:t>25.7</w:t>
            </w:r>
          </w:p>
        </w:tc>
        <w:tc>
          <w:tcPr>
            <w:tcW w:w="1371" w:type="dxa"/>
          </w:tcPr>
          <w:p w14:paraId="738BA033" w14:textId="6D738352" w:rsidR="00E110FA" w:rsidRPr="00855E1E" w:rsidRDefault="000B6676" w:rsidP="00E110FA">
            <w:pPr>
              <w:rPr>
                <w:rFonts w:ascii="Arial Narrow" w:hAnsi="Arial Narrow"/>
                <w:sz w:val="20"/>
                <w:szCs w:val="20"/>
              </w:rPr>
            </w:pPr>
            <w:r w:rsidRPr="00855E1E">
              <w:rPr>
                <w:rFonts w:ascii="Arial Narrow" w:hAnsi="Arial Narrow"/>
                <w:sz w:val="20"/>
                <w:szCs w:val="20"/>
              </w:rPr>
              <w:t>1.3</w:t>
            </w:r>
          </w:p>
        </w:tc>
        <w:tc>
          <w:tcPr>
            <w:tcW w:w="1110" w:type="dxa"/>
          </w:tcPr>
          <w:p w14:paraId="4E8DC448" w14:textId="251D8A93" w:rsidR="00E110FA" w:rsidRPr="00855E1E" w:rsidRDefault="000B6676" w:rsidP="00E110FA">
            <w:pPr>
              <w:rPr>
                <w:rFonts w:ascii="Arial Narrow" w:hAnsi="Arial Narrow"/>
                <w:sz w:val="20"/>
                <w:szCs w:val="20"/>
              </w:rPr>
            </w:pPr>
            <w:r w:rsidRPr="00855E1E">
              <w:rPr>
                <w:rFonts w:ascii="Arial Narrow" w:hAnsi="Arial Narrow"/>
                <w:sz w:val="20"/>
                <w:szCs w:val="20"/>
              </w:rPr>
              <w:t>112.9</w:t>
            </w:r>
          </w:p>
        </w:tc>
        <w:tc>
          <w:tcPr>
            <w:tcW w:w="1237" w:type="dxa"/>
          </w:tcPr>
          <w:p w14:paraId="2FAFCC75" w14:textId="0D15D4E1" w:rsidR="00E110FA" w:rsidRPr="00855E1E" w:rsidRDefault="000B6676" w:rsidP="00E110FA">
            <w:pPr>
              <w:rPr>
                <w:rFonts w:ascii="Arial Narrow" w:hAnsi="Arial Narrow"/>
                <w:sz w:val="20"/>
                <w:szCs w:val="20"/>
              </w:rPr>
            </w:pPr>
            <w:r w:rsidRPr="00855E1E">
              <w:rPr>
                <w:rFonts w:ascii="Arial Narrow" w:hAnsi="Arial Narrow"/>
                <w:sz w:val="20"/>
                <w:szCs w:val="20"/>
              </w:rPr>
              <w:t>2.9</w:t>
            </w:r>
          </w:p>
        </w:tc>
      </w:tr>
      <w:tr w:rsidR="00E110FA" w:rsidRPr="00855E1E" w14:paraId="303EAC6D" w14:textId="77777777" w:rsidTr="00E110FA">
        <w:tc>
          <w:tcPr>
            <w:tcW w:w="1857" w:type="dxa"/>
          </w:tcPr>
          <w:p w14:paraId="5F719D58" w14:textId="4E608089" w:rsidR="00E110FA" w:rsidRPr="00855E1E" w:rsidRDefault="00E110FA" w:rsidP="00E110FA">
            <w:pPr>
              <w:rPr>
                <w:rFonts w:ascii="Arial Narrow" w:hAnsi="Arial Narrow"/>
                <w:sz w:val="20"/>
                <w:szCs w:val="20"/>
              </w:rPr>
            </w:pPr>
            <w:r w:rsidRPr="00855E1E">
              <w:rPr>
                <w:rFonts w:ascii="Arial Narrow" w:hAnsi="Arial Narrow"/>
                <w:sz w:val="20"/>
                <w:szCs w:val="20"/>
              </w:rPr>
              <w:t>Psychiatric</w:t>
            </w:r>
          </w:p>
        </w:tc>
        <w:tc>
          <w:tcPr>
            <w:tcW w:w="1156" w:type="dxa"/>
          </w:tcPr>
          <w:p w14:paraId="24AE30EE" w14:textId="70B4890B" w:rsidR="00E110FA" w:rsidRPr="00855E1E" w:rsidRDefault="000B6676" w:rsidP="00E110FA">
            <w:pPr>
              <w:rPr>
                <w:rFonts w:ascii="Arial Narrow" w:hAnsi="Arial Narrow"/>
                <w:sz w:val="20"/>
                <w:szCs w:val="20"/>
              </w:rPr>
            </w:pPr>
            <w:r w:rsidRPr="00855E1E">
              <w:rPr>
                <w:rFonts w:ascii="Arial Narrow" w:hAnsi="Arial Narrow"/>
                <w:sz w:val="20"/>
                <w:szCs w:val="20"/>
              </w:rPr>
              <w:t>5.1</w:t>
            </w:r>
          </w:p>
        </w:tc>
        <w:tc>
          <w:tcPr>
            <w:tcW w:w="1237" w:type="dxa"/>
          </w:tcPr>
          <w:p w14:paraId="4997ECE2" w14:textId="185167E6" w:rsidR="00E110FA" w:rsidRPr="00855E1E" w:rsidRDefault="000B6676" w:rsidP="00E110FA">
            <w:pPr>
              <w:rPr>
                <w:rFonts w:ascii="Arial Narrow" w:hAnsi="Arial Narrow"/>
                <w:sz w:val="20"/>
                <w:szCs w:val="20"/>
              </w:rPr>
            </w:pPr>
            <w:r w:rsidRPr="00855E1E">
              <w:rPr>
                <w:rFonts w:ascii="Arial Narrow" w:hAnsi="Arial Narrow"/>
                <w:sz w:val="20"/>
                <w:szCs w:val="20"/>
              </w:rPr>
              <w:t>0.3</w:t>
            </w:r>
          </w:p>
        </w:tc>
        <w:tc>
          <w:tcPr>
            <w:tcW w:w="1241" w:type="dxa"/>
          </w:tcPr>
          <w:p w14:paraId="64676C72" w14:textId="18997391" w:rsidR="00E110FA" w:rsidRPr="00855E1E" w:rsidRDefault="000B6676" w:rsidP="00E110FA">
            <w:pPr>
              <w:rPr>
                <w:rFonts w:ascii="Arial Narrow" w:hAnsi="Arial Narrow"/>
                <w:sz w:val="20"/>
                <w:szCs w:val="20"/>
              </w:rPr>
            </w:pPr>
            <w:r w:rsidRPr="00855E1E">
              <w:rPr>
                <w:rFonts w:ascii="Arial Narrow" w:hAnsi="Arial Narrow"/>
                <w:sz w:val="20"/>
                <w:szCs w:val="20"/>
              </w:rPr>
              <w:t>3.1</w:t>
            </w:r>
          </w:p>
        </w:tc>
        <w:tc>
          <w:tcPr>
            <w:tcW w:w="1371" w:type="dxa"/>
          </w:tcPr>
          <w:p w14:paraId="6EB84327" w14:textId="7AE343FB" w:rsidR="00E110FA" w:rsidRPr="00855E1E" w:rsidRDefault="000B6676" w:rsidP="00E110FA">
            <w:pPr>
              <w:rPr>
                <w:rFonts w:ascii="Arial Narrow" w:hAnsi="Arial Narrow"/>
                <w:sz w:val="20"/>
                <w:szCs w:val="20"/>
              </w:rPr>
            </w:pPr>
            <w:r w:rsidRPr="00855E1E">
              <w:rPr>
                <w:rFonts w:ascii="Arial Narrow" w:hAnsi="Arial Narrow"/>
                <w:sz w:val="20"/>
                <w:szCs w:val="20"/>
              </w:rPr>
              <w:t>0.2</w:t>
            </w:r>
          </w:p>
        </w:tc>
        <w:tc>
          <w:tcPr>
            <w:tcW w:w="1110" w:type="dxa"/>
          </w:tcPr>
          <w:p w14:paraId="2DF52508" w14:textId="43655842" w:rsidR="00E110FA" w:rsidRPr="00855E1E" w:rsidRDefault="000B6676" w:rsidP="00E110FA">
            <w:pPr>
              <w:rPr>
                <w:rFonts w:ascii="Arial Narrow" w:hAnsi="Arial Narrow"/>
                <w:sz w:val="20"/>
                <w:szCs w:val="20"/>
              </w:rPr>
            </w:pPr>
            <w:r w:rsidRPr="00855E1E">
              <w:rPr>
                <w:rFonts w:ascii="Arial Narrow" w:hAnsi="Arial Narrow"/>
                <w:sz w:val="20"/>
                <w:szCs w:val="20"/>
              </w:rPr>
              <w:t>8.2</w:t>
            </w:r>
          </w:p>
        </w:tc>
        <w:tc>
          <w:tcPr>
            <w:tcW w:w="1237" w:type="dxa"/>
          </w:tcPr>
          <w:p w14:paraId="309A731B" w14:textId="37CA5BCE" w:rsidR="00E110FA" w:rsidRPr="00855E1E" w:rsidRDefault="000B6676" w:rsidP="00E110FA">
            <w:pPr>
              <w:rPr>
                <w:rFonts w:ascii="Arial Narrow" w:hAnsi="Arial Narrow"/>
                <w:sz w:val="20"/>
                <w:szCs w:val="20"/>
              </w:rPr>
            </w:pPr>
            <w:r w:rsidRPr="00855E1E">
              <w:rPr>
                <w:rFonts w:ascii="Arial Narrow" w:hAnsi="Arial Narrow"/>
                <w:sz w:val="20"/>
                <w:szCs w:val="20"/>
              </w:rPr>
              <w:t>0.2</w:t>
            </w:r>
          </w:p>
        </w:tc>
      </w:tr>
      <w:tr w:rsidR="00E110FA" w:rsidRPr="00855E1E" w14:paraId="39055F07" w14:textId="77777777" w:rsidTr="00E110FA">
        <w:tc>
          <w:tcPr>
            <w:tcW w:w="1857" w:type="dxa"/>
          </w:tcPr>
          <w:p w14:paraId="0E8D3D3F" w14:textId="672FD8EA" w:rsidR="00E110FA" w:rsidRPr="00855E1E" w:rsidRDefault="00E110FA" w:rsidP="00E110FA">
            <w:pPr>
              <w:rPr>
                <w:rFonts w:ascii="Arial Narrow" w:hAnsi="Arial Narrow"/>
                <w:sz w:val="20"/>
                <w:szCs w:val="20"/>
              </w:rPr>
            </w:pPr>
            <w:r w:rsidRPr="00855E1E">
              <w:rPr>
                <w:rFonts w:ascii="Arial Narrow" w:hAnsi="Arial Narrow"/>
                <w:sz w:val="20"/>
                <w:szCs w:val="20"/>
              </w:rPr>
              <w:t>Sensory/speech</w:t>
            </w:r>
          </w:p>
        </w:tc>
        <w:tc>
          <w:tcPr>
            <w:tcW w:w="1156" w:type="dxa"/>
          </w:tcPr>
          <w:p w14:paraId="5B734C9D" w14:textId="0D975E79" w:rsidR="00E110FA" w:rsidRPr="00855E1E" w:rsidRDefault="000B6676" w:rsidP="00E110FA">
            <w:pPr>
              <w:rPr>
                <w:rFonts w:ascii="Arial Narrow" w:hAnsi="Arial Narrow"/>
                <w:sz w:val="20"/>
                <w:szCs w:val="20"/>
              </w:rPr>
            </w:pPr>
            <w:r w:rsidRPr="00855E1E">
              <w:rPr>
                <w:rFonts w:ascii="Arial Narrow" w:hAnsi="Arial Narrow"/>
                <w:sz w:val="20"/>
                <w:szCs w:val="20"/>
              </w:rPr>
              <w:t>32.9</w:t>
            </w:r>
          </w:p>
        </w:tc>
        <w:tc>
          <w:tcPr>
            <w:tcW w:w="1237" w:type="dxa"/>
          </w:tcPr>
          <w:p w14:paraId="714EFBBF" w14:textId="196C8922" w:rsidR="00E110FA" w:rsidRPr="00855E1E" w:rsidRDefault="000B6676" w:rsidP="00E110FA">
            <w:pPr>
              <w:rPr>
                <w:rFonts w:ascii="Arial Narrow" w:hAnsi="Arial Narrow"/>
                <w:sz w:val="20"/>
                <w:szCs w:val="20"/>
              </w:rPr>
            </w:pPr>
            <w:r w:rsidRPr="00855E1E">
              <w:rPr>
                <w:rFonts w:ascii="Arial Narrow" w:hAnsi="Arial Narrow"/>
                <w:sz w:val="20"/>
                <w:szCs w:val="20"/>
              </w:rPr>
              <w:t>1.6</w:t>
            </w:r>
          </w:p>
        </w:tc>
        <w:tc>
          <w:tcPr>
            <w:tcW w:w="1241" w:type="dxa"/>
          </w:tcPr>
          <w:p w14:paraId="7E1CD0FC" w14:textId="66079C53" w:rsidR="00E110FA" w:rsidRPr="00855E1E" w:rsidRDefault="000B6676" w:rsidP="00E110FA">
            <w:pPr>
              <w:rPr>
                <w:rFonts w:ascii="Arial Narrow" w:hAnsi="Arial Narrow"/>
                <w:sz w:val="20"/>
                <w:szCs w:val="20"/>
              </w:rPr>
            </w:pPr>
            <w:r w:rsidRPr="00855E1E">
              <w:rPr>
                <w:rFonts w:ascii="Arial Narrow" w:hAnsi="Arial Narrow"/>
                <w:sz w:val="20"/>
                <w:szCs w:val="20"/>
              </w:rPr>
              <w:t>19.4</w:t>
            </w:r>
          </w:p>
        </w:tc>
        <w:tc>
          <w:tcPr>
            <w:tcW w:w="1371" w:type="dxa"/>
          </w:tcPr>
          <w:p w14:paraId="328A4477" w14:textId="5297605C" w:rsidR="00E110FA" w:rsidRPr="00855E1E" w:rsidRDefault="000B6676" w:rsidP="00E110FA">
            <w:pPr>
              <w:rPr>
                <w:rFonts w:ascii="Arial Narrow" w:hAnsi="Arial Narrow"/>
                <w:sz w:val="20"/>
                <w:szCs w:val="20"/>
              </w:rPr>
            </w:pPr>
            <w:r w:rsidRPr="00855E1E">
              <w:rPr>
                <w:rFonts w:ascii="Arial Narrow" w:hAnsi="Arial Narrow"/>
                <w:sz w:val="20"/>
                <w:szCs w:val="20"/>
              </w:rPr>
              <w:t>1.0</w:t>
            </w:r>
          </w:p>
        </w:tc>
        <w:tc>
          <w:tcPr>
            <w:tcW w:w="1110" w:type="dxa"/>
          </w:tcPr>
          <w:p w14:paraId="7D7158E0" w14:textId="21C4BD9E" w:rsidR="00E110FA" w:rsidRPr="00855E1E" w:rsidRDefault="000B6676" w:rsidP="00E110FA">
            <w:pPr>
              <w:rPr>
                <w:rFonts w:ascii="Arial Narrow" w:hAnsi="Arial Narrow"/>
                <w:sz w:val="20"/>
                <w:szCs w:val="20"/>
              </w:rPr>
            </w:pPr>
            <w:r w:rsidRPr="00855E1E">
              <w:rPr>
                <w:rFonts w:ascii="Arial Narrow" w:hAnsi="Arial Narrow"/>
                <w:sz w:val="20"/>
                <w:szCs w:val="20"/>
              </w:rPr>
              <w:t>52.3</w:t>
            </w:r>
          </w:p>
        </w:tc>
        <w:tc>
          <w:tcPr>
            <w:tcW w:w="1237" w:type="dxa"/>
          </w:tcPr>
          <w:p w14:paraId="006B8CCE" w14:textId="283B7349" w:rsidR="00E110FA" w:rsidRPr="00855E1E" w:rsidRDefault="000B6676" w:rsidP="00E110FA">
            <w:pPr>
              <w:rPr>
                <w:rFonts w:ascii="Arial Narrow" w:hAnsi="Arial Narrow"/>
                <w:sz w:val="20"/>
                <w:szCs w:val="20"/>
              </w:rPr>
            </w:pPr>
            <w:r w:rsidRPr="00855E1E">
              <w:rPr>
                <w:rFonts w:ascii="Arial Narrow" w:hAnsi="Arial Narrow"/>
                <w:sz w:val="20"/>
                <w:szCs w:val="20"/>
              </w:rPr>
              <w:t>1.3</w:t>
            </w:r>
          </w:p>
        </w:tc>
      </w:tr>
      <w:tr w:rsidR="00E110FA" w:rsidRPr="00855E1E" w14:paraId="5130664C" w14:textId="77777777" w:rsidTr="00E110FA">
        <w:tc>
          <w:tcPr>
            <w:tcW w:w="1857" w:type="dxa"/>
          </w:tcPr>
          <w:p w14:paraId="02A726FD" w14:textId="53515566" w:rsidR="00E110FA" w:rsidRPr="00855E1E" w:rsidRDefault="00E110FA" w:rsidP="00E110FA">
            <w:pPr>
              <w:rPr>
                <w:rFonts w:ascii="Arial Narrow" w:hAnsi="Arial Narrow"/>
                <w:b/>
                <w:sz w:val="20"/>
                <w:szCs w:val="20"/>
              </w:rPr>
            </w:pPr>
            <w:r w:rsidRPr="00855E1E">
              <w:rPr>
                <w:rFonts w:ascii="Arial Narrow" w:hAnsi="Arial Narrow"/>
                <w:b/>
                <w:sz w:val="20"/>
                <w:szCs w:val="20"/>
              </w:rPr>
              <w:t>Main disability/disorder</w:t>
            </w:r>
            <w:r w:rsidR="009B71C5" w:rsidRPr="00855E1E">
              <w:rPr>
                <w:rFonts w:ascii="Arial Narrow" w:hAnsi="Arial Narrow"/>
                <w:b/>
                <w:sz w:val="20"/>
                <w:szCs w:val="20"/>
              </w:rPr>
              <w:t xml:space="preserve"> and severe or profound core activity restriction</w:t>
            </w:r>
          </w:p>
        </w:tc>
        <w:tc>
          <w:tcPr>
            <w:tcW w:w="1156" w:type="dxa"/>
          </w:tcPr>
          <w:p w14:paraId="618F76B3" w14:textId="77777777" w:rsidR="00E110FA" w:rsidRPr="00855E1E" w:rsidRDefault="00E110FA" w:rsidP="00E110FA">
            <w:pPr>
              <w:rPr>
                <w:rFonts w:ascii="Arial Narrow" w:hAnsi="Arial Narrow"/>
                <w:sz w:val="20"/>
                <w:szCs w:val="20"/>
              </w:rPr>
            </w:pPr>
          </w:p>
        </w:tc>
        <w:tc>
          <w:tcPr>
            <w:tcW w:w="1237" w:type="dxa"/>
          </w:tcPr>
          <w:p w14:paraId="57C9931C" w14:textId="77777777" w:rsidR="00E110FA" w:rsidRPr="00855E1E" w:rsidRDefault="00E110FA" w:rsidP="00E110FA">
            <w:pPr>
              <w:rPr>
                <w:rFonts w:ascii="Arial Narrow" w:hAnsi="Arial Narrow"/>
                <w:sz w:val="20"/>
                <w:szCs w:val="20"/>
              </w:rPr>
            </w:pPr>
          </w:p>
        </w:tc>
        <w:tc>
          <w:tcPr>
            <w:tcW w:w="1241" w:type="dxa"/>
          </w:tcPr>
          <w:p w14:paraId="6B1D8118" w14:textId="77777777" w:rsidR="00E110FA" w:rsidRPr="00855E1E" w:rsidRDefault="00E110FA" w:rsidP="00E110FA">
            <w:pPr>
              <w:rPr>
                <w:rFonts w:ascii="Arial Narrow" w:hAnsi="Arial Narrow"/>
                <w:sz w:val="20"/>
                <w:szCs w:val="20"/>
              </w:rPr>
            </w:pPr>
          </w:p>
        </w:tc>
        <w:tc>
          <w:tcPr>
            <w:tcW w:w="1371" w:type="dxa"/>
          </w:tcPr>
          <w:p w14:paraId="65EE7372" w14:textId="77777777" w:rsidR="00E110FA" w:rsidRPr="00855E1E" w:rsidRDefault="00E110FA" w:rsidP="00E110FA">
            <w:pPr>
              <w:rPr>
                <w:rFonts w:ascii="Arial Narrow" w:hAnsi="Arial Narrow"/>
                <w:sz w:val="20"/>
                <w:szCs w:val="20"/>
              </w:rPr>
            </w:pPr>
          </w:p>
        </w:tc>
        <w:tc>
          <w:tcPr>
            <w:tcW w:w="1110" w:type="dxa"/>
          </w:tcPr>
          <w:p w14:paraId="07CFD4D4" w14:textId="77777777" w:rsidR="00E110FA" w:rsidRPr="00855E1E" w:rsidRDefault="00E110FA" w:rsidP="00E110FA">
            <w:pPr>
              <w:rPr>
                <w:rFonts w:ascii="Arial Narrow" w:hAnsi="Arial Narrow"/>
                <w:sz w:val="20"/>
                <w:szCs w:val="20"/>
              </w:rPr>
            </w:pPr>
          </w:p>
        </w:tc>
        <w:tc>
          <w:tcPr>
            <w:tcW w:w="1237" w:type="dxa"/>
          </w:tcPr>
          <w:p w14:paraId="4B247885" w14:textId="77777777" w:rsidR="00E110FA" w:rsidRPr="00855E1E" w:rsidRDefault="00E110FA" w:rsidP="00E110FA">
            <w:pPr>
              <w:rPr>
                <w:rFonts w:ascii="Arial Narrow" w:hAnsi="Arial Narrow"/>
                <w:sz w:val="20"/>
                <w:szCs w:val="20"/>
              </w:rPr>
            </w:pPr>
          </w:p>
        </w:tc>
      </w:tr>
      <w:tr w:rsidR="00E110FA" w:rsidRPr="00855E1E" w14:paraId="62429900" w14:textId="77777777" w:rsidTr="00E110FA">
        <w:tc>
          <w:tcPr>
            <w:tcW w:w="1857" w:type="dxa"/>
          </w:tcPr>
          <w:p w14:paraId="48D16599" w14:textId="1BE44EF4" w:rsidR="00E110FA" w:rsidRPr="00855E1E" w:rsidRDefault="00E110FA" w:rsidP="00E110FA">
            <w:pPr>
              <w:rPr>
                <w:rFonts w:ascii="Arial Narrow" w:hAnsi="Arial Narrow"/>
                <w:sz w:val="20"/>
                <w:szCs w:val="20"/>
              </w:rPr>
            </w:pPr>
            <w:r w:rsidRPr="00855E1E">
              <w:rPr>
                <w:rFonts w:ascii="Arial Narrow" w:hAnsi="Arial Narrow"/>
                <w:sz w:val="20"/>
                <w:szCs w:val="20"/>
              </w:rPr>
              <w:t>Intellectual/learning</w:t>
            </w:r>
          </w:p>
        </w:tc>
        <w:tc>
          <w:tcPr>
            <w:tcW w:w="1156" w:type="dxa"/>
          </w:tcPr>
          <w:p w14:paraId="24337F51" w14:textId="3D7B3FB4" w:rsidR="00E110FA" w:rsidRPr="00855E1E" w:rsidRDefault="000B6676" w:rsidP="00E110FA">
            <w:pPr>
              <w:rPr>
                <w:rFonts w:ascii="Arial Narrow" w:hAnsi="Arial Narrow"/>
                <w:sz w:val="20"/>
                <w:szCs w:val="20"/>
              </w:rPr>
            </w:pPr>
            <w:r w:rsidRPr="00855E1E">
              <w:rPr>
                <w:rFonts w:ascii="Arial Narrow" w:hAnsi="Arial Narrow"/>
                <w:sz w:val="20"/>
                <w:szCs w:val="20"/>
              </w:rPr>
              <w:t>45.9</w:t>
            </w:r>
          </w:p>
        </w:tc>
        <w:tc>
          <w:tcPr>
            <w:tcW w:w="1237" w:type="dxa"/>
          </w:tcPr>
          <w:p w14:paraId="66A80D02" w14:textId="272F3B36" w:rsidR="00E110FA" w:rsidRPr="00855E1E" w:rsidRDefault="000B6676" w:rsidP="00E110FA">
            <w:pPr>
              <w:rPr>
                <w:rFonts w:ascii="Arial Narrow" w:hAnsi="Arial Narrow"/>
                <w:sz w:val="20"/>
                <w:szCs w:val="20"/>
              </w:rPr>
            </w:pPr>
            <w:r w:rsidRPr="00855E1E">
              <w:rPr>
                <w:rFonts w:ascii="Arial Narrow" w:hAnsi="Arial Narrow"/>
                <w:sz w:val="20"/>
                <w:szCs w:val="20"/>
              </w:rPr>
              <w:t>2.3</w:t>
            </w:r>
          </w:p>
        </w:tc>
        <w:tc>
          <w:tcPr>
            <w:tcW w:w="1241" w:type="dxa"/>
          </w:tcPr>
          <w:p w14:paraId="5807E39C" w14:textId="2FFFB569" w:rsidR="00E110FA" w:rsidRPr="00855E1E" w:rsidRDefault="000B6676" w:rsidP="00E110FA">
            <w:pPr>
              <w:rPr>
                <w:rFonts w:ascii="Arial Narrow" w:hAnsi="Arial Narrow"/>
                <w:sz w:val="20"/>
                <w:szCs w:val="20"/>
              </w:rPr>
            </w:pPr>
            <w:r w:rsidRPr="00855E1E">
              <w:rPr>
                <w:rFonts w:ascii="Arial Narrow" w:hAnsi="Arial Narrow"/>
                <w:sz w:val="20"/>
                <w:szCs w:val="20"/>
              </w:rPr>
              <w:t>14.6</w:t>
            </w:r>
          </w:p>
        </w:tc>
        <w:tc>
          <w:tcPr>
            <w:tcW w:w="1371" w:type="dxa"/>
          </w:tcPr>
          <w:p w14:paraId="41B3C85D" w14:textId="3EB473B4" w:rsidR="00E110FA" w:rsidRPr="00855E1E" w:rsidRDefault="000B6676" w:rsidP="00E110FA">
            <w:pPr>
              <w:rPr>
                <w:rFonts w:ascii="Arial Narrow" w:hAnsi="Arial Narrow"/>
                <w:sz w:val="20"/>
                <w:szCs w:val="20"/>
              </w:rPr>
            </w:pPr>
            <w:r w:rsidRPr="00855E1E">
              <w:rPr>
                <w:rFonts w:ascii="Arial Narrow" w:hAnsi="Arial Narrow"/>
                <w:sz w:val="20"/>
                <w:szCs w:val="20"/>
              </w:rPr>
              <w:t>0.8</w:t>
            </w:r>
          </w:p>
        </w:tc>
        <w:tc>
          <w:tcPr>
            <w:tcW w:w="1110" w:type="dxa"/>
          </w:tcPr>
          <w:p w14:paraId="291A78D2" w14:textId="22B6E3A5" w:rsidR="00E110FA" w:rsidRPr="00855E1E" w:rsidRDefault="000B6676" w:rsidP="00E110FA">
            <w:pPr>
              <w:rPr>
                <w:rFonts w:ascii="Arial Narrow" w:hAnsi="Arial Narrow"/>
                <w:sz w:val="20"/>
                <w:szCs w:val="20"/>
              </w:rPr>
            </w:pPr>
            <w:r w:rsidRPr="00855E1E">
              <w:rPr>
                <w:rFonts w:ascii="Arial Narrow" w:hAnsi="Arial Narrow"/>
                <w:sz w:val="20"/>
                <w:szCs w:val="20"/>
              </w:rPr>
              <w:t>60.4</w:t>
            </w:r>
          </w:p>
        </w:tc>
        <w:tc>
          <w:tcPr>
            <w:tcW w:w="1237" w:type="dxa"/>
          </w:tcPr>
          <w:p w14:paraId="7799CC61" w14:textId="2A85A95F" w:rsidR="00E110FA" w:rsidRPr="00855E1E" w:rsidRDefault="000B6676" w:rsidP="00E110FA">
            <w:pPr>
              <w:rPr>
                <w:rFonts w:ascii="Arial Narrow" w:hAnsi="Arial Narrow"/>
                <w:sz w:val="20"/>
                <w:szCs w:val="20"/>
              </w:rPr>
            </w:pPr>
            <w:r w:rsidRPr="00855E1E">
              <w:rPr>
                <w:rFonts w:ascii="Arial Narrow" w:hAnsi="Arial Narrow"/>
                <w:sz w:val="20"/>
                <w:szCs w:val="20"/>
              </w:rPr>
              <w:t>1.5</w:t>
            </w:r>
          </w:p>
        </w:tc>
      </w:tr>
      <w:tr w:rsidR="00E110FA" w:rsidRPr="00855E1E" w14:paraId="27A7D2FA" w14:textId="77777777" w:rsidTr="00E110FA">
        <w:tc>
          <w:tcPr>
            <w:tcW w:w="1857" w:type="dxa"/>
          </w:tcPr>
          <w:p w14:paraId="2FF48744" w14:textId="20B5B6D1" w:rsidR="00E110FA" w:rsidRPr="00855E1E" w:rsidRDefault="00E110FA" w:rsidP="00E110FA">
            <w:pPr>
              <w:rPr>
                <w:rFonts w:ascii="Arial Narrow" w:hAnsi="Arial Narrow"/>
                <w:sz w:val="20"/>
                <w:szCs w:val="20"/>
              </w:rPr>
            </w:pPr>
            <w:r w:rsidRPr="00855E1E">
              <w:rPr>
                <w:rFonts w:ascii="Arial Narrow" w:hAnsi="Arial Narrow"/>
                <w:sz w:val="20"/>
                <w:szCs w:val="20"/>
              </w:rPr>
              <w:t>Psychiatric</w:t>
            </w:r>
          </w:p>
        </w:tc>
        <w:tc>
          <w:tcPr>
            <w:tcW w:w="1156" w:type="dxa"/>
          </w:tcPr>
          <w:p w14:paraId="52F6159E" w14:textId="1F25D1CE" w:rsidR="00E110FA" w:rsidRPr="00855E1E" w:rsidRDefault="000B6676" w:rsidP="00E110FA">
            <w:pPr>
              <w:rPr>
                <w:rFonts w:ascii="Arial Narrow" w:hAnsi="Arial Narrow"/>
                <w:sz w:val="20"/>
                <w:szCs w:val="20"/>
              </w:rPr>
            </w:pPr>
            <w:r w:rsidRPr="00855E1E">
              <w:rPr>
                <w:rFonts w:ascii="Arial Narrow" w:hAnsi="Arial Narrow"/>
                <w:sz w:val="20"/>
                <w:szCs w:val="20"/>
              </w:rPr>
              <w:t>3.4</w:t>
            </w:r>
          </w:p>
        </w:tc>
        <w:tc>
          <w:tcPr>
            <w:tcW w:w="1237" w:type="dxa"/>
          </w:tcPr>
          <w:p w14:paraId="45A8270A" w14:textId="405D7452" w:rsidR="00E110FA" w:rsidRPr="00855E1E" w:rsidRDefault="000B6676" w:rsidP="00E110FA">
            <w:pPr>
              <w:rPr>
                <w:rFonts w:ascii="Arial Narrow" w:hAnsi="Arial Narrow"/>
                <w:sz w:val="20"/>
                <w:szCs w:val="20"/>
              </w:rPr>
            </w:pPr>
            <w:r w:rsidRPr="00855E1E">
              <w:rPr>
                <w:rFonts w:ascii="Arial Narrow" w:hAnsi="Arial Narrow"/>
                <w:sz w:val="20"/>
                <w:szCs w:val="20"/>
              </w:rPr>
              <w:t>0.2</w:t>
            </w:r>
          </w:p>
        </w:tc>
        <w:tc>
          <w:tcPr>
            <w:tcW w:w="1241" w:type="dxa"/>
          </w:tcPr>
          <w:p w14:paraId="5EEE7FE6" w14:textId="4345F41C" w:rsidR="00E110FA" w:rsidRPr="00855E1E" w:rsidRDefault="000B6676" w:rsidP="00E110FA">
            <w:pPr>
              <w:rPr>
                <w:rFonts w:ascii="Arial Narrow" w:hAnsi="Arial Narrow"/>
                <w:sz w:val="20"/>
                <w:szCs w:val="20"/>
              </w:rPr>
            </w:pPr>
            <w:r w:rsidRPr="00855E1E">
              <w:rPr>
                <w:rFonts w:ascii="Arial Narrow" w:hAnsi="Arial Narrow"/>
                <w:sz w:val="20"/>
                <w:szCs w:val="20"/>
              </w:rPr>
              <w:t>2.1</w:t>
            </w:r>
          </w:p>
        </w:tc>
        <w:tc>
          <w:tcPr>
            <w:tcW w:w="1371" w:type="dxa"/>
          </w:tcPr>
          <w:p w14:paraId="7EAD8F84" w14:textId="780957EF" w:rsidR="00E110FA" w:rsidRPr="00855E1E" w:rsidRDefault="000B6676" w:rsidP="00E110FA">
            <w:pPr>
              <w:rPr>
                <w:rFonts w:ascii="Arial Narrow" w:hAnsi="Arial Narrow"/>
                <w:sz w:val="20"/>
                <w:szCs w:val="20"/>
              </w:rPr>
            </w:pPr>
            <w:r w:rsidRPr="00855E1E">
              <w:rPr>
                <w:rFonts w:ascii="Arial Narrow" w:hAnsi="Arial Narrow"/>
                <w:sz w:val="20"/>
                <w:szCs w:val="20"/>
              </w:rPr>
              <w:t>0.1</w:t>
            </w:r>
          </w:p>
        </w:tc>
        <w:tc>
          <w:tcPr>
            <w:tcW w:w="1110" w:type="dxa"/>
          </w:tcPr>
          <w:p w14:paraId="6367A98C" w14:textId="49968C53" w:rsidR="00E110FA" w:rsidRPr="00855E1E" w:rsidRDefault="000B6676" w:rsidP="00E110FA">
            <w:pPr>
              <w:rPr>
                <w:rFonts w:ascii="Arial Narrow" w:hAnsi="Arial Narrow"/>
                <w:sz w:val="20"/>
                <w:szCs w:val="20"/>
              </w:rPr>
            </w:pPr>
            <w:r w:rsidRPr="00855E1E">
              <w:rPr>
                <w:rFonts w:ascii="Arial Narrow" w:hAnsi="Arial Narrow"/>
                <w:sz w:val="20"/>
                <w:szCs w:val="20"/>
              </w:rPr>
              <w:t>5.4</w:t>
            </w:r>
          </w:p>
        </w:tc>
        <w:tc>
          <w:tcPr>
            <w:tcW w:w="1237" w:type="dxa"/>
          </w:tcPr>
          <w:p w14:paraId="1AE03D99" w14:textId="124D0F88" w:rsidR="00E110FA" w:rsidRPr="00855E1E" w:rsidRDefault="000B6676" w:rsidP="00E110FA">
            <w:pPr>
              <w:rPr>
                <w:rFonts w:ascii="Arial Narrow" w:hAnsi="Arial Narrow"/>
                <w:sz w:val="20"/>
                <w:szCs w:val="20"/>
              </w:rPr>
            </w:pPr>
            <w:r w:rsidRPr="00855E1E">
              <w:rPr>
                <w:rFonts w:ascii="Arial Narrow" w:hAnsi="Arial Narrow"/>
                <w:sz w:val="20"/>
                <w:szCs w:val="20"/>
              </w:rPr>
              <w:t>0.1</w:t>
            </w:r>
          </w:p>
        </w:tc>
      </w:tr>
      <w:tr w:rsidR="00E110FA" w14:paraId="694C707A" w14:textId="77777777" w:rsidTr="00E110FA">
        <w:tc>
          <w:tcPr>
            <w:tcW w:w="1857" w:type="dxa"/>
          </w:tcPr>
          <w:p w14:paraId="2B8678D1" w14:textId="76333109" w:rsidR="00E110FA" w:rsidRPr="00855E1E" w:rsidRDefault="00E110FA" w:rsidP="00E110FA">
            <w:pPr>
              <w:rPr>
                <w:rFonts w:ascii="Arial Narrow" w:hAnsi="Arial Narrow"/>
                <w:sz w:val="20"/>
                <w:szCs w:val="20"/>
              </w:rPr>
            </w:pPr>
            <w:r w:rsidRPr="00855E1E">
              <w:rPr>
                <w:rFonts w:ascii="Arial Narrow" w:hAnsi="Arial Narrow"/>
                <w:sz w:val="20"/>
                <w:szCs w:val="20"/>
              </w:rPr>
              <w:t>Sensory/speech</w:t>
            </w:r>
          </w:p>
        </w:tc>
        <w:tc>
          <w:tcPr>
            <w:tcW w:w="1156" w:type="dxa"/>
          </w:tcPr>
          <w:p w14:paraId="60D5A99D" w14:textId="512F2CC0" w:rsidR="00E110FA" w:rsidRPr="00855E1E" w:rsidRDefault="000B6676" w:rsidP="00E110FA">
            <w:pPr>
              <w:rPr>
                <w:rFonts w:ascii="Arial Narrow" w:hAnsi="Arial Narrow"/>
                <w:sz w:val="20"/>
                <w:szCs w:val="20"/>
              </w:rPr>
            </w:pPr>
            <w:r w:rsidRPr="00855E1E">
              <w:rPr>
                <w:rFonts w:ascii="Arial Narrow" w:hAnsi="Arial Narrow"/>
                <w:sz w:val="20"/>
                <w:szCs w:val="20"/>
              </w:rPr>
              <w:t>15.3</w:t>
            </w:r>
          </w:p>
        </w:tc>
        <w:tc>
          <w:tcPr>
            <w:tcW w:w="1237" w:type="dxa"/>
          </w:tcPr>
          <w:p w14:paraId="7FD8D502" w14:textId="0BEBE6D5" w:rsidR="00E110FA" w:rsidRPr="00855E1E" w:rsidRDefault="000B6676" w:rsidP="00E110FA">
            <w:pPr>
              <w:rPr>
                <w:rFonts w:ascii="Arial Narrow" w:hAnsi="Arial Narrow"/>
                <w:sz w:val="20"/>
                <w:szCs w:val="20"/>
              </w:rPr>
            </w:pPr>
            <w:r w:rsidRPr="00855E1E">
              <w:rPr>
                <w:rFonts w:ascii="Arial Narrow" w:hAnsi="Arial Narrow"/>
                <w:sz w:val="20"/>
                <w:szCs w:val="20"/>
              </w:rPr>
              <w:t>0.8</w:t>
            </w:r>
          </w:p>
        </w:tc>
        <w:tc>
          <w:tcPr>
            <w:tcW w:w="1241" w:type="dxa"/>
          </w:tcPr>
          <w:p w14:paraId="3C7099EC" w14:textId="3B1E653D" w:rsidR="00E110FA" w:rsidRPr="00855E1E" w:rsidRDefault="000B6676" w:rsidP="00E110FA">
            <w:pPr>
              <w:rPr>
                <w:rFonts w:ascii="Arial Narrow" w:hAnsi="Arial Narrow"/>
                <w:sz w:val="20"/>
                <w:szCs w:val="20"/>
              </w:rPr>
            </w:pPr>
            <w:r w:rsidRPr="00855E1E">
              <w:rPr>
                <w:rFonts w:ascii="Arial Narrow" w:hAnsi="Arial Narrow"/>
                <w:sz w:val="20"/>
                <w:szCs w:val="20"/>
              </w:rPr>
              <w:t>7.2</w:t>
            </w:r>
          </w:p>
        </w:tc>
        <w:tc>
          <w:tcPr>
            <w:tcW w:w="1371" w:type="dxa"/>
          </w:tcPr>
          <w:p w14:paraId="46CDD7AA" w14:textId="113F78D3" w:rsidR="00E110FA" w:rsidRPr="00855E1E" w:rsidRDefault="000B6676" w:rsidP="00E110FA">
            <w:pPr>
              <w:rPr>
                <w:rFonts w:ascii="Arial Narrow" w:hAnsi="Arial Narrow"/>
                <w:sz w:val="20"/>
                <w:szCs w:val="20"/>
              </w:rPr>
            </w:pPr>
            <w:r w:rsidRPr="00855E1E">
              <w:rPr>
                <w:rFonts w:ascii="Arial Narrow" w:hAnsi="Arial Narrow"/>
                <w:sz w:val="20"/>
                <w:szCs w:val="20"/>
              </w:rPr>
              <w:t>0.4</w:t>
            </w:r>
          </w:p>
        </w:tc>
        <w:tc>
          <w:tcPr>
            <w:tcW w:w="1110" w:type="dxa"/>
          </w:tcPr>
          <w:p w14:paraId="61D761EF" w14:textId="7D997C16" w:rsidR="00E110FA" w:rsidRPr="00855E1E" w:rsidRDefault="000B6676" w:rsidP="00E110FA">
            <w:pPr>
              <w:rPr>
                <w:rFonts w:ascii="Arial Narrow" w:hAnsi="Arial Narrow"/>
                <w:sz w:val="20"/>
                <w:szCs w:val="20"/>
              </w:rPr>
            </w:pPr>
            <w:r w:rsidRPr="00855E1E">
              <w:rPr>
                <w:rFonts w:ascii="Arial Narrow" w:hAnsi="Arial Narrow"/>
                <w:sz w:val="20"/>
                <w:szCs w:val="20"/>
              </w:rPr>
              <w:t>22.6</w:t>
            </w:r>
          </w:p>
        </w:tc>
        <w:tc>
          <w:tcPr>
            <w:tcW w:w="1237" w:type="dxa"/>
          </w:tcPr>
          <w:p w14:paraId="1ED4EB1D" w14:textId="4D8FC553" w:rsidR="00E110FA" w:rsidRPr="009B5230" w:rsidRDefault="000B6676" w:rsidP="00E110FA">
            <w:pPr>
              <w:rPr>
                <w:rFonts w:ascii="Arial Narrow" w:hAnsi="Arial Narrow"/>
                <w:sz w:val="20"/>
                <w:szCs w:val="20"/>
              </w:rPr>
            </w:pPr>
            <w:r w:rsidRPr="00855E1E">
              <w:rPr>
                <w:rFonts w:ascii="Arial Narrow" w:hAnsi="Arial Narrow"/>
                <w:sz w:val="20"/>
                <w:szCs w:val="20"/>
              </w:rPr>
              <w:t>0.6</w:t>
            </w:r>
          </w:p>
        </w:tc>
      </w:tr>
    </w:tbl>
    <w:p w14:paraId="60AF840B" w14:textId="77777777" w:rsidR="00D70EAF" w:rsidRPr="00D70EAF" w:rsidRDefault="00D70EAF" w:rsidP="00855E1E"/>
    <w:p w14:paraId="526AC417" w14:textId="77777777" w:rsidR="004A05B1" w:rsidRDefault="004A05B1">
      <w:pPr>
        <w:rPr>
          <w:rFonts w:ascii="Calibri" w:hAnsi="Calibri"/>
          <w:b/>
          <w:noProof/>
          <w:sz w:val="24"/>
          <w:szCs w:val="24"/>
          <w:lang w:val="en-US"/>
        </w:rPr>
      </w:pPr>
      <w:r>
        <w:rPr>
          <w:b/>
          <w:sz w:val="24"/>
          <w:szCs w:val="24"/>
        </w:rPr>
        <w:br w:type="page"/>
      </w:r>
    </w:p>
    <w:p w14:paraId="64F18DC1" w14:textId="77777777" w:rsidR="00480E0D" w:rsidRDefault="00874667" w:rsidP="002F500E">
      <w:pPr>
        <w:pStyle w:val="EndNoteBibliography"/>
        <w:rPr>
          <w:b/>
          <w:sz w:val="24"/>
          <w:szCs w:val="24"/>
        </w:rPr>
      </w:pPr>
      <w:r w:rsidRPr="00874667">
        <w:rPr>
          <w:b/>
          <w:sz w:val="24"/>
          <w:szCs w:val="24"/>
        </w:rPr>
        <w:lastRenderedPageBreak/>
        <w:t>References</w:t>
      </w:r>
    </w:p>
    <w:p w14:paraId="66409234" w14:textId="32038A1C" w:rsidR="00A8082F" w:rsidRPr="00A8082F" w:rsidRDefault="008F6DCF" w:rsidP="00A8082F">
      <w:pPr>
        <w:pStyle w:val="EndNoteBibliography"/>
      </w:pPr>
      <w:r>
        <w:rPr>
          <w:b/>
          <w:sz w:val="24"/>
          <w:szCs w:val="24"/>
        </w:rPr>
        <w:fldChar w:fldCharType="begin"/>
      </w:r>
      <w:r w:rsidRPr="00874667">
        <w:rPr>
          <w:b/>
          <w:sz w:val="24"/>
          <w:szCs w:val="24"/>
        </w:rPr>
        <w:instrText xml:space="preserve"> ADDIN EN.REFLIST </w:instrText>
      </w:r>
      <w:r>
        <w:rPr>
          <w:b/>
          <w:sz w:val="24"/>
          <w:szCs w:val="24"/>
        </w:rPr>
        <w:fldChar w:fldCharType="separate"/>
      </w:r>
      <w:bookmarkStart w:id="8" w:name="_ENREF_1"/>
      <w:r w:rsidR="00A8082F" w:rsidRPr="00A8082F">
        <w:t xml:space="preserve">ABS 2012, </w:t>
      </w:r>
      <w:r w:rsidR="00A8082F" w:rsidRPr="00A8082F">
        <w:rPr>
          <w:i/>
        </w:rPr>
        <w:t>Australian Social Trends</w:t>
      </w:r>
      <w:r w:rsidR="00A8082F" w:rsidRPr="00A8082F">
        <w:t>, Austr</w:t>
      </w:r>
      <w:r w:rsidR="00A2320A">
        <w:t>a</w:t>
      </w:r>
      <w:r w:rsidR="00A8082F" w:rsidRPr="00A8082F">
        <w:t>lian Bureau of Statistics</w:t>
      </w:r>
      <w:r w:rsidR="00A2320A">
        <w:t xml:space="preserve">, Canberra, viewed March 2016, </w:t>
      </w:r>
      <w:hyperlink r:id="rId12" w:history="1">
        <w:r w:rsidR="00A2320A">
          <w:rPr>
            <w:rStyle w:val="Hyperlink"/>
          </w:rPr>
          <w:t>ABS 2012, Australian Social Trends, A</w:t>
        </w:r>
        <w:r w:rsidR="00A2320A">
          <w:rPr>
            <w:rStyle w:val="Hyperlink"/>
          </w:rPr>
          <w:t>u</w:t>
        </w:r>
        <w:r w:rsidR="00A2320A">
          <w:rPr>
            <w:rStyle w:val="Hyperlink"/>
          </w:rPr>
          <w:t>stralian Bureau of Statistics</w:t>
        </w:r>
      </w:hyperlink>
      <w:r w:rsidR="00A8082F" w:rsidRPr="00A8082F">
        <w:t>.</w:t>
      </w:r>
    </w:p>
    <w:bookmarkEnd w:id="8"/>
    <w:p w14:paraId="6928D7CE" w14:textId="77777777" w:rsidR="00A8082F" w:rsidRPr="00A8082F" w:rsidRDefault="00A8082F" w:rsidP="00A8082F">
      <w:pPr>
        <w:pStyle w:val="EndNoteBibliography"/>
        <w:spacing w:after="0"/>
      </w:pPr>
    </w:p>
    <w:p w14:paraId="1DB32BDF" w14:textId="77777777" w:rsidR="00A8082F" w:rsidRPr="00A8082F" w:rsidRDefault="00A8082F" w:rsidP="00A8082F">
      <w:pPr>
        <w:pStyle w:val="EndNoteBibliography"/>
      </w:pPr>
      <w:bookmarkStart w:id="9" w:name="_ENREF_2"/>
      <w:r w:rsidRPr="00A8082F">
        <w:t xml:space="preserve">AIHW 2004, </w:t>
      </w:r>
      <w:r w:rsidRPr="00A8082F">
        <w:rPr>
          <w:i/>
        </w:rPr>
        <w:t>Children with disabilities in Australia</w:t>
      </w:r>
      <w:r w:rsidRPr="00A8082F">
        <w:t>, Australian Institute of Health and Welfare, Canberra. Cat. no. DIS38.</w:t>
      </w:r>
    </w:p>
    <w:bookmarkEnd w:id="9"/>
    <w:p w14:paraId="01E848C4" w14:textId="77777777" w:rsidR="00A8082F" w:rsidRPr="00A8082F" w:rsidRDefault="00A8082F" w:rsidP="00A8082F">
      <w:pPr>
        <w:pStyle w:val="EndNoteBibliography"/>
        <w:spacing w:after="0"/>
      </w:pPr>
    </w:p>
    <w:p w14:paraId="0ACF74A7" w14:textId="77777777" w:rsidR="00A8082F" w:rsidRPr="00A8082F" w:rsidRDefault="00A8082F" w:rsidP="00A8082F">
      <w:pPr>
        <w:pStyle w:val="EndNoteBibliography"/>
      </w:pPr>
      <w:bookmarkStart w:id="10" w:name="_ENREF_3"/>
      <w:r w:rsidRPr="00A8082F">
        <w:t xml:space="preserve">Allott, K, Brewer, W, McGorry, PD &amp; Proffitt, T-M 2011, 'Referrers' perceived utility and outcomes of clinical neuropsychological assessment in an adolescent and young adult public mental health service', </w:t>
      </w:r>
      <w:r w:rsidRPr="00A8082F">
        <w:rPr>
          <w:i/>
        </w:rPr>
        <w:t>Australian Psychologist</w:t>
      </w:r>
      <w:r w:rsidRPr="00A8082F">
        <w:t>, vol. 46, no. 1, Mar, pp. 15-24.</w:t>
      </w:r>
    </w:p>
    <w:bookmarkEnd w:id="10"/>
    <w:p w14:paraId="4372FCE8" w14:textId="77777777" w:rsidR="00A8082F" w:rsidRPr="00A8082F" w:rsidRDefault="00A8082F" w:rsidP="00A8082F">
      <w:pPr>
        <w:pStyle w:val="EndNoteBibliography"/>
        <w:spacing w:after="0"/>
      </w:pPr>
    </w:p>
    <w:p w14:paraId="388CEF9E" w14:textId="77777777" w:rsidR="00A8082F" w:rsidRPr="00A8082F" w:rsidRDefault="00A8082F" w:rsidP="00A8082F">
      <w:pPr>
        <w:pStyle w:val="EndNoteBibliography"/>
      </w:pPr>
      <w:bookmarkStart w:id="11" w:name="_ENREF_4"/>
      <w:r w:rsidRPr="00A8082F">
        <w:t xml:space="preserve">American Academy of Clinical Neuropsychology 2007, 'American Academy of Clinical Neuropsychology (AACN) practice guidelines for neuropsychological assessment and consultation', </w:t>
      </w:r>
      <w:r w:rsidRPr="00A8082F">
        <w:rPr>
          <w:i/>
        </w:rPr>
        <w:t>Clin Neuropsychol</w:t>
      </w:r>
      <w:r w:rsidRPr="00A8082F">
        <w:t>, vol. 21, no. 2, Mar, pp. 209-231.</w:t>
      </w:r>
    </w:p>
    <w:bookmarkEnd w:id="11"/>
    <w:p w14:paraId="26ADD146" w14:textId="77777777" w:rsidR="00A8082F" w:rsidRPr="00A8082F" w:rsidRDefault="00A8082F" w:rsidP="00A8082F">
      <w:pPr>
        <w:pStyle w:val="EndNoteBibliography"/>
        <w:spacing w:after="0"/>
      </w:pPr>
    </w:p>
    <w:p w14:paraId="21D01BA4" w14:textId="77777777" w:rsidR="00A8082F" w:rsidRPr="00A8082F" w:rsidRDefault="00A8082F" w:rsidP="00A8082F">
      <w:pPr>
        <w:pStyle w:val="EndNoteBibliography"/>
      </w:pPr>
      <w:bookmarkStart w:id="12" w:name="_ENREF_5"/>
      <w:r w:rsidRPr="00A8082F">
        <w:t xml:space="preserve">'Assessment: neuropsychological testing of adults. Considerations for neurologists. Report of the Therapeutics and Technology Assessment Subcommittee of the American Academy of Neurology',  1996, </w:t>
      </w:r>
      <w:r w:rsidRPr="00A8082F">
        <w:rPr>
          <w:i/>
        </w:rPr>
        <w:t>Neurology</w:t>
      </w:r>
      <w:r w:rsidRPr="00A8082F">
        <w:t>, vol. 47, no. 2, Aug, pp. 592-599.</w:t>
      </w:r>
    </w:p>
    <w:bookmarkEnd w:id="12"/>
    <w:p w14:paraId="55A306D1" w14:textId="77777777" w:rsidR="00A8082F" w:rsidRPr="00A8082F" w:rsidRDefault="00A8082F" w:rsidP="00A8082F">
      <w:pPr>
        <w:pStyle w:val="EndNoteBibliography"/>
        <w:spacing w:after="0"/>
      </w:pPr>
    </w:p>
    <w:p w14:paraId="1D304CEB" w14:textId="38DB1679" w:rsidR="00A8082F" w:rsidRPr="00A8082F" w:rsidRDefault="00A8082F" w:rsidP="00A8082F">
      <w:pPr>
        <w:pStyle w:val="EndNoteBibliography"/>
      </w:pPr>
      <w:bookmarkStart w:id="13" w:name="_ENREF_6"/>
      <w:r w:rsidRPr="00A8082F">
        <w:t xml:space="preserve">Australian Bureau of Statistics 2009, </w:t>
      </w:r>
      <w:r w:rsidRPr="00A8082F">
        <w:rPr>
          <w:i/>
        </w:rPr>
        <w:t>Profiles of Disability, Australia. Multiple Sclerosis</w:t>
      </w:r>
      <w:r w:rsidR="00A2320A">
        <w:t xml:space="preserve">, ABS, viewed 27/05/2015, </w:t>
      </w:r>
      <w:hyperlink r:id="rId13" w:history="1">
        <w:r w:rsidR="00A2320A">
          <w:rPr>
            <w:rStyle w:val="Hyperlink"/>
          </w:rPr>
          <w:t>Australian Bureau of Statistics 2009, Profiles of Dis</w:t>
        </w:r>
        <w:r w:rsidR="00A2320A">
          <w:rPr>
            <w:rStyle w:val="Hyperlink"/>
          </w:rPr>
          <w:t>a</w:t>
        </w:r>
        <w:r w:rsidR="00A2320A">
          <w:rPr>
            <w:rStyle w:val="Hyperlink"/>
          </w:rPr>
          <w:t>bility, Australia. Multiple Sclerosis, ABS</w:t>
        </w:r>
      </w:hyperlink>
      <w:r w:rsidRPr="00A8082F">
        <w:t>.</w:t>
      </w:r>
    </w:p>
    <w:bookmarkEnd w:id="13"/>
    <w:p w14:paraId="60D1938F" w14:textId="77777777" w:rsidR="00A8082F" w:rsidRPr="00A8082F" w:rsidRDefault="00A8082F" w:rsidP="00A8082F">
      <w:pPr>
        <w:pStyle w:val="EndNoteBibliography"/>
        <w:spacing w:after="0"/>
      </w:pPr>
    </w:p>
    <w:p w14:paraId="4364EA32" w14:textId="77777777" w:rsidR="00A8082F" w:rsidRPr="00A8082F" w:rsidRDefault="00A8082F" w:rsidP="00A8082F">
      <w:pPr>
        <w:pStyle w:val="EndNoteBibliography"/>
      </w:pPr>
      <w:bookmarkStart w:id="14" w:name="_ENREF_7"/>
      <w:r w:rsidRPr="00A8082F">
        <w:t xml:space="preserve">Australian Institute of Health and Welfare 2007, </w:t>
      </w:r>
      <w:r w:rsidRPr="00A8082F">
        <w:rPr>
          <w:i/>
        </w:rPr>
        <w:t xml:space="preserve">Disability in Australia: acquired brain injury. Bulletin no. 55. </w:t>
      </w:r>
      <w:r w:rsidRPr="00A8082F">
        <w:t>, AIHW, Canberra.</w:t>
      </w:r>
    </w:p>
    <w:bookmarkEnd w:id="14"/>
    <w:p w14:paraId="791C9769" w14:textId="77777777" w:rsidR="00A8082F" w:rsidRPr="00A8082F" w:rsidRDefault="00A8082F" w:rsidP="00A8082F">
      <w:pPr>
        <w:pStyle w:val="EndNoteBibliography"/>
        <w:spacing w:after="0"/>
      </w:pPr>
    </w:p>
    <w:p w14:paraId="119CE2E5" w14:textId="77777777" w:rsidR="00A8082F" w:rsidRPr="00A8082F" w:rsidRDefault="00A8082F" w:rsidP="00A8082F">
      <w:pPr>
        <w:pStyle w:val="EndNoteBibliography"/>
      </w:pPr>
      <w:bookmarkStart w:id="15" w:name="_ENREF_8"/>
      <w:r w:rsidRPr="00A8082F">
        <w:t xml:space="preserve">Australian Institute of Health and Welfare 2012, </w:t>
      </w:r>
      <w:r w:rsidRPr="00A8082F">
        <w:rPr>
          <w:i/>
        </w:rPr>
        <w:t>Dementia in Australia</w:t>
      </w:r>
      <w:r w:rsidRPr="00A8082F">
        <w:t>, AIHW, Canberra.</w:t>
      </w:r>
    </w:p>
    <w:bookmarkEnd w:id="15"/>
    <w:p w14:paraId="3E471059" w14:textId="77777777" w:rsidR="00A8082F" w:rsidRPr="00A8082F" w:rsidRDefault="00A8082F" w:rsidP="00A8082F">
      <w:pPr>
        <w:pStyle w:val="EndNoteBibliography"/>
        <w:spacing w:after="0"/>
      </w:pPr>
    </w:p>
    <w:p w14:paraId="354DBCD9" w14:textId="77777777" w:rsidR="00A8082F" w:rsidRPr="00A8082F" w:rsidRDefault="00A8082F" w:rsidP="00A8082F">
      <w:pPr>
        <w:pStyle w:val="EndNoteBibliography"/>
      </w:pPr>
      <w:bookmarkStart w:id="16" w:name="_ENREF_9"/>
      <w:r w:rsidRPr="00A8082F">
        <w:t xml:space="preserve">Australian Institute of Health and Welfare 2013, </w:t>
      </w:r>
      <w:r w:rsidRPr="00A8082F">
        <w:rPr>
          <w:i/>
        </w:rPr>
        <w:t>Stroke and its management in Australia: an update. Cardiovascular disease series no. 37. Cat. no. CVD 61.</w:t>
      </w:r>
      <w:r w:rsidRPr="00A8082F">
        <w:t>, AIHW, Canberra.</w:t>
      </w:r>
    </w:p>
    <w:bookmarkEnd w:id="16"/>
    <w:p w14:paraId="3761E60E" w14:textId="77777777" w:rsidR="00A8082F" w:rsidRPr="00A8082F" w:rsidRDefault="00A8082F" w:rsidP="00A8082F">
      <w:pPr>
        <w:pStyle w:val="EndNoteBibliography"/>
        <w:spacing w:after="0"/>
      </w:pPr>
    </w:p>
    <w:p w14:paraId="35A1EB78" w14:textId="021C9263" w:rsidR="00A8082F" w:rsidRPr="00A8082F" w:rsidRDefault="00A8082F" w:rsidP="00A8082F">
      <w:pPr>
        <w:pStyle w:val="EndNoteBibliography"/>
      </w:pPr>
      <w:bookmarkStart w:id="17" w:name="_ENREF_10"/>
      <w:r w:rsidRPr="00A8082F">
        <w:t xml:space="preserve">Australian Institute of Health and Welfare 2015a, </w:t>
      </w:r>
      <w:r w:rsidRPr="00A8082F">
        <w:rPr>
          <w:i/>
        </w:rPr>
        <w:t>Alcohol and other drug treatment services (AODTS)</w:t>
      </w:r>
      <w:r w:rsidRPr="00A8082F">
        <w:t>, AIHW</w:t>
      </w:r>
      <w:r w:rsidR="00A2320A">
        <w:t xml:space="preserve">, Canberra, viewed 27/05/2015, </w:t>
      </w:r>
      <w:hyperlink r:id="rId14" w:history="1">
        <w:r w:rsidR="0039423C">
          <w:rPr>
            <w:rStyle w:val="Hyperlink"/>
          </w:rPr>
          <w:t>Australian I</w:t>
        </w:r>
        <w:r w:rsidR="0039423C">
          <w:rPr>
            <w:rStyle w:val="Hyperlink"/>
          </w:rPr>
          <w:t>n</w:t>
        </w:r>
        <w:r w:rsidR="0039423C">
          <w:rPr>
            <w:rStyle w:val="Hyperlink"/>
          </w:rPr>
          <w:t>stitute of Health and Welfare 2015a, Alcohol and other drug treatment services (AODTS), AIHW, Canberra</w:t>
        </w:r>
      </w:hyperlink>
      <w:r w:rsidRPr="00A8082F">
        <w:t>.</w:t>
      </w:r>
    </w:p>
    <w:bookmarkEnd w:id="17"/>
    <w:p w14:paraId="04FC9316" w14:textId="77777777" w:rsidR="00A8082F" w:rsidRPr="00A8082F" w:rsidRDefault="00A8082F" w:rsidP="00A8082F">
      <w:pPr>
        <w:pStyle w:val="EndNoteBibliography"/>
        <w:spacing w:after="0"/>
      </w:pPr>
    </w:p>
    <w:p w14:paraId="5F14E179" w14:textId="57D3A200" w:rsidR="00A8082F" w:rsidRPr="00A8082F" w:rsidRDefault="00A8082F" w:rsidP="00A8082F">
      <w:pPr>
        <w:pStyle w:val="EndNoteBibliography"/>
      </w:pPr>
      <w:bookmarkStart w:id="18" w:name="_ENREF_11"/>
      <w:r w:rsidRPr="00A8082F">
        <w:t xml:space="preserve">Australian Institute of Health and Welfare 2015b, </w:t>
      </w:r>
      <w:r w:rsidRPr="00A8082F">
        <w:rPr>
          <w:i/>
        </w:rPr>
        <w:t>Australian Cancer Incidence and Mortality (ACIM) books</w:t>
      </w:r>
      <w:r w:rsidRPr="00A8082F">
        <w:t>, AIHW</w:t>
      </w:r>
      <w:r w:rsidR="0039423C">
        <w:t xml:space="preserve">, Canberra, viewed 27/05/2015, </w:t>
      </w:r>
      <w:hyperlink r:id="rId15" w:history="1">
        <w:r w:rsidR="0039423C">
          <w:rPr>
            <w:rStyle w:val="Hyperlink"/>
          </w:rPr>
          <w:t>Australian Institute of Health and Welfare 2015b, Australian Cancer Incidence and Mortality (ACIM) books, AIHW, Canberra</w:t>
        </w:r>
      </w:hyperlink>
      <w:r w:rsidRPr="00A8082F">
        <w:t>.</w:t>
      </w:r>
    </w:p>
    <w:bookmarkEnd w:id="18"/>
    <w:p w14:paraId="0004F237" w14:textId="77777777" w:rsidR="00A8082F" w:rsidRPr="00A8082F" w:rsidRDefault="00A8082F" w:rsidP="00A8082F">
      <w:pPr>
        <w:pStyle w:val="EndNoteBibliography"/>
        <w:spacing w:after="0"/>
      </w:pPr>
    </w:p>
    <w:p w14:paraId="6F7D9069" w14:textId="77777777" w:rsidR="00A8082F" w:rsidRPr="00A8082F" w:rsidRDefault="00A8082F" w:rsidP="00A8082F">
      <w:pPr>
        <w:pStyle w:val="EndNoteBibliography"/>
      </w:pPr>
      <w:bookmarkStart w:id="19" w:name="_ENREF_12"/>
      <w:r w:rsidRPr="00A8082F">
        <w:t xml:space="preserve">Barbaro, J &amp; Dissanayake, C 2010, 'Prospective Identification of Autism Spectrum Disorders in Infancy and Toddlerhood Using Developmental Surveillance: The Social Attention and Communication Study', </w:t>
      </w:r>
      <w:r w:rsidRPr="00A8082F">
        <w:rPr>
          <w:i/>
        </w:rPr>
        <w:t>Journal of Developmental and Behavioral Pediatrics</w:t>
      </w:r>
      <w:r w:rsidRPr="00A8082F">
        <w:t>, vol. 31, no. 5, Jun, pp. 376-385.</w:t>
      </w:r>
    </w:p>
    <w:bookmarkEnd w:id="19"/>
    <w:p w14:paraId="6272E571" w14:textId="77777777" w:rsidR="00A8082F" w:rsidRPr="00A8082F" w:rsidRDefault="00A8082F" w:rsidP="00A8082F">
      <w:pPr>
        <w:pStyle w:val="EndNoteBibliography"/>
        <w:spacing w:after="0"/>
      </w:pPr>
    </w:p>
    <w:p w14:paraId="769D08C6" w14:textId="77777777" w:rsidR="00A8082F" w:rsidRPr="00A8082F" w:rsidRDefault="00A8082F" w:rsidP="00A8082F">
      <w:pPr>
        <w:pStyle w:val="EndNoteBibliography"/>
      </w:pPr>
      <w:bookmarkStart w:id="20" w:name="_ENREF_13"/>
      <w:r w:rsidRPr="00A8082F">
        <w:t xml:space="preserve">Braun, M, Tupper, D, Kaufmann, P, McCrea, M, Postal, K, Westerveld, M, Wills, K &amp; Deer, T 2011, 'Neuropsychological assessment: a valuable tool in the diagnosis and management of neurological, neurodevelopmental, medical, and psychiatric disorders', </w:t>
      </w:r>
      <w:r w:rsidRPr="00A8082F">
        <w:rPr>
          <w:i/>
        </w:rPr>
        <w:t>Cogn Behav Neurol</w:t>
      </w:r>
      <w:r w:rsidRPr="00A8082F">
        <w:t>, vol. 24, no. 3, Sep, pp. 107-114.</w:t>
      </w:r>
    </w:p>
    <w:bookmarkEnd w:id="20"/>
    <w:p w14:paraId="56F771FA" w14:textId="77777777" w:rsidR="00A8082F" w:rsidRPr="00A8082F" w:rsidRDefault="00A8082F" w:rsidP="00A8082F">
      <w:pPr>
        <w:pStyle w:val="EndNoteBibliography"/>
        <w:spacing w:after="0"/>
      </w:pPr>
    </w:p>
    <w:p w14:paraId="3C43BF89" w14:textId="77777777" w:rsidR="00A8082F" w:rsidRPr="00A8082F" w:rsidRDefault="00A8082F" w:rsidP="00A8082F">
      <w:pPr>
        <w:pStyle w:val="EndNoteBibliography"/>
      </w:pPr>
      <w:bookmarkStart w:id="21" w:name="_ENREF_14"/>
      <w:r w:rsidRPr="00A8082F">
        <w:t xml:space="preserve">Galvin, JE 2015, 'The Quick Dementia Rating System (Qdrs): A Rapid Dementia Staging Tool', </w:t>
      </w:r>
      <w:r w:rsidRPr="00A8082F">
        <w:rPr>
          <w:i/>
        </w:rPr>
        <w:t>Alzheimers Dement (Amst)</w:t>
      </w:r>
      <w:r w:rsidRPr="00A8082F">
        <w:t>, vol. 1, no. 2, Jun 1, pp. 249-259.</w:t>
      </w:r>
    </w:p>
    <w:bookmarkEnd w:id="21"/>
    <w:p w14:paraId="41F259EE" w14:textId="77777777" w:rsidR="00A8082F" w:rsidRPr="00A8082F" w:rsidRDefault="00A8082F" w:rsidP="00A8082F">
      <w:pPr>
        <w:pStyle w:val="EndNoteBibliography"/>
        <w:spacing w:after="0"/>
      </w:pPr>
    </w:p>
    <w:p w14:paraId="4220A072" w14:textId="77777777" w:rsidR="00A8082F" w:rsidRPr="00A8082F" w:rsidRDefault="00A8082F" w:rsidP="00A8082F">
      <w:pPr>
        <w:pStyle w:val="EndNoteBibliography"/>
      </w:pPr>
      <w:bookmarkStart w:id="22" w:name="_ENREF_15"/>
      <w:r w:rsidRPr="00A8082F">
        <w:t xml:space="preserve">Geroldi, C, Canu, E, Bruni, AC, Dal Forno, G, Ferri, R, Gabelli, C, Perri, R, Iapaolo, D, Scarpino, O, Sinforiani, E, Zanetti, O &amp; Frisoni, GB 2008, 'The added value of neuropsychologic tests and structural imaging for the etiologic diagnosis of dementia in italian expert centers', </w:t>
      </w:r>
      <w:r w:rsidRPr="00A8082F">
        <w:rPr>
          <w:i/>
        </w:rPr>
        <w:t>Alzheimer Dis Assoc Disord</w:t>
      </w:r>
      <w:r w:rsidRPr="00A8082F">
        <w:t>, vol. 22, no. 4, Oct-Dec, pp. 309-320.</w:t>
      </w:r>
    </w:p>
    <w:bookmarkEnd w:id="22"/>
    <w:p w14:paraId="47704AD2" w14:textId="77777777" w:rsidR="00A8082F" w:rsidRPr="00A8082F" w:rsidRDefault="00A8082F" w:rsidP="00A8082F">
      <w:pPr>
        <w:pStyle w:val="EndNoteBibliography"/>
        <w:spacing w:after="0"/>
      </w:pPr>
    </w:p>
    <w:p w14:paraId="4296A27D" w14:textId="77777777" w:rsidR="00A8082F" w:rsidRPr="00A8082F" w:rsidRDefault="00A8082F" w:rsidP="00A8082F">
      <w:pPr>
        <w:pStyle w:val="EndNoteBibliography"/>
      </w:pPr>
      <w:bookmarkStart w:id="23" w:name="_ENREF_16"/>
      <w:r w:rsidRPr="00A8082F">
        <w:t xml:space="preserve">Harvey, PD 2012, 'Clinical applications of neuropsychological assessment', </w:t>
      </w:r>
      <w:r w:rsidRPr="00A8082F">
        <w:rPr>
          <w:i/>
        </w:rPr>
        <w:t>Dialogues Clin Neurosci</w:t>
      </w:r>
      <w:r w:rsidRPr="00A8082F">
        <w:t>, vol. 14(1), pp. 91-99.</w:t>
      </w:r>
    </w:p>
    <w:bookmarkEnd w:id="23"/>
    <w:p w14:paraId="7FC6905A" w14:textId="77777777" w:rsidR="00A8082F" w:rsidRPr="00A8082F" w:rsidRDefault="00A8082F" w:rsidP="00A8082F">
      <w:pPr>
        <w:pStyle w:val="EndNoteBibliography"/>
        <w:spacing w:after="0"/>
      </w:pPr>
    </w:p>
    <w:p w14:paraId="0B53D598" w14:textId="37EF460C" w:rsidR="00A8082F" w:rsidRPr="00A8082F" w:rsidRDefault="00A8082F" w:rsidP="00A8082F">
      <w:pPr>
        <w:pStyle w:val="EndNoteBibliography"/>
      </w:pPr>
      <w:bookmarkStart w:id="24" w:name="_ENREF_17"/>
      <w:r w:rsidRPr="00A8082F">
        <w:t xml:space="preserve">Huntington's New South Wales 2001, </w:t>
      </w:r>
      <w:r w:rsidRPr="00A8082F">
        <w:rPr>
          <w:i/>
        </w:rPr>
        <w:t>How common is Huntington's Disease (HD)?</w:t>
      </w:r>
      <w:r w:rsidR="0039423C">
        <w:t xml:space="preserve">, viewed 27/05/2015, </w:t>
      </w:r>
      <w:hyperlink r:id="rId16" w:history="1">
        <w:r w:rsidR="0039423C">
          <w:rPr>
            <w:rStyle w:val="Hyperlink"/>
          </w:rPr>
          <w:t>Huntington's New South Wales 2001,</w:t>
        </w:r>
        <w:r w:rsidR="0039423C">
          <w:rPr>
            <w:rStyle w:val="Hyperlink"/>
          </w:rPr>
          <w:t xml:space="preserve"> </w:t>
        </w:r>
        <w:r w:rsidR="0039423C">
          <w:rPr>
            <w:rStyle w:val="Hyperlink"/>
          </w:rPr>
          <w:t>How common is Huntington's Disease (HD)?</w:t>
        </w:r>
      </w:hyperlink>
      <w:r w:rsidRPr="00A8082F">
        <w:t>.</w:t>
      </w:r>
    </w:p>
    <w:bookmarkEnd w:id="24"/>
    <w:p w14:paraId="728A072F" w14:textId="77777777" w:rsidR="00A8082F" w:rsidRPr="00A8082F" w:rsidRDefault="00A8082F" w:rsidP="00A8082F">
      <w:pPr>
        <w:pStyle w:val="EndNoteBibliography"/>
        <w:spacing w:after="0"/>
      </w:pPr>
    </w:p>
    <w:p w14:paraId="644976DF" w14:textId="77777777" w:rsidR="00A8082F" w:rsidRPr="00A8082F" w:rsidRDefault="00A8082F" w:rsidP="00A8082F">
      <w:pPr>
        <w:pStyle w:val="EndNoteBibliography"/>
      </w:pPr>
      <w:bookmarkStart w:id="25" w:name="_ENREF_18"/>
      <w:r w:rsidRPr="00A8082F">
        <w:t xml:space="preserve">Huppatz, C, Durrheim, DN, Levi, C, Dalton, C, Williams, D, Clements, MS &amp; Kelly, PM 2009, 'Etiology of encephalitis in Australia, 1990-2007', </w:t>
      </w:r>
      <w:r w:rsidRPr="00A8082F">
        <w:rPr>
          <w:i/>
        </w:rPr>
        <w:t>Emerg Infect Dis</w:t>
      </w:r>
      <w:r w:rsidRPr="00A8082F">
        <w:t>, vol. 15, no. 9, Sep, pp. 1359-1365.</w:t>
      </w:r>
    </w:p>
    <w:bookmarkEnd w:id="25"/>
    <w:p w14:paraId="5DFF49EF" w14:textId="77777777" w:rsidR="00A8082F" w:rsidRPr="00A8082F" w:rsidRDefault="00A8082F" w:rsidP="00A8082F">
      <w:pPr>
        <w:pStyle w:val="EndNoteBibliography"/>
        <w:spacing w:after="0"/>
      </w:pPr>
    </w:p>
    <w:p w14:paraId="73D54DE0" w14:textId="77777777" w:rsidR="00A8082F" w:rsidRPr="00A8082F" w:rsidRDefault="00A8082F" w:rsidP="00A8082F">
      <w:pPr>
        <w:pStyle w:val="EndNoteBibliography"/>
      </w:pPr>
      <w:bookmarkStart w:id="26" w:name="_ENREF_19"/>
      <w:r w:rsidRPr="00A8082F">
        <w:t xml:space="preserve">Klug, GM, Boyd, A, McGlade, A, Stehmann, C, Masters, CL &amp; Collins, SJ 2011, 'Surveillance of Creutzfeldt-Jakob disease in Australia: update to December 2010', </w:t>
      </w:r>
      <w:r w:rsidRPr="00A8082F">
        <w:rPr>
          <w:i/>
        </w:rPr>
        <w:t>Commun Dis Intell Q Rep</w:t>
      </w:r>
      <w:r w:rsidRPr="00A8082F">
        <w:t>, vol. 35, no. 2, Jun, pp. 149-153.</w:t>
      </w:r>
    </w:p>
    <w:bookmarkEnd w:id="26"/>
    <w:p w14:paraId="3F8513F3" w14:textId="77777777" w:rsidR="00A8082F" w:rsidRPr="00A8082F" w:rsidRDefault="00A8082F" w:rsidP="00A8082F">
      <w:pPr>
        <w:pStyle w:val="EndNoteBibliography"/>
        <w:spacing w:after="0"/>
      </w:pPr>
    </w:p>
    <w:p w14:paraId="0BB433E6" w14:textId="77777777" w:rsidR="00A8082F" w:rsidRPr="00A8082F" w:rsidRDefault="00A8082F" w:rsidP="00A8082F">
      <w:pPr>
        <w:pStyle w:val="EndNoteBibliography"/>
      </w:pPr>
      <w:bookmarkStart w:id="27" w:name="_ENREF_20"/>
      <w:r w:rsidRPr="00A8082F">
        <w:t xml:space="preserve">Kulas, JF &amp; Naugle, RI 2003, 'Indications for neuropsychological assessment', </w:t>
      </w:r>
      <w:r w:rsidRPr="00A8082F">
        <w:rPr>
          <w:i/>
        </w:rPr>
        <w:t>Cleve Clin J Med</w:t>
      </w:r>
      <w:r w:rsidRPr="00A8082F">
        <w:t>, vol. 70, no. 9, Sep, pp. 785-786, 788, 791-782.</w:t>
      </w:r>
    </w:p>
    <w:bookmarkEnd w:id="27"/>
    <w:p w14:paraId="43DDC142" w14:textId="77777777" w:rsidR="00A8082F" w:rsidRPr="00A8082F" w:rsidRDefault="00A8082F" w:rsidP="00A8082F">
      <w:pPr>
        <w:pStyle w:val="EndNoteBibliography"/>
        <w:spacing w:after="0"/>
      </w:pPr>
    </w:p>
    <w:p w14:paraId="7124863C" w14:textId="77777777" w:rsidR="00A8082F" w:rsidRPr="00A8082F" w:rsidRDefault="00A8082F" w:rsidP="00A8082F">
      <w:pPr>
        <w:pStyle w:val="EndNoteBibliography"/>
      </w:pPr>
      <w:bookmarkStart w:id="28" w:name="_ENREF_21"/>
      <w:r w:rsidRPr="00A8082F">
        <w:t xml:space="preserve">Meadows, GN, Enticott, JC, Inder, B, Russell, GM &amp; Gurr, R 2015, 'Better access to mental health care and the failure of the Medicare principle of universality', </w:t>
      </w:r>
      <w:r w:rsidRPr="00A8082F">
        <w:rPr>
          <w:i/>
        </w:rPr>
        <w:t>Med J Aust</w:t>
      </w:r>
      <w:r w:rsidRPr="00A8082F">
        <w:t>, vol. 202, no. 4, Mar 2, pp. 190-194.</w:t>
      </w:r>
    </w:p>
    <w:bookmarkEnd w:id="28"/>
    <w:p w14:paraId="786B3B02" w14:textId="77777777" w:rsidR="00A8082F" w:rsidRPr="00A8082F" w:rsidRDefault="00A8082F" w:rsidP="00A8082F">
      <w:pPr>
        <w:pStyle w:val="EndNoteBibliography"/>
        <w:spacing w:after="0"/>
      </w:pPr>
    </w:p>
    <w:p w14:paraId="22B75A86" w14:textId="77777777" w:rsidR="00A8082F" w:rsidRPr="00A8082F" w:rsidRDefault="00A8082F" w:rsidP="00A8082F">
      <w:pPr>
        <w:pStyle w:val="EndNoteBibliography"/>
      </w:pPr>
      <w:bookmarkStart w:id="29" w:name="_ENREF_22"/>
      <w:r w:rsidRPr="00A8082F">
        <w:t xml:space="preserve">Motor Neurone Disease Australia 2014, </w:t>
      </w:r>
      <w:r w:rsidRPr="00A8082F">
        <w:rPr>
          <w:i/>
        </w:rPr>
        <w:t>Motor Neurone Disease. More Facts.</w:t>
      </w:r>
      <w:r w:rsidRPr="00A8082F">
        <w:t>, MND Australia Inc.</w:t>
      </w:r>
    </w:p>
    <w:bookmarkEnd w:id="29"/>
    <w:p w14:paraId="1D828F1F" w14:textId="77777777" w:rsidR="00A8082F" w:rsidRPr="00A8082F" w:rsidRDefault="00A8082F" w:rsidP="00A8082F">
      <w:pPr>
        <w:pStyle w:val="EndNoteBibliography"/>
        <w:spacing w:after="0"/>
      </w:pPr>
    </w:p>
    <w:p w14:paraId="6DE8D9FF" w14:textId="77777777" w:rsidR="00A8082F" w:rsidRPr="00A8082F" w:rsidRDefault="00A8082F" w:rsidP="00A8082F">
      <w:pPr>
        <w:pStyle w:val="EndNoteBibliography"/>
      </w:pPr>
      <w:bookmarkStart w:id="30" w:name="_ENREF_23"/>
      <w:r w:rsidRPr="00A8082F">
        <w:rPr>
          <w:i/>
        </w:rPr>
        <w:t>Neuropsychological Assessment of Children and Adults with Traumatic Brain Injury: Guidelines for the NSW Compulsory Third Party Scheme and Lifetime Care and Support Scheme</w:t>
      </w:r>
      <w:r w:rsidRPr="00A8082F">
        <w:t>,  2013, Motor Accidents Authority, NSW government, Sydney.</w:t>
      </w:r>
    </w:p>
    <w:bookmarkEnd w:id="30"/>
    <w:p w14:paraId="2EE4CAAF" w14:textId="77777777" w:rsidR="00A8082F" w:rsidRPr="00A8082F" w:rsidRDefault="00A8082F" w:rsidP="00A8082F">
      <w:pPr>
        <w:pStyle w:val="EndNoteBibliography"/>
        <w:spacing w:after="0"/>
      </w:pPr>
    </w:p>
    <w:p w14:paraId="611E8752" w14:textId="7D4CA067" w:rsidR="00A8082F" w:rsidRPr="00A8082F" w:rsidRDefault="00A8082F" w:rsidP="00A8082F">
      <w:pPr>
        <w:pStyle w:val="EndNoteBibliography"/>
      </w:pPr>
      <w:bookmarkStart w:id="31" w:name="_ENREF_24"/>
      <w:r w:rsidRPr="00A8082F">
        <w:t xml:space="preserve">Parkinson's Australia, </w:t>
      </w:r>
      <w:r w:rsidRPr="00A8082F">
        <w:rPr>
          <w:i/>
        </w:rPr>
        <w:t>What is Parkinson's?</w:t>
      </w:r>
      <w:r w:rsidR="0039423C">
        <w:t xml:space="preserve">, viewed 27/05/2015, </w:t>
      </w:r>
      <w:hyperlink r:id="rId17" w:history="1">
        <w:r w:rsidR="0039423C">
          <w:rPr>
            <w:rStyle w:val="Hyperlink"/>
          </w:rPr>
          <w:t>Parkinson</w:t>
        </w:r>
        <w:r w:rsidR="0039423C">
          <w:rPr>
            <w:rStyle w:val="Hyperlink"/>
          </w:rPr>
          <w:t>'</w:t>
        </w:r>
        <w:r w:rsidR="0039423C">
          <w:rPr>
            <w:rStyle w:val="Hyperlink"/>
          </w:rPr>
          <w:t>s Australia, What is Parkinson's?</w:t>
        </w:r>
      </w:hyperlink>
      <w:r w:rsidRPr="00A8082F">
        <w:t>.</w:t>
      </w:r>
    </w:p>
    <w:bookmarkEnd w:id="31"/>
    <w:p w14:paraId="35CA7DBE" w14:textId="77777777" w:rsidR="00A8082F" w:rsidRPr="00A8082F" w:rsidRDefault="00A8082F" w:rsidP="00A8082F">
      <w:pPr>
        <w:pStyle w:val="EndNoteBibliography"/>
        <w:spacing w:after="0"/>
      </w:pPr>
    </w:p>
    <w:p w14:paraId="173D6EFF" w14:textId="77777777" w:rsidR="00A8082F" w:rsidRPr="00A8082F" w:rsidRDefault="00A8082F" w:rsidP="00A8082F">
      <w:pPr>
        <w:pStyle w:val="EndNoteBibliography"/>
      </w:pPr>
      <w:bookmarkStart w:id="32" w:name="_ENREF_25"/>
      <w:r w:rsidRPr="00A8082F">
        <w:lastRenderedPageBreak/>
        <w:t xml:space="preserve">Royal College of Physicians and British Society of Rehabilitation Medicine 2003, </w:t>
      </w:r>
      <w:r w:rsidRPr="00A8082F">
        <w:rPr>
          <w:i/>
        </w:rPr>
        <w:t>Rehabilitation following acquired brain injury. National clinical guidelines.</w:t>
      </w:r>
      <w:r w:rsidRPr="00A8082F">
        <w:t>, London: RCP.</w:t>
      </w:r>
    </w:p>
    <w:bookmarkEnd w:id="32"/>
    <w:p w14:paraId="3883B5C6" w14:textId="77777777" w:rsidR="00A8082F" w:rsidRPr="00A8082F" w:rsidRDefault="00A8082F" w:rsidP="00861324">
      <w:pPr>
        <w:pStyle w:val="EndNoteBibliography"/>
        <w:spacing w:after="0"/>
      </w:pPr>
    </w:p>
    <w:p w14:paraId="5722DDAD" w14:textId="77777777" w:rsidR="00A8082F" w:rsidRPr="00A8082F" w:rsidRDefault="00A8082F" w:rsidP="00A8082F">
      <w:pPr>
        <w:pStyle w:val="EndNoteBibliography"/>
      </w:pPr>
      <w:bookmarkStart w:id="33" w:name="_ENREF_26"/>
      <w:r w:rsidRPr="00A8082F">
        <w:t xml:space="preserve">Williams, K, MacDermott, S, Ridley, G, Glasson, EJ &amp; Wray, JA 2008, 'The prevalence of autism in Australia. Can it be established from existing data?', </w:t>
      </w:r>
      <w:r w:rsidRPr="00A8082F">
        <w:rPr>
          <w:i/>
        </w:rPr>
        <w:t>J Paediatr Child Health</w:t>
      </w:r>
      <w:r w:rsidRPr="00A8082F">
        <w:t>, vol. 44, no. 9, Sep, pp. 504-510.</w:t>
      </w:r>
    </w:p>
    <w:bookmarkEnd w:id="33"/>
    <w:p w14:paraId="42E1F35A" w14:textId="77777777" w:rsidR="00A8082F" w:rsidRPr="00A8082F" w:rsidRDefault="00A8082F" w:rsidP="00A8082F">
      <w:pPr>
        <w:pStyle w:val="EndNoteBibliography"/>
      </w:pPr>
    </w:p>
    <w:p w14:paraId="53281711" w14:textId="6F9F0724" w:rsidR="00C04293" w:rsidRPr="00D415F1" w:rsidRDefault="008F6DCF" w:rsidP="00874667">
      <w:pPr>
        <w:rPr>
          <w:sz w:val="24"/>
          <w:szCs w:val="24"/>
        </w:rPr>
      </w:pPr>
      <w:r>
        <w:rPr>
          <w:sz w:val="24"/>
          <w:szCs w:val="24"/>
        </w:rPr>
        <w:fldChar w:fldCharType="end"/>
      </w:r>
    </w:p>
    <w:sectPr w:rsidR="00C04293" w:rsidRPr="00D415F1" w:rsidSect="00296D8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411B9" w14:textId="77777777" w:rsidR="00850884" w:rsidRDefault="00850884" w:rsidP="008B5AB2">
      <w:pPr>
        <w:spacing w:after="0" w:line="240" w:lineRule="auto"/>
      </w:pPr>
      <w:r>
        <w:separator/>
      </w:r>
    </w:p>
  </w:endnote>
  <w:endnote w:type="continuationSeparator" w:id="0">
    <w:p w14:paraId="4EAAF34C" w14:textId="77777777" w:rsidR="00850884" w:rsidRDefault="00850884" w:rsidP="008B5AB2">
      <w:pPr>
        <w:spacing w:after="0" w:line="240" w:lineRule="auto"/>
      </w:pPr>
      <w:r>
        <w:continuationSeparator/>
      </w:r>
    </w:p>
  </w:endnote>
  <w:endnote w:type="continuationNotice" w:id="1">
    <w:p w14:paraId="53045CAA" w14:textId="77777777" w:rsidR="00850884" w:rsidRDefault="00850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6263" w14:textId="77777777" w:rsidR="00A2320A" w:rsidRDefault="00A23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15127"/>
      <w:docPartObj>
        <w:docPartGallery w:val="Page Numbers (Bottom of Page)"/>
        <w:docPartUnique/>
      </w:docPartObj>
    </w:sdtPr>
    <w:sdtEndPr>
      <w:rPr>
        <w:noProof/>
      </w:rPr>
    </w:sdtEndPr>
    <w:sdtContent>
      <w:p w14:paraId="52E0B33E" w14:textId="77777777" w:rsidR="00A2320A" w:rsidRDefault="00A2320A">
        <w:pPr>
          <w:pStyle w:val="Footer"/>
          <w:jc w:val="right"/>
        </w:pPr>
        <w:r>
          <w:fldChar w:fldCharType="begin"/>
        </w:r>
        <w:r>
          <w:instrText xml:space="preserve"> PAGE   \* MERGEFORMAT </w:instrText>
        </w:r>
        <w:r>
          <w:fldChar w:fldCharType="separate"/>
        </w:r>
        <w:r w:rsidR="00984E82">
          <w:rPr>
            <w:noProof/>
          </w:rPr>
          <w:t>20</w:t>
        </w:r>
        <w:r>
          <w:rPr>
            <w:noProof/>
          </w:rPr>
          <w:fldChar w:fldCharType="end"/>
        </w:r>
      </w:p>
    </w:sdtContent>
  </w:sdt>
  <w:p w14:paraId="11493422" w14:textId="77777777" w:rsidR="00A2320A" w:rsidRDefault="00A23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BE072" w14:textId="77777777" w:rsidR="00A2320A" w:rsidRDefault="00A23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7AB1" w14:textId="77777777" w:rsidR="00850884" w:rsidRDefault="00850884" w:rsidP="008B5AB2">
      <w:pPr>
        <w:spacing w:after="0" w:line="240" w:lineRule="auto"/>
      </w:pPr>
      <w:r>
        <w:separator/>
      </w:r>
    </w:p>
  </w:footnote>
  <w:footnote w:type="continuationSeparator" w:id="0">
    <w:p w14:paraId="5E52F6A5" w14:textId="77777777" w:rsidR="00850884" w:rsidRDefault="00850884" w:rsidP="008B5AB2">
      <w:pPr>
        <w:spacing w:after="0" w:line="240" w:lineRule="auto"/>
      </w:pPr>
      <w:r>
        <w:continuationSeparator/>
      </w:r>
    </w:p>
  </w:footnote>
  <w:footnote w:type="continuationNotice" w:id="1">
    <w:p w14:paraId="66E55A7D" w14:textId="77777777" w:rsidR="00850884" w:rsidRDefault="008508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52CD" w14:textId="77777777" w:rsidR="00A2320A" w:rsidRDefault="00A2320A">
    <w:pPr>
      <w:pStyle w:val="Header"/>
    </w:pPr>
    <w:r>
      <w:rPr>
        <w:noProof/>
      </w:rPr>
      <w:pict w14:anchorId="2C8F3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115938"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3FE9" w14:textId="77777777" w:rsidR="00A2320A" w:rsidRDefault="00A2320A">
    <w:pPr>
      <w:pStyle w:val="Header"/>
    </w:pPr>
    <w:r>
      <w:rPr>
        <w:noProof/>
      </w:rPr>
      <w:pict w14:anchorId="0C5CA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115939"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CA719" w14:textId="77777777" w:rsidR="00A2320A" w:rsidRDefault="00A2320A">
    <w:pPr>
      <w:pStyle w:val="Header"/>
    </w:pPr>
    <w:r>
      <w:rPr>
        <w:noProof/>
      </w:rPr>
      <w:pict w14:anchorId="5AD24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115937"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3C"/>
    <w:multiLevelType w:val="hybridMultilevel"/>
    <w:tmpl w:val="E95E4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62B53"/>
    <w:multiLevelType w:val="hybridMultilevel"/>
    <w:tmpl w:val="41FCC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F0D32"/>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nsid w:val="06C90774"/>
    <w:multiLevelType w:val="hybridMultilevel"/>
    <w:tmpl w:val="253A9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3B5C5C"/>
    <w:multiLevelType w:val="hybridMultilevel"/>
    <w:tmpl w:val="A9269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831C86"/>
    <w:multiLevelType w:val="hybridMultilevel"/>
    <w:tmpl w:val="DA045102"/>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6">
    <w:nsid w:val="0A504BC9"/>
    <w:multiLevelType w:val="hybridMultilevel"/>
    <w:tmpl w:val="23B6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BF273BA"/>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EAC1425"/>
    <w:multiLevelType w:val="hybridMultilevel"/>
    <w:tmpl w:val="FD0E9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C91A39"/>
    <w:multiLevelType w:val="hybridMultilevel"/>
    <w:tmpl w:val="56BA7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431225"/>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nsid w:val="19656F0D"/>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nsid w:val="19F344FD"/>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4E3019"/>
    <w:multiLevelType w:val="hybridMultilevel"/>
    <w:tmpl w:val="CAFCA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514D3A"/>
    <w:multiLevelType w:val="hybridMultilevel"/>
    <w:tmpl w:val="D7D832F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E1156F"/>
    <w:multiLevelType w:val="hybridMultilevel"/>
    <w:tmpl w:val="F234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BB38C8"/>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nsid w:val="29F30A5A"/>
    <w:multiLevelType w:val="hybridMultilevel"/>
    <w:tmpl w:val="180CFAB0"/>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9">
    <w:nsid w:val="2F755FF9"/>
    <w:multiLevelType w:val="hybridMultilevel"/>
    <w:tmpl w:val="267E2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3207C3"/>
    <w:multiLevelType w:val="hybridMultilevel"/>
    <w:tmpl w:val="B0B0C4D6"/>
    <w:lvl w:ilvl="0" w:tplc="C782771A">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1">
    <w:nsid w:val="32FD434F"/>
    <w:multiLevelType w:val="hybridMultilevel"/>
    <w:tmpl w:val="DFEC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F33D4E"/>
    <w:multiLevelType w:val="hybridMultilevel"/>
    <w:tmpl w:val="14C08854"/>
    <w:lvl w:ilvl="0" w:tplc="86C232E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70031FA"/>
    <w:multiLevelType w:val="hybridMultilevel"/>
    <w:tmpl w:val="E62007B2"/>
    <w:lvl w:ilvl="0" w:tplc="00563B5C">
      <w:numFmt w:val="bullet"/>
      <w:lvlText w:val="-"/>
      <w:lvlJc w:val="left"/>
      <w:pPr>
        <w:ind w:left="1179" w:hanging="360"/>
      </w:pPr>
      <w:rPr>
        <w:rFonts w:ascii="Calibri" w:eastAsia="Times New Roman" w:hAnsi="Calibri"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4">
    <w:nsid w:val="37126EEF"/>
    <w:multiLevelType w:val="hybridMultilevel"/>
    <w:tmpl w:val="B0E254A0"/>
    <w:lvl w:ilvl="0" w:tplc="F3D60BFC">
      <w:start w:val="1"/>
      <w:numFmt w:val="lowerLetter"/>
      <w:lvlText w:val="%1)"/>
      <w:lvlJc w:val="left"/>
      <w:pPr>
        <w:ind w:left="785" w:hanging="360"/>
      </w:pPr>
      <w:rPr>
        <w:b w:val="0"/>
        <w:color w:val="auto"/>
        <w:sz w:val="18"/>
        <w:szCs w:val="18"/>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5">
    <w:nsid w:val="37904BBC"/>
    <w:multiLevelType w:val="hybridMultilevel"/>
    <w:tmpl w:val="6A328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8240B94"/>
    <w:multiLevelType w:val="hybridMultilevel"/>
    <w:tmpl w:val="9B269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8706790"/>
    <w:multiLevelType w:val="hybridMultilevel"/>
    <w:tmpl w:val="E460B938"/>
    <w:lvl w:ilvl="0" w:tplc="CFEAF476">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ADE087E"/>
    <w:multiLevelType w:val="hybridMultilevel"/>
    <w:tmpl w:val="1AD60E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72408E"/>
    <w:multiLevelType w:val="hybridMultilevel"/>
    <w:tmpl w:val="AA840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2E5072B"/>
    <w:multiLevelType w:val="hybridMultilevel"/>
    <w:tmpl w:val="364ED45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1">
    <w:nsid w:val="432A6B08"/>
    <w:multiLevelType w:val="hybridMultilevel"/>
    <w:tmpl w:val="C35AFA3C"/>
    <w:lvl w:ilvl="0" w:tplc="203630DA">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4565E87"/>
    <w:multiLevelType w:val="hybridMultilevel"/>
    <w:tmpl w:val="375E6350"/>
    <w:lvl w:ilvl="0" w:tplc="6CA8CB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83725DF"/>
    <w:multiLevelType w:val="hybridMultilevel"/>
    <w:tmpl w:val="4BBCF9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AF84879"/>
    <w:multiLevelType w:val="hybridMultilevel"/>
    <w:tmpl w:val="03320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BCD2E46"/>
    <w:multiLevelType w:val="hybridMultilevel"/>
    <w:tmpl w:val="DC52C93C"/>
    <w:lvl w:ilvl="0" w:tplc="F3D60BFC">
      <w:start w:val="1"/>
      <w:numFmt w:val="lowerLetter"/>
      <w:lvlText w:val="%1)"/>
      <w:lvlJc w:val="left"/>
      <w:pPr>
        <w:ind w:left="720" w:hanging="360"/>
      </w:pPr>
      <w:rPr>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BDC0401"/>
    <w:multiLevelType w:val="hybridMultilevel"/>
    <w:tmpl w:val="4EB28C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D7E2540"/>
    <w:multiLevelType w:val="hybridMultilevel"/>
    <w:tmpl w:val="90D0EBE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4E957F84"/>
    <w:multiLevelType w:val="hybridMultilevel"/>
    <w:tmpl w:val="E2DCA6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EAB3B7B"/>
    <w:multiLevelType w:val="hybridMultilevel"/>
    <w:tmpl w:val="62B4EB24"/>
    <w:lvl w:ilvl="0" w:tplc="8D0A4472">
      <w:start w:val="1"/>
      <w:numFmt w:val="decimal"/>
      <w:lvlText w:val="%1)"/>
      <w:lvlJc w:val="left"/>
      <w:pPr>
        <w:ind w:left="360" w:hanging="360"/>
      </w:pPr>
      <w:rPr>
        <w:rFonts w:hint="default"/>
        <w:b/>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0">
    <w:nsid w:val="4F6D3D8C"/>
    <w:multiLevelType w:val="hybridMultilevel"/>
    <w:tmpl w:val="AD505E62"/>
    <w:lvl w:ilvl="0" w:tplc="734A71F8">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1FE44AF"/>
    <w:multiLevelType w:val="hybridMultilevel"/>
    <w:tmpl w:val="58F29D68"/>
    <w:lvl w:ilvl="0" w:tplc="41DE5996">
      <w:start w:val="1"/>
      <w:numFmt w:val="lowerLetter"/>
      <w:lvlText w:val="%1)"/>
      <w:lvlJc w:val="left"/>
      <w:pPr>
        <w:ind w:left="405" w:hanging="360"/>
      </w:pPr>
      <w:rPr>
        <w:rFonts w:ascii="Arial" w:hAnsi="Arial" w:cs="Arial" w:hint="default"/>
        <w:b w:val="0"/>
        <w:i w:val="0"/>
        <w:sz w:val="18"/>
        <w:szCs w:val="18"/>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2">
    <w:nsid w:val="52001EE8"/>
    <w:multiLevelType w:val="hybridMultilevel"/>
    <w:tmpl w:val="D18EBF6C"/>
    <w:lvl w:ilvl="0" w:tplc="48F0944C">
      <w:start w:val="1"/>
      <w:numFmt w:val="lowerLetter"/>
      <w:lvlText w:val="%1)"/>
      <w:lvlJc w:val="left"/>
      <w:pPr>
        <w:ind w:left="405" w:hanging="360"/>
      </w:pPr>
      <w:rPr>
        <w:rFonts w:hint="default"/>
        <w:i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3">
    <w:nsid w:val="53D72268"/>
    <w:multiLevelType w:val="hybridMultilevel"/>
    <w:tmpl w:val="A20065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51A1521"/>
    <w:multiLevelType w:val="hybridMultilevel"/>
    <w:tmpl w:val="825478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58A4414D"/>
    <w:multiLevelType w:val="hybridMultilevel"/>
    <w:tmpl w:val="DBF26258"/>
    <w:lvl w:ilvl="0" w:tplc="00563B5C">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nsid w:val="5A11168A"/>
    <w:multiLevelType w:val="hybridMultilevel"/>
    <w:tmpl w:val="CEE4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D32201B"/>
    <w:multiLevelType w:val="hybridMultilevel"/>
    <w:tmpl w:val="071C0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DB939BA"/>
    <w:multiLevelType w:val="hybridMultilevel"/>
    <w:tmpl w:val="4C06FE68"/>
    <w:lvl w:ilvl="0" w:tplc="1A2A1CE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E0C3E82"/>
    <w:multiLevelType w:val="hybridMultilevel"/>
    <w:tmpl w:val="CCF80036"/>
    <w:lvl w:ilvl="0" w:tplc="50E25B3E">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F842712"/>
    <w:multiLevelType w:val="hybridMultilevel"/>
    <w:tmpl w:val="4EBE2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1CD444C"/>
    <w:multiLevelType w:val="hybridMultilevel"/>
    <w:tmpl w:val="158A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71C6E3E"/>
    <w:multiLevelType w:val="hybridMultilevel"/>
    <w:tmpl w:val="996E8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73E07EC"/>
    <w:multiLevelType w:val="hybridMultilevel"/>
    <w:tmpl w:val="6B32BB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0307A0"/>
    <w:multiLevelType w:val="hybridMultilevel"/>
    <w:tmpl w:val="5846E1FE"/>
    <w:lvl w:ilvl="0" w:tplc="2244E8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56">
    <w:nsid w:val="69390764"/>
    <w:multiLevelType w:val="hybridMultilevel"/>
    <w:tmpl w:val="3ADC55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96E7CF7"/>
    <w:multiLevelType w:val="hybridMultilevel"/>
    <w:tmpl w:val="A3C2EB7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8">
    <w:nsid w:val="6BCC38BE"/>
    <w:multiLevelType w:val="hybridMultilevel"/>
    <w:tmpl w:val="154EABCC"/>
    <w:lvl w:ilvl="0" w:tplc="CFC2D87E">
      <w:start w:val="1"/>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1285599"/>
    <w:multiLevelType w:val="hybridMultilevel"/>
    <w:tmpl w:val="3012A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72A7416C"/>
    <w:multiLevelType w:val="hybridMultilevel"/>
    <w:tmpl w:val="00E0D0E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3641C9E"/>
    <w:multiLevelType w:val="hybridMultilevel"/>
    <w:tmpl w:val="0D1A05A6"/>
    <w:lvl w:ilvl="0" w:tplc="AE3E2E12">
      <w:start w:val="1"/>
      <w:numFmt w:val="lowerLetter"/>
      <w:lvlText w:val="%1)"/>
      <w:lvlJc w:val="left"/>
      <w:pPr>
        <w:ind w:left="40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3DF055A"/>
    <w:multiLevelType w:val="hybridMultilevel"/>
    <w:tmpl w:val="48E26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49B2283"/>
    <w:multiLevelType w:val="hybridMultilevel"/>
    <w:tmpl w:val="2A80FE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6E463C6"/>
    <w:multiLevelType w:val="hybridMultilevel"/>
    <w:tmpl w:val="CD4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79F65DB"/>
    <w:multiLevelType w:val="hybridMultilevel"/>
    <w:tmpl w:val="810C2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91F6C00"/>
    <w:multiLevelType w:val="hybridMultilevel"/>
    <w:tmpl w:val="2390D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9271FB9"/>
    <w:multiLevelType w:val="hybridMultilevel"/>
    <w:tmpl w:val="1D6AC4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96018A7"/>
    <w:multiLevelType w:val="hybridMultilevel"/>
    <w:tmpl w:val="D50E2F68"/>
    <w:lvl w:ilvl="0" w:tplc="D2D603A4">
      <w:start w:val="1"/>
      <w:numFmt w:val="lowerLetter"/>
      <w:lvlText w:val="%1)"/>
      <w:lvlJc w:val="left"/>
      <w:pPr>
        <w:ind w:left="720" w:hanging="360"/>
      </w:pPr>
      <w:rPr>
        <w:rFonts w:ascii="Arial" w:hAnsi="Arial" w:cs="Arial"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7AE0475C"/>
    <w:multiLevelType w:val="hybridMultilevel"/>
    <w:tmpl w:val="A080EA9E"/>
    <w:lvl w:ilvl="0" w:tplc="00563B5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BE12E8A"/>
    <w:multiLevelType w:val="hybridMultilevel"/>
    <w:tmpl w:val="400C9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2"/>
  </w:num>
  <w:num w:numId="3">
    <w:abstractNumId w:val="43"/>
  </w:num>
  <w:num w:numId="4">
    <w:abstractNumId w:val="63"/>
  </w:num>
  <w:num w:numId="5">
    <w:abstractNumId w:val="36"/>
  </w:num>
  <w:num w:numId="6">
    <w:abstractNumId w:val="26"/>
  </w:num>
  <w:num w:numId="7">
    <w:abstractNumId w:val="66"/>
  </w:num>
  <w:num w:numId="8">
    <w:abstractNumId w:val="6"/>
  </w:num>
  <w:num w:numId="9">
    <w:abstractNumId w:val="16"/>
  </w:num>
  <w:num w:numId="10">
    <w:abstractNumId w:val="51"/>
  </w:num>
  <w:num w:numId="11">
    <w:abstractNumId w:val="21"/>
  </w:num>
  <w:num w:numId="12">
    <w:abstractNumId w:val="4"/>
  </w:num>
  <w:num w:numId="13">
    <w:abstractNumId w:val="14"/>
  </w:num>
  <w:num w:numId="14">
    <w:abstractNumId w:val="9"/>
  </w:num>
  <w:num w:numId="15">
    <w:abstractNumId w:val="19"/>
  </w:num>
  <w:num w:numId="16">
    <w:abstractNumId w:val="70"/>
  </w:num>
  <w:num w:numId="17">
    <w:abstractNumId w:val="3"/>
  </w:num>
  <w:num w:numId="18">
    <w:abstractNumId w:val="33"/>
  </w:num>
  <w:num w:numId="19">
    <w:abstractNumId w:val="28"/>
  </w:num>
  <w:num w:numId="20">
    <w:abstractNumId w:val="34"/>
  </w:num>
  <w:num w:numId="21">
    <w:abstractNumId w:val="59"/>
  </w:num>
  <w:num w:numId="22">
    <w:abstractNumId w:val="30"/>
  </w:num>
  <w:num w:numId="23">
    <w:abstractNumId w:val="5"/>
  </w:num>
  <w:num w:numId="24">
    <w:abstractNumId w:val="37"/>
  </w:num>
  <w:num w:numId="25">
    <w:abstractNumId w:val="15"/>
  </w:num>
  <w:num w:numId="26">
    <w:abstractNumId w:val="25"/>
  </w:num>
  <w:num w:numId="27">
    <w:abstractNumId w:val="65"/>
  </w:num>
  <w:num w:numId="28">
    <w:abstractNumId w:val="50"/>
  </w:num>
  <w:num w:numId="29">
    <w:abstractNumId w:val="44"/>
  </w:num>
  <w:num w:numId="30">
    <w:abstractNumId w:val="39"/>
  </w:num>
  <w:num w:numId="31">
    <w:abstractNumId w:val="24"/>
  </w:num>
  <w:num w:numId="32">
    <w:abstractNumId w:val="69"/>
  </w:num>
  <w:num w:numId="33">
    <w:abstractNumId w:val="31"/>
  </w:num>
  <w:num w:numId="34">
    <w:abstractNumId w:val="7"/>
  </w:num>
  <w:num w:numId="35">
    <w:abstractNumId w:val="12"/>
  </w:num>
  <w:num w:numId="36">
    <w:abstractNumId w:val="20"/>
  </w:num>
  <w:num w:numId="37">
    <w:abstractNumId w:val="2"/>
  </w:num>
  <w:num w:numId="38">
    <w:abstractNumId w:val="41"/>
  </w:num>
  <w:num w:numId="39">
    <w:abstractNumId w:val="0"/>
  </w:num>
  <w:num w:numId="40">
    <w:abstractNumId w:val="32"/>
  </w:num>
  <w:num w:numId="41">
    <w:abstractNumId w:val="11"/>
  </w:num>
  <w:num w:numId="42">
    <w:abstractNumId w:val="54"/>
  </w:num>
  <w:num w:numId="43">
    <w:abstractNumId w:val="18"/>
  </w:num>
  <w:num w:numId="44">
    <w:abstractNumId w:val="61"/>
  </w:num>
  <w:num w:numId="45">
    <w:abstractNumId w:val="17"/>
  </w:num>
  <w:num w:numId="46">
    <w:abstractNumId w:val="1"/>
  </w:num>
  <w:num w:numId="47">
    <w:abstractNumId w:val="42"/>
  </w:num>
  <w:num w:numId="48">
    <w:abstractNumId w:val="45"/>
  </w:num>
  <w:num w:numId="49">
    <w:abstractNumId w:val="23"/>
  </w:num>
  <w:num w:numId="50">
    <w:abstractNumId w:val="68"/>
  </w:num>
  <w:num w:numId="51">
    <w:abstractNumId w:val="60"/>
  </w:num>
  <w:num w:numId="52">
    <w:abstractNumId w:val="13"/>
  </w:num>
  <w:num w:numId="53">
    <w:abstractNumId w:val="55"/>
  </w:num>
  <w:num w:numId="54">
    <w:abstractNumId w:val="57"/>
  </w:num>
  <w:num w:numId="55">
    <w:abstractNumId w:val="35"/>
  </w:num>
  <w:num w:numId="56">
    <w:abstractNumId w:val="8"/>
  </w:num>
  <w:num w:numId="57">
    <w:abstractNumId w:val="27"/>
  </w:num>
  <w:num w:numId="58">
    <w:abstractNumId w:val="67"/>
  </w:num>
  <w:num w:numId="59">
    <w:abstractNumId w:val="47"/>
  </w:num>
  <w:num w:numId="60">
    <w:abstractNumId w:val="52"/>
  </w:num>
  <w:num w:numId="61">
    <w:abstractNumId w:val="29"/>
  </w:num>
  <w:num w:numId="62">
    <w:abstractNumId w:val="38"/>
  </w:num>
  <w:num w:numId="63">
    <w:abstractNumId w:val="53"/>
  </w:num>
  <w:num w:numId="64">
    <w:abstractNumId w:val="56"/>
  </w:num>
  <w:num w:numId="65">
    <w:abstractNumId w:val="58"/>
  </w:num>
  <w:num w:numId="66">
    <w:abstractNumId w:val="49"/>
  </w:num>
  <w:num w:numId="67">
    <w:abstractNumId w:val="40"/>
  </w:num>
  <w:num w:numId="68">
    <w:abstractNumId w:val="48"/>
  </w:num>
  <w:num w:numId="69">
    <w:abstractNumId w:val="64"/>
  </w:num>
  <w:num w:numId="70">
    <w:abstractNumId w:val="10"/>
  </w:num>
  <w:num w:numId="71">
    <w:abstractNumId w:val="4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Kessels">
    <w15:presenceInfo w15:providerId="AD" w15:userId="S-1-5-21-1390582872-192029990-4074164785-268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 UofA (Style Manual Australia 6th edn)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5dxszwoae9faedw9b5xwdcd2wzaftfwfer&quot;&gt;Neuropsychology information&lt;record-ids&gt;&lt;item&gt;1&lt;/item&gt;&lt;item&gt;4&lt;/item&gt;&lt;item&gt;5&lt;/item&gt;&lt;item&gt;6&lt;/item&gt;&lt;item&gt;7&lt;/item&gt;&lt;item&gt;8&lt;/item&gt;&lt;item&gt;10&lt;/item&gt;&lt;item&gt;12&lt;/item&gt;&lt;item&gt;13&lt;/item&gt;&lt;item&gt;14&lt;/item&gt;&lt;item&gt;15&lt;/item&gt;&lt;item&gt;16&lt;/item&gt;&lt;item&gt;17&lt;/item&gt;&lt;item&gt;18&lt;/item&gt;&lt;item&gt;19&lt;/item&gt;&lt;item&gt;20&lt;/item&gt;&lt;item&gt;21&lt;/item&gt;&lt;item&gt;22&lt;/item&gt;&lt;item&gt;28&lt;/item&gt;&lt;item&gt;30&lt;/item&gt;&lt;item&gt;31&lt;/item&gt;&lt;item&gt;32&lt;/item&gt;&lt;item&gt;33&lt;/item&gt;&lt;item&gt;34&lt;/item&gt;&lt;item&gt;36&lt;/item&gt;&lt;item&gt;37&lt;/item&gt;&lt;/record-ids&gt;&lt;/item&gt;&lt;/Libraries&gt;"/>
  </w:docVars>
  <w:rsids>
    <w:rsidRoot w:val="008B5AB2"/>
    <w:rsid w:val="00002D3C"/>
    <w:rsid w:val="000125A4"/>
    <w:rsid w:val="000133D1"/>
    <w:rsid w:val="00014E46"/>
    <w:rsid w:val="000207BA"/>
    <w:rsid w:val="000222F9"/>
    <w:rsid w:val="00031315"/>
    <w:rsid w:val="00033D67"/>
    <w:rsid w:val="00033F8B"/>
    <w:rsid w:val="00034B07"/>
    <w:rsid w:val="00047E01"/>
    <w:rsid w:val="00051CA8"/>
    <w:rsid w:val="0007431E"/>
    <w:rsid w:val="00075FAF"/>
    <w:rsid w:val="00083829"/>
    <w:rsid w:val="00084DFB"/>
    <w:rsid w:val="00093D78"/>
    <w:rsid w:val="000A6897"/>
    <w:rsid w:val="000B1D95"/>
    <w:rsid w:val="000B4FEA"/>
    <w:rsid w:val="000B6676"/>
    <w:rsid w:val="000C0F05"/>
    <w:rsid w:val="000C1CE9"/>
    <w:rsid w:val="000C5257"/>
    <w:rsid w:val="000C5EB3"/>
    <w:rsid w:val="000D5304"/>
    <w:rsid w:val="000D7F43"/>
    <w:rsid w:val="000F351E"/>
    <w:rsid w:val="001018F3"/>
    <w:rsid w:val="00104C20"/>
    <w:rsid w:val="00114714"/>
    <w:rsid w:val="00125723"/>
    <w:rsid w:val="00130889"/>
    <w:rsid w:val="0013275A"/>
    <w:rsid w:val="00133E26"/>
    <w:rsid w:val="00133FCD"/>
    <w:rsid w:val="00136EC6"/>
    <w:rsid w:val="001616AD"/>
    <w:rsid w:val="00162213"/>
    <w:rsid w:val="00167921"/>
    <w:rsid w:val="00190DDC"/>
    <w:rsid w:val="001970EF"/>
    <w:rsid w:val="001A1036"/>
    <w:rsid w:val="001A57A2"/>
    <w:rsid w:val="001B5723"/>
    <w:rsid w:val="001C3C63"/>
    <w:rsid w:val="001C4074"/>
    <w:rsid w:val="001C6178"/>
    <w:rsid w:val="001D4873"/>
    <w:rsid w:val="001D5110"/>
    <w:rsid w:val="001E400A"/>
    <w:rsid w:val="001E59D2"/>
    <w:rsid w:val="001F043D"/>
    <w:rsid w:val="001F14B4"/>
    <w:rsid w:val="00200451"/>
    <w:rsid w:val="0020711A"/>
    <w:rsid w:val="00220876"/>
    <w:rsid w:val="00237ED7"/>
    <w:rsid w:val="002423B6"/>
    <w:rsid w:val="002434F6"/>
    <w:rsid w:val="002508B6"/>
    <w:rsid w:val="00251971"/>
    <w:rsid w:val="00253014"/>
    <w:rsid w:val="00260D92"/>
    <w:rsid w:val="00261D0C"/>
    <w:rsid w:val="00263FF4"/>
    <w:rsid w:val="00264E39"/>
    <w:rsid w:val="002663E5"/>
    <w:rsid w:val="00283955"/>
    <w:rsid w:val="002863F0"/>
    <w:rsid w:val="002878AD"/>
    <w:rsid w:val="00296D8C"/>
    <w:rsid w:val="002A298F"/>
    <w:rsid w:val="002A69C8"/>
    <w:rsid w:val="002A6DCD"/>
    <w:rsid w:val="002B49D9"/>
    <w:rsid w:val="002B6467"/>
    <w:rsid w:val="002C0121"/>
    <w:rsid w:val="002C1097"/>
    <w:rsid w:val="002C439A"/>
    <w:rsid w:val="002C6D9A"/>
    <w:rsid w:val="002E2F65"/>
    <w:rsid w:val="002E362E"/>
    <w:rsid w:val="002E4CDB"/>
    <w:rsid w:val="002F500E"/>
    <w:rsid w:val="002F7721"/>
    <w:rsid w:val="002F7C87"/>
    <w:rsid w:val="00310C6A"/>
    <w:rsid w:val="00313FFE"/>
    <w:rsid w:val="00321B0B"/>
    <w:rsid w:val="00322DE2"/>
    <w:rsid w:val="00323B07"/>
    <w:rsid w:val="00327E24"/>
    <w:rsid w:val="00336E33"/>
    <w:rsid w:val="00344155"/>
    <w:rsid w:val="00350C8D"/>
    <w:rsid w:val="00351E1C"/>
    <w:rsid w:val="0036349C"/>
    <w:rsid w:val="00367B60"/>
    <w:rsid w:val="003743E2"/>
    <w:rsid w:val="00387696"/>
    <w:rsid w:val="00390357"/>
    <w:rsid w:val="003906B0"/>
    <w:rsid w:val="0039384B"/>
    <w:rsid w:val="0039423C"/>
    <w:rsid w:val="003948B7"/>
    <w:rsid w:val="003956A3"/>
    <w:rsid w:val="003A13D6"/>
    <w:rsid w:val="003A3FC9"/>
    <w:rsid w:val="003A7D54"/>
    <w:rsid w:val="003B75EC"/>
    <w:rsid w:val="003C3676"/>
    <w:rsid w:val="003C4554"/>
    <w:rsid w:val="003D062F"/>
    <w:rsid w:val="003E1F3E"/>
    <w:rsid w:val="003F002C"/>
    <w:rsid w:val="003F2278"/>
    <w:rsid w:val="00406CC0"/>
    <w:rsid w:val="00411968"/>
    <w:rsid w:val="00424D97"/>
    <w:rsid w:val="00424DF1"/>
    <w:rsid w:val="00425D04"/>
    <w:rsid w:val="004331D8"/>
    <w:rsid w:val="00436F4C"/>
    <w:rsid w:val="00440074"/>
    <w:rsid w:val="00440320"/>
    <w:rsid w:val="00442205"/>
    <w:rsid w:val="00454830"/>
    <w:rsid w:val="00460032"/>
    <w:rsid w:val="00466077"/>
    <w:rsid w:val="00467B7C"/>
    <w:rsid w:val="00470DE4"/>
    <w:rsid w:val="004750DD"/>
    <w:rsid w:val="00475EF8"/>
    <w:rsid w:val="00480E0D"/>
    <w:rsid w:val="00482FDA"/>
    <w:rsid w:val="00486B85"/>
    <w:rsid w:val="00487CCE"/>
    <w:rsid w:val="00493186"/>
    <w:rsid w:val="00494765"/>
    <w:rsid w:val="004A05B1"/>
    <w:rsid w:val="004A1DA0"/>
    <w:rsid w:val="004A3696"/>
    <w:rsid w:val="004A4751"/>
    <w:rsid w:val="004A656C"/>
    <w:rsid w:val="004B4265"/>
    <w:rsid w:val="004C04E2"/>
    <w:rsid w:val="004C521A"/>
    <w:rsid w:val="004C5EFF"/>
    <w:rsid w:val="004E6E5B"/>
    <w:rsid w:val="004E7C30"/>
    <w:rsid w:val="004F423B"/>
    <w:rsid w:val="004F456F"/>
    <w:rsid w:val="004F4E72"/>
    <w:rsid w:val="004F571D"/>
    <w:rsid w:val="00502D49"/>
    <w:rsid w:val="00503781"/>
    <w:rsid w:val="005050EE"/>
    <w:rsid w:val="0051072E"/>
    <w:rsid w:val="00520514"/>
    <w:rsid w:val="00525774"/>
    <w:rsid w:val="00526BE7"/>
    <w:rsid w:val="00526C94"/>
    <w:rsid w:val="00527D20"/>
    <w:rsid w:val="00530E87"/>
    <w:rsid w:val="005318B8"/>
    <w:rsid w:val="005330BF"/>
    <w:rsid w:val="00533CAC"/>
    <w:rsid w:val="0053429C"/>
    <w:rsid w:val="00535C2F"/>
    <w:rsid w:val="00536BCC"/>
    <w:rsid w:val="00540831"/>
    <w:rsid w:val="00541A4D"/>
    <w:rsid w:val="00554CB7"/>
    <w:rsid w:val="00561649"/>
    <w:rsid w:val="00573107"/>
    <w:rsid w:val="0058631F"/>
    <w:rsid w:val="005C67C3"/>
    <w:rsid w:val="005D143D"/>
    <w:rsid w:val="005D5FF3"/>
    <w:rsid w:val="005D774D"/>
    <w:rsid w:val="005E0AF1"/>
    <w:rsid w:val="005E55CE"/>
    <w:rsid w:val="005F0AF1"/>
    <w:rsid w:val="005F26D2"/>
    <w:rsid w:val="005F4AF7"/>
    <w:rsid w:val="00612E9A"/>
    <w:rsid w:val="00617D15"/>
    <w:rsid w:val="00617DF9"/>
    <w:rsid w:val="006236FD"/>
    <w:rsid w:val="00623DD5"/>
    <w:rsid w:val="00627C5F"/>
    <w:rsid w:val="006342B7"/>
    <w:rsid w:val="00637045"/>
    <w:rsid w:val="00644012"/>
    <w:rsid w:val="00644458"/>
    <w:rsid w:val="00654ACB"/>
    <w:rsid w:val="006572D5"/>
    <w:rsid w:val="0066665D"/>
    <w:rsid w:val="00675000"/>
    <w:rsid w:val="006821B2"/>
    <w:rsid w:val="00686018"/>
    <w:rsid w:val="00687587"/>
    <w:rsid w:val="00687CBD"/>
    <w:rsid w:val="00691D20"/>
    <w:rsid w:val="00692B8F"/>
    <w:rsid w:val="006946C6"/>
    <w:rsid w:val="00697789"/>
    <w:rsid w:val="0069780E"/>
    <w:rsid w:val="006A0293"/>
    <w:rsid w:val="006A02B3"/>
    <w:rsid w:val="006A414A"/>
    <w:rsid w:val="006A6F76"/>
    <w:rsid w:val="006B067A"/>
    <w:rsid w:val="006B1BAC"/>
    <w:rsid w:val="006B1F0B"/>
    <w:rsid w:val="006B7A14"/>
    <w:rsid w:val="006C08CF"/>
    <w:rsid w:val="006C751C"/>
    <w:rsid w:val="006D5EB9"/>
    <w:rsid w:val="006D76B2"/>
    <w:rsid w:val="006E5A3A"/>
    <w:rsid w:val="006E77A2"/>
    <w:rsid w:val="006F004F"/>
    <w:rsid w:val="006F29FD"/>
    <w:rsid w:val="0070036F"/>
    <w:rsid w:val="00707F9F"/>
    <w:rsid w:val="00711298"/>
    <w:rsid w:val="00711E39"/>
    <w:rsid w:val="00724B46"/>
    <w:rsid w:val="00731851"/>
    <w:rsid w:val="00731AF3"/>
    <w:rsid w:val="0073231B"/>
    <w:rsid w:val="00732394"/>
    <w:rsid w:val="00733E47"/>
    <w:rsid w:val="00734138"/>
    <w:rsid w:val="00735CE3"/>
    <w:rsid w:val="0074024E"/>
    <w:rsid w:val="00740A6C"/>
    <w:rsid w:val="00741B60"/>
    <w:rsid w:val="00747B00"/>
    <w:rsid w:val="007505D1"/>
    <w:rsid w:val="00756934"/>
    <w:rsid w:val="00766FEA"/>
    <w:rsid w:val="0077222D"/>
    <w:rsid w:val="00775AFD"/>
    <w:rsid w:val="00775B7E"/>
    <w:rsid w:val="007827EF"/>
    <w:rsid w:val="007829FD"/>
    <w:rsid w:val="007969EE"/>
    <w:rsid w:val="007A0ADC"/>
    <w:rsid w:val="007A0FF1"/>
    <w:rsid w:val="007C4C41"/>
    <w:rsid w:val="007D3685"/>
    <w:rsid w:val="007E3968"/>
    <w:rsid w:val="007E3A67"/>
    <w:rsid w:val="007E5F65"/>
    <w:rsid w:val="0083189E"/>
    <w:rsid w:val="00832DFF"/>
    <w:rsid w:val="00837B24"/>
    <w:rsid w:val="00844352"/>
    <w:rsid w:val="00845FE7"/>
    <w:rsid w:val="00850884"/>
    <w:rsid w:val="00851F12"/>
    <w:rsid w:val="00855DD3"/>
    <w:rsid w:val="00855E1E"/>
    <w:rsid w:val="00855F40"/>
    <w:rsid w:val="00861324"/>
    <w:rsid w:val="00861C89"/>
    <w:rsid w:val="00874667"/>
    <w:rsid w:val="00881730"/>
    <w:rsid w:val="008A2099"/>
    <w:rsid w:val="008A3768"/>
    <w:rsid w:val="008B009C"/>
    <w:rsid w:val="008B0F7C"/>
    <w:rsid w:val="008B1C6D"/>
    <w:rsid w:val="008B5AB2"/>
    <w:rsid w:val="008C21F3"/>
    <w:rsid w:val="008C4BB9"/>
    <w:rsid w:val="008D109A"/>
    <w:rsid w:val="008E05C3"/>
    <w:rsid w:val="008E34EF"/>
    <w:rsid w:val="008E5822"/>
    <w:rsid w:val="008F05B5"/>
    <w:rsid w:val="008F2672"/>
    <w:rsid w:val="008F6DCF"/>
    <w:rsid w:val="00915CE9"/>
    <w:rsid w:val="009176A6"/>
    <w:rsid w:val="009248C9"/>
    <w:rsid w:val="0092551E"/>
    <w:rsid w:val="009313B9"/>
    <w:rsid w:val="0093215D"/>
    <w:rsid w:val="00932E21"/>
    <w:rsid w:val="00943A6F"/>
    <w:rsid w:val="00963D66"/>
    <w:rsid w:val="00973F46"/>
    <w:rsid w:val="00974EBC"/>
    <w:rsid w:val="00975822"/>
    <w:rsid w:val="00975B37"/>
    <w:rsid w:val="0098097D"/>
    <w:rsid w:val="009809A4"/>
    <w:rsid w:val="00982DDC"/>
    <w:rsid w:val="00983C03"/>
    <w:rsid w:val="00984E82"/>
    <w:rsid w:val="00985259"/>
    <w:rsid w:val="0098705B"/>
    <w:rsid w:val="0098743C"/>
    <w:rsid w:val="00991E84"/>
    <w:rsid w:val="009A458C"/>
    <w:rsid w:val="009A6A4E"/>
    <w:rsid w:val="009B30D3"/>
    <w:rsid w:val="009B5230"/>
    <w:rsid w:val="009B690A"/>
    <w:rsid w:val="009B71C5"/>
    <w:rsid w:val="009B7FC3"/>
    <w:rsid w:val="009C53D1"/>
    <w:rsid w:val="009C5764"/>
    <w:rsid w:val="009D5E8E"/>
    <w:rsid w:val="009D7D3C"/>
    <w:rsid w:val="009E3E6E"/>
    <w:rsid w:val="009E72D4"/>
    <w:rsid w:val="009E793E"/>
    <w:rsid w:val="009F4C52"/>
    <w:rsid w:val="00A042B0"/>
    <w:rsid w:val="00A05C08"/>
    <w:rsid w:val="00A07213"/>
    <w:rsid w:val="00A128D3"/>
    <w:rsid w:val="00A147F4"/>
    <w:rsid w:val="00A1547C"/>
    <w:rsid w:val="00A2320A"/>
    <w:rsid w:val="00A30A5F"/>
    <w:rsid w:val="00A32F72"/>
    <w:rsid w:val="00A466AE"/>
    <w:rsid w:val="00A46776"/>
    <w:rsid w:val="00A54D86"/>
    <w:rsid w:val="00A57ECF"/>
    <w:rsid w:val="00A64ED9"/>
    <w:rsid w:val="00A77B61"/>
    <w:rsid w:val="00A8082F"/>
    <w:rsid w:val="00A8198F"/>
    <w:rsid w:val="00AA1053"/>
    <w:rsid w:val="00AA6B5C"/>
    <w:rsid w:val="00AC0C5E"/>
    <w:rsid w:val="00AE0B0C"/>
    <w:rsid w:val="00AF334A"/>
    <w:rsid w:val="00B02903"/>
    <w:rsid w:val="00B03FAB"/>
    <w:rsid w:val="00B05632"/>
    <w:rsid w:val="00B12F26"/>
    <w:rsid w:val="00B16393"/>
    <w:rsid w:val="00B165D6"/>
    <w:rsid w:val="00B24A28"/>
    <w:rsid w:val="00B26BB3"/>
    <w:rsid w:val="00B34D50"/>
    <w:rsid w:val="00B40444"/>
    <w:rsid w:val="00B6156B"/>
    <w:rsid w:val="00B621F3"/>
    <w:rsid w:val="00B6312A"/>
    <w:rsid w:val="00B653CF"/>
    <w:rsid w:val="00B66F65"/>
    <w:rsid w:val="00B67936"/>
    <w:rsid w:val="00B762F5"/>
    <w:rsid w:val="00B87DF9"/>
    <w:rsid w:val="00B90F47"/>
    <w:rsid w:val="00B91483"/>
    <w:rsid w:val="00BA20E5"/>
    <w:rsid w:val="00BA5411"/>
    <w:rsid w:val="00BA7FD6"/>
    <w:rsid w:val="00BB10C1"/>
    <w:rsid w:val="00BB1C52"/>
    <w:rsid w:val="00BB55B6"/>
    <w:rsid w:val="00BB642D"/>
    <w:rsid w:val="00BC100B"/>
    <w:rsid w:val="00BC4EFE"/>
    <w:rsid w:val="00BC53D4"/>
    <w:rsid w:val="00BC69A5"/>
    <w:rsid w:val="00BD6A65"/>
    <w:rsid w:val="00BE0E12"/>
    <w:rsid w:val="00BE12E5"/>
    <w:rsid w:val="00BE45E2"/>
    <w:rsid w:val="00BF2DE8"/>
    <w:rsid w:val="00BF32DC"/>
    <w:rsid w:val="00C04293"/>
    <w:rsid w:val="00C04593"/>
    <w:rsid w:val="00C10B8C"/>
    <w:rsid w:val="00C10F2A"/>
    <w:rsid w:val="00C11444"/>
    <w:rsid w:val="00C15E88"/>
    <w:rsid w:val="00C16036"/>
    <w:rsid w:val="00C2370C"/>
    <w:rsid w:val="00C24A64"/>
    <w:rsid w:val="00C3292A"/>
    <w:rsid w:val="00C407E2"/>
    <w:rsid w:val="00C40BC5"/>
    <w:rsid w:val="00C44008"/>
    <w:rsid w:val="00C453A5"/>
    <w:rsid w:val="00C50CE2"/>
    <w:rsid w:val="00C53A8A"/>
    <w:rsid w:val="00C56BD9"/>
    <w:rsid w:val="00C60682"/>
    <w:rsid w:val="00C60769"/>
    <w:rsid w:val="00C6719B"/>
    <w:rsid w:val="00C72581"/>
    <w:rsid w:val="00C826FB"/>
    <w:rsid w:val="00C8789C"/>
    <w:rsid w:val="00C93365"/>
    <w:rsid w:val="00CB0EF3"/>
    <w:rsid w:val="00CB33A2"/>
    <w:rsid w:val="00CC03C6"/>
    <w:rsid w:val="00CD2631"/>
    <w:rsid w:val="00CE098D"/>
    <w:rsid w:val="00CE21B7"/>
    <w:rsid w:val="00CF0EDF"/>
    <w:rsid w:val="00CF3C8D"/>
    <w:rsid w:val="00CF727B"/>
    <w:rsid w:val="00D10129"/>
    <w:rsid w:val="00D11911"/>
    <w:rsid w:val="00D122A2"/>
    <w:rsid w:val="00D126CD"/>
    <w:rsid w:val="00D13F42"/>
    <w:rsid w:val="00D35932"/>
    <w:rsid w:val="00D37964"/>
    <w:rsid w:val="00D415F1"/>
    <w:rsid w:val="00D442C8"/>
    <w:rsid w:val="00D51214"/>
    <w:rsid w:val="00D555CB"/>
    <w:rsid w:val="00D561C3"/>
    <w:rsid w:val="00D623F2"/>
    <w:rsid w:val="00D665F1"/>
    <w:rsid w:val="00D6705F"/>
    <w:rsid w:val="00D70EAF"/>
    <w:rsid w:val="00D74C68"/>
    <w:rsid w:val="00D90684"/>
    <w:rsid w:val="00D90D8F"/>
    <w:rsid w:val="00D93423"/>
    <w:rsid w:val="00D93513"/>
    <w:rsid w:val="00DB47D4"/>
    <w:rsid w:val="00DC52F4"/>
    <w:rsid w:val="00DD77AE"/>
    <w:rsid w:val="00DE011A"/>
    <w:rsid w:val="00DE02A0"/>
    <w:rsid w:val="00DE1132"/>
    <w:rsid w:val="00DF3BE8"/>
    <w:rsid w:val="00E065BF"/>
    <w:rsid w:val="00E06958"/>
    <w:rsid w:val="00E110FA"/>
    <w:rsid w:val="00E20908"/>
    <w:rsid w:val="00E235F6"/>
    <w:rsid w:val="00E60968"/>
    <w:rsid w:val="00E7095B"/>
    <w:rsid w:val="00E76268"/>
    <w:rsid w:val="00E76DB2"/>
    <w:rsid w:val="00E85EA0"/>
    <w:rsid w:val="00E90859"/>
    <w:rsid w:val="00EA1011"/>
    <w:rsid w:val="00EA31E3"/>
    <w:rsid w:val="00EA3AAD"/>
    <w:rsid w:val="00EB26D8"/>
    <w:rsid w:val="00EB7866"/>
    <w:rsid w:val="00ED2C94"/>
    <w:rsid w:val="00ED3B84"/>
    <w:rsid w:val="00ED6348"/>
    <w:rsid w:val="00EE700E"/>
    <w:rsid w:val="00EF10B3"/>
    <w:rsid w:val="00EF3DFE"/>
    <w:rsid w:val="00F06C5E"/>
    <w:rsid w:val="00F11E2D"/>
    <w:rsid w:val="00F14BA1"/>
    <w:rsid w:val="00F15955"/>
    <w:rsid w:val="00F220EA"/>
    <w:rsid w:val="00F26322"/>
    <w:rsid w:val="00F31C36"/>
    <w:rsid w:val="00F351CA"/>
    <w:rsid w:val="00F379CE"/>
    <w:rsid w:val="00F44538"/>
    <w:rsid w:val="00F45B46"/>
    <w:rsid w:val="00F47C58"/>
    <w:rsid w:val="00F50126"/>
    <w:rsid w:val="00F51599"/>
    <w:rsid w:val="00F528EB"/>
    <w:rsid w:val="00F53A0C"/>
    <w:rsid w:val="00F62014"/>
    <w:rsid w:val="00F72037"/>
    <w:rsid w:val="00F723B0"/>
    <w:rsid w:val="00F81CCA"/>
    <w:rsid w:val="00F85EC6"/>
    <w:rsid w:val="00F90CF7"/>
    <w:rsid w:val="00F91AC2"/>
    <w:rsid w:val="00F92515"/>
    <w:rsid w:val="00F956CC"/>
    <w:rsid w:val="00F961A0"/>
    <w:rsid w:val="00F97DE1"/>
    <w:rsid w:val="00FA05FC"/>
    <w:rsid w:val="00FA4637"/>
    <w:rsid w:val="00FA689E"/>
    <w:rsid w:val="00FB1BEA"/>
    <w:rsid w:val="00FB6728"/>
    <w:rsid w:val="00FC32E2"/>
    <w:rsid w:val="00FC6320"/>
    <w:rsid w:val="00FD2435"/>
    <w:rsid w:val="00FD5D91"/>
    <w:rsid w:val="00FE14C9"/>
    <w:rsid w:val="00FE61AC"/>
    <w:rsid w:val="00FF10E4"/>
    <w:rsid w:val="00FF2A01"/>
    <w:rsid w:val="00FF3121"/>
    <w:rsid w:val="00FF6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A2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1471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CF0EDF"/>
    <w:rPr>
      <w:sz w:val="16"/>
      <w:szCs w:val="16"/>
    </w:rPr>
  </w:style>
  <w:style w:type="paragraph" w:styleId="CommentText">
    <w:name w:val="annotation text"/>
    <w:basedOn w:val="Normal"/>
    <w:link w:val="CommentTextChar"/>
    <w:uiPriority w:val="99"/>
    <w:semiHidden/>
    <w:unhideWhenUsed/>
    <w:rsid w:val="00CF0EDF"/>
    <w:pPr>
      <w:spacing w:line="240" w:lineRule="auto"/>
    </w:pPr>
    <w:rPr>
      <w:sz w:val="20"/>
      <w:szCs w:val="20"/>
    </w:rPr>
  </w:style>
  <w:style w:type="character" w:customStyle="1" w:styleId="CommentTextChar">
    <w:name w:val="Comment Text Char"/>
    <w:basedOn w:val="DefaultParagraphFont"/>
    <w:link w:val="CommentText"/>
    <w:uiPriority w:val="99"/>
    <w:semiHidden/>
    <w:rsid w:val="00CF0EDF"/>
    <w:rPr>
      <w:sz w:val="20"/>
      <w:szCs w:val="20"/>
    </w:rPr>
  </w:style>
  <w:style w:type="paragraph" w:styleId="CommentSubject">
    <w:name w:val="annotation subject"/>
    <w:basedOn w:val="CommentText"/>
    <w:next w:val="CommentText"/>
    <w:link w:val="CommentSubjectChar"/>
    <w:uiPriority w:val="99"/>
    <w:semiHidden/>
    <w:unhideWhenUsed/>
    <w:rsid w:val="00CF0EDF"/>
    <w:rPr>
      <w:b/>
      <w:bCs/>
    </w:rPr>
  </w:style>
  <w:style w:type="character" w:customStyle="1" w:styleId="CommentSubjectChar">
    <w:name w:val="Comment Subject Char"/>
    <w:basedOn w:val="CommentTextChar"/>
    <w:link w:val="CommentSubject"/>
    <w:uiPriority w:val="99"/>
    <w:semiHidden/>
    <w:rsid w:val="00CF0EDF"/>
    <w:rPr>
      <w:b/>
      <w:bCs/>
      <w:sz w:val="20"/>
      <w:szCs w:val="20"/>
    </w:rPr>
  </w:style>
  <w:style w:type="paragraph" w:customStyle="1" w:styleId="EndNoteBibliographyTitle">
    <w:name w:val="EndNote Bibliography Title"/>
    <w:basedOn w:val="Normal"/>
    <w:link w:val="EndNoteBibliographyTitleChar"/>
    <w:rsid w:val="008F6D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F6DCF"/>
    <w:rPr>
      <w:rFonts w:ascii="Calibri" w:hAnsi="Calibri"/>
      <w:noProof/>
      <w:lang w:val="en-US"/>
    </w:rPr>
  </w:style>
  <w:style w:type="paragraph" w:customStyle="1" w:styleId="EndNoteBibliography">
    <w:name w:val="EndNote Bibliography"/>
    <w:basedOn w:val="Normal"/>
    <w:link w:val="EndNoteBibliographyChar"/>
    <w:rsid w:val="008F6D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F6DCF"/>
    <w:rPr>
      <w:rFonts w:ascii="Calibri" w:hAnsi="Calibri"/>
      <w:noProof/>
      <w:lang w:val="en-US"/>
    </w:rPr>
  </w:style>
  <w:style w:type="character" w:customStyle="1" w:styleId="Heading2Char">
    <w:name w:val="Heading 2 Char"/>
    <w:basedOn w:val="DefaultParagraphFont"/>
    <w:link w:val="Heading2"/>
    <w:uiPriority w:val="9"/>
    <w:rsid w:val="00114714"/>
    <w:rPr>
      <w:rFonts w:ascii="Times New Roman" w:eastAsia="Times New Roman" w:hAnsi="Times New Roman" w:cs="Times New Roman"/>
      <w:b/>
      <w:bCs/>
      <w:sz w:val="36"/>
      <w:szCs w:val="36"/>
      <w:lang w:eastAsia="en-AU"/>
    </w:rPr>
  </w:style>
  <w:style w:type="paragraph" w:styleId="NoSpacing">
    <w:name w:val="No Spacing"/>
    <w:uiPriority w:val="1"/>
    <w:qFormat/>
    <w:rsid w:val="003C4554"/>
    <w:pPr>
      <w:spacing w:after="0" w:line="240" w:lineRule="auto"/>
    </w:pPr>
  </w:style>
  <w:style w:type="table" w:customStyle="1" w:styleId="TableGrid1">
    <w:name w:val="Table Grid1"/>
    <w:basedOn w:val="TableNormal"/>
    <w:next w:val="TableGrid"/>
    <w:rsid w:val="000C5257"/>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styleId="Strong">
    <w:name w:val="Strong"/>
    <w:basedOn w:val="DefaultParagraphFont"/>
    <w:uiPriority w:val="22"/>
    <w:qFormat/>
    <w:rsid w:val="00FF10E4"/>
    <w:rPr>
      <w:b/>
      <w:bCs/>
    </w:rPr>
  </w:style>
  <w:style w:type="paragraph" w:styleId="NormalWeb">
    <w:name w:val="Normal (Web)"/>
    <w:basedOn w:val="Normal"/>
    <w:uiPriority w:val="99"/>
    <w:unhideWhenUsed/>
    <w:rsid w:val="00F379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B1C6D"/>
    <w:rPr>
      <w:color w:val="800080" w:themeColor="followedHyperlink"/>
      <w:u w:val="single"/>
    </w:rPr>
  </w:style>
  <w:style w:type="character" w:customStyle="1" w:styleId="Heading1Char">
    <w:name w:val="Heading 1 Char"/>
    <w:basedOn w:val="DefaultParagraphFont"/>
    <w:link w:val="Heading1"/>
    <w:uiPriority w:val="9"/>
    <w:rsid w:val="005330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3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1471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CF0EDF"/>
    <w:rPr>
      <w:sz w:val="16"/>
      <w:szCs w:val="16"/>
    </w:rPr>
  </w:style>
  <w:style w:type="paragraph" w:styleId="CommentText">
    <w:name w:val="annotation text"/>
    <w:basedOn w:val="Normal"/>
    <w:link w:val="CommentTextChar"/>
    <w:uiPriority w:val="99"/>
    <w:semiHidden/>
    <w:unhideWhenUsed/>
    <w:rsid w:val="00CF0EDF"/>
    <w:pPr>
      <w:spacing w:line="240" w:lineRule="auto"/>
    </w:pPr>
    <w:rPr>
      <w:sz w:val="20"/>
      <w:szCs w:val="20"/>
    </w:rPr>
  </w:style>
  <w:style w:type="character" w:customStyle="1" w:styleId="CommentTextChar">
    <w:name w:val="Comment Text Char"/>
    <w:basedOn w:val="DefaultParagraphFont"/>
    <w:link w:val="CommentText"/>
    <w:uiPriority w:val="99"/>
    <w:semiHidden/>
    <w:rsid w:val="00CF0EDF"/>
    <w:rPr>
      <w:sz w:val="20"/>
      <w:szCs w:val="20"/>
    </w:rPr>
  </w:style>
  <w:style w:type="paragraph" w:styleId="CommentSubject">
    <w:name w:val="annotation subject"/>
    <w:basedOn w:val="CommentText"/>
    <w:next w:val="CommentText"/>
    <w:link w:val="CommentSubjectChar"/>
    <w:uiPriority w:val="99"/>
    <w:semiHidden/>
    <w:unhideWhenUsed/>
    <w:rsid w:val="00CF0EDF"/>
    <w:rPr>
      <w:b/>
      <w:bCs/>
    </w:rPr>
  </w:style>
  <w:style w:type="character" w:customStyle="1" w:styleId="CommentSubjectChar">
    <w:name w:val="Comment Subject Char"/>
    <w:basedOn w:val="CommentTextChar"/>
    <w:link w:val="CommentSubject"/>
    <w:uiPriority w:val="99"/>
    <w:semiHidden/>
    <w:rsid w:val="00CF0EDF"/>
    <w:rPr>
      <w:b/>
      <w:bCs/>
      <w:sz w:val="20"/>
      <w:szCs w:val="20"/>
    </w:rPr>
  </w:style>
  <w:style w:type="paragraph" w:customStyle="1" w:styleId="EndNoteBibliographyTitle">
    <w:name w:val="EndNote Bibliography Title"/>
    <w:basedOn w:val="Normal"/>
    <w:link w:val="EndNoteBibliographyTitleChar"/>
    <w:rsid w:val="008F6DC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F6DCF"/>
    <w:rPr>
      <w:rFonts w:ascii="Calibri" w:hAnsi="Calibri"/>
      <w:noProof/>
      <w:lang w:val="en-US"/>
    </w:rPr>
  </w:style>
  <w:style w:type="paragraph" w:customStyle="1" w:styleId="EndNoteBibliography">
    <w:name w:val="EndNote Bibliography"/>
    <w:basedOn w:val="Normal"/>
    <w:link w:val="EndNoteBibliographyChar"/>
    <w:rsid w:val="008F6DC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F6DCF"/>
    <w:rPr>
      <w:rFonts w:ascii="Calibri" w:hAnsi="Calibri"/>
      <w:noProof/>
      <w:lang w:val="en-US"/>
    </w:rPr>
  </w:style>
  <w:style w:type="character" w:customStyle="1" w:styleId="Heading2Char">
    <w:name w:val="Heading 2 Char"/>
    <w:basedOn w:val="DefaultParagraphFont"/>
    <w:link w:val="Heading2"/>
    <w:uiPriority w:val="9"/>
    <w:rsid w:val="00114714"/>
    <w:rPr>
      <w:rFonts w:ascii="Times New Roman" w:eastAsia="Times New Roman" w:hAnsi="Times New Roman" w:cs="Times New Roman"/>
      <w:b/>
      <w:bCs/>
      <w:sz w:val="36"/>
      <w:szCs w:val="36"/>
      <w:lang w:eastAsia="en-AU"/>
    </w:rPr>
  </w:style>
  <w:style w:type="paragraph" w:styleId="NoSpacing">
    <w:name w:val="No Spacing"/>
    <w:uiPriority w:val="1"/>
    <w:qFormat/>
    <w:rsid w:val="003C4554"/>
    <w:pPr>
      <w:spacing w:after="0" w:line="240" w:lineRule="auto"/>
    </w:pPr>
  </w:style>
  <w:style w:type="table" w:customStyle="1" w:styleId="TableGrid1">
    <w:name w:val="Table Grid1"/>
    <w:basedOn w:val="TableNormal"/>
    <w:next w:val="TableGrid"/>
    <w:rsid w:val="000C5257"/>
    <w:pPr>
      <w:tabs>
        <w:tab w:val="left" w:pos="2835"/>
      </w:tabs>
      <w:spacing w:before="40" w:after="4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styleId="Strong">
    <w:name w:val="Strong"/>
    <w:basedOn w:val="DefaultParagraphFont"/>
    <w:uiPriority w:val="22"/>
    <w:qFormat/>
    <w:rsid w:val="00FF10E4"/>
    <w:rPr>
      <w:b/>
      <w:bCs/>
    </w:rPr>
  </w:style>
  <w:style w:type="paragraph" w:styleId="NormalWeb">
    <w:name w:val="Normal (Web)"/>
    <w:basedOn w:val="Normal"/>
    <w:uiPriority w:val="99"/>
    <w:unhideWhenUsed/>
    <w:rsid w:val="00F379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B1C6D"/>
    <w:rPr>
      <w:color w:val="800080" w:themeColor="followedHyperlink"/>
      <w:u w:val="single"/>
    </w:rPr>
  </w:style>
  <w:style w:type="character" w:customStyle="1" w:styleId="Heading1Char">
    <w:name w:val="Heading 1 Char"/>
    <w:basedOn w:val="DefaultParagraphFont"/>
    <w:link w:val="Heading1"/>
    <w:uiPriority w:val="9"/>
    <w:rsid w:val="005330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0038">
      <w:bodyDiv w:val="1"/>
      <w:marLeft w:val="0"/>
      <w:marRight w:val="0"/>
      <w:marTop w:val="0"/>
      <w:marBottom w:val="0"/>
      <w:divBdr>
        <w:top w:val="none" w:sz="0" w:space="0" w:color="auto"/>
        <w:left w:val="none" w:sz="0" w:space="0" w:color="auto"/>
        <w:bottom w:val="none" w:sz="0" w:space="0" w:color="auto"/>
        <w:right w:val="none" w:sz="0" w:space="0" w:color="auto"/>
      </w:divBdr>
      <w:divsChild>
        <w:div w:id="26415839">
          <w:marLeft w:val="0"/>
          <w:marRight w:val="0"/>
          <w:marTop w:val="0"/>
          <w:marBottom w:val="0"/>
          <w:divBdr>
            <w:top w:val="none" w:sz="0" w:space="0" w:color="auto"/>
            <w:left w:val="none" w:sz="0" w:space="0" w:color="auto"/>
            <w:bottom w:val="none" w:sz="0" w:space="0" w:color="auto"/>
            <w:right w:val="none" w:sz="0" w:space="0" w:color="auto"/>
          </w:divBdr>
        </w:div>
      </w:divsChild>
    </w:div>
    <w:div w:id="318507171">
      <w:bodyDiv w:val="1"/>
      <w:marLeft w:val="0"/>
      <w:marRight w:val="0"/>
      <w:marTop w:val="0"/>
      <w:marBottom w:val="0"/>
      <w:divBdr>
        <w:top w:val="none" w:sz="0" w:space="0" w:color="auto"/>
        <w:left w:val="none" w:sz="0" w:space="0" w:color="auto"/>
        <w:bottom w:val="none" w:sz="0" w:space="0" w:color="auto"/>
        <w:right w:val="none" w:sz="0" w:space="0" w:color="auto"/>
      </w:divBdr>
    </w:div>
    <w:div w:id="353963737">
      <w:bodyDiv w:val="1"/>
      <w:marLeft w:val="0"/>
      <w:marRight w:val="0"/>
      <w:marTop w:val="0"/>
      <w:marBottom w:val="0"/>
      <w:divBdr>
        <w:top w:val="none" w:sz="0" w:space="0" w:color="auto"/>
        <w:left w:val="none" w:sz="0" w:space="0" w:color="auto"/>
        <w:bottom w:val="none" w:sz="0" w:space="0" w:color="auto"/>
        <w:right w:val="none" w:sz="0" w:space="0" w:color="auto"/>
      </w:divBdr>
    </w:div>
    <w:div w:id="456803288">
      <w:bodyDiv w:val="1"/>
      <w:marLeft w:val="0"/>
      <w:marRight w:val="0"/>
      <w:marTop w:val="0"/>
      <w:marBottom w:val="0"/>
      <w:divBdr>
        <w:top w:val="none" w:sz="0" w:space="0" w:color="auto"/>
        <w:left w:val="none" w:sz="0" w:space="0" w:color="auto"/>
        <w:bottom w:val="none" w:sz="0" w:space="0" w:color="auto"/>
        <w:right w:val="none" w:sz="0" w:space="0" w:color="auto"/>
      </w:divBdr>
    </w:div>
    <w:div w:id="530536612">
      <w:bodyDiv w:val="1"/>
      <w:marLeft w:val="0"/>
      <w:marRight w:val="0"/>
      <w:marTop w:val="0"/>
      <w:marBottom w:val="0"/>
      <w:divBdr>
        <w:top w:val="none" w:sz="0" w:space="0" w:color="auto"/>
        <w:left w:val="none" w:sz="0" w:space="0" w:color="auto"/>
        <w:bottom w:val="none" w:sz="0" w:space="0" w:color="auto"/>
        <w:right w:val="none" w:sz="0" w:space="0" w:color="auto"/>
      </w:divBdr>
    </w:div>
    <w:div w:id="797261532">
      <w:bodyDiv w:val="1"/>
      <w:marLeft w:val="0"/>
      <w:marRight w:val="0"/>
      <w:marTop w:val="0"/>
      <w:marBottom w:val="0"/>
      <w:divBdr>
        <w:top w:val="none" w:sz="0" w:space="0" w:color="auto"/>
        <w:left w:val="none" w:sz="0" w:space="0" w:color="auto"/>
        <w:bottom w:val="none" w:sz="0" w:space="0" w:color="auto"/>
        <w:right w:val="none" w:sz="0" w:space="0" w:color="auto"/>
      </w:divBdr>
    </w:div>
    <w:div w:id="1156146395">
      <w:bodyDiv w:val="1"/>
      <w:marLeft w:val="0"/>
      <w:marRight w:val="0"/>
      <w:marTop w:val="0"/>
      <w:marBottom w:val="0"/>
      <w:divBdr>
        <w:top w:val="none" w:sz="0" w:space="0" w:color="auto"/>
        <w:left w:val="none" w:sz="0" w:space="0" w:color="auto"/>
        <w:bottom w:val="none" w:sz="0" w:space="0" w:color="auto"/>
        <w:right w:val="none" w:sz="0" w:space="0" w:color="auto"/>
      </w:divBdr>
      <w:divsChild>
        <w:div w:id="930820338">
          <w:marLeft w:val="0"/>
          <w:marRight w:val="0"/>
          <w:marTop w:val="0"/>
          <w:marBottom w:val="0"/>
          <w:divBdr>
            <w:top w:val="none" w:sz="0" w:space="0" w:color="auto"/>
            <w:left w:val="none" w:sz="0" w:space="0" w:color="auto"/>
            <w:bottom w:val="none" w:sz="0" w:space="0" w:color="auto"/>
            <w:right w:val="none" w:sz="0" w:space="0" w:color="auto"/>
          </w:divBdr>
        </w:div>
      </w:divsChild>
    </w:div>
    <w:div w:id="1662201487">
      <w:bodyDiv w:val="1"/>
      <w:marLeft w:val="0"/>
      <w:marRight w:val="0"/>
      <w:marTop w:val="0"/>
      <w:marBottom w:val="0"/>
      <w:divBdr>
        <w:top w:val="none" w:sz="0" w:space="0" w:color="auto"/>
        <w:left w:val="none" w:sz="0" w:space="0" w:color="auto"/>
        <w:bottom w:val="none" w:sz="0" w:space="0" w:color="auto"/>
        <w:right w:val="none" w:sz="0" w:space="0" w:color="auto"/>
      </w:divBdr>
      <w:divsChild>
        <w:div w:id="1764492808">
          <w:marLeft w:val="0"/>
          <w:marRight w:val="0"/>
          <w:marTop w:val="0"/>
          <w:marBottom w:val="0"/>
          <w:divBdr>
            <w:top w:val="none" w:sz="0" w:space="0" w:color="auto"/>
            <w:left w:val="none" w:sz="0" w:space="0" w:color="auto"/>
            <w:bottom w:val="none" w:sz="0" w:space="0" w:color="auto"/>
            <w:right w:val="none" w:sz="0" w:space="0" w:color="auto"/>
          </w:divBdr>
        </w:div>
      </w:divsChild>
    </w:div>
    <w:div w:id="1951933875">
      <w:bodyDiv w:val="1"/>
      <w:marLeft w:val="0"/>
      <w:marRight w:val="0"/>
      <w:marTop w:val="0"/>
      <w:marBottom w:val="0"/>
      <w:divBdr>
        <w:top w:val="none" w:sz="0" w:space="0" w:color="auto"/>
        <w:left w:val="none" w:sz="0" w:space="0" w:color="auto"/>
        <w:bottom w:val="none" w:sz="0" w:space="0" w:color="auto"/>
        <w:right w:val="none" w:sz="0" w:space="0" w:color="auto"/>
      </w:divBdr>
    </w:div>
    <w:div w:id="20923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Lookup/4429.0Main+Features100182009"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bs.gov.au/AUSSTATS/abs@.nsf/Lookup/4102.0Main+Features30Jun+2012" TargetMode="External"/><Relationship Id="rId17" Type="http://schemas.openxmlformats.org/officeDocument/2006/relationships/hyperlink" Target="http://www.parkinsons.org.au/what-is-parkins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untingtonsnsw.org.au/information/hd-facts/how-comm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ihw.gov.au/acim-books/"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ihw.gov.au/alcohol-and-other-drugs/aodt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630A-E4DC-47EC-AE2D-F755E338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13871</Words>
  <Characters>79070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Hart Amanda</cp:lastModifiedBy>
  <cp:revision>4</cp:revision>
  <cp:lastPrinted>2013-10-30T02:56:00Z</cp:lastPrinted>
  <dcterms:created xsi:type="dcterms:W3CDTF">2016-04-06T02:41:00Z</dcterms:created>
  <dcterms:modified xsi:type="dcterms:W3CDTF">2016-04-12T05:53:00Z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