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01EE7" w14:textId="69AEDA83" w:rsidR="009B1F59" w:rsidRPr="00707064" w:rsidRDefault="009B1F59" w:rsidP="005E0739">
      <w:pPr>
        <w:pStyle w:val="Bullet"/>
        <w:numPr>
          <w:ilvl w:val="0"/>
          <w:numId w:val="0"/>
        </w:numPr>
        <w:ind w:left="714"/>
        <w:jc w:val="center"/>
        <w:rPr>
          <w:highlight w:val="yellow"/>
        </w:rPr>
      </w:pPr>
      <w:r>
        <w:rPr>
          <w:rFonts w:ascii="Arial" w:hAnsi="Arial" w:cs="Arial"/>
          <w:noProof/>
          <w:color w:val="000080"/>
          <w:sz w:val="28"/>
          <w:szCs w:val="28"/>
        </w:rPr>
        <w:drawing>
          <wp:inline distT="0" distB="0" distL="0" distR="0" wp14:anchorId="032A6A73" wp14:editId="0D42638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85E6DA4" w14:textId="77777777" w:rsidR="009B1F59" w:rsidRPr="00F715D1" w:rsidRDefault="009B1F59" w:rsidP="009B1F59">
      <w:pPr>
        <w:pStyle w:val="Title"/>
        <w:tabs>
          <w:tab w:val="left" w:pos="1926"/>
          <w:tab w:val="center" w:pos="4513"/>
        </w:tabs>
        <w:jc w:val="left"/>
      </w:pPr>
      <w:r>
        <w:tab/>
      </w:r>
      <w:r>
        <w:tab/>
      </w:r>
      <w:r w:rsidRPr="00F715D1">
        <w:t>Public Summary Document</w:t>
      </w:r>
    </w:p>
    <w:p w14:paraId="69A111BB" w14:textId="77777777" w:rsidR="009B1F59" w:rsidRPr="00F715D1" w:rsidRDefault="009B1F59" w:rsidP="009B1F59">
      <w:pPr>
        <w:pStyle w:val="Subtitle"/>
      </w:pPr>
      <w:r w:rsidRPr="00F715D1">
        <w:t xml:space="preserve">Application No. </w:t>
      </w:r>
      <w:r w:rsidR="00B86214">
        <w:t>1408</w:t>
      </w:r>
      <w:r w:rsidRPr="00F715D1">
        <w:t xml:space="preserve"> – </w:t>
      </w:r>
      <w:r w:rsidR="00B86214" w:rsidRPr="00B86214">
        <w:t>Endo</w:t>
      </w:r>
      <w:r w:rsidR="002F6C08">
        <w:t>P</w:t>
      </w:r>
      <w:r w:rsidR="00B86214" w:rsidRPr="00B86214">
        <w:t>redict – A RT-qPCR</w:t>
      </w:r>
      <w:r w:rsidR="00171114">
        <w:t xml:space="preserve"> gene expression profiling</w:t>
      </w:r>
      <w:r w:rsidR="00B86214" w:rsidRPr="00B86214">
        <w:t xml:space="preserve"> test run locally for </w:t>
      </w:r>
      <w:r w:rsidR="002A5F5D">
        <w:t xml:space="preserve">patients with </w:t>
      </w:r>
      <w:r w:rsidR="00B86214" w:rsidRPr="00B86214">
        <w:t xml:space="preserve">ER+ve /HER2-ve breast cancer </w:t>
      </w:r>
    </w:p>
    <w:p w14:paraId="63321503" w14:textId="77777777" w:rsidR="009B1F59" w:rsidRPr="00F715D1" w:rsidRDefault="009B1F59" w:rsidP="009B1F59">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B86214">
        <w:rPr>
          <w:rFonts w:ascii="Arial" w:hAnsi="Arial" w:cs="Arial"/>
          <w:b/>
          <w:szCs w:val="24"/>
        </w:rPr>
        <w:t>HTAnalysts on behalf of Myriad Genetics</w:t>
      </w:r>
    </w:p>
    <w:p w14:paraId="135D0B61" w14:textId="77777777" w:rsidR="009B1F59" w:rsidRPr="00F715D1" w:rsidRDefault="009B1F59" w:rsidP="009B1F59">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738A424E" w14:textId="77777777" w:rsidR="009B1F59" w:rsidRPr="00B03EAB" w:rsidRDefault="009B1F59" w:rsidP="009B1F59">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1A1EA1C6" w14:textId="77777777" w:rsidR="009B1F59" w:rsidRPr="00F715D1" w:rsidRDefault="009B1F59" w:rsidP="009B1F59">
      <w:pPr>
        <w:pStyle w:val="Heading1"/>
      </w:pPr>
      <w:r w:rsidRPr="00F715D1">
        <w:t xml:space="preserve">Purpose of application </w:t>
      </w:r>
    </w:p>
    <w:p w14:paraId="2430F116" w14:textId="77777777" w:rsidR="00BF6458" w:rsidRPr="00171114" w:rsidRDefault="00BF6458" w:rsidP="00BF6458">
      <w:pPr>
        <w:rPr>
          <w:b/>
        </w:rPr>
      </w:pPr>
      <w:r w:rsidRPr="00171114">
        <w:t>An application requesting Medicare Benefit Schedule (MBS) listing of a quantitative reverse transcription polyme</w:t>
      </w:r>
      <w:r w:rsidR="002F6C08">
        <w:t>rase chain (RT-qPCR) test [EndoP</w:t>
      </w:r>
      <w:r w:rsidRPr="00171114">
        <w:t>redict</w:t>
      </w:r>
      <w:r w:rsidRPr="00171114">
        <w:rPr>
          <w:vertAlign w:val="superscript"/>
        </w:rPr>
        <w:t>®</w:t>
      </w:r>
      <w:r w:rsidRPr="00171114">
        <w:t>]</w:t>
      </w:r>
      <w:r w:rsidR="00171114">
        <w:t>,</w:t>
      </w:r>
      <w:r w:rsidRPr="00171114">
        <w:t xml:space="preserve"> run locally</w:t>
      </w:r>
      <w:r w:rsidR="00171114">
        <w:t>,</w:t>
      </w:r>
      <w:r w:rsidRPr="00171114">
        <w:t xml:space="preserve"> for oestrogen receptor positive (ER)+ve /human epidermal growth </w:t>
      </w:r>
      <w:r w:rsidR="00572F3E" w:rsidRPr="00171114">
        <w:t xml:space="preserve">factor </w:t>
      </w:r>
      <w:r w:rsidRPr="00171114">
        <w:t>receptor two negative (HER2-ve) breast cancer that</w:t>
      </w:r>
      <w:r w:rsidR="00171114">
        <w:t xml:space="preserve"> is claimed to</w:t>
      </w:r>
      <w:r w:rsidRPr="00171114">
        <w:t xml:space="preserve"> determine the risk of early and late metastasis in node negative and </w:t>
      </w:r>
      <w:r w:rsidR="00171114" w:rsidRPr="00171114">
        <w:t xml:space="preserve">node </w:t>
      </w:r>
      <w:r w:rsidRPr="00171114">
        <w:t>positive cancer</w:t>
      </w:r>
      <w:r w:rsidR="00171114">
        <w:t xml:space="preserve"> under hormone (endocrine) </w:t>
      </w:r>
      <w:r w:rsidRPr="00171114">
        <w:t>treatment was received from Myriad Genetics by the Department of Health.</w:t>
      </w:r>
    </w:p>
    <w:p w14:paraId="049DAFC3" w14:textId="77777777" w:rsidR="009B1F59" w:rsidRPr="00F715D1" w:rsidRDefault="009B1F59" w:rsidP="009B1F59">
      <w:pPr>
        <w:pStyle w:val="Heading1"/>
      </w:pPr>
      <w:r w:rsidRPr="00F715D1">
        <w:t>MSAC’s advice to the Minister</w:t>
      </w:r>
    </w:p>
    <w:p w14:paraId="306C8C5B" w14:textId="77777777" w:rsidR="00DA244E" w:rsidRPr="00497393" w:rsidRDefault="00DA244E" w:rsidP="00497393">
      <w:r w:rsidRPr="00497393">
        <w:t>After considering the strength of the available evidence in relation to comparative safety, clinical effectiveness and cost-effectiveness, MSAC did not support public funding for Endopredict, a gene expression profiling test for patients with breast cancer, because its ability to identify those who could safely be spared the addition of chemotherapy to hormone therapy</w:t>
      </w:r>
      <w:r w:rsidR="00A5331B" w:rsidRPr="00497393">
        <w:t>, or those who would benefit from the addition of chemotherapy to hormone therapy,</w:t>
      </w:r>
      <w:r w:rsidRPr="00497393">
        <w:t xml:space="preserve"> was not adequately demonstrated by the evidence presented.</w:t>
      </w:r>
    </w:p>
    <w:p w14:paraId="4F514198" w14:textId="77777777" w:rsidR="00DA244E" w:rsidRPr="004B3BC5" w:rsidRDefault="00DA244E" w:rsidP="00DA244E">
      <w:pPr>
        <w:pStyle w:val="BoxName"/>
      </w:pPr>
      <w:r w:rsidRPr="004B3BC5">
        <w:t>Consumer summary</w:t>
      </w:r>
    </w:p>
    <w:p w14:paraId="7B4E4972" w14:textId="77777777" w:rsidR="002B179E" w:rsidRDefault="00DA244E" w:rsidP="00DA244E">
      <w:pPr>
        <w:pStyle w:val="BoxText"/>
      </w:pPr>
      <w:r w:rsidRPr="004B3BC5">
        <w:t>Myriad Genetics applied for public funding through the Medicare Benefits Schedule (MBS) for a type of genetic testing. Th</w:t>
      </w:r>
      <w:r w:rsidR="00EE66C1" w:rsidRPr="004B3BC5">
        <w:t>e</w:t>
      </w:r>
      <w:r w:rsidRPr="004B3BC5">
        <w:t xml:space="preserve"> test, called Endo</w:t>
      </w:r>
      <w:r w:rsidR="002F6C08">
        <w:t>P</w:t>
      </w:r>
      <w:r w:rsidRPr="004B3BC5">
        <w:t xml:space="preserve">redict, </w:t>
      </w:r>
      <w:r w:rsidR="00997926" w:rsidRPr="00997926">
        <w:t>is claimed to help determine the risk of a patient getting breast cancer again after they have had surgery</w:t>
      </w:r>
      <w:r w:rsidR="00B1027B">
        <w:t>.</w:t>
      </w:r>
      <w:r w:rsidR="00997926" w:rsidRPr="00997926" w:rsidDel="00997926">
        <w:t xml:space="preserve"> </w:t>
      </w:r>
      <w:r w:rsidR="00FD382B" w:rsidRPr="004B3BC5">
        <w:t xml:space="preserve">Currently, combining information from clinical assessments and pathology test results helps doctors calculate whether a patient has a low, intermediate or high risk of breast cancer returning after surgery. This helps the patient decide, with their treating clinicians, whether to have chemotherapy in addition to their hormone therapy. </w:t>
      </w:r>
      <w:r w:rsidR="00171114" w:rsidRPr="004B3BC5">
        <w:t xml:space="preserve">Myriad Genetics </w:t>
      </w:r>
      <w:r w:rsidR="002B179E">
        <w:t>claims that this decision is most difficult for patients whose existing information shows they have an intermediate risk of the cancer returning and that the EndoPredict genetic test can then provide valuable extra information to help this group of patients</w:t>
      </w:r>
      <w:r w:rsidR="00FD382B" w:rsidRPr="004B3BC5">
        <w:t>.</w:t>
      </w:r>
    </w:p>
    <w:p w14:paraId="7C14392E" w14:textId="194930A2" w:rsidR="00DA244E" w:rsidRPr="004B3BC5" w:rsidRDefault="00DA244E" w:rsidP="00DA244E">
      <w:pPr>
        <w:pStyle w:val="BoxHeading"/>
      </w:pPr>
      <w:r w:rsidRPr="004B3BC5">
        <w:lastRenderedPageBreak/>
        <w:t xml:space="preserve">MSAC’s </w:t>
      </w:r>
      <w:r w:rsidR="00C116AC">
        <w:t>advice</w:t>
      </w:r>
      <w:r w:rsidRPr="004B3BC5">
        <w:t xml:space="preserve"> to the Commonwealth Minister</w:t>
      </w:r>
      <w:r w:rsidR="00C116AC">
        <w:t xml:space="preserve"> for Health</w:t>
      </w:r>
    </w:p>
    <w:p w14:paraId="2EE28875" w14:textId="77777777" w:rsidR="00895DFB" w:rsidRDefault="00895DFB" w:rsidP="000C0B97">
      <w:pPr>
        <w:pStyle w:val="BoxText"/>
        <w:spacing w:after="240"/>
      </w:pPr>
      <w:r w:rsidRPr="004B3BC5">
        <w:t>MSAC acknowledges that patients and clinicians need as much reliable information as possible to make decisions about whether or not to have chemotherapy following surgery</w:t>
      </w:r>
      <w:r>
        <w:t xml:space="preserve"> for breast cancer.</w:t>
      </w:r>
    </w:p>
    <w:p w14:paraId="4399B5F6" w14:textId="77777777" w:rsidR="00895DFB" w:rsidRDefault="00895DFB" w:rsidP="000C0B97">
      <w:pPr>
        <w:pStyle w:val="BoxText"/>
        <w:spacing w:after="240"/>
      </w:pPr>
      <w:r>
        <w:t xml:space="preserve">MSAC advised the Minister for Health that the evidence presented did not give </w:t>
      </w:r>
      <w:r w:rsidR="002B179E">
        <w:t>the Committee confidence</w:t>
      </w:r>
      <w:r>
        <w:t xml:space="preserve"> that </w:t>
      </w:r>
      <w:r w:rsidR="002B179E">
        <w:t xml:space="preserve">the test </w:t>
      </w:r>
      <w:r>
        <w:t xml:space="preserve">would identify those patients who could safely </w:t>
      </w:r>
      <w:r w:rsidR="002B179E">
        <w:t>avoid</w:t>
      </w:r>
      <w:r>
        <w:t xml:space="preserve"> chemotherapy or those patients who would benefit from adding chemotherapy.</w:t>
      </w:r>
    </w:p>
    <w:p w14:paraId="7AE686D0" w14:textId="77777777" w:rsidR="002B179E" w:rsidRDefault="002B179E" w:rsidP="000C0B97">
      <w:pPr>
        <w:pStyle w:val="BoxText"/>
        <w:spacing w:after="240"/>
      </w:pPr>
      <w:r w:rsidRPr="004B3BC5">
        <w:t>Most importantly, there was no direct evidence comparing the cancer outcomes for women who had an Endo</w:t>
      </w:r>
      <w:r>
        <w:t>P</w:t>
      </w:r>
      <w:r w:rsidRPr="004B3BC5">
        <w:t>redict test result with those who did not. This means there is no way of knowing whether adding an Endo</w:t>
      </w:r>
      <w:r>
        <w:t>P</w:t>
      </w:r>
      <w:r w:rsidRPr="004B3BC5">
        <w:t xml:space="preserve">redict test score to the information patients already get after their surgery will give them an additional, reliable basis to make treatment decisions that lead to better long-term outcomes. </w:t>
      </w:r>
    </w:p>
    <w:p w14:paraId="78CEE1B4" w14:textId="77777777" w:rsidR="00E9404D" w:rsidRPr="004B3BC5" w:rsidRDefault="00E9404D" w:rsidP="000C0B97">
      <w:pPr>
        <w:pStyle w:val="BoxText"/>
        <w:spacing w:after="240"/>
      </w:pPr>
      <w:r>
        <w:t xml:space="preserve">In place of direct evidence that is obtained from a single source, the applicant used a </w:t>
      </w:r>
      <w:r w:rsidR="0027490E">
        <w:t xml:space="preserve">lower quality </w:t>
      </w:r>
      <w:r>
        <w:t>linked evidence approach – where evidence is collected from a number of different sour</w:t>
      </w:r>
      <w:r w:rsidR="0027490E">
        <w:t xml:space="preserve">ces and linked together to build a case. </w:t>
      </w:r>
    </w:p>
    <w:p w14:paraId="33B5B83E" w14:textId="77777777" w:rsidR="002B179E" w:rsidRPr="004B3BC5" w:rsidRDefault="002B179E" w:rsidP="000C0B97">
      <w:pPr>
        <w:pStyle w:val="BoxText"/>
        <w:spacing w:after="240"/>
      </w:pPr>
      <w:r w:rsidRPr="004B3BC5">
        <w:t>The linked evidence that was used by the applicant had a number of problems</w:t>
      </w:r>
      <w:r w:rsidR="00B1027B">
        <w:t>, for example,</w:t>
      </w:r>
      <w:r w:rsidRPr="004B3BC5">
        <w:t xml:space="preserve"> some women whose clinical information and pathology results </w:t>
      </w:r>
      <w:r w:rsidR="00B1027B">
        <w:t>indicated</w:t>
      </w:r>
      <w:r w:rsidR="00B1027B" w:rsidRPr="004B3BC5">
        <w:t xml:space="preserve"> </w:t>
      </w:r>
      <w:r w:rsidRPr="004B3BC5">
        <w:t xml:space="preserve">they were at high risk of </w:t>
      </w:r>
      <w:r>
        <w:t xml:space="preserve">the cancer returning </w:t>
      </w:r>
      <w:r w:rsidRPr="004B3BC5">
        <w:t>decided not to add chemotherapy after getting an EndoPredict result.</w:t>
      </w:r>
    </w:p>
    <w:p w14:paraId="5D69F41E" w14:textId="77777777" w:rsidR="001B5A25" w:rsidRPr="00FC6B52" w:rsidRDefault="002B179E" w:rsidP="00DA244E">
      <w:pPr>
        <w:pStyle w:val="BoxText"/>
        <w:rPr>
          <w:color w:val="auto"/>
        </w:rPr>
      </w:pPr>
      <w:r w:rsidRPr="00FC6B52">
        <w:rPr>
          <w:color w:val="auto"/>
        </w:rPr>
        <w:t xml:space="preserve">MSAC acknowledges that funding advice differs across the world, particularly when tests have been assessed on the basis of preliminary information. MSAC has based its advice on the most up to date information.  MSAC considered that, based on all the evidence, Australian patients would likely have better cancer outcomes overall if they and their doctors continue to use existing </w:t>
      </w:r>
      <w:r w:rsidR="00B1027B">
        <w:rPr>
          <w:color w:val="auto"/>
        </w:rPr>
        <w:t>clinical assessments and pathology test results</w:t>
      </w:r>
      <w:r w:rsidRPr="00FC6B52">
        <w:rPr>
          <w:color w:val="auto"/>
        </w:rPr>
        <w:t xml:space="preserve"> to decide on follow-up treatment after surgery for breast cancer.</w:t>
      </w:r>
    </w:p>
    <w:p w14:paraId="44C71BAF" w14:textId="77777777" w:rsidR="009B1F59" w:rsidRDefault="009B1F59" w:rsidP="009B1F59">
      <w:pPr>
        <w:pStyle w:val="Heading1"/>
      </w:pPr>
      <w:r w:rsidRPr="00F715D1">
        <w:t xml:space="preserve">Summary of consideration and rationale for MSAC’s advice </w:t>
      </w:r>
    </w:p>
    <w:p w14:paraId="68445B1C" w14:textId="048D8735" w:rsidR="00477994" w:rsidRDefault="00DA244E" w:rsidP="00845C32">
      <w:pPr>
        <w:spacing w:after="240"/>
      </w:pPr>
      <w:r>
        <w:t>This application was for r</w:t>
      </w:r>
      <w:r w:rsidRPr="007D389A">
        <w:t>everse</w:t>
      </w:r>
      <w:r>
        <w:t>-</w:t>
      </w:r>
      <w:r w:rsidRPr="007D389A">
        <w:t>transcription PCR (Endo</w:t>
      </w:r>
      <w:r w:rsidR="002F6C08">
        <w:t>P</w:t>
      </w:r>
      <w:r w:rsidRPr="007D389A">
        <w:t xml:space="preserve">redict) run locally for breast cancer </w:t>
      </w:r>
      <w:r>
        <w:t xml:space="preserve">patients </w:t>
      </w:r>
      <w:r w:rsidRPr="007D389A">
        <w:t>who are being treated with hormonal therapy</w:t>
      </w:r>
      <w:r>
        <w:t>,</w:t>
      </w:r>
      <w:r w:rsidRPr="007D389A">
        <w:t xml:space="preserve"> </w:t>
      </w:r>
      <w:r>
        <w:t xml:space="preserve">and </w:t>
      </w:r>
      <w:r w:rsidRPr="007D389A">
        <w:t>who are ER</w:t>
      </w:r>
      <w:r>
        <w:t>-positive</w:t>
      </w:r>
      <w:r w:rsidRPr="007D389A">
        <w:t>, HER2</w:t>
      </w:r>
      <w:r>
        <w:t>-negative</w:t>
      </w:r>
      <w:r w:rsidRPr="0025605D">
        <w:t xml:space="preserve"> and node-negative</w:t>
      </w:r>
      <w:r w:rsidR="00EE66C1">
        <w:t xml:space="preserve"> or node positive (up to three nodes)</w:t>
      </w:r>
      <w:r w:rsidR="002F6C08">
        <w:t>. EndoP</w:t>
      </w:r>
      <w:r w:rsidR="00B61ABB">
        <w:t>redict is proposed</w:t>
      </w:r>
      <w:r w:rsidR="00EE66C1">
        <w:t xml:space="preserve"> as a means </w:t>
      </w:r>
      <w:r w:rsidRPr="007D389A">
        <w:t xml:space="preserve">to predict </w:t>
      </w:r>
      <w:r w:rsidR="00EE66C1">
        <w:t xml:space="preserve">the risk of </w:t>
      </w:r>
      <w:r w:rsidRPr="007D389A">
        <w:t>early and late metastasis</w:t>
      </w:r>
      <w:r w:rsidR="00B61ABB">
        <w:t xml:space="preserve"> in women who, before an Endo</w:t>
      </w:r>
      <w:r w:rsidR="002F6C08">
        <w:t>P</w:t>
      </w:r>
      <w:r w:rsidR="00B61ABB">
        <w:t>redict test is performed, are classified as having an intermediate risk of metastases.</w:t>
      </w:r>
    </w:p>
    <w:p w14:paraId="36142365" w14:textId="6C95C503" w:rsidR="00117E07" w:rsidRDefault="00117E07" w:rsidP="00845C32">
      <w:pPr>
        <w:spacing w:after="240"/>
      </w:pPr>
      <w:r>
        <w:t>The MSAC noted the applicant’s clinical claim for Endo</w:t>
      </w:r>
      <w:r w:rsidR="002F6C08">
        <w:t>P</w:t>
      </w:r>
      <w:r>
        <w:t xml:space="preserve">redict is that it has </w:t>
      </w:r>
      <w:r w:rsidRPr="00E859E6">
        <w:t xml:space="preserve">non-inferior </w:t>
      </w:r>
      <w:r>
        <w:t>s</w:t>
      </w:r>
      <w:r w:rsidRPr="00E859E6">
        <w:t>afety and superior effectiveness</w:t>
      </w:r>
      <w:r>
        <w:t xml:space="preserve"> to current standard of care.</w:t>
      </w:r>
    </w:p>
    <w:p w14:paraId="0B46467F" w14:textId="6AF52CBC" w:rsidR="0054349B" w:rsidRDefault="00117E07" w:rsidP="00845C32">
      <w:pPr>
        <w:spacing w:after="240"/>
      </w:pPr>
      <w:r>
        <w:t>Th</w:t>
      </w:r>
      <w:r w:rsidR="00EE66C1">
        <w:t xml:space="preserve">e MSAC noted there was no direct evidence </w:t>
      </w:r>
      <w:r w:rsidR="0068143C">
        <w:t xml:space="preserve">from a comparative randomised trial </w:t>
      </w:r>
      <w:r w:rsidR="00EE66C1">
        <w:t xml:space="preserve">to show that adding the results of the EndoPredict test to the other results (clinical and pathology) available </w:t>
      </w:r>
      <w:r w:rsidR="0068143C" w:rsidRPr="0068143C">
        <w:t>change</w:t>
      </w:r>
      <w:r w:rsidR="0068143C">
        <w:t>s</w:t>
      </w:r>
      <w:r w:rsidR="0068143C" w:rsidRPr="0068143C">
        <w:t xml:space="preserve"> </w:t>
      </w:r>
      <w:r w:rsidR="0068143C">
        <w:t xml:space="preserve">the </w:t>
      </w:r>
      <w:r w:rsidR="0068143C" w:rsidRPr="0068143C">
        <w:t xml:space="preserve">clinical management </w:t>
      </w:r>
      <w:r w:rsidR="0068143C">
        <w:t xml:space="preserve">of women with an intermediate risk of early or late metastatic breast cancer. This means there is no direct evidence that EndoPredict </w:t>
      </w:r>
      <w:r w:rsidR="0068143C" w:rsidRPr="0068143C">
        <w:t>improv</w:t>
      </w:r>
      <w:r w:rsidR="0068143C">
        <w:t>es</w:t>
      </w:r>
      <w:r w:rsidR="0068143C" w:rsidRPr="0068143C">
        <w:t xml:space="preserve"> health outcomes </w:t>
      </w:r>
      <w:r w:rsidR="0068143C">
        <w:t>for these women (either by avoiding unnecessary chemotherapy or by identifying that chemotherapy would be beneficial)</w:t>
      </w:r>
      <w:r w:rsidR="0068143C" w:rsidRPr="0068143C">
        <w:t>.</w:t>
      </w:r>
    </w:p>
    <w:p w14:paraId="220B3527" w14:textId="77777777" w:rsidR="00140283" w:rsidRPr="00140283" w:rsidRDefault="0054349B" w:rsidP="00140283">
      <w:r w:rsidRPr="00140283">
        <w:t xml:space="preserve">The MSAC noted the </w:t>
      </w:r>
      <w:r w:rsidR="00117E07">
        <w:t xml:space="preserve">applicant </w:t>
      </w:r>
      <w:r w:rsidRPr="00140283">
        <w:t>therefore relied on a linked evidence approach to attempt to establish the benefits of using EndoPredict.</w:t>
      </w:r>
      <w:r w:rsidR="00140283" w:rsidRPr="00140283">
        <w:t xml:space="preserve"> The linked evidence approach has four steps:</w:t>
      </w:r>
    </w:p>
    <w:p w14:paraId="41CFD54E" w14:textId="012E229E" w:rsidR="00EE66C1" w:rsidRPr="00845C32" w:rsidRDefault="00140283" w:rsidP="00845C32">
      <w:pPr>
        <w:spacing w:after="240"/>
        <w:rPr>
          <w:highlight w:val="yellow"/>
        </w:rPr>
      </w:pPr>
      <w:r w:rsidRPr="00140283">
        <w:lastRenderedPageBreak/>
        <w:t>(1)</w:t>
      </w:r>
      <w:r w:rsidR="0068143C" w:rsidRPr="00140283">
        <w:t xml:space="preserve"> diagnostic performance, </w:t>
      </w:r>
      <w:r w:rsidRPr="00140283">
        <w:t xml:space="preserve">(2) </w:t>
      </w:r>
      <w:r w:rsidR="0068143C" w:rsidRPr="00140283">
        <w:t>clinical validity</w:t>
      </w:r>
      <w:r w:rsidRPr="00140283">
        <w:t xml:space="preserve">, (3) </w:t>
      </w:r>
      <w:r w:rsidR="0068143C" w:rsidRPr="00140283">
        <w:t>therapeutic efficacy (</w:t>
      </w:r>
      <w:r w:rsidR="001642B9">
        <w:t xml:space="preserve">clinical validity; </w:t>
      </w:r>
      <w:r w:rsidR="0068143C" w:rsidRPr="00140283">
        <w:t xml:space="preserve">change in management) and </w:t>
      </w:r>
      <w:r w:rsidRPr="00140283">
        <w:t xml:space="preserve">(4) </w:t>
      </w:r>
      <w:r w:rsidR="0068143C" w:rsidRPr="00140283">
        <w:t>therapeutic effectiveness (informed by direct evidence supporting the effectiveness of treatments that are selected as a consequences of performing the investigative medical service</w:t>
      </w:r>
      <w:r w:rsidRPr="00140283">
        <w:t>. MSAC Investigative</w:t>
      </w:r>
      <w:r>
        <w:t xml:space="preserve"> </w:t>
      </w:r>
      <w:r w:rsidRPr="00140283">
        <w:t>Technical</w:t>
      </w:r>
      <w:r>
        <w:t xml:space="preserve"> </w:t>
      </w:r>
      <w:r w:rsidRPr="00140283">
        <w:t>Guidelines</w:t>
      </w:r>
      <w:r>
        <w:t xml:space="preserve">, </w:t>
      </w:r>
      <w:r w:rsidRPr="00140283">
        <w:t>December</w:t>
      </w:r>
      <w:r>
        <w:t xml:space="preserve"> </w:t>
      </w:r>
      <w:r w:rsidRPr="00140283">
        <w:t>2016</w:t>
      </w:r>
      <w:r>
        <w:t>,</w:t>
      </w:r>
      <w:r w:rsidRPr="00140283">
        <w:t>Version-3.0</w:t>
      </w:r>
      <w:r w:rsidR="00845C32">
        <w:t>).</w:t>
      </w:r>
    </w:p>
    <w:p w14:paraId="201101B4" w14:textId="098C49D0" w:rsidR="00117E07" w:rsidRDefault="00117E07" w:rsidP="00845C32">
      <w:pPr>
        <w:spacing w:after="240"/>
      </w:pPr>
      <w:r>
        <w:t xml:space="preserve">MSAC considered the evidence presented in the submission was inadequate </w:t>
      </w:r>
      <w:r w:rsidR="00156E20">
        <w:t>to satisfy the first three</w:t>
      </w:r>
      <w:r>
        <w:t xml:space="preserve"> steps of the linked evidence approach.</w:t>
      </w:r>
    </w:p>
    <w:p w14:paraId="477B06F2" w14:textId="77777777" w:rsidR="00B61ABB" w:rsidRDefault="00B61ABB" w:rsidP="00DA244E">
      <w:r>
        <w:t>Amongst other thing</w:t>
      </w:r>
      <w:r w:rsidR="001642B9">
        <w:t>s</w:t>
      </w:r>
      <w:r>
        <w:t>, MSAC considered:</w:t>
      </w:r>
    </w:p>
    <w:p w14:paraId="55C6405D" w14:textId="77777777" w:rsidR="00117E07" w:rsidRDefault="00117E07" w:rsidP="002F6C08">
      <w:pPr>
        <w:pStyle w:val="ListParagraph"/>
        <w:numPr>
          <w:ilvl w:val="0"/>
          <w:numId w:val="14"/>
        </w:numPr>
      </w:pPr>
      <w:r>
        <w:t>In terms of step (1), the application did not provide a clear definition of current Australian clinical practice against which the diagnostic performance of Endo</w:t>
      </w:r>
      <w:r w:rsidR="002F6C08">
        <w:t>P</w:t>
      </w:r>
      <w:r>
        <w:t>redict could be assessed</w:t>
      </w:r>
      <w:r w:rsidR="00156E20">
        <w:t>. Although the</w:t>
      </w:r>
      <w:r w:rsidR="002F6C08">
        <w:t xml:space="preserve"> diagnostic performance of EndoP</w:t>
      </w:r>
      <w:r w:rsidR="00156E20">
        <w:t>redict is satisfactory in absolute terms, it is not possible for MSAC to form a view on the relative performance of the test compared to current practice.</w:t>
      </w:r>
    </w:p>
    <w:p w14:paraId="31A01072" w14:textId="77777777" w:rsidR="00117E07" w:rsidRDefault="00117E07" w:rsidP="00B61ABB">
      <w:pPr>
        <w:pStyle w:val="ListParagraph"/>
        <w:numPr>
          <w:ilvl w:val="0"/>
          <w:numId w:val="13"/>
        </w:numPr>
      </w:pPr>
      <w:r>
        <w:t xml:space="preserve">In terms of step (2), </w:t>
      </w:r>
      <w:r w:rsidR="00B61ABB">
        <w:t xml:space="preserve">the </w:t>
      </w:r>
      <w:r>
        <w:t>retrospective analysis of three cohorts derived from four randomised clinical trials (</w:t>
      </w:r>
      <w:r w:rsidRPr="00117E07">
        <w:t>ABCSG-6, ASCBCS</w:t>
      </w:r>
      <w:r>
        <w:t xml:space="preserve">G-8, TransATAC, and GEICAM/9906). could not be relied upon </w:t>
      </w:r>
      <w:r w:rsidR="0046287D">
        <w:t xml:space="preserve">for decision making </w:t>
      </w:r>
      <w:r>
        <w:t>because:</w:t>
      </w:r>
    </w:p>
    <w:p w14:paraId="64A3A507" w14:textId="77777777" w:rsidR="00117E07" w:rsidRDefault="00117E07" w:rsidP="00FC6B52">
      <w:pPr>
        <w:pStyle w:val="ListParagraph"/>
        <w:numPr>
          <w:ilvl w:val="1"/>
          <w:numId w:val="13"/>
        </w:numPr>
        <w:ind w:left="851" w:hanging="425"/>
      </w:pPr>
      <w:r>
        <w:t>A reduced number of patients were included in the analysis than in the parent trial</w:t>
      </w:r>
      <w:r w:rsidR="0046287D">
        <w:t>s</w:t>
      </w:r>
      <w:r>
        <w:t xml:space="preserve"> introducing the risk of selection bias; and</w:t>
      </w:r>
    </w:p>
    <w:p w14:paraId="74FEDF8C" w14:textId="77777777" w:rsidR="00117E07" w:rsidRDefault="00117E07" w:rsidP="00FC6B52">
      <w:pPr>
        <w:pStyle w:val="ListParagraph"/>
        <w:numPr>
          <w:ilvl w:val="1"/>
          <w:numId w:val="13"/>
        </w:numPr>
        <w:ind w:left="851" w:hanging="425"/>
      </w:pPr>
      <w:r>
        <w:t xml:space="preserve">The </w:t>
      </w:r>
      <w:r w:rsidR="00A44F9F">
        <w:t>analysis include</w:t>
      </w:r>
      <w:r w:rsidR="001642B9">
        <w:t xml:space="preserve">d the combined results for </w:t>
      </w:r>
      <w:r w:rsidR="00A44F9F">
        <w:t>patients considered low, intermediate and high risk based on their clinical and pathology results, whereas funding is proposed for the intermediate group</w:t>
      </w:r>
      <w:r w:rsidR="0046287D">
        <w:t xml:space="preserve"> only</w:t>
      </w:r>
      <w:r w:rsidR="00A44F9F">
        <w:t>.</w:t>
      </w:r>
      <w:r w:rsidR="0046287D">
        <w:t xml:space="preserve"> The prognostic performance of Endo</w:t>
      </w:r>
      <w:r w:rsidR="002F6C08">
        <w:t>P</w:t>
      </w:r>
      <w:r w:rsidR="0046287D">
        <w:t>redict may be different in these different patient subgroups.</w:t>
      </w:r>
      <w:r w:rsidR="00A44F9F">
        <w:t xml:space="preserve"> </w:t>
      </w:r>
    </w:p>
    <w:p w14:paraId="670818F9" w14:textId="162D3929" w:rsidR="009F09C6" w:rsidRDefault="0046287D" w:rsidP="009F09C6">
      <w:pPr>
        <w:pStyle w:val="ListParagraph"/>
        <w:numPr>
          <w:ilvl w:val="0"/>
          <w:numId w:val="13"/>
        </w:numPr>
      </w:pPr>
      <w:r>
        <w:t xml:space="preserve">In terms of step (3) </w:t>
      </w:r>
      <w:r w:rsidR="005E0739" w:rsidRPr="00845C32">
        <w:rPr>
          <w:b/>
        </w:rPr>
        <w:t>redacted</w:t>
      </w:r>
      <w:r w:rsidR="0075297A">
        <w:t xml:space="preserve"> the</w:t>
      </w:r>
      <w:r>
        <w:t xml:space="preserve"> </w:t>
      </w:r>
      <w:r w:rsidR="001642B9">
        <w:t xml:space="preserve">applicant commissioned local study, </w:t>
      </w:r>
      <w:r>
        <w:t>PROSPER study</w:t>
      </w:r>
      <w:r w:rsidR="00B61ABB">
        <w:t xml:space="preserve"> which</w:t>
      </w:r>
      <w:r>
        <w:t xml:space="preserve"> examine</w:t>
      </w:r>
      <w:r w:rsidR="00264424">
        <w:t>d</w:t>
      </w:r>
      <w:r>
        <w:t xml:space="preserve"> whether having the results from an Endo</w:t>
      </w:r>
      <w:r w:rsidR="002F6C08">
        <w:t>P</w:t>
      </w:r>
      <w:r>
        <w:t>redict test available</w:t>
      </w:r>
      <w:r w:rsidR="007F414E">
        <w:t xml:space="preserve"> </w:t>
      </w:r>
      <w:r>
        <w:t>led to changes in the clinical management of patients</w:t>
      </w:r>
      <w:r w:rsidR="0075297A">
        <w:t>,</w:t>
      </w:r>
      <w:r w:rsidR="00B61ABB">
        <w:t xml:space="preserve"> </w:t>
      </w:r>
      <w:r w:rsidR="005E0739" w:rsidRPr="005E0739">
        <w:rPr>
          <w:b/>
        </w:rPr>
        <w:t>redacted</w:t>
      </w:r>
      <w:r w:rsidR="00845C32">
        <w:rPr>
          <w:b/>
        </w:rPr>
        <w:t>.</w:t>
      </w:r>
    </w:p>
    <w:p w14:paraId="3B0F90B0" w14:textId="7FDFBD7B" w:rsidR="009F09C6" w:rsidRDefault="009F09C6" w:rsidP="00845C32">
      <w:pPr>
        <w:spacing w:before="240" w:after="240"/>
      </w:pPr>
      <w:r>
        <w:t xml:space="preserve">MSAC noted the </w:t>
      </w:r>
      <w:r w:rsidR="005E0739" w:rsidRPr="00845C32">
        <w:rPr>
          <w:b/>
        </w:rPr>
        <w:t>redacted</w:t>
      </w:r>
      <w:r>
        <w:t xml:space="preserve"> PROSPER trial </w:t>
      </w:r>
      <w:r w:rsidR="005E0739" w:rsidRPr="005E0739">
        <w:rPr>
          <w:b/>
        </w:rPr>
        <w:t>redacted</w:t>
      </w:r>
      <w:r>
        <w:t xml:space="preserve">, presented in the pre-MSAC response. MSAC noted that the </w:t>
      </w:r>
      <w:r w:rsidR="005E0739" w:rsidRPr="005E0739">
        <w:rPr>
          <w:b/>
        </w:rPr>
        <w:t>redacted</w:t>
      </w:r>
      <w:r>
        <w:t>.</w:t>
      </w:r>
    </w:p>
    <w:p w14:paraId="5F2E89A0" w14:textId="77777777" w:rsidR="009F09C6" w:rsidRDefault="00AD0E52" w:rsidP="009F09C6">
      <w:r>
        <w:t>Overall t</w:t>
      </w:r>
      <w:r w:rsidR="009F09C6">
        <w:t>herefore, MSAC considered that there is low certainty that Endo</w:t>
      </w:r>
      <w:r w:rsidR="002F6C08">
        <w:t>P</w:t>
      </w:r>
      <w:r w:rsidR="009F09C6">
        <w:t xml:space="preserve">redict </w:t>
      </w:r>
    </w:p>
    <w:p w14:paraId="3F02D157" w14:textId="150D70CB" w:rsidR="00895DFB" w:rsidRDefault="005C10C8" w:rsidP="00845C32">
      <w:pPr>
        <w:spacing w:after="240"/>
      </w:pPr>
      <w:r>
        <w:t xml:space="preserve">would provide additional information </w:t>
      </w:r>
      <w:r w:rsidR="007B4A29">
        <w:t xml:space="preserve">leading to improvements in care </w:t>
      </w:r>
      <w:r>
        <w:t xml:space="preserve">for patients </w:t>
      </w:r>
      <w:r w:rsidRPr="005C10C8">
        <w:t xml:space="preserve">whose existing information shows they have an intermediate </w:t>
      </w:r>
      <w:r>
        <w:t xml:space="preserve">risk of </w:t>
      </w:r>
      <w:r w:rsidR="009F09C6">
        <w:t>metastatic disease</w:t>
      </w:r>
      <w:r w:rsidR="007A375D">
        <w:t>. In addition, MSAC could not exclude the possibility that using an Endo</w:t>
      </w:r>
      <w:r w:rsidR="002F6C08">
        <w:t>P</w:t>
      </w:r>
      <w:r w:rsidR="007A375D">
        <w:t>redict result to decide whether or not to add chemotherapy to endocrine therapy would result in worse cancer outcomes overall.</w:t>
      </w:r>
    </w:p>
    <w:p w14:paraId="45E02C6D" w14:textId="0838A479" w:rsidR="00FD382B" w:rsidRDefault="00DA244E" w:rsidP="00845C32">
      <w:pPr>
        <w:spacing w:after="240"/>
      </w:pPr>
      <w:r>
        <w:t>The uncertainties</w:t>
      </w:r>
      <w:r w:rsidR="009F09C6">
        <w:t xml:space="preserve"> in the clinical data</w:t>
      </w:r>
      <w:r>
        <w:t xml:space="preserve"> flow on to uncertainties in the economic evaluation. Further, MSAC</w:t>
      </w:r>
      <w:r w:rsidR="00FD382B">
        <w:t xml:space="preserve"> agreed with its ESC</w:t>
      </w:r>
      <w:r>
        <w:t xml:space="preserve"> that the economic evaluation presented was overly optimistic and favoured the intervention.</w:t>
      </w:r>
    </w:p>
    <w:p w14:paraId="7989AC5E" w14:textId="71CF4B3F" w:rsidR="00A5331B" w:rsidRDefault="00FD382B" w:rsidP="00845C32">
      <w:pPr>
        <w:spacing w:after="240"/>
      </w:pPr>
      <w:r>
        <w:t>Finally, MSA</w:t>
      </w:r>
      <w:r w:rsidR="000A21E7">
        <w:t>C</w:t>
      </w:r>
      <w:r>
        <w:t xml:space="preserve"> </w:t>
      </w:r>
      <w:r w:rsidR="000A21E7">
        <w:t xml:space="preserve">noted </w:t>
      </w:r>
      <w:r>
        <w:t>the applicant’s estimate of the eligible patient population was inadequately supported, noting no justification was provided for many of the input variables. Thus</w:t>
      </w:r>
      <w:r w:rsidR="000A21E7">
        <w:t>,</w:t>
      </w:r>
      <w:r>
        <w:t xml:space="preserve"> MSAC considered it did not have an adequate basis to advi</w:t>
      </w:r>
      <w:r w:rsidR="001642B9">
        <w:t>s</w:t>
      </w:r>
      <w:r>
        <w:t>e the Minister on the potential cost to the MBS of funding Endo</w:t>
      </w:r>
      <w:r w:rsidR="002F6C08">
        <w:t>P</w:t>
      </w:r>
      <w:r>
        <w:t>redict.</w:t>
      </w:r>
    </w:p>
    <w:p w14:paraId="5D048721" w14:textId="706E93D0" w:rsidR="00272845" w:rsidRDefault="00A5331B" w:rsidP="00845C32">
      <w:pPr>
        <w:spacing w:after="240"/>
      </w:pPr>
      <w:r>
        <w:t>MSAC acknowledged that the choice of whether to receive chemotherapy or not in the context of this application for EndoPredict is a high stakes decision, and patients and clinicians need as much reliable information as possible to be confident in the decision they make. MSAC also acknowledged that avoiding unnecessary chemotherapy is highly desirable and valuable.</w:t>
      </w:r>
    </w:p>
    <w:p w14:paraId="30CFD43A" w14:textId="74C08248" w:rsidR="00272845" w:rsidRPr="00FC6B52" w:rsidRDefault="00272845" w:rsidP="00845C32">
      <w:pPr>
        <w:spacing w:after="240"/>
      </w:pPr>
      <w:r w:rsidRPr="00FC6B52">
        <w:lastRenderedPageBreak/>
        <w:t xml:space="preserve">MSAC recalled that in previous considerations of other gene expression profiling tests that have been proposed for use in women with early stage breast cancer, it has been unwilling to support funding solely on a linked evidence approach, especially given the weaknesses identified in the </w:t>
      </w:r>
      <w:r w:rsidR="000A21E7" w:rsidRPr="00FC6B52">
        <w:t xml:space="preserve">linked </w:t>
      </w:r>
      <w:r w:rsidRPr="00FC6B52">
        <w:t>evidence used in each case. Instead, MSAC has consistently sought confirmative evidence of benefit from dir</w:t>
      </w:r>
      <w:r w:rsidR="00845C32">
        <w:t>ect randomised clinical trials.</w:t>
      </w:r>
    </w:p>
    <w:p w14:paraId="59662765" w14:textId="634F7EF5" w:rsidR="00272845" w:rsidRPr="00FC6B52" w:rsidRDefault="00272845" w:rsidP="00845C32">
      <w:pPr>
        <w:spacing w:after="240"/>
      </w:pPr>
      <w:r w:rsidRPr="00FC6B52">
        <w:t xml:space="preserve">MSAC further recalled that, </w:t>
      </w:r>
      <w:r w:rsidR="00AA436B" w:rsidRPr="00FC6B52">
        <w:t>on the two occasions to date where evidence from direct randomised trials has been available: MINDACT for MammaPrint and TAILORx for Oncotype DX, the evidence from those trials has not resulted in a change in MSAC’s previous conclus</w:t>
      </w:r>
      <w:r w:rsidR="00845C32">
        <w:t>ions in respect of those tests.</w:t>
      </w:r>
    </w:p>
    <w:p w14:paraId="3F0220CA" w14:textId="51AC0AD6" w:rsidR="00A5331B" w:rsidRPr="00FC6B52" w:rsidRDefault="00A5331B" w:rsidP="005353B1">
      <w:r w:rsidRPr="00FC6B52">
        <w:t>MSAC acknowledges that funding advice differs across the world, particularly when tests have been assessed on the basis of preliminary information. MSAC has based its advice on the most up to date information –</w:t>
      </w:r>
      <w:r w:rsidR="00AA436B" w:rsidRPr="00AA436B">
        <w:t xml:space="preserve"> </w:t>
      </w:r>
      <w:r w:rsidR="00AA436B" w:rsidRPr="00FC6B52">
        <w:t>which in this case includes the full analysis of the TAILORx results</w:t>
      </w:r>
      <w:r w:rsidR="00AA436B">
        <w:t>.</w:t>
      </w:r>
      <w:r w:rsidRPr="00FC6B52">
        <w:t xml:space="preserve"> MSAC considered that, based on all the evidence, Australian patients would likely have better cancer outcomes overall if they and their doctors continue to use existing information to decide on follow-up treatment after surgery for breast cancer.</w:t>
      </w:r>
    </w:p>
    <w:p w14:paraId="4FB0A9B7" w14:textId="77777777" w:rsidR="009B1F59" w:rsidRPr="00F715D1" w:rsidRDefault="009B1F59" w:rsidP="009B1F59">
      <w:pPr>
        <w:pStyle w:val="Heading1"/>
      </w:pPr>
      <w:r w:rsidRPr="00F715D1">
        <w:t>Background</w:t>
      </w:r>
    </w:p>
    <w:p w14:paraId="0C5E0F03" w14:textId="72F25909" w:rsidR="00265962" w:rsidRDefault="00265962" w:rsidP="00845C32">
      <w:pPr>
        <w:keepNext/>
        <w:keepLines/>
        <w:tabs>
          <w:tab w:val="left" w:pos="720"/>
          <w:tab w:val="left" w:pos="1140"/>
        </w:tabs>
        <w:spacing w:after="240"/>
        <w:rPr>
          <w:szCs w:val="24"/>
        </w:rPr>
      </w:pPr>
      <w:r w:rsidRPr="00DD4C9F">
        <w:rPr>
          <w:szCs w:val="24"/>
        </w:rPr>
        <w:t>MSAC has not previously considered Endo</w:t>
      </w:r>
      <w:r w:rsidR="002F6C08">
        <w:rPr>
          <w:szCs w:val="24"/>
        </w:rPr>
        <w:t>P</w:t>
      </w:r>
      <w:r w:rsidRPr="00DD4C9F">
        <w:rPr>
          <w:szCs w:val="24"/>
        </w:rPr>
        <w:t>redict testing.</w:t>
      </w:r>
    </w:p>
    <w:p w14:paraId="39DEE855" w14:textId="0C9FF3B6" w:rsidR="00265962" w:rsidRDefault="00265962" w:rsidP="00845C32">
      <w:pPr>
        <w:keepNext/>
        <w:keepLines/>
        <w:tabs>
          <w:tab w:val="left" w:pos="720"/>
          <w:tab w:val="left" w:pos="1140"/>
        </w:tabs>
        <w:spacing w:after="240"/>
        <w:rPr>
          <w:szCs w:val="24"/>
        </w:rPr>
      </w:pPr>
      <w:r>
        <w:rPr>
          <w:szCs w:val="24"/>
        </w:rPr>
        <w:t>However, MSAC has considered and not supported other prognostic tests such as OncotypeDX (Applications 1342.1, 1342.2, 1342.3, 1342.4), Prosigna</w:t>
      </w:r>
      <w:r>
        <w:rPr>
          <w:szCs w:val="24"/>
          <w:vertAlign w:val="superscript"/>
        </w:rPr>
        <w:t xml:space="preserve"> </w:t>
      </w:r>
      <w:r>
        <w:rPr>
          <w:szCs w:val="24"/>
        </w:rPr>
        <w:t>(Application 1473)</w:t>
      </w:r>
      <w:r>
        <w:rPr>
          <w:szCs w:val="24"/>
          <w:vertAlign w:val="superscript"/>
        </w:rPr>
        <w:t xml:space="preserve"> </w:t>
      </w:r>
      <w:r>
        <w:rPr>
          <w:szCs w:val="24"/>
        </w:rPr>
        <w:t xml:space="preserve">and Mammaprint </w:t>
      </w:r>
      <w:r w:rsidR="00845C32">
        <w:rPr>
          <w:szCs w:val="24"/>
        </w:rPr>
        <w:t>(Applications 1376 and 1376.1).</w:t>
      </w:r>
    </w:p>
    <w:p w14:paraId="57CD987B" w14:textId="2DE92955" w:rsidR="00265962" w:rsidRPr="00845C32" w:rsidRDefault="00265962" w:rsidP="00845C32">
      <w:pPr>
        <w:keepNext/>
        <w:keepLines/>
        <w:tabs>
          <w:tab w:val="left" w:pos="720"/>
          <w:tab w:val="left" w:pos="1140"/>
        </w:tabs>
        <w:spacing w:after="240"/>
        <w:rPr>
          <w:szCs w:val="24"/>
        </w:rPr>
      </w:pPr>
      <w:r w:rsidRPr="003F148A">
        <w:rPr>
          <w:b/>
          <w:szCs w:val="24"/>
        </w:rPr>
        <w:t>Application 1342.4</w:t>
      </w:r>
      <w:r w:rsidRPr="003F148A">
        <w:rPr>
          <w:szCs w:val="24"/>
        </w:rPr>
        <w:t>: In brief, MSAC considered that the incremental benefit of the Oncotype DX breast cancer assay over optimal care remains uncertain.</w:t>
      </w:r>
    </w:p>
    <w:p w14:paraId="055F9728" w14:textId="77777777" w:rsidR="00265962" w:rsidRDefault="00265962" w:rsidP="00265962">
      <w:pPr>
        <w:keepNext/>
        <w:keepLines/>
        <w:tabs>
          <w:tab w:val="left" w:pos="720"/>
          <w:tab w:val="left" w:pos="1140"/>
        </w:tabs>
        <w:rPr>
          <w:szCs w:val="24"/>
        </w:rPr>
      </w:pPr>
      <w:r w:rsidRPr="00FC6B52">
        <w:t>A further application for OncotypeDX (1342.5) was considered by MSAC at the August 2019 meeting</w:t>
      </w:r>
      <w:r w:rsidR="00A5331B">
        <w:t xml:space="preserve"> (</w:t>
      </w:r>
      <w:r w:rsidR="00A5331B" w:rsidRPr="00A5331B">
        <w:t>www.msac.gov.au/internet/msac/publishing.nsf/Content/1342.5-public</w:t>
      </w:r>
      <w:r w:rsidR="00A5331B">
        <w:t>).</w:t>
      </w:r>
      <w:r w:rsidRPr="00FC6B52">
        <w:t xml:space="preserve"> </w:t>
      </w:r>
    </w:p>
    <w:p w14:paraId="28BE4F11" w14:textId="775754C8" w:rsidR="00265962" w:rsidRPr="00845C32" w:rsidRDefault="00265962" w:rsidP="00845C32">
      <w:pPr>
        <w:keepNext/>
        <w:keepLines/>
        <w:tabs>
          <w:tab w:val="left" w:pos="720"/>
          <w:tab w:val="left" w:pos="1140"/>
        </w:tabs>
        <w:spacing w:before="240" w:after="240"/>
        <w:rPr>
          <w:szCs w:val="24"/>
        </w:rPr>
      </w:pPr>
      <w:r w:rsidRPr="00DD5D59">
        <w:rPr>
          <w:b/>
          <w:szCs w:val="24"/>
        </w:rPr>
        <w:t xml:space="preserve">Application 1473: </w:t>
      </w:r>
      <w:r w:rsidRPr="00363D29">
        <w:rPr>
          <w:szCs w:val="24"/>
        </w:rPr>
        <w:t>In brief,</w:t>
      </w:r>
      <w:r>
        <w:rPr>
          <w:b/>
          <w:szCs w:val="24"/>
        </w:rPr>
        <w:t xml:space="preserve"> </w:t>
      </w:r>
      <w:r w:rsidRPr="00363D29">
        <w:rPr>
          <w:szCs w:val="24"/>
        </w:rPr>
        <w:t>MSAC did not support public funding of Prosigna for predicting breast cancer recurrence for postmenopausal, estrogen receptor (ER) and/or progesterone receptor (PR) -positive, HER2-negative females with breast cancer. MSAC considered that the incremental benefit of Prosigna over optimal care in the proposed population had not been sufficiently established and remains uncertain</w:t>
      </w:r>
      <w:r>
        <w:rPr>
          <w:szCs w:val="24"/>
        </w:rPr>
        <w:t>.</w:t>
      </w:r>
    </w:p>
    <w:p w14:paraId="25803789" w14:textId="132BF8F7" w:rsidR="00265962" w:rsidRDefault="00265962" w:rsidP="00845C32">
      <w:pPr>
        <w:spacing w:after="240"/>
        <w:rPr>
          <w:szCs w:val="24"/>
        </w:rPr>
      </w:pPr>
      <w:r w:rsidRPr="00363D29">
        <w:rPr>
          <w:b/>
          <w:szCs w:val="24"/>
        </w:rPr>
        <w:t>Application 1376.1:</w:t>
      </w:r>
      <w:r>
        <w:rPr>
          <w:szCs w:val="24"/>
        </w:rPr>
        <w:t xml:space="preserve"> In brief, </w:t>
      </w:r>
      <w:r w:rsidRPr="006A410E">
        <w:rPr>
          <w:szCs w:val="24"/>
        </w:rPr>
        <w:t xml:space="preserve">MSAC </w:t>
      </w:r>
      <w:r>
        <w:rPr>
          <w:szCs w:val="24"/>
        </w:rPr>
        <w:t xml:space="preserve">did not </w:t>
      </w:r>
      <w:r w:rsidRPr="006A410E">
        <w:rPr>
          <w:szCs w:val="24"/>
        </w:rPr>
        <w:t xml:space="preserve">support </w:t>
      </w:r>
      <w:r>
        <w:rPr>
          <w:szCs w:val="24"/>
        </w:rPr>
        <w:t xml:space="preserve">public funding for </w:t>
      </w:r>
      <w:r w:rsidRPr="006A410E">
        <w:rPr>
          <w:szCs w:val="24"/>
        </w:rPr>
        <w:t>a diagnostic microassay to measure the expression of 70 genes in breast cancer tissue (Mamma</w:t>
      </w:r>
      <w:r>
        <w:rPr>
          <w:szCs w:val="24"/>
        </w:rPr>
        <w:t>P</w:t>
      </w:r>
      <w:r w:rsidRPr="006A410E">
        <w:rPr>
          <w:szCs w:val="24"/>
        </w:rPr>
        <w:t>rint; hereafter the</w:t>
      </w:r>
      <w:r>
        <w:rPr>
          <w:szCs w:val="24"/>
        </w:rPr>
        <w:t xml:space="preserve"> 70 gene signature test)</w:t>
      </w:r>
      <w:r w:rsidRPr="006A410E">
        <w:rPr>
          <w:szCs w:val="24"/>
        </w:rPr>
        <w:t xml:space="preserve">.MSAC considered the results of the key supporting trial (MINDACT) and noted that, on </w:t>
      </w:r>
      <w:r w:rsidRPr="00EE7EBF">
        <w:rPr>
          <w:szCs w:val="24"/>
        </w:rPr>
        <w:t>average, there was a consistent pattern of poorer breast cancer outcomes when chemotherapy was withheld in high clinical risk patients on the basis of a finding of low genomic risk using the 70 gene signature test. As a result, MSAC had little confidence that the 70 gene signature test could be used to justify withholding chemotherapy in such patients without negatively impacting upon important outcomes, including overall survival.</w:t>
      </w:r>
    </w:p>
    <w:p w14:paraId="42DF46CE" w14:textId="77777777" w:rsidR="00265962" w:rsidRDefault="00265962" w:rsidP="00265962">
      <w:pPr>
        <w:rPr>
          <w:szCs w:val="24"/>
        </w:rPr>
      </w:pPr>
      <w:r w:rsidRPr="00EE7EBF">
        <w:rPr>
          <w:szCs w:val="24"/>
        </w:rPr>
        <w:t>MSAC was concerned that, overall, use of the 70 gene signature test to inform treatment decisions about whether to not add adjuvant chemotherapy to hormone therapy would lead to inferior breast cancer outcomes comp</w:t>
      </w:r>
      <w:r>
        <w:rPr>
          <w:szCs w:val="24"/>
        </w:rPr>
        <w:t>ared with current clinical care.</w:t>
      </w:r>
    </w:p>
    <w:p w14:paraId="0AAC23FB" w14:textId="77777777" w:rsidR="009B1F59" w:rsidRPr="00F715D1" w:rsidRDefault="009B1F59" w:rsidP="009B1F59">
      <w:pPr>
        <w:pStyle w:val="Heading1"/>
      </w:pPr>
      <w:r w:rsidRPr="00F715D1">
        <w:lastRenderedPageBreak/>
        <w:t>Prerequisites to implementation of any funding advice</w:t>
      </w:r>
    </w:p>
    <w:p w14:paraId="09B8BFA5" w14:textId="408C25D2" w:rsidR="00C07ECB" w:rsidRDefault="00265962" w:rsidP="00265962">
      <w:r w:rsidRPr="00D82010">
        <w:t xml:space="preserve">The test </w:t>
      </w:r>
      <w:r>
        <w:t xml:space="preserve">is </w:t>
      </w:r>
      <w:r w:rsidRPr="00D82010">
        <w:t xml:space="preserve">listed </w:t>
      </w:r>
      <w:r>
        <w:t>on the</w:t>
      </w:r>
      <w:r w:rsidRPr="00D82010">
        <w:t xml:space="preserve"> </w:t>
      </w:r>
      <w:r w:rsidRPr="00F51442">
        <w:rPr>
          <w:rFonts w:eastAsiaTheme="minorEastAsia"/>
        </w:rPr>
        <w:t>Australian Register of Therapeutic Goods</w:t>
      </w:r>
      <w:r w:rsidRPr="00D82010">
        <w:t xml:space="preserve"> (ARTG number 285557)</w:t>
      </w:r>
      <w:r>
        <w:t>.</w:t>
      </w:r>
    </w:p>
    <w:p w14:paraId="0FF133A8" w14:textId="511B7F5D" w:rsidR="00C07ECB" w:rsidRDefault="00C07ECB" w:rsidP="00265962">
      <w:r>
        <w:t>The National Pathology Accreditation Advisory Council (NPAAC) advised MSAC that the test is provided exclusively by one laboratory provider in the private sector, and that there is no external quality assurance program (EQA) available. Quality assurance would require the establishment of a sample exchange program with overseas laboratories.</w:t>
      </w:r>
    </w:p>
    <w:p w14:paraId="33576689" w14:textId="77777777" w:rsidR="009B1F59" w:rsidRPr="00F715D1" w:rsidRDefault="009B1F59" w:rsidP="009B1F59">
      <w:pPr>
        <w:pStyle w:val="Heading1"/>
      </w:pPr>
      <w:r w:rsidRPr="00F715D1">
        <w:t>Proposal for public funding</w:t>
      </w:r>
    </w:p>
    <w:p w14:paraId="574A6B5D" w14:textId="546C0284" w:rsidR="00265962" w:rsidRPr="00845C32" w:rsidRDefault="00265962" w:rsidP="00845C32">
      <w:pPr>
        <w:spacing w:after="240"/>
        <w:rPr>
          <w:szCs w:val="24"/>
        </w:rPr>
      </w:pPr>
      <w:r w:rsidRPr="0007003B">
        <w:t>The proposed MBS item descriptor is summarised in</w:t>
      </w:r>
      <w:bookmarkStart w:id="0" w:name="_Ref373485342"/>
      <w:bookmarkStart w:id="1" w:name="_Ref373485347"/>
      <w:r w:rsidRPr="0007003B">
        <w:t xml:space="preserve"> </w:t>
      </w:r>
      <w:r>
        <w:t>Table 1.</w:t>
      </w:r>
      <w:r w:rsidRPr="0007003B">
        <w:rPr>
          <w:szCs w:val="24"/>
        </w:rPr>
        <w:t>The service would be expected to be delivered once per primary cancer diagnosis per patient at the point of primary tumour analysis</w:t>
      </w:r>
      <w:r>
        <w:rPr>
          <w:szCs w:val="24"/>
        </w:rPr>
        <w:t xml:space="preserve">. The service </w:t>
      </w:r>
      <w:r>
        <w:t xml:space="preserve">could be offered in a public or private hospital setting following surgery </w:t>
      </w:r>
      <w:r w:rsidRPr="00AE1C80">
        <w:t>or biopsy, or when the patient attends a hospital outpatient service or consulting room.</w:t>
      </w:r>
      <w:bookmarkStart w:id="2" w:name="_Ref394849669"/>
      <w:bookmarkStart w:id="3" w:name="_Toc519689925"/>
      <w:bookmarkStart w:id="4" w:name="_Toc10728628"/>
      <w:bookmarkEnd w:id="0"/>
      <w:bookmarkEnd w:id="1"/>
    </w:p>
    <w:p w14:paraId="5D05BE80" w14:textId="77777777" w:rsidR="00265962" w:rsidRPr="0007003B" w:rsidRDefault="00265962" w:rsidP="00265962">
      <w:pPr>
        <w:pStyle w:val="TableHeading"/>
        <w:rPr>
          <w:rFonts w:eastAsia="SimSun"/>
        </w:rPr>
      </w:pPr>
      <w:r w:rsidRPr="0007003B">
        <w:rPr>
          <w:rFonts w:eastAsia="SimSun"/>
        </w:rPr>
        <w:t xml:space="preserve">Table </w:t>
      </w:r>
      <w:bookmarkEnd w:id="2"/>
      <w:r>
        <w:rPr>
          <w:rFonts w:eastAsia="SimSun"/>
        </w:rPr>
        <w:t>1</w:t>
      </w:r>
      <w:r w:rsidRPr="0007003B">
        <w:rPr>
          <w:rFonts w:eastAsia="SimSun"/>
        </w:rPr>
        <w:tab/>
        <w:t>Proposed MBS item descriptor</w:t>
      </w:r>
      <w:bookmarkEnd w:id="3"/>
      <w:bookmarkEnd w:id="4"/>
    </w:p>
    <w:tbl>
      <w:tblPr>
        <w:tblStyle w:val="TableGrid1"/>
        <w:tblW w:w="5000" w:type="pct"/>
        <w:tblLook w:val="04A0" w:firstRow="1" w:lastRow="0" w:firstColumn="1" w:lastColumn="0" w:noHBand="0" w:noVBand="1"/>
        <w:tblCaption w:val=" Proposed MBS item descriptor"/>
        <w:tblDescription w:val="This table provides the proposed description of the requested Medicare Benefits Schedule item."/>
      </w:tblPr>
      <w:tblGrid>
        <w:gridCol w:w="9016"/>
      </w:tblGrid>
      <w:tr w:rsidR="00265962" w:rsidRPr="0007003B" w14:paraId="51F201EF" w14:textId="77777777" w:rsidTr="008971B6">
        <w:trPr>
          <w:cnfStyle w:val="100000000000" w:firstRow="1" w:lastRow="0" w:firstColumn="0" w:lastColumn="0" w:oddVBand="0" w:evenVBand="0" w:oddHBand="0" w:evenHBand="0" w:firstRowFirstColumn="0" w:firstRowLastColumn="0" w:lastRowFirstColumn="0" w:lastRowLastColumn="0"/>
          <w:tblHeader/>
        </w:trPr>
        <w:tc>
          <w:tcPr>
            <w:tcW w:w="5000" w:type="pct"/>
            <w:hideMark/>
          </w:tcPr>
          <w:p w14:paraId="406A2E09" w14:textId="77777777" w:rsidR="00265962" w:rsidRPr="0007003B" w:rsidRDefault="00265962" w:rsidP="00210C73">
            <w:pPr>
              <w:keepNext/>
              <w:spacing w:after="40"/>
              <w:rPr>
                <w:rFonts w:ascii="Arial Narrow" w:hAnsi="Arial Narrow" w:cs="Tahoma"/>
              </w:rPr>
            </w:pPr>
            <w:r w:rsidRPr="0007003B">
              <w:rPr>
                <w:rFonts w:ascii="Arial Narrow" w:hAnsi="Arial Narrow" w:cs="Tahoma"/>
              </w:rPr>
              <w:t>Category 6 – PATHOLOGY SERVICES</w:t>
            </w:r>
          </w:p>
          <w:p w14:paraId="4474DA93" w14:textId="77777777" w:rsidR="00265962" w:rsidRPr="0007003B" w:rsidRDefault="00265962" w:rsidP="00210C73">
            <w:pPr>
              <w:keepNext/>
              <w:spacing w:after="40"/>
              <w:rPr>
                <w:rFonts w:ascii="Arial Narrow" w:hAnsi="Arial Narrow" w:cs="Tahoma"/>
              </w:rPr>
            </w:pPr>
            <w:r w:rsidRPr="0007003B">
              <w:rPr>
                <w:rFonts w:ascii="Arial Narrow" w:hAnsi="Arial Narrow" w:cs="Tahoma"/>
              </w:rPr>
              <w:t xml:space="preserve">Group P7 </w:t>
            </w:r>
            <w:r>
              <w:rPr>
                <w:rFonts w:ascii="Arial Narrow" w:hAnsi="Arial Narrow" w:cs="Tahoma"/>
              </w:rPr>
              <w:t>–</w:t>
            </w:r>
            <w:r w:rsidRPr="0007003B">
              <w:rPr>
                <w:rFonts w:ascii="Arial Narrow" w:hAnsi="Arial Narrow" w:cs="Tahoma"/>
              </w:rPr>
              <w:t xml:space="preserve"> GENETICS</w:t>
            </w:r>
          </w:p>
        </w:tc>
      </w:tr>
      <w:tr w:rsidR="00265962" w:rsidRPr="0007003B" w14:paraId="1F0CC948" w14:textId="77777777" w:rsidTr="008971B6">
        <w:tc>
          <w:tcPr>
            <w:tcW w:w="5000" w:type="pct"/>
          </w:tcPr>
          <w:p w14:paraId="4C410112" w14:textId="77777777" w:rsidR="00265962" w:rsidRPr="0007003B" w:rsidRDefault="00265962" w:rsidP="00210C73">
            <w:pPr>
              <w:keepNext/>
              <w:spacing w:after="40"/>
              <w:rPr>
                <w:rFonts w:cs="Tahoma"/>
              </w:rPr>
            </w:pPr>
            <w:r w:rsidRPr="0007003B">
              <w:rPr>
                <w:rFonts w:cs="Tahoma"/>
              </w:rPr>
              <w:t>MBS XXX</w:t>
            </w:r>
          </w:p>
          <w:p w14:paraId="74D2E1CF" w14:textId="77777777" w:rsidR="00265962" w:rsidRPr="0007003B" w:rsidRDefault="00265962" w:rsidP="00210C73">
            <w:pPr>
              <w:keepNext/>
              <w:spacing w:after="40"/>
              <w:rPr>
                <w:rFonts w:cs="Tahoma"/>
              </w:rPr>
            </w:pPr>
            <w:r w:rsidRPr="0007003B">
              <w:rPr>
                <w:rFonts w:cs="Tahoma"/>
              </w:rPr>
              <w:t>RT-qPCR gene expression profiling of FFPE, core needle biopsy or surgical tumour sample in primary breast cancer tissue.</w:t>
            </w:r>
          </w:p>
          <w:p w14:paraId="592DACF9" w14:textId="77777777" w:rsidR="00265962" w:rsidRPr="0007003B" w:rsidRDefault="00265962" w:rsidP="00210C73">
            <w:pPr>
              <w:keepNext/>
              <w:spacing w:after="40"/>
              <w:rPr>
                <w:rFonts w:cs="Tahoma"/>
              </w:rPr>
            </w:pPr>
            <w:r w:rsidRPr="0007003B">
              <w:rPr>
                <w:rFonts w:cs="Tahoma"/>
              </w:rPr>
              <w:t>The test may be used when all of the following criteria are met:</w:t>
            </w:r>
          </w:p>
          <w:p w14:paraId="4851A027" w14:textId="77777777" w:rsidR="00265962" w:rsidRPr="0007003B" w:rsidRDefault="00265962" w:rsidP="00210C73">
            <w:pPr>
              <w:keepNext/>
              <w:spacing w:after="40"/>
              <w:rPr>
                <w:rFonts w:cs="Tahoma"/>
              </w:rPr>
            </w:pPr>
            <w:r w:rsidRPr="0007003B">
              <w:rPr>
                <w:rFonts w:cs="Tahoma"/>
              </w:rPr>
              <w:t>New primary breast cancer, suitable for adjuvant therapy, and not requiring neoadjuvant chemotherapy</w:t>
            </w:r>
          </w:p>
          <w:p w14:paraId="7E79CDE2" w14:textId="77777777" w:rsidR="00265962" w:rsidRPr="0007003B" w:rsidRDefault="00265962" w:rsidP="00210C73">
            <w:pPr>
              <w:keepNext/>
              <w:spacing w:after="40"/>
              <w:rPr>
                <w:rFonts w:cs="Tahoma"/>
              </w:rPr>
            </w:pPr>
            <w:r w:rsidRPr="0007003B">
              <w:rPr>
                <w:rFonts w:cs="Tahoma"/>
              </w:rPr>
              <w:t>Oestrogen receptor positive and HER2 negative as determined by IHC and ISH respectively on surgically removed tumour</w:t>
            </w:r>
          </w:p>
          <w:p w14:paraId="21DC4F83" w14:textId="77777777" w:rsidR="00265962" w:rsidRPr="0007003B" w:rsidRDefault="00265962" w:rsidP="00210C73">
            <w:pPr>
              <w:keepNext/>
              <w:spacing w:after="40"/>
              <w:rPr>
                <w:rFonts w:cs="Tahoma"/>
              </w:rPr>
            </w:pPr>
            <w:r w:rsidRPr="0007003B">
              <w:rPr>
                <w:rFonts w:cs="Tahoma"/>
              </w:rPr>
              <w:t>Node negative or positive (up to three nodes) and tumour size determined by histopathology on surgically removed tumour</w:t>
            </w:r>
          </w:p>
          <w:p w14:paraId="74E38A5B" w14:textId="529D4344" w:rsidR="00265962" w:rsidRPr="0007003B" w:rsidRDefault="00265962" w:rsidP="00845C32">
            <w:pPr>
              <w:keepNext/>
              <w:spacing w:after="240"/>
              <w:rPr>
                <w:rFonts w:cs="Tahoma"/>
              </w:rPr>
            </w:pPr>
            <w:bookmarkStart w:id="5" w:name="_Hlk518297339"/>
            <w:r w:rsidRPr="0007003B">
              <w:rPr>
                <w:rFonts w:cs="Tahoma"/>
              </w:rPr>
              <w:t xml:space="preserve">Pre-test </w:t>
            </w:r>
            <w:r w:rsidRPr="0007003B">
              <w:rPr>
                <w:rFonts w:cs="Tahoma"/>
                <w:i/>
              </w:rPr>
              <w:t xml:space="preserve">intermediate clinical </w:t>
            </w:r>
            <w:r w:rsidRPr="0007003B">
              <w:rPr>
                <w:rFonts w:cs="Tahoma"/>
              </w:rPr>
              <w:t>risk of distant metastases defined by at least one of the following characteristics:  tumour size ≥2cm; or grade 2/3; or one to three lymph nodes involved (nodes include micrometastases but not isolated tumour cells)</w:t>
            </w:r>
            <w:bookmarkEnd w:id="5"/>
          </w:p>
          <w:p w14:paraId="583FB4ED" w14:textId="77777777" w:rsidR="00265962" w:rsidRPr="0007003B" w:rsidRDefault="00265962" w:rsidP="00210C73">
            <w:pPr>
              <w:keepNext/>
              <w:spacing w:after="40"/>
              <w:rPr>
                <w:rFonts w:cs="Tahoma"/>
              </w:rPr>
            </w:pPr>
            <w:r w:rsidRPr="0007003B">
              <w:rPr>
                <w:rFonts w:cs="Tahoma"/>
              </w:rPr>
              <w:t>The test may be used once per new primary breast cancer diagnosis.</w:t>
            </w:r>
          </w:p>
        </w:tc>
      </w:tr>
      <w:tr w:rsidR="00265962" w:rsidRPr="0007003B" w14:paraId="3B0B8B99" w14:textId="77777777" w:rsidTr="008971B6">
        <w:tc>
          <w:tcPr>
            <w:tcW w:w="5000" w:type="pct"/>
            <w:hideMark/>
          </w:tcPr>
          <w:p w14:paraId="4892992F" w14:textId="375D57BB" w:rsidR="00265962" w:rsidRPr="0007003B" w:rsidRDefault="00265962" w:rsidP="00AA436B">
            <w:pPr>
              <w:keepNext/>
              <w:spacing w:after="40"/>
              <w:rPr>
                <w:rFonts w:cs="Tahoma"/>
              </w:rPr>
            </w:pPr>
            <w:r w:rsidRPr="0007003B">
              <w:rPr>
                <w:rFonts w:cs="Tahoma"/>
              </w:rPr>
              <w:t>Fee: $</w:t>
            </w:r>
            <w:r w:rsidR="00AA436B">
              <w:rPr>
                <w:rFonts w:cs="Tahoma"/>
              </w:rPr>
              <w:t>redacted</w:t>
            </w:r>
            <w:r w:rsidR="00AA436B" w:rsidRPr="0007003B">
              <w:rPr>
                <w:rFonts w:cs="Tahoma"/>
              </w:rPr>
              <w:t xml:space="preserve"> </w:t>
            </w:r>
            <w:r w:rsidRPr="0007003B">
              <w:rPr>
                <w:rFonts w:cs="Tahoma"/>
              </w:rPr>
              <w:t>Benefit: 75%= $</w:t>
            </w:r>
            <w:r w:rsidR="00AA436B">
              <w:rPr>
                <w:rFonts w:cs="Tahoma"/>
              </w:rPr>
              <w:t>redacted</w:t>
            </w:r>
            <w:r w:rsidR="00AA436B" w:rsidRPr="0007003B">
              <w:rPr>
                <w:rFonts w:cs="Tahoma"/>
              </w:rPr>
              <w:t xml:space="preserve"> </w:t>
            </w:r>
            <w:r w:rsidRPr="0007003B">
              <w:rPr>
                <w:rFonts w:cs="Tahoma"/>
              </w:rPr>
              <w:t>; 85% = $</w:t>
            </w:r>
            <w:r w:rsidR="00AA436B">
              <w:rPr>
                <w:rFonts w:cs="Tahoma"/>
              </w:rPr>
              <w:t>redacted</w:t>
            </w:r>
            <w:r w:rsidR="00AA436B" w:rsidRPr="0007003B">
              <w:rPr>
                <w:rFonts w:cs="Tahoma"/>
              </w:rPr>
              <w:t xml:space="preserve"> </w:t>
            </w:r>
          </w:p>
        </w:tc>
      </w:tr>
    </w:tbl>
    <w:p w14:paraId="44F73929" w14:textId="77777777" w:rsidR="009B1F59" w:rsidRPr="00F715D1" w:rsidRDefault="009B1F59" w:rsidP="009B1F59">
      <w:pPr>
        <w:pStyle w:val="Heading1"/>
      </w:pPr>
      <w:r w:rsidRPr="00F715D1">
        <w:t>Summary of Public Consultation Feedback/Consumer Issues</w:t>
      </w:r>
    </w:p>
    <w:p w14:paraId="5B58A5CC" w14:textId="77777777" w:rsidR="00265962" w:rsidRPr="00B02E35" w:rsidRDefault="00265962" w:rsidP="00265962">
      <w:r>
        <w:t>K</w:t>
      </w:r>
      <w:r w:rsidRPr="006A048D">
        <w:t>ey points received during the public consultation period of the PICO Confirmation</w:t>
      </w:r>
      <w:r>
        <w:t xml:space="preserve"> were related to questions of eligibility of the proposed patient population (pre- or post-menopause women, patients with tumour grade 3), whether prognostic information can infer chemotherapy benefit, and if the intervention is cost-effective.</w:t>
      </w:r>
    </w:p>
    <w:p w14:paraId="72DD5D05" w14:textId="77777777" w:rsidR="009B1F59" w:rsidRPr="00F715D1" w:rsidRDefault="009B1F59" w:rsidP="009B1F59">
      <w:pPr>
        <w:pStyle w:val="Heading1"/>
      </w:pPr>
      <w:r w:rsidRPr="00F715D1">
        <w:t>Proposed intervention’s place in clinical management</w:t>
      </w:r>
    </w:p>
    <w:p w14:paraId="79D558A1" w14:textId="78F88B67" w:rsidR="00265962" w:rsidRDefault="00265962" w:rsidP="00845C32">
      <w:r w:rsidRPr="002272F8">
        <w:t xml:space="preserve">The current clinical management algorithm based on current clinical practice </w:t>
      </w:r>
      <w:r>
        <w:t>(</w:t>
      </w:r>
      <w:r w:rsidRPr="002272F8">
        <w:t>or international guidelines</w:t>
      </w:r>
      <w:r>
        <w:t>)</w:t>
      </w:r>
      <w:r w:rsidRPr="002272F8">
        <w:t xml:space="preserve"> for patients who have ER+/HER2– primary breast cancer is shown in </w:t>
      </w:r>
      <w:r>
        <w:t>Figure 1.</w:t>
      </w:r>
    </w:p>
    <w:p w14:paraId="08B6146C" w14:textId="77777777" w:rsidR="00265962" w:rsidRPr="00497393" w:rsidRDefault="00265962" w:rsidP="00497393">
      <w:pPr>
        <w:keepNext/>
        <w:keepLines/>
        <w:rPr>
          <w:rFonts w:ascii="Arial Narrow" w:hAnsi="Arial Narrow"/>
          <w:b/>
          <w:sz w:val="20"/>
          <w:highlight w:val="cyan"/>
        </w:rPr>
      </w:pPr>
      <w:bookmarkStart w:id="6" w:name="_Toc381969891"/>
      <w:bookmarkStart w:id="7" w:name="_Ref379454995"/>
      <w:bookmarkStart w:id="8" w:name="_Toc519689932"/>
      <w:bookmarkStart w:id="9" w:name="_Toc10627215"/>
      <w:bookmarkStart w:id="10" w:name="_Toc10728721"/>
      <w:r w:rsidRPr="00497393">
        <w:rPr>
          <w:rFonts w:ascii="Arial Narrow" w:hAnsi="Arial Narrow"/>
          <w:b/>
          <w:sz w:val="20"/>
        </w:rPr>
        <w:lastRenderedPageBreak/>
        <w:t>Figure 1</w:t>
      </w:r>
      <w:r w:rsidRPr="00497393">
        <w:rPr>
          <w:rFonts w:ascii="Arial Narrow" w:hAnsi="Arial Narrow"/>
          <w:b/>
          <w:sz w:val="20"/>
        </w:rPr>
        <w:tab/>
        <w:t xml:space="preserve">Clinical management algorithm (current clinical practice OR international guidelines) for </w:t>
      </w:r>
      <w:bookmarkEnd w:id="6"/>
      <w:bookmarkEnd w:id="7"/>
      <w:r w:rsidRPr="00497393">
        <w:rPr>
          <w:rFonts w:ascii="Arial Narrow" w:hAnsi="Arial Narrow"/>
          <w:b/>
          <w:sz w:val="20"/>
        </w:rPr>
        <w:t>patients who have ER+/HER2– primary breast cancer</w:t>
      </w:r>
      <w:bookmarkEnd w:id="8"/>
      <w:bookmarkEnd w:id="9"/>
      <w:bookmarkEnd w:id="10"/>
    </w:p>
    <w:p w14:paraId="4C3A377E" w14:textId="77777777" w:rsidR="00265962" w:rsidRDefault="00265962" w:rsidP="00497393">
      <w:pPr>
        <w:pStyle w:val="pic"/>
        <w:keepLines/>
      </w:pPr>
      <w:r w:rsidRPr="00086630">
        <w:rPr>
          <w:noProof/>
        </w:rPr>
        <w:drawing>
          <wp:inline distT="0" distB="0" distL="0" distR="0" wp14:anchorId="46F193F4" wp14:editId="3CC5DAE9">
            <wp:extent cx="4772025" cy="3692952"/>
            <wp:effectExtent l="0" t="0" r="0" b="0"/>
            <wp:docPr id="14" name="Picture 14" descr="Clinical management algorithm for patients who have ER+/HER2- primary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72025" cy="3692952"/>
                    </a:xfrm>
                    <a:prstGeom prst="rect">
                      <a:avLst/>
                    </a:prstGeom>
                  </pic:spPr>
                </pic:pic>
              </a:graphicData>
            </a:graphic>
          </wp:inline>
        </w:drawing>
      </w:r>
    </w:p>
    <w:p w14:paraId="706FC8D1" w14:textId="77777777" w:rsidR="00265962" w:rsidRDefault="00265962" w:rsidP="00265962">
      <w:pPr>
        <w:pStyle w:val="TFAbbrevs18"/>
      </w:pPr>
      <w:r>
        <w:t>ER+, oestrogen receptor positive; FFPE, formalin-fixed paraffin-embedded; HER2–, human epidermal growth receptor negative;</w:t>
      </w:r>
    </w:p>
    <w:p w14:paraId="0B77F749" w14:textId="77777777" w:rsidR="00265962" w:rsidRDefault="00265962" w:rsidP="00265962">
      <w:pPr>
        <w:pStyle w:val="TFAbbrevs18"/>
      </w:pPr>
      <w:r>
        <w:t>* Risk assessment based on age, ER/HER2 status, tumour size, nodal status, Ki67, tumour grade and other markers most likely to be used in the Australian setting (base case scenario)</w:t>
      </w:r>
    </w:p>
    <w:p w14:paraId="14565AA7" w14:textId="77777777" w:rsidR="00265962" w:rsidRDefault="00265962" w:rsidP="00265962">
      <w:pPr>
        <w:pStyle w:val="TFAbbrevs18"/>
      </w:pPr>
      <w:r>
        <w:t># Risk assessment based on ER/HER2 status and international clinical guidelines such as St Gallen, NCCN, EMSO, and German S3</w:t>
      </w:r>
    </w:p>
    <w:p w14:paraId="4FE075CF" w14:textId="77777777" w:rsidR="00265962" w:rsidRPr="005262C8" w:rsidRDefault="00265962" w:rsidP="00265962">
      <w:pPr>
        <w:pStyle w:val="Heading2"/>
      </w:pPr>
      <w:bookmarkStart w:id="11" w:name="_Toc518515676"/>
      <w:bookmarkStart w:id="12" w:name="_Toc10728520"/>
      <w:r w:rsidRPr="005262C8">
        <w:t>Proposed clinical</w:t>
      </w:r>
      <w:r>
        <w:t xml:space="preserve"> </w:t>
      </w:r>
      <w:bookmarkEnd w:id="11"/>
      <w:bookmarkEnd w:id="12"/>
      <w:r w:rsidRPr="005262C8">
        <w:t>management</w:t>
      </w:r>
      <w:r>
        <w:t xml:space="preserve"> algorithm</w:t>
      </w:r>
    </w:p>
    <w:p w14:paraId="36F722D2" w14:textId="39B27E40" w:rsidR="00265962" w:rsidRPr="005262C8" w:rsidRDefault="00265962" w:rsidP="00F002C7">
      <w:pPr>
        <w:pStyle w:val="BodyText"/>
        <w:spacing w:line="240" w:lineRule="auto"/>
        <w:rPr>
          <w:rFonts w:ascii="Times New Roman" w:hAnsi="Times New Roman" w:cs="Times New Roman"/>
          <w:sz w:val="24"/>
          <w:szCs w:val="24"/>
        </w:rPr>
      </w:pPr>
      <w:r w:rsidRPr="005262C8">
        <w:rPr>
          <w:rFonts w:ascii="Times New Roman" w:hAnsi="Times New Roman" w:cs="Times New Roman"/>
          <w:sz w:val="24"/>
          <w:szCs w:val="24"/>
        </w:rPr>
        <w:t xml:space="preserve">In the proposed clinical pathway shown in </w:t>
      </w:r>
      <w:r>
        <w:rPr>
          <w:rFonts w:ascii="Times New Roman" w:hAnsi="Times New Roman" w:cs="Times New Roman"/>
          <w:sz w:val="24"/>
          <w:szCs w:val="24"/>
        </w:rPr>
        <w:t>Figure 2,</w:t>
      </w:r>
      <w:r w:rsidRPr="005262C8">
        <w:rPr>
          <w:rFonts w:ascii="Times New Roman" w:hAnsi="Times New Roman" w:cs="Times New Roman"/>
          <w:sz w:val="24"/>
          <w:szCs w:val="24"/>
        </w:rPr>
        <w:t xml:space="preserve"> patients with primary breast cancer diagnosed by core needle biopsy are assessed for surgical removal of the tumour in the same manner as performed in current clinical practice. After surgery, a pathologist will determine ER and HER2 status, assess tumour size and nodal status, and report the histological results to the treating oncologist. </w:t>
      </w:r>
      <w:r w:rsidRPr="004B3BC5">
        <w:rPr>
          <w:rFonts w:ascii="Times New Roman" w:hAnsi="Times New Roman" w:cs="Times New Roman"/>
          <w:sz w:val="24"/>
          <w:szCs w:val="24"/>
        </w:rPr>
        <w:t>The oncologist (sometimes in consultation with a multi-disciplinary team [MDT]), will decide whether the tumour is considered at low, intermediate, or high clinical risk of distant recurrence, and, after consultation with the patient, make a treatment decision. As with current practice, patients at low risk of distant metastases would be offered ET, and those considered at high risk of distant metastases would be offered adjuvant chemotherapy in addition to ET.</w:t>
      </w:r>
    </w:p>
    <w:p w14:paraId="41FFAAA1" w14:textId="77777777" w:rsidR="00265962" w:rsidRDefault="00265962" w:rsidP="00265962">
      <w:pPr>
        <w:pStyle w:val="BodyText"/>
        <w:spacing w:after="0" w:line="240" w:lineRule="auto"/>
        <w:rPr>
          <w:rFonts w:ascii="Times New Roman" w:hAnsi="Times New Roman" w:cs="Times New Roman"/>
          <w:sz w:val="24"/>
          <w:szCs w:val="24"/>
        </w:rPr>
      </w:pPr>
      <w:r w:rsidRPr="005262C8">
        <w:rPr>
          <w:rFonts w:ascii="Times New Roman" w:hAnsi="Times New Roman" w:cs="Times New Roman"/>
          <w:sz w:val="24"/>
          <w:szCs w:val="24"/>
        </w:rPr>
        <w:t>Patients with ER+/HER2– cancer who are assessed to be at intermediate risk of distant metastases would follow the proposed clinical pathway provided the patient is considered suitable for adjuvant chemotherapy, with the</w:t>
      </w:r>
      <w:r>
        <w:rPr>
          <w:rFonts w:ascii="Times New Roman" w:hAnsi="Times New Roman" w:cs="Times New Roman"/>
          <w:sz w:val="24"/>
          <w:szCs w:val="24"/>
        </w:rPr>
        <w:t xml:space="preserve"> patient offered the </w:t>
      </w:r>
      <w:r w:rsidRPr="005262C8">
        <w:rPr>
          <w:rFonts w:ascii="Times New Roman" w:hAnsi="Times New Roman" w:cs="Times New Roman"/>
          <w:sz w:val="24"/>
          <w:szCs w:val="24"/>
        </w:rPr>
        <w:t>EndoPredict test</w:t>
      </w:r>
      <w:r>
        <w:rPr>
          <w:rFonts w:ascii="Times New Roman" w:hAnsi="Times New Roman" w:cs="Times New Roman"/>
          <w:sz w:val="24"/>
          <w:szCs w:val="24"/>
        </w:rPr>
        <w:t>.</w:t>
      </w:r>
      <w:r w:rsidRPr="005262C8">
        <w:rPr>
          <w:rFonts w:ascii="Times New Roman" w:hAnsi="Times New Roman" w:cs="Times New Roman"/>
          <w:sz w:val="24"/>
          <w:szCs w:val="24"/>
        </w:rPr>
        <w:t xml:space="preserve"> Here, a 10 μm section of the routine FFPE is used to prepare RNA for RT-qPCR using the EndoPredict Kit reagents. The prepared tissue sample along with quality control samples are run on the RT-qPCR instrumentation to produce data which are exported into the reporter software. Combined with additional clinical information, the reporter software uses an algorithm to generate the EPclin risk assessment score, which predicts the risk of distant recurrence within 10 years (on a continuous scale). Using the EPclin score, the patient is categorised as being at high or low risk of distant recurrence, which may be used by the oncologist and patient to guide treatment decisions.</w:t>
      </w:r>
    </w:p>
    <w:p w14:paraId="07E21C31" w14:textId="2B6663EB" w:rsidR="00265962" w:rsidRDefault="00265962" w:rsidP="00F002C7">
      <w:pPr>
        <w:pStyle w:val="BodyText"/>
        <w:spacing w:line="240" w:lineRule="auto"/>
        <w:rPr>
          <w:rFonts w:ascii="Times New Roman" w:hAnsi="Times New Roman" w:cs="Times New Roman"/>
          <w:sz w:val="24"/>
          <w:szCs w:val="24"/>
        </w:rPr>
      </w:pPr>
      <w:r w:rsidRPr="005262C8">
        <w:rPr>
          <w:rFonts w:ascii="Times New Roman" w:hAnsi="Times New Roman" w:cs="Times New Roman"/>
          <w:sz w:val="24"/>
          <w:szCs w:val="24"/>
        </w:rPr>
        <w:lastRenderedPageBreak/>
        <w:t xml:space="preserve">Patients who fall into the low risk category according to the EndoPredict tool would be offered </w:t>
      </w:r>
      <w:r w:rsidRPr="005262C8">
        <w:rPr>
          <w:rFonts w:ascii="Times New Roman" w:eastAsia="Calibri+FPEF" w:hAnsi="Times New Roman" w:cs="Times New Roman"/>
          <w:sz w:val="24"/>
          <w:szCs w:val="24"/>
        </w:rPr>
        <w:t xml:space="preserve">ET alone (short or extended term), whereas those in the high risk category would be </w:t>
      </w:r>
      <w:r w:rsidRPr="005262C8">
        <w:rPr>
          <w:rFonts w:ascii="Times New Roman" w:hAnsi="Times New Roman" w:cs="Times New Roman"/>
          <w:sz w:val="24"/>
          <w:szCs w:val="24"/>
        </w:rPr>
        <w:t>offered ET combined with chemotherapy.</w:t>
      </w:r>
    </w:p>
    <w:p w14:paraId="08604943" w14:textId="77777777" w:rsidR="00265962" w:rsidRPr="00497393" w:rsidRDefault="00265962" w:rsidP="00497393">
      <w:pPr>
        <w:rPr>
          <w:rFonts w:ascii="Arial Narrow" w:hAnsi="Arial Narrow"/>
          <w:b/>
          <w:sz w:val="20"/>
        </w:rPr>
      </w:pPr>
      <w:bookmarkStart w:id="13" w:name="_Ref518413443"/>
      <w:bookmarkStart w:id="14" w:name="_Toc519689934"/>
      <w:bookmarkStart w:id="15" w:name="_Toc10627217"/>
      <w:bookmarkStart w:id="16" w:name="_Toc10728723"/>
      <w:r w:rsidRPr="00497393">
        <w:rPr>
          <w:rFonts w:ascii="Arial Narrow" w:hAnsi="Arial Narrow"/>
          <w:b/>
          <w:sz w:val="20"/>
        </w:rPr>
        <w:t xml:space="preserve">Figure </w:t>
      </w:r>
      <w:bookmarkEnd w:id="13"/>
      <w:r w:rsidRPr="00497393">
        <w:rPr>
          <w:rFonts w:ascii="Arial Narrow" w:hAnsi="Arial Narrow"/>
          <w:b/>
          <w:sz w:val="20"/>
        </w:rPr>
        <w:t>2</w:t>
      </w:r>
      <w:r w:rsidRPr="00497393">
        <w:rPr>
          <w:rFonts w:ascii="Arial Narrow" w:hAnsi="Arial Narrow"/>
          <w:b/>
          <w:sz w:val="20"/>
        </w:rPr>
        <w:tab/>
        <w:t>Clinical management algorithm with the proposed medical service for patients who have ER+/HER2– primary breast cancer</w:t>
      </w:r>
      <w:bookmarkEnd w:id="14"/>
      <w:bookmarkEnd w:id="15"/>
      <w:bookmarkEnd w:id="16"/>
    </w:p>
    <w:p w14:paraId="70E7516D" w14:textId="77777777" w:rsidR="00265962" w:rsidRDefault="00265962" w:rsidP="00265962">
      <w:pPr>
        <w:pStyle w:val="pic"/>
      </w:pPr>
      <w:r w:rsidRPr="00623CAF">
        <w:rPr>
          <w:noProof/>
        </w:rPr>
        <w:drawing>
          <wp:inline distT="0" distB="0" distL="0" distR="0" wp14:anchorId="0D6C010D" wp14:editId="0371127D">
            <wp:extent cx="4714504" cy="4233443"/>
            <wp:effectExtent l="0" t="0" r="0" b="0"/>
            <wp:docPr id="5" name="Picture 5" descr="Clinical management algorithm with the proposed medical service for patients who have ER+/HER2– primary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5349" cy="4261140"/>
                    </a:xfrm>
                    <a:prstGeom prst="rect">
                      <a:avLst/>
                    </a:prstGeom>
                  </pic:spPr>
                </pic:pic>
              </a:graphicData>
            </a:graphic>
          </wp:inline>
        </w:drawing>
      </w:r>
    </w:p>
    <w:p w14:paraId="752BA460" w14:textId="77777777" w:rsidR="00265962" w:rsidRDefault="00265962" w:rsidP="00265962">
      <w:pPr>
        <w:pStyle w:val="TFAbbrevs18"/>
      </w:pPr>
      <w:r>
        <w:t>ER+, oestrogen receptor positive; FFPE, formalin-fixed paraffin-embedded; HER2–, human epidermal growth receptor negative.</w:t>
      </w:r>
    </w:p>
    <w:p w14:paraId="264DF8BA" w14:textId="77777777" w:rsidR="00265962" w:rsidRDefault="00265962" w:rsidP="00265962">
      <w:pPr>
        <w:pStyle w:val="TFAbbrevs18"/>
      </w:pPr>
      <w:r>
        <w:t>* Risk assessment based on ER/HER2 status, tumour size, nodal status, Ki67, tumour grade and other markers most likely to be used in the Australian setting (base case scenario)</w:t>
      </w:r>
    </w:p>
    <w:p w14:paraId="184BC92C" w14:textId="77777777" w:rsidR="00265962" w:rsidRPr="00B02E35" w:rsidRDefault="00265962" w:rsidP="00265962">
      <w:pPr>
        <w:pStyle w:val="TFAbbrevs18"/>
      </w:pPr>
      <w:r>
        <w:t># Risk assessment based on ER/HER2 status and international clinical guidelines such as St Gallen, NCCN, EMSO, and German S3</w:t>
      </w:r>
    </w:p>
    <w:p w14:paraId="2E71490B" w14:textId="77777777" w:rsidR="009B1F59" w:rsidRPr="00F715D1" w:rsidRDefault="009B1F59" w:rsidP="009B1F59">
      <w:pPr>
        <w:pStyle w:val="Heading1"/>
      </w:pPr>
      <w:r w:rsidRPr="00F715D1">
        <w:t xml:space="preserve">Comparator </w:t>
      </w:r>
    </w:p>
    <w:p w14:paraId="4B0BFD58" w14:textId="77777777" w:rsidR="006F38A9" w:rsidRPr="009A2251" w:rsidRDefault="006F38A9" w:rsidP="006F38A9">
      <w:r w:rsidRPr="009A2251">
        <w:t>Three comparators are described in the ratified PICO Confirmation</w:t>
      </w:r>
      <w:r>
        <w:t>:</w:t>
      </w:r>
    </w:p>
    <w:p w14:paraId="2602E459" w14:textId="77777777" w:rsidR="006F38A9" w:rsidRDefault="006F38A9" w:rsidP="006F38A9">
      <w:pPr>
        <w:pStyle w:val="ListParagraph"/>
        <w:numPr>
          <w:ilvl w:val="0"/>
          <w:numId w:val="6"/>
        </w:numPr>
      </w:pPr>
      <w:r w:rsidRPr="009A2251">
        <w:t xml:space="preserve">Main comparator (base case): </w:t>
      </w:r>
      <w:r w:rsidRPr="00B0099F">
        <w:rPr>
          <w:rStyle w:val="Emphasis"/>
        </w:rPr>
        <w:t>Current standard of care (SOC) clinical practice</w:t>
      </w:r>
      <w:r w:rsidRPr="009A2251">
        <w:t xml:space="preserve"> based on IHC/ISH analysis of tumour tissue (ER+, HER2– status) and including Ki67 status and tumour grade.</w:t>
      </w:r>
    </w:p>
    <w:p w14:paraId="57FEF9D4" w14:textId="77777777" w:rsidR="006F38A9" w:rsidRDefault="006F38A9" w:rsidP="006F38A9">
      <w:pPr>
        <w:pStyle w:val="ListParagraph"/>
        <w:numPr>
          <w:ilvl w:val="0"/>
          <w:numId w:val="6"/>
        </w:numPr>
      </w:pPr>
      <w:r w:rsidRPr="009A2251">
        <w:t xml:space="preserve">Secondary comparator: </w:t>
      </w:r>
      <w:r w:rsidRPr="00F51442">
        <w:rPr>
          <w:i/>
        </w:rPr>
        <w:t>International breast cancer clinical guidelines</w:t>
      </w:r>
      <w:r w:rsidRPr="009A2251">
        <w:t xml:space="preserve"> such as St Gallen, NCCN, ESMO, and the German S3 guidelines.</w:t>
      </w:r>
    </w:p>
    <w:p w14:paraId="3A023A83" w14:textId="3536C6C9" w:rsidR="006F38A9" w:rsidRDefault="006F38A9" w:rsidP="006F38A9">
      <w:pPr>
        <w:pStyle w:val="ListParagraph"/>
        <w:numPr>
          <w:ilvl w:val="0"/>
          <w:numId w:val="6"/>
        </w:numPr>
      </w:pPr>
      <w:r w:rsidRPr="009A2251">
        <w:t xml:space="preserve">Secondary comparator: </w:t>
      </w:r>
      <w:r w:rsidRPr="00F51442">
        <w:rPr>
          <w:i/>
        </w:rPr>
        <w:t>Other prognostic tests</w:t>
      </w:r>
      <w:r w:rsidRPr="009A2251">
        <w:t xml:space="preserve"> such as OncotypeDX</w:t>
      </w:r>
      <w:r w:rsidRPr="00F51442">
        <w:rPr>
          <w:vertAlign w:val="superscript"/>
        </w:rPr>
        <w:t>®</w:t>
      </w:r>
      <w:r w:rsidRPr="009A2251">
        <w:t>, Prosigna</w:t>
      </w:r>
      <w:r w:rsidRPr="00F51442">
        <w:rPr>
          <w:vertAlign w:val="superscript"/>
        </w:rPr>
        <w:t>®</w:t>
      </w:r>
      <w:r w:rsidRPr="009A2251">
        <w:t xml:space="preserve"> and MammaPrint</w:t>
      </w:r>
      <w:r w:rsidRPr="00F51442">
        <w:rPr>
          <w:vertAlign w:val="superscript"/>
        </w:rPr>
        <w:t>®</w:t>
      </w:r>
      <w:r>
        <w:t>.</w:t>
      </w:r>
    </w:p>
    <w:p w14:paraId="3B033192" w14:textId="61197EAF" w:rsidR="006F38A9" w:rsidRDefault="006F38A9" w:rsidP="00F002C7">
      <w:pPr>
        <w:spacing w:before="240" w:after="240"/>
      </w:pPr>
      <w:r>
        <w:t xml:space="preserve">However, the Critique notes there is no clear definition of current </w:t>
      </w:r>
      <w:r w:rsidR="00F002C7">
        <w:t>clinical practice in Australia.</w:t>
      </w:r>
    </w:p>
    <w:p w14:paraId="04917A8C" w14:textId="77777777" w:rsidR="006F38A9" w:rsidRPr="00B02E35" w:rsidRDefault="006F38A9" w:rsidP="006F38A9">
      <w:pPr>
        <w:spacing w:after="240"/>
        <w:rPr>
          <w:color w:val="3366FF"/>
          <w:szCs w:val="24"/>
        </w:rPr>
      </w:pPr>
      <w:r>
        <w:t xml:space="preserve">The lack of a clear definition of current clinical practice in Australia </w:t>
      </w:r>
      <w:r w:rsidRPr="000E2A02">
        <w:rPr>
          <w:szCs w:val="24"/>
        </w:rPr>
        <w:t xml:space="preserve">was considered </w:t>
      </w:r>
      <w:r>
        <w:rPr>
          <w:szCs w:val="24"/>
        </w:rPr>
        <w:t xml:space="preserve">to be a key issue in previous MSAC considerations of </w:t>
      </w:r>
      <w:r w:rsidRPr="000E2A02">
        <w:rPr>
          <w:szCs w:val="24"/>
        </w:rPr>
        <w:t>similar GEP test</w:t>
      </w:r>
      <w:r>
        <w:rPr>
          <w:szCs w:val="24"/>
        </w:rPr>
        <w:t>s</w:t>
      </w:r>
      <w:r w:rsidRPr="000E2A02">
        <w:rPr>
          <w:szCs w:val="24"/>
        </w:rPr>
        <w:t>,</w:t>
      </w:r>
      <w:r w:rsidRPr="00B03C70">
        <w:rPr>
          <w:szCs w:val="24"/>
        </w:rPr>
        <w:t xml:space="preserve"> </w:t>
      </w:r>
      <w:r w:rsidRPr="000E2A02">
        <w:rPr>
          <w:szCs w:val="24"/>
        </w:rPr>
        <w:t>Oncotype DX, (</w:t>
      </w:r>
      <w:hyperlink r:id="rId12" w:history="1">
        <w:r w:rsidRPr="000E2A02">
          <w:rPr>
            <w:rStyle w:val="Hyperlink"/>
            <w:szCs w:val="24"/>
          </w:rPr>
          <w:t>Oncotype DX MSAC Application 1342.4 July 2017</w:t>
        </w:r>
      </w:hyperlink>
      <w:r w:rsidRPr="000E2A02">
        <w:rPr>
          <w:szCs w:val="24"/>
        </w:rPr>
        <w:t>)</w:t>
      </w:r>
      <w:r>
        <w:rPr>
          <w:szCs w:val="24"/>
        </w:rPr>
        <w:t xml:space="preserve"> and Prosigna (Prosigna MSAC Application 1473; </w:t>
      </w:r>
      <w:r>
        <w:rPr>
          <w:szCs w:val="24"/>
        </w:rPr>
        <w:lastRenderedPageBreak/>
        <w:t xml:space="preserve">November 2019). In its consideration of Prosigna, </w:t>
      </w:r>
      <w:r w:rsidRPr="000E2A02">
        <w:rPr>
          <w:szCs w:val="24"/>
        </w:rPr>
        <w:t xml:space="preserve">MSAC noted that a well-designed survey of </w:t>
      </w:r>
      <w:r>
        <w:rPr>
          <w:szCs w:val="24"/>
        </w:rPr>
        <w:t xml:space="preserve">medical </w:t>
      </w:r>
      <w:r w:rsidRPr="000E2A02">
        <w:rPr>
          <w:szCs w:val="24"/>
        </w:rPr>
        <w:t xml:space="preserve">oncologists may help to establish what </w:t>
      </w:r>
      <w:r>
        <w:rPr>
          <w:szCs w:val="24"/>
        </w:rPr>
        <w:t xml:space="preserve">constitutes </w:t>
      </w:r>
      <w:r w:rsidRPr="000E2A02">
        <w:rPr>
          <w:szCs w:val="24"/>
        </w:rPr>
        <w:t xml:space="preserve">standard care in Australia </w:t>
      </w:r>
      <w:r>
        <w:rPr>
          <w:szCs w:val="24"/>
        </w:rPr>
        <w:t>for the proposed population of patients at intermediate risk when the decision to treat with adjuvant chemotherapy is particularly unclear.</w:t>
      </w:r>
    </w:p>
    <w:p w14:paraId="5C17026F" w14:textId="77777777" w:rsidR="009B1F59" w:rsidRPr="00F715D1" w:rsidRDefault="009B1F59" w:rsidP="009B1F59">
      <w:pPr>
        <w:pStyle w:val="Heading1"/>
      </w:pPr>
      <w:r w:rsidRPr="00F715D1">
        <w:t>Comparative safety</w:t>
      </w:r>
    </w:p>
    <w:p w14:paraId="1D00E357" w14:textId="3998E45F" w:rsidR="006F38A9" w:rsidRDefault="006F38A9" w:rsidP="00F002C7">
      <w:pPr>
        <w:spacing w:after="240"/>
      </w:pPr>
      <w:r w:rsidRPr="000423EB">
        <w:t>No comparative safety data were identified that could directly inform on the safety of EndoPredict and subsequent treatment in patients with HR+, HER2– primary breast cancer who are at intermediate clini</w:t>
      </w:r>
      <w:r w:rsidR="00F002C7">
        <w:t>cal risk of distant recurrence.</w:t>
      </w:r>
    </w:p>
    <w:p w14:paraId="461E3308" w14:textId="77777777" w:rsidR="006F38A9" w:rsidRPr="000423EB" w:rsidRDefault="006F38A9" w:rsidP="006F38A9">
      <w:pPr>
        <w:pStyle w:val="Heading2"/>
      </w:pPr>
      <w:r w:rsidRPr="000423EB">
        <w:t>Test adverse events</w:t>
      </w:r>
    </w:p>
    <w:p w14:paraId="6CD027E4" w14:textId="2EB2211C" w:rsidR="006F38A9" w:rsidRPr="000423EB" w:rsidRDefault="006F38A9" w:rsidP="00F002C7">
      <w:pPr>
        <w:spacing w:after="240"/>
      </w:pPr>
      <w:r w:rsidRPr="000423EB">
        <w:t>EndoPredict, and other gene expression tools assessed in this report, are considered procedurally safe because they rely on samples already taken for other purposes (i.e. the tissue removed dur</w:t>
      </w:r>
      <w:r w:rsidR="00F002C7">
        <w:t>ing surgery for breast cancer).</w:t>
      </w:r>
    </w:p>
    <w:p w14:paraId="0897452D" w14:textId="77777777" w:rsidR="006F38A9" w:rsidRPr="000423EB" w:rsidRDefault="006F38A9" w:rsidP="006F38A9">
      <w:pPr>
        <w:pStyle w:val="Heading2"/>
      </w:pPr>
      <w:r w:rsidRPr="000423EB">
        <w:t>Adverse events from change in management</w:t>
      </w:r>
    </w:p>
    <w:p w14:paraId="3B45AF7F" w14:textId="1CD045AE" w:rsidR="006F38A9" w:rsidRPr="000423EB" w:rsidRDefault="006F38A9" w:rsidP="00F002C7">
      <w:pPr>
        <w:spacing w:after="240"/>
      </w:pPr>
      <w:r w:rsidRPr="000423EB">
        <w:t>Harms associated with chemotherapy in early breast cancer patients are well documented, with the majority related to fatigue, nausea, anaemia, change in appetite, and damage to organ function leading to poor quality of life. As such, the decision to recommend chemotherapy in women with ER+, HER2– primary breast cancer is based on clinical judgement relating to the estimated survival probability and the estimated absolute benefit of adjuvant chemotherapy. Thus, for patients at low risk of distant recurrence the side effects of chemotherapy are considered too large to warrant treatment, whereas for those at high risk of distant recurrence, the absolute benefit of chemotherapy is considered appropriate to outweigh the harms.</w:t>
      </w:r>
    </w:p>
    <w:p w14:paraId="7B6A7FE9" w14:textId="77777777" w:rsidR="006F38A9" w:rsidRPr="000423EB" w:rsidRDefault="006F38A9" w:rsidP="006F38A9">
      <w:r w:rsidRPr="000423EB">
        <w:t>Any change in management as a result of the EPclin score, carries a risk of misallocation to the wrong treatment risk category, that is, a patient allocated to low risk of distant recurrence does not receive appropriate adjuvant chemotherapy, and a patient allocated to high risk of distant recurrence would receive adjuv</w:t>
      </w:r>
      <w:r>
        <w:t>ant chemotherapy unnecessarily.</w:t>
      </w:r>
    </w:p>
    <w:p w14:paraId="3FBA199C" w14:textId="77777777" w:rsidR="009B1F59" w:rsidRPr="00F715D1" w:rsidRDefault="009B1F59" w:rsidP="009B1F59">
      <w:pPr>
        <w:pStyle w:val="Heading1"/>
      </w:pPr>
      <w:r w:rsidRPr="00F715D1">
        <w:t>Comparative effectiveness</w:t>
      </w:r>
    </w:p>
    <w:p w14:paraId="6E389216" w14:textId="7B44EA67" w:rsidR="006F38A9" w:rsidRPr="00F002C7" w:rsidRDefault="006F38A9" w:rsidP="00F002C7">
      <w:pPr>
        <w:pStyle w:val="Comment"/>
        <w:spacing w:line="240" w:lineRule="auto"/>
        <w:rPr>
          <w:rFonts w:ascii="Times New Roman" w:hAnsi="Times New Roman" w:cs="Times New Roman"/>
          <w:i w:val="0"/>
          <w:color w:val="auto"/>
          <w:sz w:val="24"/>
          <w:szCs w:val="24"/>
        </w:rPr>
      </w:pPr>
      <w:r w:rsidRPr="00F645EE">
        <w:rPr>
          <w:rFonts w:ascii="Times New Roman" w:hAnsi="Times New Roman" w:cs="Times New Roman"/>
          <w:i w:val="0"/>
          <w:color w:val="auto"/>
          <w:sz w:val="24"/>
          <w:szCs w:val="24"/>
        </w:rPr>
        <w:t>The Critique considered that overall, there is adequate evidence to suggest that EndoPredict is prognostic of late distant recurrence, inconsistent evidence that it changes clinical management, and limited evidence that it could be utilised to determine which patients would benefit from chemotherapy in</w:t>
      </w:r>
      <w:r>
        <w:rPr>
          <w:rFonts w:ascii="Times New Roman" w:hAnsi="Times New Roman" w:cs="Times New Roman"/>
          <w:i w:val="0"/>
          <w:color w:val="auto"/>
          <w:sz w:val="24"/>
          <w:szCs w:val="24"/>
        </w:rPr>
        <w:t xml:space="preserve"> addition to endocrine therapy.</w:t>
      </w:r>
    </w:p>
    <w:p w14:paraId="131000DE" w14:textId="47644290" w:rsidR="006F38A9" w:rsidRDefault="006F38A9" w:rsidP="00F002C7">
      <w:pPr>
        <w:spacing w:after="240"/>
        <w:rPr>
          <w:szCs w:val="24"/>
        </w:rPr>
      </w:pPr>
      <w:r w:rsidRPr="008904A8">
        <w:rPr>
          <w:szCs w:val="24"/>
        </w:rPr>
        <w:t>No comparative effectiveness data were identified that could directly inform on the effectiveness of EndoPredict and subsequent treatment on overall survival, disease-free survival, metastases free survival, and quality of life in patients with HR+, HER2– primary breast cancer who are at intermediate clinical risk of distant recurrence.</w:t>
      </w:r>
    </w:p>
    <w:p w14:paraId="67FE0B14" w14:textId="77777777" w:rsidR="006F38A9" w:rsidRPr="008904A8" w:rsidRDefault="006F38A9" w:rsidP="006F38A9">
      <w:pPr>
        <w:rPr>
          <w:szCs w:val="24"/>
        </w:rPr>
      </w:pPr>
      <w:r>
        <w:rPr>
          <w:szCs w:val="24"/>
        </w:rPr>
        <w:t>Instead, the submission used a linked evidence approach by reporting on the following:</w:t>
      </w:r>
    </w:p>
    <w:p w14:paraId="17FBF495" w14:textId="77777777" w:rsidR="006F38A9" w:rsidRPr="00B03C70" w:rsidRDefault="006F38A9" w:rsidP="006F38A9">
      <w:pPr>
        <w:pStyle w:val="Bullet"/>
        <w:spacing w:line="240" w:lineRule="auto"/>
        <w:ind w:left="426" w:hanging="426"/>
        <w:rPr>
          <w:rFonts w:ascii="Times New Roman" w:hAnsi="Times New Roman" w:cs="Times New Roman"/>
          <w:sz w:val="24"/>
          <w:szCs w:val="24"/>
        </w:rPr>
      </w:pPr>
      <w:r w:rsidRPr="00B03C70">
        <w:rPr>
          <w:rFonts w:ascii="Times New Roman" w:hAnsi="Times New Roman" w:cs="Times New Roman"/>
          <w:sz w:val="24"/>
          <w:szCs w:val="24"/>
        </w:rPr>
        <w:t>The analytical performance of EndoPredict i.e. the reliability of testing within and between laboratories, protocols, operators and instruments.</w:t>
      </w:r>
    </w:p>
    <w:p w14:paraId="37E2A456" w14:textId="77777777" w:rsidR="006F38A9" w:rsidRPr="00B03C70" w:rsidRDefault="006F38A9" w:rsidP="006F38A9">
      <w:pPr>
        <w:pStyle w:val="Bullet"/>
        <w:spacing w:line="240" w:lineRule="auto"/>
        <w:ind w:left="426" w:hanging="426"/>
        <w:rPr>
          <w:rFonts w:ascii="Times New Roman" w:hAnsi="Times New Roman" w:cs="Times New Roman"/>
          <w:sz w:val="24"/>
          <w:szCs w:val="24"/>
        </w:rPr>
      </w:pPr>
      <w:r w:rsidRPr="00B03C70">
        <w:rPr>
          <w:rFonts w:ascii="Times New Roman" w:hAnsi="Times New Roman" w:cs="Times New Roman"/>
          <w:sz w:val="24"/>
          <w:szCs w:val="24"/>
        </w:rPr>
        <w:t xml:space="preserve">Prognostic accuracy of EndoPredict in comparison with the nominated comparators </w:t>
      </w:r>
    </w:p>
    <w:p w14:paraId="0CC75787" w14:textId="77777777" w:rsidR="006F38A9" w:rsidRPr="00B03C70" w:rsidRDefault="006F38A9" w:rsidP="006F38A9">
      <w:pPr>
        <w:pStyle w:val="Bullet"/>
        <w:spacing w:line="240" w:lineRule="auto"/>
        <w:ind w:left="426" w:hanging="426"/>
        <w:rPr>
          <w:rFonts w:ascii="Times New Roman" w:hAnsi="Times New Roman" w:cs="Times New Roman"/>
          <w:sz w:val="24"/>
          <w:szCs w:val="24"/>
        </w:rPr>
      </w:pPr>
      <w:r w:rsidRPr="00B03C70">
        <w:rPr>
          <w:rFonts w:ascii="Times New Roman" w:hAnsi="Times New Roman" w:cs="Times New Roman"/>
          <w:sz w:val="24"/>
          <w:szCs w:val="24"/>
        </w:rPr>
        <w:t>Therapeutic efficacy of EndoPredict in terms of the proportion of patients who receive ET with chemotherapy or ET alone compared to the nominated comparators.</w:t>
      </w:r>
    </w:p>
    <w:p w14:paraId="5675992D" w14:textId="77777777" w:rsidR="006F38A9" w:rsidRPr="00B03C70" w:rsidRDefault="006F38A9" w:rsidP="006F38A9">
      <w:pPr>
        <w:pStyle w:val="Bullet"/>
        <w:spacing w:line="240" w:lineRule="auto"/>
        <w:ind w:left="426" w:hanging="426"/>
        <w:rPr>
          <w:rFonts w:ascii="Times New Roman" w:hAnsi="Times New Roman" w:cs="Times New Roman"/>
          <w:sz w:val="24"/>
          <w:szCs w:val="24"/>
        </w:rPr>
      </w:pPr>
      <w:r w:rsidRPr="00B03C70">
        <w:rPr>
          <w:rFonts w:ascii="Times New Roman" w:hAnsi="Times New Roman" w:cs="Times New Roman"/>
          <w:sz w:val="24"/>
          <w:szCs w:val="24"/>
        </w:rPr>
        <w:t>Therapeutic effectiveness of using EndoPredict in terms of the proportion of patients who are either undertreated without chemotherapy or overtreated with chemotherapy when compared to current clinical practice.</w:t>
      </w:r>
    </w:p>
    <w:p w14:paraId="788249F5" w14:textId="77777777" w:rsidR="006F38A9" w:rsidRPr="00F51442" w:rsidRDefault="006F38A9" w:rsidP="006F38A9">
      <w:pPr>
        <w:pStyle w:val="Heading2"/>
      </w:pPr>
      <w:r w:rsidRPr="00F51442">
        <w:lastRenderedPageBreak/>
        <w:t>Analytical performance</w:t>
      </w:r>
    </w:p>
    <w:p w14:paraId="1FD54DBA" w14:textId="27EFC960" w:rsidR="006F38A9" w:rsidRPr="008904A8" w:rsidRDefault="006F38A9" w:rsidP="00F002C7">
      <w:pPr>
        <w:spacing w:after="240"/>
      </w:pPr>
      <w:r w:rsidRPr="008904A8">
        <w:t>Four studies relating to the analytical performance demonstrated EndoPredict has good precision and negligible laboratory-to-laboratory variation, indicating the test is suitable for decentralised testing in specialised molecular pathological laboratories instead of a reference laboratory.</w:t>
      </w:r>
    </w:p>
    <w:p w14:paraId="5513AB24" w14:textId="77777777" w:rsidR="006F38A9" w:rsidRDefault="006F38A9" w:rsidP="006F38A9">
      <w:pPr>
        <w:pStyle w:val="Heading2"/>
      </w:pPr>
      <w:r w:rsidRPr="00F51442">
        <w:t>Prognostic accuracy</w:t>
      </w:r>
    </w:p>
    <w:p w14:paraId="0DAC06ED" w14:textId="3779006F" w:rsidR="006F38A9" w:rsidRPr="00051FB0" w:rsidRDefault="006F38A9" w:rsidP="00F002C7">
      <w:pPr>
        <w:spacing w:after="240"/>
        <w:rPr>
          <w:szCs w:val="24"/>
        </w:rPr>
      </w:pPr>
      <w:r w:rsidRPr="00051FB0">
        <w:rPr>
          <w:szCs w:val="24"/>
        </w:rPr>
        <w:t>The main evidence for clinical validity was provided by retrospective analysis of three cohorts derived from four phase III R</w:t>
      </w:r>
      <w:r>
        <w:rPr>
          <w:szCs w:val="24"/>
        </w:rPr>
        <w:t xml:space="preserve">andomised </w:t>
      </w:r>
      <w:r w:rsidRPr="00051FB0">
        <w:rPr>
          <w:szCs w:val="24"/>
        </w:rPr>
        <w:t>C</w:t>
      </w:r>
      <w:r>
        <w:rPr>
          <w:szCs w:val="24"/>
        </w:rPr>
        <w:t xml:space="preserve">linical </w:t>
      </w:r>
      <w:r w:rsidRPr="00051FB0">
        <w:rPr>
          <w:szCs w:val="24"/>
        </w:rPr>
        <w:t>T</w:t>
      </w:r>
      <w:r>
        <w:rPr>
          <w:szCs w:val="24"/>
        </w:rPr>
        <w:t>rials (RCTs)</w:t>
      </w:r>
      <w:r w:rsidRPr="00051FB0">
        <w:rPr>
          <w:szCs w:val="24"/>
        </w:rPr>
        <w:t>: ABCSG-6, ASCBCSG-8, TransATAC</w:t>
      </w:r>
      <w:r>
        <w:rPr>
          <w:szCs w:val="24"/>
        </w:rPr>
        <w:t>, and GEICAM/9906.</w:t>
      </w:r>
    </w:p>
    <w:p w14:paraId="58DF9AA0" w14:textId="4A4C234D" w:rsidR="006F38A9" w:rsidRPr="00F002C7" w:rsidRDefault="006F38A9" w:rsidP="00F002C7">
      <w:pPr>
        <w:pStyle w:val="Bulletintro"/>
        <w:spacing w:after="240" w:line="240" w:lineRule="auto"/>
        <w:rPr>
          <w:rFonts w:ascii="Times New Roman" w:hAnsi="Times New Roman" w:cs="Times New Roman"/>
          <w:bCs/>
          <w:sz w:val="24"/>
          <w:szCs w:val="24"/>
        </w:rPr>
      </w:pPr>
      <w:r w:rsidRPr="00051FB0">
        <w:rPr>
          <w:rFonts w:ascii="Times New Roman" w:hAnsi="Times New Roman" w:cs="Times New Roman"/>
          <w:sz w:val="24"/>
          <w:szCs w:val="24"/>
        </w:rPr>
        <w:t xml:space="preserve">In ABCSG-6&amp;8, post-menopausal women with primary breast cancer were treated with tamoxifen only for five years or tamoxifen for two years followed by anastrozole for three years. </w:t>
      </w:r>
      <w:r w:rsidRPr="006F38A9">
        <w:rPr>
          <w:rStyle w:val="Strong"/>
          <w:rFonts w:ascii="Times New Roman" w:hAnsi="Times New Roman" w:cs="Times New Roman"/>
          <w:b w:val="0"/>
          <w:sz w:val="24"/>
          <w:szCs w:val="24"/>
        </w:rPr>
        <w:fldChar w:fldCharType="begin">
          <w:fldData xml:space="preserve">PEVuZE5vdGU+PENpdGU+PEF1dGhvcj5EdWJza3k8L0F1dGhvcj48WWVhcj4yMDEzPC9ZZWFyPjxS
ZWNOdW0+MzE8L1JlY051bT48RGlzcGxheVRleHQ+KER1YnNreSwgQnJhc2UsIGV0IGFsLiwgMjAx
MzsgRHVic2t5LCBGaWxpcGl0cywgZXQgYWwuLCAyMDEzOyBGaWxpcGl0cyBldCBhbC4sIDIwMTk7
IEZpbGlwaXRzIGV0IGFsLiwgMjAxMSk8L0Rpc3BsYXlUZXh0PjxyZWNvcmQ+PHJlYy1udW1iZXI+
MzE8L3JlYy1udW1iZXI+PGZvcmVpZ24ta2V5cz48a2V5IGFwcD0iRU4iIGRiLWlkPSI5ZXdkcHIy
NWY5NXNyZWVyczI3dmZlczM5dGZmdjV2ZHh6YXoiIHRpbWVzdGFtcD0iMTU2NTc0NzkwMiIgZ3Vp
ZD0iZjAxMDA3ZGItMGFmZS00YmM2LTlkZDAtYThlMTY3YTk3ZGI0Ij4zMTwva2V5PjwvZm9yZWln
bi1rZXlzPjxyZWYtdHlwZSBuYW1lPSJKb3VybmFsIEFydGljbGUiPjE3PC9yZWYtdHlwZT48Y29u
dHJpYnV0b3JzPjxhdXRob3JzPjxhdXRob3I+RHVic2t5LCBQLjwvYXV0aG9yPjxhdXRob3I+QnJh
c2UsIEouIEMuPC9hdXRob3I+PGF1dGhvcj5KYWtlc3osIFIuPC9hdXRob3I+PGF1dGhvcj5SdWRh
cywgTS48L2F1dGhvcj48YXV0aG9yPlNpbmdlciwgQy4gRi48L2F1dGhvcj48YXV0aG9yPkdyZWls
LCBSLjwvYXV0aG9yPjxhdXRob3I+RGlldHplLCBPLjwvYXV0aG9yPjxhdXRob3I+THVpc3Nlciwg
SS48L2F1dGhvcj48YXV0aG9yPktsdWcsIEUuPC9hdXRob3I+PGF1dGhvcj5TZWRpdnksIFIuPC9h
dXRob3I+PGF1dGhvcj5CYWNobmVyLCBNLjwvYXV0aG9yPjxhdXRob3I+TWF5ciwgRC48L2F1dGhv
cj48YXV0aG9yPlNjaG1pZHQsIE0uPC9hdXRob3I+PGF1dGhvcj5HZWhybWFubiwgTS4gQy48L2F1
dGhvcj48YXV0aG9yPlBldHJ5LCBDLjwvYXV0aG9yPjxhdXRob3I+V2ViZXIsIEsuIEUuPC9hdXRo
b3I+PGF1dGhvcj5GaXNjaCwgSy48L2F1dGhvcj48YXV0aG9yPktyb25lbndldHQsIFIuPC9hdXRo
b3I+PGF1dGhvcj5HbmFudCwgTS48L2F1dGhvcj48YXV0aG9yPkZpbGlwaXRzLCBNLjwvYXV0aG9y
PjxhdXRob3I+QXVzdHJpYW4sIEJyZWFzdDwvYXV0aG9yPjxhdXRob3I+Q29sb3JlY3RhbCBDYW5j
ZXIgU3R1ZHksIEdyb3VwPC9hdXRob3I+PC9hdXRob3JzPjwvY29udHJpYnV0b3JzPjxhdXRoLWFk
ZHJlc3M+RGVwYXJ0bWVudCBvZiBTdXJnZXJ5IGFuZCBDb21wcmVoZW5zaXZlIENhbmNlciBDZW50
ZXIsIE1lZGljYWwgVW5pdmVyc2l0eSBWaWVubmEsIFZpZW5uYSwgQXVzdHJpYS48L2F1dGgtYWRk
cmVzcz48dGl0bGVzPjx0aXRsZT5UaGUgRW5kb1ByZWRpY3Qgc2NvcmUgcHJvdmlkZXMgcHJvZ25v
c3RpYyBpbmZvcm1hdGlvbiBvbiBsYXRlIGRpc3RhbnQgbWV0YXN0YXNlcyBpbiBFUisvSEVSMi0g
YnJlYXN0IGNhbmNlciBwYXRpZW50czwvdGl0bGU+PHNlY29uZGFyeS10aXRsZT5CciBKIENhbmNl
cjwvc2Vjb25kYXJ5LXRpdGxlPjwvdGl0bGVzPjxwZXJpb2RpY2FsPjxmdWxsLXRpdGxlPkJyIEog
Q2FuY2VyPC9mdWxsLXRpdGxlPjwvcGVyaW9kaWNhbD48cGFnZXM+Mjk1OS02NDwvcGFnZXM+PHZv
bHVtZT4xMDk8L3ZvbHVtZT48bnVtYmVyPjEyPC9udW1iZXI+PGtleXdvcmRzPjxrZXl3b3JkPkFu
YXN0cm96b2xlPC9rZXl3b3JkPjxrZXl3b3JkPkFudGluZW9wbGFzdGljIEFnZW50cywgSG9ybW9u
YWwvYWRtaW5pc3RyYXRpb24gJmFtcDsgZG9zYWdlL3RoZXJhcGV1dGljIHVzZTwva2V5d29yZD48
a2V5d29yZD5BbnRpbmVvcGxhc3RpYyBDb21iaW5lZCBDaGVtb3RoZXJhcHkgUHJvdG9jb2xzL2Fk
bWluaXN0cmF0aW9uICZhbXA7IGRvc2FnZTwva2V5d29yZD48a2V5d29yZD5CcmVhc3QgTmVvcGxh
c21zL2RydWcgdGhlcmFweS9nZW5ldGljcy8qbWV0YWJvbGlzbS8qcGF0aG9sb2d5PC9rZXl3b3Jk
PjxrZXl3b3JkPkNlbGwgRGlmZmVyZW50aWF0aW9uL3BoeXNpb2xvZ3k8L2tleXdvcmQ+PGtleXdv
cmQ+Q2VsbCBHcm93dGggUHJvY2Vzc2VzL3BoeXNpb2xvZ3k8L2tleXdvcmQ+PGtleXdvcmQ+Q2xp
bmljYWwgVHJpYWxzLCBQaGFzZSBJSUkgYXMgVG9waWM8L2tleXdvcmQ+PGtleXdvcmQ+RmVtYWxl
PC9rZXl3b3JkPjxrZXl3b3JkPkdlbmUgRXhwcmVzc2lvbiBQcm9maWxpbmc8L2tleXdvcmQ+PGtl
eXdvcmQ+SHVtYW5zPC9rZXl3b3JkPjxrZXl3b3JkPk5lb3BsYXNtIE1ldGFzdGFzaXM8L2tleXdv
cmQ+PGtleXdvcmQ+TmVvcGxhc20gUmVjdXJyZW5jZSwgTG9jYWwvZHJ1ZyB0aGVyYXB5L2dlbmV0
aWNzL21ldGFib2xpc20vcGF0aG9sb2d5PC9rZXl3b3JkPjxrZXl3b3JkPk5pdHJpbGVzL2FkbWlu
aXN0cmF0aW9uICZhbXA7IGRvc2FnZTwva2V5d29yZD48a2V5d29yZD5Qcm9nbm9zaXM8L2tleXdv
cmQ+PGtleXdvcmQ+UHJvcG9ydGlvbmFsIEhhemFyZHMgTW9kZWxzPC9rZXl3b3JkPjxrZXl3b3Jk
PlJhbmRvbWl6ZWQgQ29udHJvbGxlZCBUcmlhbHMgYXMgVG9waWM8L2tleXdvcmQ+PGtleXdvcmQ+
UmVjZXB0b3IsIEVyYkItMi8qYmlvc3ludGhlc2lzL2dlbmV0aWNzL21ldGFib2xpc208L2tleXdv
cmQ+PGtleXdvcmQ+UmVjZXB0b3JzLCBFc3Ryb2dlbi8qYmlvc3ludGhlc2lzL2dlbmV0aWNzL21l
dGFib2xpc208L2tleXdvcmQ+PGtleXdvcmQ+UmV0cm9zcGVjdGl2ZSBTdHVkaWVzPC9rZXl3b3Jk
PjxrZXl3b3JkPlNpZ25hbCBUcmFuc2R1Y3Rpb248L2tleXdvcmQ+PGtleXdvcmQ+VGFtb3hpZmVu
L2FkbWluaXN0cmF0aW9uICZhbXA7IGRvc2FnZS90aGVyYXBldXRpYyB1c2U8L2tleXdvcmQ+PGtl
eXdvcmQ+VHJlYXRtZW50IE91dGNvbWU8L2tleXdvcmQ+PGtleXdvcmQ+VHJpYXpvbGVzL2FkbWlu
aXN0cmF0aW9uICZhbXA7IGRvc2FnZTwva2V5d29yZD48L2tleXdvcmRzPjxkYXRlcz48eWVhcj4y
MDEzPC95ZWFyPjxwdWItZGF0ZXM+PGRhdGU+RGVjIDEwPC9kYXRlPjwvcHViLWRhdGVzPjwvZGF0
ZXM+PGlzYm4+MTUzMi0xODI3IChFbGVjdHJvbmljKSYjeEQ7MDAwNy0wOTIwIChMaW5raW5nKTwv
aXNibj48YWNjZXNzaW9uLW51bT4yNDE1NzgyODwvYWNjZXNzaW9uLW51bT48dXJscz48cmVsYXRl
ZC11cmxzPjx1cmw+aHR0cHM6Ly93d3cubmNiaS5ubG0ubmloLmdvdi9wdWJtZWQvMjQxNTc4Mjg8
L3VybD48L3JlbGF0ZWQtdXJscz48L3VybHM+PGN1c3RvbTI+UE1DMzg1OTk0OTwvY3VzdG9tMj48
ZWxlY3Ryb25pYy1yZXNvdXJjZS1udW0+MTAuMTAzOC9iamMuMjAxMy42NzE8L2VsZWN0cm9uaWMt
cmVzb3VyY2UtbnVtPjwvcmVjb3JkPjwvQ2l0ZT48Q2l0ZT48QXV0aG9yPkR1YnNreTwvQXV0aG9y
PjxZZWFyPjIwMTM8L1llYXI+PFJlY051bT4yNDwvUmVjTnVtPjxyZWNvcmQ+PHJlYy1udW1iZXI+
MjQ8L3JlYy1udW1iZXI+PGZvcmVpZ24ta2V5cz48a2V5IGFwcD0iRU4iIGRiLWlkPSI5ZXdkcHIy
NWY5NXNyZWVyczI3dmZlczM5dGZmdjV2ZHh6YXoiIHRpbWVzdGFtcD0iMTU2NTc0NzkwMiIgZ3Vp
ZD0iMDkzYWMxNzYtMWZjMC00MDE1LWE4NGItMDRiNjBmNTA0MzI5Ij4yNDwva2V5PjwvZm9yZWln
bi1rZXlzPjxyZWYtdHlwZSBuYW1lPSJKb3VybmFsIEFydGljbGUiPjE3PC9yZWYtdHlwZT48Y29u
dHJpYnV0b3JzPjxhdXRob3JzPjxhdXRob3I+RHVic2t5LCBQLjwvYXV0aG9yPjxhdXRob3I+Rmls
aXBpdHMsIE0uPC9hdXRob3I+PGF1dGhvcj5KYWtlc3osIFIuPC9hdXRob3I+PGF1dGhvcj5SdWRh
cywgTS48L2F1dGhvcj48YXV0aG9yPlNpbmdlciwgQy4gRi48L2F1dGhvcj48YXV0aG9yPkdyZWls
LCBSLjwvYXV0aG9yPjxhdXRob3I+RGlldHplLCBPLjwvYXV0aG9yPjxhdXRob3I+THVpc3Nlciwg
SS48L2F1dGhvcj48YXV0aG9yPktsdWcsIEUuPC9hdXRob3I+PGF1dGhvcj5TZWRpdnksIFIuPC9h
dXRob3I+PGF1dGhvcj5CYWNobmVyLCBNLjwvYXV0aG9yPjxhdXRob3I+TWF5ciwgRC48L2F1dGhv
cj48YXV0aG9yPlNjaG1pZHQsIE0uPC9hdXRob3I+PGF1dGhvcj5HZWhybWFubiwgTS4gQy48L2F1
dGhvcj48YXV0aG9yPlBldHJ5LCBDLjwvYXV0aG9yPjxhdXRob3I+V2ViZXIsIEsuIEUuPC9hdXRo
b3I+PGF1dGhvcj5Lcm9uZW53ZXR0LCBSLjwvYXV0aG9yPjxhdXRob3I+QnJhc2UsIEouIEMuPC9h
dXRob3I+PGF1dGhvcj5HbmFudCwgTS48L2F1dGhvcj48YXV0aG9yPkF1c3RyaWFuLCBCcmVhc3Q8
L2F1dGhvcj48YXV0aG9yPkNvbG9yZWN0YWwgQ2FuY2VyIFN0dWR5LCBHcm91cDwvYXV0aG9yPjwv
YXV0aG9ycz48L2NvbnRyaWJ1dG9ycz48YXV0aC1hZGRyZXNzPkR1YnNreSwgUC4gRGVwYXJ0bWVu
dHMgb2YgU3VyZ2VyeSwgTWVkaWNhbCBVbml2ZXJzaXR5IFZpZW5uYSwgQS0xMDkwIFZpZW5uYSwg
QXVzdHJpYS4gcGV0ZXIuZHVic2t5QG1lZHVuaXdpZW4uYWMuYXQ8L2F1dGgtYWRkcmVzcz48dGl0
bGVzPjx0aXRsZT5FbmRvUHJlZGljdCBpbXByb3ZlcyB0aGUgcHJvZ25vc3RpYyBjbGFzc2lmaWNh
dGlvbiBkZXJpdmVkIGZyb20gY29tbW9uIGNsaW5pY2FsIGd1aWRlbGluZXMgaW4gRVItcG9zaXRp
dmUsIEhFUjItbmVnYXRpdmUgZWFybHkgYnJlYXN0IGNhbmNlcjwvdGl0bGU+PHNlY29uZGFyeS10
aXRsZT5Bbm5hbHMgb2YgT25jb2xvZ3k8L3NlY29uZGFyeS10aXRsZT48YWx0LXRpdGxlPkFubiBP
bmNvbDwvYWx0LXRpdGxlPjwvdGl0bGVzPjxwZXJpb2RpY2FsPjxmdWxsLXRpdGxlPkFubmFscyBv
ZiBPbmNvbG9neTwvZnVsbC10aXRsZT48L3BlcmlvZGljYWw+PGFsdC1wZXJpb2RpY2FsPjxmdWxs
LXRpdGxlPkFubiBPbmNvbDwvZnVsbC10aXRsZT48YWJici0xPkFubmFscyBvZiBvbmNvbG9neSA6
IG9mZmljaWFsIGpvdXJuYWwgb2YgdGhlIEV1cm9wZWFuIFNvY2lldHkgZm9yIE1lZGljYWwgT25j
b2xvZ3k8L2FiYnItMT48L2FsdC1wZXJpb2RpY2FsPjxwYWdlcz42NDAtNzwvcGFnZXM+PHZvbHVt
ZT4yNDwvdm9sdW1lPjxudW1iZXI+MzwvbnVtYmVyPjxrZXl3b3Jkcz48a2V5d29yZD5BbmFzdHJv
em9sZTwva2V5d29yZD48a2V5d29yZD5BbnRpbmVvcGxhc3RpYyBBZ2VudHMsIEhvcm1vbmFsL2Fk
IFtBZG1pbmlzdHJhdGlvbiAmYW1wOyBEb3NhZ2VdPC9rZXl3b3JkPjxrZXl3b3JkPipBbnRpbmVv
cGxhc3RpYyBDb21iaW5lZCBDaGVtb3RoZXJhcHkgUHJvdG9jb2xzL3R1IFtUaGVyYXBldXRpYyBV
c2VdPC9rZXl3b3JkPjxrZXl3b3JkPkJyZWFzdCBOZW9wbGFzbXMvY2wgW0NsYXNzaWZpY2F0aW9u
XTwva2V5d29yZD48a2V5d29yZD4qQnJlYXN0IE5lb3BsYXNtcy9kaSBbRGlhZ25vc2lzXTwva2V5
d29yZD48a2V5d29yZD5CcmVhc3QgTmVvcGxhc21zL2R0IFtEcnVnIFRoZXJhcHldPC9rZXl3b3Jk
PjxrZXl3b3JkPkJyZWFzdCBOZW9wbGFzbXMvbW8gW01vcnRhbGl0eV08L2tleXdvcmQ+PGtleXdv
cmQ+Q2hlbW90aGVyYXB5LCBBZGp1dmFudDwva2V5d29yZD48a2V5d29yZD5EaXNlYXNlLUZyZWUg
U3Vydml2YWw8L2tleXdvcmQ+PGtleXdvcmQ+RmVtYWxlPC9rZXl3b3JkPjxrZXl3b3JkPkh1bWFu
czwva2V5d29yZD48a2V5d29yZD5LYXBsYW4tTWVpZXIgRXN0aW1hdGU8L2tleXdvcmQ+PGtleXdv
cmQ+TWlkZGxlIEFnZWQ8L2tleXdvcmQ+PGtleXdvcmQ+Tml0cmlsZXMvYWQgW0FkbWluaXN0cmF0
aW9uICZhbXA7IERvc2FnZV08L2tleXdvcmQ+PGtleXdvcmQ+UHJhY3RpY2UgR3VpZGVsaW5lcyBh
cyBUb3BpYzwva2V5d29yZD48a2V5d29yZD5Qcm9nbm9zaXM8L2tleXdvcmQ+PGtleXdvcmQ+KlJl
Y2VwdG9yLCBFcmJCLTIvbWUgW01ldGFib2xpc21dPC9rZXl3b3JkPjxrZXl3b3JkPipSZWNlcHRv
cnMsIEVzdHJvZ2VuL21lIFtNZXRhYm9saXNtXTwva2V5d29yZD48a2V5d29yZD5SZXRyb3NwZWN0
aXZlIFN0dWRpZXM8L2tleXdvcmQ+PGtleXdvcmQ+UmlzayBBc3Nlc3NtZW50PC9rZXl3b3JkPjxr
ZXl3b3JkPlRhbW94aWZlbi9hZCBbQWRtaW5pc3RyYXRpb24gJmFtcDsgRG9zYWdlXTwva2V5d29y
ZD48a2V5d29yZD5UcmVhdG1lbnQgT3V0Y29tZTwva2V5d29yZD48a2V5d29yZD5Ucmlhem9sZXMv
YWQgW0FkbWluaXN0cmF0aW9uICZhbXA7IERvc2FnZV08L2tleXdvcmQ+PC9rZXl3b3Jkcz48ZGF0
ZXM+PHllYXI+MjAxMzwveWVhcj48cHViLWRhdGVzPjxkYXRlPk1hcjwvZGF0ZT48L3B1Yi1kYXRl
cz48L2RhdGVzPjxpc2JuPjE1NjktODA0MTwvaXNibj48YWNjZXNzaW9uLW51bT4yMzAzNTE1MTwv
YWNjZXNzaW9uLW51bT48dXJscz48L3VybHM+PGxhbmd1YWdlPkVuZ2xpc2g8L2xhbmd1YWdlPjwv
cmVjb3JkPjwvQ2l0ZT48Q2l0ZT48QXV0aG9yPkZpbGlwaXRzPC9BdXRob3I+PFllYXI+MjAxOTwv
WWVhcj48UmVjTnVtPjQ8L1JlY051bT48cmVjb3JkPjxyZWMtbnVtYmVyPjQ8L3JlYy1udW1iZXI+
PGZvcmVpZ24ta2V5cz48a2V5IGFwcD0iRU4iIGRiLWlkPSI5ZXdkcHIyNWY5NXNyZWVyczI3dmZl
czM5dGZmdjV2ZHh6YXoiIHRpbWVzdGFtcD0iMTU2NTc0NzkwMSIgZ3VpZD0iMzMzODUwMWQtMDU5
Ny00ZmY3LThiNDEtNThiMWVhZTNhYzA3Ij40PC9rZXk+PC9mb3JlaWduLWtleXM+PHJlZi10eXBl
IG5hbWU9IkpvdXJuYWwgQXJ0aWNsZSI+MTc8L3JlZi10eXBlPjxjb250cmlidXRvcnM+PGF1dGhv
cnM+PGF1dGhvcj5GaWxpcGl0cywgTS48L2F1dGhvcj48YXV0aG9yPkR1YnNreSwgUC48L2F1dGhv
cj48YXV0aG9yPlJ1ZGFzLCBNLjwvYXV0aG9yPjxhdXRob3I+R3JlaWwsIFIuPC9hdXRob3I+PGF1
dGhvcj5CYWxpYywgTS48L2F1dGhvcj48YXV0aG9yPkJhZ28tSG9ydmF0aCwgWi48L2F1dGhvcj48
YXV0aG9yPlNpbmdlciwgQy4gRi48L2F1dGhvcj48YXV0aG9yPkhsYXVzY2hlaywgRC48L2F1dGhv
cj48YXV0aG9yPkJyb3duLCBLLjwvYXV0aG9yPjxhdXRob3I+QmVybmhpc2VsLCBSLjwvYXV0aG9y
PjxhdXRob3I+S3JvbmVud2V0dCwgUi48L2F1dGhvcj48YXV0aG9yPkxhbmNhc3RlciwgSi4gTS48
L2F1dGhvcj48YXV0aG9yPkZpdHphbCwgRi48L2F1dGhvcj48YXV0aG9yPkduYW50LCBNLjwvYXV0
aG9yPjwvYXV0aG9ycz48L2NvbnRyaWJ1dG9ycz48YXV0aC1hZGRyZXNzPkluc3RpdHV0ZSBvZiBD
YW5jZXIgUmVzZWFyY2gsIERlcGFydG1lbnQgb2YgTWVkaWNpbmUgSSwgQnJlYXN0IEhlYWx0aCBD
ZW50ZXIgYW5kIENvbXByZWhlbnNpdmUgQ2FuY2VyIENlbnRlciwgTWVkaWNhbCBVbml2ZXJzaXR5
IG9mIFZpZW5uYSwgVmllbm5hLCBBdXN0cmlhLiBtYXJ0aW4uZmlsaXBpdHNAbWVkdW5pd2llbi5h
Yy5hdC4mI3hEO0tsaW5payBTdC4gQW5uYSwgQnJlYXN0IENlbnRlciwgTHV6ZXJuLCBTd2l0emVy
bGFuZC4mI3hEO0luc3RpdHV0ZSBvZiBDYW5jZXIgUmVzZWFyY2gsIERlcGFydG1lbnQgb2YgTWVk
aWNpbmUgSSwgQnJlYXN0IEhlYWx0aCBDZW50ZXIgYW5kIENvbXByZWhlbnNpdmUgQ2FuY2VyIENl
bnRlciwgTWVkaWNhbCBVbml2ZXJzaXR5IG9mIFZpZW5uYSwgVmllbm5hLCBBdXN0cmlhLiYjeEQ7
SUlJIE1lZGljYWwgRGVwYXJ0bWVudCwgU2FsemJ1cmcgQ2FuY2VyIFJlc2VhcmNoIEluc3RpdHV0
ZSwgQ2FuY2VyIENsdXN0ZXIgU2FsemJ1cmcsIFBhcmFjZWxzdXMgTWVkaWNhbCBVbml2ZXJzaXR5
IFNhbHpidXJnLCBTYWx6YnVyZywgQXVzdHJpYS4mI3hEO0RlcGFydG1lbnQgb2YgSW50ZXJuYWwg
TWVkaWNpbmUsIERpdmlzaW9uIG9mIE9uY29sb2d5LCBNZWRpY2FsIFVuaXZlcnNpdHkgR3Jheiwg
R3JheiwgQXVzdHJpYS4mI3hEO0RlcGFydG1lbnQgb2YgUGF0aG9sb2d5LCBDb21wcmVoZW5zaXZl
IENhbmNlciBDZW50ZXIsIE1lZGljYWwgVW5pdmVyc2l0eSBvZiBWaWVubmEsIFZpZW5uYSwgQXVz
dHJpYS4mI3hEO0RlcGFydG1lbnQgb2YgR3luZWNvbG9neSwgQnJlYXN0IEhlYWx0aCBDZW50ZXIg
YW5kIENvbXByZWhlbnNpdmUgQ2FuY2VyIENlbnRlciwgTWVkaWNhbCBVbml2ZXJzaXR5IG9mIFZp
ZW5uYSwgVmllbm5hLCBBdXN0cmlhLiYjeEQ7Q2xpbmljYWwgU3RhdGlzdGljcywgQXVzdHJpYW4g
QnJlYXN0IGFuZCBDb2xvcmVjdGFsIENhbmNlciBTdHVkeSBHcm91cCwgVmllbm5hLCBBdXN0cmlh
LiYjeEQ7TXlyaWFkIEdlbmV0aWNzLCBJbmMuLCBTYWx0IExha2UgQ2l0eSwgVXRhaC4mI3hEO015
cmlhZCBJbnRlcm5hdGlvbmFsIEdtYkgsIENvbG9nbmUsIEdlcm1hbnkuJiN4RDtEZXBhcnRtZW50
IG9mIFN1cmdlcnksIE1lZGljYWwgVW5pdmVyc2l0eSBWaWVubmEsIFZpZW5uYSwgQXVzdHJpYS48
L2F1dGgtYWRkcmVzcz48dGl0bGVzPjx0aXRsZT5QcmVkaWN0aW9uIG9mIERpc3RhbnQgUmVjdXJy
ZW5jZSBVc2luZyBFbmRvUHJlZGljdCBBbW9uZyBXb21lbiB3aXRoIEVSKCspLCBIRVIyKC0pIE5v
ZGUtUG9zaXRpdmUgYW5kIE5vZGUtTmVnYXRpdmUgQnJlYXN0IENhbmNlciBUcmVhdGVkIHdpdGgg
RW5kb2NyaW5lIFRoZXJhcHkgT25seTwvdGl0bGU+PHNlY29uZGFyeS10aXRsZT5DbGluIENhbmNl
ciBSZXM8L3NlY29uZGFyeS10aXRsZT48L3RpdGxlcz48cGVyaW9kaWNhbD48ZnVsbC10aXRsZT5D
bGluIENhbmNlciBSZXM8L2Z1bGwtdGl0bGU+PC9wZXJpb2RpY2FsPjxwYWdlcz4zODY1LTM4NzI8
L3BhZ2VzPjx2b2x1bWU+MjU8L3ZvbHVtZT48bnVtYmVyPjEzPC9udW1iZXI+PGRhdGVzPjx5ZWFy
PjIwMTk8L3llYXI+PHB1Yi1kYXRlcz48ZGF0ZT5KdWwgMTwvZGF0ZT48L3B1Yi1kYXRlcz48L2Rh
dGVzPjxpc2JuPjEwNzgtMDQzMiAoUHJpbnQpJiN4RDsxMDc4LTA0MzIgKExpbmtpbmcpPC9pc2Ju
PjxhY2Nlc3Npb24tbnVtPjMxMDY0NzgyPC9hY2Nlc3Npb24tbnVtPjx1cmxzPjxyZWxhdGVkLXVy
bHM+PHVybD5odHRwczovL3d3dy5uY2JpLm5sbS5uaWguZ292L3B1Ym1lZC8zMTA2NDc4MjwvdXJs
PjwvcmVsYXRlZC11cmxzPjwvdXJscz48ZWxlY3Ryb25pYy1yZXNvdXJjZS1udW0+MTAuMTE1OC8x
MDc4LTA0MzIuQ0NSLTE5LTAzNzY8L2VsZWN0cm9uaWMtcmVzb3VyY2UtbnVtPjwvcmVjb3JkPjwv
Q2l0ZT48Q2l0ZT48QXV0aG9yPkZpbGlwaXRzPC9BdXRob3I+PFllYXI+MjAxMTwvWWVhcj48UmVj
TnVtPjI4PC9SZWNOdW0+PHJlY29yZD48cmVjLW51bWJlcj4yODwvcmVjLW51bWJlcj48Zm9yZWln
bi1rZXlzPjxrZXkgYXBwPSJFTiIgZGItaWQ9Ijlld2RwcjI1Zjk1c3JlZXJzMjd2ZmVzMzl0ZmZ2
NXZkeHpheiIgdGltZXN0YW1wPSIxNTY1NzQ3OTAyIiBndWlkPSI3ZDQwN2NiYy01ZTEyLTRjYzEt
YTU1ZS1kZWMwMmM4ODBhM2QiPjI4PC9rZXk+PC9mb3JlaWduLWtleXM+PHJlZi10eXBlIG5hbWU9
IkpvdXJuYWwgQXJ0aWNsZSI+MTc8L3JlZi10eXBlPjxjb250cmlidXRvcnM+PGF1dGhvcnM+PGF1
dGhvcj5GaWxpcGl0cywgTS48L2F1dGhvcj48YXV0aG9yPlJ1ZGFzLCBNLjwvYXV0aG9yPjxhdXRo
b3I+SmFrZXN6LCBSLjwvYXV0aG9yPjxhdXRob3I+RHVic2t5LCBQLjwvYXV0aG9yPjxhdXRob3I+
Rml0emFsLCBGLjwvYXV0aG9yPjxhdXRob3I+U2luZ2VyLCBDLiBGLjwvYXV0aG9yPjxhdXRob3I+
RGlldHplLCBPLjwvYXV0aG9yPjxhdXRob3I+R3JlaWwsIFIuPC9hdXRob3I+PGF1dGhvcj5KZWxl
biwgQS48L2F1dGhvcj48YXV0aG9yPlNldmVsZGEsIFAuPC9hdXRob3I+PGF1dGhvcj5GcmVpYmF1
ZXIsIEMuPC9hdXRob3I+PGF1dGhvcj5NdWxsZXIsIFYuPC9hdXRob3I+PGF1dGhvcj5KYW5pY2tl
LCBGLjwvYXV0aG9yPjxhdXRob3I+U2NobWlkdCwgTS48L2F1dGhvcj48YXV0aG9yPktvbGJsLCBI
LjwvYXV0aG9yPjxhdXRob3I+Um9keSwgQS48L2F1dGhvcj48YXV0aG9yPkthdWZtYW5uLCBNLjwv
YXV0aG9yPjxhdXRob3I+U2Nocm90aCwgVy48L2F1dGhvcj48YXV0aG9yPkJyYXVjaCwgSC48L2F1
dGhvcj48YXV0aG9yPlNjaHdhYiwgTS48L2F1dGhvcj48YXV0aG9yPkZyaXR6LCBQLjwvYXV0aG9y
PjxhdXRob3I+V2ViZXIsIEsuIEUuPC9hdXRob3I+PGF1dGhvcj5GZWRlciwgSS4gUy48L2F1dGhv
cj48YXV0aG9yPkhlbm5pZywgRy48L2F1dGhvcj48YXV0aG9yPktyb25lbndldHQsIFIuPC9hdXRo
b3I+PGF1dGhvcj5HZWhybWFubiwgTS48L2F1dGhvcj48YXV0aG9yPkduYW50LCBNLjwvYXV0aG9y
PjxhdXRob3I+RS4gUC4gSW52ZXN0aWdhdG9yczwvYXV0aG9yPjwvYXV0aG9ycz48L2NvbnRyaWJ1
dG9ycz48YXV0aC1hZGRyZXNzPkZpbGlwaXRzLCBNYXJ0aW4uIERlcGFydG1lbnQgb2YgTWVkaWNp
bmUgSSwgTWVkaWNhbCBVbml2ZXJzaXR5IG9mIFZpZW5uYSwgR2VybWFueS4gbWFydGluLmZpbGlw
aXRzQG1lZHVuaXdpZW4uYWMuYXQ8L2F1dGgtYWRkcmVzcz48dGl0bGVzPjx0aXRsZT5BIG5ldyBt
b2xlY3VsYXIgcHJlZGljdG9yIG9mIGRpc3RhbnQgcmVjdXJyZW5jZSBpbiBFUi1wb3NpdGl2ZSwg
SEVSMi1uZWdhdGl2ZSBicmVhc3QgY2FuY2VyIGFkZHMgaW5kZXBlbmRlbnQgaW5mb3JtYXRpb24g
dG8gY29udmVudGlvbmFsIGNsaW5pY2FsIHJpc2sgZmFjdG9yczwvdGl0bGU+PHNlY29uZGFyeS10
aXRsZT5DbGluaWNhbCBDYW5jZXIgUmVzZWFyY2g8L3NlY29uZGFyeS10aXRsZT48YWx0LXRpdGxl
PkNsaW4gQ2FuY2VyIFJlczwvYWx0LXRpdGxlPjwvdGl0bGVzPjxhbHQtcGVyaW9kaWNhbD48ZnVs
bC10aXRsZT5DbGluIENhbmNlciBSZXM8L2Z1bGwtdGl0bGU+PC9hbHQtcGVyaW9kaWNhbD48cGFn
ZXM+NjAxMi0yMDwvcGFnZXM+PHZvbHVtZT4xNzwvdm9sdW1lPjxudW1iZXI+MTg8L251bWJlcj48
a2V5d29yZHM+PGtleXdvcmQ+QnJlYXN0IE5lb3BsYXNtcy9nZSBbR2VuZXRpY3NdPC9rZXl3b3Jk
PjxrZXl3b3JkPkJyZWFzdCBOZW9wbGFzbXMvbW8gW01vcnRhbGl0eV08L2tleXdvcmQ+PGtleXdv
cmQ+KkJyZWFzdCBOZW9wbGFzbXMvcGEgW1BhdGhvbG9neV08L2tleXdvcmQ+PGtleXdvcmQ+RmVt
YWxlPC9rZXl3b3JkPjxrZXl3b3JkPkdlbmUgRXhwcmVzc2lvbiBQcm9maWxpbmcvbXQgW01ldGhv
ZHNdPC9rZXl3b3JkPjxrZXl3b3JkPkh1bWFuczwva2V5d29yZD48a2V5d29yZD5LYXBsYW4tTWVp
ZXIgRXN0aW1hdGU8L2tleXdvcmQ+PGtleXdvcmQ+TmVvcGxhc20gTWV0YXN0YXNpczwva2V5d29y
ZD48a2V5d29yZD5Qcm9nbm9zaXM8L2tleXdvcmQ+PGtleXdvcmQ+UHJvcG9ydGlvbmFsIEhhemFy
ZHMgTW9kZWxzPC9rZXl3b3JkPjxrZXl3b3JkPipSZWNlcHRvciwgRXJiQi0yL2dlIFtHZW5ldGlj
c108L2tleXdvcmQ+PGtleXdvcmQ+KlJlY2VwdG9ycywgRXN0cm9nZW4vZ2UgW0dlbmV0aWNzXTwv
a2V5d29yZD48a2V5d29yZD5SZXByb2R1Y2liaWxpdHkgb2YgUmVzdWx0czwva2V5d29yZD48a2V5
d29yZD5SaXNrIEZhY3RvcnM8L2tleXdvcmQ+PC9rZXl3b3Jkcz48ZGF0ZXM+PHllYXI+MjAxMTwv
eWVhcj48cHViLWRhdGVzPjxkYXRlPlNlcCAxNTwvZGF0ZT48L3B1Yi1kYXRlcz48L2RhdGVzPjxp
c2JuPjEwNzgtMDQzMjwvaXNibj48YWNjZXNzaW9uLW51bT4yMTgwNzYzODwvYWNjZXNzaW9uLW51
bT48d29yay10eXBlPlJlc2VhcmNoIFN1cHBvcnQsIE5vbi1VLlMuIEdvdiZhcG9zO3Q8L3dvcmst
dHlwZT48dXJscz48L3VybHM+PGxhbmd1YWdlPkVuZ2xpc2g8L2xhbmd1YWdlPjwvcmVjb3JkPjwv
Q2l0ZT48L0VuZE5vdGU+AG==
</w:fldData>
        </w:fldChar>
      </w:r>
      <w:r w:rsidRPr="006F38A9">
        <w:rPr>
          <w:rStyle w:val="Strong"/>
          <w:rFonts w:ascii="Times New Roman" w:hAnsi="Times New Roman" w:cs="Times New Roman"/>
          <w:b w:val="0"/>
          <w:sz w:val="24"/>
          <w:szCs w:val="24"/>
        </w:rPr>
        <w:instrText xml:space="preserve"> ADDIN EN.CITE </w:instrText>
      </w:r>
      <w:r w:rsidRPr="006F38A9">
        <w:rPr>
          <w:rStyle w:val="Strong"/>
          <w:rFonts w:ascii="Times New Roman" w:hAnsi="Times New Roman" w:cs="Times New Roman"/>
          <w:b w:val="0"/>
          <w:sz w:val="24"/>
          <w:szCs w:val="24"/>
        </w:rPr>
        <w:fldChar w:fldCharType="begin">
          <w:fldData xml:space="preserve">PEVuZE5vdGU+PENpdGU+PEF1dGhvcj5EdWJza3k8L0F1dGhvcj48WWVhcj4yMDEzPC9ZZWFyPjxS
ZWNOdW0+MzE8L1JlY051bT48RGlzcGxheVRleHQ+KER1YnNreSwgQnJhc2UsIGV0IGFsLiwgMjAx
MzsgRHVic2t5LCBGaWxpcGl0cywgZXQgYWwuLCAyMDEzOyBGaWxpcGl0cyBldCBhbC4sIDIwMTk7
IEZpbGlwaXRzIGV0IGFsLiwgMjAxMSk8L0Rpc3BsYXlUZXh0PjxyZWNvcmQ+PHJlYy1udW1iZXI+
MzE8L3JlYy1udW1iZXI+PGZvcmVpZ24ta2V5cz48a2V5IGFwcD0iRU4iIGRiLWlkPSI5ZXdkcHIy
NWY5NXNyZWVyczI3dmZlczM5dGZmdjV2ZHh6YXoiIHRpbWVzdGFtcD0iMTU2NTc0NzkwMiIgZ3Vp
ZD0iZjAxMDA3ZGItMGFmZS00YmM2LTlkZDAtYThlMTY3YTk3ZGI0Ij4zMTwva2V5PjwvZm9yZWln
bi1rZXlzPjxyZWYtdHlwZSBuYW1lPSJKb3VybmFsIEFydGljbGUiPjE3PC9yZWYtdHlwZT48Y29u
dHJpYnV0b3JzPjxhdXRob3JzPjxhdXRob3I+RHVic2t5LCBQLjwvYXV0aG9yPjxhdXRob3I+QnJh
c2UsIEouIEMuPC9hdXRob3I+PGF1dGhvcj5KYWtlc3osIFIuPC9hdXRob3I+PGF1dGhvcj5SdWRh
cywgTS48L2F1dGhvcj48YXV0aG9yPlNpbmdlciwgQy4gRi48L2F1dGhvcj48YXV0aG9yPkdyZWls
LCBSLjwvYXV0aG9yPjxhdXRob3I+RGlldHplLCBPLjwvYXV0aG9yPjxhdXRob3I+THVpc3Nlciwg
SS48L2F1dGhvcj48YXV0aG9yPktsdWcsIEUuPC9hdXRob3I+PGF1dGhvcj5TZWRpdnksIFIuPC9h
dXRob3I+PGF1dGhvcj5CYWNobmVyLCBNLjwvYXV0aG9yPjxhdXRob3I+TWF5ciwgRC48L2F1dGhv
cj48YXV0aG9yPlNjaG1pZHQsIE0uPC9hdXRob3I+PGF1dGhvcj5HZWhybWFubiwgTS4gQy48L2F1
dGhvcj48YXV0aG9yPlBldHJ5LCBDLjwvYXV0aG9yPjxhdXRob3I+V2ViZXIsIEsuIEUuPC9hdXRo
b3I+PGF1dGhvcj5GaXNjaCwgSy48L2F1dGhvcj48YXV0aG9yPktyb25lbndldHQsIFIuPC9hdXRo
b3I+PGF1dGhvcj5HbmFudCwgTS48L2F1dGhvcj48YXV0aG9yPkZpbGlwaXRzLCBNLjwvYXV0aG9y
PjxhdXRob3I+QXVzdHJpYW4sIEJyZWFzdDwvYXV0aG9yPjxhdXRob3I+Q29sb3JlY3RhbCBDYW5j
ZXIgU3R1ZHksIEdyb3VwPC9hdXRob3I+PC9hdXRob3JzPjwvY29udHJpYnV0b3JzPjxhdXRoLWFk
ZHJlc3M+RGVwYXJ0bWVudCBvZiBTdXJnZXJ5IGFuZCBDb21wcmVoZW5zaXZlIENhbmNlciBDZW50
ZXIsIE1lZGljYWwgVW5pdmVyc2l0eSBWaWVubmEsIFZpZW5uYSwgQXVzdHJpYS48L2F1dGgtYWRk
cmVzcz48dGl0bGVzPjx0aXRsZT5UaGUgRW5kb1ByZWRpY3Qgc2NvcmUgcHJvdmlkZXMgcHJvZ25v
c3RpYyBpbmZvcm1hdGlvbiBvbiBsYXRlIGRpc3RhbnQgbWV0YXN0YXNlcyBpbiBFUisvSEVSMi0g
YnJlYXN0IGNhbmNlciBwYXRpZW50czwvdGl0bGU+PHNlY29uZGFyeS10aXRsZT5CciBKIENhbmNl
cjwvc2Vjb25kYXJ5LXRpdGxlPjwvdGl0bGVzPjxwZXJpb2RpY2FsPjxmdWxsLXRpdGxlPkJyIEog
Q2FuY2VyPC9mdWxsLXRpdGxlPjwvcGVyaW9kaWNhbD48cGFnZXM+Mjk1OS02NDwvcGFnZXM+PHZv
bHVtZT4xMDk8L3ZvbHVtZT48bnVtYmVyPjEyPC9udW1iZXI+PGtleXdvcmRzPjxrZXl3b3JkPkFu
YXN0cm96b2xlPC9rZXl3b3JkPjxrZXl3b3JkPkFudGluZW9wbGFzdGljIEFnZW50cywgSG9ybW9u
YWwvYWRtaW5pc3RyYXRpb24gJmFtcDsgZG9zYWdlL3RoZXJhcGV1dGljIHVzZTwva2V5d29yZD48
a2V5d29yZD5BbnRpbmVvcGxhc3RpYyBDb21iaW5lZCBDaGVtb3RoZXJhcHkgUHJvdG9jb2xzL2Fk
bWluaXN0cmF0aW9uICZhbXA7IGRvc2FnZTwva2V5d29yZD48a2V5d29yZD5CcmVhc3QgTmVvcGxh
c21zL2RydWcgdGhlcmFweS9nZW5ldGljcy8qbWV0YWJvbGlzbS8qcGF0aG9sb2d5PC9rZXl3b3Jk
PjxrZXl3b3JkPkNlbGwgRGlmZmVyZW50aWF0aW9uL3BoeXNpb2xvZ3k8L2tleXdvcmQ+PGtleXdv
cmQ+Q2VsbCBHcm93dGggUHJvY2Vzc2VzL3BoeXNpb2xvZ3k8L2tleXdvcmQ+PGtleXdvcmQ+Q2xp
bmljYWwgVHJpYWxzLCBQaGFzZSBJSUkgYXMgVG9waWM8L2tleXdvcmQ+PGtleXdvcmQ+RmVtYWxl
PC9rZXl3b3JkPjxrZXl3b3JkPkdlbmUgRXhwcmVzc2lvbiBQcm9maWxpbmc8L2tleXdvcmQ+PGtl
eXdvcmQ+SHVtYW5zPC9rZXl3b3JkPjxrZXl3b3JkPk5lb3BsYXNtIE1ldGFzdGFzaXM8L2tleXdv
cmQ+PGtleXdvcmQ+TmVvcGxhc20gUmVjdXJyZW5jZSwgTG9jYWwvZHJ1ZyB0aGVyYXB5L2dlbmV0
aWNzL21ldGFib2xpc20vcGF0aG9sb2d5PC9rZXl3b3JkPjxrZXl3b3JkPk5pdHJpbGVzL2FkbWlu
aXN0cmF0aW9uICZhbXA7IGRvc2FnZTwva2V5d29yZD48a2V5d29yZD5Qcm9nbm9zaXM8L2tleXdv
cmQ+PGtleXdvcmQ+UHJvcG9ydGlvbmFsIEhhemFyZHMgTW9kZWxzPC9rZXl3b3JkPjxrZXl3b3Jk
PlJhbmRvbWl6ZWQgQ29udHJvbGxlZCBUcmlhbHMgYXMgVG9waWM8L2tleXdvcmQ+PGtleXdvcmQ+
UmVjZXB0b3IsIEVyYkItMi8qYmlvc3ludGhlc2lzL2dlbmV0aWNzL21ldGFib2xpc208L2tleXdv
cmQ+PGtleXdvcmQ+UmVjZXB0b3JzLCBFc3Ryb2dlbi8qYmlvc3ludGhlc2lzL2dlbmV0aWNzL21l
dGFib2xpc208L2tleXdvcmQ+PGtleXdvcmQ+UmV0cm9zcGVjdGl2ZSBTdHVkaWVzPC9rZXl3b3Jk
PjxrZXl3b3JkPlNpZ25hbCBUcmFuc2R1Y3Rpb248L2tleXdvcmQ+PGtleXdvcmQ+VGFtb3hpZmVu
L2FkbWluaXN0cmF0aW9uICZhbXA7IGRvc2FnZS90aGVyYXBldXRpYyB1c2U8L2tleXdvcmQ+PGtl
eXdvcmQ+VHJlYXRtZW50IE91dGNvbWU8L2tleXdvcmQ+PGtleXdvcmQ+VHJpYXpvbGVzL2FkbWlu
aXN0cmF0aW9uICZhbXA7IGRvc2FnZTwva2V5d29yZD48L2tleXdvcmRzPjxkYXRlcz48eWVhcj4y
MDEzPC95ZWFyPjxwdWItZGF0ZXM+PGRhdGU+RGVjIDEwPC9kYXRlPjwvcHViLWRhdGVzPjwvZGF0
ZXM+PGlzYm4+MTUzMi0xODI3IChFbGVjdHJvbmljKSYjeEQ7MDAwNy0wOTIwIChMaW5raW5nKTwv
aXNibj48YWNjZXNzaW9uLW51bT4yNDE1NzgyODwvYWNjZXNzaW9uLW51bT48dXJscz48cmVsYXRl
ZC11cmxzPjx1cmw+aHR0cHM6Ly93d3cubmNiaS5ubG0ubmloLmdvdi9wdWJtZWQvMjQxNTc4Mjg8
L3VybD48L3JlbGF0ZWQtdXJscz48L3VybHM+PGN1c3RvbTI+UE1DMzg1OTk0OTwvY3VzdG9tMj48
ZWxlY3Ryb25pYy1yZXNvdXJjZS1udW0+MTAuMTAzOC9iamMuMjAxMy42NzE8L2VsZWN0cm9uaWMt
cmVzb3VyY2UtbnVtPjwvcmVjb3JkPjwvQ2l0ZT48Q2l0ZT48QXV0aG9yPkR1YnNreTwvQXV0aG9y
PjxZZWFyPjIwMTM8L1llYXI+PFJlY051bT4yNDwvUmVjTnVtPjxyZWNvcmQ+PHJlYy1udW1iZXI+
MjQ8L3JlYy1udW1iZXI+PGZvcmVpZ24ta2V5cz48a2V5IGFwcD0iRU4iIGRiLWlkPSI5ZXdkcHIy
NWY5NXNyZWVyczI3dmZlczM5dGZmdjV2ZHh6YXoiIHRpbWVzdGFtcD0iMTU2NTc0NzkwMiIgZ3Vp
ZD0iMDkzYWMxNzYtMWZjMC00MDE1LWE4NGItMDRiNjBmNTA0MzI5Ij4yNDwva2V5PjwvZm9yZWln
bi1rZXlzPjxyZWYtdHlwZSBuYW1lPSJKb3VybmFsIEFydGljbGUiPjE3PC9yZWYtdHlwZT48Y29u
dHJpYnV0b3JzPjxhdXRob3JzPjxhdXRob3I+RHVic2t5LCBQLjwvYXV0aG9yPjxhdXRob3I+Rmls
aXBpdHMsIE0uPC9hdXRob3I+PGF1dGhvcj5KYWtlc3osIFIuPC9hdXRob3I+PGF1dGhvcj5SdWRh
cywgTS48L2F1dGhvcj48YXV0aG9yPlNpbmdlciwgQy4gRi48L2F1dGhvcj48YXV0aG9yPkdyZWls
LCBSLjwvYXV0aG9yPjxhdXRob3I+RGlldHplLCBPLjwvYXV0aG9yPjxhdXRob3I+THVpc3Nlciwg
SS48L2F1dGhvcj48YXV0aG9yPktsdWcsIEUuPC9hdXRob3I+PGF1dGhvcj5TZWRpdnksIFIuPC9h
dXRob3I+PGF1dGhvcj5CYWNobmVyLCBNLjwvYXV0aG9yPjxhdXRob3I+TWF5ciwgRC48L2F1dGhv
cj48YXV0aG9yPlNjaG1pZHQsIE0uPC9hdXRob3I+PGF1dGhvcj5HZWhybWFubiwgTS4gQy48L2F1
dGhvcj48YXV0aG9yPlBldHJ5LCBDLjwvYXV0aG9yPjxhdXRob3I+V2ViZXIsIEsuIEUuPC9hdXRo
b3I+PGF1dGhvcj5Lcm9uZW53ZXR0LCBSLjwvYXV0aG9yPjxhdXRob3I+QnJhc2UsIEouIEMuPC9h
dXRob3I+PGF1dGhvcj5HbmFudCwgTS48L2F1dGhvcj48YXV0aG9yPkF1c3RyaWFuLCBCcmVhc3Q8
L2F1dGhvcj48YXV0aG9yPkNvbG9yZWN0YWwgQ2FuY2VyIFN0dWR5LCBHcm91cDwvYXV0aG9yPjwv
YXV0aG9ycz48L2NvbnRyaWJ1dG9ycz48YXV0aC1hZGRyZXNzPkR1YnNreSwgUC4gRGVwYXJ0bWVu
dHMgb2YgU3VyZ2VyeSwgTWVkaWNhbCBVbml2ZXJzaXR5IFZpZW5uYSwgQS0xMDkwIFZpZW5uYSwg
QXVzdHJpYS4gcGV0ZXIuZHVic2t5QG1lZHVuaXdpZW4uYWMuYXQ8L2F1dGgtYWRkcmVzcz48dGl0
bGVzPjx0aXRsZT5FbmRvUHJlZGljdCBpbXByb3ZlcyB0aGUgcHJvZ25vc3RpYyBjbGFzc2lmaWNh
dGlvbiBkZXJpdmVkIGZyb20gY29tbW9uIGNsaW5pY2FsIGd1aWRlbGluZXMgaW4gRVItcG9zaXRp
dmUsIEhFUjItbmVnYXRpdmUgZWFybHkgYnJlYXN0IGNhbmNlcjwvdGl0bGU+PHNlY29uZGFyeS10
aXRsZT5Bbm5hbHMgb2YgT25jb2xvZ3k8L3NlY29uZGFyeS10aXRsZT48YWx0LXRpdGxlPkFubiBP
bmNvbDwvYWx0LXRpdGxlPjwvdGl0bGVzPjxwZXJpb2RpY2FsPjxmdWxsLXRpdGxlPkFubmFscyBv
ZiBPbmNvbG9neTwvZnVsbC10aXRsZT48L3BlcmlvZGljYWw+PGFsdC1wZXJpb2RpY2FsPjxmdWxs
LXRpdGxlPkFubiBPbmNvbDwvZnVsbC10aXRsZT48YWJici0xPkFubmFscyBvZiBvbmNvbG9neSA6
IG9mZmljaWFsIGpvdXJuYWwgb2YgdGhlIEV1cm9wZWFuIFNvY2lldHkgZm9yIE1lZGljYWwgT25j
b2xvZ3k8L2FiYnItMT48L2FsdC1wZXJpb2RpY2FsPjxwYWdlcz42NDAtNzwvcGFnZXM+PHZvbHVt
ZT4yNDwvdm9sdW1lPjxudW1iZXI+MzwvbnVtYmVyPjxrZXl3b3Jkcz48a2V5d29yZD5BbmFzdHJv
em9sZTwva2V5d29yZD48a2V5d29yZD5BbnRpbmVvcGxhc3RpYyBBZ2VudHMsIEhvcm1vbmFsL2Fk
IFtBZG1pbmlzdHJhdGlvbiAmYW1wOyBEb3NhZ2VdPC9rZXl3b3JkPjxrZXl3b3JkPipBbnRpbmVv
cGxhc3RpYyBDb21iaW5lZCBDaGVtb3RoZXJhcHkgUHJvdG9jb2xzL3R1IFtUaGVyYXBldXRpYyBV
c2VdPC9rZXl3b3JkPjxrZXl3b3JkPkJyZWFzdCBOZW9wbGFzbXMvY2wgW0NsYXNzaWZpY2F0aW9u
XTwva2V5d29yZD48a2V5d29yZD4qQnJlYXN0IE5lb3BsYXNtcy9kaSBbRGlhZ25vc2lzXTwva2V5
d29yZD48a2V5d29yZD5CcmVhc3QgTmVvcGxhc21zL2R0IFtEcnVnIFRoZXJhcHldPC9rZXl3b3Jk
PjxrZXl3b3JkPkJyZWFzdCBOZW9wbGFzbXMvbW8gW01vcnRhbGl0eV08L2tleXdvcmQ+PGtleXdv
cmQ+Q2hlbW90aGVyYXB5LCBBZGp1dmFudDwva2V5d29yZD48a2V5d29yZD5EaXNlYXNlLUZyZWUg
U3Vydml2YWw8L2tleXdvcmQ+PGtleXdvcmQ+RmVtYWxlPC9rZXl3b3JkPjxrZXl3b3JkPkh1bWFu
czwva2V5d29yZD48a2V5d29yZD5LYXBsYW4tTWVpZXIgRXN0aW1hdGU8L2tleXdvcmQ+PGtleXdv
cmQ+TWlkZGxlIEFnZWQ8L2tleXdvcmQ+PGtleXdvcmQ+Tml0cmlsZXMvYWQgW0FkbWluaXN0cmF0
aW9uICZhbXA7IERvc2FnZV08L2tleXdvcmQ+PGtleXdvcmQ+UHJhY3RpY2UgR3VpZGVsaW5lcyBh
cyBUb3BpYzwva2V5d29yZD48a2V5d29yZD5Qcm9nbm9zaXM8L2tleXdvcmQ+PGtleXdvcmQ+KlJl
Y2VwdG9yLCBFcmJCLTIvbWUgW01ldGFib2xpc21dPC9rZXl3b3JkPjxrZXl3b3JkPipSZWNlcHRv
cnMsIEVzdHJvZ2VuL21lIFtNZXRhYm9saXNtXTwva2V5d29yZD48a2V5d29yZD5SZXRyb3NwZWN0
aXZlIFN0dWRpZXM8L2tleXdvcmQ+PGtleXdvcmQ+UmlzayBBc3Nlc3NtZW50PC9rZXl3b3JkPjxr
ZXl3b3JkPlRhbW94aWZlbi9hZCBbQWRtaW5pc3RyYXRpb24gJmFtcDsgRG9zYWdlXTwva2V5d29y
ZD48a2V5d29yZD5UcmVhdG1lbnQgT3V0Y29tZTwva2V5d29yZD48a2V5d29yZD5Ucmlhem9sZXMv
YWQgW0FkbWluaXN0cmF0aW9uICZhbXA7IERvc2FnZV08L2tleXdvcmQ+PC9rZXl3b3Jkcz48ZGF0
ZXM+PHllYXI+MjAxMzwveWVhcj48cHViLWRhdGVzPjxkYXRlPk1hcjwvZGF0ZT48L3B1Yi1kYXRl
cz48L2RhdGVzPjxpc2JuPjE1NjktODA0MTwvaXNibj48YWNjZXNzaW9uLW51bT4yMzAzNTE1MTwv
YWNjZXNzaW9uLW51bT48dXJscz48L3VybHM+PGxhbmd1YWdlPkVuZ2xpc2g8L2xhbmd1YWdlPjwv
cmVjb3JkPjwvQ2l0ZT48Q2l0ZT48QXV0aG9yPkZpbGlwaXRzPC9BdXRob3I+PFllYXI+MjAxOTwv
WWVhcj48UmVjTnVtPjQ8L1JlY051bT48cmVjb3JkPjxyZWMtbnVtYmVyPjQ8L3JlYy1udW1iZXI+
PGZvcmVpZ24ta2V5cz48a2V5IGFwcD0iRU4iIGRiLWlkPSI5ZXdkcHIyNWY5NXNyZWVyczI3dmZl
czM5dGZmdjV2ZHh6YXoiIHRpbWVzdGFtcD0iMTU2NTc0NzkwMSIgZ3VpZD0iMzMzODUwMWQtMDU5
Ny00ZmY3LThiNDEtNThiMWVhZTNhYzA3Ij40PC9rZXk+PC9mb3JlaWduLWtleXM+PHJlZi10eXBl
IG5hbWU9IkpvdXJuYWwgQXJ0aWNsZSI+MTc8L3JlZi10eXBlPjxjb250cmlidXRvcnM+PGF1dGhv
cnM+PGF1dGhvcj5GaWxpcGl0cywgTS48L2F1dGhvcj48YXV0aG9yPkR1YnNreSwgUC48L2F1dGhv
cj48YXV0aG9yPlJ1ZGFzLCBNLjwvYXV0aG9yPjxhdXRob3I+R3JlaWwsIFIuPC9hdXRob3I+PGF1
dGhvcj5CYWxpYywgTS48L2F1dGhvcj48YXV0aG9yPkJhZ28tSG9ydmF0aCwgWi48L2F1dGhvcj48
YXV0aG9yPlNpbmdlciwgQy4gRi48L2F1dGhvcj48YXV0aG9yPkhsYXVzY2hlaywgRC48L2F1dGhv
cj48YXV0aG9yPkJyb3duLCBLLjwvYXV0aG9yPjxhdXRob3I+QmVybmhpc2VsLCBSLjwvYXV0aG9y
PjxhdXRob3I+S3JvbmVud2V0dCwgUi48L2F1dGhvcj48YXV0aG9yPkxhbmNhc3RlciwgSi4gTS48
L2F1dGhvcj48YXV0aG9yPkZpdHphbCwgRi48L2F1dGhvcj48YXV0aG9yPkduYW50LCBNLjwvYXV0
aG9yPjwvYXV0aG9ycz48L2NvbnRyaWJ1dG9ycz48YXV0aC1hZGRyZXNzPkluc3RpdHV0ZSBvZiBD
YW5jZXIgUmVzZWFyY2gsIERlcGFydG1lbnQgb2YgTWVkaWNpbmUgSSwgQnJlYXN0IEhlYWx0aCBD
ZW50ZXIgYW5kIENvbXByZWhlbnNpdmUgQ2FuY2VyIENlbnRlciwgTWVkaWNhbCBVbml2ZXJzaXR5
IG9mIFZpZW5uYSwgVmllbm5hLCBBdXN0cmlhLiBtYXJ0aW4uZmlsaXBpdHNAbWVkdW5pd2llbi5h
Yy5hdC4mI3hEO0tsaW5payBTdC4gQW5uYSwgQnJlYXN0IENlbnRlciwgTHV6ZXJuLCBTd2l0emVy
bGFuZC4mI3hEO0luc3RpdHV0ZSBvZiBDYW5jZXIgUmVzZWFyY2gsIERlcGFydG1lbnQgb2YgTWVk
aWNpbmUgSSwgQnJlYXN0IEhlYWx0aCBDZW50ZXIgYW5kIENvbXByZWhlbnNpdmUgQ2FuY2VyIENl
bnRlciwgTWVkaWNhbCBVbml2ZXJzaXR5IG9mIFZpZW5uYSwgVmllbm5hLCBBdXN0cmlhLiYjeEQ7
SUlJIE1lZGljYWwgRGVwYXJ0bWVudCwgU2FsemJ1cmcgQ2FuY2VyIFJlc2VhcmNoIEluc3RpdHV0
ZSwgQ2FuY2VyIENsdXN0ZXIgU2FsemJ1cmcsIFBhcmFjZWxzdXMgTWVkaWNhbCBVbml2ZXJzaXR5
IFNhbHpidXJnLCBTYWx6YnVyZywgQXVzdHJpYS4mI3hEO0RlcGFydG1lbnQgb2YgSW50ZXJuYWwg
TWVkaWNpbmUsIERpdmlzaW9uIG9mIE9uY29sb2d5LCBNZWRpY2FsIFVuaXZlcnNpdHkgR3Jheiwg
R3JheiwgQXVzdHJpYS4mI3hEO0RlcGFydG1lbnQgb2YgUGF0aG9sb2d5LCBDb21wcmVoZW5zaXZl
IENhbmNlciBDZW50ZXIsIE1lZGljYWwgVW5pdmVyc2l0eSBvZiBWaWVubmEsIFZpZW5uYSwgQXVz
dHJpYS4mI3hEO0RlcGFydG1lbnQgb2YgR3luZWNvbG9neSwgQnJlYXN0IEhlYWx0aCBDZW50ZXIg
YW5kIENvbXByZWhlbnNpdmUgQ2FuY2VyIENlbnRlciwgTWVkaWNhbCBVbml2ZXJzaXR5IG9mIFZp
ZW5uYSwgVmllbm5hLCBBdXN0cmlhLiYjeEQ7Q2xpbmljYWwgU3RhdGlzdGljcywgQXVzdHJpYW4g
QnJlYXN0IGFuZCBDb2xvcmVjdGFsIENhbmNlciBTdHVkeSBHcm91cCwgVmllbm5hLCBBdXN0cmlh
LiYjeEQ7TXlyaWFkIEdlbmV0aWNzLCBJbmMuLCBTYWx0IExha2UgQ2l0eSwgVXRhaC4mI3hEO015
cmlhZCBJbnRlcm5hdGlvbmFsIEdtYkgsIENvbG9nbmUsIEdlcm1hbnkuJiN4RDtEZXBhcnRtZW50
IG9mIFN1cmdlcnksIE1lZGljYWwgVW5pdmVyc2l0eSBWaWVubmEsIFZpZW5uYSwgQXVzdHJpYS48
L2F1dGgtYWRkcmVzcz48dGl0bGVzPjx0aXRsZT5QcmVkaWN0aW9uIG9mIERpc3RhbnQgUmVjdXJy
ZW5jZSBVc2luZyBFbmRvUHJlZGljdCBBbW9uZyBXb21lbiB3aXRoIEVSKCspLCBIRVIyKC0pIE5v
ZGUtUG9zaXRpdmUgYW5kIE5vZGUtTmVnYXRpdmUgQnJlYXN0IENhbmNlciBUcmVhdGVkIHdpdGgg
RW5kb2NyaW5lIFRoZXJhcHkgT25seTwvdGl0bGU+PHNlY29uZGFyeS10aXRsZT5DbGluIENhbmNl
ciBSZXM8L3NlY29uZGFyeS10aXRsZT48L3RpdGxlcz48cGVyaW9kaWNhbD48ZnVsbC10aXRsZT5D
bGluIENhbmNlciBSZXM8L2Z1bGwtdGl0bGU+PC9wZXJpb2RpY2FsPjxwYWdlcz4zODY1LTM4NzI8
L3BhZ2VzPjx2b2x1bWU+MjU8L3ZvbHVtZT48bnVtYmVyPjEzPC9udW1iZXI+PGRhdGVzPjx5ZWFy
PjIwMTk8L3llYXI+PHB1Yi1kYXRlcz48ZGF0ZT5KdWwgMTwvZGF0ZT48L3B1Yi1kYXRlcz48L2Rh
dGVzPjxpc2JuPjEwNzgtMDQzMiAoUHJpbnQpJiN4RDsxMDc4LTA0MzIgKExpbmtpbmcpPC9pc2Ju
PjxhY2Nlc3Npb24tbnVtPjMxMDY0NzgyPC9hY2Nlc3Npb24tbnVtPjx1cmxzPjxyZWxhdGVkLXVy
bHM+PHVybD5odHRwczovL3d3dy5uY2JpLm5sbS5uaWguZ292L3B1Ym1lZC8zMTA2NDc4MjwvdXJs
PjwvcmVsYXRlZC11cmxzPjwvdXJscz48ZWxlY3Ryb25pYy1yZXNvdXJjZS1udW0+MTAuMTE1OC8x
MDc4LTA0MzIuQ0NSLTE5LTAzNzY8L2VsZWN0cm9uaWMtcmVzb3VyY2UtbnVtPjwvcmVjb3JkPjwv
Q2l0ZT48Q2l0ZT48QXV0aG9yPkZpbGlwaXRzPC9BdXRob3I+PFllYXI+MjAxMTwvWWVhcj48UmVj
TnVtPjI4PC9SZWNOdW0+PHJlY29yZD48cmVjLW51bWJlcj4yODwvcmVjLW51bWJlcj48Zm9yZWln
bi1rZXlzPjxrZXkgYXBwPSJFTiIgZGItaWQ9Ijlld2RwcjI1Zjk1c3JlZXJzMjd2ZmVzMzl0ZmZ2
NXZkeHpheiIgdGltZXN0YW1wPSIxNTY1NzQ3OTAyIiBndWlkPSI3ZDQwN2NiYy01ZTEyLTRjYzEt
YTU1ZS1kZWMwMmM4ODBhM2QiPjI4PC9rZXk+PC9mb3JlaWduLWtleXM+PHJlZi10eXBlIG5hbWU9
IkpvdXJuYWwgQXJ0aWNsZSI+MTc8L3JlZi10eXBlPjxjb250cmlidXRvcnM+PGF1dGhvcnM+PGF1
dGhvcj5GaWxpcGl0cywgTS48L2F1dGhvcj48YXV0aG9yPlJ1ZGFzLCBNLjwvYXV0aG9yPjxhdXRo
b3I+SmFrZXN6LCBSLjwvYXV0aG9yPjxhdXRob3I+RHVic2t5LCBQLjwvYXV0aG9yPjxhdXRob3I+
Rml0emFsLCBGLjwvYXV0aG9yPjxhdXRob3I+U2luZ2VyLCBDLiBGLjwvYXV0aG9yPjxhdXRob3I+
RGlldHplLCBPLjwvYXV0aG9yPjxhdXRob3I+R3JlaWwsIFIuPC9hdXRob3I+PGF1dGhvcj5KZWxl
biwgQS48L2F1dGhvcj48YXV0aG9yPlNldmVsZGEsIFAuPC9hdXRob3I+PGF1dGhvcj5GcmVpYmF1
ZXIsIEMuPC9hdXRob3I+PGF1dGhvcj5NdWxsZXIsIFYuPC9hdXRob3I+PGF1dGhvcj5KYW5pY2tl
LCBGLjwvYXV0aG9yPjxhdXRob3I+U2NobWlkdCwgTS48L2F1dGhvcj48YXV0aG9yPktvbGJsLCBI
LjwvYXV0aG9yPjxhdXRob3I+Um9keSwgQS48L2F1dGhvcj48YXV0aG9yPkthdWZtYW5uLCBNLjwv
YXV0aG9yPjxhdXRob3I+U2Nocm90aCwgVy48L2F1dGhvcj48YXV0aG9yPkJyYXVjaCwgSC48L2F1
dGhvcj48YXV0aG9yPlNjaHdhYiwgTS48L2F1dGhvcj48YXV0aG9yPkZyaXR6LCBQLjwvYXV0aG9y
PjxhdXRob3I+V2ViZXIsIEsuIEUuPC9hdXRob3I+PGF1dGhvcj5GZWRlciwgSS4gUy48L2F1dGhv
cj48YXV0aG9yPkhlbm5pZywgRy48L2F1dGhvcj48YXV0aG9yPktyb25lbndldHQsIFIuPC9hdXRo
b3I+PGF1dGhvcj5HZWhybWFubiwgTS48L2F1dGhvcj48YXV0aG9yPkduYW50LCBNLjwvYXV0aG9y
PjxhdXRob3I+RS4gUC4gSW52ZXN0aWdhdG9yczwvYXV0aG9yPjwvYXV0aG9ycz48L2NvbnRyaWJ1
dG9ycz48YXV0aC1hZGRyZXNzPkZpbGlwaXRzLCBNYXJ0aW4uIERlcGFydG1lbnQgb2YgTWVkaWNp
bmUgSSwgTWVkaWNhbCBVbml2ZXJzaXR5IG9mIFZpZW5uYSwgR2VybWFueS4gbWFydGluLmZpbGlw
aXRzQG1lZHVuaXdpZW4uYWMuYXQ8L2F1dGgtYWRkcmVzcz48dGl0bGVzPjx0aXRsZT5BIG5ldyBt
b2xlY3VsYXIgcHJlZGljdG9yIG9mIGRpc3RhbnQgcmVjdXJyZW5jZSBpbiBFUi1wb3NpdGl2ZSwg
SEVSMi1uZWdhdGl2ZSBicmVhc3QgY2FuY2VyIGFkZHMgaW5kZXBlbmRlbnQgaW5mb3JtYXRpb24g
dG8gY29udmVudGlvbmFsIGNsaW5pY2FsIHJpc2sgZmFjdG9yczwvdGl0bGU+PHNlY29uZGFyeS10
aXRsZT5DbGluaWNhbCBDYW5jZXIgUmVzZWFyY2g8L3NlY29uZGFyeS10aXRsZT48YWx0LXRpdGxl
PkNsaW4gQ2FuY2VyIFJlczwvYWx0LXRpdGxlPjwvdGl0bGVzPjxhbHQtcGVyaW9kaWNhbD48ZnVs
bC10aXRsZT5DbGluIENhbmNlciBSZXM8L2Z1bGwtdGl0bGU+PC9hbHQtcGVyaW9kaWNhbD48cGFn
ZXM+NjAxMi0yMDwvcGFnZXM+PHZvbHVtZT4xNzwvdm9sdW1lPjxudW1iZXI+MTg8L251bWJlcj48
a2V5d29yZHM+PGtleXdvcmQ+QnJlYXN0IE5lb3BsYXNtcy9nZSBbR2VuZXRpY3NdPC9rZXl3b3Jk
PjxrZXl3b3JkPkJyZWFzdCBOZW9wbGFzbXMvbW8gW01vcnRhbGl0eV08L2tleXdvcmQ+PGtleXdv
cmQ+KkJyZWFzdCBOZW9wbGFzbXMvcGEgW1BhdGhvbG9neV08L2tleXdvcmQ+PGtleXdvcmQ+RmVt
YWxlPC9rZXl3b3JkPjxrZXl3b3JkPkdlbmUgRXhwcmVzc2lvbiBQcm9maWxpbmcvbXQgW01ldGhv
ZHNdPC9rZXl3b3JkPjxrZXl3b3JkPkh1bWFuczwva2V5d29yZD48a2V5d29yZD5LYXBsYW4tTWVp
ZXIgRXN0aW1hdGU8L2tleXdvcmQ+PGtleXdvcmQ+TmVvcGxhc20gTWV0YXN0YXNpczwva2V5d29y
ZD48a2V5d29yZD5Qcm9nbm9zaXM8L2tleXdvcmQ+PGtleXdvcmQ+UHJvcG9ydGlvbmFsIEhhemFy
ZHMgTW9kZWxzPC9rZXl3b3JkPjxrZXl3b3JkPipSZWNlcHRvciwgRXJiQi0yL2dlIFtHZW5ldGlj
c108L2tleXdvcmQ+PGtleXdvcmQ+KlJlY2VwdG9ycywgRXN0cm9nZW4vZ2UgW0dlbmV0aWNzXTwv
a2V5d29yZD48a2V5d29yZD5SZXByb2R1Y2liaWxpdHkgb2YgUmVzdWx0czwva2V5d29yZD48a2V5
d29yZD5SaXNrIEZhY3RvcnM8L2tleXdvcmQ+PC9rZXl3b3Jkcz48ZGF0ZXM+PHllYXI+MjAxMTwv
eWVhcj48cHViLWRhdGVzPjxkYXRlPlNlcCAxNTwvZGF0ZT48L3B1Yi1kYXRlcz48L2RhdGVzPjxp
c2JuPjEwNzgtMDQzMjwvaXNibj48YWNjZXNzaW9uLW51bT4yMTgwNzYzODwvYWNjZXNzaW9uLW51
bT48d29yay10eXBlPlJlc2VhcmNoIFN1cHBvcnQsIE5vbi1VLlMuIEdvdiZhcG9zO3Q8L3dvcmst
dHlwZT48dXJscz48L3VybHM+PGxhbmd1YWdlPkVuZ2xpc2g8L2xhbmd1YWdlPjwvcmVjb3JkPjwv
Q2l0ZT48L0VuZE5vdGU+AG==
</w:fldData>
        </w:fldChar>
      </w:r>
      <w:r w:rsidRPr="006F38A9">
        <w:rPr>
          <w:rStyle w:val="Strong"/>
          <w:rFonts w:ascii="Times New Roman" w:hAnsi="Times New Roman" w:cs="Times New Roman"/>
          <w:b w:val="0"/>
          <w:sz w:val="24"/>
          <w:szCs w:val="24"/>
        </w:rPr>
        <w:instrText xml:space="preserve"> ADDIN EN.CITE.DATA </w:instrText>
      </w:r>
      <w:r w:rsidRPr="006F38A9">
        <w:rPr>
          <w:rStyle w:val="Strong"/>
          <w:rFonts w:ascii="Times New Roman" w:hAnsi="Times New Roman" w:cs="Times New Roman"/>
          <w:b w:val="0"/>
          <w:sz w:val="24"/>
          <w:szCs w:val="24"/>
        </w:rPr>
      </w:r>
      <w:r w:rsidRPr="006F38A9">
        <w:rPr>
          <w:rStyle w:val="Strong"/>
          <w:rFonts w:ascii="Times New Roman" w:hAnsi="Times New Roman" w:cs="Times New Roman"/>
          <w:b w:val="0"/>
          <w:sz w:val="24"/>
          <w:szCs w:val="24"/>
        </w:rPr>
        <w:fldChar w:fldCharType="end"/>
      </w:r>
      <w:r w:rsidRPr="006F38A9">
        <w:rPr>
          <w:rStyle w:val="Strong"/>
          <w:rFonts w:ascii="Times New Roman" w:hAnsi="Times New Roman" w:cs="Times New Roman"/>
          <w:b w:val="0"/>
          <w:sz w:val="24"/>
          <w:szCs w:val="24"/>
        </w:rPr>
      </w:r>
      <w:r w:rsidRPr="006F38A9">
        <w:rPr>
          <w:rStyle w:val="Strong"/>
          <w:rFonts w:ascii="Times New Roman" w:hAnsi="Times New Roman" w:cs="Times New Roman"/>
          <w:b w:val="0"/>
          <w:sz w:val="24"/>
          <w:szCs w:val="24"/>
        </w:rPr>
        <w:fldChar w:fldCharType="separate"/>
      </w:r>
      <w:r w:rsidRPr="006F38A9">
        <w:rPr>
          <w:rStyle w:val="Strong"/>
          <w:rFonts w:ascii="Times New Roman" w:hAnsi="Times New Roman" w:cs="Times New Roman"/>
          <w:b w:val="0"/>
          <w:noProof/>
          <w:sz w:val="24"/>
          <w:szCs w:val="24"/>
        </w:rPr>
        <w:t>(</w:t>
      </w:r>
      <w:hyperlink w:anchor="_ENREF_9" w:tooltip="Dubsky, 2013 #31" w:history="1">
        <w:r w:rsidRPr="006F38A9">
          <w:rPr>
            <w:rStyle w:val="Strong"/>
            <w:rFonts w:ascii="Times New Roman" w:hAnsi="Times New Roman" w:cs="Times New Roman"/>
            <w:b w:val="0"/>
            <w:noProof/>
            <w:sz w:val="24"/>
            <w:szCs w:val="24"/>
          </w:rPr>
          <w:t>Dubsky, Brase, et al., 2013</w:t>
        </w:r>
      </w:hyperlink>
      <w:r w:rsidRPr="006F38A9">
        <w:rPr>
          <w:rStyle w:val="Strong"/>
          <w:rFonts w:ascii="Times New Roman" w:hAnsi="Times New Roman" w:cs="Times New Roman"/>
          <w:b w:val="0"/>
          <w:noProof/>
          <w:sz w:val="24"/>
          <w:szCs w:val="24"/>
        </w:rPr>
        <w:t xml:space="preserve">; </w:t>
      </w:r>
      <w:hyperlink w:anchor="_ENREF_10" w:tooltip="Dubsky, 2013 #24" w:history="1">
        <w:r w:rsidRPr="006F38A9">
          <w:rPr>
            <w:rStyle w:val="Strong"/>
            <w:rFonts w:ascii="Times New Roman" w:hAnsi="Times New Roman" w:cs="Times New Roman"/>
            <w:b w:val="0"/>
            <w:noProof/>
            <w:sz w:val="24"/>
            <w:szCs w:val="24"/>
          </w:rPr>
          <w:t>Dubsky, Filipits, et al., 2013</w:t>
        </w:r>
      </w:hyperlink>
      <w:r w:rsidRPr="006F38A9">
        <w:rPr>
          <w:rStyle w:val="Strong"/>
          <w:rFonts w:ascii="Times New Roman" w:hAnsi="Times New Roman" w:cs="Times New Roman"/>
          <w:b w:val="0"/>
          <w:noProof/>
          <w:sz w:val="24"/>
          <w:szCs w:val="24"/>
        </w:rPr>
        <w:t xml:space="preserve">; </w:t>
      </w:r>
      <w:hyperlink w:anchor="_ENREF_13" w:tooltip="Filipits, 2019 #4" w:history="1">
        <w:r w:rsidRPr="006F38A9">
          <w:rPr>
            <w:rStyle w:val="Strong"/>
            <w:rFonts w:ascii="Times New Roman" w:hAnsi="Times New Roman" w:cs="Times New Roman"/>
            <w:b w:val="0"/>
            <w:noProof/>
            <w:sz w:val="24"/>
            <w:szCs w:val="24"/>
          </w:rPr>
          <w:t>Filipits et al., 2019</w:t>
        </w:r>
      </w:hyperlink>
      <w:r w:rsidRPr="006F38A9">
        <w:rPr>
          <w:rStyle w:val="Strong"/>
          <w:rFonts w:ascii="Times New Roman" w:hAnsi="Times New Roman" w:cs="Times New Roman"/>
          <w:b w:val="0"/>
          <w:noProof/>
          <w:sz w:val="24"/>
          <w:szCs w:val="24"/>
        </w:rPr>
        <w:t xml:space="preserve">; </w:t>
      </w:r>
      <w:hyperlink w:anchor="_ENREF_14" w:tooltip="Filipits, 2011 #28" w:history="1">
        <w:r w:rsidRPr="006F38A9">
          <w:rPr>
            <w:rStyle w:val="Strong"/>
            <w:rFonts w:ascii="Times New Roman" w:hAnsi="Times New Roman" w:cs="Times New Roman"/>
            <w:b w:val="0"/>
            <w:noProof/>
            <w:sz w:val="24"/>
            <w:szCs w:val="24"/>
          </w:rPr>
          <w:t>Filipits et al., 2011</w:t>
        </w:r>
      </w:hyperlink>
      <w:r w:rsidRPr="006F38A9">
        <w:rPr>
          <w:rStyle w:val="Strong"/>
          <w:rFonts w:ascii="Times New Roman" w:hAnsi="Times New Roman" w:cs="Times New Roman"/>
          <w:b w:val="0"/>
          <w:noProof/>
          <w:sz w:val="24"/>
          <w:szCs w:val="24"/>
        </w:rPr>
        <w:t>)</w:t>
      </w:r>
      <w:r w:rsidRPr="006F38A9">
        <w:rPr>
          <w:rStyle w:val="Strong"/>
          <w:rFonts w:ascii="Times New Roman" w:hAnsi="Times New Roman" w:cs="Times New Roman"/>
          <w:b w:val="0"/>
          <w:sz w:val="24"/>
          <w:szCs w:val="24"/>
        </w:rPr>
        <w:fldChar w:fldCharType="end"/>
      </w:r>
      <w:r w:rsidR="00F002C7">
        <w:rPr>
          <w:rStyle w:val="Strong"/>
          <w:rFonts w:ascii="Times New Roman" w:hAnsi="Times New Roman" w:cs="Times New Roman"/>
          <w:b w:val="0"/>
          <w:sz w:val="24"/>
          <w:szCs w:val="24"/>
        </w:rPr>
        <w:t>.</w:t>
      </w:r>
    </w:p>
    <w:p w14:paraId="3564F585" w14:textId="43FAF854" w:rsidR="006F38A9" w:rsidRPr="006F38A9" w:rsidRDefault="006F38A9" w:rsidP="00F002C7">
      <w:pPr>
        <w:spacing w:after="240"/>
        <w:rPr>
          <w:rStyle w:val="Strong"/>
          <w:b w:val="0"/>
          <w:szCs w:val="24"/>
        </w:rPr>
      </w:pPr>
      <w:r w:rsidRPr="006F38A9">
        <w:rPr>
          <w:rStyle w:val="Strong"/>
          <w:b w:val="0"/>
          <w:szCs w:val="24"/>
        </w:rPr>
        <w:t xml:space="preserve">The GEICAM 9906 trial compared two adjuvant chemotherapy regimens </w:t>
      </w:r>
      <w:r w:rsidRPr="006F38A9">
        <w:rPr>
          <w:szCs w:val="24"/>
        </w:rPr>
        <w:t>(FEC: 5-fluorouracil, epirubicin and cyclophosphamide; or FEC-P: FEC followed by paclitaxel)</w:t>
      </w:r>
      <w:r w:rsidRPr="006F38A9">
        <w:rPr>
          <w:rStyle w:val="Strong"/>
          <w:b w:val="0"/>
          <w:szCs w:val="24"/>
        </w:rPr>
        <w:t xml:space="preserve"> in women with lymph node positive disease. Hormone receptor positive patients received ET for 5 years following chemotherapy (</w:t>
      </w:r>
      <w:hyperlink w:anchor="_ENREF_27" w:tooltip="Martin, 2014 #3" w:history="1">
        <w:r w:rsidRPr="006F38A9">
          <w:rPr>
            <w:rStyle w:val="Strong"/>
            <w:b w:val="0"/>
            <w:szCs w:val="24"/>
          </w:rPr>
          <w:fldChar w:fldCharType="begin">
            <w:fldData xml:space="preserve">PEVuZE5vdGU+PENpdGUgQXV0aG9yWWVhcj0iMSI+PEF1dGhvcj5NYXJ0aW48L0F1dGhvcj48WWVh
cj4yMDE0PC9ZZWFyPjxSZWNOdW0+MzwvUmVjTnVtPjxEaXNwbGF5VGV4dD5NYXJ0aW4gZXQgYWwu
ICgyMDE0KTwvRGlzcGxheVRleHQ+PHJlY29yZD48cmVjLW51bWJlcj4zPC9yZWMtbnVtYmVyPjxm
b3JlaWduLWtleXM+PGtleSBhcHA9IkVOIiBkYi1pZD0iOWV3ZHByMjVmOTVzcmVlcnMyN3ZmZXMz
OXRmZnY1dmR4emF6IiB0aW1lc3RhbXA9IjE1NjU3NDc5MDEiIGd1aWQ9ImM0MDYwMTc4LThhZjYt
NDI2YS1iMTMxLTE2ODcwOTJmMWRkZiI+Mzwva2V5PjwvZm9yZWlnbi1rZXlzPjxyZWYtdHlwZSBu
YW1lPSJKb3VybmFsIEFydGljbGUiPjE3PC9yZWYtdHlwZT48Y29udHJpYnV0b3JzPjxhdXRob3Jz
PjxhdXRob3I+TWFydGluLCBNLjwvYXV0aG9yPjxhdXRob3I+QnJhc2UsIEouIEMuPC9hdXRob3I+
PGF1dGhvcj5DYWx2bywgTC48L2F1dGhvcj48YXV0aG9yPktyYXBwbWFubiwgSy48L2F1dGhvcj48
YXV0aG9yPlJ1aXotQm9ycmVnbywgTS48L2F1dGhvcj48YXV0aG9yPkZpc2NoLCBLLjwvYXV0aG9y
PjxhdXRob3I+UnVpeiwgQS48L2F1dGhvcj48YXV0aG9yPldlYmVyLCBLLiBFLjwvYXV0aG9yPjxh
dXRob3I+TXVuYXJyaXosIEIuPC9hdXRob3I+PGF1dGhvcj5QZXRyeSwgQy48L2F1dGhvcj48YXV0
aG9yPlJvZHJpZ3VleiwgQy4gQS48L2F1dGhvcj48YXV0aG9yPktyb25lbndldHQsIFIuPC9hdXRo
b3I+PGF1dGhvcj5DcmVzcG8sIEMuPC9hdXRob3I+PGF1dGhvcj5BbGJhLCBFLjwvYXV0aG9yPjxh
dXRob3I+Q2FycmFzY28sIEUuPC9hdXRob3I+PGF1dGhvcj5DYXNhcywgTS48L2F1dGhvcj48YXV0
aG9yPkNhYmFsbGVybywgUi48L2F1dGhvcj48YXV0aG9yPlJvZHJpZ3Vlei1MZXNjdXJlLCBBLjwv
YXV0aG9yPjwvYXV0aG9ycz48L2NvbnRyaWJ1dG9ycz48dGl0bGVzPjx0aXRsZT5DbGluaWNhbCB2
YWxpZGF0aW9uIG9mIHRoZSBFbmRvUHJlZGljdCB0ZXN0IGluIG5vZGUtcG9zaXRpdmUsIGNoZW1v
dGhlcmFweS10cmVhdGVkIEVSKy9IRVIyLSBicmVhc3QgY2FuY2VyIHBhdGllbnRzOiByZXN1bHRz
IGZyb20gdGhlIEdFSUNBTSA5OTA2IHRyaWFsPC90aXRsZT48c2Vjb25kYXJ5LXRpdGxlPkJyZWFz
dCBDYW5jZXIgUmVzPC9zZWNvbmRhcnktdGl0bGU+PC90aXRsZXM+PHBlcmlvZGljYWw+PGZ1bGwt
dGl0bGU+QnJlYXN0IENhbmNlciBSZXM8L2Z1bGwtdGl0bGU+PC9wZXJpb2RpY2FsPjxwYWdlcz5S
Mzg8L3BhZ2VzPjx2b2x1bWU+MTY8L3ZvbHVtZT48bnVtYmVyPjI8L251bWJlcj48a2V5d29yZHM+
PGtleXdvcmQ+QW50aW5lb3BsYXN0aWMgQWdlbnRzLCBIb3Jtb25hbC9hZG1pbmlzdHJhdGlvbiAm
YW1wOyBkb3NhZ2UvKnRoZXJhcGV1dGljIHVzZTwva2V5d29yZD48a2V5d29yZD5BbnRpbmVvcGxh
c3RpYyBDb21iaW5lZCBDaGVtb3RoZXJhcHkgUHJvdG9jb2xzLyp0aGVyYXBldXRpYyB1c2U8L2tl
eXdvcmQ+PGtleXdvcmQ+QnJlYXN0IE5lb3BsYXNtcy8qZHJ1ZyB0aGVyYXB5L21ldGFib2xpc20v
cGF0aG9sb2d5PC9rZXl3b3JkPjxrZXl3b3JkPkNoZW1vdGhlcmFweSwgQWRqdXZhbnQ8L2tleXdv
cmQ+PGtleXdvcmQ+Q2xpbmljYWwgVHJpYWxzLCBQaGFzZSBJSUkgYXMgVG9waWM8L2tleXdvcmQ+
PGtleXdvcmQ+Q3ljbG9waG9zcGhhbWlkZS9hZG1pbmlzdHJhdGlvbiAmYW1wOyBkb3NhZ2U8L2tl
eXdvcmQ+PGtleXdvcmQ+RXBpcnViaWNpbi9hZG1pbmlzdHJhdGlvbiAmYW1wOyBkb3NhZ2U8L2tl
eXdvcmQ+PGtleXdvcmQ+RmVtYWxlPC9rZXl3b3JkPjxrZXl3b3JkPkZsdW9yb3VyYWNpbC9hZG1p
bmlzdHJhdGlvbiAmYW1wOyBkb3NhZ2U8L2tleXdvcmQ+PGtleXdvcmQ+SHVtYW5zPC9rZXl3b3Jk
PjxrZXl3b3JkPkx5bXBoYXRpYyBNZXRhc3Rhc2lzPC9rZXl3b3JkPjxrZXl3b3JkPk11bHRpY2Vu
dGVyIFN0dWRpZXMgYXMgVG9waWM8L2tleXdvcmQ+PGtleXdvcmQ+T3V0Y29tZSBBc3Nlc3NtZW50
IChIZWFsdGggQ2FyZSkvKm1ldGhvZHM8L2tleXdvcmQ+PGtleXdvcmQ+UGFjbGl0YXhlbC9hZG1p
bmlzdHJhdGlvbiAmYW1wOyBkb3NhZ2U8L2tleXdvcmQ+PGtleXdvcmQ+UHJvc3BlY3RpdmUgU3R1
ZGllczwva2V5d29yZD48a2V5d29yZD5SYW5kb21pemVkIENvbnRyb2xsZWQgVHJpYWxzIGFzIFRv
cGljPC9rZXl3b3JkPjxrZXl3b3JkPlJlY2VwdG9yLCBFcmJCLTIvbWV0YWJvbGlzbTwva2V5d29y
ZD48a2V5d29yZD5SZWNlcHRvcnMsIEVzdHJvZ2VuL21ldGFib2xpc208L2tleXdvcmQ+PGtleXdv
cmQ+UmVwcm9kdWNpYmlsaXR5IG9mIFJlc3VsdHM8L2tleXdvcmQ+PGtleXdvcmQ+UmV0cm9zcGVj
dGl2ZSBTdHVkaWVzPC9rZXl3b3JkPjwva2V5d29yZHM+PGRhdGVzPjx5ZWFyPjIwMTQ8L3llYXI+
PHB1Yi1kYXRlcz48ZGF0ZT5BcHIgMTI8L2RhdGU+PC9wdWItZGF0ZXM+PC9kYXRlcz48aXNibj4x
NDY1LTU0MlggKEVsZWN0cm9uaWMpJiN4RDsxNDY1LTU0MTEgKExpbmtpbmcpPC9pc2JuPjxhY2Nl
c3Npb24tbnVtPjI0NzI1NTM0PC9hY2Nlc3Npb24tbnVtPjx1cmxzPjxyZWxhdGVkLXVybHM+PHVy
bD5odHRwczovL3d3dy5uY2JpLm5sbS5uaWguZ292L3B1Ym1lZC8yNDcyNTUzNDwvdXJsPjwvcmVs
YXRlZC11cmxzPjwvdXJscz48Y3VzdG9tMj5QTUM0MDc2NjM5PC9jdXN0b20yPjxlbGVjdHJvbmlj
LXJlc291cmNlLW51bT4xMC4xMTg2L2JjcjM2NDI8L2VsZWN0cm9uaWMtcmVzb3VyY2UtbnVtPjwv
cmVjb3JkPjwvQ2l0ZT48L0VuZE5vdGU+
</w:fldData>
          </w:fldChar>
        </w:r>
        <w:r w:rsidRPr="006F38A9">
          <w:rPr>
            <w:rStyle w:val="Strong"/>
            <w:b w:val="0"/>
            <w:szCs w:val="24"/>
          </w:rPr>
          <w:instrText xml:space="preserve"> ADDIN EN.CITE </w:instrText>
        </w:r>
        <w:r w:rsidRPr="006F38A9">
          <w:rPr>
            <w:rStyle w:val="Strong"/>
            <w:b w:val="0"/>
            <w:szCs w:val="24"/>
          </w:rPr>
          <w:fldChar w:fldCharType="begin">
            <w:fldData xml:space="preserve">PEVuZE5vdGU+PENpdGUgQXV0aG9yWWVhcj0iMSI+PEF1dGhvcj5NYXJ0aW48L0F1dGhvcj48WWVh
cj4yMDE0PC9ZZWFyPjxSZWNOdW0+MzwvUmVjTnVtPjxEaXNwbGF5VGV4dD5NYXJ0aW4gZXQgYWwu
ICgyMDE0KTwvRGlzcGxheVRleHQ+PHJlY29yZD48cmVjLW51bWJlcj4zPC9yZWMtbnVtYmVyPjxm
b3JlaWduLWtleXM+PGtleSBhcHA9IkVOIiBkYi1pZD0iOWV3ZHByMjVmOTVzcmVlcnMyN3ZmZXMz
OXRmZnY1dmR4emF6IiB0aW1lc3RhbXA9IjE1NjU3NDc5MDEiIGd1aWQ9ImM0MDYwMTc4LThhZjYt
NDI2YS1iMTMxLTE2ODcwOTJmMWRkZiI+Mzwva2V5PjwvZm9yZWlnbi1rZXlzPjxyZWYtdHlwZSBu
YW1lPSJKb3VybmFsIEFydGljbGUiPjE3PC9yZWYtdHlwZT48Y29udHJpYnV0b3JzPjxhdXRob3Jz
PjxhdXRob3I+TWFydGluLCBNLjwvYXV0aG9yPjxhdXRob3I+QnJhc2UsIEouIEMuPC9hdXRob3I+
PGF1dGhvcj5DYWx2bywgTC48L2F1dGhvcj48YXV0aG9yPktyYXBwbWFubiwgSy48L2F1dGhvcj48
YXV0aG9yPlJ1aXotQm9ycmVnbywgTS48L2F1dGhvcj48YXV0aG9yPkZpc2NoLCBLLjwvYXV0aG9y
PjxhdXRob3I+UnVpeiwgQS48L2F1dGhvcj48YXV0aG9yPldlYmVyLCBLLiBFLjwvYXV0aG9yPjxh
dXRob3I+TXVuYXJyaXosIEIuPC9hdXRob3I+PGF1dGhvcj5QZXRyeSwgQy48L2F1dGhvcj48YXV0
aG9yPlJvZHJpZ3VleiwgQy4gQS48L2F1dGhvcj48YXV0aG9yPktyb25lbndldHQsIFIuPC9hdXRo
b3I+PGF1dGhvcj5DcmVzcG8sIEMuPC9hdXRob3I+PGF1dGhvcj5BbGJhLCBFLjwvYXV0aG9yPjxh
dXRob3I+Q2FycmFzY28sIEUuPC9hdXRob3I+PGF1dGhvcj5DYXNhcywgTS48L2F1dGhvcj48YXV0
aG9yPkNhYmFsbGVybywgUi48L2F1dGhvcj48YXV0aG9yPlJvZHJpZ3Vlei1MZXNjdXJlLCBBLjwv
YXV0aG9yPjwvYXV0aG9ycz48L2NvbnRyaWJ1dG9ycz48dGl0bGVzPjx0aXRsZT5DbGluaWNhbCB2
YWxpZGF0aW9uIG9mIHRoZSBFbmRvUHJlZGljdCB0ZXN0IGluIG5vZGUtcG9zaXRpdmUsIGNoZW1v
dGhlcmFweS10cmVhdGVkIEVSKy9IRVIyLSBicmVhc3QgY2FuY2VyIHBhdGllbnRzOiByZXN1bHRz
IGZyb20gdGhlIEdFSUNBTSA5OTA2IHRyaWFsPC90aXRsZT48c2Vjb25kYXJ5LXRpdGxlPkJyZWFz
dCBDYW5jZXIgUmVzPC9zZWNvbmRhcnktdGl0bGU+PC90aXRsZXM+PHBlcmlvZGljYWw+PGZ1bGwt
dGl0bGU+QnJlYXN0IENhbmNlciBSZXM8L2Z1bGwtdGl0bGU+PC9wZXJpb2RpY2FsPjxwYWdlcz5S
Mzg8L3BhZ2VzPjx2b2x1bWU+MTY8L3ZvbHVtZT48bnVtYmVyPjI8L251bWJlcj48a2V5d29yZHM+
PGtleXdvcmQ+QW50aW5lb3BsYXN0aWMgQWdlbnRzLCBIb3Jtb25hbC9hZG1pbmlzdHJhdGlvbiAm
YW1wOyBkb3NhZ2UvKnRoZXJhcGV1dGljIHVzZTwva2V5d29yZD48a2V5d29yZD5BbnRpbmVvcGxh
c3RpYyBDb21iaW5lZCBDaGVtb3RoZXJhcHkgUHJvdG9jb2xzLyp0aGVyYXBldXRpYyB1c2U8L2tl
eXdvcmQ+PGtleXdvcmQ+QnJlYXN0IE5lb3BsYXNtcy8qZHJ1ZyB0aGVyYXB5L21ldGFib2xpc20v
cGF0aG9sb2d5PC9rZXl3b3JkPjxrZXl3b3JkPkNoZW1vdGhlcmFweSwgQWRqdXZhbnQ8L2tleXdv
cmQ+PGtleXdvcmQ+Q2xpbmljYWwgVHJpYWxzLCBQaGFzZSBJSUkgYXMgVG9waWM8L2tleXdvcmQ+
PGtleXdvcmQ+Q3ljbG9waG9zcGhhbWlkZS9hZG1pbmlzdHJhdGlvbiAmYW1wOyBkb3NhZ2U8L2tl
eXdvcmQ+PGtleXdvcmQ+RXBpcnViaWNpbi9hZG1pbmlzdHJhdGlvbiAmYW1wOyBkb3NhZ2U8L2tl
eXdvcmQ+PGtleXdvcmQ+RmVtYWxlPC9rZXl3b3JkPjxrZXl3b3JkPkZsdW9yb3VyYWNpbC9hZG1p
bmlzdHJhdGlvbiAmYW1wOyBkb3NhZ2U8L2tleXdvcmQ+PGtleXdvcmQ+SHVtYW5zPC9rZXl3b3Jk
PjxrZXl3b3JkPkx5bXBoYXRpYyBNZXRhc3Rhc2lzPC9rZXl3b3JkPjxrZXl3b3JkPk11bHRpY2Vu
dGVyIFN0dWRpZXMgYXMgVG9waWM8L2tleXdvcmQ+PGtleXdvcmQ+T3V0Y29tZSBBc3Nlc3NtZW50
IChIZWFsdGggQ2FyZSkvKm1ldGhvZHM8L2tleXdvcmQ+PGtleXdvcmQ+UGFjbGl0YXhlbC9hZG1p
bmlzdHJhdGlvbiAmYW1wOyBkb3NhZ2U8L2tleXdvcmQ+PGtleXdvcmQ+UHJvc3BlY3RpdmUgU3R1
ZGllczwva2V5d29yZD48a2V5d29yZD5SYW5kb21pemVkIENvbnRyb2xsZWQgVHJpYWxzIGFzIFRv
cGljPC9rZXl3b3JkPjxrZXl3b3JkPlJlY2VwdG9yLCBFcmJCLTIvbWV0YWJvbGlzbTwva2V5d29y
ZD48a2V5d29yZD5SZWNlcHRvcnMsIEVzdHJvZ2VuL21ldGFib2xpc208L2tleXdvcmQ+PGtleXdv
cmQ+UmVwcm9kdWNpYmlsaXR5IG9mIFJlc3VsdHM8L2tleXdvcmQ+PGtleXdvcmQ+UmV0cm9zcGVj
dGl2ZSBTdHVkaWVzPC9rZXl3b3JkPjwva2V5d29yZHM+PGRhdGVzPjx5ZWFyPjIwMTQ8L3llYXI+
PHB1Yi1kYXRlcz48ZGF0ZT5BcHIgMTI8L2RhdGU+PC9wdWItZGF0ZXM+PC9kYXRlcz48aXNibj4x
NDY1LTU0MlggKEVsZWN0cm9uaWMpJiN4RDsxNDY1LTU0MTEgKExpbmtpbmcpPC9pc2JuPjxhY2Nl
c3Npb24tbnVtPjI0NzI1NTM0PC9hY2Nlc3Npb24tbnVtPjx1cmxzPjxyZWxhdGVkLXVybHM+PHVy
bD5odHRwczovL3d3dy5uY2JpLm5sbS5uaWguZ292L3B1Ym1lZC8yNDcyNTUzNDwvdXJsPjwvcmVs
YXRlZC11cmxzPjwvdXJscz48Y3VzdG9tMj5QTUM0MDc2NjM5PC9jdXN0b20yPjxlbGVjdHJvbmlj
LXJlc291cmNlLW51bT4xMC4xMTg2L2JjcjM2NDI8L2VsZWN0cm9uaWMtcmVzb3VyY2UtbnVtPjwv
cmVjb3JkPjwvQ2l0ZT48L0VuZE5vdGU+
</w:fldData>
          </w:fldChar>
        </w:r>
        <w:r w:rsidRPr="006F38A9">
          <w:rPr>
            <w:rStyle w:val="Strong"/>
            <w:b w:val="0"/>
            <w:szCs w:val="24"/>
          </w:rPr>
          <w:instrText xml:space="preserve"> ADDIN EN.CITE.DATA </w:instrText>
        </w:r>
        <w:r w:rsidRPr="006F38A9">
          <w:rPr>
            <w:rStyle w:val="Strong"/>
            <w:b w:val="0"/>
            <w:szCs w:val="24"/>
          </w:rPr>
        </w:r>
        <w:r w:rsidRPr="006F38A9">
          <w:rPr>
            <w:rStyle w:val="Strong"/>
            <w:b w:val="0"/>
            <w:szCs w:val="24"/>
          </w:rPr>
          <w:fldChar w:fldCharType="end"/>
        </w:r>
        <w:r w:rsidRPr="006F38A9">
          <w:rPr>
            <w:rStyle w:val="Strong"/>
            <w:b w:val="0"/>
            <w:szCs w:val="24"/>
          </w:rPr>
        </w:r>
        <w:r w:rsidRPr="006F38A9">
          <w:rPr>
            <w:rStyle w:val="Strong"/>
            <w:b w:val="0"/>
            <w:szCs w:val="24"/>
          </w:rPr>
          <w:fldChar w:fldCharType="separate"/>
        </w:r>
        <w:r w:rsidRPr="006F38A9">
          <w:rPr>
            <w:rStyle w:val="Strong"/>
            <w:b w:val="0"/>
            <w:noProof/>
            <w:szCs w:val="24"/>
          </w:rPr>
          <w:t>Martin et al. (2014)</w:t>
        </w:r>
        <w:r w:rsidRPr="006F38A9">
          <w:rPr>
            <w:rStyle w:val="Strong"/>
            <w:b w:val="0"/>
            <w:szCs w:val="24"/>
          </w:rPr>
          <w:fldChar w:fldCharType="end"/>
        </w:r>
      </w:hyperlink>
      <w:r w:rsidRPr="006F38A9">
        <w:rPr>
          <w:rStyle w:val="Strong"/>
          <w:b w:val="0"/>
          <w:szCs w:val="24"/>
        </w:rPr>
        <w:t xml:space="preserve"> and </w:t>
      </w:r>
      <w:hyperlink w:anchor="_ENREF_28" w:tooltip="Martin, 2016 #2" w:history="1">
        <w:r w:rsidRPr="006F38A9">
          <w:rPr>
            <w:rStyle w:val="Strong"/>
            <w:b w:val="0"/>
            <w:szCs w:val="24"/>
          </w:rPr>
          <w:fldChar w:fldCharType="begin">
            <w:fldData xml:space="preserve">PEVuZE5vdGU+PENpdGUgQXV0aG9yWWVhcj0iMSI+PEF1dGhvcj5NYXJ0aW48L0F1dGhvcj48WWVh
cj4yMDE2PC9ZZWFyPjxSZWNOdW0+MjwvUmVjTnVtPjxEaXNwbGF5VGV4dD5NYXJ0aW4gZXQgYWwu
ICgyMDE2KTwvRGlzcGxheVRleHQ+PHJlY29yZD48cmVjLW51bWJlcj4yPC9yZWMtbnVtYmVyPjxm
b3JlaWduLWtleXM+PGtleSBhcHA9IkVOIiBkYi1pZD0iOWV3ZHByMjVmOTVzcmVlcnMyN3ZmZXMz
OXRmZnY1dmR4emF6IiB0aW1lc3RhbXA9IjE1NjU3NDc5MDEiIGd1aWQ9IjkzYTliYTZiLTYzZGMt
NDFhOC05YTkyLWY0NzhlZjlmMjI5ZCI+Mjwva2V5PjwvZm9yZWlnbi1rZXlzPjxyZWYtdHlwZSBu
YW1lPSJKb3VybmFsIEFydGljbGUiPjE3PC9yZWYtdHlwZT48Y29udHJpYnV0b3JzPjxhdXRob3Jz
PjxhdXRob3I+TWFydGluLCBNLjwvYXV0aG9yPjxhdXRob3I+QnJhc2UsIEouIEMuPC9hdXRob3I+
PGF1dGhvcj5SdWl6LCBBLjwvYXV0aG9yPjxhdXRob3I+UHJhdCwgQS48L2F1dGhvcj48YXV0aG9y
Pktyb25lbndldHQsIFIuPC9hdXRob3I+PGF1dGhvcj5DYWx2bywgTC48L2F1dGhvcj48YXV0aG9y
PlBldHJ5LCBDLjwvYXV0aG9yPjxhdXRob3I+QmVybmFyZCwgUC4gUy48L2F1dGhvcj48YXV0aG9y
PlJ1aXotQm9ycmVnbywgTS48L2F1dGhvcj48YXV0aG9yPldlYmVyLCBLLiBFLjwvYXV0aG9yPjxh
dXRob3I+Um9kcmlndWV6LCBDLiBBLjwvYXV0aG9yPjxhdXRob3I+QWx2YXJleiwgSS4gTS48L2F1
dGhvcj48YXV0aG9yPlNlZ3VpLCBNLiBBLjwvYXV0aG9yPjxhdXRob3I+UGVyb3UsIEMuIE0uPC9h
dXRob3I+PGF1dGhvcj5DYXNhcywgTS48L2F1dGhvcj48YXV0aG9yPkNhcnJhc2NvLCBFLjwvYXV0
aG9yPjxhdXRob3I+Q2FiYWxsZXJvLCBSLjwvYXV0aG9yPjxhdXRob3I+Um9kcmlndWV6LUxlc2N1
cmUsIEEuPC9hdXRob3I+PC9hdXRob3JzPjwvY29udHJpYnV0b3JzPjxhdXRoLWFkZHJlc3M+RGVw
YXJ0bWVudCBvZiBNZWRpY2FsIE9uY29sb2d5LCBJbnN0aXR1dG8gZGUgSW52ZXN0aWdhY2lvbiBT
YW5pdGFyaWEgR3JlZ29yaW8gTWFyYW5vbiwgVW5pdmVyc2lkYWQgQ29tcGx1dGVudGUgZGUgTWFk
cmlkLCBDYWxsZSBNYWlxdWV6IDcsIE1hZHJpZCwgU3BhaW4uIG1tYXJ0aW5AZ2VpY2FtLm9yZy4m
I3hEO1Npdmlkb24gRGlhZ25vc3RpY3MgR21iSCwgQ29sb2duZSwgR2VybWFueS4mI3hEO0RlcGFy
dG1lbnQgb2YgTWVkaWNhbCBPbmNvbG9neSwgVmFsZW5jaWFuIEluc3RpdHV0ZSBvZiBPbmNvbG9n
eSAoSVZPKSwgVmFsZW5jaWEsIFNwYWluLiYjeEQ7VHJhbnNsYXRpb25hbCBHZW5vbWljcyBHcm91
cCwgVmFsbCBkJmFwb3M7SGVicm9uIEluc3RpdHV0ZSBvZiBPbmNvbG9neSAoVkhJTyksIEJhcmNl
bG9uYSwgU3BhaW4uJiN4RDtEZXBhcnRtZW50IG9mIE1lZGljYWwgT25jb2xvZ3ksIEEgQ29ydW5h
IFVuaXZlcnNpdHkgSG9zcGl0YWwgQ29tcGxleCwgQSBDb3J1bmEsIFNwYWluLiYjeEQ7U29saWQg
VHVtb3IgTW9sZWN1bGFyIERpYWdub3N0aWNzIExhYm9yYXRvcnksIEFSVVAgTGFib3JhdG9yaWVz
LCBVdGFoLCBVU0EuJiN4RDtEZXBhcnRtZW50IG9mIE1lZGljYWwgT25jb2xvZ3ksIFZpcmdlbiBk
ZWwgUm9jaW8gVW5pdmVyc2l0eSBIb3NwaXRhbCwgU2V2aWxsZSwgU3BhaW4uJiN4RDtEZXBhcnRt
ZW50IG9mIE1lZGljYWwgT25jb2xvZ3ksIFNhbGFtYW5jYSBVbml2ZXJzaXR5IEhvc3BpdGFsLUlC
U0FMLCBTYWxhbWFuY2EsIFNwYWluLiYjeEQ7RGVwYXJ0bWVudCBvZiBNZWRpY2FsIE9uY29sb2d5
LCBEb25vc3RpYSBVbml2ZXJzaXR5IEhvc3BpdGFsLCBEb25vc3RpYSwgU3BhaW4uJiN4RDtEZXBh
cnRtZW50IG9mIE1lZGljYWwgT25jb2xvZ3ksIFBhcmMgVGF1bGkgVW5pdmVyc2l0eSBIb3NwaXRh
bCwgU2FiYWRlbGwsIFNwYWluLiYjeEQ7TGluZWJlcmdlciBDb21wcmVoZW5zaXZlIENhbmNlciBD
ZW50ZXIsIFVuaXZlcnNpdHkgb2YgTm9ydGggQ2Fyb2xpbmEsIENoYXBlbCBIaWxsLCBOQywgVVNB
LiYjeEQ7RGVwYXJ0bWVudCBvZiBHZW5ldGljcywgVW5pdmVyc2l0eSBvZiBOb3J0aCBDYXJvbGlu
YSwgQ2hhcGVsIEhpbGwsIE5DLCBVU0EuJiN4RDtEZXBhcnRtZW50IG9mIFBhdGhvbG9neSAmYW1w
OyBMYWJvcmF0b3J5IE1lZGljaW5lLCBVbml2ZXJzaXR5IG9mIE5vcnRoIENhcm9saW5hLCBDaGFw
ZWwgSGlsbCwgTkMsIFVTQS4mI3hEO1NwYW5pc2ggQnJlYXN0IENhbmNlciBSZXNlYXJjaCBHcm91
cCAoR0VJQ0FNKSwgTWFkcmlkLCBTcGFpbi4mI3hEO0RlcGFydG1lbnQgb2YgTWVkaWNhbCBPbmNv
bG9neSwgRWxjaGUgVW5pdmVyc2l0eSBHZW5lcmFsIEhvc3BpdGFsLCBFbGNoZSwgU3BhaW4uPC9h
dXRoLWFkZHJlc3M+PHRpdGxlcz48dGl0bGU+UHJvZ25vc3RpYyBhYmlsaXR5IG9mIEVuZG9QcmVk
aWN0IGNvbXBhcmVkIHRvIHJlc2VhcmNoLWJhc2VkIHZlcnNpb25zIG9mIHRoZSBQQU01MCByaXNr
IG9mIHJlY3VycmVuY2UgKFJPUikgc2NvcmVzIGluIG5vZGUtcG9zaXRpdmUsIGVzdHJvZ2VuIHJl
Y2VwdG9yLXBvc2l0aXZlLCBhbmQgSEVSMi1uZWdhdGl2ZSBicmVhc3QgY2FuY2VyLiBBIEdFSUNB
TS85OTA2IHN1Yi1zdHVkeTwvdGl0bGU+PHNlY29uZGFyeS10aXRsZT5CcmVhc3QgQ2FuY2VyIFJl
cyBUcmVhdDwvc2Vjb25kYXJ5LXRpdGxlPjwvdGl0bGVzPjxwZXJpb2RpY2FsPjxmdWxsLXRpdGxl
PkJyZWFzdCBDYW5jZXIgUmVzIFRyZWF0PC9mdWxsLXRpdGxlPjwvcGVyaW9kaWNhbD48cGFnZXM+
ODEtOTwvcGFnZXM+PHZvbHVtZT4xNTY8L3ZvbHVtZT48bnVtYmVyPjE8L251bWJlcj48a2V5d29y
ZHM+PGtleXdvcmQ+QW50aW5lb3BsYXN0aWMgQWdlbnRzLCBIb3Jtb25hbC8qdGhlcmFwZXV0aWMg
dXNlPC9rZXl3b3JkPjxrZXl3b3JkPkJyZWFzdCBOZW9wbGFzbXMvKmRydWcgdGhlcmFweS9nZW5l
dGljcy9wYXRob2xvZ3k8L2tleXdvcmQ+PGtleXdvcmQ+Q2hlbW90aGVyYXB5LCBBZGp1dmFudC8q
bWV0aG9kczwva2V5d29yZD48a2V5d29yZD5GZW1hbGU8L2tleXdvcmQ+PGtleXdvcmQ+SHVtYW5z
PC9rZXl3b3JkPjxrZXl3b3JkPkthcGxhbi1NZWllciBFc3RpbWF0ZTwva2V5d29yZD48a2V5d29y
ZD5Qcm9nbm9zaXM8L2tleXdvcmQ+PGtleXdvcmQ+UmVjZXB0b3IsIEVyYkItMi8qZ2VuZXRpY3M8
L2tleXdvcmQ+PGtleXdvcmQ+UmVjZXB0b3JzLCBFc3Ryb2dlbi8qZ2VuZXRpY3M8L2tleXdvcmQ+
PGtleXdvcmQ+UmlzayBBc3Nlc3NtZW50L21ldGhvZHM8L2tleXdvcmQ+PGtleXdvcmQ+VHJlYXRt
ZW50IE91dGNvbWU8L2tleXdvcmQ+PGtleXdvcmQ+QnJlYXN0IGNhbmNlcjwva2V5d29yZD48a2V5
d29yZD5DaGVtb3RoZXJhcHk8L2tleXdvcmQ+PGtleXdvcmQ+RW5kb1ByZWRpY3Q8L2tleXdvcmQ+
PGtleXdvcmQ+UGFtNTA8L2tleXdvcmQ+PC9rZXl3b3Jkcz48ZGF0ZXM+PHllYXI+MjAxNjwveWVh
cj48cHViLWRhdGVzPjxkYXRlPkZlYjwvZGF0ZT48L3B1Yi1kYXRlcz48L2RhdGVzPjxpc2JuPjE1
NzMtNzIxNyAoRWxlY3Ryb25pYykmI3hEOzAxNjctNjgwNiAoTGlua2luZyk8L2lzYm4+PGFjY2Vz
c2lvbi1udW0+MjY5MDk3OTI8L2FjY2Vzc2lvbi1udW0+PHVybHM+PHJlbGF0ZWQtdXJscz48dXJs
Pmh0dHBzOi8vd3d3Lm5jYmkubmxtLm5paC5nb3YvcHVibWVkLzI2OTA5NzkyPC91cmw+PC9yZWxh
dGVkLXVybHM+PC91cmxzPjxjdXN0b20yPlBNQzQ3ODg2OTE8L2N1c3RvbTI+PGVsZWN0cm9uaWMt
cmVzb3VyY2UtbnVtPjEwLjEwMDcvczEwNTQ5LTAxNi0zNzI1LXo8L2VsZWN0cm9uaWMtcmVzb3Vy
Y2UtbnVtPjwvcmVjb3JkPjwvQ2l0ZT48L0VuZE5vdGU+AG==
</w:fldData>
          </w:fldChar>
        </w:r>
        <w:r w:rsidRPr="006F38A9">
          <w:rPr>
            <w:rStyle w:val="Strong"/>
            <w:b w:val="0"/>
            <w:szCs w:val="24"/>
          </w:rPr>
          <w:instrText xml:space="preserve"> ADDIN EN.CITE </w:instrText>
        </w:r>
        <w:r w:rsidRPr="006F38A9">
          <w:rPr>
            <w:rStyle w:val="Strong"/>
            <w:b w:val="0"/>
            <w:szCs w:val="24"/>
          </w:rPr>
          <w:fldChar w:fldCharType="begin">
            <w:fldData xml:space="preserve">PEVuZE5vdGU+PENpdGUgQXV0aG9yWWVhcj0iMSI+PEF1dGhvcj5NYXJ0aW48L0F1dGhvcj48WWVh
cj4yMDE2PC9ZZWFyPjxSZWNOdW0+MjwvUmVjTnVtPjxEaXNwbGF5VGV4dD5NYXJ0aW4gZXQgYWwu
ICgyMDE2KTwvRGlzcGxheVRleHQ+PHJlY29yZD48cmVjLW51bWJlcj4yPC9yZWMtbnVtYmVyPjxm
b3JlaWduLWtleXM+PGtleSBhcHA9IkVOIiBkYi1pZD0iOWV3ZHByMjVmOTVzcmVlcnMyN3ZmZXMz
OXRmZnY1dmR4emF6IiB0aW1lc3RhbXA9IjE1NjU3NDc5MDEiIGd1aWQ9IjkzYTliYTZiLTYzZGMt
NDFhOC05YTkyLWY0NzhlZjlmMjI5ZCI+Mjwva2V5PjwvZm9yZWlnbi1rZXlzPjxyZWYtdHlwZSBu
YW1lPSJKb3VybmFsIEFydGljbGUiPjE3PC9yZWYtdHlwZT48Y29udHJpYnV0b3JzPjxhdXRob3Jz
PjxhdXRob3I+TWFydGluLCBNLjwvYXV0aG9yPjxhdXRob3I+QnJhc2UsIEouIEMuPC9hdXRob3I+
PGF1dGhvcj5SdWl6LCBBLjwvYXV0aG9yPjxhdXRob3I+UHJhdCwgQS48L2F1dGhvcj48YXV0aG9y
Pktyb25lbndldHQsIFIuPC9hdXRob3I+PGF1dGhvcj5DYWx2bywgTC48L2F1dGhvcj48YXV0aG9y
PlBldHJ5LCBDLjwvYXV0aG9yPjxhdXRob3I+QmVybmFyZCwgUC4gUy48L2F1dGhvcj48YXV0aG9y
PlJ1aXotQm9ycmVnbywgTS48L2F1dGhvcj48YXV0aG9yPldlYmVyLCBLLiBFLjwvYXV0aG9yPjxh
dXRob3I+Um9kcmlndWV6LCBDLiBBLjwvYXV0aG9yPjxhdXRob3I+QWx2YXJleiwgSS4gTS48L2F1
dGhvcj48YXV0aG9yPlNlZ3VpLCBNLiBBLjwvYXV0aG9yPjxhdXRob3I+UGVyb3UsIEMuIE0uPC9h
dXRob3I+PGF1dGhvcj5DYXNhcywgTS48L2F1dGhvcj48YXV0aG9yPkNhcnJhc2NvLCBFLjwvYXV0
aG9yPjxhdXRob3I+Q2FiYWxsZXJvLCBSLjwvYXV0aG9yPjxhdXRob3I+Um9kcmlndWV6LUxlc2N1
cmUsIEEuPC9hdXRob3I+PC9hdXRob3JzPjwvY29udHJpYnV0b3JzPjxhdXRoLWFkZHJlc3M+RGVw
YXJ0bWVudCBvZiBNZWRpY2FsIE9uY29sb2d5LCBJbnN0aXR1dG8gZGUgSW52ZXN0aWdhY2lvbiBT
YW5pdGFyaWEgR3JlZ29yaW8gTWFyYW5vbiwgVW5pdmVyc2lkYWQgQ29tcGx1dGVudGUgZGUgTWFk
cmlkLCBDYWxsZSBNYWlxdWV6IDcsIE1hZHJpZCwgU3BhaW4uIG1tYXJ0aW5AZ2VpY2FtLm9yZy4m
I3hEO1Npdmlkb24gRGlhZ25vc3RpY3MgR21iSCwgQ29sb2duZSwgR2VybWFueS4mI3hEO0RlcGFy
dG1lbnQgb2YgTWVkaWNhbCBPbmNvbG9neSwgVmFsZW5jaWFuIEluc3RpdHV0ZSBvZiBPbmNvbG9n
eSAoSVZPKSwgVmFsZW5jaWEsIFNwYWluLiYjeEQ7VHJhbnNsYXRpb25hbCBHZW5vbWljcyBHcm91
cCwgVmFsbCBkJmFwb3M7SGVicm9uIEluc3RpdHV0ZSBvZiBPbmNvbG9neSAoVkhJTyksIEJhcmNl
bG9uYSwgU3BhaW4uJiN4RDtEZXBhcnRtZW50IG9mIE1lZGljYWwgT25jb2xvZ3ksIEEgQ29ydW5h
IFVuaXZlcnNpdHkgSG9zcGl0YWwgQ29tcGxleCwgQSBDb3J1bmEsIFNwYWluLiYjeEQ7U29saWQg
VHVtb3IgTW9sZWN1bGFyIERpYWdub3N0aWNzIExhYm9yYXRvcnksIEFSVVAgTGFib3JhdG9yaWVz
LCBVdGFoLCBVU0EuJiN4RDtEZXBhcnRtZW50IG9mIE1lZGljYWwgT25jb2xvZ3ksIFZpcmdlbiBk
ZWwgUm9jaW8gVW5pdmVyc2l0eSBIb3NwaXRhbCwgU2V2aWxsZSwgU3BhaW4uJiN4RDtEZXBhcnRt
ZW50IG9mIE1lZGljYWwgT25jb2xvZ3ksIFNhbGFtYW5jYSBVbml2ZXJzaXR5IEhvc3BpdGFsLUlC
U0FMLCBTYWxhbWFuY2EsIFNwYWluLiYjeEQ7RGVwYXJ0bWVudCBvZiBNZWRpY2FsIE9uY29sb2d5
LCBEb25vc3RpYSBVbml2ZXJzaXR5IEhvc3BpdGFsLCBEb25vc3RpYSwgU3BhaW4uJiN4RDtEZXBh
cnRtZW50IG9mIE1lZGljYWwgT25jb2xvZ3ksIFBhcmMgVGF1bGkgVW5pdmVyc2l0eSBIb3NwaXRh
bCwgU2FiYWRlbGwsIFNwYWluLiYjeEQ7TGluZWJlcmdlciBDb21wcmVoZW5zaXZlIENhbmNlciBD
ZW50ZXIsIFVuaXZlcnNpdHkgb2YgTm9ydGggQ2Fyb2xpbmEsIENoYXBlbCBIaWxsLCBOQywgVVNB
LiYjeEQ7RGVwYXJ0bWVudCBvZiBHZW5ldGljcywgVW5pdmVyc2l0eSBvZiBOb3J0aCBDYXJvbGlu
YSwgQ2hhcGVsIEhpbGwsIE5DLCBVU0EuJiN4RDtEZXBhcnRtZW50IG9mIFBhdGhvbG9neSAmYW1w
OyBMYWJvcmF0b3J5IE1lZGljaW5lLCBVbml2ZXJzaXR5IG9mIE5vcnRoIENhcm9saW5hLCBDaGFw
ZWwgSGlsbCwgTkMsIFVTQS4mI3hEO1NwYW5pc2ggQnJlYXN0IENhbmNlciBSZXNlYXJjaCBHcm91
cCAoR0VJQ0FNKSwgTWFkcmlkLCBTcGFpbi4mI3hEO0RlcGFydG1lbnQgb2YgTWVkaWNhbCBPbmNv
bG9neSwgRWxjaGUgVW5pdmVyc2l0eSBHZW5lcmFsIEhvc3BpdGFsLCBFbGNoZSwgU3BhaW4uPC9h
dXRoLWFkZHJlc3M+PHRpdGxlcz48dGl0bGU+UHJvZ25vc3RpYyBhYmlsaXR5IG9mIEVuZG9QcmVk
aWN0IGNvbXBhcmVkIHRvIHJlc2VhcmNoLWJhc2VkIHZlcnNpb25zIG9mIHRoZSBQQU01MCByaXNr
IG9mIHJlY3VycmVuY2UgKFJPUikgc2NvcmVzIGluIG5vZGUtcG9zaXRpdmUsIGVzdHJvZ2VuIHJl
Y2VwdG9yLXBvc2l0aXZlLCBhbmQgSEVSMi1uZWdhdGl2ZSBicmVhc3QgY2FuY2VyLiBBIEdFSUNB
TS85OTA2IHN1Yi1zdHVkeTwvdGl0bGU+PHNlY29uZGFyeS10aXRsZT5CcmVhc3QgQ2FuY2VyIFJl
cyBUcmVhdDwvc2Vjb25kYXJ5LXRpdGxlPjwvdGl0bGVzPjxwZXJpb2RpY2FsPjxmdWxsLXRpdGxl
PkJyZWFzdCBDYW5jZXIgUmVzIFRyZWF0PC9mdWxsLXRpdGxlPjwvcGVyaW9kaWNhbD48cGFnZXM+
ODEtOTwvcGFnZXM+PHZvbHVtZT4xNTY8L3ZvbHVtZT48bnVtYmVyPjE8L251bWJlcj48a2V5d29y
ZHM+PGtleXdvcmQ+QW50aW5lb3BsYXN0aWMgQWdlbnRzLCBIb3Jtb25hbC8qdGhlcmFwZXV0aWMg
dXNlPC9rZXl3b3JkPjxrZXl3b3JkPkJyZWFzdCBOZW9wbGFzbXMvKmRydWcgdGhlcmFweS9nZW5l
dGljcy9wYXRob2xvZ3k8L2tleXdvcmQ+PGtleXdvcmQ+Q2hlbW90aGVyYXB5LCBBZGp1dmFudC8q
bWV0aG9kczwva2V5d29yZD48a2V5d29yZD5GZW1hbGU8L2tleXdvcmQ+PGtleXdvcmQ+SHVtYW5z
PC9rZXl3b3JkPjxrZXl3b3JkPkthcGxhbi1NZWllciBFc3RpbWF0ZTwva2V5d29yZD48a2V5d29y
ZD5Qcm9nbm9zaXM8L2tleXdvcmQ+PGtleXdvcmQ+UmVjZXB0b3IsIEVyYkItMi8qZ2VuZXRpY3M8
L2tleXdvcmQ+PGtleXdvcmQ+UmVjZXB0b3JzLCBFc3Ryb2dlbi8qZ2VuZXRpY3M8L2tleXdvcmQ+
PGtleXdvcmQ+UmlzayBBc3Nlc3NtZW50L21ldGhvZHM8L2tleXdvcmQ+PGtleXdvcmQ+VHJlYXRt
ZW50IE91dGNvbWU8L2tleXdvcmQ+PGtleXdvcmQ+QnJlYXN0IGNhbmNlcjwva2V5d29yZD48a2V5
d29yZD5DaGVtb3RoZXJhcHk8L2tleXdvcmQ+PGtleXdvcmQ+RW5kb1ByZWRpY3Q8L2tleXdvcmQ+
PGtleXdvcmQ+UGFtNTA8L2tleXdvcmQ+PC9rZXl3b3Jkcz48ZGF0ZXM+PHllYXI+MjAxNjwveWVh
cj48cHViLWRhdGVzPjxkYXRlPkZlYjwvZGF0ZT48L3B1Yi1kYXRlcz48L2RhdGVzPjxpc2JuPjE1
NzMtNzIxNyAoRWxlY3Ryb25pYykmI3hEOzAxNjctNjgwNiAoTGlua2luZyk8L2lzYm4+PGFjY2Vz
c2lvbi1udW0+MjY5MDk3OTI8L2FjY2Vzc2lvbi1udW0+PHVybHM+PHJlbGF0ZWQtdXJscz48dXJs
Pmh0dHBzOi8vd3d3Lm5jYmkubmxtLm5paC5nb3YvcHVibWVkLzI2OTA5NzkyPC91cmw+PC9yZWxh
dGVkLXVybHM+PC91cmxzPjxjdXN0b20yPlBNQzQ3ODg2OTE8L2N1c3RvbTI+PGVsZWN0cm9uaWMt
cmVzb3VyY2UtbnVtPjEwLjEwMDcvczEwNTQ5LTAxNi0zNzI1LXo8L2VsZWN0cm9uaWMtcmVzb3Vy
Y2UtbnVtPjwvcmVjb3JkPjwvQ2l0ZT48L0VuZE5vdGU+AG==
</w:fldData>
          </w:fldChar>
        </w:r>
        <w:r w:rsidRPr="006F38A9">
          <w:rPr>
            <w:rStyle w:val="Strong"/>
            <w:b w:val="0"/>
            <w:szCs w:val="24"/>
          </w:rPr>
          <w:instrText xml:space="preserve"> ADDIN EN.CITE.DATA </w:instrText>
        </w:r>
        <w:r w:rsidRPr="006F38A9">
          <w:rPr>
            <w:rStyle w:val="Strong"/>
            <w:b w:val="0"/>
            <w:szCs w:val="24"/>
          </w:rPr>
        </w:r>
        <w:r w:rsidRPr="006F38A9">
          <w:rPr>
            <w:rStyle w:val="Strong"/>
            <w:b w:val="0"/>
            <w:szCs w:val="24"/>
          </w:rPr>
          <w:fldChar w:fldCharType="end"/>
        </w:r>
        <w:r w:rsidRPr="006F38A9">
          <w:rPr>
            <w:rStyle w:val="Strong"/>
            <w:b w:val="0"/>
            <w:szCs w:val="24"/>
          </w:rPr>
        </w:r>
        <w:r w:rsidRPr="006F38A9">
          <w:rPr>
            <w:rStyle w:val="Strong"/>
            <w:b w:val="0"/>
            <w:szCs w:val="24"/>
          </w:rPr>
          <w:fldChar w:fldCharType="separate"/>
        </w:r>
        <w:r w:rsidRPr="006F38A9">
          <w:rPr>
            <w:rStyle w:val="Strong"/>
            <w:b w:val="0"/>
            <w:noProof/>
            <w:szCs w:val="24"/>
          </w:rPr>
          <w:t>Martin et al. (2016)</w:t>
        </w:r>
        <w:r w:rsidRPr="006F38A9">
          <w:rPr>
            <w:rStyle w:val="Strong"/>
            <w:b w:val="0"/>
            <w:szCs w:val="24"/>
          </w:rPr>
          <w:fldChar w:fldCharType="end"/>
        </w:r>
      </w:hyperlink>
      <w:r w:rsidRPr="006F38A9">
        <w:rPr>
          <w:rStyle w:val="Strong"/>
          <w:b w:val="0"/>
          <w:szCs w:val="24"/>
        </w:rPr>
        <w:t xml:space="preserve"> included patients from GEICAM 9906 trial if </w:t>
      </w:r>
      <w:r w:rsidR="003B498A">
        <w:rPr>
          <w:rStyle w:val="Strong"/>
          <w:b w:val="0"/>
          <w:szCs w:val="24"/>
        </w:rPr>
        <w:t>their tumours were ER+/ HER2-.).</w:t>
      </w:r>
    </w:p>
    <w:p w14:paraId="10447E13" w14:textId="6C8C2882" w:rsidR="006F38A9" w:rsidRPr="00051FB0" w:rsidRDefault="006F38A9" w:rsidP="00F002C7">
      <w:pPr>
        <w:spacing w:after="240"/>
        <w:rPr>
          <w:rStyle w:val="Strong"/>
          <w:b w:val="0"/>
          <w:szCs w:val="24"/>
        </w:rPr>
      </w:pPr>
      <w:r w:rsidRPr="006F38A9">
        <w:rPr>
          <w:rStyle w:val="Strong"/>
          <w:b w:val="0"/>
        </w:rPr>
        <w:t>TransATAC evaluated efficacy and safety of anastrozole vs tamoxifen for five years in postmenopausal women with early stage breast cancer (</w:t>
      </w:r>
      <w:hyperlink w:anchor="_ENREF_4" w:tooltip="Buus, 2016 #11" w:history="1">
        <w:r w:rsidRPr="006F38A9">
          <w:rPr>
            <w:rStyle w:val="Strong"/>
            <w:b w:val="0"/>
          </w:rPr>
          <w:fldChar w:fldCharType="begin">
            <w:fldData xml:space="preserve">PEVuZE5vdGU+PENpdGUgQXV0aG9yWWVhcj0iMSI+PEF1dGhvcj5CdXVzPC9BdXRob3I+PFllYXI+
MjAxNjwvWWVhcj48UmVjTnVtPjExPC9SZWNOdW0+PERpc3BsYXlUZXh0PkJ1dXMgZXQgYWwuICgy
MDE2KTwvRGlzcGxheVRleHQ+PHJlY29yZD48cmVjLW51bWJlcj4xMTwvcmVjLW51bWJlcj48Zm9y
ZWlnbi1rZXlzPjxrZXkgYXBwPSJFTiIgZGItaWQ9Ijlld2RwcjI1Zjk1c3JlZXJzMjd2ZmVzMzl0
ZmZ2NXZkeHpheiIgdGltZXN0YW1wPSIxNTY1NzQ3OTAxIiBndWlkPSJjYWUyOGEyNi03NjZmLTQ0
MmMtYTIwMC0zZWVkMjg2ODljMjUiPjExPC9rZXk+PC9mb3JlaWduLWtleXM+PHJlZi10eXBlIG5h
bWU9IkpvdXJuYWwgQXJ0aWNsZSI+MTc8L3JlZi10eXBlPjxjb250cmlidXRvcnM+PGF1dGhvcnM+
PGF1dGhvcj5CdXVzLCBSLjwvYXV0aG9yPjxhdXRob3I+U2VzdGFrLCBJLjwvYXV0aG9yPjxhdXRo
b3I+S3JvbmVud2V0dCwgUi48L2F1dGhvcj48YXV0aG9yPkRlbmtlcnQsIEMuPC9hdXRob3I+PGF1
dGhvcj5EdWJza3ksIFAuPC9hdXRob3I+PGF1dGhvcj5LcmFwcG1hbm4sIEsuPC9hdXRob3I+PGF1
dGhvcj5TY2hlZXIsIE0uPC9hdXRob3I+PGF1dGhvcj5QZXRyeSwgQy48L2F1dGhvcj48YXV0aG9y
PkN1emljaywgSi48L2F1dGhvcj48YXV0aG9yPkRvd3NldHQsIE0uPC9hdXRob3I+PC9hdXRob3Jz
PjwvY29udHJpYnV0b3JzPjxhdXRoLWFkZHJlc3M+QnV1cywgUmljaGFyZC4gQWZmaWxpYXRpb25z
IG9mIGF1dGhvcnM6IFRoZSBCcmVhc3QgQ2FuY2VyIE5vdyBUb2J5IFJvYmlucyBSZXNlYXJjaCBD
ZW50cmUsIEluc3RpdHV0ZSBvZiBDYW5jZXIgUmVzZWFyY2gsIExvbmRvbiwgVUsgKFJCLCBNRCk7
IEFjYWRlbWljIERlcGFydG1lbnQgb2YgQmlvY2hlbWlzdHJ5LCBSb3lhbCBNYXJzZGVuIEhvc3Bp
dGFsLCBMb25kb24sIFVLIChSQiwgTUQpOyBDZW50cmUgZm9yIENhbmNlciBQcmV2ZW50aW9uLCBX
b2xmc29uIEluc3RpdHV0ZSBvZiBQcmV2ZW50aXZlIE1lZGljaW5lLCBRdWVlbiBNYXJ5IFVuaXZl
cnNpdHkgb2YgTG9uZG9uLCBMb25kb24sIFVLIChJUywgSkMpOyBTaXZpZG9uIERpYWdub3N0aWNz
IEdtYkgsIENvbG9nbmUsIEdlcm1hbnkgKFJLLCBLSywgTVMsIENQKTsgSW5zdGl0dXRlIG9mIFBh
dGhvbG9neSwgQ2hhcml0ZSBVbml2ZXJzaXR5IEhvc3BpdGFsIGFuZCBHZXJtYW4gQ2FuY2VyIENv
bnNvcnRpdW0gKERLVEspLCBCZXJsaW4sIEdlcm1hbnkgKENEKTsgRGVwYXJ0bWVudCBvZiBTdXJn
ZXJ5IGFuZCBDb21wcmVoZW5zaXZlIENhbmNlciBDZW50ZXIsIE1lZGljYWwgVW5pdmVyc2l0eSBv
ZiBWaWVubmEsIFZpZW5uYSwgQXVzdHJpYSAoUEQpLjwvYXV0aC1hZGRyZXNzPjx0aXRsZXM+PHRp
dGxlPkNvbXBhcmlzb24gb2YgRW5kb1ByZWRpY3QgYW5kIEVQY2xpbiBXaXRoIE9uY290eXBlIERY
IFJlY3VycmVuY2UgU2NvcmUgZm9yIFByZWRpY3Rpb24gb2YgUmlzayBvZiBEaXN0YW50IFJlY3Vy
cmVuY2UgQWZ0ZXIgRW5kb2NyaW5lIFRoZXJhcHk8L3RpdGxlPjxzZWNvbmRhcnktdGl0bGU+Sm91
cm5hbCBvZiB0aGUgTmF0aW9uYWwgQ2FuY2VyIEluc3RpdHV0ZTwvc2Vjb25kYXJ5LXRpdGxlPjxh
bHQtdGl0bGU+SiBOYXRsIENhbmNlciBJbnN0PC9hbHQtdGl0bGU+PC90aXRsZXM+PHBlcmlvZGlj
YWw+PGZ1bGwtdGl0bGU+Sm91cm5hbCBvZiB0aGUgTmF0aW9uYWwgQ2FuY2VyIEluc3RpdHV0ZTwv
ZnVsbC10aXRsZT48YWJici0xPkogTmF0bCBDYW5jZXIgSW5zdDwvYWJici0xPjwvcGVyaW9kaWNh
bD48YWx0LXBlcmlvZGljYWw+PGZ1bGwtdGl0bGU+Sm91cm5hbCBvZiB0aGUgTmF0aW9uYWwgQ2Fu
Y2VyIEluc3RpdHV0ZTwvZnVsbC10aXRsZT48YWJici0xPkogTmF0bCBDYW5jZXIgSW5zdDwvYWJi
ci0xPjwvYWx0LXBlcmlvZGljYWw+PHZvbHVtZT4xMDgoMTEpPC92b2x1bWU+PGtleXdvcmRzPjxr
ZXl3b3JkPkFuYXN0cm96b2xlPC9rZXl3b3JkPjxrZXl3b3JkPkFudGluZW9wbGFzdGljIEFnZW50
cywgSG9ybW9uYWwvdHUgW1RoZXJhcGV1dGljIFVzZV08L2tleXdvcmQ+PGtleXdvcmQ+QnJlYXN0
IE5lb3BsYXNtcy9jaCBbQ2hlbWlzdHJ5XTwva2V5d29yZD48a2V5d29yZD5CcmVhc3QgTmVvcGxh
c21zL2R0IFtEcnVnIFRoZXJhcHldPC9rZXl3b3JkPjxrZXl3b3JkPipCcmVhc3QgTmVvcGxhc21z
L2dlIFtHZW5ldGljc108L2tleXdvcmQ+PGtleXdvcmQ+KkJyZWFzdCBOZW9wbGFzbXMvcGEgW1Bh
dGhvbG9neV08L2tleXdvcmQ+PGtleXdvcmQ+RGlzZWFzZS1GcmVlIFN1cnZpdmFsPC9rZXl3b3Jk
PjxrZXl3b3JkPkZlbWFsZTwva2V5d29yZD48a2V5d29yZD5Gb2xsb3ctVXAgU3R1ZGllczwva2V5
d29yZD48a2V5d29yZD5IdW1hbnM8L2tleXdvcmQ+PGtleXdvcmQ+S2FwbGFuLU1laWVyIEVzdGlt
YXRlPC9rZXl3b3JkPjxrZXl3b3JkPkxpa2VsaWhvb2QgRnVuY3Rpb25zPC9rZXl3b3JkPjxrZXl3
b3JkPipMeW1waCBOb2Rlcy9wYSBbUGF0aG9sb2d5XTwva2V5d29yZD48a2V5d29yZD5MeW1waGF0
aWMgTWV0YXN0YXNpczwva2V5d29yZD48a2V5d29yZD5OaXRyaWxlcy90dSBbVGhlcmFwZXV0aWMg
VXNlXTwva2V5d29yZD48a2V5d29yZD5QcmVkaWN0aXZlIFZhbHVlIG9mIFRlc3RzPC9rZXl3b3Jk
PjxrZXl3b3JkPlByb2dub3Npczwva2V5d29yZD48a2V5d29yZD5SZWNlcHRvciwgRXJiQi0yL2Fu
IFtBbmFseXNpc108L2tleXdvcmQ+PGtleXdvcmQ+UmVjZXB0b3JzLCBFc3Ryb2dlbi9hbiBbQW5h
bHlzaXNdPC9rZXl3b3JkPjxrZXl3b3JkPlJpc2sgQXNzZXNzbWVudC9tdCBbTWV0aG9kc108L2tl
eXdvcmQ+PGtleXdvcmQ+VGFtb3hpZmVuL3R1IFtUaGVyYXBldXRpYyBVc2VdPC9rZXl3b3JkPjxr
ZXl3b3JkPlRyaWF6b2xlcy90dSBbVGhlcmFwZXV0aWMgVXNlXTwva2V5d29yZD48a2V5d29yZD5U
dW1vciBCdXJkZW48L2tleXdvcmQ+PC9rZXl3b3Jkcz48ZGF0ZXM+PHllYXI+MjAxNjwveWVhcj48
L2RhdGVzPjxpc2JuPjE0NjAtMjEwNTwvaXNibj48YWNjZXNzaW9uLW51bT4yNzQwMDk2OTwvYWNj
ZXNzaW9uLW51bT48d29yay10eXBlPkNvbXBhcmF0aXZlIFN0dWR5PC93b3JrLXR5cGU+PHVybHM+
PC91cmxzPjxsYW5ndWFnZT5FbmdsaXNoPC9sYW5ndWFnZT48L3JlY29yZD48L0NpdGU+PC9FbmRO
b3RlPgB=
</w:fldData>
          </w:fldChar>
        </w:r>
        <w:r w:rsidRPr="006F38A9">
          <w:rPr>
            <w:rStyle w:val="Strong"/>
            <w:b w:val="0"/>
          </w:rPr>
          <w:instrText xml:space="preserve"> ADDIN EN.CITE </w:instrText>
        </w:r>
        <w:r w:rsidRPr="006F38A9">
          <w:rPr>
            <w:rStyle w:val="Strong"/>
            <w:b w:val="0"/>
          </w:rPr>
          <w:fldChar w:fldCharType="begin">
            <w:fldData xml:space="preserve">PEVuZE5vdGU+PENpdGUgQXV0aG9yWWVhcj0iMSI+PEF1dGhvcj5CdXVzPC9BdXRob3I+PFllYXI+
MjAxNjwvWWVhcj48UmVjTnVtPjExPC9SZWNOdW0+PERpc3BsYXlUZXh0PkJ1dXMgZXQgYWwuICgy
MDE2KTwvRGlzcGxheVRleHQ+PHJlY29yZD48cmVjLW51bWJlcj4xMTwvcmVjLW51bWJlcj48Zm9y
ZWlnbi1rZXlzPjxrZXkgYXBwPSJFTiIgZGItaWQ9Ijlld2RwcjI1Zjk1c3JlZXJzMjd2ZmVzMzl0
ZmZ2NXZkeHpheiIgdGltZXN0YW1wPSIxNTY1NzQ3OTAxIiBndWlkPSJjYWUyOGEyNi03NjZmLTQ0
MmMtYTIwMC0zZWVkMjg2ODljMjUiPjExPC9rZXk+PC9mb3JlaWduLWtleXM+PHJlZi10eXBlIG5h
bWU9IkpvdXJuYWwgQXJ0aWNsZSI+MTc8L3JlZi10eXBlPjxjb250cmlidXRvcnM+PGF1dGhvcnM+
PGF1dGhvcj5CdXVzLCBSLjwvYXV0aG9yPjxhdXRob3I+U2VzdGFrLCBJLjwvYXV0aG9yPjxhdXRo
b3I+S3JvbmVud2V0dCwgUi48L2F1dGhvcj48YXV0aG9yPkRlbmtlcnQsIEMuPC9hdXRob3I+PGF1
dGhvcj5EdWJza3ksIFAuPC9hdXRob3I+PGF1dGhvcj5LcmFwcG1hbm4sIEsuPC9hdXRob3I+PGF1
dGhvcj5TY2hlZXIsIE0uPC9hdXRob3I+PGF1dGhvcj5QZXRyeSwgQy48L2F1dGhvcj48YXV0aG9y
PkN1emljaywgSi48L2F1dGhvcj48YXV0aG9yPkRvd3NldHQsIE0uPC9hdXRob3I+PC9hdXRob3Jz
PjwvY29udHJpYnV0b3JzPjxhdXRoLWFkZHJlc3M+QnV1cywgUmljaGFyZC4gQWZmaWxpYXRpb25z
IG9mIGF1dGhvcnM6IFRoZSBCcmVhc3QgQ2FuY2VyIE5vdyBUb2J5IFJvYmlucyBSZXNlYXJjaCBD
ZW50cmUsIEluc3RpdHV0ZSBvZiBDYW5jZXIgUmVzZWFyY2gsIExvbmRvbiwgVUsgKFJCLCBNRCk7
IEFjYWRlbWljIERlcGFydG1lbnQgb2YgQmlvY2hlbWlzdHJ5LCBSb3lhbCBNYXJzZGVuIEhvc3Bp
dGFsLCBMb25kb24sIFVLIChSQiwgTUQpOyBDZW50cmUgZm9yIENhbmNlciBQcmV2ZW50aW9uLCBX
b2xmc29uIEluc3RpdHV0ZSBvZiBQcmV2ZW50aXZlIE1lZGljaW5lLCBRdWVlbiBNYXJ5IFVuaXZl
cnNpdHkgb2YgTG9uZG9uLCBMb25kb24sIFVLIChJUywgSkMpOyBTaXZpZG9uIERpYWdub3N0aWNz
IEdtYkgsIENvbG9nbmUsIEdlcm1hbnkgKFJLLCBLSywgTVMsIENQKTsgSW5zdGl0dXRlIG9mIFBh
dGhvbG9neSwgQ2hhcml0ZSBVbml2ZXJzaXR5IEhvc3BpdGFsIGFuZCBHZXJtYW4gQ2FuY2VyIENv
bnNvcnRpdW0gKERLVEspLCBCZXJsaW4sIEdlcm1hbnkgKENEKTsgRGVwYXJ0bWVudCBvZiBTdXJn
ZXJ5IGFuZCBDb21wcmVoZW5zaXZlIENhbmNlciBDZW50ZXIsIE1lZGljYWwgVW5pdmVyc2l0eSBv
ZiBWaWVubmEsIFZpZW5uYSwgQXVzdHJpYSAoUEQpLjwvYXV0aC1hZGRyZXNzPjx0aXRsZXM+PHRp
dGxlPkNvbXBhcmlzb24gb2YgRW5kb1ByZWRpY3QgYW5kIEVQY2xpbiBXaXRoIE9uY290eXBlIERY
IFJlY3VycmVuY2UgU2NvcmUgZm9yIFByZWRpY3Rpb24gb2YgUmlzayBvZiBEaXN0YW50IFJlY3Vy
cmVuY2UgQWZ0ZXIgRW5kb2NyaW5lIFRoZXJhcHk8L3RpdGxlPjxzZWNvbmRhcnktdGl0bGU+Sm91
cm5hbCBvZiB0aGUgTmF0aW9uYWwgQ2FuY2VyIEluc3RpdHV0ZTwvc2Vjb25kYXJ5LXRpdGxlPjxh
bHQtdGl0bGU+SiBOYXRsIENhbmNlciBJbnN0PC9hbHQtdGl0bGU+PC90aXRsZXM+PHBlcmlvZGlj
YWw+PGZ1bGwtdGl0bGU+Sm91cm5hbCBvZiB0aGUgTmF0aW9uYWwgQ2FuY2VyIEluc3RpdHV0ZTwv
ZnVsbC10aXRsZT48YWJici0xPkogTmF0bCBDYW5jZXIgSW5zdDwvYWJici0xPjwvcGVyaW9kaWNh
bD48YWx0LXBlcmlvZGljYWw+PGZ1bGwtdGl0bGU+Sm91cm5hbCBvZiB0aGUgTmF0aW9uYWwgQ2Fu
Y2VyIEluc3RpdHV0ZTwvZnVsbC10aXRsZT48YWJici0xPkogTmF0bCBDYW5jZXIgSW5zdDwvYWJi
ci0xPjwvYWx0LXBlcmlvZGljYWw+PHZvbHVtZT4xMDgoMTEpPC92b2x1bWU+PGtleXdvcmRzPjxr
ZXl3b3JkPkFuYXN0cm96b2xlPC9rZXl3b3JkPjxrZXl3b3JkPkFudGluZW9wbGFzdGljIEFnZW50
cywgSG9ybW9uYWwvdHUgW1RoZXJhcGV1dGljIFVzZV08L2tleXdvcmQ+PGtleXdvcmQ+QnJlYXN0
IE5lb3BsYXNtcy9jaCBbQ2hlbWlzdHJ5XTwva2V5d29yZD48a2V5d29yZD5CcmVhc3QgTmVvcGxh
c21zL2R0IFtEcnVnIFRoZXJhcHldPC9rZXl3b3JkPjxrZXl3b3JkPipCcmVhc3QgTmVvcGxhc21z
L2dlIFtHZW5ldGljc108L2tleXdvcmQ+PGtleXdvcmQ+KkJyZWFzdCBOZW9wbGFzbXMvcGEgW1Bh
dGhvbG9neV08L2tleXdvcmQ+PGtleXdvcmQ+RGlzZWFzZS1GcmVlIFN1cnZpdmFsPC9rZXl3b3Jk
PjxrZXl3b3JkPkZlbWFsZTwva2V5d29yZD48a2V5d29yZD5Gb2xsb3ctVXAgU3R1ZGllczwva2V5
d29yZD48a2V5d29yZD5IdW1hbnM8L2tleXdvcmQ+PGtleXdvcmQ+S2FwbGFuLU1laWVyIEVzdGlt
YXRlPC9rZXl3b3JkPjxrZXl3b3JkPkxpa2VsaWhvb2QgRnVuY3Rpb25zPC9rZXl3b3JkPjxrZXl3
b3JkPipMeW1waCBOb2Rlcy9wYSBbUGF0aG9sb2d5XTwva2V5d29yZD48a2V5d29yZD5MeW1waGF0
aWMgTWV0YXN0YXNpczwva2V5d29yZD48a2V5d29yZD5OaXRyaWxlcy90dSBbVGhlcmFwZXV0aWMg
VXNlXTwva2V5d29yZD48a2V5d29yZD5QcmVkaWN0aXZlIFZhbHVlIG9mIFRlc3RzPC9rZXl3b3Jk
PjxrZXl3b3JkPlByb2dub3Npczwva2V5d29yZD48a2V5d29yZD5SZWNlcHRvciwgRXJiQi0yL2Fu
IFtBbmFseXNpc108L2tleXdvcmQ+PGtleXdvcmQ+UmVjZXB0b3JzLCBFc3Ryb2dlbi9hbiBbQW5h
bHlzaXNdPC9rZXl3b3JkPjxrZXl3b3JkPlJpc2sgQXNzZXNzbWVudC9tdCBbTWV0aG9kc108L2tl
eXdvcmQ+PGtleXdvcmQ+VGFtb3hpZmVuL3R1IFtUaGVyYXBldXRpYyBVc2VdPC9rZXl3b3JkPjxr
ZXl3b3JkPlRyaWF6b2xlcy90dSBbVGhlcmFwZXV0aWMgVXNlXTwva2V5d29yZD48a2V5d29yZD5U
dW1vciBCdXJkZW48L2tleXdvcmQ+PC9rZXl3b3Jkcz48ZGF0ZXM+PHllYXI+MjAxNjwveWVhcj48
L2RhdGVzPjxpc2JuPjE0NjAtMjEwNTwvaXNibj48YWNjZXNzaW9uLW51bT4yNzQwMDk2OTwvYWNj
ZXNzaW9uLW51bT48d29yay10eXBlPkNvbXBhcmF0aXZlIFN0dWR5PC93b3JrLXR5cGU+PHVybHM+
PC91cmxzPjxsYW5ndWFnZT5FbmdsaXNoPC9sYW5ndWFnZT48L3JlY29yZD48L0NpdGU+PC9FbmRO
b3RlPgB=
</w:fldData>
          </w:fldChar>
        </w:r>
        <w:r w:rsidRPr="006F38A9">
          <w:rPr>
            <w:rStyle w:val="Strong"/>
            <w:b w:val="0"/>
          </w:rPr>
          <w:instrText xml:space="preserve"> ADDIN EN.CITE.DATA </w:instrText>
        </w:r>
        <w:r w:rsidRPr="006F38A9">
          <w:rPr>
            <w:rStyle w:val="Strong"/>
            <w:b w:val="0"/>
          </w:rPr>
        </w:r>
        <w:r w:rsidRPr="006F38A9">
          <w:rPr>
            <w:rStyle w:val="Strong"/>
            <w:b w:val="0"/>
          </w:rPr>
          <w:fldChar w:fldCharType="end"/>
        </w:r>
        <w:r w:rsidRPr="006F38A9">
          <w:rPr>
            <w:rStyle w:val="Strong"/>
            <w:b w:val="0"/>
          </w:rPr>
        </w:r>
        <w:r w:rsidRPr="006F38A9">
          <w:rPr>
            <w:rStyle w:val="Strong"/>
            <w:b w:val="0"/>
          </w:rPr>
          <w:fldChar w:fldCharType="separate"/>
        </w:r>
        <w:r w:rsidRPr="006F38A9">
          <w:rPr>
            <w:rStyle w:val="Strong"/>
            <w:b w:val="0"/>
            <w:noProof/>
          </w:rPr>
          <w:t>Buus et al. (2016)</w:t>
        </w:r>
        <w:r w:rsidRPr="006F38A9">
          <w:rPr>
            <w:rStyle w:val="Strong"/>
            <w:b w:val="0"/>
          </w:rPr>
          <w:fldChar w:fldCharType="end"/>
        </w:r>
      </w:hyperlink>
      <w:r w:rsidRPr="006F38A9">
        <w:rPr>
          <w:rStyle w:val="Strong"/>
          <w:b w:val="0"/>
        </w:rPr>
        <w:t xml:space="preserve"> and </w:t>
      </w:r>
      <w:hyperlink w:anchor="_ENREF_39" w:tooltip="Sestak, 2018 #6" w:history="1">
        <w:r w:rsidRPr="006F38A9">
          <w:rPr>
            <w:rStyle w:val="Strong"/>
            <w:b w:val="0"/>
          </w:rPr>
          <w:fldChar w:fldCharType="begin">
            <w:fldData xml:space="preserve">PEVuZE5vdGU+PENpdGUgQXV0aG9yWWVhcj0iMSI+PEF1dGhvcj5TZXN0YWs8L0F1dGhvcj48WWVh
cj4yMDE4PC9ZZWFyPjxSZWNOdW0+NjwvUmVjTnVtPjxEaXNwbGF5VGV4dD5JLiBTZXN0YWsgZXQg
YWwuICgyMDE4KTwvRGlzcGxheVRleHQ+PHJlY29yZD48cmVjLW51bWJlcj42PC9yZWMtbnVtYmVy
Pjxmb3JlaWduLWtleXM+PGtleSBhcHA9IkVOIiBkYi1pZD0iOWV3ZHByMjVmOTVzcmVlcnMyN3Zm
ZXMzOXRmZnY1dmR4emF6IiB0aW1lc3RhbXA9IjE1NjU3NDc5MDEiIGd1aWQ9IjgzYTUzMGFmLWZl
OTAtNDlhNy04M2IwLTFjYzRiMWIyZGU5OSI+Njwva2V5PjwvZm9yZWlnbi1rZXlzPjxyZWYtdHlw
ZSBuYW1lPSJKb3VybmFsIEFydGljbGUiPjE3PC9yZWYtdHlwZT48Y29udHJpYnV0b3JzPjxhdXRo
b3JzPjxhdXRob3I+U2VzdGFrLCBJLjwvYXV0aG9yPjxhdXRob3I+QnV1cywgUi48L2F1dGhvcj48
YXV0aG9yPkN1emljaywgSi48L2F1dGhvcj48YXV0aG9yPkR1YnNreSwgUC48L2F1dGhvcj48YXV0
aG9yPktyb25lbndldHQsIFIuPC9hdXRob3I+PGF1dGhvcj5EZW5rZXJ0LCBDLjwvYXV0aG9yPjxh
dXRob3I+RmVycmVlLCBTLjwvYXV0aG9yPjxhdXRob3I+U2dyb2ksIEQuPC9hdXRob3I+PGF1dGhv
cj5TY2huYWJlbCwgQy48L2F1dGhvcj48YXV0aG9yPkJhZWhuZXIsIEYuIEwuPC9hdXRob3I+PGF1
dGhvcj5NYWxsb24sIEUuPC9hdXRob3I+PGF1dGhvcj5Eb3dzZXR0LCBNLjwvYXV0aG9yPjwvYXV0
aG9ycz48L2NvbnRyaWJ1dG9ycz48YXV0aC1hZGRyZXNzPkNlbnRyZSBmb3IgQ2FuY2VyIFByZXZl
bnRpb24sIFdvbGZzb24gSW5zdGl0dXRlIG9mIFByZXZlbnRpdmUgTWVkaWNpbmUsIFF1ZWVuIE1h
cnkgVW5pdmVyc2l0eSBvZiBMb25kb24sIExvbmRvbiwgRW5nbGFuZC4mI3hEO1JhbHBoIExhdXJl
biBDZW50cmUgZm9yIEJyZWFzdCBDYW5jZXIgUmVzZWFyY2gsIFJveWFsIE1hcnNkZW4sIExvbmRv
biwgRW5nbGFuZC4mI3hEO0JyZWFzdCBDYW5jZXIgTm93IFJlc2VhcmNoIENlbnRyZSwgSW5zdGl0
dXRlIG9mIENhbmNlciBSZXNlYXJjaCwgTG9uZG9uLCBFbmdsYW5kLiYjeEQ7RGVwYXJ0bWVudCBv
ZiBTdXJnZXJ5IGFuZCBDb21wcmVoZW5zaXZlIENhbmNlciwgTWVkaWNhbCBVbml2ZXJzaXR5IG9m
IFZpZW5uYSwgQXVzdHJpYS4mI3hEO0JyZWFzdCBDZW50cmUsIEtsaW5payBTdCBBbm5hLCBMdXpl
cm4sIFN3aXR6ZXJsYW5kLiYjeEQ7U2l2aWRvbiBEaWFnbm9zdGljcywgR21iSCwgS29sbiwgR2Vy
bWFueS4mI3hEO0NoYXJpdGUgVW5pdmVyc2l0YXRzbWVkaXppbiBhbmQgR2VybWFuIENhbmNlciBD
b25zb3J0aXVtLCBCZXJsaW4sIEdlcm1hbnkuJiN4RDtOYW5vU3RyaW5nIFRlY2hub2xvZ2llcywg
U2VhdHRsZSwgV2FzaGluZ3Rvbi4mI3hEO0NhbmNlciBDZW50ZXIsIE1hc3NhY2h1c2V0dHMgR2Vu
ZXJhbCBIb3NwaXRhbCwgQm9zdG9uLCBNYXNzYWNodXNldHRzLiYjeEQ7QmlvdGhlcmFub3N0aWNz
LCBTYW4gRGllZ28sIENhbGlmb3JuaWEuJiN4RDtHZW5vbWljSGVhbHRoLCBSZWR3b29kIENpdHks
IENhbGlmb3JuaWEuJiN4RDtTY2hvb2wgb2YgTWVkaWNpbmUsIERlbnRpc3RyeSwgYW5kIE51cnNp
bmcsIFVuaXZlcnNpdHkgb2YgR2xhc2dvdywgR2xhc2dvdywgU2NvdGxhbmQuPC9hdXRoLWFkZHJl
c3M+PHRpdGxlcz48dGl0bGU+Q29tcGFyaXNvbiBvZiB0aGUgUGVyZm9ybWFuY2Ugb2YgNiBQcm9n
bm9zdGljIFNpZ25hdHVyZXMgZm9yIEVzdHJvZ2VuIFJlY2VwdG9yLVBvc2l0aXZlIEJyZWFzdCBD
YW5jZXI6IEEgU2Vjb25kYXJ5IEFuYWx5c2lzIG9mIGEgUmFuZG9taXplZCBDbGluaWNhbCBUcmlh
bDwvdGl0bGU+PHNlY29uZGFyeS10aXRsZT5KQU1BIE9uY29sPC9zZWNvbmRhcnktdGl0bGU+PC90
aXRsZXM+PHBlcmlvZGljYWw+PGZ1bGwtdGl0bGU+SkFNQSBPbmNvbDwvZnVsbC10aXRsZT48L3Bl
cmlvZGljYWw+PHBhZ2VzPjU0NS01NTM8L3BhZ2VzPjx2b2x1bWU+NDwvdm9sdW1lPjxudW1iZXI+
NDwvbnVtYmVyPjxkYXRlcz48eWVhcj4yMDE4PC95ZWFyPjxwdWItZGF0ZXM+PGRhdGU+QXByIDE8
L2RhdGU+PC9wdWItZGF0ZXM+PC9kYXRlcz48aXNibj4yMzc0LTI0NDUgKEVsZWN0cm9uaWMpJiN4
RDsyMzc0LTI0MzcgKExpbmtpbmcpPC9pc2JuPjxhY2Nlc3Npb24tbnVtPjI5NDUwNDk0PC9hY2Nl
c3Npb24tbnVtPjx1cmxzPjxyZWxhdGVkLXVybHM+PHVybD5odHRwczovL3d3dy5uY2JpLm5sbS5u
aWguZ292L3B1Ym1lZC8yOTQ1MDQ5NDwvdXJsPjwvcmVsYXRlZC11cmxzPjwvdXJscz48Y3VzdG9t
Mj5QTUM1ODg1MjIyPC9jdXN0b20yPjxlbGVjdHJvbmljLXJlc291cmNlLW51bT4xMC4xMDAxL2ph
bWFvbmNvbC4yMDE3LjU1MjQ8L2VsZWN0cm9uaWMtcmVzb3VyY2UtbnVtPjwvcmVjb3JkPjwvQ2l0
ZT48L0VuZE5vdGU+
</w:fldData>
          </w:fldChar>
        </w:r>
        <w:r w:rsidRPr="006F38A9">
          <w:rPr>
            <w:rStyle w:val="Strong"/>
            <w:b w:val="0"/>
          </w:rPr>
          <w:instrText xml:space="preserve"> ADDIN EN.CITE </w:instrText>
        </w:r>
        <w:r w:rsidRPr="006F38A9">
          <w:rPr>
            <w:rStyle w:val="Strong"/>
            <w:b w:val="0"/>
          </w:rPr>
          <w:fldChar w:fldCharType="begin">
            <w:fldData xml:space="preserve">PEVuZE5vdGU+PENpdGUgQXV0aG9yWWVhcj0iMSI+PEF1dGhvcj5TZXN0YWs8L0F1dGhvcj48WWVh
cj4yMDE4PC9ZZWFyPjxSZWNOdW0+NjwvUmVjTnVtPjxEaXNwbGF5VGV4dD5JLiBTZXN0YWsgZXQg
YWwuICgyMDE4KTwvRGlzcGxheVRleHQ+PHJlY29yZD48cmVjLW51bWJlcj42PC9yZWMtbnVtYmVy
Pjxmb3JlaWduLWtleXM+PGtleSBhcHA9IkVOIiBkYi1pZD0iOWV3ZHByMjVmOTVzcmVlcnMyN3Zm
ZXMzOXRmZnY1dmR4emF6IiB0aW1lc3RhbXA9IjE1NjU3NDc5MDEiIGd1aWQ9IjgzYTUzMGFmLWZl
OTAtNDlhNy04M2IwLTFjYzRiMWIyZGU5OSI+Njwva2V5PjwvZm9yZWlnbi1rZXlzPjxyZWYtdHlw
ZSBuYW1lPSJKb3VybmFsIEFydGljbGUiPjE3PC9yZWYtdHlwZT48Y29udHJpYnV0b3JzPjxhdXRo
b3JzPjxhdXRob3I+U2VzdGFrLCBJLjwvYXV0aG9yPjxhdXRob3I+QnV1cywgUi48L2F1dGhvcj48
YXV0aG9yPkN1emljaywgSi48L2F1dGhvcj48YXV0aG9yPkR1YnNreSwgUC48L2F1dGhvcj48YXV0
aG9yPktyb25lbndldHQsIFIuPC9hdXRob3I+PGF1dGhvcj5EZW5rZXJ0LCBDLjwvYXV0aG9yPjxh
dXRob3I+RmVycmVlLCBTLjwvYXV0aG9yPjxhdXRob3I+U2dyb2ksIEQuPC9hdXRob3I+PGF1dGhv
cj5TY2huYWJlbCwgQy48L2F1dGhvcj48YXV0aG9yPkJhZWhuZXIsIEYuIEwuPC9hdXRob3I+PGF1
dGhvcj5NYWxsb24sIEUuPC9hdXRob3I+PGF1dGhvcj5Eb3dzZXR0LCBNLjwvYXV0aG9yPjwvYXV0
aG9ycz48L2NvbnRyaWJ1dG9ycz48YXV0aC1hZGRyZXNzPkNlbnRyZSBmb3IgQ2FuY2VyIFByZXZl
bnRpb24sIFdvbGZzb24gSW5zdGl0dXRlIG9mIFByZXZlbnRpdmUgTWVkaWNpbmUsIFF1ZWVuIE1h
cnkgVW5pdmVyc2l0eSBvZiBMb25kb24sIExvbmRvbiwgRW5nbGFuZC4mI3hEO1JhbHBoIExhdXJl
biBDZW50cmUgZm9yIEJyZWFzdCBDYW5jZXIgUmVzZWFyY2gsIFJveWFsIE1hcnNkZW4sIExvbmRv
biwgRW5nbGFuZC4mI3hEO0JyZWFzdCBDYW5jZXIgTm93IFJlc2VhcmNoIENlbnRyZSwgSW5zdGl0
dXRlIG9mIENhbmNlciBSZXNlYXJjaCwgTG9uZG9uLCBFbmdsYW5kLiYjeEQ7RGVwYXJ0bWVudCBv
ZiBTdXJnZXJ5IGFuZCBDb21wcmVoZW5zaXZlIENhbmNlciwgTWVkaWNhbCBVbml2ZXJzaXR5IG9m
IFZpZW5uYSwgQXVzdHJpYS4mI3hEO0JyZWFzdCBDZW50cmUsIEtsaW5payBTdCBBbm5hLCBMdXpl
cm4sIFN3aXR6ZXJsYW5kLiYjeEQ7U2l2aWRvbiBEaWFnbm9zdGljcywgR21iSCwgS29sbiwgR2Vy
bWFueS4mI3hEO0NoYXJpdGUgVW5pdmVyc2l0YXRzbWVkaXppbiBhbmQgR2VybWFuIENhbmNlciBD
b25zb3J0aXVtLCBCZXJsaW4sIEdlcm1hbnkuJiN4RDtOYW5vU3RyaW5nIFRlY2hub2xvZ2llcywg
U2VhdHRsZSwgV2FzaGluZ3Rvbi4mI3hEO0NhbmNlciBDZW50ZXIsIE1hc3NhY2h1c2V0dHMgR2Vu
ZXJhbCBIb3NwaXRhbCwgQm9zdG9uLCBNYXNzYWNodXNldHRzLiYjeEQ7QmlvdGhlcmFub3N0aWNz
LCBTYW4gRGllZ28sIENhbGlmb3JuaWEuJiN4RDtHZW5vbWljSGVhbHRoLCBSZWR3b29kIENpdHks
IENhbGlmb3JuaWEuJiN4RDtTY2hvb2wgb2YgTWVkaWNpbmUsIERlbnRpc3RyeSwgYW5kIE51cnNp
bmcsIFVuaXZlcnNpdHkgb2YgR2xhc2dvdywgR2xhc2dvdywgU2NvdGxhbmQuPC9hdXRoLWFkZHJl
c3M+PHRpdGxlcz48dGl0bGU+Q29tcGFyaXNvbiBvZiB0aGUgUGVyZm9ybWFuY2Ugb2YgNiBQcm9n
bm9zdGljIFNpZ25hdHVyZXMgZm9yIEVzdHJvZ2VuIFJlY2VwdG9yLVBvc2l0aXZlIEJyZWFzdCBD
YW5jZXI6IEEgU2Vjb25kYXJ5IEFuYWx5c2lzIG9mIGEgUmFuZG9taXplZCBDbGluaWNhbCBUcmlh
bDwvdGl0bGU+PHNlY29uZGFyeS10aXRsZT5KQU1BIE9uY29sPC9zZWNvbmRhcnktdGl0bGU+PC90
aXRsZXM+PHBlcmlvZGljYWw+PGZ1bGwtdGl0bGU+SkFNQSBPbmNvbDwvZnVsbC10aXRsZT48L3Bl
cmlvZGljYWw+PHBhZ2VzPjU0NS01NTM8L3BhZ2VzPjx2b2x1bWU+NDwvdm9sdW1lPjxudW1iZXI+
NDwvbnVtYmVyPjxkYXRlcz48eWVhcj4yMDE4PC95ZWFyPjxwdWItZGF0ZXM+PGRhdGU+QXByIDE8
L2RhdGU+PC9wdWItZGF0ZXM+PC9kYXRlcz48aXNibj4yMzc0LTI0NDUgKEVsZWN0cm9uaWMpJiN4
RDsyMzc0LTI0MzcgKExpbmtpbmcpPC9pc2JuPjxhY2Nlc3Npb24tbnVtPjI5NDUwNDk0PC9hY2Nl
c3Npb24tbnVtPjx1cmxzPjxyZWxhdGVkLXVybHM+PHVybD5odHRwczovL3d3dy5uY2JpLm5sbS5u
aWguZ292L3B1Ym1lZC8yOTQ1MDQ5NDwvdXJsPjwvcmVsYXRlZC11cmxzPjwvdXJscz48Y3VzdG9t
Mj5QTUM1ODg1MjIyPC9jdXN0b20yPjxlbGVjdHJvbmljLXJlc291cmNlLW51bT4xMC4xMDAxL2ph
bWFvbmNvbC4yMDE3LjU1MjQ8L2VsZWN0cm9uaWMtcmVzb3VyY2UtbnVtPjwvcmVjb3JkPjwvQ2l0
ZT48L0VuZE5vdGU+
</w:fldData>
          </w:fldChar>
        </w:r>
        <w:r w:rsidRPr="006F38A9">
          <w:rPr>
            <w:rStyle w:val="Strong"/>
            <w:b w:val="0"/>
          </w:rPr>
          <w:instrText xml:space="preserve"> ADDIN EN.CITE.DATA </w:instrText>
        </w:r>
        <w:r w:rsidRPr="006F38A9">
          <w:rPr>
            <w:rStyle w:val="Strong"/>
            <w:b w:val="0"/>
          </w:rPr>
        </w:r>
        <w:r w:rsidRPr="006F38A9">
          <w:rPr>
            <w:rStyle w:val="Strong"/>
            <w:b w:val="0"/>
          </w:rPr>
          <w:fldChar w:fldCharType="end"/>
        </w:r>
        <w:r w:rsidRPr="006F38A9">
          <w:rPr>
            <w:rStyle w:val="Strong"/>
            <w:b w:val="0"/>
          </w:rPr>
        </w:r>
        <w:r w:rsidRPr="006F38A9">
          <w:rPr>
            <w:rStyle w:val="Strong"/>
            <w:b w:val="0"/>
          </w:rPr>
          <w:fldChar w:fldCharType="separate"/>
        </w:r>
        <w:r w:rsidRPr="006F38A9">
          <w:rPr>
            <w:rStyle w:val="Strong"/>
            <w:b w:val="0"/>
            <w:noProof/>
          </w:rPr>
          <w:t>I. Sestak et al. (2018)</w:t>
        </w:r>
        <w:r w:rsidRPr="006F38A9">
          <w:rPr>
            <w:rStyle w:val="Strong"/>
            <w:b w:val="0"/>
          </w:rPr>
          <w:fldChar w:fldCharType="end"/>
        </w:r>
      </w:hyperlink>
      <w:r w:rsidRPr="006F38A9">
        <w:rPr>
          <w:rStyle w:val="Strong"/>
          <w:b w:val="0"/>
        </w:rPr>
        <w:t>).</w:t>
      </w:r>
    </w:p>
    <w:p w14:paraId="16FA290D" w14:textId="3E614FAF" w:rsidR="006F38A9" w:rsidRDefault="006F38A9" w:rsidP="00F002C7">
      <w:pPr>
        <w:spacing w:after="240"/>
        <w:rPr>
          <w:szCs w:val="24"/>
        </w:rPr>
      </w:pPr>
      <w:r w:rsidRPr="00051FB0">
        <w:rPr>
          <w:szCs w:val="24"/>
        </w:rPr>
        <w:t>In each of these studies, EPclin scores were generated from archived FFPE samples.</w:t>
      </w:r>
    </w:p>
    <w:p w14:paraId="702C9901" w14:textId="4EA58CEF" w:rsidR="006F38A9" w:rsidRPr="00051FB0" w:rsidRDefault="006F38A9" w:rsidP="00F002C7">
      <w:pPr>
        <w:spacing w:after="240"/>
        <w:rPr>
          <w:szCs w:val="24"/>
        </w:rPr>
      </w:pPr>
      <w:r>
        <w:t>The p</w:t>
      </w:r>
      <w:r w:rsidRPr="00CB0F17">
        <w:rPr>
          <w:noProof/>
          <w:szCs w:val="24"/>
        </w:rPr>
        <w:t>roportions of pre-test low and high-risk patients in the studies included in the analysis are unknown.</w:t>
      </w:r>
      <w:r>
        <w:rPr>
          <w:noProof/>
          <w:szCs w:val="24"/>
        </w:rPr>
        <w:t xml:space="preserve">  The Critique noted </w:t>
      </w:r>
      <w:r w:rsidRPr="00CB0F17">
        <w:rPr>
          <w:noProof/>
          <w:szCs w:val="24"/>
        </w:rPr>
        <w:t>EndoPredict may have different prognostic performance in these groups and prognostic performance estimates may be different if only patients with pre-test intermediate risk were included.</w:t>
      </w:r>
    </w:p>
    <w:p w14:paraId="72AA31A3" w14:textId="7334F100" w:rsidR="00F002C7" w:rsidRDefault="006F38A9" w:rsidP="00F002C7">
      <w:pPr>
        <w:spacing w:after="240"/>
        <w:rPr>
          <w:szCs w:val="24"/>
        </w:rPr>
      </w:pPr>
      <w:r w:rsidRPr="00051FB0">
        <w:rPr>
          <w:szCs w:val="24"/>
        </w:rPr>
        <w:t xml:space="preserve">Prognostic performance of EndoPredict was evaluated with reference to late distant recurrence as an </w:t>
      </w:r>
      <w:bookmarkStart w:id="17" w:name="_Ref10629011"/>
      <w:bookmarkStart w:id="18" w:name="_Ref10557737"/>
      <w:bookmarkStart w:id="19" w:name="_Toc10728618"/>
      <w:r w:rsidR="00F002C7">
        <w:rPr>
          <w:szCs w:val="24"/>
        </w:rPr>
        <w:t>evidentiary standard (Table 1).</w:t>
      </w:r>
      <w:r w:rsidR="00F002C7">
        <w:rPr>
          <w:szCs w:val="24"/>
        </w:rPr>
        <w:br w:type="page"/>
      </w:r>
    </w:p>
    <w:bookmarkEnd w:id="17"/>
    <w:p w14:paraId="42B6BEB9" w14:textId="77777777" w:rsidR="006F38A9" w:rsidRPr="00497393" w:rsidRDefault="006F38A9" w:rsidP="00497393">
      <w:pPr>
        <w:rPr>
          <w:rFonts w:ascii="Arial Narrow" w:hAnsi="Arial Narrow"/>
          <w:b/>
          <w:sz w:val="20"/>
        </w:rPr>
      </w:pPr>
      <w:r w:rsidRPr="00497393">
        <w:rPr>
          <w:rFonts w:ascii="Arial Narrow" w:hAnsi="Arial Narrow"/>
          <w:b/>
          <w:sz w:val="20"/>
        </w:rPr>
        <w:lastRenderedPageBreak/>
        <w:t>Table 1</w:t>
      </w:r>
      <w:r w:rsidRPr="00497393">
        <w:rPr>
          <w:rFonts w:ascii="Arial Narrow" w:hAnsi="Arial Narrow"/>
          <w:b/>
          <w:sz w:val="20"/>
        </w:rPr>
        <w:tab/>
        <w:t>Summary of prognostic accuracy: EndoPredict against distant recurrence at 10 years</w:t>
      </w:r>
      <w:bookmarkEnd w:id="18"/>
      <w:bookmarkEnd w:id="19"/>
    </w:p>
    <w:tbl>
      <w:tblPr>
        <w:tblStyle w:val="HTATable"/>
        <w:tblW w:w="5000" w:type="pct"/>
        <w:tblLook w:val="04A0" w:firstRow="1" w:lastRow="0" w:firstColumn="1" w:lastColumn="0" w:noHBand="0" w:noVBand="1"/>
        <w:tblCaption w:val="Summary of prognostic accuracy in women with ER+, HER2– primary breast cancer who have undergone surgical tumour removal who are at intermediate risk of distant recurrence based on clinical markers of disease: EndoPredict against distant recurrence at 10 years"/>
        <w:tblDescription w:val="Summary of prognostic accuracy in women with ER+, HER2– primary breast cancer who have undergone surgical tumour removal who are at intermediate risk of distant recurrence based on clinical markers of disease: EndoPredict against distant recurrence at 10 years"/>
      </w:tblPr>
      <w:tblGrid>
        <w:gridCol w:w="1305"/>
        <w:gridCol w:w="1100"/>
        <w:gridCol w:w="1843"/>
        <w:gridCol w:w="850"/>
        <w:gridCol w:w="993"/>
        <w:gridCol w:w="1634"/>
        <w:gridCol w:w="1291"/>
      </w:tblGrid>
      <w:tr w:rsidR="006F38A9" w:rsidRPr="007572B1" w14:paraId="70775436" w14:textId="77777777" w:rsidTr="00210C7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305" w:type="dxa"/>
            <w:tcBorders>
              <w:top w:val="single" w:sz="4" w:space="0" w:color="auto"/>
              <w:bottom w:val="nil"/>
            </w:tcBorders>
            <w:hideMark/>
          </w:tcPr>
          <w:p w14:paraId="77BF8A95" w14:textId="77777777" w:rsidR="006F38A9" w:rsidRPr="007572B1" w:rsidRDefault="006F38A9" w:rsidP="00210C73">
            <w:pPr>
              <w:pStyle w:val="TableText0"/>
            </w:pPr>
            <w:r w:rsidRPr="007572B1">
              <w:t xml:space="preserve">Study ID </w:t>
            </w:r>
          </w:p>
        </w:tc>
        <w:tc>
          <w:tcPr>
            <w:tcW w:w="1100" w:type="dxa"/>
            <w:tcBorders>
              <w:top w:val="single" w:sz="4" w:space="0" w:color="auto"/>
              <w:bottom w:val="nil"/>
            </w:tcBorders>
          </w:tcPr>
          <w:p w14:paraId="0A346BFF"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Study</w:t>
            </w:r>
          </w:p>
        </w:tc>
        <w:tc>
          <w:tcPr>
            <w:tcW w:w="1843" w:type="dxa"/>
            <w:tcBorders>
              <w:top w:val="single" w:sz="4" w:space="0" w:color="auto"/>
              <w:bottom w:val="nil"/>
            </w:tcBorders>
            <w:hideMark/>
          </w:tcPr>
          <w:p w14:paraId="181FBE7A"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Clinical markers /</w:t>
            </w:r>
          </w:p>
        </w:tc>
        <w:tc>
          <w:tcPr>
            <w:tcW w:w="850" w:type="dxa"/>
            <w:tcBorders>
              <w:top w:val="single" w:sz="4" w:space="0" w:color="auto"/>
              <w:bottom w:val="nil"/>
              <w:right w:val="nil"/>
            </w:tcBorders>
            <w:vAlign w:val="center"/>
          </w:tcPr>
          <w:p w14:paraId="14DB0193"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 xml:space="preserve">DRR % </w:t>
            </w:r>
            <w:r w:rsidRPr="00C72AEA">
              <w:rPr>
                <w:vertAlign w:val="superscript"/>
              </w:rPr>
              <w:t>a</w:t>
            </w:r>
          </w:p>
        </w:tc>
        <w:tc>
          <w:tcPr>
            <w:tcW w:w="993" w:type="dxa"/>
            <w:tcBorders>
              <w:top w:val="single" w:sz="4" w:space="0" w:color="auto"/>
              <w:left w:val="nil"/>
              <w:bottom w:val="nil"/>
            </w:tcBorders>
            <w:vAlign w:val="center"/>
          </w:tcPr>
          <w:p w14:paraId="30D8212C"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 </w:t>
            </w:r>
          </w:p>
        </w:tc>
        <w:tc>
          <w:tcPr>
            <w:tcW w:w="1634" w:type="dxa"/>
            <w:tcBorders>
              <w:top w:val="single" w:sz="4" w:space="0" w:color="auto"/>
              <w:bottom w:val="nil"/>
            </w:tcBorders>
            <w:hideMark/>
          </w:tcPr>
          <w:p w14:paraId="6E7D545F"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HR</w:t>
            </w:r>
          </w:p>
        </w:tc>
        <w:tc>
          <w:tcPr>
            <w:tcW w:w="1291" w:type="dxa"/>
            <w:tcBorders>
              <w:top w:val="single" w:sz="4" w:space="0" w:color="auto"/>
              <w:bottom w:val="nil"/>
            </w:tcBorders>
            <w:hideMark/>
          </w:tcPr>
          <w:p w14:paraId="591AB3FA"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F51442">
              <w:rPr>
                <w:rStyle w:val="Emphasis"/>
              </w:rPr>
              <w:t>p-</w:t>
            </w:r>
            <w:r w:rsidRPr="007572B1">
              <w:t>value</w:t>
            </w:r>
          </w:p>
        </w:tc>
      </w:tr>
      <w:tr w:rsidR="006F38A9" w:rsidRPr="007572B1" w14:paraId="6B1F3302" w14:textId="77777777" w:rsidTr="00210C7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305" w:type="dxa"/>
            <w:tcBorders>
              <w:top w:val="nil"/>
              <w:bottom w:val="single" w:sz="4" w:space="0" w:color="auto"/>
            </w:tcBorders>
          </w:tcPr>
          <w:p w14:paraId="2CE68604" w14:textId="77777777" w:rsidR="006F38A9" w:rsidRPr="006F38A9" w:rsidRDefault="006F38A9" w:rsidP="006F38A9">
            <w:pPr>
              <w:pStyle w:val="TableText0"/>
              <w:rPr>
                <w:rStyle w:val="Emphasis"/>
                <w:rFonts w:ascii="Arial Narrow" w:hAnsi="Arial Narrow" w:cs="Tahoma"/>
                <w:i w:val="0"/>
                <w:sz w:val="20"/>
                <w:szCs w:val="22"/>
              </w:rPr>
            </w:pPr>
            <w:r w:rsidRPr="006F38A9">
              <w:rPr>
                <w:rStyle w:val="Emphasis"/>
                <w:rFonts w:ascii="Arial Narrow" w:hAnsi="Arial Narrow" w:cs="Tahoma"/>
                <w:i w:val="0"/>
                <w:sz w:val="20"/>
                <w:szCs w:val="22"/>
              </w:rPr>
              <w:t>Risk of bias</w:t>
            </w:r>
          </w:p>
        </w:tc>
        <w:tc>
          <w:tcPr>
            <w:tcW w:w="1100" w:type="dxa"/>
            <w:tcBorders>
              <w:top w:val="nil"/>
              <w:bottom w:val="single" w:sz="4" w:space="0" w:color="auto"/>
            </w:tcBorders>
          </w:tcPr>
          <w:p w14:paraId="22B01E99" w14:textId="15402EFA" w:rsidR="006F38A9" w:rsidRPr="007572B1" w:rsidRDefault="00636F4D" w:rsidP="00210C73">
            <w:pPr>
              <w:pStyle w:val="TableText0"/>
              <w:cnfStyle w:val="100000000000" w:firstRow="1" w:lastRow="0" w:firstColumn="0" w:lastColumn="0" w:oddVBand="0" w:evenVBand="0" w:oddHBand="0" w:evenHBand="0" w:firstRowFirstColumn="0" w:firstRowLastColumn="0" w:lastRowFirstColumn="0" w:lastRowLastColumn="0"/>
            </w:pPr>
            <w:r w:rsidRPr="007572B1">
              <w:t>C</w:t>
            </w:r>
            <w:r w:rsidR="006F38A9" w:rsidRPr="007572B1">
              <w:t>ohort</w:t>
            </w:r>
          </w:p>
        </w:tc>
        <w:tc>
          <w:tcPr>
            <w:tcW w:w="1843" w:type="dxa"/>
            <w:tcBorders>
              <w:top w:val="nil"/>
              <w:bottom w:val="single" w:sz="4" w:space="0" w:color="auto"/>
            </w:tcBorders>
          </w:tcPr>
          <w:p w14:paraId="59929093"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Prognostic tool</w:t>
            </w:r>
          </w:p>
        </w:tc>
        <w:tc>
          <w:tcPr>
            <w:tcW w:w="850" w:type="dxa"/>
            <w:tcBorders>
              <w:bottom w:val="single" w:sz="4" w:space="0" w:color="auto"/>
            </w:tcBorders>
            <w:vAlign w:val="center"/>
          </w:tcPr>
          <w:p w14:paraId="66C12BB2"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 xml:space="preserve">Low risk </w:t>
            </w:r>
          </w:p>
        </w:tc>
        <w:tc>
          <w:tcPr>
            <w:tcW w:w="993" w:type="dxa"/>
            <w:tcBorders>
              <w:bottom w:val="single" w:sz="4" w:space="0" w:color="auto"/>
            </w:tcBorders>
            <w:vAlign w:val="center"/>
          </w:tcPr>
          <w:p w14:paraId="1BB632C5"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High risk</w:t>
            </w:r>
            <w:r w:rsidRPr="00F51442">
              <w:rPr>
                <w:vertAlign w:val="superscript"/>
              </w:rPr>
              <w:t>b</w:t>
            </w:r>
          </w:p>
        </w:tc>
        <w:tc>
          <w:tcPr>
            <w:tcW w:w="1634" w:type="dxa"/>
            <w:tcBorders>
              <w:top w:val="nil"/>
              <w:bottom w:val="single" w:sz="4" w:space="0" w:color="auto"/>
            </w:tcBorders>
          </w:tcPr>
          <w:p w14:paraId="37C660A5"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(95% CI)</w:t>
            </w:r>
          </w:p>
        </w:tc>
        <w:tc>
          <w:tcPr>
            <w:tcW w:w="1291" w:type="dxa"/>
            <w:tcBorders>
              <w:top w:val="nil"/>
              <w:bottom w:val="single" w:sz="4" w:space="0" w:color="auto"/>
            </w:tcBorders>
          </w:tcPr>
          <w:p w14:paraId="507672CE" w14:textId="77777777" w:rsidR="006F38A9" w:rsidRPr="007572B1" w:rsidRDefault="006F38A9" w:rsidP="00210C73">
            <w:pPr>
              <w:pStyle w:val="TableText0"/>
              <w:cnfStyle w:val="100000000000" w:firstRow="1" w:lastRow="0" w:firstColumn="0" w:lastColumn="0" w:oddVBand="0" w:evenVBand="0" w:oddHBand="0" w:evenHBand="0" w:firstRowFirstColumn="0" w:firstRowLastColumn="0" w:lastRowFirstColumn="0" w:lastRowLastColumn="0"/>
            </w:pPr>
            <w:r w:rsidRPr="007572B1">
              <w:t>(Log Rank) </w:t>
            </w:r>
          </w:p>
        </w:tc>
      </w:tr>
      <w:tr w:rsidR="006F38A9" w:rsidRPr="007572B1" w14:paraId="52223B27" w14:textId="77777777" w:rsidTr="00210C73">
        <w:trPr>
          <w:trHeight w:val="495"/>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bottom w:val="nil"/>
            </w:tcBorders>
            <w:vAlign w:val="center"/>
            <w:hideMark/>
          </w:tcPr>
          <w:p w14:paraId="26F4BC54" w14:textId="77777777" w:rsidR="006F38A9" w:rsidRPr="007572B1" w:rsidRDefault="006F38A9" w:rsidP="00210C73">
            <w:pPr>
              <w:pStyle w:val="TableText0"/>
            </w:pPr>
            <w:r w:rsidRPr="007572B1">
              <w:t xml:space="preserve">Dubsky 2013a </w:t>
            </w:r>
            <w:r w:rsidRPr="00C72AEA">
              <w:rPr>
                <w:vertAlign w:val="superscript"/>
              </w:rPr>
              <w:t>c</w:t>
            </w:r>
          </w:p>
        </w:tc>
        <w:tc>
          <w:tcPr>
            <w:tcW w:w="1100" w:type="dxa"/>
            <w:tcBorders>
              <w:top w:val="single" w:sz="4" w:space="0" w:color="auto"/>
              <w:bottom w:val="nil"/>
            </w:tcBorders>
            <w:vAlign w:val="center"/>
          </w:tcPr>
          <w:p w14:paraId="15E9ABE0"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ABCSG-6&amp;8</w:t>
            </w:r>
          </w:p>
        </w:tc>
        <w:tc>
          <w:tcPr>
            <w:tcW w:w="1843" w:type="dxa"/>
            <w:vAlign w:val="center"/>
            <w:hideMark/>
          </w:tcPr>
          <w:p w14:paraId="40735D2F"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 xml:space="preserve">Luminal A </w:t>
            </w:r>
            <w:r w:rsidRPr="00F51442">
              <w:t>d</w:t>
            </w:r>
            <w:r w:rsidRPr="007572B1">
              <w:t xml:space="preserve"> (Ki67 &lt;14%)</w:t>
            </w:r>
          </w:p>
        </w:tc>
        <w:tc>
          <w:tcPr>
            <w:tcW w:w="850" w:type="dxa"/>
            <w:vAlign w:val="center"/>
          </w:tcPr>
          <w:p w14:paraId="24CA9F61"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4.6</w:t>
            </w:r>
          </w:p>
        </w:tc>
        <w:tc>
          <w:tcPr>
            <w:tcW w:w="993" w:type="dxa"/>
            <w:vAlign w:val="center"/>
          </w:tcPr>
          <w:p w14:paraId="0C5114C6"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20.5</w:t>
            </w:r>
          </w:p>
        </w:tc>
        <w:tc>
          <w:tcPr>
            <w:tcW w:w="1634" w:type="dxa"/>
            <w:vAlign w:val="center"/>
            <w:hideMark/>
          </w:tcPr>
          <w:p w14:paraId="1D969CD0"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4.08 (2.60, 6.41)</w:t>
            </w:r>
          </w:p>
        </w:tc>
        <w:tc>
          <w:tcPr>
            <w:tcW w:w="1291" w:type="dxa"/>
            <w:vAlign w:val="center"/>
            <w:hideMark/>
          </w:tcPr>
          <w:p w14:paraId="360AA9D6"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&lt; 0.001</w:t>
            </w:r>
          </w:p>
        </w:tc>
      </w:tr>
      <w:tr w:rsidR="006F38A9" w:rsidRPr="007572B1" w14:paraId="712F6EE4" w14:textId="77777777" w:rsidTr="00210C73">
        <w:trPr>
          <w:trHeight w:val="285"/>
        </w:trPr>
        <w:tc>
          <w:tcPr>
            <w:cnfStyle w:val="001000000000" w:firstRow="0" w:lastRow="0" w:firstColumn="1" w:lastColumn="0" w:oddVBand="0" w:evenVBand="0" w:oddHBand="0" w:evenHBand="0" w:firstRowFirstColumn="0" w:firstRowLastColumn="0" w:lastRowFirstColumn="0" w:lastRowLastColumn="0"/>
            <w:tcW w:w="1305" w:type="dxa"/>
            <w:tcBorders>
              <w:top w:val="nil"/>
              <w:bottom w:val="nil"/>
            </w:tcBorders>
            <w:vAlign w:val="center"/>
            <w:hideMark/>
          </w:tcPr>
          <w:p w14:paraId="06441ACB" w14:textId="77777777" w:rsidR="006F38A9" w:rsidRPr="006F38A9" w:rsidRDefault="006F38A9" w:rsidP="006F38A9">
            <w:pPr>
              <w:pStyle w:val="TableText0"/>
              <w:rPr>
                <w:rStyle w:val="Emphasis"/>
                <w:rFonts w:ascii="Arial Narrow" w:hAnsi="Arial Narrow" w:cs="Tahoma"/>
                <w:sz w:val="20"/>
                <w:szCs w:val="22"/>
              </w:rPr>
            </w:pPr>
            <w:r w:rsidRPr="006F38A9">
              <w:rPr>
                <w:rStyle w:val="Emphasis"/>
                <w:rFonts w:ascii="Arial Narrow" w:hAnsi="Arial Narrow" w:cs="Tahoma"/>
                <w:sz w:val="20"/>
                <w:szCs w:val="22"/>
              </w:rPr>
              <w:t>Moderate</w:t>
            </w:r>
          </w:p>
        </w:tc>
        <w:tc>
          <w:tcPr>
            <w:tcW w:w="1100" w:type="dxa"/>
            <w:tcBorders>
              <w:top w:val="nil"/>
              <w:bottom w:val="nil"/>
            </w:tcBorders>
            <w:vAlign w:val="center"/>
          </w:tcPr>
          <w:p w14:paraId="7DC48621"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p>
        </w:tc>
        <w:tc>
          <w:tcPr>
            <w:tcW w:w="1843" w:type="dxa"/>
            <w:vAlign w:val="center"/>
            <w:hideMark/>
          </w:tcPr>
          <w:p w14:paraId="775A9C84"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Luminal B (Ki67 &gt;14%)</w:t>
            </w:r>
          </w:p>
        </w:tc>
        <w:tc>
          <w:tcPr>
            <w:tcW w:w="850" w:type="dxa"/>
            <w:vAlign w:val="center"/>
          </w:tcPr>
          <w:p w14:paraId="6A336FF5"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6.8</w:t>
            </w:r>
          </w:p>
        </w:tc>
        <w:tc>
          <w:tcPr>
            <w:tcW w:w="993" w:type="dxa"/>
            <w:vAlign w:val="center"/>
          </w:tcPr>
          <w:p w14:paraId="525AFB85"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29.0</w:t>
            </w:r>
          </w:p>
        </w:tc>
        <w:tc>
          <w:tcPr>
            <w:tcW w:w="1634" w:type="dxa"/>
            <w:vAlign w:val="center"/>
            <w:hideMark/>
          </w:tcPr>
          <w:p w14:paraId="076FFE47"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5.54 (2.21, 13.93)</w:t>
            </w:r>
          </w:p>
        </w:tc>
        <w:tc>
          <w:tcPr>
            <w:tcW w:w="1291" w:type="dxa"/>
            <w:vAlign w:val="center"/>
            <w:hideMark/>
          </w:tcPr>
          <w:p w14:paraId="6E7A9EEA"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&lt; 0.001</w:t>
            </w:r>
          </w:p>
        </w:tc>
      </w:tr>
      <w:tr w:rsidR="006F38A9" w:rsidRPr="007572B1" w14:paraId="209B68EC" w14:textId="77777777" w:rsidTr="00210C73">
        <w:trPr>
          <w:trHeight w:val="270"/>
        </w:trPr>
        <w:tc>
          <w:tcPr>
            <w:cnfStyle w:val="001000000000" w:firstRow="0" w:lastRow="0" w:firstColumn="1" w:lastColumn="0" w:oddVBand="0" w:evenVBand="0" w:oddHBand="0" w:evenHBand="0" w:firstRowFirstColumn="0" w:firstRowLastColumn="0" w:lastRowFirstColumn="0" w:lastRowLastColumn="0"/>
            <w:tcW w:w="1305" w:type="dxa"/>
            <w:tcBorders>
              <w:top w:val="nil"/>
              <w:bottom w:val="nil"/>
            </w:tcBorders>
            <w:vAlign w:val="center"/>
            <w:hideMark/>
          </w:tcPr>
          <w:p w14:paraId="43BE12A5" w14:textId="77777777" w:rsidR="006F38A9" w:rsidRPr="007572B1" w:rsidRDefault="006F38A9" w:rsidP="00210C73">
            <w:pPr>
              <w:pStyle w:val="TableText0"/>
            </w:pPr>
          </w:p>
        </w:tc>
        <w:tc>
          <w:tcPr>
            <w:tcW w:w="1100" w:type="dxa"/>
            <w:tcBorders>
              <w:top w:val="nil"/>
              <w:bottom w:val="nil"/>
            </w:tcBorders>
            <w:vAlign w:val="center"/>
          </w:tcPr>
          <w:p w14:paraId="6DDE1A7B"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p>
        </w:tc>
        <w:tc>
          <w:tcPr>
            <w:tcW w:w="1843" w:type="dxa"/>
            <w:vAlign w:val="center"/>
            <w:hideMark/>
          </w:tcPr>
          <w:p w14:paraId="7CAAD904"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Grade 1</w:t>
            </w:r>
          </w:p>
        </w:tc>
        <w:tc>
          <w:tcPr>
            <w:tcW w:w="850" w:type="dxa"/>
            <w:vAlign w:val="center"/>
          </w:tcPr>
          <w:p w14:paraId="415463DE"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4.4</w:t>
            </w:r>
          </w:p>
        </w:tc>
        <w:tc>
          <w:tcPr>
            <w:tcW w:w="993" w:type="dxa"/>
            <w:vAlign w:val="center"/>
          </w:tcPr>
          <w:p w14:paraId="5D880766"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17.5</w:t>
            </w:r>
          </w:p>
        </w:tc>
        <w:tc>
          <w:tcPr>
            <w:tcW w:w="1634" w:type="dxa"/>
            <w:vAlign w:val="center"/>
            <w:hideMark/>
          </w:tcPr>
          <w:p w14:paraId="4690C665"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3.11 (1.23, 7.89)</w:t>
            </w:r>
          </w:p>
        </w:tc>
        <w:tc>
          <w:tcPr>
            <w:tcW w:w="1291" w:type="dxa"/>
            <w:vAlign w:val="center"/>
            <w:hideMark/>
          </w:tcPr>
          <w:p w14:paraId="3B17F193"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0.012</w:t>
            </w:r>
          </w:p>
        </w:tc>
      </w:tr>
      <w:tr w:rsidR="006F38A9" w:rsidRPr="007572B1" w14:paraId="2899ADC6" w14:textId="77777777" w:rsidTr="00210C73">
        <w:trPr>
          <w:trHeight w:val="270"/>
        </w:trPr>
        <w:tc>
          <w:tcPr>
            <w:cnfStyle w:val="001000000000" w:firstRow="0" w:lastRow="0" w:firstColumn="1" w:lastColumn="0" w:oddVBand="0" w:evenVBand="0" w:oddHBand="0" w:evenHBand="0" w:firstRowFirstColumn="0" w:firstRowLastColumn="0" w:lastRowFirstColumn="0" w:lastRowLastColumn="0"/>
            <w:tcW w:w="1305" w:type="dxa"/>
            <w:tcBorders>
              <w:top w:val="nil"/>
              <w:bottom w:val="nil"/>
            </w:tcBorders>
            <w:vAlign w:val="center"/>
            <w:hideMark/>
          </w:tcPr>
          <w:p w14:paraId="0514FB62" w14:textId="77777777" w:rsidR="006F38A9" w:rsidRPr="007572B1" w:rsidRDefault="006F38A9" w:rsidP="00210C73">
            <w:pPr>
              <w:pStyle w:val="TableText0"/>
            </w:pPr>
            <w:r w:rsidRPr="007572B1">
              <w:t> </w:t>
            </w:r>
          </w:p>
        </w:tc>
        <w:tc>
          <w:tcPr>
            <w:tcW w:w="1100" w:type="dxa"/>
            <w:tcBorders>
              <w:top w:val="nil"/>
              <w:bottom w:val="nil"/>
            </w:tcBorders>
            <w:vAlign w:val="center"/>
          </w:tcPr>
          <w:p w14:paraId="10FC8352"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p>
        </w:tc>
        <w:tc>
          <w:tcPr>
            <w:tcW w:w="1843" w:type="dxa"/>
            <w:vAlign w:val="center"/>
            <w:hideMark/>
          </w:tcPr>
          <w:p w14:paraId="4246946A"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Grade 2</w:t>
            </w:r>
          </w:p>
        </w:tc>
        <w:tc>
          <w:tcPr>
            <w:tcW w:w="850" w:type="dxa"/>
            <w:vAlign w:val="center"/>
          </w:tcPr>
          <w:p w14:paraId="28B8861E"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5.0</w:t>
            </w:r>
          </w:p>
        </w:tc>
        <w:tc>
          <w:tcPr>
            <w:tcW w:w="993" w:type="dxa"/>
            <w:vAlign w:val="center"/>
          </w:tcPr>
          <w:p w14:paraId="49FDFE0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24.2</w:t>
            </w:r>
          </w:p>
        </w:tc>
        <w:tc>
          <w:tcPr>
            <w:tcW w:w="1634" w:type="dxa"/>
            <w:vAlign w:val="center"/>
            <w:hideMark/>
          </w:tcPr>
          <w:p w14:paraId="3007E156"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5.07 (3.23, 7.94)</w:t>
            </w:r>
          </w:p>
        </w:tc>
        <w:tc>
          <w:tcPr>
            <w:tcW w:w="1291" w:type="dxa"/>
            <w:vAlign w:val="center"/>
            <w:hideMark/>
          </w:tcPr>
          <w:p w14:paraId="395C64F4"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&lt; 0.001</w:t>
            </w:r>
          </w:p>
        </w:tc>
      </w:tr>
      <w:tr w:rsidR="006F38A9" w:rsidRPr="007572B1" w14:paraId="029374A1" w14:textId="77777777" w:rsidTr="00210C73">
        <w:trPr>
          <w:trHeight w:val="67"/>
        </w:trPr>
        <w:tc>
          <w:tcPr>
            <w:cnfStyle w:val="001000000000" w:firstRow="0" w:lastRow="0" w:firstColumn="1" w:lastColumn="0" w:oddVBand="0" w:evenVBand="0" w:oddHBand="0" w:evenHBand="0" w:firstRowFirstColumn="0" w:firstRowLastColumn="0" w:lastRowFirstColumn="0" w:lastRowLastColumn="0"/>
            <w:tcW w:w="1305" w:type="dxa"/>
            <w:tcBorders>
              <w:top w:val="nil"/>
              <w:bottom w:val="single" w:sz="4" w:space="0" w:color="auto"/>
            </w:tcBorders>
            <w:vAlign w:val="center"/>
            <w:hideMark/>
          </w:tcPr>
          <w:p w14:paraId="2AAC4332" w14:textId="77777777" w:rsidR="006F38A9" w:rsidRPr="007572B1" w:rsidRDefault="006F38A9" w:rsidP="00210C73">
            <w:pPr>
              <w:pStyle w:val="TableText0"/>
            </w:pPr>
            <w:r w:rsidRPr="007572B1">
              <w:rPr>
                <w:rFonts w:eastAsia="Arial Narrow"/>
              </w:rPr>
              <w:t> </w:t>
            </w:r>
          </w:p>
        </w:tc>
        <w:tc>
          <w:tcPr>
            <w:tcW w:w="1100" w:type="dxa"/>
            <w:tcBorders>
              <w:top w:val="nil"/>
              <w:bottom w:val="single" w:sz="4" w:space="0" w:color="auto"/>
            </w:tcBorders>
            <w:vAlign w:val="center"/>
          </w:tcPr>
          <w:p w14:paraId="2D9AACD5"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rPr>
                <w:rFonts w:eastAsia="Arial Narrow"/>
              </w:rPr>
            </w:pPr>
          </w:p>
        </w:tc>
        <w:tc>
          <w:tcPr>
            <w:tcW w:w="1843" w:type="dxa"/>
            <w:vAlign w:val="center"/>
            <w:hideMark/>
          </w:tcPr>
          <w:p w14:paraId="21E52ECA"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rPr>
                <w:rFonts w:eastAsia="Arial Narrow"/>
              </w:rPr>
            </w:pPr>
            <w:r w:rsidRPr="007572B1">
              <w:rPr>
                <w:rFonts w:eastAsia="Arial Narrow"/>
              </w:rPr>
              <w:t>Grade 3</w:t>
            </w:r>
          </w:p>
        </w:tc>
        <w:tc>
          <w:tcPr>
            <w:tcW w:w="850" w:type="dxa"/>
            <w:vAlign w:val="center"/>
          </w:tcPr>
          <w:p w14:paraId="7040B2D4"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rPr>
                <w:rFonts w:eastAsia="Arial Narrow"/>
              </w:rPr>
            </w:pPr>
            <w:r w:rsidRPr="007572B1">
              <w:t>0</w:t>
            </w:r>
          </w:p>
        </w:tc>
        <w:tc>
          <w:tcPr>
            <w:tcW w:w="993" w:type="dxa"/>
            <w:vAlign w:val="center"/>
          </w:tcPr>
          <w:p w14:paraId="7D1958B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rPr>
                <w:rFonts w:eastAsia="Arial Narrow"/>
              </w:rPr>
            </w:pPr>
            <w:r w:rsidRPr="007572B1">
              <w:t>29.0</w:t>
            </w:r>
          </w:p>
        </w:tc>
        <w:tc>
          <w:tcPr>
            <w:tcW w:w="1634" w:type="dxa"/>
            <w:vAlign w:val="center"/>
            <w:hideMark/>
          </w:tcPr>
          <w:p w14:paraId="506E2FE3"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rPr>
                <w:rFonts w:eastAsia="Arial Narrow"/>
              </w:rPr>
            </w:pPr>
            <w:r w:rsidRPr="007572B1">
              <w:rPr>
                <w:rFonts w:eastAsia="Arial Narrow"/>
              </w:rPr>
              <w:t xml:space="preserve">Infinitive </w:t>
            </w:r>
            <w:r w:rsidRPr="00E709E2">
              <w:rPr>
                <w:rFonts w:eastAsia="Arial Narrow"/>
                <w:vertAlign w:val="superscript"/>
              </w:rPr>
              <w:t>d</w:t>
            </w:r>
          </w:p>
        </w:tc>
        <w:tc>
          <w:tcPr>
            <w:tcW w:w="1291" w:type="dxa"/>
            <w:vAlign w:val="center"/>
            <w:hideMark/>
          </w:tcPr>
          <w:p w14:paraId="2E300097"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rPr>
                <w:rFonts w:eastAsia="Arial Narrow"/>
              </w:rPr>
            </w:pPr>
            <w:r w:rsidRPr="007572B1">
              <w:rPr>
                <w:rFonts w:eastAsia="Arial Narrow"/>
              </w:rPr>
              <w:t>0.041</w:t>
            </w:r>
          </w:p>
        </w:tc>
      </w:tr>
      <w:tr w:rsidR="006F38A9" w:rsidRPr="007572B1" w14:paraId="17D6E7EF" w14:textId="77777777" w:rsidTr="00210C73">
        <w:trPr>
          <w:trHeight w:val="285"/>
        </w:trPr>
        <w:tc>
          <w:tcPr>
            <w:cnfStyle w:val="001000000000" w:firstRow="0" w:lastRow="0" w:firstColumn="1" w:lastColumn="0" w:oddVBand="0" w:evenVBand="0" w:oddHBand="0" w:evenHBand="0" w:firstRowFirstColumn="0" w:firstRowLastColumn="0" w:lastRowFirstColumn="0" w:lastRowLastColumn="0"/>
            <w:tcW w:w="1305" w:type="dxa"/>
            <w:tcBorders>
              <w:bottom w:val="nil"/>
            </w:tcBorders>
            <w:vAlign w:val="center"/>
            <w:hideMark/>
          </w:tcPr>
          <w:p w14:paraId="6DEDFACF" w14:textId="77777777" w:rsidR="006F38A9" w:rsidRPr="007572B1" w:rsidRDefault="006F38A9" w:rsidP="00210C73">
            <w:pPr>
              <w:pStyle w:val="TableText0"/>
              <w:rPr>
                <w:rFonts w:eastAsia="Arial Narrow"/>
              </w:rPr>
            </w:pPr>
            <w:r w:rsidRPr="007572B1">
              <w:t>Dubsky 2013a</w:t>
            </w:r>
            <w:r w:rsidRPr="00F51442">
              <w:rPr>
                <w:vertAlign w:val="superscript"/>
              </w:rPr>
              <w:t xml:space="preserve"> </w:t>
            </w:r>
            <w:r w:rsidRPr="00C72AEA">
              <w:rPr>
                <w:vertAlign w:val="superscript"/>
              </w:rPr>
              <w:t>c</w:t>
            </w:r>
            <w:r w:rsidRPr="00F51442">
              <w:rPr>
                <w:vertAlign w:val="superscript"/>
              </w:rPr>
              <w:t xml:space="preserve"> </w:t>
            </w:r>
          </w:p>
        </w:tc>
        <w:tc>
          <w:tcPr>
            <w:tcW w:w="1100" w:type="dxa"/>
            <w:tcBorders>
              <w:bottom w:val="nil"/>
            </w:tcBorders>
            <w:vAlign w:val="center"/>
          </w:tcPr>
          <w:p w14:paraId="5DBBCB7D"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ABCSG-6&amp;8</w:t>
            </w:r>
          </w:p>
        </w:tc>
        <w:tc>
          <w:tcPr>
            <w:tcW w:w="1843" w:type="dxa"/>
            <w:vAlign w:val="center"/>
            <w:hideMark/>
          </w:tcPr>
          <w:p w14:paraId="087A67B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EPclin</w:t>
            </w:r>
          </w:p>
        </w:tc>
        <w:tc>
          <w:tcPr>
            <w:tcW w:w="850" w:type="dxa"/>
            <w:vAlign w:val="center"/>
          </w:tcPr>
          <w:p w14:paraId="5AEA4B4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4.7</w:t>
            </w:r>
          </w:p>
        </w:tc>
        <w:tc>
          <w:tcPr>
            <w:tcW w:w="993" w:type="dxa"/>
            <w:vAlign w:val="center"/>
          </w:tcPr>
          <w:p w14:paraId="69577EB2"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23.4</w:t>
            </w:r>
          </w:p>
        </w:tc>
        <w:tc>
          <w:tcPr>
            <w:tcW w:w="1634" w:type="dxa"/>
            <w:vAlign w:val="center"/>
            <w:hideMark/>
          </w:tcPr>
          <w:p w14:paraId="5CA45591"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5.11 (3.48, 7.51)</w:t>
            </w:r>
          </w:p>
        </w:tc>
        <w:tc>
          <w:tcPr>
            <w:tcW w:w="1291" w:type="dxa"/>
            <w:vAlign w:val="center"/>
            <w:hideMark/>
          </w:tcPr>
          <w:p w14:paraId="277392E3"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&lt; 0.001</w:t>
            </w:r>
          </w:p>
        </w:tc>
      </w:tr>
      <w:tr w:rsidR="006F38A9" w:rsidRPr="007572B1" w14:paraId="69C89A61" w14:textId="77777777" w:rsidTr="00210C73">
        <w:trPr>
          <w:trHeight w:val="270"/>
        </w:trPr>
        <w:tc>
          <w:tcPr>
            <w:cnfStyle w:val="001000000000" w:firstRow="0" w:lastRow="0" w:firstColumn="1" w:lastColumn="0" w:oddVBand="0" w:evenVBand="0" w:oddHBand="0" w:evenHBand="0" w:firstRowFirstColumn="0" w:firstRowLastColumn="0" w:lastRowFirstColumn="0" w:lastRowLastColumn="0"/>
            <w:tcW w:w="1305" w:type="dxa"/>
            <w:tcBorders>
              <w:top w:val="nil"/>
              <w:bottom w:val="nil"/>
            </w:tcBorders>
            <w:vAlign w:val="center"/>
            <w:hideMark/>
          </w:tcPr>
          <w:p w14:paraId="2A8C6AA8" w14:textId="77777777" w:rsidR="006F38A9" w:rsidRPr="006F38A9" w:rsidRDefault="006F38A9" w:rsidP="006F38A9">
            <w:pPr>
              <w:pStyle w:val="TableText0"/>
              <w:rPr>
                <w:rStyle w:val="Emphasis"/>
                <w:rFonts w:ascii="Arial Narrow" w:hAnsi="Arial Narrow" w:cs="Tahoma"/>
                <w:sz w:val="20"/>
                <w:szCs w:val="22"/>
              </w:rPr>
            </w:pPr>
            <w:r w:rsidRPr="006F38A9">
              <w:rPr>
                <w:rStyle w:val="Emphasis"/>
                <w:rFonts w:ascii="Arial Narrow" w:hAnsi="Arial Narrow" w:cs="Tahoma"/>
                <w:sz w:val="20"/>
                <w:szCs w:val="22"/>
              </w:rPr>
              <w:t>Moderate</w:t>
            </w:r>
          </w:p>
        </w:tc>
        <w:tc>
          <w:tcPr>
            <w:tcW w:w="1100" w:type="dxa"/>
            <w:tcBorders>
              <w:top w:val="nil"/>
              <w:bottom w:val="nil"/>
            </w:tcBorders>
            <w:vAlign w:val="center"/>
          </w:tcPr>
          <w:p w14:paraId="67E476A9"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p>
        </w:tc>
        <w:tc>
          <w:tcPr>
            <w:tcW w:w="1843" w:type="dxa"/>
            <w:vAlign w:val="center"/>
            <w:hideMark/>
          </w:tcPr>
          <w:p w14:paraId="42A9241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S3</w:t>
            </w:r>
          </w:p>
        </w:tc>
        <w:tc>
          <w:tcPr>
            <w:tcW w:w="850" w:type="dxa"/>
            <w:vAlign w:val="center"/>
          </w:tcPr>
          <w:p w14:paraId="6DDB2388"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5.3</w:t>
            </w:r>
          </w:p>
        </w:tc>
        <w:tc>
          <w:tcPr>
            <w:tcW w:w="993" w:type="dxa"/>
            <w:vAlign w:val="center"/>
          </w:tcPr>
          <w:p w14:paraId="0AEEFEB0"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13.2</w:t>
            </w:r>
          </w:p>
        </w:tc>
        <w:tc>
          <w:tcPr>
            <w:tcW w:w="1634" w:type="dxa"/>
            <w:vAlign w:val="center"/>
            <w:hideMark/>
          </w:tcPr>
          <w:p w14:paraId="0DAD572B"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2.2 (1.16, 4.19)</w:t>
            </w:r>
          </w:p>
        </w:tc>
        <w:tc>
          <w:tcPr>
            <w:tcW w:w="1291" w:type="dxa"/>
            <w:vAlign w:val="center"/>
            <w:hideMark/>
          </w:tcPr>
          <w:p w14:paraId="4DF5CD0F"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0.014</w:t>
            </w:r>
          </w:p>
        </w:tc>
      </w:tr>
      <w:tr w:rsidR="006F38A9" w:rsidRPr="007572B1" w14:paraId="49882721" w14:textId="77777777" w:rsidTr="00210C73">
        <w:trPr>
          <w:trHeight w:val="255"/>
        </w:trPr>
        <w:tc>
          <w:tcPr>
            <w:cnfStyle w:val="001000000000" w:firstRow="0" w:lastRow="0" w:firstColumn="1" w:lastColumn="0" w:oddVBand="0" w:evenVBand="0" w:oddHBand="0" w:evenHBand="0" w:firstRowFirstColumn="0" w:firstRowLastColumn="0" w:lastRowFirstColumn="0" w:lastRowLastColumn="0"/>
            <w:tcW w:w="1305" w:type="dxa"/>
            <w:tcBorders>
              <w:top w:val="nil"/>
              <w:bottom w:val="nil"/>
            </w:tcBorders>
            <w:vAlign w:val="center"/>
            <w:hideMark/>
          </w:tcPr>
          <w:p w14:paraId="4FD76496" w14:textId="77777777" w:rsidR="006F38A9" w:rsidRPr="007572B1" w:rsidRDefault="006F38A9" w:rsidP="00210C73">
            <w:pPr>
              <w:pStyle w:val="TableText0"/>
            </w:pPr>
          </w:p>
        </w:tc>
        <w:tc>
          <w:tcPr>
            <w:tcW w:w="1100" w:type="dxa"/>
            <w:tcBorders>
              <w:top w:val="nil"/>
              <w:bottom w:val="nil"/>
            </w:tcBorders>
            <w:vAlign w:val="center"/>
          </w:tcPr>
          <w:p w14:paraId="153AB72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p>
        </w:tc>
        <w:tc>
          <w:tcPr>
            <w:tcW w:w="1843" w:type="dxa"/>
            <w:vAlign w:val="center"/>
            <w:hideMark/>
          </w:tcPr>
          <w:p w14:paraId="0891BCF3"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NCCN</w:t>
            </w:r>
          </w:p>
        </w:tc>
        <w:tc>
          <w:tcPr>
            <w:tcW w:w="850" w:type="dxa"/>
            <w:vAlign w:val="center"/>
          </w:tcPr>
          <w:p w14:paraId="5A0A5EF6"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5.5</w:t>
            </w:r>
          </w:p>
        </w:tc>
        <w:tc>
          <w:tcPr>
            <w:tcW w:w="993" w:type="dxa"/>
            <w:vAlign w:val="center"/>
          </w:tcPr>
          <w:p w14:paraId="5AE9F568"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12.5</w:t>
            </w:r>
          </w:p>
        </w:tc>
        <w:tc>
          <w:tcPr>
            <w:tcW w:w="1634" w:type="dxa"/>
            <w:vAlign w:val="center"/>
            <w:hideMark/>
          </w:tcPr>
          <w:p w14:paraId="5C788227"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2.16 (0.80, 5.85)</w:t>
            </w:r>
          </w:p>
        </w:tc>
        <w:tc>
          <w:tcPr>
            <w:tcW w:w="1291" w:type="dxa"/>
            <w:vAlign w:val="center"/>
            <w:hideMark/>
          </w:tcPr>
          <w:p w14:paraId="1625F72D"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0.119</w:t>
            </w:r>
          </w:p>
        </w:tc>
      </w:tr>
      <w:tr w:rsidR="006F38A9" w:rsidRPr="007572B1" w14:paraId="794AA45B" w14:textId="77777777" w:rsidTr="00210C73">
        <w:trPr>
          <w:trHeight w:val="315"/>
        </w:trPr>
        <w:tc>
          <w:tcPr>
            <w:cnfStyle w:val="001000000000" w:firstRow="0" w:lastRow="0" w:firstColumn="1" w:lastColumn="0" w:oddVBand="0" w:evenVBand="0" w:oddHBand="0" w:evenHBand="0" w:firstRowFirstColumn="0" w:firstRowLastColumn="0" w:lastRowFirstColumn="0" w:lastRowLastColumn="0"/>
            <w:tcW w:w="1305" w:type="dxa"/>
            <w:tcBorders>
              <w:top w:val="nil"/>
              <w:bottom w:val="single" w:sz="4" w:space="0" w:color="auto"/>
            </w:tcBorders>
            <w:vAlign w:val="center"/>
            <w:hideMark/>
          </w:tcPr>
          <w:p w14:paraId="0751F628" w14:textId="77777777" w:rsidR="006F38A9" w:rsidRPr="007572B1" w:rsidRDefault="006F38A9" w:rsidP="00210C73">
            <w:pPr>
              <w:pStyle w:val="TableText0"/>
            </w:pPr>
            <w:r w:rsidRPr="007572B1">
              <w:t> </w:t>
            </w:r>
          </w:p>
        </w:tc>
        <w:tc>
          <w:tcPr>
            <w:tcW w:w="1100" w:type="dxa"/>
            <w:tcBorders>
              <w:top w:val="nil"/>
              <w:bottom w:val="single" w:sz="4" w:space="0" w:color="auto"/>
            </w:tcBorders>
            <w:vAlign w:val="center"/>
          </w:tcPr>
          <w:p w14:paraId="6E5D15D9"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p>
        </w:tc>
        <w:tc>
          <w:tcPr>
            <w:tcW w:w="1843" w:type="dxa"/>
            <w:vAlign w:val="center"/>
            <w:hideMark/>
          </w:tcPr>
          <w:p w14:paraId="041C2451"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St Gallen</w:t>
            </w:r>
          </w:p>
        </w:tc>
        <w:tc>
          <w:tcPr>
            <w:tcW w:w="850" w:type="dxa"/>
            <w:vAlign w:val="center"/>
          </w:tcPr>
          <w:p w14:paraId="46A9DBEA"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3.1</w:t>
            </w:r>
          </w:p>
        </w:tc>
        <w:tc>
          <w:tcPr>
            <w:tcW w:w="993" w:type="dxa"/>
            <w:vAlign w:val="center"/>
          </w:tcPr>
          <w:p w14:paraId="7D668B74"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13.3</w:t>
            </w:r>
          </w:p>
        </w:tc>
        <w:tc>
          <w:tcPr>
            <w:tcW w:w="1634" w:type="dxa"/>
            <w:vAlign w:val="center"/>
            <w:hideMark/>
          </w:tcPr>
          <w:p w14:paraId="6200CD1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2.78 (1.50, 5.14)</w:t>
            </w:r>
          </w:p>
        </w:tc>
        <w:tc>
          <w:tcPr>
            <w:tcW w:w="1291" w:type="dxa"/>
            <w:vAlign w:val="center"/>
            <w:hideMark/>
          </w:tcPr>
          <w:p w14:paraId="53C9A1A2"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&lt; 0.001</w:t>
            </w:r>
          </w:p>
        </w:tc>
      </w:tr>
      <w:tr w:rsidR="006F38A9" w:rsidRPr="007572B1" w14:paraId="5FEEED0D" w14:textId="77777777" w:rsidTr="00210C73">
        <w:trPr>
          <w:trHeight w:val="255"/>
        </w:trPr>
        <w:tc>
          <w:tcPr>
            <w:cnfStyle w:val="001000000000" w:firstRow="0" w:lastRow="0" w:firstColumn="1" w:lastColumn="0" w:oddVBand="0" w:evenVBand="0" w:oddHBand="0" w:evenHBand="0" w:firstRowFirstColumn="0" w:firstRowLastColumn="0" w:lastRowFirstColumn="0" w:lastRowLastColumn="0"/>
            <w:tcW w:w="1305" w:type="dxa"/>
            <w:tcBorders>
              <w:bottom w:val="nil"/>
            </w:tcBorders>
            <w:vAlign w:val="center"/>
            <w:hideMark/>
          </w:tcPr>
          <w:p w14:paraId="3F903577" w14:textId="77777777" w:rsidR="006F38A9" w:rsidRPr="007572B1" w:rsidRDefault="006F38A9" w:rsidP="00210C73">
            <w:pPr>
              <w:pStyle w:val="TableText0"/>
            </w:pPr>
            <w:r w:rsidRPr="007572B1">
              <w:rPr>
                <w:rFonts w:eastAsia="Arial Narrow"/>
              </w:rPr>
              <w:t>Buus 2016</w:t>
            </w:r>
          </w:p>
        </w:tc>
        <w:tc>
          <w:tcPr>
            <w:tcW w:w="1100" w:type="dxa"/>
            <w:tcBorders>
              <w:bottom w:val="nil"/>
            </w:tcBorders>
            <w:vAlign w:val="center"/>
          </w:tcPr>
          <w:p w14:paraId="1A5FDA31"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rPr>
                <w:rFonts w:eastAsia="Arial Narrow"/>
              </w:rPr>
              <w:t xml:space="preserve">TransATAC </w:t>
            </w:r>
          </w:p>
        </w:tc>
        <w:tc>
          <w:tcPr>
            <w:tcW w:w="1843" w:type="dxa"/>
            <w:vAlign w:val="center"/>
            <w:hideMark/>
          </w:tcPr>
          <w:p w14:paraId="6A4259F9"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EPclin</w:t>
            </w:r>
          </w:p>
        </w:tc>
        <w:tc>
          <w:tcPr>
            <w:tcW w:w="850" w:type="dxa"/>
            <w:vAlign w:val="center"/>
          </w:tcPr>
          <w:p w14:paraId="0E828CF0"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5.8</w:t>
            </w:r>
          </w:p>
        </w:tc>
        <w:tc>
          <w:tcPr>
            <w:tcW w:w="993" w:type="dxa"/>
            <w:vAlign w:val="center"/>
          </w:tcPr>
          <w:p w14:paraId="416580BF"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28.8</w:t>
            </w:r>
          </w:p>
        </w:tc>
        <w:tc>
          <w:tcPr>
            <w:tcW w:w="1634" w:type="dxa"/>
            <w:vAlign w:val="center"/>
            <w:hideMark/>
          </w:tcPr>
          <w:p w14:paraId="6E08E3A5"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5.99 (3.94, 9.11)</w:t>
            </w:r>
          </w:p>
        </w:tc>
        <w:tc>
          <w:tcPr>
            <w:tcW w:w="1291" w:type="dxa"/>
            <w:vAlign w:val="center"/>
            <w:hideMark/>
          </w:tcPr>
          <w:p w14:paraId="66121CF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&lt; 0.001</w:t>
            </w:r>
          </w:p>
        </w:tc>
      </w:tr>
      <w:tr w:rsidR="006F38A9" w:rsidRPr="007572B1" w14:paraId="40F5E866" w14:textId="77777777" w:rsidTr="00210C73">
        <w:trPr>
          <w:trHeight w:val="270"/>
        </w:trPr>
        <w:tc>
          <w:tcPr>
            <w:cnfStyle w:val="001000000000" w:firstRow="0" w:lastRow="0" w:firstColumn="1" w:lastColumn="0" w:oddVBand="0" w:evenVBand="0" w:oddHBand="0" w:evenHBand="0" w:firstRowFirstColumn="0" w:firstRowLastColumn="0" w:lastRowFirstColumn="0" w:lastRowLastColumn="0"/>
            <w:tcW w:w="1305" w:type="dxa"/>
            <w:tcBorders>
              <w:top w:val="nil"/>
              <w:bottom w:val="single" w:sz="4" w:space="0" w:color="auto"/>
            </w:tcBorders>
            <w:vAlign w:val="center"/>
            <w:hideMark/>
          </w:tcPr>
          <w:p w14:paraId="6C08EF13" w14:textId="77777777" w:rsidR="006F38A9" w:rsidRPr="00F51442" w:rsidRDefault="006F38A9" w:rsidP="00210C73">
            <w:pPr>
              <w:pStyle w:val="TableText0"/>
              <w:rPr>
                <w:rStyle w:val="Emphasis"/>
                <w:i w:val="0"/>
              </w:rPr>
            </w:pPr>
            <w:r w:rsidRPr="00F51442">
              <w:rPr>
                <w:rStyle w:val="Emphasis"/>
              </w:rPr>
              <w:t>Moderate</w:t>
            </w:r>
          </w:p>
        </w:tc>
        <w:tc>
          <w:tcPr>
            <w:tcW w:w="1100" w:type="dxa"/>
            <w:tcBorders>
              <w:top w:val="nil"/>
              <w:bottom w:val="single" w:sz="4" w:space="0" w:color="auto"/>
            </w:tcBorders>
            <w:vAlign w:val="center"/>
          </w:tcPr>
          <w:p w14:paraId="2DC8A690"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p>
        </w:tc>
        <w:tc>
          <w:tcPr>
            <w:tcW w:w="1843" w:type="dxa"/>
            <w:vAlign w:val="center"/>
            <w:hideMark/>
          </w:tcPr>
          <w:p w14:paraId="05AAA321"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RS</w:t>
            </w:r>
          </w:p>
        </w:tc>
        <w:tc>
          <w:tcPr>
            <w:tcW w:w="850" w:type="dxa"/>
            <w:vAlign w:val="center"/>
          </w:tcPr>
          <w:p w14:paraId="7E40E108"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10.1</w:t>
            </w:r>
          </w:p>
        </w:tc>
        <w:tc>
          <w:tcPr>
            <w:tcW w:w="993" w:type="dxa"/>
            <w:vAlign w:val="center"/>
          </w:tcPr>
          <w:p w14:paraId="1A05EB04"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23.5</w:t>
            </w:r>
          </w:p>
        </w:tc>
        <w:tc>
          <w:tcPr>
            <w:tcW w:w="1634" w:type="dxa"/>
            <w:vAlign w:val="center"/>
            <w:hideMark/>
          </w:tcPr>
          <w:p w14:paraId="7015BCB6"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2.73 (1.91, 3.89)</w:t>
            </w:r>
          </w:p>
        </w:tc>
        <w:tc>
          <w:tcPr>
            <w:tcW w:w="1291" w:type="dxa"/>
            <w:vAlign w:val="center"/>
            <w:hideMark/>
          </w:tcPr>
          <w:p w14:paraId="0CF57E2B"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0.008</w:t>
            </w:r>
          </w:p>
        </w:tc>
      </w:tr>
      <w:tr w:rsidR="006F38A9" w:rsidRPr="007572B1" w14:paraId="793E3A34" w14:textId="77777777" w:rsidTr="00210C73">
        <w:trPr>
          <w:trHeight w:val="300"/>
        </w:trPr>
        <w:tc>
          <w:tcPr>
            <w:cnfStyle w:val="001000000000" w:firstRow="0" w:lastRow="0" w:firstColumn="1" w:lastColumn="0" w:oddVBand="0" w:evenVBand="0" w:oddHBand="0" w:evenHBand="0" w:firstRowFirstColumn="0" w:firstRowLastColumn="0" w:lastRowFirstColumn="0" w:lastRowLastColumn="0"/>
            <w:tcW w:w="1305" w:type="dxa"/>
            <w:tcBorders>
              <w:bottom w:val="nil"/>
            </w:tcBorders>
            <w:vAlign w:val="center"/>
            <w:hideMark/>
          </w:tcPr>
          <w:p w14:paraId="34E17469" w14:textId="77777777" w:rsidR="006F38A9" w:rsidRPr="007572B1" w:rsidRDefault="006F38A9" w:rsidP="00210C73">
            <w:pPr>
              <w:pStyle w:val="TableText0"/>
            </w:pPr>
            <w:r w:rsidRPr="007572B1">
              <w:t>Martin  2016</w:t>
            </w:r>
          </w:p>
        </w:tc>
        <w:tc>
          <w:tcPr>
            <w:tcW w:w="1100" w:type="dxa"/>
            <w:tcBorders>
              <w:bottom w:val="nil"/>
            </w:tcBorders>
            <w:vAlign w:val="center"/>
          </w:tcPr>
          <w:p w14:paraId="483BB470"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GEICAM</w:t>
            </w:r>
          </w:p>
        </w:tc>
        <w:tc>
          <w:tcPr>
            <w:tcW w:w="1843" w:type="dxa"/>
            <w:vAlign w:val="center"/>
            <w:hideMark/>
          </w:tcPr>
          <w:p w14:paraId="358613CA"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EPclin</w:t>
            </w:r>
          </w:p>
        </w:tc>
        <w:tc>
          <w:tcPr>
            <w:tcW w:w="850" w:type="dxa"/>
            <w:vAlign w:val="center"/>
          </w:tcPr>
          <w:p w14:paraId="73B203D2"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0</w:t>
            </w:r>
          </w:p>
        </w:tc>
        <w:tc>
          <w:tcPr>
            <w:tcW w:w="993" w:type="dxa"/>
            <w:vAlign w:val="center"/>
          </w:tcPr>
          <w:p w14:paraId="0F498E85"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NR</w:t>
            </w:r>
          </w:p>
        </w:tc>
        <w:tc>
          <w:tcPr>
            <w:tcW w:w="1634" w:type="dxa"/>
            <w:vAlign w:val="center"/>
            <w:hideMark/>
          </w:tcPr>
          <w:p w14:paraId="13ED4848"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 xml:space="preserve">Infinitive </w:t>
            </w:r>
            <w:r w:rsidRPr="00E709E2">
              <w:rPr>
                <w:vertAlign w:val="superscript"/>
              </w:rPr>
              <w:t>e</w:t>
            </w:r>
          </w:p>
        </w:tc>
        <w:tc>
          <w:tcPr>
            <w:tcW w:w="1291" w:type="dxa"/>
            <w:vAlign w:val="center"/>
            <w:hideMark/>
          </w:tcPr>
          <w:p w14:paraId="10FA9BF8"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&lt; 0.0001</w:t>
            </w:r>
          </w:p>
        </w:tc>
      </w:tr>
      <w:tr w:rsidR="006F38A9" w:rsidRPr="007572B1" w14:paraId="2FCF0A30" w14:textId="77777777" w:rsidTr="00210C73">
        <w:trPr>
          <w:trHeight w:val="255"/>
        </w:trPr>
        <w:tc>
          <w:tcPr>
            <w:cnfStyle w:val="001000000000" w:firstRow="0" w:lastRow="0" w:firstColumn="1" w:lastColumn="0" w:oddVBand="0" w:evenVBand="0" w:oddHBand="0" w:evenHBand="0" w:firstRowFirstColumn="0" w:firstRowLastColumn="0" w:lastRowFirstColumn="0" w:lastRowLastColumn="0"/>
            <w:tcW w:w="1305" w:type="dxa"/>
            <w:tcBorders>
              <w:top w:val="nil"/>
              <w:bottom w:val="nil"/>
            </w:tcBorders>
            <w:vAlign w:val="center"/>
            <w:hideMark/>
          </w:tcPr>
          <w:p w14:paraId="634BD72C" w14:textId="77777777" w:rsidR="006F38A9" w:rsidRPr="006F38A9" w:rsidRDefault="006F38A9" w:rsidP="006F38A9">
            <w:pPr>
              <w:pStyle w:val="TableText0"/>
              <w:rPr>
                <w:rStyle w:val="Emphasis"/>
                <w:rFonts w:ascii="Arial Narrow" w:hAnsi="Arial Narrow" w:cs="Tahoma"/>
                <w:sz w:val="20"/>
                <w:szCs w:val="22"/>
              </w:rPr>
            </w:pPr>
            <w:r w:rsidRPr="006F38A9">
              <w:rPr>
                <w:rStyle w:val="Emphasis"/>
                <w:rFonts w:ascii="Arial Narrow" w:hAnsi="Arial Narrow" w:cs="Tahoma"/>
                <w:sz w:val="20"/>
                <w:szCs w:val="22"/>
              </w:rPr>
              <w:t>Moderate</w:t>
            </w:r>
          </w:p>
        </w:tc>
        <w:tc>
          <w:tcPr>
            <w:tcW w:w="1100" w:type="dxa"/>
            <w:tcBorders>
              <w:top w:val="nil"/>
              <w:bottom w:val="nil"/>
            </w:tcBorders>
            <w:vAlign w:val="center"/>
          </w:tcPr>
          <w:p w14:paraId="6F8A9D9B"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9906</w:t>
            </w:r>
            <w:r w:rsidRPr="00F51442">
              <w:rPr>
                <w:vertAlign w:val="superscript"/>
              </w:rPr>
              <w:t xml:space="preserve"> </w:t>
            </w:r>
            <w:r w:rsidRPr="00E709E2">
              <w:rPr>
                <w:vertAlign w:val="superscript"/>
              </w:rPr>
              <w:t>f</w:t>
            </w:r>
          </w:p>
        </w:tc>
        <w:tc>
          <w:tcPr>
            <w:tcW w:w="1843" w:type="dxa"/>
            <w:vAlign w:val="center"/>
            <w:hideMark/>
          </w:tcPr>
          <w:p w14:paraId="33CD2F5B"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ROR-T</w:t>
            </w:r>
          </w:p>
        </w:tc>
        <w:tc>
          <w:tcPr>
            <w:tcW w:w="850" w:type="dxa"/>
            <w:vAlign w:val="center"/>
          </w:tcPr>
          <w:p w14:paraId="619E8D33"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12</w:t>
            </w:r>
          </w:p>
        </w:tc>
        <w:tc>
          <w:tcPr>
            <w:tcW w:w="993" w:type="dxa"/>
            <w:vAlign w:val="center"/>
          </w:tcPr>
          <w:p w14:paraId="1A9BC0E3"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NR</w:t>
            </w:r>
          </w:p>
        </w:tc>
        <w:tc>
          <w:tcPr>
            <w:tcW w:w="1634" w:type="dxa"/>
            <w:vAlign w:val="center"/>
            <w:hideMark/>
          </w:tcPr>
          <w:p w14:paraId="64437265"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 xml:space="preserve">2.3 (L vs IM) </w:t>
            </w:r>
            <w:r w:rsidRPr="007572B1">
              <w:br/>
              <w:t>3.7 (L vs H)</w:t>
            </w:r>
          </w:p>
        </w:tc>
        <w:tc>
          <w:tcPr>
            <w:tcW w:w="1291" w:type="dxa"/>
            <w:vAlign w:val="center"/>
            <w:hideMark/>
          </w:tcPr>
          <w:p w14:paraId="0A8873C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&lt; 0.0001</w:t>
            </w:r>
            <w:r w:rsidRPr="007572B1">
              <w:br/>
              <w:t>&lt; 0.0001</w:t>
            </w:r>
          </w:p>
        </w:tc>
      </w:tr>
      <w:tr w:rsidR="006F38A9" w:rsidRPr="007572B1" w14:paraId="3069853B" w14:textId="77777777" w:rsidTr="00210C73">
        <w:trPr>
          <w:trHeight w:val="255"/>
        </w:trPr>
        <w:tc>
          <w:tcPr>
            <w:cnfStyle w:val="001000000000" w:firstRow="0" w:lastRow="0" w:firstColumn="1" w:lastColumn="0" w:oddVBand="0" w:evenVBand="0" w:oddHBand="0" w:evenHBand="0" w:firstRowFirstColumn="0" w:firstRowLastColumn="0" w:lastRowFirstColumn="0" w:lastRowLastColumn="0"/>
            <w:tcW w:w="1305" w:type="dxa"/>
            <w:tcBorders>
              <w:top w:val="nil"/>
            </w:tcBorders>
            <w:hideMark/>
          </w:tcPr>
          <w:p w14:paraId="34C6AC4E" w14:textId="77777777" w:rsidR="006F38A9" w:rsidRPr="007572B1" w:rsidRDefault="006F38A9" w:rsidP="00210C73">
            <w:pPr>
              <w:pStyle w:val="TableText0"/>
            </w:pPr>
            <w:r w:rsidRPr="007572B1">
              <w:t> </w:t>
            </w:r>
          </w:p>
        </w:tc>
        <w:tc>
          <w:tcPr>
            <w:tcW w:w="1100" w:type="dxa"/>
            <w:tcBorders>
              <w:top w:val="nil"/>
              <w:bottom w:val="single" w:sz="4" w:space="0" w:color="auto"/>
            </w:tcBorders>
          </w:tcPr>
          <w:p w14:paraId="44CCF025"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p>
        </w:tc>
        <w:tc>
          <w:tcPr>
            <w:tcW w:w="1843" w:type="dxa"/>
            <w:vAlign w:val="center"/>
            <w:hideMark/>
          </w:tcPr>
          <w:p w14:paraId="0525A40C"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ROR-PT</w:t>
            </w:r>
          </w:p>
        </w:tc>
        <w:tc>
          <w:tcPr>
            <w:tcW w:w="850" w:type="dxa"/>
            <w:vAlign w:val="center"/>
          </w:tcPr>
          <w:p w14:paraId="1013035B"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8</w:t>
            </w:r>
          </w:p>
        </w:tc>
        <w:tc>
          <w:tcPr>
            <w:tcW w:w="993" w:type="dxa"/>
            <w:vAlign w:val="center"/>
          </w:tcPr>
          <w:p w14:paraId="447466DE"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NR</w:t>
            </w:r>
          </w:p>
        </w:tc>
        <w:tc>
          <w:tcPr>
            <w:tcW w:w="1634" w:type="dxa"/>
            <w:vAlign w:val="center"/>
            <w:hideMark/>
          </w:tcPr>
          <w:p w14:paraId="409B1DF4"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 xml:space="preserve">4.5 (L vs IM) </w:t>
            </w:r>
            <w:r w:rsidRPr="007572B1">
              <w:br/>
              <w:t>5.8 (L vs H)</w:t>
            </w:r>
          </w:p>
        </w:tc>
        <w:tc>
          <w:tcPr>
            <w:tcW w:w="1291" w:type="dxa"/>
            <w:vAlign w:val="center"/>
            <w:hideMark/>
          </w:tcPr>
          <w:p w14:paraId="19D8E22D" w14:textId="77777777" w:rsidR="006F38A9" w:rsidRPr="007572B1" w:rsidRDefault="006F38A9" w:rsidP="00210C73">
            <w:pPr>
              <w:pStyle w:val="TableText0"/>
              <w:cnfStyle w:val="000000000000" w:firstRow="0" w:lastRow="0" w:firstColumn="0" w:lastColumn="0" w:oddVBand="0" w:evenVBand="0" w:oddHBand="0" w:evenHBand="0" w:firstRowFirstColumn="0" w:firstRowLastColumn="0" w:lastRowFirstColumn="0" w:lastRowLastColumn="0"/>
            </w:pPr>
            <w:r w:rsidRPr="007572B1">
              <w:t>&lt; 0.0001</w:t>
            </w:r>
            <w:r w:rsidRPr="007572B1">
              <w:br/>
              <w:t>&lt; 0.0001</w:t>
            </w:r>
          </w:p>
        </w:tc>
      </w:tr>
    </w:tbl>
    <w:p w14:paraId="5B28FAB4" w14:textId="77777777" w:rsidR="006F38A9" w:rsidRDefault="006F38A9" w:rsidP="006F38A9">
      <w:pPr>
        <w:pStyle w:val="TFAbbrevs18"/>
      </w:pPr>
      <w:r w:rsidRPr="00A701C5">
        <w:t>Abbreviations:</w:t>
      </w:r>
      <w:r>
        <w:t xml:space="preserve"> CI, confidence interval; DRR, distant recurrence riskEPclin, EndoPredict score, N, lymph node; RS, OncoTypeDX risk score, ROR, Prosigna risk of recurrence score</w:t>
      </w:r>
    </w:p>
    <w:p w14:paraId="4E26B62A" w14:textId="77777777" w:rsidR="006F38A9" w:rsidRDefault="006F38A9" w:rsidP="006F38A9">
      <w:pPr>
        <w:pStyle w:val="TFAbbrevs18"/>
      </w:pPr>
      <w:r>
        <w:t xml:space="preserve">a. </w:t>
      </w:r>
      <w:r w:rsidRPr="000A778F">
        <w:t>percentages indicate the Kaplan-Meir survival estimate within 10 years</w:t>
      </w:r>
    </w:p>
    <w:p w14:paraId="3E273CE1" w14:textId="77777777" w:rsidR="006F38A9" w:rsidRDefault="006F38A9" w:rsidP="006F38A9">
      <w:pPr>
        <w:pStyle w:val="TFAbbrevs18"/>
      </w:pPr>
      <w:r>
        <w:t xml:space="preserve">b. Includes non-low risk patients, i.e those classified as both </w:t>
      </w:r>
      <w:r w:rsidRPr="00D734F6">
        <w:rPr>
          <w:rStyle w:val="Emphasis"/>
        </w:rPr>
        <w:t xml:space="preserve">intermediate </w:t>
      </w:r>
      <w:r w:rsidRPr="00D734F6">
        <w:t>and</w:t>
      </w:r>
      <w:r>
        <w:rPr>
          <w:rStyle w:val="Emphasis"/>
        </w:rPr>
        <w:t xml:space="preserve"> high </w:t>
      </w:r>
      <w:r>
        <w:t xml:space="preserve">risk using </w:t>
      </w:r>
      <w:r w:rsidRPr="002B0F60">
        <w:t xml:space="preserve">RS in Buus </w:t>
      </w:r>
      <w:r>
        <w:t>2016 (</w:t>
      </w:r>
      <w:r w:rsidRPr="002B0F60">
        <w:t>TransATAC</w:t>
      </w:r>
      <w:r>
        <w:t xml:space="preserve">) </w:t>
      </w:r>
    </w:p>
    <w:p w14:paraId="0257527E" w14:textId="77777777" w:rsidR="006F38A9" w:rsidRDefault="006F38A9" w:rsidP="006F38A9">
      <w:pPr>
        <w:pStyle w:val="TFAbbrevs18"/>
      </w:pPr>
      <w:r>
        <w:t>c.</w:t>
      </w:r>
      <w:r w:rsidRPr="00F62816">
        <w:t xml:space="preserve"> this patient cohort includes patients who received extended endocrine therapy (N=1702) with median follow-up of 5.25 years. </w:t>
      </w:r>
    </w:p>
    <w:p w14:paraId="6B045B93" w14:textId="77777777" w:rsidR="006F38A9" w:rsidRDefault="006F38A9" w:rsidP="006F38A9">
      <w:pPr>
        <w:pStyle w:val="TFAbbrevs18"/>
      </w:pPr>
      <w:r>
        <w:t xml:space="preserve">d. </w:t>
      </w:r>
      <w:r w:rsidRPr="00F62816">
        <w:t xml:space="preserve">Ki67 cut-off value as recommended by the St Gallen </w:t>
      </w:r>
      <w:r>
        <w:t xml:space="preserve">2011 </w:t>
      </w:r>
      <w:r w:rsidRPr="00F62816">
        <w:t>panel</w:t>
      </w:r>
      <w:r>
        <w:t>.</w:t>
      </w:r>
    </w:p>
    <w:p w14:paraId="213A1243" w14:textId="77777777" w:rsidR="006F38A9" w:rsidRDefault="006F38A9" w:rsidP="006F38A9">
      <w:pPr>
        <w:pStyle w:val="TFAbbrevs18"/>
      </w:pPr>
      <w:r>
        <w:t>e.</w:t>
      </w:r>
      <w:r w:rsidRPr="00F62816">
        <w:t xml:space="preserve"> no events in the low risk group</w:t>
      </w:r>
      <w:r>
        <w:t>.</w:t>
      </w:r>
      <w:r w:rsidRPr="00F62816">
        <w:t xml:space="preserve"> </w:t>
      </w:r>
    </w:p>
    <w:p w14:paraId="4BDB687C" w14:textId="77777777" w:rsidR="006F38A9" w:rsidRDefault="006F38A9" w:rsidP="006F38A9">
      <w:pPr>
        <w:pStyle w:val="TFAbbrevs18"/>
        <w:spacing w:after="240"/>
      </w:pPr>
      <w:r>
        <w:t>f. this patient cohort includes only those with 1–3 positive lymph nodes and is confounded by patients having received chemotherapy.</w:t>
      </w:r>
    </w:p>
    <w:p w14:paraId="42E0954D" w14:textId="505127B7" w:rsidR="006F38A9" w:rsidRDefault="006F38A9" w:rsidP="00F002C7">
      <w:pPr>
        <w:spacing w:after="240"/>
      </w:pPr>
      <w:r>
        <w:t xml:space="preserve">Overall, the Critique considered there is evidence that EndoPredict® test is reliable, reproducible and prognostic of 10 year distant recurrence in women with ER+, HER2– primary breast cancer who have undergone surgical tumour removal who are at intermediate risk of distant recurrence based on clinical markers of disease. The submission presented evidence showing that EndoPredict can also be used for predicting the likelihood of distant recurrence at </w:t>
      </w:r>
      <w:r w:rsidR="00636F4D">
        <w:t>5</w:t>
      </w:r>
      <w:r>
        <w:t>-15 years in patients who were distant recurrence free after f</w:t>
      </w:r>
      <w:r w:rsidR="00F002C7">
        <w:t>ive years of endocrine therapy.</w:t>
      </w:r>
    </w:p>
    <w:p w14:paraId="0CCDD436" w14:textId="18486A42" w:rsidR="006F38A9" w:rsidRDefault="006F38A9" w:rsidP="00F002C7">
      <w:pPr>
        <w:spacing w:after="240"/>
      </w:pPr>
      <w:r>
        <w:t>However, when interpreting the evidence presented in the submission, the Critique noted that all studies re-evaluated data from previously published RCTs. While this is generally considered to be good quality of evidence in validation of prognostic models and tests, exclusion of some patients from the re-analyses that were previously included in the RCTs due to insufficient tissue samples, could influence study findings. In the ABCSG-6 and ABCSG-8 trials, there were 1864 blocks with sufficient tissue available out of 4710 that received endocrine therapy. For GEICAM 9906 trial tumour blocks were available from 800 out of the 1246 patients that participated in the trial while the tumour block availability for t</w:t>
      </w:r>
      <w:r w:rsidR="00F002C7">
        <w:t>he TransATAC trial was unclear.</w:t>
      </w:r>
    </w:p>
    <w:p w14:paraId="4F52E0B3" w14:textId="77777777" w:rsidR="00AE461A" w:rsidRDefault="006F38A9" w:rsidP="006F38A9">
      <w:r>
        <w:t>The Critique also considered the risk of bias assessment used in the SBA to assess studies evaluating prognostic performance of EndoPredict was unlikely to identify all areas where bias could have occurred.</w:t>
      </w:r>
    </w:p>
    <w:p w14:paraId="39831F00" w14:textId="77777777" w:rsidR="00AE461A" w:rsidRDefault="00AE461A" w:rsidP="00AE461A">
      <w:pPr>
        <w:pStyle w:val="Heading3"/>
      </w:pPr>
      <w:r>
        <w:lastRenderedPageBreak/>
        <w:t>Pre-MSAC response</w:t>
      </w:r>
    </w:p>
    <w:p w14:paraId="6C6BA6B7" w14:textId="66F89ED2" w:rsidR="00AE461A" w:rsidRDefault="00AE461A" w:rsidP="00F002C7">
      <w:pPr>
        <w:spacing w:after="240"/>
      </w:pPr>
      <w:r>
        <w:t>In response to ESC, The Applicant provided additional supplementary data from Dubsky et al 2013a (Table 2, Table 3 below) to further support the applicability of the EndoPredict prognostic evidence to patients with intermedi</w:t>
      </w:r>
      <w:r w:rsidR="00F002C7">
        <w:t>ate risk of distant recurrence.</w:t>
      </w:r>
    </w:p>
    <w:p w14:paraId="78E7BD14" w14:textId="77777777" w:rsidR="00AE461A" w:rsidRPr="00497393" w:rsidRDefault="00AE461A" w:rsidP="00497393">
      <w:pPr>
        <w:rPr>
          <w:rFonts w:ascii="Arial Narrow" w:hAnsi="Arial Narrow"/>
          <w:b/>
          <w:sz w:val="20"/>
        </w:rPr>
      </w:pPr>
      <w:r w:rsidRPr="00497393">
        <w:rPr>
          <w:rFonts w:ascii="Arial Narrow" w:hAnsi="Arial Narrow"/>
          <w:b/>
          <w:sz w:val="20"/>
        </w:rPr>
        <w:t>Table 2: Proportion of low vs intermediate/high risk patients (source: Dubsky et al., 2013a; Suppl. Tables S2)</w:t>
      </w:r>
    </w:p>
    <w:tbl>
      <w:tblPr>
        <w:tblStyle w:val="TableGrid1"/>
        <w:tblW w:w="5000" w:type="pct"/>
        <w:tblLook w:val="04A0" w:firstRow="1" w:lastRow="0" w:firstColumn="1" w:lastColumn="0" w:noHBand="0" w:noVBand="1"/>
        <w:tblCaption w:val="Key drivers of the economic model"/>
        <w:tblDescription w:val="This table describes what factors and assumptions in the economic model affect the incremental cost-effectiveness to the greatest extent."/>
      </w:tblPr>
      <w:tblGrid>
        <w:gridCol w:w="2417"/>
        <w:gridCol w:w="1649"/>
        <w:gridCol w:w="1650"/>
        <w:gridCol w:w="1650"/>
        <w:gridCol w:w="1650"/>
      </w:tblGrid>
      <w:tr w:rsidR="00AE461A" w:rsidRPr="00183E4D" w14:paraId="67F8E2D4" w14:textId="77777777" w:rsidTr="00EC7E74">
        <w:trPr>
          <w:cnfStyle w:val="100000000000" w:firstRow="1" w:lastRow="0" w:firstColumn="0" w:lastColumn="0" w:oddVBand="0" w:evenVBand="0" w:oddHBand="0" w:evenHBand="0" w:firstRowFirstColumn="0" w:firstRowLastColumn="0" w:lastRowFirstColumn="0" w:lastRowLastColumn="0"/>
          <w:tblHeader/>
        </w:trPr>
        <w:tc>
          <w:tcPr>
            <w:tcW w:w="1000" w:type="pct"/>
          </w:tcPr>
          <w:p w14:paraId="6D4D992E" w14:textId="77777777" w:rsidR="00AE461A" w:rsidRPr="00183E4D" w:rsidRDefault="00AE461A" w:rsidP="00572F3E">
            <w:pPr>
              <w:pStyle w:val="TableHeading"/>
              <w:rPr>
                <w:snapToGrid w:val="0"/>
              </w:rPr>
            </w:pPr>
            <w:r>
              <w:rPr>
                <w:snapToGrid w:val="0"/>
              </w:rPr>
              <w:t>Risk Classification</w:t>
            </w:r>
          </w:p>
        </w:tc>
        <w:tc>
          <w:tcPr>
            <w:tcW w:w="1000" w:type="pct"/>
          </w:tcPr>
          <w:p w14:paraId="54FA6FB9" w14:textId="77777777" w:rsidR="00AE461A" w:rsidRPr="00183E4D" w:rsidRDefault="00AE461A" w:rsidP="00572F3E">
            <w:pPr>
              <w:pStyle w:val="TableHeadingcenter"/>
              <w:rPr>
                <w:snapToGrid w:val="0"/>
              </w:rPr>
            </w:pPr>
            <w:r>
              <w:rPr>
                <w:snapToGrid w:val="0"/>
              </w:rPr>
              <w:t>German S3</w:t>
            </w:r>
          </w:p>
        </w:tc>
        <w:tc>
          <w:tcPr>
            <w:tcW w:w="1000" w:type="pct"/>
          </w:tcPr>
          <w:p w14:paraId="269CE958" w14:textId="77777777" w:rsidR="00AE461A" w:rsidRPr="00183E4D" w:rsidRDefault="00AE461A" w:rsidP="00572F3E">
            <w:pPr>
              <w:pStyle w:val="TableHeadingcenter"/>
              <w:rPr>
                <w:snapToGrid w:val="0"/>
              </w:rPr>
            </w:pPr>
            <w:r>
              <w:rPr>
                <w:snapToGrid w:val="0"/>
              </w:rPr>
              <w:t>NCCN 2007 (n=1702)</w:t>
            </w:r>
          </w:p>
        </w:tc>
        <w:tc>
          <w:tcPr>
            <w:tcW w:w="1000" w:type="pct"/>
          </w:tcPr>
          <w:p w14:paraId="6CB0A657" w14:textId="77777777" w:rsidR="00AE461A" w:rsidRPr="00183E4D" w:rsidRDefault="00AE461A" w:rsidP="00572F3E">
            <w:pPr>
              <w:pStyle w:val="TableHeadingcenter"/>
              <w:rPr>
                <w:snapToGrid w:val="0"/>
              </w:rPr>
            </w:pPr>
            <w:r>
              <w:rPr>
                <w:snapToGrid w:val="0"/>
              </w:rPr>
              <w:t>StGallen 2011 (n=1681)</w:t>
            </w:r>
          </w:p>
        </w:tc>
        <w:tc>
          <w:tcPr>
            <w:tcW w:w="1000" w:type="pct"/>
          </w:tcPr>
          <w:p w14:paraId="4FEA3B7C" w14:textId="77777777" w:rsidR="00AE461A" w:rsidRPr="00183E4D" w:rsidRDefault="00AE461A" w:rsidP="00572F3E">
            <w:pPr>
              <w:pStyle w:val="TableHeadingcenter"/>
              <w:rPr>
                <w:snapToGrid w:val="0"/>
              </w:rPr>
            </w:pPr>
            <w:r>
              <w:rPr>
                <w:snapToGrid w:val="0"/>
              </w:rPr>
              <w:t>EPclin (n=1702)</w:t>
            </w:r>
          </w:p>
        </w:tc>
      </w:tr>
      <w:tr w:rsidR="00AE461A" w:rsidRPr="00183E4D" w14:paraId="6DB1AD9B" w14:textId="77777777" w:rsidTr="00572F3E">
        <w:tc>
          <w:tcPr>
            <w:tcW w:w="1000" w:type="pct"/>
          </w:tcPr>
          <w:p w14:paraId="5222D69A" w14:textId="77777777" w:rsidR="00AE461A" w:rsidRPr="00183E4D" w:rsidRDefault="00AE461A" w:rsidP="00572F3E">
            <w:pPr>
              <w:pStyle w:val="TableTextLeft"/>
              <w:rPr>
                <w:snapToGrid w:val="0"/>
              </w:rPr>
            </w:pPr>
            <w:r>
              <w:rPr>
                <w:snapToGrid w:val="0"/>
              </w:rPr>
              <w:t>Low</w:t>
            </w:r>
          </w:p>
        </w:tc>
        <w:tc>
          <w:tcPr>
            <w:tcW w:w="1000" w:type="pct"/>
          </w:tcPr>
          <w:p w14:paraId="1D8FA7E4" w14:textId="77777777" w:rsidR="00AE461A" w:rsidRPr="00A269F9" w:rsidRDefault="00AE461A" w:rsidP="00572F3E">
            <w:pPr>
              <w:pStyle w:val="TableTextcenter"/>
            </w:pPr>
            <w:r>
              <w:t>248 (15%)</w:t>
            </w:r>
          </w:p>
        </w:tc>
        <w:tc>
          <w:tcPr>
            <w:tcW w:w="1000" w:type="pct"/>
            <w:vAlign w:val="bottom"/>
          </w:tcPr>
          <w:p w14:paraId="2B28966B" w14:textId="77777777" w:rsidR="00AE461A" w:rsidRPr="00A269F9" w:rsidRDefault="00AE461A" w:rsidP="00572F3E">
            <w:pPr>
              <w:pStyle w:val="TableTextcenter"/>
            </w:pPr>
            <w:r>
              <w:t>99 (6%)</w:t>
            </w:r>
          </w:p>
        </w:tc>
        <w:tc>
          <w:tcPr>
            <w:tcW w:w="1000" w:type="pct"/>
            <w:vAlign w:val="bottom"/>
          </w:tcPr>
          <w:p w14:paraId="4F1F5060" w14:textId="77777777" w:rsidR="00AE461A" w:rsidRPr="00B0727E" w:rsidRDefault="00AE461A" w:rsidP="00572F3E">
            <w:pPr>
              <w:pStyle w:val="TableTextcenter"/>
            </w:pPr>
            <w:r>
              <w:t>323 (19%)</w:t>
            </w:r>
          </w:p>
        </w:tc>
        <w:tc>
          <w:tcPr>
            <w:tcW w:w="1000" w:type="pct"/>
          </w:tcPr>
          <w:p w14:paraId="7F5B53FB" w14:textId="77777777" w:rsidR="00AE461A" w:rsidRPr="00B0727E" w:rsidRDefault="00AE461A" w:rsidP="00572F3E">
            <w:pPr>
              <w:pStyle w:val="TableTextcenter"/>
            </w:pPr>
            <w:r>
              <w:t>1066 (63%)</w:t>
            </w:r>
          </w:p>
        </w:tc>
      </w:tr>
      <w:tr w:rsidR="00AE461A" w:rsidRPr="00183E4D" w14:paraId="6391913B" w14:textId="77777777" w:rsidTr="00572F3E">
        <w:tc>
          <w:tcPr>
            <w:tcW w:w="1000" w:type="pct"/>
          </w:tcPr>
          <w:p w14:paraId="545E0307" w14:textId="77777777" w:rsidR="00AE461A" w:rsidRPr="00183E4D" w:rsidRDefault="00AE461A" w:rsidP="00572F3E">
            <w:pPr>
              <w:pStyle w:val="TableTextLeft"/>
              <w:rPr>
                <w:snapToGrid w:val="0"/>
              </w:rPr>
            </w:pPr>
            <w:r>
              <w:rPr>
                <w:snapToGrid w:val="0"/>
              </w:rPr>
              <w:t>Intermediate/High</w:t>
            </w:r>
          </w:p>
        </w:tc>
        <w:tc>
          <w:tcPr>
            <w:tcW w:w="1000" w:type="pct"/>
          </w:tcPr>
          <w:p w14:paraId="35A6F6CA" w14:textId="77777777" w:rsidR="00AE461A" w:rsidRPr="00A269F9" w:rsidRDefault="00AE461A" w:rsidP="00572F3E">
            <w:pPr>
              <w:pStyle w:val="TableTextcenter"/>
            </w:pPr>
            <w:r>
              <w:t>1454 (85%)</w:t>
            </w:r>
          </w:p>
        </w:tc>
        <w:tc>
          <w:tcPr>
            <w:tcW w:w="1000" w:type="pct"/>
          </w:tcPr>
          <w:p w14:paraId="615675A7" w14:textId="77777777" w:rsidR="00AE461A" w:rsidRPr="00A269F9" w:rsidRDefault="00AE461A" w:rsidP="00572F3E">
            <w:pPr>
              <w:pStyle w:val="TableTextcenter"/>
            </w:pPr>
            <w:r>
              <w:t>1603 (94%)</w:t>
            </w:r>
          </w:p>
        </w:tc>
        <w:tc>
          <w:tcPr>
            <w:tcW w:w="1000" w:type="pct"/>
          </w:tcPr>
          <w:p w14:paraId="4CEC7271" w14:textId="77777777" w:rsidR="00AE461A" w:rsidRPr="00B0727E" w:rsidRDefault="00AE461A" w:rsidP="00572F3E">
            <w:pPr>
              <w:pStyle w:val="TableTextcenter"/>
            </w:pPr>
            <w:r>
              <w:t>1358 (81%)</w:t>
            </w:r>
          </w:p>
        </w:tc>
        <w:tc>
          <w:tcPr>
            <w:tcW w:w="1000" w:type="pct"/>
          </w:tcPr>
          <w:p w14:paraId="25EF2CAC" w14:textId="77777777" w:rsidR="00AE461A" w:rsidRPr="00B0727E" w:rsidRDefault="00AE461A" w:rsidP="00572F3E">
            <w:pPr>
              <w:pStyle w:val="TableTextcenter"/>
            </w:pPr>
            <w:r>
              <w:t>636 (37%)</w:t>
            </w:r>
          </w:p>
        </w:tc>
      </w:tr>
    </w:tbl>
    <w:p w14:paraId="627D80F6" w14:textId="77777777" w:rsidR="00AE461A" w:rsidRDefault="00AE461A" w:rsidP="00497393">
      <w:pPr>
        <w:keepLines/>
        <w:spacing w:after="240"/>
        <w:rPr>
          <w:rFonts w:ascii="Arial Narrow" w:hAnsi="Arial Narrow"/>
          <w:sz w:val="18"/>
          <w:szCs w:val="18"/>
        </w:rPr>
      </w:pPr>
      <w:r>
        <w:rPr>
          <w:rFonts w:ascii="Arial Narrow" w:hAnsi="Arial Narrow"/>
          <w:sz w:val="18"/>
          <w:szCs w:val="18"/>
        </w:rPr>
        <w:t>Source: Reproduced from Supplementary Table S2, of Dubsky 2013a</w:t>
      </w:r>
    </w:p>
    <w:p w14:paraId="03C9593A" w14:textId="77777777" w:rsidR="00AE461A" w:rsidRPr="00497393" w:rsidRDefault="00AE461A" w:rsidP="00497393">
      <w:pPr>
        <w:spacing w:before="240"/>
        <w:rPr>
          <w:rFonts w:ascii="Arial Narrow" w:hAnsi="Arial Narrow"/>
          <w:b/>
          <w:sz w:val="20"/>
        </w:rPr>
      </w:pPr>
      <w:r w:rsidRPr="00497393">
        <w:rPr>
          <w:rFonts w:ascii="Arial Narrow" w:hAnsi="Arial Narrow"/>
          <w:b/>
          <w:sz w:val="20"/>
        </w:rPr>
        <w:t>Table 3: 10 year distant recurrence rate in low vs intermediate/high risk patients (source: Dubsky et al., 2013a; Suppl. Tables S3)</w:t>
      </w:r>
    </w:p>
    <w:tbl>
      <w:tblPr>
        <w:tblStyle w:val="TableGrid1"/>
        <w:tblW w:w="5000" w:type="pct"/>
        <w:tblLook w:val="04A0" w:firstRow="1" w:lastRow="0" w:firstColumn="1" w:lastColumn="0" w:noHBand="0" w:noVBand="1"/>
        <w:tblCaption w:val="Key drivers of the economic model"/>
        <w:tblDescription w:val="This table describes what factors and assumptions in the economic model affect the incremental cost-effectiveness to the greatest extent."/>
      </w:tblPr>
      <w:tblGrid>
        <w:gridCol w:w="2253"/>
        <w:gridCol w:w="1843"/>
        <w:gridCol w:w="2460"/>
        <w:gridCol w:w="2460"/>
      </w:tblGrid>
      <w:tr w:rsidR="00AE461A" w:rsidRPr="00183E4D" w14:paraId="038FA4AD" w14:textId="77777777" w:rsidTr="00EC7E74">
        <w:trPr>
          <w:cnfStyle w:val="100000000000" w:firstRow="1" w:lastRow="0" w:firstColumn="0" w:lastColumn="0" w:oddVBand="0" w:evenVBand="0" w:oddHBand="0" w:evenHBand="0" w:firstRowFirstColumn="0" w:firstRowLastColumn="0" w:lastRowFirstColumn="0" w:lastRowLastColumn="0"/>
          <w:tblHeader/>
        </w:trPr>
        <w:tc>
          <w:tcPr>
            <w:tcW w:w="1250" w:type="pct"/>
            <w:tcBorders>
              <w:top w:val="single" w:sz="4" w:space="0" w:color="auto"/>
              <w:left w:val="single" w:sz="4" w:space="0" w:color="auto"/>
              <w:bottom w:val="nil"/>
              <w:right w:val="nil"/>
            </w:tcBorders>
          </w:tcPr>
          <w:p w14:paraId="5E70C336" w14:textId="77777777" w:rsidR="00AE461A" w:rsidRPr="00183E4D" w:rsidRDefault="00AE461A" w:rsidP="00572F3E">
            <w:pPr>
              <w:pStyle w:val="TableHeading"/>
              <w:rPr>
                <w:snapToGrid w:val="0"/>
              </w:rPr>
            </w:pPr>
            <w:r>
              <w:rPr>
                <w:snapToGrid w:val="0"/>
              </w:rPr>
              <w:t>German S3</w:t>
            </w:r>
          </w:p>
        </w:tc>
        <w:tc>
          <w:tcPr>
            <w:tcW w:w="1022" w:type="pct"/>
            <w:tcBorders>
              <w:top w:val="single" w:sz="4" w:space="0" w:color="auto"/>
              <w:left w:val="nil"/>
              <w:bottom w:val="nil"/>
              <w:right w:val="single" w:sz="4" w:space="0" w:color="auto"/>
            </w:tcBorders>
          </w:tcPr>
          <w:p w14:paraId="26FDD0DA" w14:textId="77777777" w:rsidR="00AE461A" w:rsidRDefault="00AE461A" w:rsidP="00572F3E">
            <w:pPr>
              <w:pStyle w:val="TableHeadingcenter"/>
              <w:rPr>
                <w:snapToGrid w:val="0"/>
              </w:rPr>
            </w:pPr>
          </w:p>
        </w:tc>
        <w:tc>
          <w:tcPr>
            <w:tcW w:w="1364" w:type="pct"/>
            <w:tcBorders>
              <w:top w:val="single" w:sz="4" w:space="0" w:color="auto"/>
              <w:left w:val="single" w:sz="4" w:space="0" w:color="auto"/>
              <w:bottom w:val="nil"/>
            </w:tcBorders>
          </w:tcPr>
          <w:p w14:paraId="7241F3B0" w14:textId="77777777" w:rsidR="00AE461A" w:rsidRPr="00183E4D" w:rsidRDefault="00AE461A" w:rsidP="00572F3E">
            <w:pPr>
              <w:pStyle w:val="TableHeadingcenter"/>
              <w:rPr>
                <w:snapToGrid w:val="0"/>
              </w:rPr>
            </w:pPr>
            <w:r>
              <w:rPr>
                <w:snapToGrid w:val="0"/>
              </w:rPr>
              <w:t>S3 Low</w:t>
            </w:r>
          </w:p>
        </w:tc>
        <w:tc>
          <w:tcPr>
            <w:tcW w:w="1364" w:type="pct"/>
            <w:tcBorders>
              <w:top w:val="single" w:sz="4" w:space="0" w:color="auto"/>
              <w:bottom w:val="nil"/>
            </w:tcBorders>
          </w:tcPr>
          <w:p w14:paraId="672EA57D" w14:textId="77777777" w:rsidR="00AE461A" w:rsidRPr="00183E4D" w:rsidRDefault="00AE461A" w:rsidP="00572F3E">
            <w:pPr>
              <w:pStyle w:val="TableHeadingcenter"/>
              <w:rPr>
                <w:snapToGrid w:val="0"/>
              </w:rPr>
            </w:pPr>
            <w:r>
              <w:rPr>
                <w:snapToGrid w:val="0"/>
              </w:rPr>
              <w:t>S3 Intermediate/high</w:t>
            </w:r>
          </w:p>
        </w:tc>
      </w:tr>
      <w:tr w:rsidR="00AE461A" w:rsidRPr="00183E4D" w14:paraId="61805A45" w14:textId="77777777" w:rsidTr="00EC7E74">
        <w:trPr>
          <w:cnfStyle w:val="100000000000" w:firstRow="1" w:lastRow="0" w:firstColumn="0" w:lastColumn="0" w:oddVBand="0" w:evenVBand="0" w:oddHBand="0" w:evenHBand="0" w:firstRowFirstColumn="0" w:firstRowLastColumn="0" w:lastRowFirstColumn="0" w:lastRowLastColumn="0"/>
          <w:tblHeader/>
        </w:trPr>
        <w:tc>
          <w:tcPr>
            <w:tcW w:w="1250" w:type="pct"/>
            <w:tcBorders>
              <w:top w:val="nil"/>
              <w:left w:val="single" w:sz="4" w:space="0" w:color="auto"/>
              <w:bottom w:val="single" w:sz="4" w:space="0" w:color="auto"/>
              <w:right w:val="nil"/>
            </w:tcBorders>
          </w:tcPr>
          <w:p w14:paraId="38AD226B" w14:textId="77777777" w:rsidR="00AE461A" w:rsidRDefault="00AE461A" w:rsidP="00572F3E">
            <w:pPr>
              <w:pStyle w:val="TableHeading"/>
              <w:rPr>
                <w:snapToGrid w:val="0"/>
              </w:rPr>
            </w:pPr>
          </w:p>
        </w:tc>
        <w:tc>
          <w:tcPr>
            <w:tcW w:w="1022" w:type="pct"/>
            <w:tcBorders>
              <w:top w:val="nil"/>
              <w:left w:val="nil"/>
              <w:bottom w:val="single" w:sz="4" w:space="0" w:color="auto"/>
              <w:right w:val="single" w:sz="4" w:space="0" w:color="auto"/>
            </w:tcBorders>
          </w:tcPr>
          <w:p w14:paraId="650E24BB" w14:textId="77777777" w:rsidR="00AE461A" w:rsidRDefault="00AE461A" w:rsidP="00572F3E">
            <w:pPr>
              <w:pStyle w:val="TableHeadingcenter"/>
              <w:rPr>
                <w:snapToGrid w:val="0"/>
              </w:rPr>
            </w:pPr>
          </w:p>
        </w:tc>
        <w:tc>
          <w:tcPr>
            <w:tcW w:w="1364" w:type="pct"/>
            <w:tcBorders>
              <w:top w:val="nil"/>
              <w:left w:val="single" w:sz="4" w:space="0" w:color="auto"/>
            </w:tcBorders>
          </w:tcPr>
          <w:p w14:paraId="6AA40D2C" w14:textId="77777777" w:rsidR="00AE461A" w:rsidRDefault="00AE461A" w:rsidP="00572F3E">
            <w:pPr>
              <w:pStyle w:val="TableHeadingcenter"/>
              <w:rPr>
                <w:snapToGrid w:val="0"/>
              </w:rPr>
            </w:pPr>
            <w:r>
              <w:rPr>
                <w:snapToGrid w:val="0"/>
              </w:rPr>
              <w:t>10 (5.3%)</w:t>
            </w:r>
          </w:p>
        </w:tc>
        <w:tc>
          <w:tcPr>
            <w:tcW w:w="1364" w:type="pct"/>
            <w:tcBorders>
              <w:top w:val="nil"/>
            </w:tcBorders>
          </w:tcPr>
          <w:p w14:paraId="329A38C3" w14:textId="77777777" w:rsidR="00AE461A" w:rsidRDefault="00AE461A" w:rsidP="00572F3E">
            <w:pPr>
              <w:pStyle w:val="TableHeadingcenter"/>
              <w:rPr>
                <w:snapToGrid w:val="0"/>
              </w:rPr>
            </w:pPr>
            <w:r>
              <w:rPr>
                <w:snapToGrid w:val="0"/>
              </w:rPr>
              <w:t>127 (13.2%)</w:t>
            </w:r>
          </w:p>
        </w:tc>
      </w:tr>
      <w:tr w:rsidR="00AE461A" w:rsidRPr="00183E4D" w14:paraId="305F4395" w14:textId="77777777" w:rsidTr="00572F3E">
        <w:tc>
          <w:tcPr>
            <w:tcW w:w="1250" w:type="pct"/>
            <w:tcBorders>
              <w:top w:val="single" w:sz="4" w:space="0" w:color="auto"/>
            </w:tcBorders>
          </w:tcPr>
          <w:p w14:paraId="1413E335" w14:textId="77777777" w:rsidR="00AE461A" w:rsidRPr="00183E4D" w:rsidRDefault="00AE461A" w:rsidP="00572F3E">
            <w:pPr>
              <w:pStyle w:val="TableTextLeft"/>
              <w:rPr>
                <w:snapToGrid w:val="0"/>
              </w:rPr>
            </w:pPr>
            <w:r>
              <w:rPr>
                <w:snapToGrid w:val="0"/>
              </w:rPr>
              <w:t>EPclin low</w:t>
            </w:r>
          </w:p>
        </w:tc>
        <w:tc>
          <w:tcPr>
            <w:tcW w:w="1022" w:type="pct"/>
            <w:tcBorders>
              <w:top w:val="single" w:sz="4" w:space="0" w:color="auto"/>
            </w:tcBorders>
          </w:tcPr>
          <w:p w14:paraId="5A002F6F" w14:textId="77777777" w:rsidR="00AE461A" w:rsidRDefault="00AE461A" w:rsidP="00572F3E">
            <w:pPr>
              <w:pStyle w:val="TableTextcenter"/>
            </w:pPr>
            <w:r>
              <w:t>35 (4.7%)</w:t>
            </w:r>
          </w:p>
        </w:tc>
        <w:tc>
          <w:tcPr>
            <w:tcW w:w="1364" w:type="pct"/>
          </w:tcPr>
          <w:p w14:paraId="5428A498" w14:textId="77777777" w:rsidR="00AE461A" w:rsidRPr="00A269F9" w:rsidRDefault="00AE461A" w:rsidP="00572F3E">
            <w:pPr>
              <w:pStyle w:val="TableTextcenter"/>
            </w:pPr>
            <w:r>
              <w:t>9 (5.3%)</w:t>
            </w:r>
          </w:p>
        </w:tc>
        <w:tc>
          <w:tcPr>
            <w:tcW w:w="1364" w:type="pct"/>
            <w:vAlign w:val="bottom"/>
          </w:tcPr>
          <w:p w14:paraId="363F2AF2" w14:textId="77777777" w:rsidR="00AE461A" w:rsidRPr="00A269F9" w:rsidRDefault="00AE461A" w:rsidP="00572F3E">
            <w:pPr>
              <w:pStyle w:val="TableTextcenter"/>
            </w:pPr>
            <w:r>
              <w:t>26 (4.5%)</w:t>
            </w:r>
          </w:p>
        </w:tc>
      </w:tr>
      <w:tr w:rsidR="00AE461A" w:rsidRPr="00183E4D" w14:paraId="6FF511EE" w14:textId="77777777" w:rsidTr="00572F3E">
        <w:tc>
          <w:tcPr>
            <w:tcW w:w="1250" w:type="pct"/>
            <w:tcBorders>
              <w:bottom w:val="single" w:sz="4" w:space="0" w:color="auto"/>
            </w:tcBorders>
          </w:tcPr>
          <w:p w14:paraId="51B07169" w14:textId="77777777" w:rsidR="00AE461A" w:rsidRPr="00183E4D" w:rsidRDefault="00AE461A" w:rsidP="00572F3E">
            <w:pPr>
              <w:pStyle w:val="TableTextLeft"/>
              <w:rPr>
                <w:snapToGrid w:val="0"/>
              </w:rPr>
            </w:pPr>
            <w:r>
              <w:rPr>
                <w:snapToGrid w:val="0"/>
              </w:rPr>
              <w:t>EPclin high</w:t>
            </w:r>
          </w:p>
        </w:tc>
        <w:tc>
          <w:tcPr>
            <w:tcW w:w="1022" w:type="pct"/>
            <w:tcBorders>
              <w:bottom w:val="single" w:sz="4" w:space="0" w:color="auto"/>
            </w:tcBorders>
          </w:tcPr>
          <w:p w14:paraId="78FBB184" w14:textId="77777777" w:rsidR="00AE461A" w:rsidRPr="00A269F9" w:rsidRDefault="00AE461A" w:rsidP="00572F3E">
            <w:pPr>
              <w:pStyle w:val="TableTextcenter"/>
            </w:pPr>
            <w:r>
              <w:t>102 (23.4%)</w:t>
            </w:r>
          </w:p>
        </w:tc>
        <w:tc>
          <w:tcPr>
            <w:tcW w:w="1364" w:type="pct"/>
            <w:tcBorders>
              <w:bottom w:val="single" w:sz="4" w:space="0" w:color="auto"/>
            </w:tcBorders>
          </w:tcPr>
          <w:p w14:paraId="6AD61621" w14:textId="77777777" w:rsidR="00AE461A" w:rsidRPr="00A269F9" w:rsidRDefault="00AE461A" w:rsidP="00572F3E">
            <w:pPr>
              <w:pStyle w:val="TableTextcenter"/>
            </w:pPr>
            <w:r>
              <w:t>1 (4.3%)</w:t>
            </w:r>
          </w:p>
        </w:tc>
        <w:tc>
          <w:tcPr>
            <w:tcW w:w="1364" w:type="pct"/>
            <w:tcBorders>
              <w:bottom w:val="single" w:sz="4" w:space="0" w:color="auto"/>
            </w:tcBorders>
          </w:tcPr>
          <w:p w14:paraId="321BCF86" w14:textId="77777777" w:rsidR="00AE461A" w:rsidRPr="00A269F9" w:rsidRDefault="00AE461A" w:rsidP="00572F3E">
            <w:pPr>
              <w:pStyle w:val="TableTextcenter"/>
            </w:pPr>
            <w:r>
              <w:t>101 (24.0%)</w:t>
            </w:r>
          </w:p>
        </w:tc>
      </w:tr>
      <w:tr w:rsidR="00AE461A" w:rsidRPr="00183E4D" w14:paraId="48D1ED00" w14:textId="77777777" w:rsidTr="00572F3E">
        <w:tc>
          <w:tcPr>
            <w:tcW w:w="1250" w:type="pct"/>
            <w:tcBorders>
              <w:bottom w:val="nil"/>
              <w:right w:val="nil"/>
            </w:tcBorders>
          </w:tcPr>
          <w:p w14:paraId="27BDD7E4" w14:textId="77777777" w:rsidR="00AE461A" w:rsidRPr="009D1884" w:rsidRDefault="00AE461A" w:rsidP="00572F3E">
            <w:pPr>
              <w:pStyle w:val="TableTextLeft"/>
              <w:rPr>
                <w:b/>
                <w:snapToGrid w:val="0"/>
              </w:rPr>
            </w:pPr>
            <w:r w:rsidRPr="009D1884">
              <w:rPr>
                <w:b/>
                <w:bCs/>
                <w:snapToGrid w:val="0"/>
              </w:rPr>
              <w:t>NCCN 2007</w:t>
            </w:r>
          </w:p>
        </w:tc>
        <w:tc>
          <w:tcPr>
            <w:tcW w:w="1022" w:type="pct"/>
            <w:tcBorders>
              <w:left w:val="nil"/>
              <w:bottom w:val="nil"/>
            </w:tcBorders>
          </w:tcPr>
          <w:p w14:paraId="39100631" w14:textId="77777777" w:rsidR="00AE461A" w:rsidRDefault="00AE461A" w:rsidP="00572F3E">
            <w:pPr>
              <w:pStyle w:val="TableTextcenter"/>
            </w:pPr>
          </w:p>
        </w:tc>
        <w:tc>
          <w:tcPr>
            <w:tcW w:w="1364" w:type="pct"/>
            <w:tcBorders>
              <w:bottom w:val="nil"/>
            </w:tcBorders>
          </w:tcPr>
          <w:p w14:paraId="36CA60C4" w14:textId="77777777" w:rsidR="00AE461A" w:rsidRPr="003E5106" w:rsidRDefault="00AE461A" w:rsidP="00572F3E">
            <w:pPr>
              <w:pStyle w:val="TableTextcenter"/>
              <w:rPr>
                <w:b/>
              </w:rPr>
            </w:pPr>
            <w:r w:rsidRPr="003E5106">
              <w:rPr>
                <w:b/>
                <w:bCs/>
              </w:rPr>
              <w:t>NCCN Low</w:t>
            </w:r>
          </w:p>
        </w:tc>
        <w:tc>
          <w:tcPr>
            <w:tcW w:w="1364" w:type="pct"/>
            <w:tcBorders>
              <w:bottom w:val="nil"/>
            </w:tcBorders>
          </w:tcPr>
          <w:p w14:paraId="0CEF0650" w14:textId="77777777" w:rsidR="00AE461A" w:rsidRPr="003E5106" w:rsidRDefault="00AE461A" w:rsidP="00572F3E">
            <w:pPr>
              <w:pStyle w:val="TableTextcenter"/>
              <w:rPr>
                <w:b/>
              </w:rPr>
            </w:pPr>
            <w:r w:rsidRPr="003E5106">
              <w:rPr>
                <w:b/>
                <w:bCs/>
              </w:rPr>
              <w:t>NCCN High</w:t>
            </w:r>
          </w:p>
        </w:tc>
      </w:tr>
      <w:tr w:rsidR="00AE461A" w:rsidRPr="00183E4D" w14:paraId="47F8C3B5" w14:textId="77777777" w:rsidTr="00572F3E">
        <w:tc>
          <w:tcPr>
            <w:tcW w:w="1250" w:type="pct"/>
            <w:tcBorders>
              <w:top w:val="nil"/>
              <w:right w:val="nil"/>
            </w:tcBorders>
          </w:tcPr>
          <w:p w14:paraId="387DECD8" w14:textId="77777777" w:rsidR="00AE461A" w:rsidRPr="009D1884" w:rsidRDefault="00AE461A" w:rsidP="00572F3E">
            <w:pPr>
              <w:pStyle w:val="TableTextLeft"/>
              <w:rPr>
                <w:b/>
                <w:bCs/>
                <w:snapToGrid w:val="0"/>
              </w:rPr>
            </w:pPr>
          </w:p>
        </w:tc>
        <w:tc>
          <w:tcPr>
            <w:tcW w:w="1022" w:type="pct"/>
            <w:tcBorders>
              <w:top w:val="nil"/>
              <w:left w:val="nil"/>
            </w:tcBorders>
          </w:tcPr>
          <w:p w14:paraId="51F3FE1F" w14:textId="77777777" w:rsidR="00AE461A" w:rsidRDefault="00AE461A" w:rsidP="00572F3E">
            <w:pPr>
              <w:pStyle w:val="TableTextcenter"/>
            </w:pPr>
          </w:p>
        </w:tc>
        <w:tc>
          <w:tcPr>
            <w:tcW w:w="1364" w:type="pct"/>
            <w:tcBorders>
              <w:top w:val="nil"/>
            </w:tcBorders>
          </w:tcPr>
          <w:p w14:paraId="1868DB6F" w14:textId="77777777" w:rsidR="00AE461A" w:rsidRPr="003E5106" w:rsidRDefault="00AE461A" w:rsidP="00572F3E">
            <w:pPr>
              <w:pStyle w:val="TableTextcenter"/>
              <w:rPr>
                <w:b/>
                <w:bCs/>
              </w:rPr>
            </w:pPr>
            <w:r>
              <w:rPr>
                <w:b/>
                <w:bCs/>
              </w:rPr>
              <w:t>4 (5.5%)</w:t>
            </w:r>
          </w:p>
        </w:tc>
        <w:tc>
          <w:tcPr>
            <w:tcW w:w="1364" w:type="pct"/>
            <w:tcBorders>
              <w:top w:val="nil"/>
            </w:tcBorders>
          </w:tcPr>
          <w:p w14:paraId="09B6E195" w14:textId="77777777" w:rsidR="00AE461A" w:rsidRPr="003E5106" w:rsidRDefault="00AE461A" w:rsidP="00572F3E">
            <w:pPr>
              <w:pStyle w:val="TableTextcenter"/>
              <w:rPr>
                <w:b/>
                <w:bCs/>
              </w:rPr>
            </w:pPr>
            <w:r>
              <w:rPr>
                <w:b/>
                <w:bCs/>
              </w:rPr>
              <w:t>133 (12.5%)</w:t>
            </w:r>
          </w:p>
        </w:tc>
      </w:tr>
      <w:tr w:rsidR="00AE461A" w:rsidRPr="00183E4D" w14:paraId="469AA9A0" w14:textId="77777777" w:rsidTr="00572F3E">
        <w:tc>
          <w:tcPr>
            <w:tcW w:w="1250" w:type="pct"/>
          </w:tcPr>
          <w:p w14:paraId="2D78C189" w14:textId="77777777" w:rsidR="00AE461A" w:rsidRDefault="00AE461A" w:rsidP="00572F3E">
            <w:pPr>
              <w:pStyle w:val="TableTextLeft"/>
              <w:rPr>
                <w:snapToGrid w:val="0"/>
              </w:rPr>
            </w:pPr>
            <w:r>
              <w:rPr>
                <w:snapToGrid w:val="0"/>
              </w:rPr>
              <w:t>EPclin low</w:t>
            </w:r>
          </w:p>
        </w:tc>
        <w:tc>
          <w:tcPr>
            <w:tcW w:w="1022" w:type="pct"/>
          </w:tcPr>
          <w:p w14:paraId="0CA562E3" w14:textId="77777777" w:rsidR="00AE461A" w:rsidRDefault="00AE461A" w:rsidP="00572F3E">
            <w:pPr>
              <w:pStyle w:val="TableTextcenter"/>
            </w:pPr>
            <w:r>
              <w:t>35 (4.7%)</w:t>
            </w:r>
          </w:p>
        </w:tc>
        <w:tc>
          <w:tcPr>
            <w:tcW w:w="1364" w:type="pct"/>
          </w:tcPr>
          <w:p w14:paraId="3FCF6832" w14:textId="77777777" w:rsidR="00AE461A" w:rsidRDefault="00AE461A" w:rsidP="00572F3E">
            <w:pPr>
              <w:pStyle w:val="TableTextcenter"/>
            </w:pPr>
            <w:r>
              <w:t>3 (3.7%)</w:t>
            </w:r>
          </w:p>
        </w:tc>
        <w:tc>
          <w:tcPr>
            <w:tcW w:w="1364" w:type="pct"/>
          </w:tcPr>
          <w:p w14:paraId="12DD15D1" w14:textId="77777777" w:rsidR="00AE461A" w:rsidRDefault="00AE461A" w:rsidP="00572F3E">
            <w:pPr>
              <w:pStyle w:val="TableTextcenter"/>
            </w:pPr>
            <w:r>
              <w:t>32 (4.8%)</w:t>
            </w:r>
          </w:p>
        </w:tc>
      </w:tr>
      <w:tr w:rsidR="00AE461A" w:rsidRPr="00183E4D" w14:paraId="36EAE357" w14:textId="77777777" w:rsidTr="00572F3E">
        <w:tc>
          <w:tcPr>
            <w:tcW w:w="1250" w:type="pct"/>
            <w:tcBorders>
              <w:bottom w:val="single" w:sz="4" w:space="0" w:color="auto"/>
            </w:tcBorders>
          </w:tcPr>
          <w:p w14:paraId="366A2988" w14:textId="77777777" w:rsidR="00AE461A" w:rsidRDefault="00AE461A" w:rsidP="00572F3E">
            <w:pPr>
              <w:pStyle w:val="TableTextLeft"/>
              <w:rPr>
                <w:snapToGrid w:val="0"/>
              </w:rPr>
            </w:pPr>
            <w:r>
              <w:rPr>
                <w:snapToGrid w:val="0"/>
              </w:rPr>
              <w:t>EPclin high</w:t>
            </w:r>
          </w:p>
        </w:tc>
        <w:tc>
          <w:tcPr>
            <w:tcW w:w="1022" w:type="pct"/>
            <w:tcBorders>
              <w:bottom w:val="single" w:sz="4" w:space="0" w:color="auto"/>
            </w:tcBorders>
          </w:tcPr>
          <w:p w14:paraId="21C8080C" w14:textId="77777777" w:rsidR="00AE461A" w:rsidRDefault="00AE461A" w:rsidP="00572F3E">
            <w:pPr>
              <w:pStyle w:val="TableTextcenter"/>
            </w:pPr>
            <w:r>
              <w:t>102 (23.4%)</w:t>
            </w:r>
          </w:p>
        </w:tc>
        <w:tc>
          <w:tcPr>
            <w:tcW w:w="1364" w:type="pct"/>
            <w:tcBorders>
              <w:bottom w:val="single" w:sz="4" w:space="0" w:color="auto"/>
            </w:tcBorders>
          </w:tcPr>
          <w:p w14:paraId="11E96C55" w14:textId="77777777" w:rsidR="00AE461A" w:rsidRDefault="00AE461A" w:rsidP="00572F3E">
            <w:pPr>
              <w:pStyle w:val="TableTextcenter"/>
            </w:pPr>
            <w:r>
              <w:t>1 (25.0%)</w:t>
            </w:r>
          </w:p>
        </w:tc>
        <w:tc>
          <w:tcPr>
            <w:tcW w:w="1364" w:type="pct"/>
            <w:tcBorders>
              <w:bottom w:val="single" w:sz="4" w:space="0" w:color="auto"/>
            </w:tcBorders>
          </w:tcPr>
          <w:p w14:paraId="42EDC6A8" w14:textId="77777777" w:rsidR="00AE461A" w:rsidRDefault="00AE461A" w:rsidP="00572F3E">
            <w:pPr>
              <w:pStyle w:val="TableTextcenter"/>
            </w:pPr>
            <w:r>
              <w:t>101 (23.3%)</w:t>
            </w:r>
          </w:p>
        </w:tc>
      </w:tr>
      <w:tr w:rsidR="00AE461A" w:rsidRPr="00183E4D" w14:paraId="1013AD3E" w14:textId="77777777" w:rsidTr="00572F3E">
        <w:tc>
          <w:tcPr>
            <w:tcW w:w="1250" w:type="pct"/>
            <w:tcBorders>
              <w:bottom w:val="nil"/>
              <w:right w:val="nil"/>
            </w:tcBorders>
          </w:tcPr>
          <w:p w14:paraId="6C203EF2" w14:textId="77777777" w:rsidR="00AE461A" w:rsidRPr="009D1884" w:rsidRDefault="00AE461A" w:rsidP="00572F3E">
            <w:pPr>
              <w:pStyle w:val="TableTextLeft"/>
              <w:rPr>
                <w:b/>
                <w:snapToGrid w:val="0"/>
              </w:rPr>
            </w:pPr>
            <w:r w:rsidRPr="009D1884">
              <w:rPr>
                <w:b/>
                <w:bCs/>
                <w:snapToGrid w:val="0"/>
              </w:rPr>
              <w:t>St</w:t>
            </w:r>
            <w:r>
              <w:rPr>
                <w:b/>
                <w:bCs/>
                <w:snapToGrid w:val="0"/>
              </w:rPr>
              <w:t>.</w:t>
            </w:r>
            <w:r w:rsidRPr="009D1884">
              <w:rPr>
                <w:b/>
                <w:bCs/>
                <w:snapToGrid w:val="0"/>
              </w:rPr>
              <w:t xml:space="preserve"> Gallen 2011</w:t>
            </w:r>
          </w:p>
        </w:tc>
        <w:tc>
          <w:tcPr>
            <w:tcW w:w="1022" w:type="pct"/>
            <w:tcBorders>
              <w:left w:val="nil"/>
              <w:bottom w:val="nil"/>
            </w:tcBorders>
          </w:tcPr>
          <w:p w14:paraId="2C1BA88D" w14:textId="77777777" w:rsidR="00AE461A" w:rsidRDefault="00AE461A" w:rsidP="00572F3E">
            <w:pPr>
              <w:pStyle w:val="TableTextcenter"/>
            </w:pPr>
          </w:p>
        </w:tc>
        <w:tc>
          <w:tcPr>
            <w:tcW w:w="1364" w:type="pct"/>
            <w:tcBorders>
              <w:bottom w:val="nil"/>
            </w:tcBorders>
          </w:tcPr>
          <w:p w14:paraId="3C1DEC95" w14:textId="77777777" w:rsidR="00AE461A" w:rsidRPr="0003606F" w:rsidRDefault="00AE461A" w:rsidP="00572F3E">
            <w:pPr>
              <w:pStyle w:val="TableTextcenter"/>
              <w:rPr>
                <w:b/>
              </w:rPr>
            </w:pPr>
            <w:r w:rsidRPr="0003606F">
              <w:rPr>
                <w:b/>
              </w:rPr>
              <w:t>St</w:t>
            </w:r>
            <w:r>
              <w:rPr>
                <w:b/>
                <w:bCs/>
              </w:rPr>
              <w:t>.</w:t>
            </w:r>
            <w:r w:rsidRPr="0003606F">
              <w:rPr>
                <w:b/>
              </w:rPr>
              <w:t xml:space="preserve"> Gallen Low</w:t>
            </w:r>
          </w:p>
        </w:tc>
        <w:tc>
          <w:tcPr>
            <w:tcW w:w="1364" w:type="pct"/>
            <w:tcBorders>
              <w:bottom w:val="nil"/>
            </w:tcBorders>
          </w:tcPr>
          <w:p w14:paraId="6309F548" w14:textId="77777777" w:rsidR="00AE461A" w:rsidRPr="0003606F" w:rsidRDefault="00AE461A" w:rsidP="00572F3E">
            <w:pPr>
              <w:pStyle w:val="TableTextcenter"/>
              <w:rPr>
                <w:b/>
              </w:rPr>
            </w:pPr>
            <w:r w:rsidRPr="0003606F">
              <w:rPr>
                <w:b/>
              </w:rPr>
              <w:t>St</w:t>
            </w:r>
            <w:r>
              <w:rPr>
                <w:b/>
                <w:bCs/>
              </w:rPr>
              <w:t>.</w:t>
            </w:r>
            <w:r w:rsidRPr="0003606F">
              <w:rPr>
                <w:b/>
              </w:rPr>
              <w:t xml:space="preserve"> Gallen </w:t>
            </w:r>
            <w:r>
              <w:rPr>
                <w:b/>
                <w:bCs/>
              </w:rPr>
              <w:t>I</w:t>
            </w:r>
            <w:r w:rsidRPr="0003606F">
              <w:rPr>
                <w:b/>
                <w:bCs/>
              </w:rPr>
              <w:t>ntermediate/</w:t>
            </w:r>
            <w:r>
              <w:rPr>
                <w:b/>
                <w:bCs/>
              </w:rPr>
              <w:t>H</w:t>
            </w:r>
            <w:r w:rsidRPr="0003606F">
              <w:rPr>
                <w:b/>
                <w:bCs/>
              </w:rPr>
              <w:t>igh</w:t>
            </w:r>
          </w:p>
        </w:tc>
      </w:tr>
      <w:tr w:rsidR="00AE461A" w:rsidRPr="00183E4D" w14:paraId="2CFF7888" w14:textId="77777777" w:rsidTr="00572F3E">
        <w:tc>
          <w:tcPr>
            <w:tcW w:w="1250" w:type="pct"/>
            <w:tcBorders>
              <w:top w:val="nil"/>
              <w:right w:val="nil"/>
            </w:tcBorders>
          </w:tcPr>
          <w:p w14:paraId="5DE9CE15" w14:textId="77777777" w:rsidR="00AE461A" w:rsidRPr="009D1884" w:rsidRDefault="00AE461A" w:rsidP="00572F3E">
            <w:pPr>
              <w:pStyle w:val="TableTextLeft"/>
              <w:rPr>
                <w:b/>
                <w:bCs/>
                <w:snapToGrid w:val="0"/>
              </w:rPr>
            </w:pPr>
          </w:p>
        </w:tc>
        <w:tc>
          <w:tcPr>
            <w:tcW w:w="1022" w:type="pct"/>
            <w:tcBorders>
              <w:top w:val="nil"/>
              <w:left w:val="nil"/>
            </w:tcBorders>
          </w:tcPr>
          <w:p w14:paraId="6D93DC0F" w14:textId="77777777" w:rsidR="00AE461A" w:rsidRDefault="00AE461A" w:rsidP="00572F3E">
            <w:pPr>
              <w:pStyle w:val="TableTextcenter"/>
            </w:pPr>
          </w:p>
        </w:tc>
        <w:tc>
          <w:tcPr>
            <w:tcW w:w="1364" w:type="pct"/>
            <w:tcBorders>
              <w:top w:val="nil"/>
            </w:tcBorders>
          </w:tcPr>
          <w:p w14:paraId="5C6E22E2" w14:textId="77777777" w:rsidR="00AE461A" w:rsidRPr="0003606F" w:rsidRDefault="00AE461A" w:rsidP="00572F3E">
            <w:pPr>
              <w:pStyle w:val="TableTextcenter"/>
              <w:rPr>
                <w:b/>
              </w:rPr>
            </w:pPr>
            <w:r w:rsidRPr="0003606F">
              <w:rPr>
                <w:b/>
              </w:rPr>
              <w:t>11 (3.1%)</w:t>
            </w:r>
          </w:p>
        </w:tc>
        <w:tc>
          <w:tcPr>
            <w:tcW w:w="1364" w:type="pct"/>
            <w:tcBorders>
              <w:top w:val="nil"/>
            </w:tcBorders>
          </w:tcPr>
          <w:p w14:paraId="083D26A0" w14:textId="77777777" w:rsidR="00AE461A" w:rsidRPr="0003606F" w:rsidRDefault="00AE461A" w:rsidP="00572F3E">
            <w:pPr>
              <w:pStyle w:val="TableTextcenter"/>
              <w:rPr>
                <w:b/>
              </w:rPr>
            </w:pPr>
            <w:r w:rsidRPr="0003606F">
              <w:rPr>
                <w:b/>
              </w:rPr>
              <w:t>126 (14.3%)</w:t>
            </w:r>
          </w:p>
        </w:tc>
      </w:tr>
      <w:tr w:rsidR="00AE461A" w:rsidRPr="00183E4D" w14:paraId="28F1C36A" w14:textId="77777777" w:rsidTr="00572F3E">
        <w:tc>
          <w:tcPr>
            <w:tcW w:w="1250" w:type="pct"/>
          </w:tcPr>
          <w:p w14:paraId="5FBFB9EB" w14:textId="77777777" w:rsidR="00AE461A" w:rsidRDefault="00AE461A" w:rsidP="00572F3E">
            <w:pPr>
              <w:pStyle w:val="TableTextLeft"/>
              <w:rPr>
                <w:snapToGrid w:val="0"/>
              </w:rPr>
            </w:pPr>
            <w:r>
              <w:rPr>
                <w:snapToGrid w:val="0"/>
              </w:rPr>
              <w:t>EPclin low</w:t>
            </w:r>
          </w:p>
        </w:tc>
        <w:tc>
          <w:tcPr>
            <w:tcW w:w="1022" w:type="pct"/>
          </w:tcPr>
          <w:p w14:paraId="594C5545" w14:textId="77777777" w:rsidR="00AE461A" w:rsidRDefault="00AE461A" w:rsidP="00572F3E">
            <w:pPr>
              <w:pStyle w:val="TableTextcenter"/>
            </w:pPr>
            <w:r>
              <w:t>35 (4.7%)</w:t>
            </w:r>
          </w:p>
        </w:tc>
        <w:tc>
          <w:tcPr>
            <w:tcW w:w="1364" w:type="pct"/>
          </w:tcPr>
          <w:p w14:paraId="60701D4B" w14:textId="77777777" w:rsidR="00AE461A" w:rsidRDefault="00AE461A" w:rsidP="00572F3E">
            <w:pPr>
              <w:pStyle w:val="TableTextcenter"/>
            </w:pPr>
            <w:r>
              <w:t>8 (3.0%)</w:t>
            </w:r>
          </w:p>
        </w:tc>
        <w:tc>
          <w:tcPr>
            <w:tcW w:w="1364" w:type="pct"/>
          </w:tcPr>
          <w:p w14:paraId="4820AF4C" w14:textId="77777777" w:rsidR="00AE461A" w:rsidRDefault="00AE461A" w:rsidP="00572F3E">
            <w:pPr>
              <w:pStyle w:val="TableTextcenter"/>
            </w:pPr>
            <w:r>
              <w:t>27 (5.4%)</w:t>
            </w:r>
          </w:p>
        </w:tc>
      </w:tr>
      <w:tr w:rsidR="00AE461A" w:rsidRPr="00183E4D" w14:paraId="05F6E9C1" w14:textId="77777777" w:rsidTr="00572F3E">
        <w:tc>
          <w:tcPr>
            <w:tcW w:w="1250" w:type="pct"/>
          </w:tcPr>
          <w:p w14:paraId="5DE273F3" w14:textId="77777777" w:rsidR="00AE461A" w:rsidRDefault="00AE461A" w:rsidP="00572F3E">
            <w:pPr>
              <w:pStyle w:val="TableTextLeft"/>
              <w:rPr>
                <w:snapToGrid w:val="0"/>
              </w:rPr>
            </w:pPr>
            <w:r>
              <w:rPr>
                <w:snapToGrid w:val="0"/>
              </w:rPr>
              <w:t>EPclin high</w:t>
            </w:r>
          </w:p>
        </w:tc>
        <w:tc>
          <w:tcPr>
            <w:tcW w:w="1022" w:type="pct"/>
          </w:tcPr>
          <w:p w14:paraId="53872531" w14:textId="77777777" w:rsidR="00AE461A" w:rsidRDefault="00AE461A" w:rsidP="00572F3E">
            <w:pPr>
              <w:pStyle w:val="TableTextcenter"/>
            </w:pPr>
            <w:r>
              <w:t>102 (23.5%)</w:t>
            </w:r>
          </w:p>
        </w:tc>
        <w:tc>
          <w:tcPr>
            <w:tcW w:w="1364" w:type="pct"/>
          </w:tcPr>
          <w:p w14:paraId="02AAA292" w14:textId="77777777" w:rsidR="00AE461A" w:rsidRDefault="00AE461A" w:rsidP="00572F3E">
            <w:pPr>
              <w:pStyle w:val="TableTextcenter"/>
            </w:pPr>
            <w:r>
              <w:t>3 (3.7%)</w:t>
            </w:r>
          </w:p>
        </w:tc>
        <w:tc>
          <w:tcPr>
            <w:tcW w:w="1364" w:type="pct"/>
          </w:tcPr>
          <w:p w14:paraId="672B5F61" w14:textId="77777777" w:rsidR="00AE461A" w:rsidRDefault="00AE461A" w:rsidP="00572F3E">
            <w:pPr>
              <w:pStyle w:val="TableTextcenter"/>
            </w:pPr>
            <w:r>
              <w:t>99 (25.2%)</w:t>
            </w:r>
          </w:p>
        </w:tc>
      </w:tr>
    </w:tbl>
    <w:p w14:paraId="7864B383" w14:textId="2DFDC41C" w:rsidR="006F38A9" w:rsidRPr="00F002C7" w:rsidRDefault="00AE461A" w:rsidP="000C0B97">
      <w:pPr>
        <w:keepLines/>
        <w:spacing w:after="240"/>
        <w:contextualSpacing/>
        <w:rPr>
          <w:rFonts w:ascii="Arial Narrow" w:hAnsi="Arial Narrow"/>
          <w:sz w:val="18"/>
          <w:szCs w:val="18"/>
        </w:rPr>
      </w:pPr>
      <w:r>
        <w:rPr>
          <w:rFonts w:ascii="Arial Narrow" w:hAnsi="Arial Narrow"/>
          <w:sz w:val="18"/>
          <w:szCs w:val="18"/>
        </w:rPr>
        <w:t>Source: Reproduced from Supplementary Table S3, of Dubsky 2013a</w:t>
      </w:r>
    </w:p>
    <w:p w14:paraId="4A47B06F" w14:textId="77777777" w:rsidR="006F38A9" w:rsidRPr="00F51442" w:rsidRDefault="006F38A9" w:rsidP="006F38A9">
      <w:pPr>
        <w:pStyle w:val="Heading2"/>
      </w:pPr>
      <w:r w:rsidRPr="00F51442">
        <w:t>Therapeutic efficacy (change in management)</w:t>
      </w:r>
    </w:p>
    <w:p w14:paraId="663C03FA" w14:textId="6A598CAC" w:rsidR="006F38A9" w:rsidRDefault="006F38A9" w:rsidP="00F002C7">
      <w:pPr>
        <w:spacing w:after="240"/>
      </w:pPr>
      <w:r w:rsidRPr="008904A8">
        <w:t xml:space="preserve">The main evidence for change in management was informed by </w:t>
      </w:r>
      <w:r>
        <w:t xml:space="preserve">the interim results from </w:t>
      </w:r>
      <w:r w:rsidRPr="008904A8">
        <w:t>an Australian study (PROSPER) that evaluated the potential decision impact of the EndoPredict test on the c</w:t>
      </w:r>
      <w:r w:rsidR="00F002C7">
        <w:t>linical management of patients.</w:t>
      </w:r>
    </w:p>
    <w:p w14:paraId="4800E945" w14:textId="4EB19D01" w:rsidR="006F38A9" w:rsidRDefault="00AA436B" w:rsidP="00F002C7">
      <w:pPr>
        <w:spacing w:after="240"/>
      </w:pPr>
      <w:r w:rsidRPr="00AA436B">
        <w:rPr>
          <w:b/>
        </w:rPr>
        <w:t>Redacted</w:t>
      </w:r>
      <w:r w:rsidR="006F38A9">
        <w:t>.</w:t>
      </w:r>
      <w:bookmarkStart w:id="20" w:name="_Ref10629208"/>
      <w:bookmarkStart w:id="21" w:name="_Ref10629206"/>
      <w:bookmarkStart w:id="22" w:name="_Toc10728620"/>
      <w:bookmarkStart w:id="23" w:name="_Ref10562866"/>
    </w:p>
    <w:p w14:paraId="6601CCC3" w14:textId="0215D2D8" w:rsidR="006F38A9" w:rsidRPr="00497393" w:rsidRDefault="006F38A9" w:rsidP="00497393">
      <w:pPr>
        <w:rPr>
          <w:rFonts w:ascii="Arial Narrow" w:hAnsi="Arial Narrow"/>
          <w:b/>
          <w:sz w:val="20"/>
        </w:rPr>
      </w:pPr>
      <w:r w:rsidRPr="00497393">
        <w:rPr>
          <w:rFonts w:ascii="Arial Narrow" w:hAnsi="Arial Narrow"/>
          <w:b/>
          <w:sz w:val="20"/>
        </w:rPr>
        <w:t xml:space="preserve">Table </w:t>
      </w:r>
      <w:bookmarkEnd w:id="20"/>
      <w:r w:rsidR="00AE461A" w:rsidRPr="00497393">
        <w:rPr>
          <w:rFonts w:ascii="Arial Narrow" w:hAnsi="Arial Narrow"/>
          <w:b/>
          <w:sz w:val="20"/>
        </w:rPr>
        <w:t>4</w:t>
      </w:r>
      <w:r w:rsidR="00FB479D" w:rsidRPr="00497393">
        <w:rPr>
          <w:rFonts w:ascii="Arial Narrow" w:hAnsi="Arial Narrow"/>
          <w:b/>
          <w:sz w:val="20"/>
        </w:rPr>
        <w:t>:</w:t>
      </w:r>
      <w:r w:rsidRPr="00497393">
        <w:rPr>
          <w:rFonts w:ascii="Arial Narrow" w:hAnsi="Arial Narrow"/>
          <w:b/>
          <w:sz w:val="20"/>
        </w:rPr>
        <w:tab/>
      </w:r>
      <w:r w:rsidR="00AA436B" w:rsidRPr="00497393">
        <w:rPr>
          <w:rFonts w:ascii="Arial Narrow" w:hAnsi="Arial Narrow"/>
          <w:b/>
          <w:sz w:val="20"/>
        </w:rPr>
        <w:t>Redacted</w:t>
      </w:r>
      <w:bookmarkEnd w:id="21"/>
      <w:bookmarkEnd w:id="22"/>
    </w:p>
    <w:bookmarkEnd w:id="23"/>
    <w:p w14:paraId="0EDC2EE8" w14:textId="47DF3510" w:rsidR="006F38A9" w:rsidRPr="00BA7E64" w:rsidRDefault="006F38A9" w:rsidP="00F002C7">
      <w:pPr>
        <w:spacing w:before="240"/>
      </w:pPr>
      <w:r>
        <w:t>F</w:t>
      </w:r>
      <w:r w:rsidRPr="00302A6C">
        <w:t xml:space="preserve">ive </w:t>
      </w:r>
      <w:r>
        <w:t xml:space="preserve">additional before-and-after </w:t>
      </w:r>
      <w:r w:rsidRPr="00302A6C">
        <w:t xml:space="preserve">studies found that the use of </w:t>
      </w:r>
      <w:r>
        <w:t xml:space="preserve">EndoPredict </w:t>
      </w:r>
      <w:r w:rsidRPr="00302A6C">
        <w:t>(E</w:t>
      </w:r>
      <w:r>
        <w:t>P</w:t>
      </w:r>
      <w:r w:rsidRPr="00302A6C">
        <w:t>clin score) changes management in the range of a net 0.</w:t>
      </w:r>
      <w:r>
        <w:t>7</w:t>
      </w:r>
      <w:r w:rsidRPr="00302A6C">
        <w:t>% increase in use of chemotherapy to a 44% reduction</w:t>
      </w:r>
      <w:r>
        <w:t xml:space="preserve">. The results of these five studies are summarised and compared with the PROSPER study results in Table </w:t>
      </w:r>
      <w:r w:rsidR="00AE461A">
        <w:t>5</w:t>
      </w:r>
      <w:r w:rsidR="00F002C7">
        <w:t>.</w:t>
      </w:r>
    </w:p>
    <w:p w14:paraId="68583F9C" w14:textId="15BFD511" w:rsidR="003B498A" w:rsidRPr="00497393" w:rsidRDefault="006F38A9" w:rsidP="00497393">
      <w:pPr>
        <w:spacing w:before="240" w:after="240"/>
        <w:rPr>
          <w:rFonts w:ascii="Arial Narrow" w:hAnsi="Arial Narrow"/>
          <w:b/>
          <w:sz w:val="20"/>
        </w:rPr>
      </w:pPr>
      <w:bookmarkStart w:id="24" w:name="_Toc19276810"/>
      <w:r w:rsidRPr="00497393">
        <w:rPr>
          <w:rFonts w:ascii="Arial Narrow" w:hAnsi="Arial Narrow"/>
          <w:b/>
          <w:sz w:val="20"/>
        </w:rPr>
        <w:t xml:space="preserve">Table </w:t>
      </w:r>
      <w:r w:rsidR="00AE461A" w:rsidRPr="00497393">
        <w:rPr>
          <w:rFonts w:ascii="Arial Narrow" w:hAnsi="Arial Narrow"/>
          <w:b/>
          <w:sz w:val="20"/>
        </w:rPr>
        <w:t>5</w:t>
      </w:r>
      <w:r w:rsidR="00FB479D" w:rsidRPr="00497393">
        <w:rPr>
          <w:rFonts w:ascii="Arial Narrow" w:hAnsi="Arial Narrow"/>
          <w:b/>
          <w:sz w:val="20"/>
        </w:rPr>
        <w:t>:</w:t>
      </w:r>
      <w:r w:rsidRPr="00497393">
        <w:rPr>
          <w:rFonts w:ascii="Arial Narrow" w:hAnsi="Arial Narrow"/>
          <w:b/>
          <w:sz w:val="20"/>
        </w:rPr>
        <w:tab/>
      </w:r>
      <w:r w:rsidR="00AA436B" w:rsidRPr="00497393">
        <w:rPr>
          <w:rFonts w:ascii="Arial Narrow" w:hAnsi="Arial Narrow"/>
          <w:b/>
          <w:sz w:val="20"/>
        </w:rPr>
        <w:t>Redacted</w:t>
      </w:r>
      <w:bookmarkEnd w:id="24"/>
    </w:p>
    <w:p w14:paraId="6F91DB27" w14:textId="2490EF29" w:rsidR="006F38A9" w:rsidRDefault="006F38A9" w:rsidP="00F002C7">
      <w:pPr>
        <w:spacing w:after="240"/>
      </w:pPr>
      <w:r>
        <w:t>The Critique considers these differences between studies in the magnitude of a change in management may indicate how influential the experience of the MDT/clinicians recommend</w:t>
      </w:r>
      <w:r w:rsidR="00F002C7">
        <w:t>ing the course of treatment is.</w:t>
      </w:r>
    </w:p>
    <w:p w14:paraId="499153BD" w14:textId="5819F0E5" w:rsidR="003B498A" w:rsidRDefault="00AA436B" w:rsidP="006F38A9">
      <w:r w:rsidRPr="00AA436B">
        <w:rPr>
          <w:b/>
        </w:rPr>
        <w:t>Redacted</w:t>
      </w:r>
      <w:r w:rsidR="006F38A9" w:rsidRPr="00BA7E64">
        <w:t>.</w:t>
      </w:r>
    </w:p>
    <w:p w14:paraId="67465B24" w14:textId="77777777" w:rsidR="003B498A" w:rsidRDefault="003B498A" w:rsidP="002A5F5D">
      <w:pPr>
        <w:pStyle w:val="Heading3"/>
      </w:pPr>
      <w:r>
        <w:t>Pre-MSAC response</w:t>
      </w:r>
    </w:p>
    <w:p w14:paraId="143FCD39" w14:textId="44062504" w:rsidR="00644290" w:rsidRDefault="00644290" w:rsidP="00F002C7">
      <w:pPr>
        <w:spacing w:after="240"/>
      </w:pPr>
      <w:r>
        <w:t xml:space="preserve">The Applicant provided the </w:t>
      </w:r>
      <w:r w:rsidR="00AA436B" w:rsidRPr="00AA436B">
        <w:rPr>
          <w:b/>
        </w:rPr>
        <w:t>redacted</w:t>
      </w:r>
      <w:r>
        <w:t>.</w:t>
      </w:r>
    </w:p>
    <w:p w14:paraId="14DEA943" w14:textId="1750B6E3" w:rsidR="006F38A9" w:rsidRPr="00497393" w:rsidRDefault="00644290" w:rsidP="00497393">
      <w:pPr>
        <w:spacing w:after="240"/>
        <w:rPr>
          <w:rFonts w:ascii="Arial Narrow" w:hAnsi="Arial Narrow"/>
          <w:b/>
          <w:sz w:val="20"/>
        </w:rPr>
      </w:pPr>
      <w:bookmarkStart w:id="25" w:name="_Ref19716469"/>
      <w:r w:rsidRPr="00497393">
        <w:rPr>
          <w:rFonts w:ascii="Arial Narrow" w:hAnsi="Arial Narrow"/>
          <w:b/>
          <w:sz w:val="20"/>
        </w:rPr>
        <w:lastRenderedPageBreak/>
        <w:t xml:space="preserve">Table </w:t>
      </w:r>
      <w:bookmarkEnd w:id="25"/>
      <w:r w:rsidR="00AE461A" w:rsidRPr="00497393">
        <w:rPr>
          <w:rFonts w:ascii="Arial Narrow" w:hAnsi="Arial Narrow"/>
          <w:b/>
          <w:sz w:val="20"/>
        </w:rPr>
        <w:t>6</w:t>
      </w:r>
      <w:r w:rsidRPr="00497393">
        <w:rPr>
          <w:rFonts w:ascii="Arial Narrow" w:hAnsi="Arial Narrow"/>
          <w:b/>
          <w:sz w:val="20"/>
        </w:rPr>
        <w:t xml:space="preserve">: </w:t>
      </w:r>
      <w:r w:rsidR="00AA436B" w:rsidRPr="00497393">
        <w:rPr>
          <w:rFonts w:ascii="Arial Narrow" w:hAnsi="Arial Narrow"/>
          <w:b/>
          <w:sz w:val="20"/>
        </w:rPr>
        <w:t>Redacted</w:t>
      </w:r>
    </w:p>
    <w:p w14:paraId="3D10309A" w14:textId="77777777" w:rsidR="006F38A9" w:rsidRPr="008904A8" w:rsidRDefault="006F38A9" w:rsidP="006F38A9">
      <w:pPr>
        <w:pStyle w:val="Heading2"/>
      </w:pPr>
      <w:r w:rsidRPr="008904A8">
        <w:t>Therapeutic effectiveness (health benefit from change in management)</w:t>
      </w:r>
    </w:p>
    <w:p w14:paraId="02BF4BDC" w14:textId="238F7DCD" w:rsidR="006F38A9" w:rsidRPr="00F002C7" w:rsidRDefault="006F38A9" w:rsidP="00F002C7">
      <w:pPr>
        <w:spacing w:after="240"/>
      </w:pPr>
      <w:r w:rsidRPr="00302A6C">
        <w:t>A single study</w:t>
      </w:r>
      <w:r>
        <w:t xml:space="preserve"> (Sestak et al. 2019)</w:t>
      </w:r>
      <w:r w:rsidRPr="00302A6C">
        <w:t xml:space="preserve"> of moderate-high risk of bias that reanalysed data from 5 RCTs found that the absolute risk difference</w:t>
      </w:r>
      <w:r>
        <w:t xml:space="preserve"> of 10-year distant recurrence with</w:t>
      </w:r>
      <w:r w:rsidRPr="00302A6C">
        <w:t xml:space="preserve"> ET alone</w:t>
      </w:r>
      <w:r>
        <w:t xml:space="preserve"> versus ET plus </w:t>
      </w:r>
      <w:r w:rsidRPr="00302A6C">
        <w:t>chemotherapy increases with increasing EPclin score</w:t>
      </w:r>
      <w:r w:rsidR="00F002C7">
        <w:t>.</w:t>
      </w:r>
    </w:p>
    <w:p w14:paraId="16BD9E3A" w14:textId="7EF1BE8D" w:rsidR="006F38A9" w:rsidRPr="00F002C7" w:rsidRDefault="00497393" w:rsidP="00F002C7">
      <w:pPr>
        <w:spacing w:after="240"/>
        <w:rPr>
          <w:bCs/>
          <w:szCs w:val="24"/>
        </w:rPr>
      </w:pPr>
      <w:hyperlink w:anchor="_ENREF_41" w:tooltip="Sestak, 2019 #37" w:history="1">
        <w:r w:rsidR="006F38A9" w:rsidRPr="006F38A9">
          <w:rPr>
            <w:rStyle w:val="Strong"/>
            <w:b w:val="0"/>
            <w:szCs w:val="24"/>
          </w:rPr>
          <w:fldChar w:fldCharType="begin">
            <w:fldData xml:space="preserve">PEVuZE5vdGU+PENpdGUgQXV0aG9yWWVhcj0iMSI+PEF1dGhvcj5TZXN0YWs8L0F1dGhvcj48WWVh
cj4yMDE5PC9ZZWFyPjxSZWNOdW0+Mzc8L1JlY051bT48RGlzcGxheVRleHQ+SS4gU2VzdGFrIGV0
IGFsLiAoMjAxOSk8L0Rpc3BsYXlUZXh0PjxyZWNvcmQ+PHJlYy1udW1iZXI+Mzc8L3JlYy1udW1i
ZXI+PGZvcmVpZ24ta2V5cz48a2V5IGFwcD0iRU4iIGRiLWlkPSI5ZXdkcHIyNWY5NXNyZWVyczI3
dmZlczM5dGZmdjV2ZHh6YXoiIHRpbWVzdGFtcD0iMTU2NTc0NzkwMiIgZ3VpZD0iNjc4NDI4ZTkt
MmUwZC00YTYwLWE2OGUtZmIxOTlkY2Q1MmJjIj4zNzwva2V5PjwvZm9yZWlnbi1rZXlzPjxyZWYt
dHlwZSBuYW1lPSJKb3VybmFsIEFydGljbGUiPjE3PC9yZWYtdHlwZT48Y29udHJpYnV0b3JzPjxh
dXRob3JzPjxhdXRob3I+U2VzdGFrLCBJLjwvYXV0aG9yPjxhdXRob3I+TWFydGluLCBNLjwvYXV0
aG9yPjxhdXRob3I+RHVic2t5LCBQLjwvYXV0aG9yPjxhdXRob3I+S3JvbmVud2V0dCwgUi48L2F1
dGhvcj48YXV0aG9yPlJvam8sIEYuPC9hdXRob3I+PGF1dGhvcj5DdXppY2ssIEouPC9hdXRob3I+
PGF1dGhvcj5GaWxpcGl0cywgTS48L2F1dGhvcj48YXV0aG9yPlJ1aXosIEEuPC9hdXRob3I+PGF1
dGhvcj5HcmFkaXNoYXIsIFcuPC9hdXRob3I+PGF1dGhvcj5Tb2xpbWFuLCBILjwvYXV0aG9yPjxh
dXRob3I+U2Nod2FydHpiZXJnLCBMLjwvYXV0aG9yPjxhdXRob3I+QnV1cywgUi48L2F1dGhvcj48
YXV0aG9yPkhsYXVzY2hlaywgRC48L2F1dGhvcj48YXV0aG9yPlJvZHJpZ3Vlei1MZXNjdXJlLCBB
LjwvYXV0aG9yPjxhdXRob3I+R25hbnQsIE0uPC9hdXRob3I+PC9hdXRob3JzPjwvY29udHJpYnV0
b3JzPjxhdXRoLWFkZHJlc3M+Q2VudHJlIGZvciBDYW5jZXIgUHJldmVudGlvbiwgV29sZnNvbiBJ
bnN0aXR1dGUgb2YgUHJldmVudGl2ZSBNZWRpY2luZSwgUXVlZW4gTWFyeSBVbml2ZXJzaXR5IG9m
IExvbmRvbiwgQ2hhcnRlcmhvdXNlIFNxdWFyZSwgTG9uZG9uLCBFQzFNIDZCUSwgVUsuIGkuc2Vz
dGFrQHFtdWwuYWMudWsuJiN4RDtJbnN0aXR1dG8gZGUgSW52ZXN0aWdhY2lvbiBTYW5pdGFyaWEg
R3JlZ29yaW8gTWFyYW5vbiwgQ0lCRVJPTkMsIFVuaXZlcnNpZGFkIENvbXBsdXRlbnNlLCBNYWRy
aWQsIFNwYWluLiYjeEQ7U3BhbmlzaCBCcmVhc3QgQ2FuY2VyIEdyb3VwLCBHRUlDQU0sIE1hZHJp
ZCwgU3BhaW4uJiN4RDtIaXJzbGFuZGVuIEtsaW5payBTdC4gQW5uYSwgTHVjZXJuZSwgU3dpdHpl
cmxhbmQuJiN4RDtEZXBhcnRtZW50IG9mIFN1cmdlcnkgYW5kIENvbXByZWhlbnNpdmUgQ2FuY2Vy
IENlbnRlciwgTWVkaWNhbCBVbml2ZXJzaXR5IG9mIFZpZW5uYSwgVmllbm5hLCBBdXN0cmlhLiYj
eEQ7TXlyaWFkIEludGVybmF0aW9uYWwgR21iSCwgQ29sb2duZSwgR2VybWFueS4mI3hEO0Z1bmRh
Y2lvbiBKaW1lbmV6IERpYXosIE1hZHJpZCwgU3BhaW4uJiN4RDtDZW50cmUgZm9yIENhbmNlciBQ
cmV2ZW50aW9uLCBXb2xmc29uIEluc3RpdHV0ZSBvZiBQcmV2ZW50aXZlIE1lZGljaW5lLCBRdWVl
biBNYXJ5IFVuaXZlcnNpdHkgb2YgTG9uZG9uLCBDaGFydGVyaG91c2UgU3F1YXJlLCBMb25kb24s
IEVDMU0gNkJRLCBVSy4mI3hEO0F1c3RyaWFuIEJyZWFzdCBhbmQgQ29sb3JlY3RhbCBTdHVkeSBH
cm91cCwgQUJDU0csIFZpZW5uYSwgQXVzdHJpYS4mI3hEO0luc3RpdHV0byBWYWxlbmNpYW5vIGRl
IE9uY29sb2dpYSwgVmFsZW5jaWEsIFNwYWluLiYjeEQ7Um9iZXJ0IEguIEx1cmllIENvbXByZWhl
bnNpdmUgQ2FuY2VyIENlbnRlciBvZiBOb3J0aHdlc3Rlcm4gVW5pdmVyc2l0eSwgQ2hpY2Fnbywg
VVNBLiYjeEQ7SC4gTGVlIE1vZmZpdHQgQ2FuY2VyIENlbnRlciBhbmQgUmVzZWFyY2ggSW5zdGl0
dXRlLCBUYW1wYSwgRkwsIFVTQS4mI3hEO1dlc3QgQ2FuY2VyIENlbnRlciwgR2VybWFudG93biwg
VVNBLiYjeEQ7VGhlIEJyZWFzdCBDYW5jZXIgTm93IFJlc2VhcmNoIENlbnRyZSwgSW5zdGl0dXRl
IG9mIENhbmNlciwgTG9uZG9uLCBVSy4mI3hEO1JhbHBoIExhdXJlbiBDZW50cmUgZm9yIEJyZWFz
dCBDYW5jZXIgUmVzZWFyY2gsIFJveWFsIE1hcnNkZW4gSG9zcGl0YWwsIExvbmRvbiwgVUsuJiN4
RDtIb3NwaXRhbCBVbml2ZXJzaXRhcmlvIGRlIEVsY2hlLCBWYWxlbmNpYSwgU3BhaW4uPC9hdXRo
LWFkZHJlc3M+PHRpdGxlcz48dGl0bGU+UHJlZGljdGlvbiBvZiBjaGVtb3RoZXJhcHkgYmVuZWZp
dCBieSBFbmRvUHJlZGljdCBpbiBwYXRpZW50cyB3aXRoIGJyZWFzdCBjYW5jZXIgd2hvIHJlY2Vp
dmVkIGFkanV2YW50IGVuZG9jcmluZSB0aGVyYXB5IHBsdXMgY2hlbW90aGVyYXB5IG9yIGVuZG9j
cmluZSB0aGVyYXB5IGFsb25lPC90aXRsZT48c2Vjb25kYXJ5LXRpdGxlPkJyZWFzdCBDYW5jZXIg
UmVzIFRyZWF0PC9zZWNvbmRhcnktdGl0bGU+PGFsdC10aXRsZT5CcmVhc3QgY2FuY2VyIHJlc2Vh
cmNoIGFuZCB0cmVhdG1lbnQ8L2FsdC10aXRsZT48L3RpdGxlcz48cGVyaW9kaWNhbD48ZnVsbC10
aXRsZT5CcmVhc3QgQ2FuY2VyIFJlcyBUcmVhdDwvZnVsbC10aXRsZT48L3BlcmlvZGljYWw+PHBh
Z2VzPjM3Ny0zODY8L3BhZ2VzPjx2b2x1bWU+MTc2PC92b2x1bWU+PG51bWJlcj4yPC9udW1iZXI+
PGVkaXRpb24+MjAxOS8wNS8wMjwvZWRpdGlvbj48a2V5d29yZHM+PGtleXdvcmQ+QnJlYXN0IGNh
bmNlcjwva2V5d29yZD48a2V5d29yZD5DaGVtb3RoZXJhcHk8L2tleXdvcmQ+PGtleXdvcmQ+RW5k
b1ByZWRpY3Q8L2tleXdvcmQ+PGtleXdvcmQ+UHJlZGljdGlvbjwva2V5d29yZD48L2tleXdvcmRz
PjxkYXRlcz48eWVhcj4yMDE5PC95ZWFyPjxwdWItZGF0ZXM+PGRhdGU+SnVsPC9kYXRlPjwvcHVi
LWRhdGVzPjwvZGF0ZXM+PGlzYm4+MDE2Ny02ODA2PC9pc2JuPjxhY2Nlc3Npb24tbnVtPjMxMDQx
NjgzPC9hY2Nlc3Npb24tbnVtPjx1cmxzPjwvdXJscz48Y3VzdG9tMj5QTUM2NTU1Nzc4PC9jdXN0
b20yPjxlbGVjdHJvbmljLXJlc291cmNlLW51bT4xMC4xMDA3L3MxMDU0OS0wMTktMDUyMjYtODwv
ZWxlY3Ryb25pYy1yZXNvdXJjZS1udW0+PHJlbW90ZS1kYXRhYmFzZS1wcm92aWRlcj5OTE08L3Jl
bW90ZS1kYXRhYmFzZS1wcm92aWRlcj48bGFuZ3VhZ2U+ZW5nPC9sYW5ndWFnZT48L3JlY29yZD48
L0NpdGU+PC9FbmROb3RlPgB=
</w:fldData>
          </w:fldChar>
        </w:r>
        <w:r w:rsidR="006F38A9" w:rsidRPr="006F38A9">
          <w:rPr>
            <w:rStyle w:val="Strong"/>
            <w:b w:val="0"/>
            <w:szCs w:val="24"/>
          </w:rPr>
          <w:instrText xml:space="preserve"> ADDIN EN.CITE </w:instrText>
        </w:r>
        <w:r w:rsidR="006F38A9" w:rsidRPr="006F38A9">
          <w:rPr>
            <w:rStyle w:val="Strong"/>
            <w:b w:val="0"/>
            <w:szCs w:val="24"/>
          </w:rPr>
          <w:fldChar w:fldCharType="begin">
            <w:fldData xml:space="preserve">PEVuZE5vdGU+PENpdGUgQXV0aG9yWWVhcj0iMSI+PEF1dGhvcj5TZXN0YWs8L0F1dGhvcj48WWVh
cj4yMDE5PC9ZZWFyPjxSZWNOdW0+Mzc8L1JlY051bT48RGlzcGxheVRleHQ+SS4gU2VzdGFrIGV0
IGFsLiAoMjAxOSk8L0Rpc3BsYXlUZXh0PjxyZWNvcmQ+PHJlYy1udW1iZXI+Mzc8L3JlYy1udW1i
ZXI+PGZvcmVpZ24ta2V5cz48a2V5IGFwcD0iRU4iIGRiLWlkPSI5ZXdkcHIyNWY5NXNyZWVyczI3
dmZlczM5dGZmdjV2ZHh6YXoiIHRpbWVzdGFtcD0iMTU2NTc0NzkwMiIgZ3VpZD0iNjc4NDI4ZTkt
MmUwZC00YTYwLWE2OGUtZmIxOTlkY2Q1MmJjIj4zNzwva2V5PjwvZm9yZWlnbi1rZXlzPjxyZWYt
dHlwZSBuYW1lPSJKb3VybmFsIEFydGljbGUiPjE3PC9yZWYtdHlwZT48Y29udHJpYnV0b3JzPjxh
dXRob3JzPjxhdXRob3I+U2VzdGFrLCBJLjwvYXV0aG9yPjxhdXRob3I+TWFydGluLCBNLjwvYXV0
aG9yPjxhdXRob3I+RHVic2t5LCBQLjwvYXV0aG9yPjxhdXRob3I+S3JvbmVud2V0dCwgUi48L2F1
dGhvcj48YXV0aG9yPlJvam8sIEYuPC9hdXRob3I+PGF1dGhvcj5DdXppY2ssIEouPC9hdXRob3I+
PGF1dGhvcj5GaWxpcGl0cywgTS48L2F1dGhvcj48YXV0aG9yPlJ1aXosIEEuPC9hdXRob3I+PGF1
dGhvcj5HcmFkaXNoYXIsIFcuPC9hdXRob3I+PGF1dGhvcj5Tb2xpbWFuLCBILjwvYXV0aG9yPjxh
dXRob3I+U2Nod2FydHpiZXJnLCBMLjwvYXV0aG9yPjxhdXRob3I+QnV1cywgUi48L2F1dGhvcj48
YXV0aG9yPkhsYXVzY2hlaywgRC48L2F1dGhvcj48YXV0aG9yPlJvZHJpZ3Vlei1MZXNjdXJlLCBB
LjwvYXV0aG9yPjxhdXRob3I+R25hbnQsIE0uPC9hdXRob3I+PC9hdXRob3JzPjwvY29udHJpYnV0
b3JzPjxhdXRoLWFkZHJlc3M+Q2VudHJlIGZvciBDYW5jZXIgUHJldmVudGlvbiwgV29sZnNvbiBJ
bnN0aXR1dGUgb2YgUHJldmVudGl2ZSBNZWRpY2luZSwgUXVlZW4gTWFyeSBVbml2ZXJzaXR5IG9m
IExvbmRvbiwgQ2hhcnRlcmhvdXNlIFNxdWFyZSwgTG9uZG9uLCBFQzFNIDZCUSwgVUsuIGkuc2Vz
dGFrQHFtdWwuYWMudWsuJiN4RDtJbnN0aXR1dG8gZGUgSW52ZXN0aWdhY2lvbiBTYW5pdGFyaWEg
R3JlZ29yaW8gTWFyYW5vbiwgQ0lCRVJPTkMsIFVuaXZlcnNpZGFkIENvbXBsdXRlbnNlLCBNYWRy
aWQsIFNwYWluLiYjeEQ7U3BhbmlzaCBCcmVhc3QgQ2FuY2VyIEdyb3VwLCBHRUlDQU0sIE1hZHJp
ZCwgU3BhaW4uJiN4RDtIaXJzbGFuZGVuIEtsaW5payBTdC4gQW5uYSwgTHVjZXJuZSwgU3dpdHpl
cmxhbmQuJiN4RDtEZXBhcnRtZW50IG9mIFN1cmdlcnkgYW5kIENvbXByZWhlbnNpdmUgQ2FuY2Vy
IENlbnRlciwgTWVkaWNhbCBVbml2ZXJzaXR5IG9mIFZpZW5uYSwgVmllbm5hLCBBdXN0cmlhLiYj
eEQ7TXlyaWFkIEludGVybmF0aW9uYWwgR21iSCwgQ29sb2duZSwgR2VybWFueS4mI3hEO0Z1bmRh
Y2lvbiBKaW1lbmV6IERpYXosIE1hZHJpZCwgU3BhaW4uJiN4RDtDZW50cmUgZm9yIENhbmNlciBQ
cmV2ZW50aW9uLCBXb2xmc29uIEluc3RpdHV0ZSBvZiBQcmV2ZW50aXZlIE1lZGljaW5lLCBRdWVl
biBNYXJ5IFVuaXZlcnNpdHkgb2YgTG9uZG9uLCBDaGFydGVyaG91c2UgU3F1YXJlLCBMb25kb24s
IEVDMU0gNkJRLCBVSy4mI3hEO0F1c3RyaWFuIEJyZWFzdCBhbmQgQ29sb3JlY3RhbCBTdHVkeSBH
cm91cCwgQUJDU0csIFZpZW5uYSwgQXVzdHJpYS4mI3hEO0luc3RpdHV0byBWYWxlbmNpYW5vIGRl
IE9uY29sb2dpYSwgVmFsZW5jaWEsIFNwYWluLiYjeEQ7Um9iZXJ0IEguIEx1cmllIENvbXByZWhl
bnNpdmUgQ2FuY2VyIENlbnRlciBvZiBOb3J0aHdlc3Rlcm4gVW5pdmVyc2l0eSwgQ2hpY2Fnbywg
VVNBLiYjeEQ7SC4gTGVlIE1vZmZpdHQgQ2FuY2VyIENlbnRlciBhbmQgUmVzZWFyY2ggSW5zdGl0
dXRlLCBUYW1wYSwgRkwsIFVTQS4mI3hEO1dlc3QgQ2FuY2VyIENlbnRlciwgR2VybWFudG93biwg
VVNBLiYjeEQ7VGhlIEJyZWFzdCBDYW5jZXIgTm93IFJlc2VhcmNoIENlbnRyZSwgSW5zdGl0dXRl
IG9mIENhbmNlciwgTG9uZG9uLCBVSy4mI3hEO1JhbHBoIExhdXJlbiBDZW50cmUgZm9yIEJyZWFz
dCBDYW5jZXIgUmVzZWFyY2gsIFJveWFsIE1hcnNkZW4gSG9zcGl0YWwsIExvbmRvbiwgVUsuJiN4
RDtIb3NwaXRhbCBVbml2ZXJzaXRhcmlvIGRlIEVsY2hlLCBWYWxlbmNpYSwgU3BhaW4uPC9hdXRo
LWFkZHJlc3M+PHRpdGxlcz48dGl0bGU+UHJlZGljdGlvbiBvZiBjaGVtb3RoZXJhcHkgYmVuZWZp
dCBieSBFbmRvUHJlZGljdCBpbiBwYXRpZW50cyB3aXRoIGJyZWFzdCBjYW5jZXIgd2hvIHJlY2Vp
dmVkIGFkanV2YW50IGVuZG9jcmluZSB0aGVyYXB5IHBsdXMgY2hlbW90aGVyYXB5IG9yIGVuZG9j
cmluZSB0aGVyYXB5IGFsb25lPC90aXRsZT48c2Vjb25kYXJ5LXRpdGxlPkJyZWFzdCBDYW5jZXIg
UmVzIFRyZWF0PC9zZWNvbmRhcnktdGl0bGU+PGFsdC10aXRsZT5CcmVhc3QgY2FuY2VyIHJlc2Vh
cmNoIGFuZCB0cmVhdG1lbnQ8L2FsdC10aXRsZT48L3RpdGxlcz48cGVyaW9kaWNhbD48ZnVsbC10
aXRsZT5CcmVhc3QgQ2FuY2VyIFJlcyBUcmVhdDwvZnVsbC10aXRsZT48L3BlcmlvZGljYWw+PHBh
Z2VzPjM3Ny0zODY8L3BhZ2VzPjx2b2x1bWU+MTc2PC92b2x1bWU+PG51bWJlcj4yPC9udW1iZXI+
PGVkaXRpb24+MjAxOS8wNS8wMjwvZWRpdGlvbj48a2V5d29yZHM+PGtleXdvcmQ+QnJlYXN0IGNh
bmNlcjwva2V5d29yZD48a2V5d29yZD5DaGVtb3RoZXJhcHk8L2tleXdvcmQ+PGtleXdvcmQ+RW5k
b1ByZWRpY3Q8L2tleXdvcmQ+PGtleXdvcmQ+UHJlZGljdGlvbjwva2V5d29yZD48L2tleXdvcmRz
PjxkYXRlcz48eWVhcj4yMDE5PC95ZWFyPjxwdWItZGF0ZXM+PGRhdGU+SnVsPC9kYXRlPjwvcHVi
LWRhdGVzPjwvZGF0ZXM+PGlzYm4+MDE2Ny02ODA2PC9pc2JuPjxhY2Nlc3Npb24tbnVtPjMxMDQx
NjgzPC9hY2Nlc3Npb24tbnVtPjx1cmxzPjwvdXJscz48Y3VzdG9tMj5QTUM2NTU1Nzc4PC9jdXN0
b20yPjxlbGVjdHJvbmljLXJlc291cmNlLW51bT4xMC4xMDA3L3MxMDU0OS0wMTktMDUyMjYtODwv
ZWxlY3Ryb25pYy1yZXNvdXJjZS1udW0+PHJlbW90ZS1kYXRhYmFzZS1wcm92aWRlcj5OTE08L3Jl
bW90ZS1kYXRhYmFzZS1wcm92aWRlcj48bGFuZ3VhZ2U+ZW5nPC9sYW5ndWFnZT48L3JlY29yZD48
L0NpdGU+PC9FbmROb3RlPgB=
</w:fldData>
          </w:fldChar>
        </w:r>
        <w:r w:rsidR="006F38A9" w:rsidRPr="006F38A9">
          <w:rPr>
            <w:rStyle w:val="Strong"/>
            <w:b w:val="0"/>
            <w:szCs w:val="24"/>
          </w:rPr>
          <w:instrText xml:space="preserve"> ADDIN EN.CITE.DATA </w:instrText>
        </w:r>
        <w:r w:rsidR="006F38A9" w:rsidRPr="006F38A9">
          <w:rPr>
            <w:rStyle w:val="Strong"/>
            <w:b w:val="0"/>
            <w:szCs w:val="24"/>
          </w:rPr>
        </w:r>
        <w:r w:rsidR="006F38A9" w:rsidRPr="006F38A9">
          <w:rPr>
            <w:rStyle w:val="Strong"/>
            <w:b w:val="0"/>
            <w:szCs w:val="24"/>
          </w:rPr>
          <w:fldChar w:fldCharType="end"/>
        </w:r>
        <w:r w:rsidR="006F38A9" w:rsidRPr="006F38A9">
          <w:rPr>
            <w:rStyle w:val="Strong"/>
            <w:b w:val="0"/>
            <w:szCs w:val="24"/>
          </w:rPr>
        </w:r>
        <w:r w:rsidR="006F38A9" w:rsidRPr="006F38A9">
          <w:rPr>
            <w:rStyle w:val="Strong"/>
            <w:b w:val="0"/>
            <w:szCs w:val="24"/>
          </w:rPr>
          <w:fldChar w:fldCharType="separate"/>
        </w:r>
        <w:r w:rsidR="006F38A9" w:rsidRPr="006F38A9">
          <w:rPr>
            <w:rStyle w:val="Strong"/>
            <w:b w:val="0"/>
            <w:noProof/>
            <w:szCs w:val="24"/>
          </w:rPr>
          <w:t>Sestak et al.</w:t>
        </w:r>
        <w:r w:rsidR="006F38A9" w:rsidRPr="006F38A9">
          <w:rPr>
            <w:rStyle w:val="Strong"/>
            <w:b w:val="0"/>
            <w:szCs w:val="24"/>
          </w:rPr>
          <w:fldChar w:fldCharType="end"/>
        </w:r>
      </w:hyperlink>
      <w:r w:rsidR="006F38A9" w:rsidRPr="006F38A9">
        <w:rPr>
          <w:rStyle w:val="Strong"/>
          <w:b w:val="0"/>
          <w:szCs w:val="24"/>
        </w:rPr>
        <w:t xml:space="preserve"> used data from the four trials described above as well as one additional trial, GEICAM 2002/03. Participants in GEICAM 2002/03 trial were pre- and post-menopausal women with node-negative disease and received FAC: fluorouracil, doxorubicin</w:t>
      </w:r>
      <w:r w:rsidR="006F38A9" w:rsidRPr="00051FB0">
        <w:rPr>
          <w:rStyle w:val="Strong"/>
          <w:szCs w:val="24"/>
        </w:rPr>
        <w:t xml:space="preserve"> </w:t>
      </w:r>
      <w:r w:rsidR="006F38A9" w:rsidRPr="00051FB0">
        <w:rPr>
          <w:szCs w:val="24"/>
        </w:rPr>
        <w:t>and cyclophosphamide</w:t>
      </w:r>
      <w:r w:rsidR="006F38A9">
        <w:rPr>
          <w:szCs w:val="24"/>
        </w:rPr>
        <w:t xml:space="preserve"> or FAC followed by paclitaxel.</w:t>
      </w:r>
    </w:p>
    <w:p w14:paraId="5BA1D35F" w14:textId="2D32F846" w:rsidR="006F38A9" w:rsidRDefault="006F38A9" w:rsidP="00F002C7">
      <w:pPr>
        <w:spacing w:after="240"/>
      </w:pPr>
      <w:r w:rsidRPr="00302A6C">
        <w:t>Th</w:t>
      </w:r>
      <w:r>
        <w:t>e</w:t>
      </w:r>
      <w:r w:rsidRPr="00302A6C">
        <w:t xml:space="preserve"> study used data from 3746 patients from </w:t>
      </w:r>
      <w:r>
        <w:t xml:space="preserve">the </w:t>
      </w:r>
      <w:r w:rsidRPr="00302A6C">
        <w:t>five studies (ABCSG-6 and -8, GEICAM/9906 and 2003/02, and the TransATAC trial). It is not clear whether all eligible patients from these trials were included.</w:t>
      </w:r>
      <w:r>
        <w:t xml:space="preserve"> </w:t>
      </w:r>
      <w:r w:rsidRPr="00DD69D5">
        <w:t>The Critique considered this study as being at moderate risk of bias</w:t>
      </w:r>
      <w:r>
        <w:t xml:space="preserve"> as</w:t>
      </w:r>
      <w:r w:rsidRPr="00DD69D5">
        <w:t xml:space="preserve"> the two treatment groups had different patient characteristics</w:t>
      </w:r>
      <w:r>
        <w:t>,</w:t>
      </w:r>
      <w:r w:rsidRPr="00DD69D5">
        <w:t xml:space="preserve"> which suggests the possibility of selection bias.</w:t>
      </w:r>
    </w:p>
    <w:p w14:paraId="53835AEA" w14:textId="73E01868" w:rsidR="006F38A9" w:rsidRDefault="006F38A9" w:rsidP="00F002C7">
      <w:pPr>
        <w:spacing w:after="240"/>
      </w:pPr>
      <w:r w:rsidRPr="008904A8">
        <w:t xml:space="preserve">Sestak </w:t>
      </w:r>
      <w:r>
        <w:t>et al</w:t>
      </w:r>
      <w:r w:rsidRPr="008904A8">
        <w:t xml:space="preserve"> found that the absolute risk difference between patients who receive ET alone and patients who receive chemotherapy plus ET jumps considerably from 1.9% to 7.4% between the EPclin scores of 3 and 4</w:t>
      </w:r>
      <w:r>
        <w:t xml:space="preserve">, </w:t>
      </w:r>
      <w:r w:rsidRPr="008904A8">
        <w:t xml:space="preserve">noting that the risk of distant recurrence at 10-year </w:t>
      </w:r>
      <w:r>
        <w:t xml:space="preserve">was </w:t>
      </w:r>
      <w:r w:rsidRPr="008904A8">
        <w:t>significantly different between the two treatment groups</w:t>
      </w:r>
      <w:r>
        <w:t>.</w:t>
      </w:r>
    </w:p>
    <w:p w14:paraId="4BF02AF7" w14:textId="7E006396" w:rsidR="006F38A9" w:rsidRDefault="006F38A9" w:rsidP="00F002C7">
      <w:pPr>
        <w:spacing w:after="240"/>
      </w:pPr>
      <w:r w:rsidRPr="008904A8">
        <w:t>To investigate the risk associated with over- and under-treatment against current practice, Filipits (2011) examined distant recurrence in patients with tumours classified discordantly between Adjuvant!Online and EPclin in the pooled ABCSG-6 &amp; 8 cohort. Within the cohort of patients with discordant results (27.4%), 74% were classified as EPclin low risk, where only 26% were classified as low risk with Adjuvant!Online. In the subgroup of discordant results, the risk of distant recurrence at 10-years followed the EPclin classification rather than the Adjuvant!Online classification (</w:t>
      </w:r>
      <w:r w:rsidRPr="008904A8">
        <w:rPr>
          <w:rStyle w:val="Emphasis"/>
        </w:rPr>
        <w:t>p</w:t>
      </w:r>
      <w:r w:rsidRPr="008904A8">
        <w:t xml:space="preserve"> = 0.0496). This suggests a substantial proportion of patients with early stage breast cancer would receive adjuvant chemotherapy unnecessarily.</w:t>
      </w:r>
    </w:p>
    <w:p w14:paraId="2A24D8BE" w14:textId="0A946C61" w:rsidR="006F38A9" w:rsidRDefault="006F38A9" w:rsidP="00F002C7">
      <w:pPr>
        <w:spacing w:after="240"/>
      </w:pPr>
      <w:r w:rsidRPr="008904A8">
        <w:t xml:space="preserve">These data are further supported by the analysis of patients with tumours classified discordantly between EPclin and clinical guidelines in the pooled ABCSG-6 &amp; 8 cohort (Dubsky 2013a). Among the 6–19% of patients classified as low risk by clinical guidelines, the vast majority were also classified as low risk by EndoPredict (82% to 94%). Given the low event rate for distant recurrence, EPclin was not significantly associated with better prognostic accuracy for 10-yr distant recurrence in the low risk group. Among the 81–94% of patients classified as intermediate and/or high risk according to guidelines, patients reclassified as low risk by EndoPredict (range 58% to 61%) were significantly more likely to be free from distant recurrence at 10 years compared with those who remained at high risk (5% vs 23% to 25%; ARR 18 to 20; HR 5.09 to 5.6; </w:t>
      </w:r>
      <w:r w:rsidRPr="008904A8">
        <w:rPr>
          <w:rStyle w:val="Emphasis"/>
        </w:rPr>
        <w:t>p </w:t>
      </w:r>
      <w:r w:rsidRPr="008904A8">
        <w:t>&lt; 0.001). Again, these data suggest a substantial proportion of patients with early stage breast cancer would receive adjuvant chemotherapy unnecessarily.</w:t>
      </w:r>
    </w:p>
    <w:p w14:paraId="7DD5A975" w14:textId="21F77F91" w:rsidR="00F002C7" w:rsidRDefault="006F38A9" w:rsidP="00F002C7">
      <w:r>
        <w:t>The Critique considered t</w:t>
      </w:r>
      <w:r w:rsidRPr="00302A6C">
        <w:t>he absolute benefit of reclassification</w:t>
      </w:r>
      <w:r>
        <w:t xml:space="preserve">, for both high risk and low risk patients, with </w:t>
      </w:r>
      <w:r w:rsidRPr="00F32DDE">
        <w:t xml:space="preserve">EndoPredict </w:t>
      </w:r>
      <w:r w:rsidRPr="00302A6C">
        <w:t>is uncertain due to the wide range of change of management results</w:t>
      </w:r>
      <w:r w:rsidR="00F002C7">
        <w:t>.</w:t>
      </w:r>
      <w:r w:rsidR="00F002C7">
        <w:br w:type="page"/>
      </w:r>
    </w:p>
    <w:p w14:paraId="145B458D" w14:textId="3EEE950C" w:rsidR="00210C73" w:rsidRDefault="009B1F59" w:rsidP="00210C73">
      <w:pPr>
        <w:tabs>
          <w:tab w:val="left" w:pos="720"/>
          <w:tab w:val="left" w:pos="1140"/>
        </w:tabs>
        <w:spacing w:after="240"/>
        <w:rPr>
          <w:b/>
          <w:szCs w:val="24"/>
        </w:rPr>
      </w:pPr>
      <w:r w:rsidRPr="00F37B9C">
        <w:rPr>
          <w:b/>
          <w:szCs w:val="24"/>
        </w:rPr>
        <w:lastRenderedPageBreak/>
        <w:t>Clinical Claim</w:t>
      </w:r>
    </w:p>
    <w:p w14:paraId="0C87F237" w14:textId="77777777" w:rsidR="00210C73" w:rsidRPr="00210C73" w:rsidRDefault="00210C73" w:rsidP="00210C73">
      <w:pPr>
        <w:tabs>
          <w:tab w:val="left" w:pos="720"/>
          <w:tab w:val="left" w:pos="1140"/>
        </w:tabs>
        <w:spacing w:after="240"/>
        <w:rPr>
          <w:b/>
          <w:szCs w:val="24"/>
        </w:rPr>
      </w:pPr>
      <w:r>
        <w:rPr>
          <w:szCs w:val="24"/>
        </w:rPr>
        <w:t>Overall</w:t>
      </w:r>
      <w:r w:rsidRPr="005F0675">
        <w:rPr>
          <w:szCs w:val="24"/>
        </w:rPr>
        <w:t xml:space="preserve">, </w:t>
      </w:r>
      <w:r>
        <w:rPr>
          <w:szCs w:val="24"/>
        </w:rPr>
        <w:t xml:space="preserve">and </w:t>
      </w:r>
      <w:r w:rsidRPr="005F0675">
        <w:rPr>
          <w:szCs w:val="24"/>
        </w:rPr>
        <w:t xml:space="preserve">relative to the main comparator - current clinical practice/SOC - the </w:t>
      </w:r>
      <w:r>
        <w:rPr>
          <w:szCs w:val="24"/>
        </w:rPr>
        <w:t xml:space="preserve">submission claims the </w:t>
      </w:r>
      <w:r w:rsidRPr="005F0675">
        <w:rPr>
          <w:szCs w:val="24"/>
        </w:rPr>
        <w:t>EndoPredict test and validated EPclin score has non-inferior sa</w:t>
      </w:r>
      <w:r>
        <w:rPr>
          <w:szCs w:val="24"/>
        </w:rPr>
        <w:t xml:space="preserve">fety and superior effectiveness. </w:t>
      </w:r>
    </w:p>
    <w:p w14:paraId="50992128" w14:textId="79D56061" w:rsidR="00210C73" w:rsidRPr="00F002C7" w:rsidRDefault="00210C73" w:rsidP="00F002C7">
      <w:pPr>
        <w:rPr>
          <w:szCs w:val="24"/>
        </w:rPr>
      </w:pPr>
      <w:r>
        <w:rPr>
          <w:szCs w:val="24"/>
        </w:rPr>
        <w:t>However, the Critique considered this</w:t>
      </w:r>
      <w:r w:rsidRPr="00627E7B">
        <w:rPr>
          <w:szCs w:val="24"/>
        </w:rPr>
        <w:t xml:space="preserve"> may not supported by the evidence, and in fact, more patients may be receiving chemotherapy in the Endo</w:t>
      </w:r>
      <w:r w:rsidR="002F6C08">
        <w:rPr>
          <w:szCs w:val="24"/>
        </w:rPr>
        <w:t>P</w:t>
      </w:r>
      <w:r w:rsidRPr="00627E7B">
        <w:rPr>
          <w:szCs w:val="24"/>
        </w:rPr>
        <w:t>redict arm, resulting in higher costs, and less value, once a change in patient management is considered.</w:t>
      </w:r>
    </w:p>
    <w:p w14:paraId="1D99E1F6" w14:textId="77777777" w:rsidR="009B1F59" w:rsidRPr="00F715D1" w:rsidRDefault="009B1F59" w:rsidP="009B1F59">
      <w:pPr>
        <w:pStyle w:val="Heading1"/>
      </w:pPr>
      <w:r w:rsidRPr="00F715D1">
        <w:t>Economic evaluation</w:t>
      </w:r>
    </w:p>
    <w:p w14:paraId="113AB519" w14:textId="282661BA" w:rsidR="00210C73" w:rsidRDefault="00210C73" w:rsidP="00F002C7">
      <w:pPr>
        <w:spacing w:after="240"/>
      </w:pPr>
      <w:r>
        <w:t>The main economic analysis in the submission compares EndoPredict vs SOC alone with SOC defined as the MDT. This comparison is the most relevant given that the MDT is the current SOC in determining breast cancer treatment in the Australian cl</w:t>
      </w:r>
      <w:r w:rsidR="00F002C7">
        <w:t>inical setting.</w:t>
      </w:r>
    </w:p>
    <w:p w14:paraId="4CB2103F" w14:textId="0EDA4D66" w:rsidR="00210C73" w:rsidRDefault="00210C73" w:rsidP="00F002C7">
      <w:pPr>
        <w:spacing w:after="240"/>
      </w:pPr>
      <w:r>
        <w:t>A</w:t>
      </w:r>
      <w:r w:rsidRPr="002E1C8D">
        <w:t xml:space="preserve"> supplementary economic analysis is presented comparing </w:t>
      </w:r>
      <w:r>
        <w:t>EndoPredict with</w:t>
      </w:r>
      <w:r w:rsidRPr="002E1C8D">
        <w:t xml:space="preserve"> the S3, NCCN and St Gal</w:t>
      </w:r>
      <w:r>
        <w:t>l</w:t>
      </w:r>
      <w:r w:rsidRPr="002E1C8D">
        <w:t xml:space="preserve">en </w:t>
      </w:r>
      <w:r>
        <w:t>g</w:t>
      </w:r>
      <w:r w:rsidRPr="002E1C8D">
        <w:t>uidelines</w:t>
      </w:r>
      <w:r w:rsidR="00F002C7">
        <w:t>.</w:t>
      </w:r>
    </w:p>
    <w:p w14:paraId="612F2878" w14:textId="4A5A42A5" w:rsidR="00210C73" w:rsidRPr="00F002C7" w:rsidRDefault="00210C73" w:rsidP="00F002C7">
      <w:pPr>
        <w:spacing w:after="240"/>
      </w:pPr>
      <w:r>
        <w:t>A</w:t>
      </w:r>
      <w:r w:rsidRPr="002E1C8D">
        <w:t xml:space="preserve"> supplementary economic analysis is presented comparing </w:t>
      </w:r>
      <w:r>
        <w:t>EndoPredict with other gene expression tests under consideration by MSAC (</w:t>
      </w:r>
      <w:r w:rsidRPr="00CC339C">
        <w:t>Oncotype DX, and Prosigna</w:t>
      </w:r>
      <w:r>
        <w:t>). MammaPrint is not included as a comparator in the economic analysis as there was no direct evidence comparing EndoPredict vs MammaPrint which met the evidentiary standard. However, Oncotype and Prosigna are considered reasonable proxies for the suite of alt</w:t>
      </w:r>
      <w:r w:rsidR="0027708D">
        <w:t>ernative gene expression tests.</w:t>
      </w:r>
    </w:p>
    <w:p w14:paraId="03CFEB36" w14:textId="0429D2D7" w:rsidR="00210C73" w:rsidRPr="00F002C7" w:rsidRDefault="00210C73" w:rsidP="00F002C7">
      <w:pPr>
        <w:keepNext/>
        <w:spacing w:after="240"/>
        <w:rPr>
          <w:szCs w:val="24"/>
        </w:rPr>
      </w:pPr>
      <w:r w:rsidRPr="00F51442">
        <w:rPr>
          <w:szCs w:val="24"/>
        </w:rPr>
        <w:t xml:space="preserve">The structure of the economic evaluation is a hybrid decision tree-Markov model (Table </w:t>
      </w:r>
      <w:r w:rsidR="00AE461A">
        <w:rPr>
          <w:szCs w:val="24"/>
        </w:rPr>
        <w:t>7</w:t>
      </w:r>
      <w:r w:rsidRPr="00F51442">
        <w:rPr>
          <w:szCs w:val="24"/>
        </w:rPr>
        <w:t>) based on the structure prese</w:t>
      </w:r>
      <w:r w:rsidR="00F002C7">
        <w:rPr>
          <w:szCs w:val="24"/>
        </w:rPr>
        <w:t>nted in Harnan (2017) for NICE.</w:t>
      </w:r>
    </w:p>
    <w:p w14:paraId="5A7F1BEE" w14:textId="77777777" w:rsidR="00210C73" w:rsidRPr="00497393" w:rsidRDefault="00210C73" w:rsidP="00497393">
      <w:pPr>
        <w:rPr>
          <w:rFonts w:ascii="Arial Narrow" w:eastAsia="SimSun" w:hAnsi="Arial Narrow"/>
          <w:b/>
          <w:sz w:val="20"/>
        </w:rPr>
      </w:pPr>
      <w:bookmarkStart w:id="26" w:name="_Ref10629290"/>
      <w:bookmarkStart w:id="27" w:name="_Toc10548084"/>
      <w:bookmarkStart w:id="28" w:name="_Toc10728622"/>
      <w:r w:rsidRPr="00497393">
        <w:rPr>
          <w:rFonts w:ascii="Arial Narrow" w:eastAsia="SimSun" w:hAnsi="Arial Narrow"/>
          <w:b/>
          <w:sz w:val="20"/>
        </w:rPr>
        <w:t xml:space="preserve">Table </w:t>
      </w:r>
      <w:r w:rsidR="00AE461A" w:rsidRPr="00497393">
        <w:rPr>
          <w:rFonts w:ascii="Arial Narrow" w:eastAsia="SimSun" w:hAnsi="Arial Narrow"/>
          <w:b/>
          <w:sz w:val="20"/>
        </w:rPr>
        <w:t>7</w:t>
      </w:r>
      <w:bookmarkEnd w:id="26"/>
      <w:r w:rsidRPr="00497393">
        <w:rPr>
          <w:rFonts w:ascii="Arial Narrow" w:eastAsia="SimSun" w:hAnsi="Arial Narrow"/>
          <w:b/>
          <w:sz w:val="20"/>
        </w:rPr>
        <w:tab/>
        <w:t>Summary of the economic evaluation</w:t>
      </w:r>
      <w:bookmarkEnd w:id="27"/>
      <w:bookmarkEnd w:id="28"/>
      <w:r w:rsidRPr="00497393">
        <w:rPr>
          <w:rFonts w:ascii="Arial Narrow" w:eastAsia="SimSun" w:hAnsi="Arial Narrow"/>
          <w:b/>
          <w:sz w:val="20"/>
        </w:rPr>
        <w:t xml:space="preserve"> </w:t>
      </w:r>
    </w:p>
    <w:tbl>
      <w:tblPr>
        <w:tblStyle w:val="TableGrid1"/>
        <w:tblW w:w="0" w:type="auto"/>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2972"/>
        <w:gridCol w:w="5936"/>
      </w:tblGrid>
      <w:tr w:rsidR="00210C73" w:rsidRPr="005F0675" w14:paraId="55FC97BF" w14:textId="77777777" w:rsidTr="008971B6">
        <w:trPr>
          <w:cnfStyle w:val="100000000000" w:firstRow="1" w:lastRow="0" w:firstColumn="0" w:lastColumn="0" w:oddVBand="0" w:evenVBand="0" w:oddHBand="0" w:evenHBand="0" w:firstRowFirstColumn="0" w:firstRowLastColumn="0" w:lastRowFirstColumn="0" w:lastRowLastColumn="0"/>
          <w:trHeight w:val="20"/>
          <w:tblHeader/>
        </w:trPr>
        <w:tc>
          <w:tcPr>
            <w:tcW w:w="2972" w:type="dxa"/>
          </w:tcPr>
          <w:p w14:paraId="595F64D5" w14:textId="77777777" w:rsidR="00210C73" w:rsidRPr="005F0675" w:rsidRDefault="00210C73" w:rsidP="00210C73">
            <w:pPr>
              <w:keepNext/>
              <w:spacing w:after="40"/>
              <w:rPr>
                <w:rFonts w:ascii="Arial Narrow" w:hAnsi="Arial Narrow" w:cs="Tahoma"/>
                <w:b/>
              </w:rPr>
            </w:pPr>
            <w:r w:rsidRPr="005F0675">
              <w:rPr>
                <w:rFonts w:ascii="Arial Narrow" w:hAnsi="Arial Narrow" w:cs="Tahoma"/>
                <w:b/>
              </w:rPr>
              <w:t>Perspective</w:t>
            </w:r>
          </w:p>
        </w:tc>
        <w:tc>
          <w:tcPr>
            <w:tcW w:w="5936" w:type="dxa"/>
          </w:tcPr>
          <w:p w14:paraId="3BAC2462" w14:textId="77777777" w:rsidR="00210C73" w:rsidRPr="005F0675" w:rsidRDefault="00210C73" w:rsidP="00210C73">
            <w:pPr>
              <w:spacing w:after="40"/>
              <w:rPr>
                <w:rFonts w:ascii="Arial Narrow" w:hAnsi="Arial Narrow" w:cs="Tahoma"/>
                <w:szCs w:val="22"/>
                <w:lang w:eastAsia="en-US"/>
              </w:rPr>
            </w:pPr>
            <w:r w:rsidRPr="005F0675">
              <w:rPr>
                <w:rFonts w:ascii="Arial Narrow" w:hAnsi="Arial Narrow" w:cs="Tahoma"/>
                <w:szCs w:val="22"/>
                <w:lang w:eastAsia="en-US"/>
              </w:rPr>
              <w:t>Australian Government</w:t>
            </w:r>
          </w:p>
        </w:tc>
      </w:tr>
      <w:tr w:rsidR="00210C73" w:rsidRPr="005F0675" w14:paraId="7DC95EE8" w14:textId="77777777" w:rsidTr="008971B6">
        <w:trPr>
          <w:trHeight w:val="20"/>
        </w:trPr>
        <w:tc>
          <w:tcPr>
            <w:tcW w:w="2972" w:type="dxa"/>
          </w:tcPr>
          <w:p w14:paraId="5656538D" w14:textId="77777777" w:rsidR="00210C73" w:rsidRPr="005F0675" w:rsidRDefault="00210C73" w:rsidP="00210C73">
            <w:pPr>
              <w:keepNext/>
              <w:spacing w:after="40"/>
              <w:rPr>
                <w:rFonts w:cs="Tahoma"/>
                <w:b/>
              </w:rPr>
            </w:pPr>
            <w:r w:rsidRPr="005F0675">
              <w:rPr>
                <w:rFonts w:cs="Tahoma"/>
                <w:b/>
              </w:rPr>
              <w:t>Comparator</w:t>
            </w:r>
          </w:p>
        </w:tc>
        <w:tc>
          <w:tcPr>
            <w:tcW w:w="5936" w:type="dxa"/>
          </w:tcPr>
          <w:p w14:paraId="48D027E8" w14:textId="77777777" w:rsidR="00210C73" w:rsidRPr="005F0675" w:rsidRDefault="00210C73" w:rsidP="00210C73">
            <w:pPr>
              <w:spacing w:after="40"/>
              <w:rPr>
                <w:rFonts w:cs="Tahoma"/>
                <w:szCs w:val="22"/>
                <w:lang w:eastAsia="en-US"/>
              </w:rPr>
            </w:pPr>
            <w:r w:rsidRPr="005F0675">
              <w:rPr>
                <w:rFonts w:cs="Tahoma"/>
                <w:szCs w:val="22"/>
                <w:lang w:eastAsia="en-US"/>
              </w:rPr>
              <w:t>Main: SOC (MDT)</w:t>
            </w:r>
          </w:p>
          <w:p w14:paraId="7497C765" w14:textId="77777777" w:rsidR="00210C73" w:rsidRPr="005F0675" w:rsidRDefault="00210C73" w:rsidP="00210C73">
            <w:pPr>
              <w:spacing w:after="40"/>
              <w:rPr>
                <w:rFonts w:cs="Tahoma"/>
                <w:szCs w:val="22"/>
                <w:lang w:eastAsia="en-US"/>
              </w:rPr>
            </w:pPr>
            <w:r w:rsidRPr="005F0675">
              <w:rPr>
                <w:rFonts w:cs="Tahoma"/>
                <w:szCs w:val="22"/>
                <w:lang w:eastAsia="en-US"/>
              </w:rPr>
              <w:t>Supplementary: SOC (guidelines), other prognostic tests</w:t>
            </w:r>
          </w:p>
        </w:tc>
      </w:tr>
      <w:tr w:rsidR="00210C73" w:rsidRPr="005F0675" w14:paraId="5360EA48" w14:textId="77777777" w:rsidTr="008971B6">
        <w:trPr>
          <w:trHeight w:val="20"/>
        </w:trPr>
        <w:tc>
          <w:tcPr>
            <w:tcW w:w="2972" w:type="dxa"/>
          </w:tcPr>
          <w:p w14:paraId="314AD5CE" w14:textId="77777777" w:rsidR="00210C73" w:rsidRPr="005F0675" w:rsidRDefault="00210C73" w:rsidP="00210C73">
            <w:pPr>
              <w:keepNext/>
              <w:spacing w:after="40"/>
              <w:rPr>
                <w:rFonts w:cs="Tahoma"/>
                <w:b/>
              </w:rPr>
            </w:pPr>
            <w:r w:rsidRPr="005F0675">
              <w:rPr>
                <w:rFonts w:cs="Tahoma"/>
                <w:b/>
              </w:rPr>
              <w:t>Type of economic evaluation</w:t>
            </w:r>
          </w:p>
        </w:tc>
        <w:tc>
          <w:tcPr>
            <w:tcW w:w="5936" w:type="dxa"/>
          </w:tcPr>
          <w:p w14:paraId="1EF90C7D" w14:textId="77777777" w:rsidR="00210C73" w:rsidRPr="005F0675" w:rsidRDefault="00210C73" w:rsidP="00210C73">
            <w:pPr>
              <w:spacing w:after="40"/>
              <w:rPr>
                <w:rFonts w:cs="Tahoma"/>
                <w:szCs w:val="22"/>
                <w:lang w:eastAsia="en-US"/>
              </w:rPr>
            </w:pPr>
            <w:r w:rsidRPr="005F0675">
              <w:rPr>
                <w:rFonts w:cs="Tahoma"/>
                <w:szCs w:val="22"/>
                <w:lang w:eastAsia="en-US"/>
              </w:rPr>
              <w:t>Cost-utility</w:t>
            </w:r>
          </w:p>
        </w:tc>
      </w:tr>
      <w:tr w:rsidR="00210C73" w:rsidRPr="00960A66" w14:paraId="5892CEFE" w14:textId="77777777" w:rsidTr="008971B6">
        <w:trPr>
          <w:trHeight w:val="20"/>
        </w:trPr>
        <w:tc>
          <w:tcPr>
            <w:tcW w:w="2972" w:type="dxa"/>
          </w:tcPr>
          <w:p w14:paraId="4808A1F3" w14:textId="77777777" w:rsidR="00210C73" w:rsidRPr="005F0675" w:rsidRDefault="00210C73" w:rsidP="00210C73">
            <w:pPr>
              <w:keepNext/>
              <w:spacing w:after="40"/>
              <w:rPr>
                <w:rFonts w:cs="Tahoma"/>
                <w:b/>
              </w:rPr>
            </w:pPr>
            <w:r w:rsidRPr="005F0675">
              <w:rPr>
                <w:rFonts w:cs="Tahoma"/>
                <w:b/>
              </w:rPr>
              <w:t>Sources of evidence</w:t>
            </w:r>
          </w:p>
        </w:tc>
        <w:tc>
          <w:tcPr>
            <w:tcW w:w="5936" w:type="dxa"/>
          </w:tcPr>
          <w:p w14:paraId="0E39C04C" w14:textId="77777777" w:rsidR="00210C73" w:rsidRPr="00064088" w:rsidRDefault="00210C73" w:rsidP="00210C73">
            <w:pPr>
              <w:spacing w:after="40"/>
              <w:rPr>
                <w:rFonts w:cs="Tahoma"/>
                <w:szCs w:val="22"/>
                <w:lang w:val="it-IT" w:eastAsia="en-US"/>
              </w:rPr>
            </w:pPr>
            <w:r w:rsidRPr="00064088">
              <w:rPr>
                <w:rFonts w:cs="Tahoma"/>
                <w:szCs w:val="22"/>
                <w:lang w:val="it-IT" w:eastAsia="en-US"/>
              </w:rPr>
              <w:t>PROSPER, Filipitis 2011, Dubsky 2013a, Sestak 2018</w:t>
            </w:r>
          </w:p>
        </w:tc>
      </w:tr>
      <w:tr w:rsidR="00210C73" w:rsidRPr="005F0675" w14:paraId="3404C922" w14:textId="77777777" w:rsidTr="008971B6">
        <w:trPr>
          <w:trHeight w:val="20"/>
        </w:trPr>
        <w:tc>
          <w:tcPr>
            <w:tcW w:w="2972" w:type="dxa"/>
            <w:hideMark/>
          </w:tcPr>
          <w:p w14:paraId="131BC6A2" w14:textId="77777777" w:rsidR="00210C73" w:rsidRPr="005F0675" w:rsidRDefault="00210C73" w:rsidP="00210C73">
            <w:pPr>
              <w:keepNext/>
              <w:spacing w:after="40"/>
              <w:rPr>
                <w:rFonts w:cs="Tahoma"/>
                <w:b/>
              </w:rPr>
            </w:pPr>
            <w:r w:rsidRPr="005F0675">
              <w:rPr>
                <w:rFonts w:cs="Tahoma"/>
                <w:b/>
              </w:rPr>
              <w:t>Time horizon</w:t>
            </w:r>
          </w:p>
        </w:tc>
        <w:tc>
          <w:tcPr>
            <w:tcW w:w="5936" w:type="dxa"/>
            <w:hideMark/>
          </w:tcPr>
          <w:p w14:paraId="2B9FFEF5" w14:textId="77777777" w:rsidR="00210C73" w:rsidRPr="005F0675" w:rsidRDefault="00210C73" w:rsidP="00210C73">
            <w:pPr>
              <w:spacing w:after="40"/>
              <w:rPr>
                <w:rFonts w:cs="Tahoma"/>
                <w:szCs w:val="22"/>
                <w:lang w:eastAsia="en-US"/>
              </w:rPr>
            </w:pPr>
            <w:r w:rsidRPr="005F0675">
              <w:rPr>
                <w:rFonts w:cs="Tahoma"/>
                <w:szCs w:val="22"/>
                <w:lang w:eastAsia="en-US"/>
              </w:rPr>
              <w:t xml:space="preserve">Lifetime </w:t>
            </w:r>
          </w:p>
        </w:tc>
      </w:tr>
      <w:tr w:rsidR="00210C73" w:rsidRPr="005F0675" w14:paraId="7A98D8B6" w14:textId="77777777" w:rsidTr="008971B6">
        <w:trPr>
          <w:trHeight w:val="20"/>
        </w:trPr>
        <w:tc>
          <w:tcPr>
            <w:tcW w:w="2972" w:type="dxa"/>
            <w:hideMark/>
          </w:tcPr>
          <w:p w14:paraId="36A4E5CF" w14:textId="77777777" w:rsidR="00210C73" w:rsidRPr="005F0675" w:rsidRDefault="00210C73" w:rsidP="00210C73">
            <w:pPr>
              <w:keepNext/>
              <w:spacing w:after="40"/>
              <w:rPr>
                <w:rFonts w:cs="Tahoma"/>
                <w:b/>
              </w:rPr>
            </w:pPr>
            <w:r w:rsidRPr="005F0675">
              <w:rPr>
                <w:rFonts w:cs="Tahoma"/>
                <w:b/>
              </w:rPr>
              <w:t>Outcomes</w:t>
            </w:r>
          </w:p>
        </w:tc>
        <w:tc>
          <w:tcPr>
            <w:tcW w:w="5936" w:type="dxa"/>
          </w:tcPr>
          <w:p w14:paraId="6F110279" w14:textId="77777777" w:rsidR="00210C73" w:rsidRPr="005F0675" w:rsidRDefault="00210C73" w:rsidP="00210C73">
            <w:pPr>
              <w:spacing w:after="40"/>
              <w:rPr>
                <w:rFonts w:cs="Tahoma"/>
                <w:szCs w:val="22"/>
                <w:lang w:eastAsia="en-US"/>
              </w:rPr>
            </w:pPr>
            <w:r w:rsidRPr="005F0675">
              <w:rPr>
                <w:rFonts w:cs="Tahoma"/>
                <w:szCs w:val="22"/>
                <w:lang w:eastAsia="en-US"/>
              </w:rPr>
              <w:t>QALYs, costs</w:t>
            </w:r>
          </w:p>
        </w:tc>
      </w:tr>
      <w:tr w:rsidR="00210C73" w:rsidRPr="005F0675" w14:paraId="5F8770D5" w14:textId="77777777" w:rsidTr="008971B6">
        <w:trPr>
          <w:trHeight w:val="20"/>
        </w:trPr>
        <w:tc>
          <w:tcPr>
            <w:tcW w:w="2972" w:type="dxa"/>
            <w:hideMark/>
          </w:tcPr>
          <w:p w14:paraId="54BEA897" w14:textId="77777777" w:rsidR="00210C73" w:rsidRPr="005F0675" w:rsidRDefault="00210C73" w:rsidP="00210C73">
            <w:pPr>
              <w:keepNext/>
              <w:spacing w:after="40"/>
              <w:rPr>
                <w:rFonts w:cs="Tahoma"/>
                <w:b/>
              </w:rPr>
            </w:pPr>
            <w:r w:rsidRPr="005F0675">
              <w:rPr>
                <w:rFonts w:cs="Tahoma"/>
                <w:b/>
              </w:rPr>
              <w:t>Methods used to generate results</w:t>
            </w:r>
          </w:p>
        </w:tc>
        <w:tc>
          <w:tcPr>
            <w:tcW w:w="5936" w:type="dxa"/>
          </w:tcPr>
          <w:p w14:paraId="3156870B" w14:textId="77777777" w:rsidR="00210C73" w:rsidRPr="005F0675" w:rsidRDefault="00210C73" w:rsidP="00210C73">
            <w:pPr>
              <w:spacing w:after="40"/>
              <w:rPr>
                <w:rFonts w:cs="Tahoma"/>
                <w:szCs w:val="22"/>
                <w:lang w:eastAsia="en-US"/>
              </w:rPr>
            </w:pPr>
            <w:r w:rsidRPr="005F0675">
              <w:rPr>
                <w:rFonts w:cs="Tahoma"/>
                <w:szCs w:val="22"/>
                <w:lang w:eastAsia="en-US"/>
              </w:rPr>
              <w:t>Hybrid decision tree-Markov model</w:t>
            </w:r>
          </w:p>
        </w:tc>
      </w:tr>
      <w:tr w:rsidR="00210C73" w:rsidRPr="005F0675" w14:paraId="163B6B6C" w14:textId="77777777" w:rsidTr="008971B6">
        <w:trPr>
          <w:trHeight w:val="20"/>
        </w:trPr>
        <w:tc>
          <w:tcPr>
            <w:tcW w:w="2972" w:type="dxa"/>
          </w:tcPr>
          <w:p w14:paraId="6A00924A" w14:textId="77777777" w:rsidR="00210C73" w:rsidRPr="005F0675" w:rsidRDefault="00210C73" w:rsidP="00210C73">
            <w:pPr>
              <w:keepNext/>
              <w:spacing w:after="40"/>
              <w:rPr>
                <w:rFonts w:cs="Tahoma"/>
                <w:b/>
              </w:rPr>
            </w:pPr>
            <w:r w:rsidRPr="005F0675">
              <w:rPr>
                <w:rFonts w:cs="Tahoma"/>
                <w:b/>
              </w:rPr>
              <w:t>Health states</w:t>
            </w:r>
          </w:p>
        </w:tc>
        <w:tc>
          <w:tcPr>
            <w:tcW w:w="5936" w:type="dxa"/>
          </w:tcPr>
          <w:p w14:paraId="32F904D7" w14:textId="77777777" w:rsidR="00210C73" w:rsidRPr="005F0675" w:rsidRDefault="00210C73" w:rsidP="00210C73">
            <w:pPr>
              <w:spacing w:after="40"/>
              <w:rPr>
                <w:rFonts w:cs="Tahoma"/>
                <w:szCs w:val="22"/>
                <w:lang w:eastAsia="en-US"/>
              </w:rPr>
            </w:pPr>
            <w:r w:rsidRPr="005F0675">
              <w:rPr>
                <w:rFonts w:cs="Tahoma"/>
                <w:szCs w:val="22"/>
                <w:lang w:eastAsia="en-US"/>
              </w:rPr>
              <w:t>No distant recurrence, distant recurrence, breast cancer death, natural death</w:t>
            </w:r>
          </w:p>
        </w:tc>
      </w:tr>
      <w:tr w:rsidR="00210C73" w:rsidRPr="005F0675" w14:paraId="74EB018C" w14:textId="77777777" w:rsidTr="008971B6">
        <w:trPr>
          <w:trHeight w:val="20"/>
        </w:trPr>
        <w:tc>
          <w:tcPr>
            <w:tcW w:w="2972" w:type="dxa"/>
            <w:hideMark/>
          </w:tcPr>
          <w:p w14:paraId="0094D45F" w14:textId="77777777" w:rsidR="00210C73" w:rsidRPr="005F0675" w:rsidRDefault="00210C73" w:rsidP="00210C73">
            <w:pPr>
              <w:keepNext/>
              <w:spacing w:after="40"/>
              <w:rPr>
                <w:rFonts w:cs="Tahoma"/>
                <w:b/>
              </w:rPr>
            </w:pPr>
            <w:r w:rsidRPr="005F0675">
              <w:rPr>
                <w:rFonts w:cs="Tahoma"/>
                <w:b/>
              </w:rPr>
              <w:t>Cycle length</w:t>
            </w:r>
          </w:p>
        </w:tc>
        <w:tc>
          <w:tcPr>
            <w:tcW w:w="5936" w:type="dxa"/>
          </w:tcPr>
          <w:p w14:paraId="68A3F496" w14:textId="77777777" w:rsidR="00210C73" w:rsidRPr="005F0675" w:rsidRDefault="00210C73" w:rsidP="00210C73">
            <w:pPr>
              <w:spacing w:after="40"/>
              <w:rPr>
                <w:rFonts w:cs="Tahoma"/>
                <w:szCs w:val="22"/>
                <w:lang w:eastAsia="en-US"/>
              </w:rPr>
            </w:pPr>
            <w:r w:rsidRPr="005F0675">
              <w:rPr>
                <w:rFonts w:cs="Tahoma"/>
                <w:szCs w:val="22"/>
                <w:lang w:eastAsia="en-US"/>
              </w:rPr>
              <w:t>1 year</w:t>
            </w:r>
          </w:p>
        </w:tc>
      </w:tr>
      <w:tr w:rsidR="00210C73" w:rsidRPr="005F0675" w14:paraId="589B0F4A" w14:textId="77777777" w:rsidTr="008971B6">
        <w:trPr>
          <w:trHeight w:val="20"/>
        </w:trPr>
        <w:tc>
          <w:tcPr>
            <w:tcW w:w="2972" w:type="dxa"/>
            <w:hideMark/>
          </w:tcPr>
          <w:p w14:paraId="76A7421B" w14:textId="77777777" w:rsidR="00210C73" w:rsidRPr="005F0675" w:rsidRDefault="00210C73" w:rsidP="00210C73">
            <w:pPr>
              <w:keepNext/>
              <w:spacing w:after="40"/>
              <w:rPr>
                <w:rFonts w:cs="Tahoma"/>
                <w:b/>
              </w:rPr>
            </w:pPr>
            <w:r w:rsidRPr="005F0675">
              <w:rPr>
                <w:rFonts w:cs="Tahoma"/>
                <w:b/>
              </w:rPr>
              <w:t>Discount rate</w:t>
            </w:r>
          </w:p>
        </w:tc>
        <w:tc>
          <w:tcPr>
            <w:tcW w:w="5936" w:type="dxa"/>
          </w:tcPr>
          <w:p w14:paraId="099FF588" w14:textId="77777777" w:rsidR="00210C73" w:rsidRPr="005F0675" w:rsidRDefault="00210C73" w:rsidP="00210C73">
            <w:pPr>
              <w:spacing w:after="40"/>
              <w:rPr>
                <w:rFonts w:cs="Tahoma"/>
                <w:szCs w:val="22"/>
                <w:lang w:eastAsia="en-US"/>
              </w:rPr>
            </w:pPr>
            <w:r w:rsidRPr="005F0675">
              <w:rPr>
                <w:rFonts w:cs="Tahoma"/>
                <w:szCs w:val="22"/>
                <w:lang w:eastAsia="en-US"/>
              </w:rPr>
              <w:t>5% for both benefits and costs</w:t>
            </w:r>
          </w:p>
        </w:tc>
      </w:tr>
      <w:tr w:rsidR="00210C73" w:rsidRPr="005F0675" w14:paraId="3957A72C" w14:textId="77777777" w:rsidTr="008971B6">
        <w:trPr>
          <w:trHeight w:val="20"/>
        </w:trPr>
        <w:tc>
          <w:tcPr>
            <w:tcW w:w="2972" w:type="dxa"/>
            <w:hideMark/>
          </w:tcPr>
          <w:p w14:paraId="4FA65C27" w14:textId="77777777" w:rsidR="00210C73" w:rsidRPr="005F0675" w:rsidRDefault="00210C73" w:rsidP="00210C73">
            <w:pPr>
              <w:keepNext/>
              <w:spacing w:after="40"/>
              <w:rPr>
                <w:rFonts w:cs="Tahoma"/>
                <w:b/>
              </w:rPr>
            </w:pPr>
            <w:r w:rsidRPr="005F0675">
              <w:rPr>
                <w:rFonts w:cs="Tahoma"/>
                <w:b/>
              </w:rPr>
              <w:t>Software packages used</w:t>
            </w:r>
          </w:p>
        </w:tc>
        <w:tc>
          <w:tcPr>
            <w:tcW w:w="5936" w:type="dxa"/>
          </w:tcPr>
          <w:p w14:paraId="3C2A2EF1" w14:textId="77777777" w:rsidR="00210C73" w:rsidRPr="005F0675" w:rsidRDefault="00210C73" w:rsidP="00210C73">
            <w:pPr>
              <w:spacing w:after="40"/>
              <w:rPr>
                <w:rFonts w:cs="Tahoma"/>
                <w:szCs w:val="22"/>
                <w:lang w:eastAsia="en-US"/>
              </w:rPr>
            </w:pPr>
            <w:r w:rsidRPr="005F0675">
              <w:rPr>
                <w:rFonts w:cs="Tahoma"/>
                <w:szCs w:val="22"/>
                <w:lang w:eastAsia="en-US"/>
              </w:rPr>
              <w:t>TreeAge 2018.20.0 and Excel</w:t>
            </w:r>
          </w:p>
        </w:tc>
      </w:tr>
    </w:tbl>
    <w:p w14:paraId="27762F77" w14:textId="584EF2C4" w:rsidR="00210C73" w:rsidRPr="00F002C7" w:rsidRDefault="00210C73" w:rsidP="000C0B97">
      <w:pPr>
        <w:widowControl w:val="0"/>
        <w:spacing w:after="240" w:line="269" w:lineRule="auto"/>
        <w:rPr>
          <w:rFonts w:ascii="Arial Narrow" w:hAnsi="Arial Narrow" w:cs="Arial"/>
          <w:snapToGrid w:val="0"/>
          <w:sz w:val="18"/>
          <w:lang w:eastAsia="en-US"/>
        </w:rPr>
      </w:pPr>
      <w:r w:rsidRPr="005F0675">
        <w:rPr>
          <w:rFonts w:ascii="Arial Narrow" w:hAnsi="Arial Narrow" w:cs="Arial"/>
          <w:snapToGrid w:val="0"/>
          <w:sz w:val="18"/>
          <w:lang w:eastAsia="en-US"/>
        </w:rPr>
        <w:t>Abbreviations: MDT, multidisciplinary team; QALY, quality-adjusted l</w:t>
      </w:r>
      <w:r w:rsidR="00F002C7">
        <w:rPr>
          <w:rFonts w:ascii="Arial Narrow" w:hAnsi="Arial Narrow" w:cs="Arial"/>
          <w:snapToGrid w:val="0"/>
          <w:sz w:val="18"/>
          <w:lang w:eastAsia="en-US"/>
        </w:rPr>
        <w:t>ife year; SOC, standard of care</w:t>
      </w:r>
    </w:p>
    <w:p w14:paraId="7C07BDDF" w14:textId="77777777" w:rsidR="00210C73" w:rsidRDefault="00210C73" w:rsidP="00F002C7">
      <w:pPr>
        <w:spacing w:before="240"/>
      </w:pPr>
      <w:r w:rsidRPr="00183E4D">
        <w:t>Key structu</w:t>
      </w:r>
      <w:r>
        <w:t>ral assumptions of the model are</w:t>
      </w:r>
      <w:r w:rsidRPr="00183E4D">
        <w:t>:</w:t>
      </w:r>
    </w:p>
    <w:p w14:paraId="500C0574" w14:textId="77777777" w:rsidR="00210C73" w:rsidRDefault="00210C73" w:rsidP="00210C73">
      <w:pPr>
        <w:pStyle w:val="ListParagraph"/>
        <w:numPr>
          <w:ilvl w:val="0"/>
          <w:numId w:val="7"/>
        </w:numPr>
      </w:pPr>
      <w:r>
        <w:t>the EPclin scores of patients in PROSPER are used to calculate transition probabilities for distant recurrence and chemotherapy benefit.</w:t>
      </w:r>
    </w:p>
    <w:p w14:paraId="661C4A56" w14:textId="75D484FF" w:rsidR="00210C73" w:rsidRDefault="00210C73" w:rsidP="00F002C7">
      <w:pPr>
        <w:pStyle w:val="ListParagraph"/>
        <w:numPr>
          <w:ilvl w:val="0"/>
          <w:numId w:val="7"/>
        </w:numPr>
      </w:pPr>
      <w:r>
        <w:t xml:space="preserve">for the EndoPredict arm, the base case analysis assumes that all patients in the EndoPredict arm receive treatment according to the EndoPredict classification (e.g. 100% of patients classified as high risk by EndoPredict receive chemotherapy) as this analysis best represents the cost-effectiveness of the EndoPredict test. A sensitivity </w:t>
      </w:r>
      <w:r>
        <w:lastRenderedPageBreak/>
        <w:t xml:space="preserve">analysis is included which incorporates when the MDT decides against the treatment decision recommended by EndoPredict (i.e. a patient classified as high risk by EndoPredict is still recommended ET only therapy). However, the Critique stated that this favourable </w:t>
      </w:r>
      <w:r w:rsidRPr="00C1188C">
        <w:t xml:space="preserve">assumption does not take into consideration the actual change in management, dictated by either the MDT (after knowledge of the EndoPredict® result) or the patient (after being informed of the </w:t>
      </w:r>
      <w:r w:rsidR="0027708D">
        <w:t>risk by the Clinician).</w:t>
      </w:r>
    </w:p>
    <w:p w14:paraId="0D8B950F" w14:textId="63791FFA" w:rsidR="00210C73" w:rsidRDefault="00210C73" w:rsidP="00F002C7">
      <w:pPr>
        <w:spacing w:before="240" w:after="240"/>
        <w:rPr>
          <w:szCs w:val="24"/>
        </w:rPr>
      </w:pPr>
      <w:r w:rsidRPr="005F0675">
        <w:rPr>
          <w:szCs w:val="24"/>
        </w:rPr>
        <w:t xml:space="preserve">The </w:t>
      </w:r>
      <w:r>
        <w:rPr>
          <w:szCs w:val="24"/>
        </w:rPr>
        <w:t xml:space="preserve">submission’s </w:t>
      </w:r>
      <w:r w:rsidRPr="005F0675">
        <w:rPr>
          <w:szCs w:val="24"/>
        </w:rPr>
        <w:t>base case ICER (Step 3) for EndoPredict add-on to SOC (MDT) is $</w:t>
      </w:r>
      <w:r w:rsidR="00AA436B" w:rsidRPr="00AA436B">
        <w:rPr>
          <w:b/>
          <w:szCs w:val="24"/>
        </w:rPr>
        <w:t>redacted</w:t>
      </w:r>
      <w:r>
        <w:rPr>
          <w:szCs w:val="24"/>
        </w:rPr>
        <w:t>/quality-adjusted life year [QALY] gained</w:t>
      </w:r>
      <w:r w:rsidRPr="005F0675">
        <w:rPr>
          <w:szCs w:val="24"/>
        </w:rPr>
        <w:t xml:space="preserve"> (</w:t>
      </w:r>
      <w:r>
        <w:rPr>
          <w:szCs w:val="24"/>
        </w:rPr>
        <w:t xml:space="preserve">Table </w:t>
      </w:r>
      <w:r w:rsidR="00646580">
        <w:rPr>
          <w:szCs w:val="24"/>
        </w:rPr>
        <w:t>8</w:t>
      </w:r>
      <w:r w:rsidRPr="005F0675">
        <w:rPr>
          <w:szCs w:val="24"/>
        </w:rPr>
        <w:t>).</w:t>
      </w:r>
    </w:p>
    <w:p w14:paraId="026DF969" w14:textId="0E40455F" w:rsidR="00210C73" w:rsidRPr="00F002C7" w:rsidRDefault="00210C73" w:rsidP="00F002C7">
      <w:pPr>
        <w:spacing w:after="240"/>
        <w:rPr>
          <w:szCs w:val="24"/>
        </w:rPr>
      </w:pPr>
      <w:r>
        <w:rPr>
          <w:szCs w:val="24"/>
        </w:rPr>
        <w:t xml:space="preserve">However, the Critique stated that </w:t>
      </w:r>
      <w:r>
        <w:t xml:space="preserve">once a change in patient management is accounted for in the model (with recalculated data from the </w:t>
      </w:r>
      <w:r w:rsidR="00AE5C5C" w:rsidRPr="00AE5C5C">
        <w:rPr>
          <w:b/>
        </w:rPr>
        <w:t>redacted</w:t>
      </w:r>
      <w:r>
        <w:t>), this ICER over the lifetime of the pati</w:t>
      </w:r>
      <w:r w:rsidR="0027708D">
        <w:t xml:space="preserve">ent, </w:t>
      </w:r>
      <w:r w:rsidR="00AE5C5C" w:rsidRPr="00AE5C5C">
        <w:rPr>
          <w:b/>
        </w:rPr>
        <w:t>redacted</w:t>
      </w:r>
      <w:r w:rsidR="0027708D">
        <w:t>to $</w:t>
      </w:r>
      <w:r w:rsidR="00AE5C5C" w:rsidRPr="00AE5C5C">
        <w:rPr>
          <w:b/>
        </w:rPr>
        <w:t>redacted</w:t>
      </w:r>
      <w:r w:rsidR="0027708D">
        <w:t>/QALY.</w:t>
      </w:r>
      <w:bookmarkStart w:id="29" w:name="_Ref10629397"/>
      <w:bookmarkStart w:id="30" w:name="_Toc10728623"/>
    </w:p>
    <w:p w14:paraId="5005EC1D" w14:textId="77777777" w:rsidR="00210C73" w:rsidRPr="00497393" w:rsidRDefault="00210C73" w:rsidP="00497393">
      <w:pPr>
        <w:rPr>
          <w:rFonts w:ascii="Arial Narrow" w:eastAsia="SimSun" w:hAnsi="Arial Narrow"/>
          <w:b/>
          <w:sz w:val="20"/>
        </w:rPr>
      </w:pPr>
      <w:r w:rsidRPr="00497393">
        <w:rPr>
          <w:rFonts w:ascii="Arial Narrow" w:eastAsia="SimSun" w:hAnsi="Arial Narrow"/>
          <w:b/>
          <w:sz w:val="20"/>
        </w:rPr>
        <w:t xml:space="preserve">Table </w:t>
      </w:r>
      <w:bookmarkEnd w:id="29"/>
      <w:r w:rsidR="00646580" w:rsidRPr="00497393">
        <w:rPr>
          <w:rFonts w:ascii="Arial Narrow" w:eastAsia="SimSun" w:hAnsi="Arial Narrow"/>
          <w:b/>
          <w:sz w:val="20"/>
        </w:rPr>
        <w:t>8</w:t>
      </w:r>
      <w:r w:rsidRPr="00497393">
        <w:rPr>
          <w:rFonts w:ascii="Arial Narrow" w:eastAsia="SimSun" w:hAnsi="Arial Narrow"/>
          <w:b/>
          <w:sz w:val="20"/>
        </w:rPr>
        <w:tab/>
        <w:t>Main analysis: Incremental costs and effectiveness</w:t>
      </w:r>
      <w:bookmarkEnd w:id="30"/>
      <w:r w:rsidRPr="00497393">
        <w:rPr>
          <w:rFonts w:ascii="Arial Narrow" w:eastAsia="SimSun" w:hAnsi="Arial Narrow"/>
          <w:b/>
          <w:sz w:val="20"/>
        </w:rPr>
        <w:t xml:space="preserve"> </w:t>
      </w:r>
    </w:p>
    <w:tbl>
      <w:tblPr>
        <w:tblStyle w:val="TableGrid1"/>
        <w:tblW w:w="9072" w:type="dxa"/>
        <w:tblLayout w:type="fixed"/>
        <w:tblCellMar>
          <w:left w:w="28" w:type="dxa"/>
          <w:right w:w="28" w:type="dxa"/>
        </w:tblCellMar>
        <w:tblLook w:val="04A0" w:firstRow="1" w:lastRow="0" w:firstColumn="1" w:lastColumn="0" w:noHBand="0" w:noVBand="1"/>
        <w:tblCaption w:val="Table 4 Incremental costs and effectiveness"/>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410"/>
        <w:gridCol w:w="1325"/>
        <w:gridCol w:w="1325"/>
        <w:gridCol w:w="1325"/>
        <w:gridCol w:w="1548"/>
        <w:gridCol w:w="1139"/>
      </w:tblGrid>
      <w:tr w:rsidR="00210C73" w:rsidRPr="005F0675" w14:paraId="273DA7E9" w14:textId="77777777" w:rsidTr="00210C73">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4" w:space="0" w:color="auto"/>
            </w:tcBorders>
          </w:tcPr>
          <w:p w14:paraId="0E3FEC82" w14:textId="77777777" w:rsidR="00210C73" w:rsidRPr="005F0675" w:rsidRDefault="00210C73" w:rsidP="00210C73">
            <w:pPr>
              <w:widowControl w:val="0"/>
              <w:spacing w:after="40"/>
              <w:jc w:val="both"/>
              <w:rPr>
                <w:rFonts w:ascii="Arial Narrow" w:hAnsi="Arial Narrow" w:cs="Tahoma"/>
                <w:b/>
              </w:rPr>
            </w:pPr>
          </w:p>
        </w:tc>
        <w:tc>
          <w:tcPr>
            <w:tcW w:w="1325" w:type="dxa"/>
            <w:tcBorders>
              <w:bottom w:val="single" w:sz="4" w:space="0" w:color="auto"/>
            </w:tcBorders>
          </w:tcPr>
          <w:p w14:paraId="4560E4C8" w14:textId="77777777" w:rsidR="00210C73" w:rsidRPr="005F0675" w:rsidRDefault="00210C73" w:rsidP="00210C73">
            <w:pPr>
              <w:widowControl w:val="0"/>
              <w:spacing w:after="40"/>
              <w:jc w:val="center"/>
              <w:rPr>
                <w:rFonts w:ascii="Arial Narrow" w:hAnsi="Arial Narrow" w:cs="Tahoma"/>
                <w:b/>
              </w:rPr>
            </w:pPr>
            <w:r w:rsidRPr="005F0675">
              <w:rPr>
                <w:rFonts w:ascii="Arial Narrow" w:hAnsi="Arial Narrow" w:cs="Tahoma"/>
                <w:b/>
              </w:rPr>
              <w:t>Cost</w:t>
            </w:r>
          </w:p>
        </w:tc>
        <w:tc>
          <w:tcPr>
            <w:tcW w:w="1325" w:type="dxa"/>
            <w:tcBorders>
              <w:bottom w:val="single" w:sz="4" w:space="0" w:color="auto"/>
            </w:tcBorders>
          </w:tcPr>
          <w:p w14:paraId="3135B748" w14:textId="77777777" w:rsidR="00210C73" w:rsidRPr="005F0675" w:rsidRDefault="00210C73" w:rsidP="00210C73">
            <w:pPr>
              <w:widowControl w:val="0"/>
              <w:spacing w:after="40"/>
              <w:jc w:val="center"/>
              <w:rPr>
                <w:rFonts w:ascii="Arial Narrow" w:hAnsi="Arial Narrow" w:cs="Tahoma"/>
                <w:b/>
              </w:rPr>
            </w:pPr>
            <w:r w:rsidRPr="005F0675">
              <w:rPr>
                <w:rFonts w:ascii="Arial Narrow" w:hAnsi="Arial Narrow" w:cs="Tahoma"/>
                <w:b/>
              </w:rPr>
              <w:t>Incremental cost</w:t>
            </w:r>
          </w:p>
        </w:tc>
        <w:tc>
          <w:tcPr>
            <w:tcW w:w="1325" w:type="dxa"/>
            <w:tcBorders>
              <w:bottom w:val="single" w:sz="4" w:space="0" w:color="auto"/>
            </w:tcBorders>
          </w:tcPr>
          <w:p w14:paraId="74C50AD6" w14:textId="77777777" w:rsidR="00210C73" w:rsidRPr="005F0675" w:rsidRDefault="00210C73" w:rsidP="00210C73">
            <w:pPr>
              <w:widowControl w:val="0"/>
              <w:spacing w:after="40"/>
              <w:jc w:val="center"/>
              <w:rPr>
                <w:rFonts w:ascii="Arial Narrow" w:hAnsi="Arial Narrow" w:cs="Tahoma"/>
                <w:b/>
              </w:rPr>
            </w:pPr>
            <w:r w:rsidRPr="005F0675">
              <w:rPr>
                <w:rFonts w:ascii="Arial Narrow" w:hAnsi="Arial Narrow" w:cs="Tahoma"/>
                <w:b/>
              </w:rPr>
              <w:t>Effectiveness (QALYs)</w:t>
            </w:r>
          </w:p>
        </w:tc>
        <w:tc>
          <w:tcPr>
            <w:tcW w:w="1548" w:type="dxa"/>
            <w:tcBorders>
              <w:bottom w:val="single" w:sz="4" w:space="0" w:color="auto"/>
            </w:tcBorders>
          </w:tcPr>
          <w:p w14:paraId="463DB119" w14:textId="77777777" w:rsidR="00210C73" w:rsidRPr="005F0675" w:rsidRDefault="00210C73" w:rsidP="00210C73">
            <w:pPr>
              <w:widowControl w:val="0"/>
              <w:spacing w:after="40"/>
              <w:jc w:val="center"/>
              <w:rPr>
                <w:rFonts w:ascii="Arial Narrow" w:hAnsi="Arial Narrow" w:cs="Tahoma"/>
                <w:b/>
              </w:rPr>
            </w:pPr>
            <w:r w:rsidRPr="005F0675">
              <w:rPr>
                <w:rFonts w:ascii="Arial Narrow" w:hAnsi="Arial Narrow" w:cs="Tahoma"/>
                <w:b/>
              </w:rPr>
              <w:t>Incremental effectiveness</w:t>
            </w:r>
          </w:p>
        </w:tc>
        <w:tc>
          <w:tcPr>
            <w:tcW w:w="1139" w:type="dxa"/>
            <w:tcBorders>
              <w:bottom w:val="single" w:sz="4" w:space="0" w:color="auto"/>
            </w:tcBorders>
          </w:tcPr>
          <w:p w14:paraId="47BFE193" w14:textId="77777777" w:rsidR="00210C73" w:rsidRPr="005F0675" w:rsidRDefault="00210C73" w:rsidP="00210C73">
            <w:pPr>
              <w:widowControl w:val="0"/>
              <w:spacing w:after="40"/>
              <w:jc w:val="center"/>
              <w:rPr>
                <w:rFonts w:ascii="Arial Narrow" w:hAnsi="Arial Narrow" w:cs="Tahoma"/>
                <w:b/>
              </w:rPr>
            </w:pPr>
            <w:r w:rsidRPr="005F0675">
              <w:rPr>
                <w:rFonts w:ascii="Arial Narrow" w:hAnsi="Arial Narrow" w:cs="Tahoma"/>
                <w:b/>
              </w:rPr>
              <w:t>ICER</w:t>
            </w:r>
          </w:p>
        </w:tc>
      </w:tr>
      <w:tr w:rsidR="00210C73" w:rsidRPr="005F0675" w14:paraId="7905D4C6" w14:textId="77777777" w:rsidTr="00210C73">
        <w:tc>
          <w:tcPr>
            <w:tcW w:w="2410" w:type="dxa"/>
            <w:tcBorders>
              <w:top w:val="single" w:sz="4" w:space="0" w:color="auto"/>
              <w:left w:val="single" w:sz="4" w:space="0" w:color="auto"/>
              <w:bottom w:val="single" w:sz="4" w:space="0" w:color="auto"/>
              <w:right w:val="nil"/>
            </w:tcBorders>
          </w:tcPr>
          <w:p w14:paraId="035F5184" w14:textId="77777777" w:rsidR="00210C73" w:rsidRPr="005F0675" w:rsidRDefault="00210C73" w:rsidP="00210C73">
            <w:pPr>
              <w:widowControl w:val="0"/>
              <w:spacing w:after="40"/>
              <w:rPr>
                <w:rFonts w:cs="Tahoma"/>
                <w:b/>
                <w:lang w:eastAsia="en-US"/>
              </w:rPr>
            </w:pPr>
            <w:r w:rsidRPr="005F0675">
              <w:rPr>
                <w:rFonts w:cs="Tahoma"/>
                <w:i/>
                <w:szCs w:val="22"/>
                <w:lang w:eastAsia="en-US"/>
              </w:rPr>
              <w:t>Step 1</w:t>
            </w:r>
            <w:r>
              <w:rPr>
                <w:rFonts w:cs="Tahoma"/>
                <w:i/>
                <w:szCs w:val="22"/>
                <w:lang w:eastAsia="en-US"/>
              </w:rPr>
              <w:t xml:space="preserve"> Trial-based analysis</w:t>
            </w:r>
          </w:p>
        </w:tc>
        <w:tc>
          <w:tcPr>
            <w:tcW w:w="1325" w:type="dxa"/>
            <w:tcBorders>
              <w:top w:val="single" w:sz="4" w:space="0" w:color="auto"/>
              <w:left w:val="nil"/>
              <w:bottom w:val="single" w:sz="4" w:space="0" w:color="auto"/>
              <w:right w:val="nil"/>
            </w:tcBorders>
          </w:tcPr>
          <w:p w14:paraId="7AC6ED72" w14:textId="77777777" w:rsidR="00210C73" w:rsidRPr="00F51442" w:rsidRDefault="00210C73" w:rsidP="00210C73">
            <w:pPr>
              <w:widowControl w:val="0"/>
              <w:spacing w:after="40"/>
              <w:rPr>
                <w:rFonts w:cs="Tahoma"/>
                <w:i/>
                <w:szCs w:val="22"/>
                <w:lang w:eastAsia="en-US"/>
              </w:rPr>
            </w:pPr>
          </w:p>
        </w:tc>
        <w:tc>
          <w:tcPr>
            <w:tcW w:w="1325" w:type="dxa"/>
            <w:tcBorders>
              <w:top w:val="single" w:sz="4" w:space="0" w:color="auto"/>
              <w:left w:val="nil"/>
              <w:bottom w:val="single" w:sz="4" w:space="0" w:color="auto"/>
              <w:right w:val="nil"/>
            </w:tcBorders>
          </w:tcPr>
          <w:p w14:paraId="3C902CF8" w14:textId="77777777" w:rsidR="00210C73" w:rsidRPr="005F0675" w:rsidRDefault="00210C73" w:rsidP="00210C73">
            <w:pPr>
              <w:widowControl w:val="0"/>
              <w:spacing w:after="40"/>
              <w:jc w:val="center"/>
              <w:rPr>
                <w:rFonts w:cs="Tahoma"/>
                <w:szCs w:val="22"/>
                <w:lang w:eastAsia="en-US"/>
              </w:rPr>
            </w:pPr>
          </w:p>
        </w:tc>
        <w:tc>
          <w:tcPr>
            <w:tcW w:w="1325" w:type="dxa"/>
            <w:tcBorders>
              <w:top w:val="single" w:sz="4" w:space="0" w:color="auto"/>
              <w:left w:val="nil"/>
              <w:bottom w:val="single" w:sz="4" w:space="0" w:color="auto"/>
              <w:right w:val="nil"/>
            </w:tcBorders>
          </w:tcPr>
          <w:p w14:paraId="0219F7FF" w14:textId="77777777" w:rsidR="00210C73" w:rsidRPr="005F0675" w:rsidRDefault="00210C73" w:rsidP="00210C73">
            <w:pPr>
              <w:widowControl w:val="0"/>
              <w:spacing w:after="40"/>
              <w:jc w:val="center"/>
              <w:rPr>
                <w:rFonts w:cs="Tahoma"/>
                <w:szCs w:val="22"/>
                <w:lang w:eastAsia="en-US"/>
              </w:rPr>
            </w:pPr>
          </w:p>
        </w:tc>
        <w:tc>
          <w:tcPr>
            <w:tcW w:w="1548" w:type="dxa"/>
            <w:tcBorders>
              <w:top w:val="single" w:sz="4" w:space="0" w:color="auto"/>
              <w:left w:val="nil"/>
              <w:bottom w:val="single" w:sz="4" w:space="0" w:color="auto"/>
              <w:right w:val="nil"/>
            </w:tcBorders>
          </w:tcPr>
          <w:p w14:paraId="394B9335" w14:textId="77777777" w:rsidR="00210C73" w:rsidRPr="00F51442" w:rsidRDefault="00210C73" w:rsidP="00210C73">
            <w:pPr>
              <w:widowControl w:val="0"/>
              <w:spacing w:after="40"/>
              <w:jc w:val="center"/>
              <w:rPr>
                <w:rFonts w:cs="Tahoma"/>
                <w:i/>
                <w:szCs w:val="22"/>
                <w:lang w:eastAsia="en-US"/>
              </w:rPr>
            </w:pPr>
            <w:r>
              <w:rPr>
                <w:rFonts w:cs="Tahoma"/>
                <w:i/>
                <w:szCs w:val="22"/>
                <w:lang w:eastAsia="en-US"/>
              </w:rPr>
              <w:t>(treatment decision)</w:t>
            </w:r>
          </w:p>
        </w:tc>
        <w:tc>
          <w:tcPr>
            <w:tcW w:w="1139" w:type="dxa"/>
            <w:tcBorders>
              <w:top w:val="single" w:sz="4" w:space="0" w:color="auto"/>
              <w:left w:val="nil"/>
              <w:bottom w:val="single" w:sz="4" w:space="0" w:color="auto"/>
              <w:right w:val="single" w:sz="4" w:space="0" w:color="auto"/>
            </w:tcBorders>
          </w:tcPr>
          <w:p w14:paraId="235B1A1F" w14:textId="77777777" w:rsidR="00210C73" w:rsidRPr="005F0675" w:rsidRDefault="00210C73" w:rsidP="00210C73">
            <w:pPr>
              <w:widowControl w:val="0"/>
              <w:spacing w:after="40"/>
              <w:jc w:val="center"/>
              <w:rPr>
                <w:rFonts w:cs="Tahoma"/>
                <w:szCs w:val="22"/>
                <w:lang w:eastAsia="en-US"/>
              </w:rPr>
            </w:pPr>
          </w:p>
        </w:tc>
      </w:tr>
      <w:tr w:rsidR="00210C73" w:rsidRPr="005F0675" w14:paraId="054F7CFA" w14:textId="77777777" w:rsidTr="00210C73">
        <w:tc>
          <w:tcPr>
            <w:tcW w:w="2410" w:type="dxa"/>
            <w:tcBorders>
              <w:top w:val="single" w:sz="4" w:space="0" w:color="auto"/>
            </w:tcBorders>
          </w:tcPr>
          <w:p w14:paraId="6FC0B500" w14:textId="77777777" w:rsidR="00210C73" w:rsidRPr="005F0675" w:rsidRDefault="00210C73" w:rsidP="00210C73">
            <w:pPr>
              <w:widowControl w:val="0"/>
              <w:spacing w:after="40"/>
              <w:jc w:val="both"/>
              <w:rPr>
                <w:rFonts w:cs="Tahoma"/>
              </w:rPr>
            </w:pPr>
            <w:r w:rsidRPr="005F0675">
              <w:rPr>
                <w:rFonts w:cs="Tahoma"/>
              </w:rPr>
              <w:t>EndoPredict</w:t>
            </w:r>
          </w:p>
        </w:tc>
        <w:tc>
          <w:tcPr>
            <w:tcW w:w="1325" w:type="dxa"/>
            <w:tcBorders>
              <w:top w:val="single" w:sz="4" w:space="0" w:color="auto"/>
            </w:tcBorders>
          </w:tcPr>
          <w:p w14:paraId="4EECB19E" w14:textId="47A1B0B0"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c>
          <w:tcPr>
            <w:tcW w:w="1325" w:type="dxa"/>
            <w:tcBorders>
              <w:top w:val="single" w:sz="4" w:space="0" w:color="auto"/>
              <w:bottom w:val="nil"/>
            </w:tcBorders>
          </w:tcPr>
          <w:p w14:paraId="6966D489" w14:textId="05EC272A"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c>
          <w:tcPr>
            <w:tcW w:w="1325" w:type="dxa"/>
            <w:tcBorders>
              <w:top w:val="single" w:sz="4" w:space="0" w:color="auto"/>
            </w:tcBorders>
          </w:tcPr>
          <w:p w14:paraId="28F47951" w14:textId="77777777" w:rsidR="00210C73" w:rsidRPr="005F0675" w:rsidRDefault="00210C73" w:rsidP="00210C73">
            <w:pPr>
              <w:widowControl w:val="0"/>
              <w:spacing w:after="40"/>
              <w:jc w:val="center"/>
              <w:rPr>
                <w:rFonts w:cs="Tahoma"/>
                <w:szCs w:val="22"/>
                <w:lang w:eastAsia="en-US"/>
              </w:rPr>
            </w:pPr>
            <w:r w:rsidRPr="005F0675">
              <w:rPr>
                <w:rFonts w:cs="Tahoma"/>
                <w:szCs w:val="22"/>
                <w:lang w:eastAsia="en-US"/>
              </w:rPr>
              <w:t>-</w:t>
            </w:r>
          </w:p>
        </w:tc>
        <w:tc>
          <w:tcPr>
            <w:tcW w:w="1548" w:type="dxa"/>
            <w:tcBorders>
              <w:top w:val="single" w:sz="4" w:space="0" w:color="auto"/>
              <w:bottom w:val="nil"/>
            </w:tcBorders>
          </w:tcPr>
          <w:p w14:paraId="45DEE155" w14:textId="780C7A3A" w:rsidR="00210C73" w:rsidRPr="00F51442" w:rsidRDefault="00AE5C5C" w:rsidP="00210C73">
            <w:pPr>
              <w:widowControl w:val="0"/>
              <w:spacing w:after="40"/>
              <w:jc w:val="center"/>
              <w:rPr>
                <w:rFonts w:cs="Tahoma"/>
                <w:szCs w:val="22"/>
                <w:vertAlign w:val="superscript"/>
                <w:lang w:eastAsia="en-US"/>
              </w:rPr>
            </w:pPr>
            <w:r>
              <w:rPr>
                <w:rFonts w:cs="Tahoma"/>
                <w:szCs w:val="22"/>
                <w:lang w:eastAsia="en-US"/>
              </w:rPr>
              <w:t>redacted</w:t>
            </w:r>
            <w:r w:rsidR="00210C73" w:rsidRPr="005F0675">
              <w:rPr>
                <w:rFonts w:cs="Tahoma"/>
                <w:szCs w:val="22"/>
                <w:lang w:eastAsia="en-US"/>
              </w:rPr>
              <w:t>% change</w:t>
            </w:r>
            <w:r w:rsidR="00210C73" w:rsidRPr="00F51442">
              <w:rPr>
                <w:rFonts w:cs="Tahoma"/>
                <w:i/>
                <w:szCs w:val="22"/>
                <w:vertAlign w:val="superscript"/>
                <w:lang w:eastAsia="en-US"/>
              </w:rPr>
              <w:t>a</w:t>
            </w:r>
          </w:p>
        </w:tc>
        <w:tc>
          <w:tcPr>
            <w:tcW w:w="1139" w:type="dxa"/>
            <w:tcBorders>
              <w:top w:val="single" w:sz="4" w:space="0" w:color="auto"/>
              <w:bottom w:val="nil"/>
            </w:tcBorders>
          </w:tcPr>
          <w:p w14:paraId="1277499B" w14:textId="25EB8345"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r>
      <w:tr w:rsidR="00210C73" w:rsidRPr="005F0675" w14:paraId="43B47C70" w14:textId="77777777" w:rsidTr="00210C73">
        <w:tc>
          <w:tcPr>
            <w:tcW w:w="2410" w:type="dxa"/>
          </w:tcPr>
          <w:p w14:paraId="557A491A" w14:textId="77777777" w:rsidR="00210C73" w:rsidRPr="005F0675" w:rsidRDefault="00210C73" w:rsidP="00210C73">
            <w:pPr>
              <w:widowControl w:val="0"/>
              <w:spacing w:after="40"/>
              <w:jc w:val="both"/>
              <w:rPr>
                <w:rFonts w:cs="Tahoma"/>
              </w:rPr>
            </w:pPr>
            <w:r w:rsidRPr="005F0675">
              <w:rPr>
                <w:rFonts w:cs="Tahoma"/>
              </w:rPr>
              <w:t>SOC (MDT)</w:t>
            </w:r>
          </w:p>
        </w:tc>
        <w:tc>
          <w:tcPr>
            <w:tcW w:w="1325" w:type="dxa"/>
          </w:tcPr>
          <w:p w14:paraId="4F5352D2" w14:textId="0E8D5803"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c>
          <w:tcPr>
            <w:tcW w:w="1325" w:type="dxa"/>
            <w:tcBorders>
              <w:top w:val="nil"/>
            </w:tcBorders>
          </w:tcPr>
          <w:p w14:paraId="4A9D1D1A" w14:textId="77777777" w:rsidR="00210C73" w:rsidRPr="005F0675" w:rsidRDefault="00210C73" w:rsidP="00210C73">
            <w:pPr>
              <w:widowControl w:val="0"/>
              <w:spacing w:after="40"/>
              <w:jc w:val="center"/>
              <w:rPr>
                <w:rFonts w:cs="Tahoma"/>
                <w:szCs w:val="22"/>
                <w:lang w:eastAsia="en-US"/>
              </w:rPr>
            </w:pPr>
          </w:p>
        </w:tc>
        <w:tc>
          <w:tcPr>
            <w:tcW w:w="1325" w:type="dxa"/>
          </w:tcPr>
          <w:p w14:paraId="08724DFC" w14:textId="77777777" w:rsidR="00210C73" w:rsidRPr="005F0675" w:rsidRDefault="00210C73" w:rsidP="00210C73">
            <w:pPr>
              <w:widowControl w:val="0"/>
              <w:spacing w:after="40"/>
              <w:jc w:val="center"/>
              <w:rPr>
                <w:rFonts w:cs="Tahoma"/>
                <w:szCs w:val="22"/>
                <w:lang w:eastAsia="en-US"/>
              </w:rPr>
            </w:pPr>
          </w:p>
        </w:tc>
        <w:tc>
          <w:tcPr>
            <w:tcW w:w="1548" w:type="dxa"/>
            <w:tcBorders>
              <w:top w:val="nil"/>
            </w:tcBorders>
          </w:tcPr>
          <w:p w14:paraId="2426605D" w14:textId="77777777" w:rsidR="00210C73" w:rsidRPr="005F0675" w:rsidRDefault="00210C73" w:rsidP="00210C73">
            <w:pPr>
              <w:widowControl w:val="0"/>
              <w:spacing w:after="40"/>
              <w:jc w:val="center"/>
              <w:rPr>
                <w:rFonts w:cs="Tahoma"/>
                <w:szCs w:val="22"/>
                <w:lang w:eastAsia="en-US"/>
              </w:rPr>
            </w:pPr>
          </w:p>
        </w:tc>
        <w:tc>
          <w:tcPr>
            <w:tcW w:w="1139" w:type="dxa"/>
            <w:tcBorders>
              <w:top w:val="nil"/>
            </w:tcBorders>
          </w:tcPr>
          <w:p w14:paraId="6F4BA2E1" w14:textId="77777777" w:rsidR="00210C73" w:rsidRPr="005F0675" w:rsidRDefault="00210C73" w:rsidP="00210C73">
            <w:pPr>
              <w:widowControl w:val="0"/>
              <w:spacing w:after="40"/>
              <w:jc w:val="center"/>
              <w:rPr>
                <w:rFonts w:cs="Tahoma"/>
                <w:szCs w:val="22"/>
                <w:lang w:eastAsia="en-US"/>
              </w:rPr>
            </w:pPr>
          </w:p>
        </w:tc>
      </w:tr>
      <w:tr w:rsidR="00210C73" w:rsidRPr="005F0675" w14:paraId="18FB36DB" w14:textId="77777777" w:rsidTr="00210C73">
        <w:tc>
          <w:tcPr>
            <w:tcW w:w="2410" w:type="dxa"/>
            <w:tcBorders>
              <w:right w:val="nil"/>
            </w:tcBorders>
          </w:tcPr>
          <w:p w14:paraId="7E16A156" w14:textId="77777777" w:rsidR="00210C73" w:rsidRPr="005F0675" w:rsidRDefault="00210C73" w:rsidP="00210C73">
            <w:pPr>
              <w:widowControl w:val="0"/>
              <w:spacing w:after="40"/>
              <w:rPr>
                <w:rFonts w:cs="Tahoma"/>
                <w:b/>
                <w:lang w:eastAsia="en-US"/>
              </w:rPr>
            </w:pPr>
            <w:r w:rsidRPr="005F0675">
              <w:rPr>
                <w:rFonts w:cs="Tahoma"/>
                <w:i/>
                <w:szCs w:val="22"/>
                <w:lang w:eastAsia="en-US"/>
              </w:rPr>
              <w:t>Step 2</w:t>
            </w:r>
            <w:r>
              <w:rPr>
                <w:rFonts w:cs="Tahoma"/>
                <w:i/>
                <w:szCs w:val="22"/>
                <w:lang w:eastAsia="en-US"/>
              </w:rPr>
              <w:t xml:space="preserve"> 10 year time horizon</w:t>
            </w:r>
          </w:p>
        </w:tc>
        <w:tc>
          <w:tcPr>
            <w:tcW w:w="1325" w:type="dxa"/>
            <w:tcBorders>
              <w:left w:val="nil"/>
              <w:right w:val="nil"/>
            </w:tcBorders>
          </w:tcPr>
          <w:p w14:paraId="4538597A" w14:textId="77777777" w:rsidR="00210C73" w:rsidRPr="005F0675" w:rsidRDefault="00210C73" w:rsidP="00210C73">
            <w:pPr>
              <w:widowControl w:val="0"/>
              <w:spacing w:after="40"/>
              <w:jc w:val="center"/>
              <w:rPr>
                <w:rFonts w:cs="Tahoma"/>
                <w:szCs w:val="22"/>
                <w:lang w:eastAsia="en-US"/>
              </w:rPr>
            </w:pPr>
          </w:p>
        </w:tc>
        <w:tc>
          <w:tcPr>
            <w:tcW w:w="1325" w:type="dxa"/>
            <w:tcBorders>
              <w:left w:val="nil"/>
              <w:right w:val="nil"/>
            </w:tcBorders>
          </w:tcPr>
          <w:p w14:paraId="1DCD7344" w14:textId="77777777" w:rsidR="00210C73" w:rsidRPr="005F0675" w:rsidRDefault="00210C73" w:rsidP="00210C73">
            <w:pPr>
              <w:widowControl w:val="0"/>
              <w:spacing w:after="40"/>
              <w:jc w:val="center"/>
              <w:rPr>
                <w:rFonts w:cs="Tahoma"/>
                <w:szCs w:val="22"/>
                <w:lang w:eastAsia="en-US"/>
              </w:rPr>
            </w:pPr>
          </w:p>
        </w:tc>
        <w:tc>
          <w:tcPr>
            <w:tcW w:w="1325" w:type="dxa"/>
            <w:tcBorders>
              <w:left w:val="nil"/>
              <w:right w:val="nil"/>
            </w:tcBorders>
          </w:tcPr>
          <w:p w14:paraId="6DCBB84A" w14:textId="77777777" w:rsidR="00210C73" w:rsidRPr="005F0675" w:rsidRDefault="00210C73" w:rsidP="00210C73">
            <w:pPr>
              <w:widowControl w:val="0"/>
              <w:spacing w:after="40"/>
              <w:jc w:val="center"/>
              <w:rPr>
                <w:rFonts w:cs="Tahoma"/>
                <w:szCs w:val="22"/>
                <w:lang w:eastAsia="en-US"/>
              </w:rPr>
            </w:pPr>
          </w:p>
        </w:tc>
        <w:tc>
          <w:tcPr>
            <w:tcW w:w="1548" w:type="dxa"/>
            <w:tcBorders>
              <w:left w:val="nil"/>
              <w:right w:val="nil"/>
            </w:tcBorders>
          </w:tcPr>
          <w:p w14:paraId="3B69DEC0" w14:textId="77777777" w:rsidR="00210C73" w:rsidRPr="00F51442" w:rsidRDefault="00210C73" w:rsidP="00210C73">
            <w:pPr>
              <w:widowControl w:val="0"/>
              <w:spacing w:after="40"/>
              <w:jc w:val="center"/>
              <w:rPr>
                <w:rFonts w:cs="Tahoma"/>
                <w:i/>
                <w:szCs w:val="22"/>
                <w:lang w:eastAsia="en-US"/>
              </w:rPr>
            </w:pPr>
            <w:r w:rsidRPr="00F51442">
              <w:rPr>
                <w:rFonts w:cs="Tahoma"/>
                <w:i/>
                <w:szCs w:val="22"/>
                <w:lang w:eastAsia="en-US"/>
              </w:rPr>
              <w:t>(QALY</w:t>
            </w:r>
            <w:r>
              <w:rPr>
                <w:rFonts w:cs="Tahoma"/>
                <w:i/>
                <w:szCs w:val="22"/>
                <w:lang w:eastAsia="en-US"/>
              </w:rPr>
              <w:t>s</w:t>
            </w:r>
            <w:r w:rsidRPr="00F51442">
              <w:rPr>
                <w:rFonts w:cs="Tahoma"/>
                <w:i/>
                <w:szCs w:val="22"/>
                <w:lang w:eastAsia="en-US"/>
              </w:rPr>
              <w:t>)</w:t>
            </w:r>
          </w:p>
        </w:tc>
        <w:tc>
          <w:tcPr>
            <w:tcW w:w="1139" w:type="dxa"/>
            <w:tcBorders>
              <w:left w:val="nil"/>
            </w:tcBorders>
          </w:tcPr>
          <w:p w14:paraId="67934CEE" w14:textId="77777777" w:rsidR="00210C73" w:rsidRPr="005F0675" w:rsidRDefault="00210C73" w:rsidP="00210C73">
            <w:pPr>
              <w:widowControl w:val="0"/>
              <w:spacing w:after="40"/>
              <w:jc w:val="center"/>
              <w:rPr>
                <w:rFonts w:cs="Tahoma"/>
                <w:szCs w:val="22"/>
                <w:lang w:eastAsia="en-US"/>
              </w:rPr>
            </w:pPr>
          </w:p>
        </w:tc>
      </w:tr>
      <w:tr w:rsidR="00210C73" w:rsidRPr="005F0675" w14:paraId="2FB19751" w14:textId="77777777" w:rsidTr="00210C73">
        <w:tc>
          <w:tcPr>
            <w:tcW w:w="2410" w:type="dxa"/>
          </w:tcPr>
          <w:p w14:paraId="787434B7" w14:textId="77777777" w:rsidR="00210C73" w:rsidRPr="005F0675" w:rsidRDefault="00210C73" w:rsidP="00210C73">
            <w:pPr>
              <w:widowControl w:val="0"/>
              <w:spacing w:after="40"/>
              <w:jc w:val="both"/>
              <w:rPr>
                <w:rFonts w:cs="Tahoma"/>
              </w:rPr>
            </w:pPr>
            <w:r w:rsidRPr="005F0675">
              <w:rPr>
                <w:rFonts w:cs="Tahoma"/>
              </w:rPr>
              <w:t>EndoPredict</w:t>
            </w:r>
          </w:p>
        </w:tc>
        <w:tc>
          <w:tcPr>
            <w:tcW w:w="1325" w:type="dxa"/>
          </w:tcPr>
          <w:p w14:paraId="1D17436C" w14:textId="03523E8A"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c>
          <w:tcPr>
            <w:tcW w:w="1325" w:type="dxa"/>
            <w:tcBorders>
              <w:top w:val="nil"/>
              <w:bottom w:val="nil"/>
            </w:tcBorders>
          </w:tcPr>
          <w:p w14:paraId="2082524A" w14:textId="50F44221"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c>
          <w:tcPr>
            <w:tcW w:w="1325" w:type="dxa"/>
          </w:tcPr>
          <w:p w14:paraId="429BA25F" w14:textId="48CE967F" w:rsidR="00210C73" w:rsidRPr="005F0675" w:rsidRDefault="00AE5C5C" w:rsidP="00210C73">
            <w:pPr>
              <w:widowControl w:val="0"/>
              <w:spacing w:after="40"/>
              <w:jc w:val="center"/>
              <w:rPr>
                <w:rFonts w:cs="Tahoma"/>
                <w:szCs w:val="22"/>
                <w:lang w:eastAsia="en-US"/>
              </w:rPr>
            </w:pPr>
            <w:r>
              <w:rPr>
                <w:rFonts w:cs="Tahoma"/>
                <w:szCs w:val="22"/>
                <w:lang w:eastAsia="en-US"/>
              </w:rPr>
              <w:t>redacted</w:t>
            </w:r>
          </w:p>
        </w:tc>
        <w:tc>
          <w:tcPr>
            <w:tcW w:w="1548" w:type="dxa"/>
            <w:tcBorders>
              <w:top w:val="nil"/>
              <w:bottom w:val="nil"/>
            </w:tcBorders>
          </w:tcPr>
          <w:p w14:paraId="67B0E6E8" w14:textId="04689584" w:rsidR="00210C73" w:rsidRPr="005F0675" w:rsidRDefault="00AE5C5C" w:rsidP="00210C73">
            <w:pPr>
              <w:widowControl w:val="0"/>
              <w:spacing w:after="40"/>
              <w:jc w:val="center"/>
              <w:rPr>
                <w:rFonts w:cs="Tahoma"/>
                <w:szCs w:val="22"/>
                <w:lang w:eastAsia="en-US"/>
              </w:rPr>
            </w:pPr>
            <w:r>
              <w:rPr>
                <w:rFonts w:cs="Tahoma"/>
                <w:szCs w:val="22"/>
                <w:lang w:eastAsia="en-US"/>
              </w:rPr>
              <w:t>redacted</w:t>
            </w:r>
          </w:p>
        </w:tc>
        <w:tc>
          <w:tcPr>
            <w:tcW w:w="1139" w:type="dxa"/>
            <w:tcBorders>
              <w:top w:val="nil"/>
              <w:bottom w:val="nil"/>
            </w:tcBorders>
          </w:tcPr>
          <w:p w14:paraId="08974EAA" w14:textId="5E3B5A26"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r>
      <w:tr w:rsidR="00210C73" w:rsidRPr="005F0675" w14:paraId="59687CB8" w14:textId="77777777" w:rsidTr="00210C73">
        <w:tc>
          <w:tcPr>
            <w:tcW w:w="2410" w:type="dxa"/>
          </w:tcPr>
          <w:p w14:paraId="4B06C3CF" w14:textId="77777777" w:rsidR="00210C73" w:rsidRPr="005F0675" w:rsidRDefault="00210C73" w:rsidP="00210C73">
            <w:pPr>
              <w:widowControl w:val="0"/>
              <w:spacing w:after="40"/>
              <w:jc w:val="both"/>
              <w:rPr>
                <w:rFonts w:cs="Tahoma"/>
              </w:rPr>
            </w:pPr>
            <w:r w:rsidRPr="005F0675">
              <w:rPr>
                <w:rFonts w:cs="Tahoma"/>
              </w:rPr>
              <w:t>SOC (MDT)</w:t>
            </w:r>
          </w:p>
        </w:tc>
        <w:tc>
          <w:tcPr>
            <w:tcW w:w="1325" w:type="dxa"/>
          </w:tcPr>
          <w:p w14:paraId="5D92BDAE" w14:textId="3B607BD5"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c>
          <w:tcPr>
            <w:tcW w:w="1325" w:type="dxa"/>
            <w:tcBorders>
              <w:top w:val="nil"/>
              <w:bottom w:val="nil"/>
            </w:tcBorders>
          </w:tcPr>
          <w:p w14:paraId="6183A21D" w14:textId="77777777" w:rsidR="00210C73" w:rsidRPr="005F0675" w:rsidRDefault="00210C73" w:rsidP="00210C73">
            <w:pPr>
              <w:widowControl w:val="0"/>
              <w:spacing w:after="40"/>
              <w:jc w:val="center"/>
              <w:rPr>
                <w:rFonts w:cs="Tahoma"/>
                <w:szCs w:val="22"/>
                <w:lang w:eastAsia="en-US"/>
              </w:rPr>
            </w:pPr>
          </w:p>
        </w:tc>
        <w:tc>
          <w:tcPr>
            <w:tcW w:w="1325" w:type="dxa"/>
          </w:tcPr>
          <w:p w14:paraId="11EF0D93" w14:textId="77FF81CB" w:rsidR="00210C73" w:rsidRPr="005F0675" w:rsidRDefault="00AE5C5C" w:rsidP="00210C73">
            <w:pPr>
              <w:widowControl w:val="0"/>
              <w:spacing w:after="40"/>
              <w:jc w:val="center"/>
              <w:rPr>
                <w:rFonts w:cs="Tahoma"/>
                <w:szCs w:val="22"/>
                <w:lang w:eastAsia="en-US"/>
              </w:rPr>
            </w:pPr>
            <w:r>
              <w:rPr>
                <w:rFonts w:cs="Tahoma"/>
                <w:szCs w:val="22"/>
                <w:lang w:eastAsia="en-US"/>
              </w:rPr>
              <w:t>redacted</w:t>
            </w:r>
          </w:p>
        </w:tc>
        <w:tc>
          <w:tcPr>
            <w:tcW w:w="1548" w:type="dxa"/>
            <w:tcBorders>
              <w:top w:val="nil"/>
              <w:bottom w:val="nil"/>
            </w:tcBorders>
          </w:tcPr>
          <w:p w14:paraId="1AE88E7B" w14:textId="77777777" w:rsidR="00210C73" w:rsidRPr="005F0675" w:rsidRDefault="00210C73" w:rsidP="00210C73">
            <w:pPr>
              <w:widowControl w:val="0"/>
              <w:spacing w:after="40"/>
              <w:jc w:val="center"/>
              <w:rPr>
                <w:rFonts w:cs="Tahoma"/>
                <w:szCs w:val="22"/>
                <w:lang w:eastAsia="en-US"/>
              </w:rPr>
            </w:pPr>
          </w:p>
        </w:tc>
        <w:tc>
          <w:tcPr>
            <w:tcW w:w="1139" w:type="dxa"/>
            <w:tcBorders>
              <w:top w:val="nil"/>
              <w:bottom w:val="nil"/>
            </w:tcBorders>
          </w:tcPr>
          <w:p w14:paraId="66AEC27F" w14:textId="77777777" w:rsidR="00210C73" w:rsidRPr="005F0675" w:rsidRDefault="00210C73" w:rsidP="00210C73">
            <w:pPr>
              <w:widowControl w:val="0"/>
              <w:spacing w:after="40"/>
              <w:jc w:val="center"/>
              <w:rPr>
                <w:rFonts w:cs="Tahoma"/>
                <w:szCs w:val="22"/>
                <w:lang w:eastAsia="en-US"/>
              </w:rPr>
            </w:pPr>
          </w:p>
        </w:tc>
      </w:tr>
      <w:tr w:rsidR="00210C73" w:rsidRPr="005F0675" w14:paraId="0CA40E50" w14:textId="77777777" w:rsidTr="00210C73">
        <w:tc>
          <w:tcPr>
            <w:tcW w:w="2410" w:type="dxa"/>
            <w:tcBorders>
              <w:right w:val="nil"/>
            </w:tcBorders>
          </w:tcPr>
          <w:p w14:paraId="18857EFB" w14:textId="77777777" w:rsidR="00210C73" w:rsidRPr="005F0675" w:rsidRDefault="00210C73" w:rsidP="00210C73">
            <w:pPr>
              <w:widowControl w:val="0"/>
              <w:spacing w:after="40"/>
              <w:rPr>
                <w:rFonts w:cs="Tahoma"/>
                <w:b/>
                <w:lang w:eastAsia="en-US"/>
              </w:rPr>
            </w:pPr>
            <w:r w:rsidRPr="005F0675">
              <w:rPr>
                <w:rFonts w:cs="Tahoma"/>
                <w:i/>
                <w:szCs w:val="22"/>
                <w:lang w:eastAsia="en-US"/>
              </w:rPr>
              <w:t>Step 3</w:t>
            </w:r>
            <w:r>
              <w:rPr>
                <w:rFonts w:cs="Tahoma"/>
                <w:i/>
                <w:szCs w:val="22"/>
                <w:lang w:eastAsia="en-US"/>
              </w:rPr>
              <w:t xml:space="preserve"> Lifetime horizon</w:t>
            </w:r>
          </w:p>
        </w:tc>
        <w:tc>
          <w:tcPr>
            <w:tcW w:w="1325" w:type="dxa"/>
            <w:tcBorders>
              <w:left w:val="nil"/>
              <w:right w:val="nil"/>
            </w:tcBorders>
          </w:tcPr>
          <w:p w14:paraId="54651862" w14:textId="77777777" w:rsidR="00210C73" w:rsidRPr="005F0675" w:rsidRDefault="00210C73" w:rsidP="00210C73">
            <w:pPr>
              <w:widowControl w:val="0"/>
              <w:spacing w:after="40"/>
              <w:jc w:val="center"/>
              <w:rPr>
                <w:rFonts w:cs="Tahoma"/>
                <w:szCs w:val="22"/>
                <w:lang w:eastAsia="en-US"/>
              </w:rPr>
            </w:pPr>
          </w:p>
        </w:tc>
        <w:tc>
          <w:tcPr>
            <w:tcW w:w="1325" w:type="dxa"/>
            <w:tcBorders>
              <w:left w:val="nil"/>
              <w:right w:val="nil"/>
            </w:tcBorders>
          </w:tcPr>
          <w:p w14:paraId="45654018" w14:textId="77777777" w:rsidR="00210C73" w:rsidRPr="005F0675" w:rsidRDefault="00210C73" w:rsidP="00210C73">
            <w:pPr>
              <w:widowControl w:val="0"/>
              <w:spacing w:after="40"/>
              <w:jc w:val="center"/>
              <w:rPr>
                <w:rFonts w:cs="Tahoma"/>
                <w:szCs w:val="22"/>
                <w:lang w:eastAsia="en-US"/>
              </w:rPr>
            </w:pPr>
          </w:p>
        </w:tc>
        <w:tc>
          <w:tcPr>
            <w:tcW w:w="1325" w:type="dxa"/>
            <w:tcBorders>
              <w:left w:val="nil"/>
              <w:right w:val="nil"/>
            </w:tcBorders>
          </w:tcPr>
          <w:p w14:paraId="5858A00D" w14:textId="77777777" w:rsidR="00210C73" w:rsidRPr="005F0675" w:rsidRDefault="00210C73" w:rsidP="00210C73">
            <w:pPr>
              <w:widowControl w:val="0"/>
              <w:spacing w:after="40"/>
              <w:jc w:val="center"/>
              <w:rPr>
                <w:rFonts w:cs="Tahoma"/>
                <w:szCs w:val="22"/>
                <w:lang w:eastAsia="en-US"/>
              </w:rPr>
            </w:pPr>
          </w:p>
        </w:tc>
        <w:tc>
          <w:tcPr>
            <w:tcW w:w="1548" w:type="dxa"/>
            <w:tcBorders>
              <w:left w:val="nil"/>
              <w:right w:val="nil"/>
            </w:tcBorders>
          </w:tcPr>
          <w:p w14:paraId="5B00E990" w14:textId="77777777" w:rsidR="00210C73" w:rsidRPr="005F0675" w:rsidRDefault="00210C73" w:rsidP="00210C73">
            <w:pPr>
              <w:widowControl w:val="0"/>
              <w:spacing w:after="40"/>
              <w:jc w:val="center"/>
              <w:rPr>
                <w:rFonts w:cs="Tahoma"/>
                <w:szCs w:val="22"/>
                <w:lang w:eastAsia="en-US"/>
              </w:rPr>
            </w:pPr>
            <w:r w:rsidRPr="00FF7798">
              <w:rPr>
                <w:rFonts w:cs="Tahoma"/>
                <w:i/>
                <w:szCs w:val="22"/>
                <w:lang w:eastAsia="en-US"/>
              </w:rPr>
              <w:t>(QALY</w:t>
            </w:r>
            <w:r>
              <w:rPr>
                <w:rFonts w:cs="Tahoma"/>
                <w:i/>
                <w:szCs w:val="22"/>
                <w:lang w:eastAsia="en-US"/>
              </w:rPr>
              <w:t>s</w:t>
            </w:r>
            <w:r w:rsidRPr="00FF7798">
              <w:rPr>
                <w:rFonts w:cs="Tahoma"/>
                <w:i/>
                <w:szCs w:val="22"/>
                <w:lang w:eastAsia="en-US"/>
              </w:rPr>
              <w:t>)</w:t>
            </w:r>
          </w:p>
        </w:tc>
        <w:tc>
          <w:tcPr>
            <w:tcW w:w="1139" w:type="dxa"/>
            <w:tcBorders>
              <w:left w:val="nil"/>
            </w:tcBorders>
          </w:tcPr>
          <w:p w14:paraId="4D0D2728" w14:textId="77777777" w:rsidR="00210C73" w:rsidRPr="005F0675" w:rsidRDefault="00210C73" w:rsidP="00210C73">
            <w:pPr>
              <w:widowControl w:val="0"/>
              <w:spacing w:after="40"/>
              <w:jc w:val="center"/>
              <w:rPr>
                <w:rFonts w:cs="Tahoma"/>
                <w:szCs w:val="22"/>
                <w:lang w:eastAsia="en-US"/>
              </w:rPr>
            </w:pPr>
          </w:p>
        </w:tc>
      </w:tr>
      <w:tr w:rsidR="00210C73" w:rsidRPr="005F0675" w14:paraId="35DF63F9" w14:textId="77777777" w:rsidTr="00210C73">
        <w:tc>
          <w:tcPr>
            <w:tcW w:w="2410" w:type="dxa"/>
          </w:tcPr>
          <w:p w14:paraId="0CC5D24E" w14:textId="77777777" w:rsidR="00210C73" w:rsidRPr="005F0675" w:rsidRDefault="00210C73" w:rsidP="00210C73">
            <w:pPr>
              <w:widowControl w:val="0"/>
              <w:spacing w:after="40"/>
              <w:jc w:val="both"/>
              <w:rPr>
                <w:rFonts w:cs="Tahoma"/>
              </w:rPr>
            </w:pPr>
            <w:r w:rsidRPr="005F0675">
              <w:rPr>
                <w:rFonts w:cs="Tahoma"/>
              </w:rPr>
              <w:t>EndoPredict</w:t>
            </w:r>
          </w:p>
        </w:tc>
        <w:tc>
          <w:tcPr>
            <w:tcW w:w="1325" w:type="dxa"/>
          </w:tcPr>
          <w:p w14:paraId="1C21B981" w14:textId="68E361B1"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c>
          <w:tcPr>
            <w:tcW w:w="1325" w:type="dxa"/>
            <w:tcBorders>
              <w:top w:val="nil"/>
              <w:bottom w:val="nil"/>
            </w:tcBorders>
          </w:tcPr>
          <w:p w14:paraId="54D6420F" w14:textId="782FC6FD"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c>
          <w:tcPr>
            <w:tcW w:w="1325" w:type="dxa"/>
          </w:tcPr>
          <w:p w14:paraId="3AB11C21" w14:textId="5EBBA0B4" w:rsidR="00210C73" w:rsidRPr="005F0675" w:rsidRDefault="00AE5C5C" w:rsidP="00210C73">
            <w:pPr>
              <w:widowControl w:val="0"/>
              <w:spacing w:after="40"/>
              <w:jc w:val="center"/>
              <w:rPr>
                <w:rFonts w:cs="Tahoma"/>
                <w:szCs w:val="22"/>
                <w:lang w:eastAsia="en-US"/>
              </w:rPr>
            </w:pPr>
            <w:r>
              <w:rPr>
                <w:rFonts w:cs="Tahoma"/>
                <w:szCs w:val="22"/>
                <w:lang w:eastAsia="en-US"/>
              </w:rPr>
              <w:t>redacted</w:t>
            </w:r>
          </w:p>
        </w:tc>
        <w:tc>
          <w:tcPr>
            <w:tcW w:w="1548" w:type="dxa"/>
            <w:tcBorders>
              <w:top w:val="nil"/>
              <w:bottom w:val="nil"/>
            </w:tcBorders>
          </w:tcPr>
          <w:p w14:paraId="3791004C" w14:textId="69C7C02B" w:rsidR="00210C73" w:rsidRPr="005F0675" w:rsidRDefault="00AE5C5C" w:rsidP="00210C73">
            <w:pPr>
              <w:widowControl w:val="0"/>
              <w:spacing w:after="40"/>
              <w:jc w:val="center"/>
              <w:rPr>
                <w:rFonts w:cs="Tahoma"/>
                <w:szCs w:val="22"/>
                <w:lang w:eastAsia="en-US"/>
              </w:rPr>
            </w:pPr>
            <w:r>
              <w:rPr>
                <w:rFonts w:cs="Tahoma"/>
                <w:szCs w:val="22"/>
                <w:lang w:eastAsia="en-US"/>
              </w:rPr>
              <w:t>redacted</w:t>
            </w:r>
          </w:p>
        </w:tc>
        <w:tc>
          <w:tcPr>
            <w:tcW w:w="1139" w:type="dxa"/>
            <w:tcBorders>
              <w:top w:val="nil"/>
              <w:bottom w:val="nil"/>
            </w:tcBorders>
          </w:tcPr>
          <w:p w14:paraId="50C52313" w14:textId="10CA6420"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r>
      <w:tr w:rsidR="00210C73" w:rsidRPr="005F0675" w14:paraId="1CE5DF3D" w14:textId="77777777" w:rsidTr="00210C73">
        <w:tc>
          <w:tcPr>
            <w:tcW w:w="2410" w:type="dxa"/>
            <w:tcBorders>
              <w:bottom w:val="single" w:sz="4" w:space="0" w:color="auto"/>
            </w:tcBorders>
          </w:tcPr>
          <w:p w14:paraId="560B19A7" w14:textId="77777777" w:rsidR="00210C73" w:rsidRPr="005F0675" w:rsidRDefault="00210C73" w:rsidP="00210C73">
            <w:pPr>
              <w:widowControl w:val="0"/>
              <w:spacing w:after="40"/>
              <w:jc w:val="both"/>
              <w:rPr>
                <w:rFonts w:cs="Tahoma"/>
              </w:rPr>
            </w:pPr>
            <w:r w:rsidRPr="005F0675">
              <w:rPr>
                <w:rFonts w:cs="Tahoma"/>
              </w:rPr>
              <w:t>SOC (MDT)</w:t>
            </w:r>
          </w:p>
        </w:tc>
        <w:tc>
          <w:tcPr>
            <w:tcW w:w="1325" w:type="dxa"/>
            <w:tcBorders>
              <w:bottom w:val="single" w:sz="4" w:space="0" w:color="auto"/>
            </w:tcBorders>
          </w:tcPr>
          <w:p w14:paraId="02E3FF7A" w14:textId="602EAC48" w:rsidR="00210C73" w:rsidRPr="005F0675" w:rsidRDefault="00210C73" w:rsidP="00AE5C5C">
            <w:pPr>
              <w:widowControl w:val="0"/>
              <w:spacing w:after="40"/>
              <w:jc w:val="center"/>
              <w:rPr>
                <w:rFonts w:cs="Tahoma"/>
                <w:szCs w:val="22"/>
                <w:lang w:eastAsia="en-US"/>
              </w:rPr>
            </w:pPr>
            <w:r w:rsidRPr="005F0675">
              <w:rPr>
                <w:rFonts w:cs="Tahoma"/>
                <w:szCs w:val="22"/>
                <w:lang w:eastAsia="en-US"/>
              </w:rPr>
              <w:t>$</w:t>
            </w:r>
            <w:r w:rsidR="00AE5C5C">
              <w:rPr>
                <w:rFonts w:cs="Tahoma"/>
                <w:szCs w:val="22"/>
                <w:lang w:eastAsia="en-US"/>
              </w:rPr>
              <w:t>redacted</w:t>
            </w:r>
          </w:p>
        </w:tc>
        <w:tc>
          <w:tcPr>
            <w:tcW w:w="1325" w:type="dxa"/>
            <w:tcBorders>
              <w:top w:val="nil"/>
              <w:bottom w:val="single" w:sz="4" w:space="0" w:color="auto"/>
            </w:tcBorders>
          </w:tcPr>
          <w:p w14:paraId="7FCC9CB2" w14:textId="77777777" w:rsidR="00210C73" w:rsidRPr="005F0675" w:rsidRDefault="00210C73" w:rsidP="00210C73">
            <w:pPr>
              <w:widowControl w:val="0"/>
              <w:spacing w:after="40"/>
              <w:jc w:val="center"/>
              <w:rPr>
                <w:rFonts w:cs="Tahoma"/>
                <w:szCs w:val="22"/>
                <w:lang w:eastAsia="en-US"/>
              </w:rPr>
            </w:pPr>
          </w:p>
        </w:tc>
        <w:tc>
          <w:tcPr>
            <w:tcW w:w="1325" w:type="dxa"/>
            <w:tcBorders>
              <w:bottom w:val="single" w:sz="4" w:space="0" w:color="auto"/>
            </w:tcBorders>
          </w:tcPr>
          <w:p w14:paraId="67A44D67" w14:textId="08557F09" w:rsidR="00210C73" w:rsidRPr="005F0675" w:rsidRDefault="00AE5C5C" w:rsidP="00210C73">
            <w:pPr>
              <w:widowControl w:val="0"/>
              <w:spacing w:after="40"/>
              <w:jc w:val="center"/>
              <w:rPr>
                <w:rFonts w:cs="Tahoma"/>
                <w:szCs w:val="22"/>
                <w:lang w:eastAsia="en-US"/>
              </w:rPr>
            </w:pPr>
            <w:r>
              <w:rPr>
                <w:rFonts w:cs="Tahoma"/>
                <w:szCs w:val="22"/>
                <w:lang w:eastAsia="en-US"/>
              </w:rPr>
              <w:t>redacted</w:t>
            </w:r>
          </w:p>
        </w:tc>
        <w:tc>
          <w:tcPr>
            <w:tcW w:w="1548" w:type="dxa"/>
            <w:tcBorders>
              <w:top w:val="nil"/>
              <w:bottom w:val="single" w:sz="4" w:space="0" w:color="auto"/>
            </w:tcBorders>
            <w:vAlign w:val="bottom"/>
          </w:tcPr>
          <w:p w14:paraId="253A5930" w14:textId="77777777" w:rsidR="00210C73" w:rsidRPr="005F0675" w:rsidRDefault="00210C73" w:rsidP="00210C73">
            <w:pPr>
              <w:widowControl w:val="0"/>
              <w:spacing w:after="40"/>
              <w:jc w:val="center"/>
              <w:rPr>
                <w:rFonts w:cs="Tahoma"/>
                <w:szCs w:val="22"/>
                <w:lang w:eastAsia="en-US"/>
              </w:rPr>
            </w:pPr>
          </w:p>
        </w:tc>
        <w:tc>
          <w:tcPr>
            <w:tcW w:w="1139" w:type="dxa"/>
            <w:tcBorders>
              <w:top w:val="nil"/>
              <w:bottom w:val="single" w:sz="4" w:space="0" w:color="auto"/>
            </w:tcBorders>
            <w:vAlign w:val="bottom"/>
          </w:tcPr>
          <w:p w14:paraId="4A7C4813" w14:textId="77777777" w:rsidR="00210C73" w:rsidRPr="005F0675" w:rsidRDefault="00210C73" w:rsidP="00210C73">
            <w:pPr>
              <w:widowControl w:val="0"/>
              <w:spacing w:after="40"/>
              <w:jc w:val="center"/>
              <w:rPr>
                <w:rFonts w:cs="Tahoma"/>
                <w:szCs w:val="22"/>
                <w:lang w:eastAsia="en-US"/>
              </w:rPr>
            </w:pPr>
          </w:p>
        </w:tc>
      </w:tr>
      <w:tr w:rsidR="00210C73" w:rsidRPr="005F0675" w14:paraId="7A3EB244" w14:textId="77777777" w:rsidTr="00210C73">
        <w:tc>
          <w:tcPr>
            <w:tcW w:w="2410" w:type="dxa"/>
            <w:tcBorders>
              <w:top w:val="single" w:sz="4" w:space="0" w:color="auto"/>
              <w:left w:val="single" w:sz="4" w:space="0" w:color="auto"/>
              <w:bottom w:val="single" w:sz="4" w:space="0" w:color="auto"/>
              <w:right w:val="nil"/>
            </w:tcBorders>
          </w:tcPr>
          <w:p w14:paraId="39B1F4F0" w14:textId="77777777" w:rsidR="00210C73" w:rsidRPr="00F51442" w:rsidRDefault="00210C73" w:rsidP="00210C73">
            <w:pPr>
              <w:widowControl w:val="0"/>
              <w:spacing w:after="40"/>
              <w:jc w:val="both"/>
              <w:rPr>
                <w:rFonts w:cs="Tahoma"/>
                <w:i/>
                <w:vertAlign w:val="superscript"/>
              </w:rPr>
            </w:pPr>
            <w:r w:rsidRPr="00F51442">
              <w:rPr>
                <w:rFonts w:cs="Tahoma"/>
                <w:i/>
              </w:rPr>
              <w:t xml:space="preserve">Critique’s results- including </w:t>
            </w:r>
            <w:r>
              <w:rPr>
                <w:rFonts w:cs="Tahoma"/>
                <w:i/>
              </w:rPr>
              <w:t>change in patient management</w:t>
            </w:r>
            <w:r>
              <w:rPr>
                <w:rFonts w:cs="Tahoma"/>
                <w:i/>
                <w:vertAlign w:val="superscript"/>
              </w:rPr>
              <w:t>b</w:t>
            </w:r>
          </w:p>
        </w:tc>
        <w:tc>
          <w:tcPr>
            <w:tcW w:w="1325" w:type="dxa"/>
            <w:tcBorders>
              <w:top w:val="single" w:sz="4" w:space="0" w:color="auto"/>
              <w:left w:val="nil"/>
              <w:bottom w:val="single" w:sz="4" w:space="0" w:color="auto"/>
              <w:right w:val="nil"/>
            </w:tcBorders>
          </w:tcPr>
          <w:p w14:paraId="7B0E637D" w14:textId="77777777" w:rsidR="00210C73" w:rsidRPr="00F51442" w:rsidRDefault="00210C73" w:rsidP="00210C73">
            <w:pPr>
              <w:widowControl w:val="0"/>
              <w:spacing w:after="40"/>
              <w:rPr>
                <w:rFonts w:cs="Tahoma"/>
                <w:i/>
                <w:szCs w:val="22"/>
                <w:lang w:eastAsia="en-US"/>
              </w:rPr>
            </w:pPr>
          </w:p>
        </w:tc>
        <w:tc>
          <w:tcPr>
            <w:tcW w:w="1325" w:type="dxa"/>
            <w:tcBorders>
              <w:top w:val="single" w:sz="4" w:space="0" w:color="auto"/>
              <w:left w:val="nil"/>
              <w:bottom w:val="single" w:sz="4" w:space="0" w:color="auto"/>
              <w:right w:val="nil"/>
            </w:tcBorders>
          </w:tcPr>
          <w:p w14:paraId="720BBD79" w14:textId="77777777" w:rsidR="00210C73" w:rsidRPr="005F0675" w:rsidRDefault="00210C73" w:rsidP="00210C73">
            <w:pPr>
              <w:widowControl w:val="0"/>
              <w:spacing w:after="40"/>
              <w:jc w:val="center"/>
              <w:rPr>
                <w:rFonts w:cs="Tahoma"/>
                <w:szCs w:val="22"/>
                <w:lang w:eastAsia="en-US"/>
              </w:rPr>
            </w:pPr>
          </w:p>
        </w:tc>
        <w:tc>
          <w:tcPr>
            <w:tcW w:w="1325" w:type="dxa"/>
            <w:tcBorders>
              <w:top w:val="single" w:sz="4" w:space="0" w:color="auto"/>
              <w:left w:val="nil"/>
              <w:bottom w:val="single" w:sz="4" w:space="0" w:color="auto"/>
              <w:right w:val="nil"/>
            </w:tcBorders>
          </w:tcPr>
          <w:p w14:paraId="4770CFF4" w14:textId="77777777" w:rsidR="00210C73" w:rsidRPr="005F0675" w:rsidRDefault="00210C73" w:rsidP="00210C73">
            <w:pPr>
              <w:widowControl w:val="0"/>
              <w:spacing w:after="40"/>
              <w:jc w:val="center"/>
              <w:rPr>
                <w:rFonts w:cs="Tahoma"/>
                <w:szCs w:val="22"/>
                <w:lang w:eastAsia="en-US"/>
              </w:rPr>
            </w:pPr>
          </w:p>
        </w:tc>
        <w:tc>
          <w:tcPr>
            <w:tcW w:w="1548" w:type="dxa"/>
            <w:tcBorders>
              <w:top w:val="single" w:sz="4" w:space="0" w:color="auto"/>
              <w:left w:val="nil"/>
              <w:bottom w:val="single" w:sz="4" w:space="0" w:color="auto"/>
              <w:right w:val="nil"/>
            </w:tcBorders>
            <w:vAlign w:val="bottom"/>
          </w:tcPr>
          <w:p w14:paraId="4DE6AD5D" w14:textId="77777777" w:rsidR="00210C73" w:rsidRPr="005F0675" w:rsidRDefault="00210C73" w:rsidP="00210C73">
            <w:pPr>
              <w:widowControl w:val="0"/>
              <w:spacing w:after="40"/>
              <w:jc w:val="center"/>
              <w:rPr>
                <w:rFonts w:cs="Tahoma"/>
                <w:szCs w:val="22"/>
                <w:lang w:eastAsia="en-US"/>
              </w:rPr>
            </w:pPr>
          </w:p>
        </w:tc>
        <w:tc>
          <w:tcPr>
            <w:tcW w:w="1139" w:type="dxa"/>
            <w:tcBorders>
              <w:top w:val="single" w:sz="4" w:space="0" w:color="auto"/>
              <w:left w:val="nil"/>
              <w:bottom w:val="single" w:sz="4" w:space="0" w:color="auto"/>
              <w:right w:val="single" w:sz="4" w:space="0" w:color="auto"/>
            </w:tcBorders>
            <w:vAlign w:val="bottom"/>
          </w:tcPr>
          <w:p w14:paraId="2595ADF1" w14:textId="77777777" w:rsidR="00210C73" w:rsidRPr="005F0675" w:rsidRDefault="00210C73" w:rsidP="00210C73">
            <w:pPr>
              <w:widowControl w:val="0"/>
              <w:spacing w:after="40"/>
              <w:jc w:val="center"/>
              <w:rPr>
                <w:rFonts w:cs="Tahoma"/>
                <w:szCs w:val="22"/>
                <w:lang w:eastAsia="en-US"/>
              </w:rPr>
            </w:pPr>
          </w:p>
        </w:tc>
      </w:tr>
      <w:tr w:rsidR="00210C73" w:rsidRPr="005F0675" w14:paraId="216136EE" w14:textId="77777777" w:rsidTr="00210C73">
        <w:tc>
          <w:tcPr>
            <w:tcW w:w="2410" w:type="dxa"/>
            <w:tcBorders>
              <w:top w:val="single" w:sz="4" w:space="0" w:color="auto"/>
            </w:tcBorders>
            <w:vAlign w:val="center"/>
          </w:tcPr>
          <w:p w14:paraId="5249D1FD" w14:textId="77777777" w:rsidR="00210C73" w:rsidRPr="00F51442" w:rsidRDefault="00210C73" w:rsidP="00210C73">
            <w:pPr>
              <w:widowControl w:val="0"/>
              <w:spacing w:after="40"/>
              <w:jc w:val="both"/>
              <w:rPr>
                <w:rFonts w:cs="Tahoma"/>
                <w:i/>
              </w:rPr>
            </w:pPr>
            <w:r w:rsidRPr="00F51442">
              <w:rPr>
                <w:i/>
              </w:rPr>
              <w:t>EndoPredict</w:t>
            </w:r>
            <w:r w:rsidRPr="00F51442">
              <w:rPr>
                <w:i/>
                <w:vertAlign w:val="superscript"/>
              </w:rPr>
              <w:t>®</w:t>
            </w:r>
            <w:r w:rsidRPr="00F51442">
              <w:rPr>
                <w:i/>
              </w:rPr>
              <w:t xml:space="preserve"> </w:t>
            </w:r>
          </w:p>
        </w:tc>
        <w:tc>
          <w:tcPr>
            <w:tcW w:w="1325" w:type="dxa"/>
            <w:tcBorders>
              <w:top w:val="single" w:sz="4" w:space="0" w:color="auto"/>
            </w:tcBorders>
            <w:vAlign w:val="center"/>
          </w:tcPr>
          <w:p w14:paraId="7509B757" w14:textId="2808E177" w:rsidR="00210C73" w:rsidRPr="00F51442" w:rsidRDefault="00210C73" w:rsidP="00AE5C5C">
            <w:pPr>
              <w:widowControl w:val="0"/>
              <w:spacing w:after="40"/>
              <w:jc w:val="center"/>
              <w:rPr>
                <w:rFonts w:cs="Tahoma"/>
                <w:i/>
                <w:szCs w:val="22"/>
                <w:lang w:eastAsia="en-US"/>
              </w:rPr>
            </w:pPr>
            <w:r w:rsidRPr="00F51442">
              <w:rPr>
                <w:i/>
              </w:rPr>
              <w:t>$</w:t>
            </w:r>
            <w:r w:rsidR="00AE5C5C">
              <w:rPr>
                <w:i/>
              </w:rPr>
              <w:t>redacted</w:t>
            </w:r>
          </w:p>
        </w:tc>
        <w:tc>
          <w:tcPr>
            <w:tcW w:w="1325" w:type="dxa"/>
            <w:tcBorders>
              <w:top w:val="single" w:sz="4" w:space="0" w:color="auto"/>
              <w:bottom w:val="nil"/>
            </w:tcBorders>
            <w:vAlign w:val="center"/>
          </w:tcPr>
          <w:p w14:paraId="10CB7C0B" w14:textId="7E1966DA" w:rsidR="00210C73" w:rsidRPr="00F51442" w:rsidRDefault="00210C73" w:rsidP="00AE5C5C">
            <w:pPr>
              <w:widowControl w:val="0"/>
              <w:spacing w:after="40"/>
              <w:jc w:val="center"/>
              <w:rPr>
                <w:rFonts w:cs="Tahoma"/>
                <w:i/>
                <w:szCs w:val="22"/>
                <w:lang w:eastAsia="en-US"/>
              </w:rPr>
            </w:pPr>
            <w:r w:rsidRPr="00F51442">
              <w:rPr>
                <w:i/>
              </w:rPr>
              <w:t>$</w:t>
            </w:r>
            <w:r w:rsidR="00AE5C5C">
              <w:rPr>
                <w:i/>
              </w:rPr>
              <w:t>redacted</w:t>
            </w:r>
          </w:p>
        </w:tc>
        <w:tc>
          <w:tcPr>
            <w:tcW w:w="1325" w:type="dxa"/>
            <w:tcBorders>
              <w:top w:val="single" w:sz="4" w:space="0" w:color="auto"/>
            </w:tcBorders>
            <w:vAlign w:val="center"/>
          </w:tcPr>
          <w:p w14:paraId="69627A26" w14:textId="334885CD" w:rsidR="00210C73" w:rsidRPr="00F51442" w:rsidRDefault="00AE5C5C" w:rsidP="00210C73">
            <w:pPr>
              <w:widowControl w:val="0"/>
              <w:spacing w:after="40"/>
              <w:jc w:val="center"/>
              <w:rPr>
                <w:rFonts w:cs="Tahoma"/>
                <w:i/>
                <w:szCs w:val="22"/>
                <w:lang w:eastAsia="en-US"/>
              </w:rPr>
            </w:pPr>
            <w:r>
              <w:rPr>
                <w:i/>
              </w:rPr>
              <w:t>redacted</w:t>
            </w:r>
          </w:p>
        </w:tc>
        <w:tc>
          <w:tcPr>
            <w:tcW w:w="1548" w:type="dxa"/>
            <w:tcBorders>
              <w:top w:val="single" w:sz="4" w:space="0" w:color="auto"/>
              <w:bottom w:val="nil"/>
            </w:tcBorders>
            <w:vAlign w:val="center"/>
          </w:tcPr>
          <w:p w14:paraId="01F500F0" w14:textId="5F8CAFA8" w:rsidR="00210C73" w:rsidRPr="00F51442" w:rsidRDefault="00AE5C5C" w:rsidP="00210C73">
            <w:pPr>
              <w:widowControl w:val="0"/>
              <w:spacing w:after="40"/>
              <w:jc w:val="center"/>
              <w:rPr>
                <w:rFonts w:cs="Tahoma"/>
                <w:i/>
                <w:szCs w:val="22"/>
                <w:lang w:eastAsia="en-US"/>
              </w:rPr>
            </w:pPr>
            <w:r>
              <w:rPr>
                <w:i/>
              </w:rPr>
              <w:t>redacted</w:t>
            </w:r>
          </w:p>
        </w:tc>
        <w:tc>
          <w:tcPr>
            <w:tcW w:w="1139" w:type="dxa"/>
            <w:tcBorders>
              <w:top w:val="single" w:sz="4" w:space="0" w:color="auto"/>
              <w:bottom w:val="nil"/>
            </w:tcBorders>
            <w:vAlign w:val="center"/>
          </w:tcPr>
          <w:p w14:paraId="2F31B7B4" w14:textId="75E1D07E" w:rsidR="00210C73" w:rsidRPr="00F51442" w:rsidRDefault="00210C73" w:rsidP="00AE5C5C">
            <w:pPr>
              <w:widowControl w:val="0"/>
              <w:spacing w:after="40"/>
              <w:jc w:val="center"/>
              <w:rPr>
                <w:rFonts w:cs="Tahoma"/>
                <w:i/>
                <w:szCs w:val="22"/>
                <w:lang w:eastAsia="en-US"/>
              </w:rPr>
            </w:pPr>
            <w:r w:rsidRPr="00F51442">
              <w:rPr>
                <w:i/>
              </w:rPr>
              <w:t>$</w:t>
            </w:r>
            <w:r w:rsidR="00AE5C5C">
              <w:rPr>
                <w:i/>
              </w:rPr>
              <w:t>redacted</w:t>
            </w:r>
          </w:p>
        </w:tc>
      </w:tr>
      <w:tr w:rsidR="00210C73" w:rsidRPr="005F0675" w14:paraId="06AD9379" w14:textId="77777777" w:rsidTr="00210C73">
        <w:tc>
          <w:tcPr>
            <w:tcW w:w="2410" w:type="dxa"/>
            <w:vAlign w:val="center"/>
          </w:tcPr>
          <w:p w14:paraId="29851E55" w14:textId="77777777" w:rsidR="00210C73" w:rsidRPr="00F51442" w:rsidRDefault="00210C73" w:rsidP="00210C73">
            <w:pPr>
              <w:widowControl w:val="0"/>
              <w:spacing w:after="40"/>
              <w:jc w:val="both"/>
              <w:rPr>
                <w:rFonts w:cs="Tahoma"/>
                <w:i/>
              </w:rPr>
            </w:pPr>
            <w:r w:rsidRPr="00F51442">
              <w:rPr>
                <w:i/>
              </w:rPr>
              <w:t>MDT</w:t>
            </w:r>
          </w:p>
        </w:tc>
        <w:tc>
          <w:tcPr>
            <w:tcW w:w="1325" w:type="dxa"/>
            <w:vAlign w:val="center"/>
          </w:tcPr>
          <w:p w14:paraId="72E95C7F" w14:textId="377C32C6" w:rsidR="00210C73" w:rsidRPr="00F51442" w:rsidRDefault="00210C73" w:rsidP="00AE5C5C">
            <w:pPr>
              <w:widowControl w:val="0"/>
              <w:spacing w:after="40"/>
              <w:jc w:val="center"/>
              <w:rPr>
                <w:rFonts w:cs="Tahoma"/>
                <w:i/>
                <w:szCs w:val="22"/>
                <w:lang w:eastAsia="en-US"/>
              </w:rPr>
            </w:pPr>
            <w:r w:rsidRPr="00F51442">
              <w:rPr>
                <w:i/>
              </w:rPr>
              <w:t>$</w:t>
            </w:r>
            <w:r w:rsidR="00AE5C5C">
              <w:rPr>
                <w:i/>
              </w:rPr>
              <w:t>redacted</w:t>
            </w:r>
          </w:p>
        </w:tc>
        <w:tc>
          <w:tcPr>
            <w:tcW w:w="1325" w:type="dxa"/>
            <w:tcBorders>
              <w:top w:val="nil"/>
              <w:bottom w:val="single" w:sz="4" w:space="0" w:color="auto"/>
            </w:tcBorders>
            <w:vAlign w:val="center"/>
          </w:tcPr>
          <w:p w14:paraId="7D8E681F" w14:textId="77777777" w:rsidR="00210C73" w:rsidRPr="00F51442" w:rsidRDefault="00210C73" w:rsidP="00210C73">
            <w:pPr>
              <w:widowControl w:val="0"/>
              <w:spacing w:after="40"/>
              <w:jc w:val="center"/>
              <w:rPr>
                <w:rFonts w:cs="Tahoma"/>
                <w:i/>
                <w:szCs w:val="22"/>
                <w:lang w:eastAsia="en-US"/>
              </w:rPr>
            </w:pPr>
          </w:p>
        </w:tc>
        <w:tc>
          <w:tcPr>
            <w:tcW w:w="1325" w:type="dxa"/>
            <w:tcBorders>
              <w:bottom w:val="single" w:sz="4" w:space="0" w:color="auto"/>
            </w:tcBorders>
            <w:vAlign w:val="center"/>
          </w:tcPr>
          <w:p w14:paraId="5B3D745B" w14:textId="6ABEE028" w:rsidR="00210C73" w:rsidRPr="00F51442" w:rsidRDefault="00AE5C5C" w:rsidP="00210C73">
            <w:pPr>
              <w:widowControl w:val="0"/>
              <w:spacing w:after="40"/>
              <w:jc w:val="center"/>
              <w:rPr>
                <w:rFonts w:cs="Tahoma"/>
                <w:i/>
                <w:szCs w:val="22"/>
                <w:lang w:eastAsia="en-US"/>
              </w:rPr>
            </w:pPr>
            <w:r>
              <w:rPr>
                <w:i/>
              </w:rPr>
              <w:t>redacted</w:t>
            </w:r>
          </w:p>
        </w:tc>
        <w:tc>
          <w:tcPr>
            <w:tcW w:w="1548" w:type="dxa"/>
            <w:tcBorders>
              <w:top w:val="nil"/>
              <w:bottom w:val="single" w:sz="4" w:space="0" w:color="auto"/>
            </w:tcBorders>
            <w:vAlign w:val="center"/>
          </w:tcPr>
          <w:p w14:paraId="5FA5B414" w14:textId="77777777" w:rsidR="00210C73" w:rsidRPr="00F51442" w:rsidRDefault="00210C73" w:rsidP="00210C73">
            <w:pPr>
              <w:widowControl w:val="0"/>
              <w:spacing w:after="40"/>
              <w:jc w:val="center"/>
              <w:rPr>
                <w:rFonts w:cs="Tahoma"/>
                <w:i/>
                <w:szCs w:val="22"/>
                <w:lang w:eastAsia="en-US"/>
              </w:rPr>
            </w:pPr>
          </w:p>
        </w:tc>
        <w:tc>
          <w:tcPr>
            <w:tcW w:w="1139" w:type="dxa"/>
            <w:tcBorders>
              <w:top w:val="nil"/>
              <w:bottom w:val="single" w:sz="4" w:space="0" w:color="auto"/>
            </w:tcBorders>
            <w:vAlign w:val="center"/>
          </w:tcPr>
          <w:p w14:paraId="72FA481E" w14:textId="77777777" w:rsidR="00210C73" w:rsidRPr="00F51442" w:rsidRDefault="00210C73" w:rsidP="00210C73">
            <w:pPr>
              <w:widowControl w:val="0"/>
              <w:spacing w:after="40"/>
              <w:jc w:val="center"/>
              <w:rPr>
                <w:rFonts w:cs="Tahoma"/>
                <w:i/>
                <w:szCs w:val="22"/>
                <w:lang w:eastAsia="en-US"/>
              </w:rPr>
            </w:pPr>
          </w:p>
        </w:tc>
      </w:tr>
    </w:tbl>
    <w:p w14:paraId="4BFF4413" w14:textId="77777777" w:rsidR="00210C73" w:rsidRDefault="00210C73" w:rsidP="00210C73">
      <w:pPr>
        <w:keepLines/>
        <w:spacing w:after="360"/>
        <w:contextualSpacing/>
        <w:rPr>
          <w:rFonts w:ascii="Arial Narrow" w:hAnsi="Arial Narrow"/>
          <w:color w:val="000000"/>
          <w:sz w:val="18"/>
          <w:szCs w:val="18"/>
        </w:rPr>
      </w:pPr>
      <w:r w:rsidRPr="005F0675">
        <w:rPr>
          <w:rFonts w:ascii="Arial Narrow" w:hAnsi="Arial Narrow"/>
          <w:color w:val="000000"/>
          <w:sz w:val="18"/>
          <w:szCs w:val="18"/>
        </w:rPr>
        <w:t>Abbreviations: ICER, Incremental Cost-Effectiveness Ratio; MDT, multidisciplinary team; QALY, quality-adjusted life year; SOC standard of care</w:t>
      </w:r>
    </w:p>
    <w:p w14:paraId="1AE372CF" w14:textId="45890A01" w:rsidR="00210C73" w:rsidRDefault="00210C73" w:rsidP="00210C73">
      <w:pPr>
        <w:keepLines/>
        <w:spacing w:after="360"/>
        <w:contextualSpacing/>
        <w:rPr>
          <w:rFonts w:ascii="Arial Narrow" w:hAnsi="Arial Narrow"/>
          <w:i/>
          <w:color w:val="000000"/>
          <w:sz w:val="18"/>
          <w:szCs w:val="18"/>
        </w:rPr>
      </w:pPr>
      <w:r>
        <w:rPr>
          <w:rFonts w:ascii="Arial Narrow" w:hAnsi="Arial Narrow"/>
          <w:i/>
          <w:color w:val="000000"/>
          <w:sz w:val="18"/>
          <w:szCs w:val="18"/>
          <w:vertAlign w:val="superscript"/>
        </w:rPr>
        <w:t xml:space="preserve">a </w:t>
      </w:r>
      <w:r w:rsidRPr="00F51442">
        <w:rPr>
          <w:rFonts w:ascii="Arial Narrow" w:hAnsi="Arial Narrow"/>
          <w:i/>
          <w:color w:val="000000"/>
          <w:sz w:val="18"/>
          <w:szCs w:val="18"/>
        </w:rPr>
        <w:t xml:space="preserve">Critique stated it was unclear how the applicant determined the </w:t>
      </w:r>
      <w:r w:rsidR="00AE5C5C">
        <w:rPr>
          <w:rFonts w:ascii="Arial Narrow" w:hAnsi="Arial Narrow"/>
          <w:i/>
          <w:color w:val="000000"/>
          <w:sz w:val="18"/>
          <w:szCs w:val="18"/>
        </w:rPr>
        <w:t>redacted</w:t>
      </w:r>
      <w:r w:rsidRPr="00F51442">
        <w:rPr>
          <w:rFonts w:ascii="Arial Narrow" w:hAnsi="Arial Narrow"/>
          <w:i/>
          <w:color w:val="000000"/>
          <w:sz w:val="18"/>
          <w:szCs w:val="18"/>
        </w:rPr>
        <w:t>% change in effectiveness</w:t>
      </w:r>
    </w:p>
    <w:p w14:paraId="430E4432" w14:textId="2AF650E5" w:rsidR="00F002C7" w:rsidRPr="00F002C7" w:rsidRDefault="00210C73" w:rsidP="00F002C7">
      <w:pPr>
        <w:keepLines/>
        <w:spacing w:after="360"/>
        <w:contextualSpacing/>
        <w:rPr>
          <w:rFonts w:ascii="Arial Narrow" w:hAnsi="Arial Narrow"/>
          <w:i/>
          <w:color w:val="000000"/>
          <w:sz w:val="18"/>
          <w:szCs w:val="18"/>
        </w:rPr>
      </w:pPr>
      <w:r>
        <w:rPr>
          <w:rFonts w:ascii="Arial Narrow" w:hAnsi="Arial Narrow"/>
          <w:i/>
          <w:color w:val="000000"/>
          <w:sz w:val="18"/>
          <w:szCs w:val="18"/>
          <w:vertAlign w:val="superscript"/>
        </w:rPr>
        <w:t xml:space="preserve">b </w:t>
      </w:r>
      <w:r w:rsidRPr="00F51442">
        <w:rPr>
          <w:rFonts w:ascii="Arial Narrow" w:hAnsi="Arial Narrow"/>
          <w:i/>
          <w:color w:val="000000"/>
          <w:sz w:val="18"/>
          <w:szCs w:val="18"/>
        </w:rPr>
        <w:t>The Critique presented an analysis where the clinical benefit of Endo</w:t>
      </w:r>
      <w:r w:rsidR="002F6C08">
        <w:rPr>
          <w:rFonts w:ascii="Arial Narrow" w:hAnsi="Arial Narrow"/>
          <w:i/>
          <w:color w:val="000000"/>
          <w:sz w:val="18"/>
          <w:szCs w:val="18"/>
        </w:rPr>
        <w:t>P</w:t>
      </w:r>
      <w:r w:rsidRPr="00F51442">
        <w:rPr>
          <w:rFonts w:ascii="Arial Narrow" w:hAnsi="Arial Narrow"/>
          <w:i/>
          <w:color w:val="000000"/>
          <w:sz w:val="18"/>
          <w:szCs w:val="18"/>
        </w:rPr>
        <w:t xml:space="preserve">redict was </w:t>
      </w:r>
      <w:r w:rsidR="00AE5C5C">
        <w:rPr>
          <w:rFonts w:ascii="Arial Narrow" w:hAnsi="Arial Narrow"/>
          <w:i/>
          <w:color w:val="000000"/>
          <w:sz w:val="18"/>
          <w:szCs w:val="18"/>
        </w:rPr>
        <w:t>redacted</w:t>
      </w:r>
      <w:r w:rsidRPr="00F51442">
        <w:rPr>
          <w:rFonts w:ascii="Arial Narrow" w:hAnsi="Arial Narrow"/>
          <w:i/>
          <w:color w:val="000000"/>
          <w:sz w:val="18"/>
          <w:szCs w:val="18"/>
        </w:rPr>
        <w:t>% of patients (</w:t>
      </w:r>
      <w:r w:rsidR="00AE5C5C">
        <w:rPr>
          <w:rFonts w:ascii="Arial Narrow" w:hAnsi="Arial Narrow"/>
          <w:i/>
          <w:color w:val="000000"/>
          <w:sz w:val="18"/>
          <w:szCs w:val="18"/>
        </w:rPr>
        <w:t>redacted</w:t>
      </w:r>
      <w:r w:rsidRPr="00F51442">
        <w:rPr>
          <w:rFonts w:ascii="Arial Narrow" w:hAnsi="Arial Narrow"/>
          <w:i/>
          <w:color w:val="000000"/>
          <w:sz w:val="18"/>
          <w:szCs w:val="18"/>
        </w:rPr>
        <w:t>%-</w:t>
      </w:r>
      <w:r w:rsidR="00AE5C5C">
        <w:rPr>
          <w:rFonts w:ascii="Arial Narrow" w:hAnsi="Arial Narrow"/>
          <w:i/>
          <w:color w:val="000000"/>
          <w:sz w:val="18"/>
          <w:szCs w:val="18"/>
        </w:rPr>
        <w:t>redacted</w:t>
      </w:r>
      <w:r w:rsidRPr="00F51442">
        <w:rPr>
          <w:rFonts w:ascii="Arial Narrow" w:hAnsi="Arial Narrow"/>
          <w:i/>
          <w:color w:val="000000"/>
          <w:sz w:val="18"/>
          <w:szCs w:val="18"/>
        </w:rPr>
        <w:t>%) who switch from the high risk group to the low ris</w:t>
      </w:r>
      <w:r w:rsidR="00F002C7">
        <w:rPr>
          <w:rFonts w:ascii="Arial Narrow" w:hAnsi="Arial Narrow"/>
          <w:i/>
          <w:color w:val="000000"/>
          <w:sz w:val="18"/>
          <w:szCs w:val="18"/>
        </w:rPr>
        <w:t>k group and avoid chemotherapy.</w:t>
      </w:r>
    </w:p>
    <w:p w14:paraId="44391439" w14:textId="3CDEBA02" w:rsidR="00210C73" w:rsidRDefault="00210C73" w:rsidP="00F002C7">
      <w:pPr>
        <w:spacing w:before="240"/>
      </w:pPr>
      <w:r w:rsidRPr="005F0675">
        <w:t>The modelled results were sensitive to discount rate, assumption of constant risk of reduction of chemotherapy, and inclusion of MDT decisions which deviate from that suggested by EndoPredict</w:t>
      </w:r>
      <w:r w:rsidR="00F002C7">
        <w:t>.</w:t>
      </w:r>
    </w:p>
    <w:p w14:paraId="404549AB" w14:textId="6D97D605" w:rsidR="00210C73" w:rsidRPr="00F002C7" w:rsidRDefault="00210C73" w:rsidP="00F002C7">
      <w:pPr>
        <w:spacing w:before="240" w:after="240"/>
      </w:pPr>
      <w:r>
        <w:t>However, the Critique stated that the model results were most sensitive to transition probability for distant recurrence (variable with the most uncertainty), the probability of being categorised to low risk and the time horizon.</w:t>
      </w:r>
    </w:p>
    <w:p w14:paraId="7BC76228" w14:textId="300E939D" w:rsidR="000C0B97" w:rsidRPr="000C0B97" w:rsidRDefault="00210C73" w:rsidP="000C0B97">
      <w:pPr>
        <w:spacing w:after="240"/>
        <w:rPr>
          <w:szCs w:val="24"/>
        </w:rPr>
      </w:pPr>
      <w:r w:rsidRPr="005F0675">
        <w:rPr>
          <w:szCs w:val="24"/>
        </w:rPr>
        <w:t xml:space="preserve">The results of the Supplementary economic analyses are shown in </w:t>
      </w:r>
      <w:r>
        <w:rPr>
          <w:szCs w:val="24"/>
        </w:rPr>
        <w:t xml:space="preserve">Table </w:t>
      </w:r>
      <w:r w:rsidR="00646580">
        <w:rPr>
          <w:szCs w:val="24"/>
        </w:rPr>
        <w:t>9</w:t>
      </w:r>
      <w:bookmarkStart w:id="31" w:name="_Ref10629560"/>
      <w:bookmarkStart w:id="32" w:name="_Toc10728625"/>
      <w:r w:rsidR="00F002C7">
        <w:rPr>
          <w:szCs w:val="24"/>
        </w:rPr>
        <w:t>.</w:t>
      </w:r>
      <w:r w:rsidR="000C0B97">
        <w:rPr>
          <w:rFonts w:eastAsia="SimSun"/>
          <w:noProof/>
        </w:rPr>
        <w:br w:type="page"/>
      </w:r>
    </w:p>
    <w:p w14:paraId="280DE7FE" w14:textId="10FE030A" w:rsidR="00210C73" w:rsidRPr="00497393" w:rsidRDefault="00210C73" w:rsidP="00497393">
      <w:pPr>
        <w:rPr>
          <w:rFonts w:ascii="Arial Narrow" w:eastAsia="SimSun" w:hAnsi="Arial Narrow"/>
          <w:b/>
          <w:sz w:val="20"/>
        </w:rPr>
      </w:pPr>
      <w:r w:rsidRPr="00497393">
        <w:rPr>
          <w:rFonts w:ascii="Arial Narrow" w:eastAsia="SimSun" w:hAnsi="Arial Narrow"/>
          <w:b/>
          <w:sz w:val="20"/>
        </w:rPr>
        <w:lastRenderedPageBreak/>
        <w:t xml:space="preserve">Table </w:t>
      </w:r>
      <w:bookmarkEnd w:id="31"/>
      <w:r w:rsidR="00646580" w:rsidRPr="00497393">
        <w:rPr>
          <w:rFonts w:ascii="Arial Narrow" w:eastAsia="SimSun" w:hAnsi="Arial Narrow"/>
          <w:b/>
          <w:sz w:val="20"/>
        </w:rPr>
        <w:t>9</w:t>
      </w:r>
      <w:r w:rsidRPr="00497393">
        <w:rPr>
          <w:rFonts w:ascii="Arial Narrow" w:eastAsia="SimSun" w:hAnsi="Arial Narrow"/>
          <w:b/>
          <w:sz w:val="20"/>
        </w:rPr>
        <w:t xml:space="preserve"> </w:t>
      </w:r>
      <w:r w:rsidRPr="00497393">
        <w:rPr>
          <w:rFonts w:ascii="Arial Narrow" w:eastAsia="SimSun" w:hAnsi="Arial Narrow"/>
          <w:b/>
          <w:sz w:val="20"/>
        </w:rPr>
        <w:tab/>
        <w:t>Supplementary analyses: Incremental costs and effectiveness</w:t>
      </w:r>
      <w:bookmarkEnd w:id="32"/>
      <w:r w:rsidRPr="00497393">
        <w:rPr>
          <w:rFonts w:ascii="Arial Narrow" w:eastAsia="SimSun" w:hAnsi="Arial Narrow"/>
          <w:b/>
          <w:sz w:val="20"/>
        </w:rPr>
        <w:t xml:space="preserve"> </w:t>
      </w:r>
    </w:p>
    <w:tbl>
      <w:tblPr>
        <w:tblStyle w:val="HTATable"/>
        <w:tblW w:w="9072" w:type="dxa"/>
        <w:tblLayout w:type="fixed"/>
        <w:tblLook w:val="04A0" w:firstRow="1" w:lastRow="0" w:firstColumn="1" w:lastColumn="0" w:noHBand="0" w:noVBand="1"/>
        <w:tblCaption w:val="This table provides a summary of the financial impact of the proposed new medical service over the next five years."/>
        <w:tblDescription w:val="This table provides a summary of the financial impact of the proposed new medical service over the next five years."/>
      </w:tblPr>
      <w:tblGrid>
        <w:gridCol w:w="2395"/>
        <w:gridCol w:w="1318"/>
        <w:gridCol w:w="1318"/>
        <w:gridCol w:w="1318"/>
        <w:gridCol w:w="1319"/>
        <w:gridCol w:w="1404"/>
      </w:tblGrid>
      <w:tr w:rsidR="00210C73" w:rsidRPr="005F0675" w14:paraId="37AB41FA" w14:textId="77777777" w:rsidTr="002770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95" w:type="dxa"/>
            <w:tcBorders>
              <w:top w:val="single" w:sz="4" w:space="0" w:color="auto"/>
              <w:bottom w:val="single" w:sz="4" w:space="0" w:color="auto"/>
            </w:tcBorders>
          </w:tcPr>
          <w:p w14:paraId="3889C2C1" w14:textId="77777777" w:rsidR="00210C73" w:rsidRPr="005F0675" w:rsidRDefault="00210C73" w:rsidP="00210C73">
            <w:pPr>
              <w:widowControl w:val="0"/>
              <w:spacing w:after="40"/>
              <w:rPr>
                <w:rFonts w:ascii="Arial Narrow" w:hAnsi="Arial Narrow" w:cs="Tahoma"/>
                <w:sz w:val="20"/>
                <w:szCs w:val="22"/>
                <w:lang w:eastAsia="en-US"/>
              </w:rPr>
            </w:pPr>
          </w:p>
        </w:tc>
        <w:tc>
          <w:tcPr>
            <w:tcW w:w="1318" w:type="dxa"/>
            <w:tcBorders>
              <w:top w:val="single" w:sz="4" w:space="0" w:color="auto"/>
              <w:bottom w:val="single" w:sz="4" w:space="0" w:color="auto"/>
            </w:tcBorders>
          </w:tcPr>
          <w:p w14:paraId="18014AE5" w14:textId="77777777" w:rsidR="00210C73" w:rsidRPr="005F0675" w:rsidRDefault="00210C73" w:rsidP="00210C73">
            <w:pPr>
              <w:widowControl w:val="0"/>
              <w:spacing w:after="40"/>
              <w:cnfStyle w:val="100000000000" w:firstRow="1" w:lastRow="0" w:firstColumn="0" w:lastColumn="0" w:oddVBand="0" w:evenVBand="0" w:oddHBand="0" w:evenHBand="0" w:firstRowFirstColumn="0" w:firstRowLastColumn="0" w:lastRowFirstColumn="0" w:lastRowLastColumn="0"/>
              <w:rPr>
                <w:rFonts w:ascii="Arial Narrow" w:hAnsi="Arial Narrow" w:cs="Tahoma"/>
                <w:sz w:val="20"/>
                <w:szCs w:val="22"/>
                <w:lang w:eastAsia="en-US"/>
              </w:rPr>
            </w:pPr>
            <w:r w:rsidRPr="005F0675">
              <w:rPr>
                <w:rFonts w:ascii="Arial Narrow" w:hAnsi="Arial Narrow" w:cs="Tahoma"/>
                <w:sz w:val="20"/>
                <w:szCs w:val="22"/>
                <w:lang w:eastAsia="en-US"/>
              </w:rPr>
              <w:t>Cost</w:t>
            </w:r>
          </w:p>
        </w:tc>
        <w:tc>
          <w:tcPr>
            <w:tcW w:w="1318" w:type="dxa"/>
            <w:tcBorders>
              <w:top w:val="single" w:sz="4" w:space="0" w:color="auto"/>
              <w:bottom w:val="single" w:sz="4" w:space="0" w:color="auto"/>
            </w:tcBorders>
          </w:tcPr>
          <w:p w14:paraId="04A2F26F" w14:textId="77777777" w:rsidR="00210C73" w:rsidRPr="005F0675" w:rsidRDefault="00210C73" w:rsidP="00210C73">
            <w:pPr>
              <w:widowControl w:val="0"/>
              <w:spacing w:after="40"/>
              <w:cnfStyle w:val="100000000000" w:firstRow="1" w:lastRow="0" w:firstColumn="0" w:lastColumn="0" w:oddVBand="0" w:evenVBand="0" w:oddHBand="0" w:evenHBand="0" w:firstRowFirstColumn="0" w:firstRowLastColumn="0" w:lastRowFirstColumn="0" w:lastRowLastColumn="0"/>
              <w:rPr>
                <w:rFonts w:ascii="Arial Narrow" w:hAnsi="Arial Narrow" w:cs="Tahoma"/>
                <w:sz w:val="20"/>
                <w:szCs w:val="22"/>
                <w:lang w:eastAsia="en-US"/>
              </w:rPr>
            </w:pPr>
            <w:r w:rsidRPr="005F0675">
              <w:rPr>
                <w:rFonts w:ascii="Arial Narrow" w:hAnsi="Arial Narrow" w:cs="Tahoma"/>
                <w:sz w:val="20"/>
                <w:szCs w:val="22"/>
                <w:lang w:eastAsia="en-US"/>
              </w:rPr>
              <w:t>Incremental cost</w:t>
            </w:r>
          </w:p>
        </w:tc>
        <w:tc>
          <w:tcPr>
            <w:tcW w:w="1318" w:type="dxa"/>
            <w:tcBorders>
              <w:top w:val="single" w:sz="4" w:space="0" w:color="auto"/>
              <w:bottom w:val="single" w:sz="4" w:space="0" w:color="auto"/>
            </w:tcBorders>
          </w:tcPr>
          <w:p w14:paraId="7A3B4B7C" w14:textId="77777777" w:rsidR="00210C73" w:rsidRPr="005F0675" w:rsidRDefault="00210C73" w:rsidP="00210C73">
            <w:pPr>
              <w:widowControl w:val="0"/>
              <w:spacing w:after="40"/>
              <w:cnfStyle w:val="100000000000" w:firstRow="1" w:lastRow="0" w:firstColumn="0" w:lastColumn="0" w:oddVBand="0" w:evenVBand="0" w:oddHBand="0" w:evenHBand="0" w:firstRowFirstColumn="0" w:firstRowLastColumn="0" w:lastRowFirstColumn="0" w:lastRowLastColumn="0"/>
              <w:rPr>
                <w:rFonts w:ascii="Arial Narrow" w:hAnsi="Arial Narrow" w:cs="Tahoma"/>
                <w:sz w:val="20"/>
                <w:szCs w:val="22"/>
                <w:lang w:eastAsia="en-US"/>
              </w:rPr>
            </w:pPr>
            <w:r w:rsidRPr="005F0675">
              <w:rPr>
                <w:rFonts w:ascii="Arial Narrow" w:hAnsi="Arial Narrow" w:cs="Tahoma"/>
                <w:sz w:val="20"/>
                <w:szCs w:val="22"/>
                <w:lang w:eastAsia="en-US"/>
              </w:rPr>
              <w:t>Effectiveness (QALYs)</w:t>
            </w:r>
          </w:p>
        </w:tc>
        <w:tc>
          <w:tcPr>
            <w:tcW w:w="1319" w:type="dxa"/>
            <w:tcBorders>
              <w:top w:val="single" w:sz="4" w:space="0" w:color="auto"/>
              <w:bottom w:val="single" w:sz="4" w:space="0" w:color="auto"/>
            </w:tcBorders>
          </w:tcPr>
          <w:p w14:paraId="4FCBD8F8" w14:textId="77777777" w:rsidR="00210C73" w:rsidRPr="005F0675" w:rsidRDefault="00210C73" w:rsidP="00210C73">
            <w:pPr>
              <w:widowControl w:val="0"/>
              <w:spacing w:after="40"/>
              <w:cnfStyle w:val="100000000000" w:firstRow="1" w:lastRow="0" w:firstColumn="0" w:lastColumn="0" w:oddVBand="0" w:evenVBand="0" w:oddHBand="0" w:evenHBand="0" w:firstRowFirstColumn="0" w:firstRowLastColumn="0" w:lastRowFirstColumn="0" w:lastRowLastColumn="0"/>
              <w:rPr>
                <w:rFonts w:ascii="Arial Narrow" w:hAnsi="Arial Narrow" w:cs="Tahoma"/>
                <w:sz w:val="20"/>
                <w:szCs w:val="22"/>
                <w:lang w:eastAsia="en-US"/>
              </w:rPr>
            </w:pPr>
            <w:r w:rsidRPr="005F0675">
              <w:rPr>
                <w:rFonts w:ascii="Arial Narrow" w:hAnsi="Arial Narrow" w:cs="Tahoma"/>
                <w:sz w:val="20"/>
                <w:szCs w:val="22"/>
                <w:lang w:eastAsia="en-US"/>
              </w:rPr>
              <w:t>Incremental effectiveness</w:t>
            </w:r>
          </w:p>
        </w:tc>
        <w:tc>
          <w:tcPr>
            <w:tcW w:w="1399" w:type="dxa"/>
            <w:tcBorders>
              <w:top w:val="single" w:sz="4" w:space="0" w:color="auto"/>
              <w:bottom w:val="single" w:sz="4" w:space="0" w:color="auto"/>
            </w:tcBorders>
          </w:tcPr>
          <w:p w14:paraId="5A4F84EC" w14:textId="77777777" w:rsidR="00210C73" w:rsidRPr="005F0675" w:rsidRDefault="00210C73" w:rsidP="00210C73">
            <w:pPr>
              <w:widowControl w:val="0"/>
              <w:spacing w:after="40"/>
              <w:cnfStyle w:val="100000000000" w:firstRow="1" w:lastRow="0" w:firstColumn="0" w:lastColumn="0" w:oddVBand="0" w:evenVBand="0" w:oddHBand="0" w:evenHBand="0" w:firstRowFirstColumn="0" w:firstRowLastColumn="0" w:lastRowFirstColumn="0" w:lastRowLastColumn="0"/>
              <w:rPr>
                <w:rFonts w:ascii="Arial Narrow" w:hAnsi="Arial Narrow" w:cs="Tahoma"/>
                <w:sz w:val="20"/>
                <w:szCs w:val="22"/>
                <w:lang w:eastAsia="en-US"/>
              </w:rPr>
            </w:pPr>
            <w:r w:rsidRPr="005F0675">
              <w:rPr>
                <w:rFonts w:ascii="Arial Narrow" w:hAnsi="Arial Narrow" w:cs="Tahoma"/>
                <w:sz w:val="20"/>
                <w:szCs w:val="22"/>
                <w:lang w:eastAsia="en-US"/>
              </w:rPr>
              <w:t>ICER</w:t>
            </w:r>
          </w:p>
        </w:tc>
      </w:tr>
      <w:tr w:rsidR="00210C73" w:rsidRPr="005F0675" w14:paraId="3D3C1579" w14:textId="77777777" w:rsidTr="0027708D">
        <w:tc>
          <w:tcPr>
            <w:cnfStyle w:val="001000000000" w:firstRow="0" w:lastRow="0" w:firstColumn="1" w:lastColumn="0" w:oddVBand="0" w:evenVBand="0" w:oddHBand="0" w:evenHBand="0" w:firstRowFirstColumn="0" w:firstRowLastColumn="0" w:lastRowFirstColumn="0" w:lastRowLastColumn="0"/>
            <w:tcW w:w="2395" w:type="dxa"/>
            <w:tcBorders>
              <w:top w:val="single" w:sz="4" w:space="0" w:color="auto"/>
              <w:right w:val="nil"/>
            </w:tcBorders>
          </w:tcPr>
          <w:p w14:paraId="400EF168" w14:textId="77777777" w:rsidR="00210C73" w:rsidRPr="005F0675" w:rsidRDefault="00210C73" w:rsidP="00210C73">
            <w:pPr>
              <w:widowControl w:val="0"/>
              <w:spacing w:after="40"/>
              <w:rPr>
                <w:rFonts w:cs="Tahoma"/>
                <w:i/>
                <w:iCs/>
                <w:sz w:val="20"/>
                <w:szCs w:val="22"/>
                <w:lang w:eastAsia="en-US"/>
              </w:rPr>
            </w:pPr>
            <w:r w:rsidRPr="005F0675">
              <w:rPr>
                <w:rFonts w:cs="Tahoma"/>
                <w:i/>
                <w:iCs/>
                <w:sz w:val="20"/>
                <w:szCs w:val="22"/>
                <w:lang w:eastAsia="en-US"/>
              </w:rPr>
              <w:t>EndoPredict vs S3</w:t>
            </w:r>
          </w:p>
        </w:tc>
        <w:tc>
          <w:tcPr>
            <w:tcW w:w="1318" w:type="dxa"/>
            <w:tcBorders>
              <w:top w:val="single" w:sz="4" w:space="0" w:color="auto"/>
              <w:left w:val="nil"/>
              <w:right w:val="nil"/>
            </w:tcBorders>
          </w:tcPr>
          <w:p w14:paraId="184FF79A"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top w:val="single" w:sz="4" w:space="0" w:color="auto"/>
              <w:left w:val="nil"/>
              <w:right w:val="nil"/>
            </w:tcBorders>
          </w:tcPr>
          <w:p w14:paraId="4EDA9A19"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top w:val="single" w:sz="4" w:space="0" w:color="auto"/>
              <w:left w:val="nil"/>
              <w:right w:val="nil"/>
            </w:tcBorders>
          </w:tcPr>
          <w:p w14:paraId="3356920A"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9" w:type="dxa"/>
            <w:tcBorders>
              <w:top w:val="single" w:sz="4" w:space="0" w:color="auto"/>
              <w:left w:val="nil"/>
              <w:right w:val="nil"/>
            </w:tcBorders>
          </w:tcPr>
          <w:p w14:paraId="1B2D651F"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99" w:type="dxa"/>
            <w:tcBorders>
              <w:top w:val="single" w:sz="4" w:space="0" w:color="auto"/>
              <w:left w:val="nil"/>
            </w:tcBorders>
          </w:tcPr>
          <w:p w14:paraId="378D27C9"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r w:rsidR="00210C73" w:rsidRPr="005F0675" w14:paraId="4D2E5137" w14:textId="77777777" w:rsidTr="00210C73">
        <w:tc>
          <w:tcPr>
            <w:cnfStyle w:val="001000000000" w:firstRow="0" w:lastRow="0" w:firstColumn="1" w:lastColumn="0" w:oddVBand="0" w:evenVBand="0" w:oddHBand="0" w:evenHBand="0" w:firstRowFirstColumn="0" w:firstRowLastColumn="0" w:lastRowFirstColumn="0" w:lastRowLastColumn="0"/>
            <w:tcW w:w="2395" w:type="dxa"/>
          </w:tcPr>
          <w:p w14:paraId="4510996D" w14:textId="77777777" w:rsidR="00210C73" w:rsidRPr="005F0675" w:rsidRDefault="00210C73" w:rsidP="00210C73">
            <w:pPr>
              <w:widowControl w:val="0"/>
              <w:spacing w:after="40"/>
              <w:rPr>
                <w:rFonts w:cs="Tahoma"/>
                <w:sz w:val="20"/>
                <w:lang w:eastAsia="en-US"/>
              </w:rPr>
            </w:pPr>
            <w:r w:rsidRPr="005F0675">
              <w:rPr>
                <w:rFonts w:cs="Tahoma"/>
                <w:sz w:val="20"/>
                <w:lang w:eastAsia="en-US"/>
              </w:rPr>
              <w:t>EndoPredict</w:t>
            </w:r>
          </w:p>
        </w:tc>
        <w:tc>
          <w:tcPr>
            <w:tcW w:w="1318" w:type="dxa"/>
          </w:tcPr>
          <w:p w14:paraId="28DAB59A" w14:textId="483179B3" w:rsidR="00210C73" w:rsidRPr="005F0675" w:rsidRDefault="00210C73" w:rsidP="00F002C7">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F002C7">
              <w:rPr>
                <w:rFonts w:cs="Tahoma"/>
                <w:sz w:val="20"/>
                <w:szCs w:val="22"/>
                <w:lang w:eastAsia="en-US"/>
              </w:rPr>
              <w:t>redacted</w:t>
            </w:r>
          </w:p>
        </w:tc>
        <w:tc>
          <w:tcPr>
            <w:tcW w:w="1318" w:type="dxa"/>
          </w:tcPr>
          <w:p w14:paraId="6975A7F7" w14:textId="0A0F631D"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61B99275" w14:textId="43672E02"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Pr>
          <w:p w14:paraId="273489A4" w14:textId="645077A7"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404" w:type="dxa"/>
          </w:tcPr>
          <w:p w14:paraId="25912B13" w14:textId="520609EA"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r>
      <w:tr w:rsidR="00210C73" w:rsidRPr="005F0675" w14:paraId="398BA967" w14:textId="77777777" w:rsidTr="00210C73">
        <w:tc>
          <w:tcPr>
            <w:cnfStyle w:val="001000000000" w:firstRow="0" w:lastRow="0" w:firstColumn="1" w:lastColumn="0" w:oddVBand="0" w:evenVBand="0" w:oddHBand="0" w:evenHBand="0" w:firstRowFirstColumn="0" w:firstRowLastColumn="0" w:lastRowFirstColumn="0" w:lastRowLastColumn="0"/>
            <w:tcW w:w="2395" w:type="dxa"/>
            <w:tcBorders>
              <w:bottom w:val="single" w:sz="4" w:space="0" w:color="auto"/>
            </w:tcBorders>
          </w:tcPr>
          <w:p w14:paraId="04EE989B" w14:textId="77777777" w:rsidR="00210C73" w:rsidRPr="005F0675" w:rsidRDefault="00210C73" w:rsidP="00210C73">
            <w:pPr>
              <w:widowControl w:val="0"/>
              <w:spacing w:after="40"/>
              <w:rPr>
                <w:rFonts w:cs="Tahoma"/>
                <w:sz w:val="20"/>
                <w:lang w:eastAsia="en-US"/>
              </w:rPr>
            </w:pPr>
            <w:r w:rsidRPr="005F0675">
              <w:rPr>
                <w:rFonts w:cs="Tahoma"/>
                <w:sz w:val="20"/>
                <w:lang w:eastAsia="en-US"/>
              </w:rPr>
              <w:t>S3</w:t>
            </w:r>
          </w:p>
        </w:tc>
        <w:tc>
          <w:tcPr>
            <w:tcW w:w="1318" w:type="dxa"/>
            <w:tcBorders>
              <w:bottom w:val="single" w:sz="4" w:space="0" w:color="auto"/>
            </w:tcBorders>
          </w:tcPr>
          <w:p w14:paraId="50611BD1" w14:textId="72FE117A"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Borders>
              <w:bottom w:val="single" w:sz="4" w:space="0" w:color="auto"/>
            </w:tcBorders>
          </w:tcPr>
          <w:p w14:paraId="387512E4"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bottom w:val="single" w:sz="4" w:space="0" w:color="auto"/>
            </w:tcBorders>
          </w:tcPr>
          <w:p w14:paraId="7E62993B" w14:textId="622DD60A"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Borders>
              <w:bottom w:val="single" w:sz="4" w:space="0" w:color="auto"/>
            </w:tcBorders>
          </w:tcPr>
          <w:p w14:paraId="279D558F"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99" w:type="dxa"/>
          </w:tcPr>
          <w:p w14:paraId="59E822CB"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r w:rsidR="00210C73" w:rsidRPr="005F0675" w14:paraId="62ABEB82" w14:textId="77777777" w:rsidTr="00210C73">
        <w:tc>
          <w:tcPr>
            <w:cnfStyle w:val="001000000000" w:firstRow="0" w:lastRow="0" w:firstColumn="1" w:lastColumn="0" w:oddVBand="0" w:evenVBand="0" w:oddHBand="0" w:evenHBand="0" w:firstRowFirstColumn="0" w:firstRowLastColumn="0" w:lastRowFirstColumn="0" w:lastRowLastColumn="0"/>
            <w:tcW w:w="2395" w:type="dxa"/>
            <w:tcBorders>
              <w:right w:val="nil"/>
            </w:tcBorders>
          </w:tcPr>
          <w:p w14:paraId="3DEE9E39" w14:textId="77777777" w:rsidR="00210C73" w:rsidRPr="005F0675" w:rsidRDefault="00210C73" w:rsidP="00210C73">
            <w:pPr>
              <w:widowControl w:val="0"/>
              <w:spacing w:after="40"/>
              <w:rPr>
                <w:rFonts w:cs="Tahoma"/>
                <w:i/>
                <w:iCs/>
                <w:sz w:val="20"/>
                <w:szCs w:val="22"/>
                <w:lang w:eastAsia="en-US"/>
              </w:rPr>
            </w:pPr>
            <w:r w:rsidRPr="005F0675">
              <w:rPr>
                <w:rFonts w:cs="Tahoma"/>
                <w:i/>
                <w:iCs/>
                <w:sz w:val="20"/>
                <w:szCs w:val="22"/>
                <w:lang w:eastAsia="en-US"/>
              </w:rPr>
              <w:t>EndoPredict vs NCCN</w:t>
            </w:r>
          </w:p>
        </w:tc>
        <w:tc>
          <w:tcPr>
            <w:tcW w:w="1318" w:type="dxa"/>
            <w:tcBorders>
              <w:left w:val="nil"/>
              <w:right w:val="nil"/>
            </w:tcBorders>
          </w:tcPr>
          <w:p w14:paraId="0638C754"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left w:val="nil"/>
              <w:right w:val="nil"/>
            </w:tcBorders>
          </w:tcPr>
          <w:p w14:paraId="4B439418"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left w:val="nil"/>
              <w:right w:val="nil"/>
            </w:tcBorders>
          </w:tcPr>
          <w:p w14:paraId="7A95277E"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9" w:type="dxa"/>
            <w:tcBorders>
              <w:left w:val="nil"/>
              <w:right w:val="nil"/>
            </w:tcBorders>
          </w:tcPr>
          <w:p w14:paraId="4719179E"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99" w:type="dxa"/>
            <w:tcBorders>
              <w:left w:val="nil"/>
            </w:tcBorders>
          </w:tcPr>
          <w:p w14:paraId="28ABD234"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r w:rsidR="00210C73" w:rsidRPr="005F0675" w14:paraId="46282ACF" w14:textId="77777777" w:rsidTr="00210C73">
        <w:tc>
          <w:tcPr>
            <w:cnfStyle w:val="001000000000" w:firstRow="0" w:lastRow="0" w:firstColumn="1" w:lastColumn="0" w:oddVBand="0" w:evenVBand="0" w:oddHBand="0" w:evenHBand="0" w:firstRowFirstColumn="0" w:firstRowLastColumn="0" w:lastRowFirstColumn="0" w:lastRowLastColumn="0"/>
            <w:tcW w:w="2395" w:type="dxa"/>
          </w:tcPr>
          <w:p w14:paraId="7876B32A" w14:textId="77777777" w:rsidR="00210C73" w:rsidRPr="005F0675" w:rsidRDefault="00210C73" w:rsidP="00210C73">
            <w:pPr>
              <w:widowControl w:val="0"/>
              <w:spacing w:after="40"/>
              <w:rPr>
                <w:rFonts w:cs="Tahoma"/>
                <w:sz w:val="20"/>
                <w:lang w:eastAsia="en-US"/>
              </w:rPr>
            </w:pPr>
            <w:r w:rsidRPr="005F0675">
              <w:rPr>
                <w:rFonts w:cs="Tahoma"/>
                <w:sz w:val="20"/>
                <w:lang w:eastAsia="en-US"/>
              </w:rPr>
              <w:t>EndoPredict</w:t>
            </w:r>
          </w:p>
        </w:tc>
        <w:tc>
          <w:tcPr>
            <w:tcW w:w="1318" w:type="dxa"/>
          </w:tcPr>
          <w:p w14:paraId="7CC44365" w14:textId="62A9DE9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105A84B0" w14:textId="62BB402E"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7BA10550" w14:textId="424C37CA"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Pr>
          <w:p w14:paraId="6B55C2CC" w14:textId="6B9B0520"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404" w:type="dxa"/>
          </w:tcPr>
          <w:p w14:paraId="541F0C50" w14:textId="70515091"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r>
      <w:tr w:rsidR="00210C73" w:rsidRPr="005F0675" w14:paraId="4C8C7BDF" w14:textId="77777777" w:rsidTr="00210C73">
        <w:tc>
          <w:tcPr>
            <w:cnfStyle w:val="001000000000" w:firstRow="0" w:lastRow="0" w:firstColumn="1" w:lastColumn="0" w:oddVBand="0" w:evenVBand="0" w:oddHBand="0" w:evenHBand="0" w:firstRowFirstColumn="0" w:firstRowLastColumn="0" w:lastRowFirstColumn="0" w:lastRowLastColumn="0"/>
            <w:tcW w:w="2395" w:type="dxa"/>
            <w:tcBorders>
              <w:bottom w:val="single" w:sz="4" w:space="0" w:color="auto"/>
            </w:tcBorders>
          </w:tcPr>
          <w:p w14:paraId="0DFF278F" w14:textId="77777777" w:rsidR="00210C73" w:rsidRPr="005F0675" w:rsidRDefault="00210C73" w:rsidP="00210C73">
            <w:pPr>
              <w:widowControl w:val="0"/>
              <w:spacing w:after="40"/>
              <w:rPr>
                <w:rFonts w:cs="Tahoma"/>
                <w:sz w:val="20"/>
                <w:lang w:eastAsia="en-US"/>
              </w:rPr>
            </w:pPr>
            <w:r w:rsidRPr="005F0675">
              <w:rPr>
                <w:rFonts w:cs="Tahoma"/>
                <w:sz w:val="20"/>
                <w:lang w:eastAsia="en-US"/>
              </w:rPr>
              <w:t>NCCN</w:t>
            </w:r>
          </w:p>
        </w:tc>
        <w:tc>
          <w:tcPr>
            <w:tcW w:w="1318" w:type="dxa"/>
            <w:tcBorders>
              <w:bottom w:val="single" w:sz="4" w:space="0" w:color="auto"/>
            </w:tcBorders>
          </w:tcPr>
          <w:p w14:paraId="109D630E" w14:textId="0E39CC94"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Borders>
              <w:bottom w:val="single" w:sz="4" w:space="0" w:color="auto"/>
            </w:tcBorders>
          </w:tcPr>
          <w:p w14:paraId="00EDDC38"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bottom w:val="single" w:sz="4" w:space="0" w:color="auto"/>
            </w:tcBorders>
          </w:tcPr>
          <w:p w14:paraId="4025F270" w14:textId="15C8BE8E"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Borders>
              <w:bottom w:val="single" w:sz="4" w:space="0" w:color="auto"/>
            </w:tcBorders>
          </w:tcPr>
          <w:p w14:paraId="0AD27EF8"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99" w:type="dxa"/>
          </w:tcPr>
          <w:p w14:paraId="485DAB96"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r w:rsidR="00210C73" w:rsidRPr="005F0675" w14:paraId="34208005" w14:textId="77777777" w:rsidTr="00210C73">
        <w:tc>
          <w:tcPr>
            <w:cnfStyle w:val="001000000000" w:firstRow="0" w:lastRow="0" w:firstColumn="1" w:lastColumn="0" w:oddVBand="0" w:evenVBand="0" w:oddHBand="0" w:evenHBand="0" w:firstRowFirstColumn="0" w:firstRowLastColumn="0" w:lastRowFirstColumn="0" w:lastRowLastColumn="0"/>
            <w:tcW w:w="2395" w:type="dxa"/>
            <w:tcBorders>
              <w:right w:val="nil"/>
            </w:tcBorders>
          </w:tcPr>
          <w:p w14:paraId="447906CF" w14:textId="77777777" w:rsidR="00210C73" w:rsidRPr="005F0675" w:rsidRDefault="00210C73" w:rsidP="00210C73">
            <w:pPr>
              <w:widowControl w:val="0"/>
              <w:spacing w:after="40"/>
              <w:rPr>
                <w:rFonts w:cs="Tahoma"/>
                <w:i/>
                <w:iCs/>
                <w:sz w:val="20"/>
                <w:szCs w:val="22"/>
                <w:lang w:eastAsia="en-US"/>
              </w:rPr>
            </w:pPr>
            <w:r w:rsidRPr="005F0675">
              <w:rPr>
                <w:rFonts w:cs="Tahoma"/>
                <w:i/>
                <w:iCs/>
                <w:sz w:val="20"/>
                <w:szCs w:val="22"/>
                <w:lang w:eastAsia="en-US"/>
              </w:rPr>
              <w:t>EndoPredict vs St Gallen</w:t>
            </w:r>
          </w:p>
        </w:tc>
        <w:tc>
          <w:tcPr>
            <w:tcW w:w="1318" w:type="dxa"/>
            <w:tcBorders>
              <w:left w:val="nil"/>
              <w:right w:val="nil"/>
            </w:tcBorders>
          </w:tcPr>
          <w:p w14:paraId="72070325"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left w:val="nil"/>
              <w:right w:val="nil"/>
            </w:tcBorders>
          </w:tcPr>
          <w:p w14:paraId="12109B61"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left w:val="nil"/>
              <w:right w:val="nil"/>
            </w:tcBorders>
          </w:tcPr>
          <w:p w14:paraId="2225924F"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9" w:type="dxa"/>
            <w:tcBorders>
              <w:left w:val="nil"/>
              <w:right w:val="nil"/>
            </w:tcBorders>
          </w:tcPr>
          <w:p w14:paraId="166AB1C6"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99" w:type="dxa"/>
            <w:tcBorders>
              <w:left w:val="nil"/>
            </w:tcBorders>
          </w:tcPr>
          <w:p w14:paraId="1632C0F0"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r w:rsidR="00210C73" w:rsidRPr="005F0675" w14:paraId="40F6E670" w14:textId="77777777" w:rsidTr="00210C73">
        <w:tc>
          <w:tcPr>
            <w:cnfStyle w:val="001000000000" w:firstRow="0" w:lastRow="0" w:firstColumn="1" w:lastColumn="0" w:oddVBand="0" w:evenVBand="0" w:oddHBand="0" w:evenHBand="0" w:firstRowFirstColumn="0" w:firstRowLastColumn="0" w:lastRowFirstColumn="0" w:lastRowLastColumn="0"/>
            <w:tcW w:w="2395" w:type="dxa"/>
          </w:tcPr>
          <w:p w14:paraId="5DDC0892" w14:textId="77777777" w:rsidR="00210C73" w:rsidRPr="005F0675" w:rsidRDefault="00210C73" w:rsidP="00210C73">
            <w:pPr>
              <w:widowControl w:val="0"/>
              <w:spacing w:after="40"/>
              <w:rPr>
                <w:rFonts w:cs="Tahoma"/>
                <w:sz w:val="20"/>
                <w:lang w:eastAsia="en-US"/>
              </w:rPr>
            </w:pPr>
            <w:r w:rsidRPr="005F0675">
              <w:rPr>
                <w:rFonts w:cs="Tahoma"/>
                <w:sz w:val="20"/>
                <w:lang w:eastAsia="en-US"/>
              </w:rPr>
              <w:t>EndoPredict</w:t>
            </w:r>
          </w:p>
        </w:tc>
        <w:tc>
          <w:tcPr>
            <w:tcW w:w="1318" w:type="dxa"/>
          </w:tcPr>
          <w:p w14:paraId="5D41B130" w14:textId="5BE55CF0"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3C376AB6" w14:textId="582D5E00"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35058DA7" w14:textId="5DF00D98"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Pr>
          <w:p w14:paraId="311808B9" w14:textId="21950F76"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404" w:type="dxa"/>
          </w:tcPr>
          <w:p w14:paraId="02137EDF" w14:textId="7F60B11C"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r>
      <w:tr w:rsidR="00210C73" w:rsidRPr="005F0675" w14:paraId="14702AD0" w14:textId="77777777" w:rsidTr="00210C73">
        <w:tc>
          <w:tcPr>
            <w:cnfStyle w:val="001000000000" w:firstRow="0" w:lastRow="0" w:firstColumn="1" w:lastColumn="0" w:oddVBand="0" w:evenVBand="0" w:oddHBand="0" w:evenHBand="0" w:firstRowFirstColumn="0" w:firstRowLastColumn="0" w:lastRowFirstColumn="0" w:lastRowLastColumn="0"/>
            <w:tcW w:w="2395" w:type="dxa"/>
            <w:tcBorders>
              <w:bottom w:val="single" w:sz="4" w:space="0" w:color="auto"/>
            </w:tcBorders>
          </w:tcPr>
          <w:p w14:paraId="5AF31DB8" w14:textId="77777777" w:rsidR="00210C73" w:rsidRPr="005F0675" w:rsidRDefault="00210C73" w:rsidP="00210C73">
            <w:pPr>
              <w:widowControl w:val="0"/>
              <w:spacing w:after="40"/>
              <w:rPr>
                <w:rFonts w:cs="Tahoma"/>
                <w:sz w:val="20"/>
                <w:lang w:eastAsia="en-US"/>
              </w:rPr>
            </w:pPr>
            <w:r w:rsidRPr="005F0675">
              <w:rPr>
                <w:rFonts w:cs="Tahoma"/>
                <w:sz w:val="20"/>
                <w:lang w:eastAsia="en-US"/>
              </w:rPr>
              <w:t>St Gallen</w:t>
            </w:r>
          </w:p>
        </w:tc>
        <w:tc>
          <w:tcPr>
            <w:tcW w:w="1318" w:type="dxa"/>
            <w:tcBorders>
              <w:bottom w:val="single" w:sz="4" w:space="0" w:color="auto"/>
            </w:tcBorders>
          </w:tcPr>
          <w:p w14:paraId="3BC8142E" w14:textId="3A289DF5"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Borders>
              <w:bottom w:val="single" w:sz="4" w:space="0" w:color="auto"/>
            </w:tcBorders>
          </w:tcPr>
          <w:p w14:paraId="05BAF79D"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bottom w:val="single" w:sz="4" w:space="0" w:color="auto"/>
            </w:tcBorders>
          </w:tcPr>
          <w:p w14:paraId="70B9FFC6" w14:textId="71E56F97"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Borders>
              <w:bottom w:val="single" w:sz="4" w:space="0" w:color="auto"/>
            </w:tcBorders>
          </w:tcPr>
          <w:p w14:paraId="2A96428C"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99" w:type="dxa"/>
          </w:tcPr>
          <w:p w14:paraId="6183B2D3"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r w:rsidR="00210C73" w:rsidRPr="005F0675" w14:paraId="1A93DE35" w14:textId="77777777" w:rsidTr="00210C73">
        <w:tc>
          <w:tcPr>
            <w:cnfStyle w:val="001000000000" w:firstRow="0" w:lastRow="0" w:firstColumn="1" w:lastColumn="0" w:oddVBand="0" w:evenVBand="0" w:oddHBand="0" w:evenHBand="0" w:firstRowFirstColumn="0" w:firstRowLastColumn="0" w:lastRowFirstColumn="0" w:lastRowLastColumn="0"/>
            <w:tcW w:w="2395" w:type="dxa"/>
            <w:tcBorders>
              <w:right w:val="nil"/>
            </w:tcBorders>
          </w:tcPr>
          <w:p w14:paraId="2E271F17" w14:textId="77777777" w:rsidR="00210C73" w:rsidRPr="005F0675" w:rsidRDefault="00210C73" w:rsidP="00210C73">
            <w:pPr>
              <w:widowControl w:val="0"/>
              <w:spacing w:after="40"/>
              <w:rPr>
                <w:rFonts w:cs="Tahoma"/>
                <w:i/>
                <w:iCs/>
                <w:sz w:val="20"/>
                <w:szCs w:val="22"/>
                <w:lang w:eastAsia="en-US"/>
              </w:rPr>
            </w:pPr>
            <w:r w:rsidRPr="005F0675">
              <w:rPr>
                <w:rFonts w:cs="Tahoma"/>
                <w:i/>
                <w:iCs/>
                <w:sz w:val="20"/>
                <w:szCs w:val="22"/>
                <w:lang w:eastAsia="en-US"/>
              </w:rPr>
              <w:t>EndoPredict vs Oncotype DX</w:t>
            </w:r>
          </w:p>
        </w:tc>
        <w:tc>
          <w:tcPr>
            <w:tcW w:w="1318" w:type="dxa"/>
            <w:tcBorders>
              <w:left w:val="nil"/>
              <w:right w:val="nil"/>
            </w:tcBorders>
          </w:tcPr>
          <w:p w14:paraId="2DE091AB"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left w:val="nil"/>
              <w:right w:val="nil"/>
            </w:tcBorders>
          </w:tcPr>
          <w:p w14:paraId="1B411E92"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left w:val="nil"/>
              <w:right w:val="nil"/>
            </w:tcBorders>
          </w:tcPr>
          <w:p w14:paraId="2C3E8B86"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9" w:type="dxa"/>
            <w:tcBorders>
              <w:left w:val="nil"/>
              <w:right w:val="nil"/>
            </w:tcBorders>
          </w:tcPr>
          <w:p w14:paraId="767B6E44"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99" w:type="dxa"/>
            <w:tcBorders>
              <w:left w:val="nil"/>
            </w:tcBorders>
          </w:tcPr>
          <w:p w14:paraId="784217B1"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r w:rsidR="00210C73" w:rsidRPr="005F0675" w14:paraId="288B8387" w14:textId="77777777" w:rsidTr="00210C73">
        <w:tc>
          <w:tcPr>
            <w:cnfStyle w:val="001000000000" w:firstRow="0" w:lastRow="0" w:firstColumn="1" w:lastColumn="0" w:oddVBand="0" w:evenVBand="0" w:oddHBand="0" w:evenHBand="0" w:firstRowFirstColumn="0" w:firstRowLastColumn="0" w:lastRowFirstColumn="0" w:lastRowLastColumn="0"/>
            <w:tcW w:w="2395" w:type="dxa"/>
          </w:tcPr>
          <w:p w14:paraId="35C0694D" w14:textId="77777777" w:rsidR="00210C73" w:rsidRPr="005F0675" w:rsidRDefault="00210C73" w:rsidP="00210C73">
            <w:pPr>
              <w:widowControl w:val="0"/>
              <w:spacing w:after="40"/>
              <w:rPr>
                <w:rFonts w:cs="Tahoma"/>
                <w:sz w:val="20"/>
                <w:lang w:eastAsia="en-US"/>
              </w:rPr>
            </w:pPr>
            <w:r w:rsidRPr="005F0675">
              <w:rPr>
                <w:rFonts w:cs="Tahoma"/>
                <w:sz w:val="20"/>
                <w:lang w:eastAsia="en-US"/>
              </w:rPr>
              <w:t>EndoPredict</w:t>
            </w:r>
          </w:p>
        </w:tc>
        <w:tc>
          <w:tcPr>
            <w:tcW w:w="1318" w:type="dxa"/>
          </w:tcPr>
          <w:p w14:paraId="319484D7" w14:textId="198171F8"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29B90C17" w14:textId="03E8BB7A" w:rsidR="00210C73" w:rsidRPr="005F0675" w:rsidRDefault="00210C73" w:rsidP="009335D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3B119BFB" w14:textId="41B2CCD0"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Pr>
          <w:p w14:paraId="2D99CCEB" w14:textId="0E6A6BB1"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404" w:type="dxa"/>
          </w:tcPr>
          <w:p w14:paraId="005719F5" w14:textId="132A9538"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r>
      <w:tr w:rsidR="00210C73" w:rsidRPr="005F0675" w14:paraId="52D1DFDC" w14:textId="77777777" w:rsidTr="00210C73">
        <w:tc>
          <w:tcPr>
            <w:cnfStyle w:val="001000000000" w:firstRow="0" w:lastRow="0" w:firstColumn="1" w:lastColumn="0" w:oddVBand="0" w:evenVBand="0" w:oddHBand="0" w:evenHBand="0" w:firstRowFirstColumn="0" w:firstRowLastColumn="0" w:lastRowFirstColumn="0" w:lastRowLastColumn="0"/>
            <w:tcW w:w="2395" w:type="dxa"/>
            <w:tcBorders>
              <w:bottom w:val="single" w:sz="4" w:space="0" w:color="auto"/>
            </w:tcBorders>
          </w:tcPr>
          <w:p w14:paraId="0B419C60" w14:textId="77777777" w:rsidR="00210C73" w:rsidRPr="005F0675" w:rsidRDefault="00210C73" w:rsidP="00210C73">
            <w:pPr>
              <w:widowControl w:val="0"/>
              <w:spacing w:after="40"/>
              <w:rPr>
                <w:rFonts w:cs="Tahoma"/>
                <w:sz w:val="20"/>
                <w:lang w:eastAsia="en-US"/>
              </w:rPr>
            </w:pPr>
            <w:r w:rsidRPr="005F0675">
              <w:rPr>
                <w:rFonts w:cs="Tahoma"/>
                <w:sz w:val="20"/>
                <w:lang w:eastAsia="en-US"/>
              </w:rPr>
              <w:t>Oncotype DX</w:t>
            </w:r>
          </w:p>
        </w:tc>
        <w:tc>
          <w:tcPr>
            <w:tcW w:w="1318" w:type="dxa"/>
            <w:tcBorders>
              <w:bottom w:val="single" w:sz="4" w:space="0" w:color="auto"/>
            </w:tcBorders>
          </w:tcPr>
          <w:p w14:paraId="6F18D7ED" w14:textId="1B3516E5" w:rsidR="00210C73" w:rsidRPr="005F0675" w:rsidRDefault="00210C73" w:rsidP="009335D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Borders>
              <w:bottom w:val="single" w:sz="4" w:space="0" w:color="auto"/>
            </w:tcBorders>
          </w:tcPr>
          <w:p w14:paraId="2720A320"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bottom w:val="single" w:sz="4" w:space="0" w:color="auto"/>
            </w:tcBorders>
          </w:tcPr>
          <w:p w14:paraId="2A1EB833" w14:textId="06E5F2A2"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Borders>
              <w:bottom w:val="single" w:sz="4" w:space="0" w:color="auto"/>
            </w:tcBorders>
          </w:tcPr>
          <w:p w14:paraId="778D517E"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99" w:type="dxa"/>
          </w:tcPr>
          <w:p w14:paraId="037C4E3B"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r w:rsidR="00210C73" w:rsidRPr="005F0675" w14:paraId="14341299" w14:textId="77777777" w:rsidTr="00210C73">
        <w:tc>
          <w:tcPr>
            <w:cnfStyle w:val="001000000000" w:firstRow="0" w:lastRow="0" w:firstColumn="1" w:lastColumn="0" w:oddVBand="0" w:evenVBand="0" w:oddHBand="0" w:evenHBand="0" w:firstRowFirstColumn="0" w:firstRowLastColumn="0" w:lastRowFirstColumn="0" w:lastRowLastColumn="0"/>
            <w:tcW w:w="2395" w:type="dxa"/>
            <w:tcBorders>
              <w:right w:val="nil"/>
            </w:tcBorders>
          </w:tcPr>
          <w:p w14:paraId="5885DE20" w14:textId="77777777" w:rsidR="00210C73" w:rsidRPr="005F0675" w:rsidRDefault="00210C73" w:rsidP="00210C73">
            <w:pPr>
              <w:widowControl w:val="0"/>
              <w:spacing w:after="40"/>
              <w:rPr>
                <w:rFonts w:cs="Tahoma"/>
                <w:i/>
                <w:iCs/>
                <w:sz w:val="20"/>
                <w:szCs w:val="22"/>
                <w:lang w:eastAsia="en-US"/>
              </w:rPr>
            </w:pPr>
            <w:r w:rsidRPr="005F0675">
              <w:rPr>
                <w:rFonts w:cs="Tahoma"/>
                <w:i/>
                <w:iCs/>
                <w:sz w:val="20"/>
                <w:szCs w:val="22"/>
                <w:lang w:eastAsia="en-US"/>
              </w:rPr>
              <w:t>EndoPredict vs Prosigna</w:t>
            </w:r>
          </w:p>
        </w:tc>
        <w:tc>
          <w:tcPr>
            <w:tcW w:w="1318" w:type="dxa"/>
            <w:tcBorders>
              <w:left w:val="nil"/>
              <w:right w:val="nil"/>
            </w:tcBorders>
          </w:tcPr>
          <w:p w14:paraId="22A75E59"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left w:val="nil"/>
              <w:right w:val="nil"/>
            </w:tcBorders>
          </w:tcPr>
          <w:p w14:paraId="09DB4551"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Borders>
              <w:left w:val="nil"/>
              <w:right w:val="nil"/>
            </w:tcBorders>
          </w:tcPr>
          <w:p w14:paraId="3BFEE4C1"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9" w:type="dxa"/>
            <w:tcBorders>
              <w:left w:val="nil"/>
              <w:right w:val="nil"/>
            </w:tcBorders>
          </w:tcPr>
          <w:p w14:paraId="3C9AA006"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99" w:type="dxa"/>
            <w:tcBorders>
              <w:left w:val="nil"/>
            </w:tcBorders>
          </w:tcPr>
          <w:p w14:paraId="12F9CCD7"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r w:rsidR="00210C73" w:rsidRPr="005F0675" w14:paraId="58CADBD3" w14:textId="77777777" w:rsidTr="00210C73">
        <w:tc>
          <w:tcPr>
            <w:cnfStyle w:val="001000000000" w:firstRow="0" w:lastRow="0" w:firstColumn="1" w:lastColumn="0" w:oddVBand="0" w:evenVBand="0" w:oddHBand="0" w:evenHBand="0" w:firstRowFirstColumn="0" w:firstRowLastColumn="0" w:lastRowFirstColumn="0" w:lastRowLastColumn="0"/>
            <w:tcW w:w="2395" w:type="dxa"/>
          </w:tcPr>
          <w:p w14:paraId="2CBA3DCB" w14:textId="77777777" w:rsidR="00210C73" w:rsidRPr="005F0675" w:rsidRDefault="00210C73" w:rsidP="00210C73">
            <w:pPr>
              <w:widowControl w:val="0"/>
              <w:spacing w:after="40"/>
              <w:rPr>
                <w:rFonts w:cs="Tahoma"/>
                <w:sz w:val="20"/>
                <w:lang w:eastAsia="en-US"/>
              </w:rPr>
            </w:pPr>
            <w:r w:rsidRPr="005F0675">
              <w:rPr>
                <w:rFonts w:cs="Tahoma"/>
                <w:sz w:val="20"/>
                <w:lang w:eastAsia="en-US"/>
              </w:rPr>
              <w:t>EndoPredict</w:t>
            </w:r>
          </w:p>
        </w:tc>
        <w:tc>
          <w:tcPr>
            <w:tcW w:w="1318" w:type="dxa"/>
          </w:tcPr>
          <w:p w14:paraId="7FE14FC9" w14:textId="28753DFF"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01BED752" w14:textId="244BC61D"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11571DAA" w14:textId="32C73AB5"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Pr>
          <w:p w14:paraId="5619B111" w14:textId="4CECCD25"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404" w:type="dxa"/>
          </w:tcPr>
          <w:p w14:paraId="32AAAD65" w14:textId="02FEF051"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r>
      <w:tr w:rsidR="00210C73" w:rsidRPr="005F0675" w14:paraId="5FD0F890" w14:textId="77777777" w:rsidTr="00210C73">
        <w:tc>
          <w:tcPr>
            <w:cnfStyle w:val="001000000000" w:firstRow="0" w:lastRow="0" w:firstColumn="1" w:lastColumn="0" w:oddVBand="0" w:evenVBand="0" w:oddHBand="0" w:evenHBand="0" w:firstRowFirstColumn="0" w:firstRowLastColumn="0" w:lastRowFirstColumn="0" w:lastRowLastColumn="0"/>
            <w:tcW w:w="2395" w:type="dxa"/>
          </w:tcPr>
          <w:p w14:paraId="79600936" w14:textId="77777777" w:rsidR="00210C73" w:rsidRPr="005F0675" w:rsidRDefault="00210C73" w:rsidP="00210C73">
            <w:pPr>
              <w:widowControl w:val="0"/>
              <w:spacing w:after="40"/>
              <w:rPr>
                <w:rFonts w:cs="Tahoma"/>
                <w:sz w:val="20"/>
                <w:lang w:eastAsia="en-US"/>
              </w:rPr>
            </w:pPr>
            <w:r w:rsidRPr="005F0675">
              <w:rPr>
                <w:rFonts w:cs="Tahoma"/>
                <w:sz w:val="20"/>
                <w:szCs w:val="22"/>
                <w:lang w:eastAsia="en-US"/>
              </w:rPr>
              <w:t>Prosigna</w:t>
            </w:r>
          </w:p>
        </w:tc>
        <w:tc>
          <w:tcPr>
            <w:tcW w:w="1318" w:type="dxa"/>
          </w:tcPr>
          <w:p w14:paraId="744E5B78" w14:textId="14618419"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sidRPr="005F0675">
              <w:rPr>
                <w:rFonts w:cs="Tahoma"/>
                <w:sz w:val="20"/>
                <w:szCs w:val="22"/>
                <w:lang w:eastAsia="en-US"/>
              </w:rPr>
              <w:t>$</w:t>
            </w:r>
            <w:r w:rsidR="009335D3">
              <w:rPr>
                <w:rFonts w:cs="Tahoma"/>
                <w:sz w:val="20"/>
                <w:szCs w:val="22"/>
                <w:lang w:eastAsia="en-US"/>
              </w:rPr>
              <w:t>redacted</w:t>
            </w:r>
          </w:p>
        </w:tc>
        <w:tc>
          <w:tcPr>
            <w:tcW w:w="1318" w:type="dxa"/>
          </w:tcPr>
          <w:p w14:paraId="7D17F85C"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318" w:type="dxa"/>
          </w:tcPr>
          <w:p w14:paraId="1B9FE5AC" w14:textId="14C8820F" w:rsidR="00210C73" w:rsidRPr="005F0675" w:rsidRDefault="009335D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r>
              <w:rPr>
                <w:rFonts w:cs="Tahoma"/>
                <w:sz w:val="20"/>
                <w:szCs w:val="22"/>
                <w:lang w:eastAsia="en-US"/>
              </w:rPr>
              <w:t>redacted</w:t>
            </w:r>
          </w:p>
        </w:tc>
        <w:tc>
          <w:tcPr>
            <w:tcW w:w="1319" w:type="dxa"/>
          </w:tcPr>
          <w:p w14:paraId="603AC1E3"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c>
          <w:tcPr>
            <w:tcW w:w="1404" w:type="dxa"/>
          </w:tcPr>
          <w:p w14:paraId="492D0977" w14:textId="77777777" w:rsidR="00210C73" w:rsidRPr="005F0675" w:rsidRDefault="00210C73" w:rsidP="00210C73">
            <w:pPr>
              <w:widowControl w:val="0"/>
              <w:spacing w:after="40"/>
              <w:cnfStyle w:val="000000000000" w:firstRow="0" w:lastRow="0" w:firstColumn="0" w:lastColumn="0" w:oddVBand="0" w:evenVBand="0" w:oddHBand="0" w:evenHBand="0" w:firstRowFirstColumn="0" w:firstRowLastColumn="0" w:lastRowFirstColumn="0" w:lastRowLastColumn="0"/>
              <w:rPr>
                <w:rFonts w:cs="Tahoma"/>
                <w:sz w:val="20"/>
                <w:szCs w:val="22"/>
                <w:lang w:eastAsia="en-US"/>
              </w:rPr>
            </w:pPr>
          </w:p>
        </w:tc>
      </w:tr>
    </w:tbl>
    <w:p w14:paraId="6EDCA073" w14:textId="77777777" w:rsidR="00210C73" w:rsidRPr="005F0675" w:rsidRDefault="00210C73" w:rsidP="000C0B97">
      <w:pPr>
        <w:keepLines/>
        <w:spacing w:after="240"/>
        <w:rPr>
          <w:rFonts w:ascii="Arial Narrow" w:hAnsi="Arial Narrow"/>
          <w:color w:val="000000"/>
          <w:sz w:val="18"/>
          <w:szCs w:val="18"/>
        </w:rPr>
      </w:pPr>
      <w:r w:rsidRPr="005F0675">
        <w:rPr>
          <w:rFonts w:ascii="Arial Narrow" w:hAnsi="Arial Narrow"/>
          <w:color w:val="000000"/>
          <w:sz w:val="18"/>
          <w:szCs w:val="18"/>
        </w:rPr>
        <w:t>Abbreviations: ICER, Incremental cost-effectiveness ratio; NA, not applicable; QALY, quality-adjusted life year; SOC standard of care</w:t>
      </w:r>
    </w:p>
    <w:p w14:paraId="21044A73" w14:textId="77777777" w:rsidR="00210C73" w:rsidRPr="00497393" w:rsidRDefault="00646580" w:rsidP="00497393">
      <w:pPr>
        <w:rPr>
          <w:u w:val="single"/>
        </w:rPr>
      </w:pPr>
      <w:r w:rsidRPr="00497393">
        <w:rPr>
          <w:u w:val="single"/>
        </w:rPr>
        <w:t>Pre-MSAC response</w:t>
      </w:r>
    </w:p>
    <w:p w14:paraId="35142968" w14:textId="28257667" w:rsidR="00646580" w:rsidRDefault="00646580" w:rsidP="002A5F5D">
      <w:r>
        <w:t xml:space="preserve">The Applicant provided updated cost-effectiveness results from the </w:t>
      </w:r>
      <w:r w:rsidR="00AE5C5C" w:rsidRPr="009335D3">
        <w:rPr>
          <w:b/>
        </w:rPr>
        <w:t>redacted</w:t>
      </w:r>
      <w:r>
        <w:t xml:space="preserve"> (Table 1</w:t>
      </w:r>
      <w:r w:rsidR="009335D3">
        <w:t>0).</w:t>
      </w:r>
    </w:p>
    <w:p w14:paraId="618539F2" w14:textId="6D12A211" w:rsidR="00646580" w:rsidRPr="00497393" w:rsidRDefault="00646580" w:rsidP="00497393">
      <w:pPr>
        <w:spacing w:before="240"/>
        <w:rPr>
          <w:rFonts w:ascii="Arial Narrow" w:hAnsi="Arial Narrow"/>
          <w:b/>
          <w:sz w:val="20"/>
        </w:rPr>
      </w:pPr>
      <w:r w:rsidRPr="00497393">
        <w:rPr>
          <w:rFonts w:ascii="Arial Narrow" w:hAnsi="Arial Narrow"/>
          <w:b/>
          <w:sz w:val="20"/>
        </w:rPr>
        <w:t xml:space="preserve">Table 10: Incremental costs and effectiveness: </w:t>
      </w:r>
      <w:r w:rsidR="00AE5C5C" w:rsidRPr="00497393">
        <w:rPr>
          <w:rFonts w:ascii="Arial Narrow" w:hAnsi="Arial Narrow"/>
          <w:b/>
          <w:sz w:val="20"/>
        </w:rPr>
        <w:t>redacted</w:t>
      </w:r>
    </w:p>
    <w:tbl>
      <w:tblPr>
        <w:tblStyle w:val="TableGrid1"/>
        <w:tblW w:w="5000" w:type="pct"/>
        <w:tblLook w:val="04A0" w:firstRow="1" w:lastRow="0" w:firstColumn="1" w:lastColumn="0" w:noHBand="0" w:noVBand="1"/>
        <w:tblCaption w:val="Incremental costs and effectiveness"/>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855"/>
        <w:gridCol w:w="1075"/>
        <w:gridCol w:w="1138"/>
        <w:gridCol w:w="1304"/>
        <w:gridCol w:w="1306"/>
        <w:gridCol w:w="1338"/>
      </w:tblGrid>
      <w:tr w:rsidR="00646580" w:rsidRPr="00E50309" w14:paraId="63B67690" w14:textId="77777777" w:rsidTr="00EC7E74">
        <w:trPr>
          <w:cnfStyle w:val="100000000000" w:firstRow="1" w:lastRow="0" w:firstColumn="0" w:lastColumn="0" w:oddVBand="0" w:evenVBand="0" w:oddHBand="0" w:evenHBand="0" w:firstRowFirstColumn="0" w:firstRowLastColumn="0" w:lastRowFirstColumn="0" w:lastRowLastColumn="0"/>
          <w:tblHeader/>
        </w:trPr>
        <w:tc>
          <w:tcPr>
            <w:tcW w:w="1584" w:type="pct"/>
          </w:tcPr>
          <w:p w14:paraId="4F0CD779" w14:textId="77777777" w:rsidR="00646580" w:rsidRPr="00E50309" w:rsidRDefault="00646580" w:rsidP="00572F3E">
            <w:pPr>
              <w:keepNext/>
              <w:keepLines/>
              <w:jc w:val="both"/>
              <w:rPr>
                <w:rFonts w:ascii="Arial Narrow" w:hAnsi="Arial Narrow"/>
                <w:b/>
              </w:rPr>
            </w:pPr>
          </w:p>
        </w:tc>
        <w:tc>
          <w:tcPr>
            <w:tcW w:w="596" w:type="pct"/>
          </w:tcPr>
          <w:p w14:paraId="3AB31FA3" w14:textId="77777777" w:rsidR="00646580" w:rsidRPr="00E50309" w:rsidRDefault="00646580" w:rsidP="00572F3E">
            <w:pPr>
              <w:keepNext/>
              <w:keepLines/>
              <w:jc w:val="center"/>
              <w:rPr>
                <w:rFonts w:ascii="Arial Narrow" w:hAnsi="Arial Narrow"/>
                <w:b/>
              </w:rPr>
            </w:pPr>
            <w:r w:rsidRPr="00E50309">
              <w:rPr>
                <w:rFonts w:ascii="Arial Narrow" w:hAnsi="Arial Narrow"/>
                <w:b/>
              </w:rPr>
              <w:t>Cost</w:t>
            </w:r>
          </w:p>
        </w:tc>
        <w:tc>
          <w:tcPr>
            <w:tcW w:w="631" w:type="pct"/>
          </w:tcPr>
          <w:p w14:paraId="04D19286" w14:textId="77777777" w:rsidR="00646580" w:rsidRPr="00E50309" w:rsidRDefault="00646580" w:rsidP="00572F3E">
            <w:pPr>
              <w:keepNext/>
              <w:keepLines/>
              <w:jc w:val="center"/>
              <w:rPr>
                <w:rFonts w:ascii="Arial Narrow" w:hAnsi="Arial Narrow"/>
                <w:b/>
              </w:rPr>
            </w:pPr>
            <w:r w:rsidRPr="00E50309">
              <w:rPr>
                <w:rFonts w:ascii="Arial Narrow" w:hAnsi="Arial Narrow"/>
                <w:b/>
              </w:rPr>
              <w:t>Incremental cost</w:t>
            </w:r>
          </w:p>
        </w:tc>
        <w:tc>
          <w:tcPr>
            <w:tcW w:w="723" w:type="pct"/>
          </w:tcPr>
          <w:p w14:paraId="76EEDE24" w14:textId="77777777" w:rsidR="00646580" w:rsidRPr="00E50309" w:rsidRDefault="00646580" w:rsidP="00572F3E">
            <w:pPr>
              <w:keepNext/>
              <w:keepLines/>
              <w:jc w:val="center"/>
              <w:rPr>
                <w:rFonts w:ascii="Arial Narrow" w:hAnsi="Arial Narrow"/>
                <w:b/>
              </w:rPr>
            </w:pPr>
            <w:r w:rsidRPr="00E50309">
              <w:rPr>
                <w:rFonts w:ascii="Arial Narrow" w:hAnsi="Arial Narrow"/>
                <w:b/>
              </w:rPr>
              <w:t>Effectiveness (QALYs)</w:t>
            </w:r>
          </w:p>
        </w:tc>
        <w:tc>
          <w:tcPr>
            <w:tcW w:w="724" w:type="pct"/>
          </w:tcPr>
          <w:p w14:paraId="44CD0583" w14:textId="77777777" w:rsidR="00646580" w:rsidRPr="00E50309" w:rsidRDefault="00646580" w:rsidP="00572F3E">
            <w:pPr>
              <w:keepNext/>
              <w:keepLines/>
              <w:jc w:val="center"/>
              <w:rPr>
                <w:rFonts w:ascii="Arial Narrow" w:hAnsi="Arial Narrow"/>
                <w:b/>
              </w:rPr>
            </w:pPr>
            <w:r w:rsidRPr="00E50309">
              <w:rPr>
                <w:rFonts w:ascii="Arial Narrow" w:hAnsi="Arial Narrow"/>
                <w:b/>
              </w:rPr>
              <w:t>Incremental effectiveness</w:t>
            </w:r>
          </w:p>
        </w:tc>
        <w:tc>
          <w:tcPr>
            <w:tcW w:w="744" w:type="pct"/>
          </w:tcPr>
          <w:p w14:paraId="085944F1" w14:textId="77777777" w:rsidR="00646580" w:rsidRPr="00E50309" w:rsidRDefault="00646580" w:rsidP="00572F3E">
            <w:pPr>
              <w:keepNext/>
              <w:keepLines/>
              <w:jc w:val="center"/>
              <w:rPr>
                <w:rFonts w:ascii="Arial Narrow" w:hAnsi="Arial Narrow"/>
                <w:b/>
              </w:rPr>
            </w:pPr>
            <w:r w:rsidRPr="00E50309">
              <w:rPr>
                <w:rFonts w:ascii="Arial Narrow" w:hAnsi="Arial Narrow"/>
                <w:b/>
              </w:rPr>
              <w:t>ICER</w:t>
            </w:r>
          </w:p>
        </w:tc>
      </w:tr>
      <w:tr w:rsidR="00646580" w:rsidRPr="00827C15" w14:paraId="66A4E1D2" w14:textId="77777777" w:rsidTr="00646580">
        <w:tc>
          <w:tcPr>
            <w:tcW w:w="1584" w:type="pct"/>
          </w:tcPr>
          <w:p w14:paraId="69EF682C" w14:textId="77777777" w:rsidR="00646580" w:rsidRPr="00827C15" w:rsidRDefault="00646580" w:rsidP="00572F3E">
            <w:pPr>
              <w:pStyle w:val="TableTextLeft"/>
              <w:rPr>
                <w:b/>
              </w:rPr>
            </w:pPr>
            <w:r w:rsidRPr="002B6FFA">
              <w:rPr>
                <w:i/>
              </w:rPr>
              <w:t>Step 1</w:t>
            </w:r>
            <w:r>
              <w:rPr>
                <w:i/>
              </w:rPr>
              <w:t xml:space="preserve"> (cost per change in decision)</w:t>
            </w:r>
          </w:p>
        </w:tc>
        <w:tc>
          <w:tcPr>
            <w:tcW w:w="596" w:type="pct"/>
            <w:tcBorders>
              <w:right w:val="nil"/>
            </w:tcBorders>
          </w:tcPr>
          <w:p w14:paraId="207C5579" w14:textId="77777777" w:rsidR="00646580" w:rsidRPr="00827C15" w:rsidRDefault="00646580" w:rsidP="00572F3E">
            <w:pPr>
              <w:pStyle w:val="TableTextLeft"/>
              <w:jc w:val="center"/>
            </w:pPr>
          </w:p>
        </w:tc>
        <w:tc>
          <w:tcPr>
            <w:tcW w:w="631" w:type="pct"/>
            <w:tcBorders>
              <w:left w:val="nil"/>
              <w:right w:val="nil"/>
            </w:tcBorders>
          </w:tcPr>
          <w:p w14:paraId="5CE7D59A" w14:textId="77777777" w:rsidR="00646580" w:rsidRPr="00827C15" w:rsidRDefault="00646580" w:rsidP="00572F3E">
            <w:pPr>
              <w:pStyle w:val="TableTextLeft"/>
              <w:jc w:val="center"/>
            </w:pPr>
          </w:p>
        </w:tc>
        <w:tc>
          <w:tcPr>
            <w:tcW w:w="723" w:type="pct"/>
            <w:tcBorders>
              <w:left w:val="nil"/>
              <w:right w:val="nil"/>
            </w:tcBorders>
          </w:tcPr>
          <w:p w14:paraId="44FA5C32" w14:textId="77777777" w:rsidR="00646580" w:rsidRPr="00827C15" w:rsidRDefault="00646580" w:rsidP="00572F3E">
            <w:pPr>
              <w:pStyle w:val="TableTextLeft"/>
              <w:jc w:val="center"/>
            </w:pPr>
          </w:p>
        </w:tc>
        <w:tc>
          <w:tcPr>
            <w:tcW w:w="724" w:type="pct"/>
            <w:tcBorders>
              <w:left w:val="nil"/>
              <w:right w:val="nil"/>
            </w:tcBorders>
          </w:tcPr>
          <w:p w14:paraId="53AFCF8B" w14:textId="77777777" w:rsidR="00646580" w:rsidRPr="00933CFC" w:rsidRDefault="00646580" w:rsidP="00572F3E">
            <w:pPr>
              <w:pStyle w:val="TableTextLeft"/>
              <w:jc w:val="center"/>
            </w:pPr>
          </w:p>
        </w:tc>
        <w:tc>
          <w:tcPr>
            <w:tcW w:w="744" w:type="pct"/>
            <w:tcBorders>
              <w:left w:val="nil"/>
            </w:tcBorders>
          </w:tcPr>
          <w:p w14:paraId="1AB9D81F" w14:textId="77777777" w:rsidR="00646580" w:rsidRPr="00827C15" w:rsidRDefault="00646580" w:rsidP="00572F3E">
            <w:pPr>
              <w:pStyle w:val="TableTextLeft"/>
              <w:jc w:val="center"/>
            </w:pPr>
          </w:p>
        </w:tc>
      </w:tr>
      <w:tr w:rsidR="00646580" w:rsidRPr="00183E4D" w14:paraId="0D9C0C45" w14:textId="77777777" w:rsidTr="00646580">
        <w:tc>
          <w:tcPr>
            <w:tcW w:w="1584" w:type="pct"/>
          </w:tcPr>
          <w:p w14:paraId="5E7816D8" w14:textId="77777777" w:rsidR="00646580" w:rsidRDefault="00646580" w:rsidP="00572F3E">
            <w:pPr>
              <w:keepNext/>
              <w:keepLines/>
              <w:jc w:val="both"/>
            </w:pPr>
            <w:r>
              <w:t>EndoPredict</w:t>
            </w:r>
          </w:p>
        </w:tc>
        <w:tc>
          <w:tcPr>
            <w:tcW w:w="596" w:type="pct"/>
            <w:vAlign w:val="bottom"/>
          </w:tcPr>
          <w:p w14:paraId="40114957" w14:textId="36A0B856" w:rsidR="00646580" w:rsidRPr="00E73FE9" w:rsidRDefault="00646580" w:rsidP="00AE5C5C">
            <w:pPr>
              <w:pStyle w:val="TableTextLeft"/>
              <w:jc w:val="center"/>
              <w:rPr>
                <w:snapToGrid w:val="0"/>
              </w:rPr>
            </w:pPr>
            <w:r w:rsidRPr="00E73FE9">
              <w:rPr>
                <w:snapToGrid w:val="0"/>
              </w:rPr>
              <w:t>$</w:t>
            </w:r>
            <w:r w:rsidR="00AE5C5C">
              <w:rPr>
                <w:snapToGrid w:val="0"/>
              </w:rPr>
              <w:t>redacted</w:t>
            </w:r>
          </w:p>
        </w:tc>
        <w:tc>
          <w:tcPr>
            <w:tcW w:w="631" w:type="pct"/>
            <w:tcBorders>
              <w:bottom w:val="nil"/>
            </w:tcBorders>
            <w:vAlign w:val="bottom"/>
          </w:tcPr>
          <w:p w14:paraId="72376585" w14:textId="324998D2" w:rsidR="00646580" w:rsidRPr="00E73FE9" w:rsidRDefault="00646580" w:rsidP="00AE5C5C">
            <w:pPr>
              <w:pStyle w:val="TableTextLeft"/>
              <w:jc w:val="center"/>
              <w:rPr>
                <w:snapToGrid w:val="0"/>
              </w:rPr>
            </w:pPr>
            <w:r w:rsidRPr="00E73FE9">
              <w:rPr>
                <w:snapToGrid w:val="0"/>
              </w:rPr>
              <w:t>$</w:t>
            </w:r>
            <w:r w:rsidR="00AE5C5C">
              <w:rPr>
                <w:snapToGrid w:val="0"/>
              </w:rPr>
              <w:t>redacted</w:t>
            </w:r>
          </w:p>
        </w:tc>
        <w:tc>
          <w:tcPr>
            <w:tcW w:w="723" w:type="pct"/>
          </w:tcPr>
          <w:p w14:paraId="523E9421" w14:textId="77777777" w:rsidR="00646580" w:rsidRPr="00183E4D" w:rsidRDefault="00646580" w:rsidP="00572F3E">
            <w:pPr>
              <w:pStyle w:val="TableTextLeft"/>
              <w:jc w:val="center"/>
            </w:pPr>
          </w:p>
        </w:tc>
        <w:tc>
          <w:tcPr>
            <w:tcW w:w="724" w:type="pct"/>
            <w:tcBorders>
              <w:bottom w:val="nil"/>
            </w:tcBorders>
          </w:tcPr>
          <w:p w14:paraId="45C596B8" w14:textId="2490B34A" w:rsidR="00646580" w:rsidRPr="00183E4D" w:rsidRDefault="00AE5C5C" w:rsidP="00572F3E">
            <w:pPr>
              <w:pStyle w:val="TableTextLeft"/>
              <w:jc w:val="center"/>
            </w:pPr>
            <w:r>
              <w:t>redacted</w:t>
            </w:r>
            <w:r w:rsidR="00646580">
              <w:t>% change</w:t>
            </w:r>
          </w:p>
        </w:tc>
        <w:tc>
          <w:tcPr>
            <w:tcW w:w="744" w:type="pct"/>
            <w:tcBorders>
              <w:bottom w:val="nil"/>
            </w:tcBorders>
          </w:tcPr>
          <w:p w14:paraId="4833FDCA" w14:textId="6B135D61" w:rsidR="00646580" w:rsidRPr="00183E4D" w:rsidRDefault="00646580" w:rsidP="00AE5C5C">
            <w:pPr>
              <w:pStyle w:val="TableTextLeft"/>
              <w:jc w:val="center"/>
            </w:pPr>
            <w:r w:rsidRPr="0042705A">
              <w:t>$</w:t>
            </w:r>
            <w:r w:rsidR="00AE5C5C">
              <w:t>redacted</w:t>
            </w:r>
          </w:p>
        </w:tc>
      </w:tr>
      <w:tr w:rsidR="00646580" w:rsidRPr="00183E4D" w14:paraId="3114EAEE" w14:textId="77777777" w:rsidTr="00646580">
        <w:tc>
          <w:tcPr>
            <w:tcW w:w="1584" w:type="pct"/>
          </w:tcPr>
          <w:p w14:paraId="368F7D65" w14:textId="77777777" w:rsidR="00646580" w:rsidRDefault="00646580" w:rsidP="00572F3E">
            <w:pPr>
              <w:keepNext/>
              <w:keepLines/>
              <w:jc w:val="both"/>
            </w:pPr>
            <w:r>
              <w:t>SOC (MDT)</w:t>
            </w:r>
          </w:p>
        </w:tc>
        <w:tc>
          <w:tcPr>
            <w:tcW w:w="596" w:type="pct"/>
          </w:tcPr>
          <w:p w14:paraId="39CA6CB9" w14:textId="071F7351" w:rsidR="00646580" w:rsidRPr="00E73FE9" w:rsidRDefault="00646580" w:rsidP="00AE5C5C">
            <w:pPr>
              <w:pStyle w:val="TableTextLeft"/>
              <w:jc w:val="center"/>
              <w:rPr>
                <w:snapToGrid w:val="0"/>
              </w:rPr>
            </w:pPr>
            <w:r w:rsidRPr="00E73FE9">
              <w:rPr>
                <w:snapToGrid w:val="0"/>
              </w:rPr>
              <w:t>$</w:t>
            </w:r>
            <w:r w:rsidR="00AE5C5C">
              <w:rPr>
                <w:snapToGrid w:val="0"/>
              </w:rPr>
              <w:t>redacted</w:t>
            </w:r>
          </w:p>
        </w:tc>
        <w:tc>
          <w:tcPr>
            <w:tcW w:w="631" w:type="pct"/>
            <w:tcBorders>
              <w:top w:val="nil"/>
            </w:tcBorders>
          </w:tcPr>
          <w:p w14:paraId="25B9D7AA" w14:textId="77777777" w:rsidR="00646580" w:rsidRPr="00E73FE9" w:rsidRDefault="00646580" w:rsidP="00572F3E">
            <w:pPr>
              <w:pStyle w:val="TableTextLeft"/>
              <w:jc w:val="center"/>
              <w:rPr>
                <w:snapToGrid w:val="0"/>
              </w:rPr>
            </w:pPr>
          </w:p>
        </w:tc>
        <w:tc>
          <w:tcPr>
            <w:tcW w:w="723" w:type="pct"/>
          </w:tcPr>
          <w:p w14:paraId="65936228" w14:textId="77777777" w:rsidR="00646580" w:rsidRPr="00183E4D" w:rsidRDefault="00646580" w:rsidP="00572F3E">
            <w:pPr>
              <w:pStyle w:val="TableTextLeft"/>
              <w:jc w:val="center"/>
            </w:pPr>
          </w:p>
        </w:tc>
        <w:tc>
          <w:tcPr>
            <w:tcW w:w="724" w:type="pct"/>
            <w:tcBorders>
              <w:top w:val="nil"/>
            </w:tcBorders>
          </w:tcPr>
          <w:p w14:paraId="62298AB8" w14:textId="77777777" w:rsidR="00646580" w:rsidRPr="00183E4D" w:rsidRDefault="00646580" w:rsidP="00572F3E">
            <w:pPr>
              <w:pStyle w:val="TableTextLeft"/>
              <w:jc w:val="center"/>
            </w:pPr>
          </w:p>
        </w:tc>
        <w:tc>
          <w:tcPr>
            <w:tcW w:w="744" w:type="pct"/>
            <w:tcBorders>
              <w:top w:val="nil"/>
            </w:tcBorders>
          </w:tcPr>
          <w:p w14:paraId="6EBBAE26" w14:textId="77777777" w:rsidR="00646580" w:rsidRPr="00183E4D" w:rsidRDefault="00646580" w:rsidP="00572F3E">
            <w:pPr>
              <w:pStyle w:val="TableTextLeft"/>
              <w:jc w:val="center"/>
            </w:pPr>
          </w:p>
        </w:tc>
      </w:tr>
      <w:tr w:rsidR="00646580" w:rsidRPr="00827C15" w14:paraId="0CCCAC08" w14:textId="77777777" w:rsidTr="00646580">
        <w:tc>
          <w:tcPr>
            <w:tcW w:w="1584" w:type="pct"/>
            <w:tcBorders>
              <w:right w:val="nil"/>
            </w:tcBorders>
          </w:tcPr>
          <w:p w14:paraId="0A858182" w14:textId="77777777" w:rsidR="00646580" w:rsidRPr="00827C15" w:rsidRDefault="00646580" w:rsidP="00572F3E">
            <w:pPr>
              <w:pStyle w:val="TableTextLeft"/>
              <w:rPr>
                <w:b/>
              </w:rPr>
            </w:pPr>
            <w:r w:rsidRPr="002B6FFA">
              <w:rPr>
                <w:i/>
              </w:rPr>
              <w:t>Step 2</w:t>
            </w:r>
            <w:r>
              <w:rPr>
                <w:i/>
              </w:rPr>
              <w:t xml:space="preserve"> (cost per QALY – 10 years)</w:t>
            </w:r>
          </w:p>
        </w:tc>
        <w:tc>
          <w:tcPr>
            <w:tcW w:w="596" w:type="pct"/>
            <w:tcBorders>
              <w:left w:val="nil"/>
              <w:right w:val="nil"/>
            </w:tcBorders>
          </w:tcPr>
          <w:p w14:paraId="3EC611EC" w14:textId="77777777" w:rsidR="00646580" w:rsidRPr="00827C15" w:rsidRDefault="00646580" w:rsidP="00572F3E">
            <w:pPr>
              <w:pStyle w:val="TableTextLeft"/>
              <w:jc w:val="center"/>
            </w:pPr>
          </w:p>
        </w:tc>
        <w:tc>
          <w:tcPr>
            <w:tcW w:w="631" w:type="pct"/>
            <w:tcBorders>
              <w:left w:val="nil"/>
              <w:right w:val="nil"/>
            </w:tcBorders>
          </w:tcPr>
          <w:p w14:paraId="4FAA5F54" w14:textId="77777777" w:rsidR="00646580" w:rsidRPr="00827C15" w:rsidRDefault="00646580" w:rsidP="00572F3E">
            <w:pPr>
              <w:pStyle w:val="TableTextLeft"/>
              <w:jc w:val="center"/>
            </w:pPr>
          </w:p>
        </w:tc>
        <w:tc>
          <w:tcPr>
            <w:tcW w:w="723" w:type="pct"/>
            <w:tcBorders>
              <w:left w:val="nil"/>
              <w:right w:val="nil"/>
            </w:tcBorders>
          </w:tcPr>
          <w:p w14:paraId="5617F620" w14:textId="77777777" w:rsidR="00646580" w:rsidRPr="00827C15" w:rsidRDefault="00646580" w:rsidP="00572F3E">
            <w:pPr>
              <w:pStyle w:val="TableTextLeft"/>
              <w:jc w:val="center"/>
            </w:pPr>
          </w:p>
        </w:tc>
        <w:tc>
          <w:tcPr>
            <w:tcW w:w="724" w:type="pct"/>
            <w:tcBorders>
              <w:left w:val="nil"/>
              <w:right w:val="nil"/>
            </w:tcBorders>
          </w:tcPr>
          <w:p w14:paraId="704A16F1" w14:textId="77777777" w:rsidR="00646580" w:rsidRPr="00933CFC" w:rsidRDefault="00646580" w:rsidP="00572F3E">
            <w:pPr>
              <w:pStyle w:val="TableTextLeft"/>
              <w:jc w:val="center"/>
            </w:pPr>
          </w:p>
        </w:tc>
        <w:tc>
          <w:tcPr>
            <w:tcW w:w="744" w:type="pct"/>
            <w:tcBorders>
              <w:left w:val="nil"/>
            </w:tcBorders>
          </w:tcPr>
          <w:p w14:paraId="655F1C47" w14:textId="77777777" w:rsidR="00646580" w:rsidRPr="00827C15" w:rsidRDefault="00646580" w:rsidP="00572F3E">
            <w:pPr>
              <w:pStyle w:val="TableTextLeft"/>
              <w:jc w:val="center"/>
            </w:pPr>
          </w:p>
        </w:tc>
      </w:tr>
      <w:tr w:rsidR="00646580" w:rsidRPr="00183E4D" w14:paraId="340E730D" w14:textId="77777777" w:rsidTr="00646580">
        <w:tc>
          <w:tcPr>
            <w:tcW w:w="1584" w:type="pct"/>
          </w:tcPr>
          <w:p w14:paraId="22F07963" w14:textId="77777777" w:rsidR="00646580" w:rsidRDefault="00646580" w:rsidP="00572F3E">
            <w:pPr>
              <w:keepNext/>
              <w:keepLines/>
              <w:jc w:val="both"/>
            </w:pPr>
            <w:r>
              <w:t>EndoPredict</w:t>
            </w:r>
          </w:p>
        </w:tc>
        <w:tc>
          <w:tcPr>
            <w:tcW w:w="596" w:type="pct"/>
            <w:vAlign w:val="bottom"/>
          </w:tcPr>
          <w:p w14:paraId="7E6D9391" w14:textId="150CE0D6" w:rsidR="00646580" w:rsidRPr="00183E4D" w:rsidRDefault="00646580" w:rsidP="00AE5C5C">
            <w:pPr>
              <w:pStyle w:val="TableTextLeft"/>
              <w:jc w:val="center"/>
            </w:pPr>
            <w:r w:rsidRPr="00F05B92">
              <w:rPr>
                <w:snapToGrid w:val="0"/>
              </w:rPr>
              <w:t>$</w:t>
            </w:r>
            <w:r w:rsidR="00AE5C5C">
              <w:rPr>
                <w:snapToGrid w:val="0"/>
              </w:rPr>
              <w:t>redacted</w:t>
            </w:r>
          </w:p>
        </w:tc>
        <w:tc>
          <w:tcPr>
            <w:tcW w:w="631" w:type="pct"/>
            <w:tcBorders>
              <w:top w:val="nil"/>
              <w:bottom w:val="nil"/>
            </w:tcBorders>
            <w:vAlign w:val="bottom"/>
          </w:tcPr>
          <w:p w14:paraId="4CC32241" w14:textId="748C5E85" w:rsidR="00646580" w:rsidRPr="00183E4D" w:rsidRDefault="00646580" w:rsidP="00AE5C5C">
            <w:pPr>
              <w:pStyle w:val="TableTextLeft"/>
              <w:jc w:val="center"/>
            </w:pPr>
            <w:r w:rsidRPr="00F05B92">
              <w:rPr>
                <w:snapToGrid w:val="0"/>
              </w:rPr>
              <w:t>$</w:t>
            </w:r>
            <w:r w:rsidR="00AE5C5C">
              <w:rPr>
                <w:snapToGrid w:val="0"/>
              </w:rPr>
              <w:t>redacted</w:t>
            </w:r>
          </w:p>
        </w:tc>
        <w:tc>
          <w:tcPr>
            <w:tcW w:w="723" w:type="pct"/>
            <w:vAlign w:val="bottom"/>
          </w:tcPr>
          <w:p w14:paraId="7505E5C3" w14:textId="0E8A4187" w:rsidR="00646580" w:rsidRPr="00183E4D" w:rsidRDefault="00AE5C5C" w:rsidP="00572F3E">
            <w:pPr>
              <w:pStyle w:val="TableTextLeft"/>
              <w:jc w:val="center"/>
            </w:pPr>
            <w:r>
              <w:rPr>
                <w:snapToGrid w:val="0"/>
              </w:rPr>
              <w:t>redacted</w:t>
            </w:r>
          </w:p>
        </w:tc>
        <w:tc>
          <w:tcPr>
            <w:tcW w:w="724" w:type="pct"/>
            <w:tcBorders>
              <w:top w:val="nil"/>
              <w:bottom w:val="nil"/>
            </w:tcBorders>
            <w:vAlign w:val="bottom"/>
          </w:tcPr>
          <w:p w14:paraId="7E4C54FC" w14:textId="40D55050" w:rsidR="00646580" w:rsidRPr="00183E4D" w:rsidRDefault="00AE5C5C" w:rsidP="00572F3E">
            <w:pPr>
              <w:pStyle w:val="TableTextLeft"/>
              <w:jc w:val="center"/>
            </w:pPr>
            <w:r>
              <w:rPr>
                <w:snapToGrid w:val="0"/>
              </w:rPr>
              <w:t>redacted</w:t>
            </w:r>
          </w:p>
        </w:tc>
        <w:tc>
          <w:tcPr>
            <w:tcW w:w="744" w:type="pct"/>
            <w:tcBorders>
              <w:top w:val="nil"/>
              <w:bottom w:val="nil"/>
            </w:tcBorders>
            <w:vAlign w:val="bottom"/>
          </w:tcPr>
          <w:p w14:paraId="51653E28" w14:textId="65C64D6F" w:rsidR="00646580" w:rsidRPr="00183E4D" w:rsidRDefault="00646580" w:rsidP="00AE5C5C">
            <w:pPr>
              <w:pStyle w:val="TableTextLeft"/>
              <w:jc w:val="center"/>
            </w:pPr>
            <w:r w:rsidRPr="00F05B92">
              <w:rPr>
                <w:snapToGrid w:val="0"/>
              </w:rPr>
              <w:t>$</w:t>
            </w:r>
            <w:r w:rsidR="00AE5C5C">
              <w:rPr>
                <w:snapToGrid w:val="0"/>
              </w:rPr>
              <w:t>redacted</w:t>
            </w:r>
          </w:p>
        </w:tc>
      </w:tr>
      <w:tr w:rsidR="00646580" w:rsidRPr="00183E4D" w14:paraId="61A96ACA" w14:textId="77777777" w:rsidTr="00646580">
        <w:tc>
          <w:tcPr>
            <w:tcW w:w="1584" w:type="pct"/>
          </w:tcPr>
          <w:p w14:paraId="2960907E" w14:textId="77777777" w:rsidR="00646580" w:rsidRDefault="00646580" w:rsidP="00572F3E">
            <w:pPr>
              <w:keepNext/>
              <w:keepLines/>
              <w:jc w:val="both"/>
            </w:pPr>
            <w:r>
              <w:t>SOC (MDT)</w:t>
            </w:r>
          </w:p>
        </w:tc>
        <w:tc>
          <w:tcPr>
            <w:tcW w:w="596" w:type="pct"/>
            <w:vAlign w:val="bottom"/>
          </w:tcPr>
          <w:p w14:paraId="7893F249" w14:textId="6BFAA204" w:rsidR="00646580" w:rsidRPr="00183E4D" w:rsidRDefault="00646580" w:rsidP="00AE5C5C">
            <w:pPr>
              <w:pStyle w:val="TableTextLeft"/>
              <w:jc w:val="center"/>
            </w:pPr>
            <w:r w:rsidRPr="00F05B92">
              <w:rPr>
                <w:snapToGrid w:val="0"/>
              </w:rPr>
              <w:t>$</w:t>
            </w:r>
            <w:r w:rsidR="00AE5C5C">
              <w:rPr>
                <w:snapToGrid w:val="0"/>
              </w:rPr>
              <w:t>redacted</w:t>
            </w:r>
          </w:p>
        </w:tc>
        <w:tc>
          <w:tcPr>
            <w:tcW w:w="631" w:type="pct"/>
            <w:tcBorders>
              <w:top w:val="nil"/>
              <w:bottom w:val="nil"/>
            </w:tcBorders>
            <w:vAlign w:val="bottom"/>
          </w:tcPr>
          <w:p w14:paraId="5EC2C36B" w14:textId="77777777" w:rsidR="00646580" w:rsidRPr="00183E4D" w:rsidRDefault="00646580" w:rsidP="00572F3E">
            <w:pPr>
              <w:pStyle w:val="TableTextLeft"/>
              <w:jc w:val="center"/>
            </w:pPr>
          </w:p>
        </w:tc>
        <w:tc>
          <w:tcPr>
            <w:tcW w:w="723" w:type="pct"/>
            <w:vAlign w:val="bottom"/>
          </w:tcPr>
          <w:p w14:paraId="70CFC519" w14:textId="16B21364" w:rsidR="00646580" w:rsidRPr="00183E4D" w:rsidRDefault="00AE5C5C" w:rsidP="00572F3E">
            <w:pPr>
              <w:pStyle w:val="TableTextLeft"/>
              <w:jc w:val="center"/>
            </w:pPr>
            <w:r>
              <w:rPr>
                <w:snapToGrid w:val="0"/>
              </w:rPr>
              <w:t>redacted</w:t>
            </w:r>
          </w:p>
        </w:tc>
        <w:tc>
          <w:tcPr>
            <w:tcW w:w="724" w:type="pct"/>
            <w:tcBorders>
              <w:top w:val="nil"/>
              <w:bottom w:val="nil"/>
            </w:tcBorders>
          </w:tcPr>
          <w:p w14:paraId="6DC93921" w14:textId="77777777" w:rsidR="00646580" w:rsidRPr="00183E4D" w:rsidRDefault="00646580" w:rsidP="00572F3E">
            <w:pPr>
              <w:pStyle w:val="TableTextLeft"/>
              <w:jc w:val="center"/>
            </w:pPr>
          </w:p>
        </w:tc>
        <w:tc>
          <w:tcPr>
            <w:tcW w:w="744" w:type="pct"/>
            <w:tcBorders>
              <w:top w:val="nil"/>
              <w:bottom w:val="nil"/>
            </w:tcBorders>
          </w:tcPr>
          <w:p w14:paraId="5BA19A4D" w14:textId="77777777" w:rsidR="00646580" w:rsidRPr="00183E4D" w:rsidRDefault="00646580" w:rsidP="00572F3E">
            <w:pPr>
              <w:pStyle w:val="TableTextLeft"/>
              <w:jc w:val="center"/>
            </w:pPr>
          </w:p>
        </w:tc>
      </w:tr>
      <w:tr w:rsidR="00646580" w:rsidRPr="00827C15" w14:paraId="6F748A02" w14:textId="77777777" w:rsidTr="00646580">
        <w:tc>
          <w:tcPr>
            <w:tcW w:w="1584" w:type="pct"/>
            <w:tcBorders>
              <w:right w:val="nil"/>
            </w:tcBorders>
          </w:tcPr>
          <w:p w14:paraId="3B72BA06" w14:textId="77777777" w:rsidR="00646580" w:rsidRPr="00827C15" w:rsidRDefault="00646580" w:rsidP="00572F3E">
            <w:pPr>
              <w:pStyle w:val="TableTextLeft"/>
              <w:rPr>
                <w:b/>
              </w:rPr>
            </w:pPr>
            <w:r w:rsidRPr="002B6FFA">
              <w:rPr>
                <w:i/>
              </w:rPr>
              <w:t>Step 3</w:t>
            </w:r>
            <w:r>
              <w:rPr>
                <w:i/>
              </w:rPr>
              <w:t xml:space="preserve"> (cost per QALY – 50 years)</w:t>
            </w:r>
          </w:p>
        </w:tc>
        <w:tc>
          <w:tcPr>
            <w:tcW w:w="596" w:type="pct"/>
            <w:tcBorders>
              <w:left w:val="nil"/>
              <w:right w:val="nil"/>
            </w:tcBorders>
            <w:vAlign w:val="bottom"/>
          </w:tcPr>
          <w:p w14:paraId="3B574E93" w14:textId="77777777" w:rsidR="00646580" w:rsidRPr="00827C15" w:rsidRDefault="00646580" w:rsidP="00572F3E">
            <w:pPr>
              <w:pStyle w:val="TableTextLeft"/>
              <w:jc w:val="center"/>
            </w:pPr>
          </w:p>
        </w:tc>
        <w:tc>
          <w:tcPr>
            <w:tcW w:w="631" w:type="pct"/>
            <w:tcBorders>
              <w:left w:val="nil"/>
              <w:right w:val="nil"/>
            </w:tcBorders>
            <w:vAlign w:val="bottom"/>
          </w:tcPr>
          <w:p w14:paraId="1F6E2171" w14:textId="77777777" w:rsidR="00646580" w:rsidRPr="00827C15" w:rsidRDefault="00646580" w:rsidP="00572F3E">
            <w:pPr>
              <w:pStyle w:val="TableTextLeft"/>
              <w:jc w:val="center"/>
            </w:pPr>
          </w:p>
        </w:tc>
        <w:tc>
          <w:tcPr>
            <w:tcW w:w="723" w:type="pct"/>
            <w:tcBorders>
              <w:left w:val="nil"/>
              <w:right w:val="nil"/>
            </w:tcBorders>
            <w:vAlign w:val="bottom"/>
          </w:tcPr>
          <w:p w14:paraId="5F059CD4" w14:textId="77777777" w:rsidR="00646580" w:rsidRPr="00827C15" w:rsidRDefault="00646580" w:rsidP="00572F3E">
            <w:pPr>
              <w:pStyle w:val="TableTextLeft"/>
              <w:jc w:val="center"/>
            </w:pPr>
          </w:p>
        </w:tc>
        <w:tc>
          <w:tcPr>
            <w:tcW w:w="724" w:type="pct"/>
            <w:tcBorders>
              <w:left w:val="nil"/>
              <w:right w:val="nil"/>
            </w:tcBorders>
            <w:vAlign w:val="bottom"/>
          </w:tcPr>
          <w:p w14:paraId="755E545E" w14:textId="77777777" w:rsidR="00646580" w:rsidRPr="00933CFC" w:rsidRDefault="00646580" w:rsidP="00572F3E">
            <w:pPr>
              <w:pStyle w:val="TableTextLeft"/>
              <w:jc w:val="center"/>
            </w:pPr>
          </w:p>
        </w:tc>
        <w:tc>
          <w:tcPr>
            <w:tcW w:w="744" w:type="pct"/>
            <w:tcBorders>
              <w:left w:val="nil"/>
            </w:tcBorders>
            <w:vAlign w:val="bottom"/>
          </w:tcPr>
          <w:p w14:paraId="3ED794CE" w14:textId="77777777" w:rsidR="00646580" w:rsidRPr="00827C15" w:rsidRDefault="00646580" w:rsidP="00572F3E">
            <w:pPr>
              <w:pStyle w:val="TableTextLeft"/>
              <w:jc w:val="center"/>
            </w:pPr>
          </w:p>
        </w:tc>
      </w:tr>
      <w:tr w:rsidR="00646580" w:rsidRPr="00183E4D" w14:paraId="33F6A751" w14:textId="77777777" w:rsidTr="00646580">
        <w:tc>
          <w:tcPr>
            <w:tcW w:w="1584" w:type="pct"/>
          </w:tcPr>
          <w:p w14:paraId="64DF737F" w14:textId="77777777" w:rsidR="00646580" w:rsidRDefault="00646580" w:rsidP="00572F3E">
            <w:pPr>
              <w:keepNext/>
              <w:keepLines/>
              <w:jc w:val="both"/>
            </w:pPr>
            <w:r>
              <w:t>EndoPredict</w:t>
            </w:r>
          </w:p>
        </w:tc>
        <w:tc>
          <w:tcPr>
            <w:tcW w:w="596" w:type="pct"/>
            <w:vAlign w:val="bottom"/>
          </w:tcPr>
          <w:p w14:paraId="6B5ECA3E" w14:textId="1C3FC6E7" w:rsidR="00646580" w:rsidRPr="00183E4D" w:rsidRDefault="00646580" w:rsidP="00AE5C5C">
            <w:pPr>
              <w:pStyle w:val="TableTextLeft"/>
              <w:jc w:val="center"/>
            </w:pPr>
            <w:r w:rsidRPr="00F05B92">
              <w:rPr>
                <w:snapToGrid w:val="0"/>
              </w:rPr>
              <w:t>$</w:t>
            </w:r>
            <w:r w:rsidR="00AE5C5C">
              <w:rPr>
                <w:snapToGrid w:val="0"/>
              </w:rPr>
              <w:t>redacted</w:t>
            </w:r>
          </w:p>
        </w:tc>
        <w:tc>
          <w:tcPr>
            <w:tcW w:w="631" w:type="pct"/>
            <w:tcBorders>
              <w:top w:val="nil"/>
              <w:bottom w:val="nil"/>
            </w:tcBorders>
            <w:vAlign w:val="bottom"/>
          </w:tcPr>
          <w:p w14:paraId="2E819713" w14:textId="5C36781A" w:rsidR="00646580" w:rsidRPr="00183E4D" w:rsidRDefault="00646580" w:rsidP="00AE5C5C">
            <w:pPr>
              <w:pStyle w:val="TableTextLeft"/>
              <w:jc w:val="center"/>
            </w:pPr>
            <w:r w:rsidRPr="00F05B92">
              <w:rPr>
                <w:snapToGrid w:val="0"/>
              </w:rPr>
              <w:t>$</w:t>
            </w:r>
            <w:r w:rsidR="00AE5C5C">
              <w:rPr>
                <w:snapToGrid w:val="0"/>
              </w:rPr>
              <w:t>redacted</w:t>
            </w:r>
          </w:p>
        </w:tc>
        <w:tc>
          <w:tcPr>
            <w:tcW w:w="723" w:type="pct"/>
            <w:vAlign w:val="bottom"/>
          </w:tcPr>
          <w:p w14:paraId="3C8D72C5" w14:textId="5215DB3A" w:rsidR="00646580" w:rsidRPr="00183E4D" w:rsidRDefault="00AE5C5C" w:rsidP="00572F3E">
            <w:pPr>
              <w:pStyle w:val="TableTextLeft"/>
              <w:jc w:val="center"/>
            </w:pPr>
            <w:r>
              <w:rPr>
                <w:snapToGrid w:val="0"/>
              </w:rPr>
              <w:t>redacted</w:t>
            </w:r>
          </w:p>
        </w:tc>
        <w:tc>
          <w:tcPr>
            <w:tcW w:w="724" w:type="pct"/>
            <w:tcBorders>
              <w:top w:val="nil"/>
              <w:bottom w:val="nil"/>
            </w:tcBorders>
            <w:vAlign w:val="bottom"/>
          </w:tcPr>
          <w:p w14:paraId="1978B241" w14:textId="61900645" w:rsidR="00646580" w:rsidRPr="00183E4D" w:rsidRDefault="00AE5C5C" w:rsidP="00572F3E">
            <w:pPr>
              <w:pStyle w:val="TableTextLeft"/>
              <w:jc w:val="center"/>
            </w:pPr>
            <w:r>
              <w:rPr>
                <w:snapToGrid w:val="0"/>
              </w:rPr>
              <w:t>redacted</w:t>
            </w:r>
          </w:p>
        </w:tc>
        <w:tc>
          <w:tcPr>
            <w:tcW w:w="744" w:type="pct"/>
            <w:tcBorders>
              <w:top w:val="nil"/>
              <w:bottom w:val="nil"/>
            </w:tcBorders>
            <w:vAlign w:val="bottom"/>
          </w:tcPr>
          <w:p w14:paraId="465B346A" w14:textId="77B41BBF" w:rsidR="00646580" w:rsidRPr="00183E4D" w:rsidRDefault="00646580" w:rsidP="00AE5C5C">
            <w:pPr>
              <w:pStyle w:val="TableTextLeft"/>
              <w:jc w:val="center"/>
            </w:pPr>
            <w:r w:rsidRPr="00F05B92">
              <w:rPr>
                <w:snapToGrid w:val="0"/>
              </w:rPr>
              <w:t>$</w:t>
            </w:r>
            <w:r w:rsidR="00AE5C5C">
              <w:rPr>
                <w:snapToGrid w:val="0"/>
              </w:rPr>
              <w:t>redacted</w:t>
            </w:r>
          </w:p>
        </w:tc>
      </w:tr>
      <w:tr w:rsidR="00646580" w:rsidRPr="00183E4D" w14:paraId="6AD89DB4" w14:textId="77777777" w:rsidTr="00646580">
        <w:tc>
          <w:tcPr>
            <w:tcW w:w="1584" w:type="pct"/>
          </w:tcPr>
          <w:p w14:paraId="187D9BFB" w14:textId="77777777" w:rsidR="00646580" w:rsidRDefault="00646580" w:rsidP="00572F3E">
            <w:pPr>
              <w:keepNext/>
              <w:keepLines/>
              <w:jc w:val="both"/>
            </w:pPr>
            <w:r>
              <w:t>SOC (MDT)</w:t>
            </w:r>
          </w:p>
        </w:tc>
        <w:tc>
          <w:tcPr>
            <w:tcW w:w="596" w:type="pct"/>
            <w:vAlign w:val="bottom"/>
          </w:tcPr>
          <w:p w14:paraId="25D59F96" w14:textId="220DB959" w:rsidR="00646580" w:rsidRPr="00183E4D" w:rsidRDefault="00646580" w:rsidP="00AE5C5C">
            <w:pPr>
              <w:pStyle w:val="TableTextLeft"/>
              <w:jc w:val="center"/>
            </w:pPr>
            <w:r w:rsidRPr="00F05B92">
              <w:rPr>
                <w:snapToGrid w:val="0"/>
              </w:rPr>
              <w:t>$</w:t>
            </w:r>
            <w:r w:rsidR="00AE5C5C">
              <w:rPr>
                <w:snapToGrid w:val="0"/>
              </w:rPr>
              <w:t>redacted</w:t>
            </w:r>
          </w:p>
        </w:tc>
        <w:tc>
          <w:tcPr>
            <w:tcW w:w="631" w:type="pct"/>
            <w:tcBorders>
              <w:top w:val="nil"/>
              <w:bottom w:val="single" w:sz="4" w:space="0" w:color="auto"/>
            </w:tcBorders>
            <w:vAlign w:val="bottom"/>
          </w:tcPr>
          <w:p w14:paraId="0F580833" w14:textId="77777777" w:rsidR="00646580" w:rsidRPr="00183E4D" w:rsidRDefault="00646580" w:rsidP="00572F3E">
            <w:pPr>
              <w:pStyle w:val="TableTextLeft"/>
              <w:jc w:val="center"/>
            </w:pPr>
          </w:p>
        </w:tc>
        <w:tc>
          <w:tcPr>
            <w:tcW w:w="723" w:type="pct"/>
            <w:tcBorders>
              <w:bottom w:val="single" w:sz="4" w:space="0" w:color="auto"/>
            </w:tcBorders>
            <w:vAlign w:val="bottom"/>
          </w:tcPr>
          <w:p w14:paraId="3F3F43AD" w14:textId="0591A64F" w:rsidR="00646580" w:rsidRPr="00183E4D" w:rsidRDefault="00AE5C5C" w:rsidP="00572F3E">
            <w:pPr>
              <w:pStyle w:val="TableTextLeft"/>
              <w:jc w:val="center"/>
            </w:pPr>
            <w:r>
              <w:rPr>
                <w:snapToGrid w:val="0"/>
              </w:rPr>
              <w:t>redacted</w:t>
            </w:r>
          </w:p>
        </w:tc>
        <w:tc>
          <w:tcPr>
            <w:tcW w:w="724" w:type="pct"/>
            <w:tcBorders>
              <w:top w:val="nil"/>
              <w:bottom w:val="single" w:sz="4" w:space="0" w:color="auto"/>
            </w:tcBorders>
            <w:vAlign w:val="bottom"/>
          </w:tcPr>
          <w:p w14:paraId="791411B2" w14:textId="77777777" w:rsidR="00646580" w:rsidRPr="00183E4D" w:rsidRDefault="00646580" w:rsidP="00572F3E">
            <w:pPr>
              <w:pStyle w:val="TableTextLeft"/>
              <w:jc w:val="center"/>
            </w:pPr>
          </w:p>
        </w:tc>
        <w:tc>
          <w:tcPr>
            <w:tcW w:w="744" w:type="pct"/>
            <w:tcBorders>
              <w:top w:val="nil"/>
              <w:bottom w:val="single" w:sz="4" w:space="0" w:color="auto"/>
            </w:tcBorders>
            <w:vAlign w:val="bottom"/>
          </w:tcPr>
          <w:p w14:paraId="11F7CF4E" w14:textId="77777777" w:rsidR="00646580" w:rsidRPr="00183E4D" w:rsidRDefault="00646580" w:rsidP="00572F3E">
            <w:pPr>
              <w:pStyle w:val="TableTextLeft"/>
              <w:jc w:val="center"/>
            </w:pPr>
          </w:p>
        </w:tc>
      </w:tr>
    </w:tbl>
    <w:p w14:paraId="1326EF57" w14:textId="77777777" w:rsidR="00646580" w:rsidRDefault="00646580" w:rsidP="00646580">
      <w:pPr>
        <w:keepLines/>
        <w:spacing w:after="360"/>
        <w:contextualSpacing/>
        <w:rPr>
          <w:rFonts w:ascii="Arial Narrow" w:hAnsi="Arial Narrow"/>
          <w:color w:val="000000"/>
          <w:sz w:val="18"/>
          <w:szCs w:val="18"/>
        </w:rPr>
      </w:pPr>
      <w:r>
        <w:rPr>
          <w:rFonts w:ascii="Arial Narrow" w:hAnsi="Arial Narrow"/>
          <w:color w:val="000000"/>
          <w:sz w:val="18"/>
          <w:szCs w:val="18"/>
        </w:rPr>
        <w:t>Source: Table 2, p5 of pre-MSAC response</w:t>
      </w:r>
    </w:p>
    <w:p w14:paraId="57B89447" w14:textId="77777777" w:rsidR="00646580" w:rsidRDefault="00646580" w:rsidP="008971B6">
      <w:pPr>
        <w:keepLines/>
        <w:spacing w:after="240"/>
        <w:rPr>
          <w:rFonts w:ascii="Arial Narrow" w:hAnsi="Arial Narrow"/>
          <w:color w:val="000000"/>
          <w:sz w:val="18"/>
          <w:szCs w:val="18"/>
        </w:rPr>
      </w:pPr>
      <w:r w:rsidRPr="005F0675">
        <w:rPr>
          <w:rFonts w:ascii="Arial Narrow" w:hAnsi="Arial Narrow"/>
          <w:color w:val="000000"/>
          <w:sz w:val="18"/>
          <w:szCs w:val="18"/>
        </w:rPr>
        <w:t xml:space="preserve">Abbreviations: </w:t>
      </w:r>
      <w:r>
        <w:rPr>
          <w:rFonts w:ascii="Arial Narrow" w:hAnsi="Arial Narrow"/>
          <w:color w:val="000000"/>
          <w:sz w:val="18"/>
          <w:szCs w:val="18"/>
        </w:rPr>
        <w:t>MDT = multidisciplinary team</w:t>
      </w:r>
      <w:r w:rsidRPr="005F0675">
        <w:rPr>
          <w:rFonts w:ascii="Arial Narrow" w:hAnsi="Arial Narrow"/>
          <w:color w:val="000000"/>
          <w:sz w:val="18"/>
          <w:szCs w:val="18"/>
        </w:rPr>
        <w:t>; QALY, quality-adjusted life year; SOC standard of care</w:t>
      </w:r>
    </w:p>
    <w:p w14:paraId="002F583E" w14:textId="02552B8C" w:rsidR="00646580" w:rsidRPr="008971B6" w:rsidRDefault="00646580" w:rsidP="008971B6">
      <w:pPr>
        <w:spacing w:before="240"/>
      </w:pPr>
      <w:r w:rsidRPr="008971B6">
        <w:t>The Applicant provided updated se</w:t>
      </w:r>
      <w:r w:rsidR="009335D3" w:rsidRPr="008971B6">
        <w:t>nsitivity analyses in Table 11.</w:t>
      </w:r>
    </w:p>
    <w:p w14:paraId="3358FF5E" w14:textId="59C13241" w:rsidR="00646580" w:rsidRPr="00497393" w:rsidRDefault="00646580" w:rsidP="00497393">
      <w:pPr>
        <w:keepNext/>
        <w:keepLines/>
        <w:rPr>
          <w:rFonts w:ascii="Arial Narrow" w:hAnsi="Arial Narrow"/>
          <w:b/>
          <w:sz w:val="20"/>
        </w:rPr>
      </w:pPr>
      <w:r w:rsidRPr="00497393">
        <w:rPr>
          <w:rFonts w:ascii="Arial Narrow" w:hAnsi="Arial Narrow"/>
          <w:b/>
          <w:sz w:val="20"/>
        </w:rPr>
        <w:lastRenderedPageBreak/>
        <w:t xml:space="preserve">Table 11: Key drivers of the economic model: </w:t>
      </w:r>
      <w:r w:rsidR="003A6925" w:rsidRPr="00497393">
        <w:rPr>
          <w:rFonts w:ascii="Arial Narrow" w:hAnsi="Arial Narrow"/>
          <w:b/>
          <w:sz w:val="20"/>
        </w:rPr>
        <w:t>redacted</w:t>
      </w:r>
    </w:p>
    <w:tbl>
      <w:tblPr>
        <w:tblStyle w:val="TableGrid1"/>
        <w:tblW w:w="5000" w:type="pct"/>
        <w:tblLook w:val="04A0" w:firstRow="1" w:lastRow="0" w:firstColumn="1" w:lastColumn="0" w:noHBand="0" w:noVBand="1"/>
        <w:tblCaption w:val="Key drivers of the economic model"/>
        <w:tblDescription w:val="This table describes what factors and assumptions in the economic model affect the incremental cost-effectiveness to the greatest extent."/>
      </w:tblPr>
      <w:tblGrid>
        <w:gridCol w:w="5448"/>
        <w:gridCol w:w="1220"/>
        <w:gridCol w:w="1137"/>
        <w:gridCol w:w="1211"/>
      </w:tblGrid>
      <w:tr w:rsidR="00646580" w:rsidRPr="00183E4D" w14:paraId="1F175906" w14:textId="77777777" w:rsidTr="00EC7E74">
        <w:trPr>
          <w:cnfStyle w:val="100000000000" w:firstRow="1" w:lastRow="0" w:firstColumn="0" w:lastColumn="0" w:oddVBand="0" w:evenVBand="0" w:oddHBand="0" w:evenHBand="0" w:firstRowFirstColumn="0" w:firstRowLastColumn="0" w:lastRowFirstColumn="0" w:lastRowLastColumn="0"/>
          <w:tblHeader/>
        </w:trPr>
        <w:tc>
          <w:tcPr>
            <w:tcW w:w="3029" w:type="pct"/>
          </w:tcPr>
          <w:p w14:paraId="78497F81" w14:textId="77777777" w:rsidR="00646580" w:rsidRPr="00183E4D" w:rsidRDefault="00646580" w:rsidP="00497393">
            <w:pPr>
              <w:pStyle w:val="TableHeading"/>
              <w:keepLines/>
              <w:rPr>
                <w:snapToGrid w:val="0"/>
              </w:rPr>
            </w:pPr>
            <w:r w:rsidRPr="00183E4D">
              <w:rPr>
                <w:snapToGrid w:val="0"/>
              </w:rPr>
              <w:t>Description</w:t>
            </w:r>
          </w:p>
        </w:tc>
        <w:tc>
          <w:tcPr>
            <w:tcW w:w="684" w:type="pct"/>
          </w:tcPr>
          <w:p w14:paraId="36AD7598" w14:textId="77777777" w:rsidR="00646580" w:rsidRPr="00183E4D" w:rsidRDefault="00646580" w:rsidP="00497393">
            <w:pPr>
              <w:pStyle w:val="TableHeadingcenter"/>
              <w:keepLines/>
              <w:rPr>
                <w:snapToGrid w:val="0"/>
              </w:rPr>
            </w:pPr>
            <w:r>
              <w:rPr>
                <w:snapToGrid w:val="0"/>
              </w:rPr>
              <w:t>Incremental cost</w:t>
            </w:r>
          </w:p>
        </w:tc>
        <w:tc>
          <w:tcPr>
            <w:tcW w:w="608" w:type="pct"/>
          </w:tcPr>
          <w:p w14:paraId="37851A44" w14:textId="77777777" w:rsidR="00646580" w:rsidRPr="00183E4D" w:rsidRDefault="00646580" w:rsidP="00497393">
            <w:pPr>
              <w:pStyle w:val="TableHeadingcenter"/>
              <w:keepLines/>
              <w:rPr>
                <w:snapToGrid w:val="0"/>
              </w:rPr>
            </w:pPr>
            <w:r>
              <w:rPr>
                <w:snapToGrid w:val="0"/>
              </w:rPr>
              <w:t>Incremental QALY</w:t>
            </w:r>
          </w:p>
        </w:tc>
        <w:tc>
          <w:tcPr>
            <w:tcW w:w="679" w:type="pct"/>
          </w:tcPr>
          <w:p w14:paraId="084D7893" w14:textId="77777777" w:rsidR="00646580" w:rsidRPr="00183E4D" w:rsidRDefault="00646580" w:rsidP="00497393">
            <w:pPr>
              <w:pStyle w:val="TableHeadingcenter"/>
              <w:keepLines/>
              <w:rPr>
                <w:snapToGrid w:val="0"/>
              </w:rPr>
            </w:pPr>
            <w:r>
              <w:rPr>
                <w:snapToGrid w:val="0"/>
              </w:rPr>
              <w:t>ICER</w:t>
            </w:r>
          </w:p>
        </w:tc>
      </w:tr>
      <w:tr w:rsidR="00646580" w:rsidRPr="00183E4D" w14:paraId="6D8059A2" w14:textId="77777777" w:rsidTr="00572F3E">
        <w:tc>
          <w:tcPr>
            <w:tcW w:w="3029" w:type="pct"/>
          </w:tcPr>
          <w:p w14:paraId="5DBF08CE" w14:textId="77777777" w:rsidR="00646580" w:rsidRPr="00183E4D" w:rsidRDefault="00646580" w:rsidP="00497393">
            <w:pPr>
              <w:pStyle w:val="TableTextLeft"/>
              <w:keepLines/>
              <w:rPr>
                <w:snapToGrid w:val="0"/>
              </w:rPr>
            </w:pPr>
            <w:r>
              <w:rPr>
                <w:snapToGrid w:val="0"/>
              </w:rPr>
              <w:t>Base case</w:t>
            </w:r>
          </w:p>
        </w:tc>
        <w:tc>
          <w:tcPr>
            <w:tcW w:w="684" w:type="pct"/>
            <w:vAlign w:val="bottom"/>
          </w:tcPr>
          <w:p w14:paraId="04C1A793" w14:textId="7729CDBA" w:rsidR="00646580" w:rsidRPr="00A269F9" w:rsidRDefault="00646580" w:rsidP="00497393">
            <w:pPr>
              <w:pStyle w:val="TableTextLeft"/>
              <w:keepLines/>
              <w:jc w:val="center"/>
            </w:pPr>
            <w:r w:rsidRPr="00F05B92">
              <w:rPr>
                <w:snapToGrid w:val="0"/>
              </w:rPr>
              <w:t>$</w:t>
            </w:r>
            <w:r w:rsidR="003A6925">
              <w:rPr>
                <w:snapToGrid w:val="0"/>
              </w:rPr>
              <w:t>redacted</w:t>
            </w:r>
          </w:p>
        </w:tc>
        <w:tc>
          <w:tcPr>
            <w:tcW w:w="608" w:type="pct"/>
            <w:vAlign w:val="bottom"/>
          </w:tcPr>
          <w:p w14:paraId="144652A0" w14:textId="56660610" w:rsidR="00646580" w:rsidRPr="00A269F9" w:rsidRDefault="003A6925" w:rsidP="00497393">
            <w:pPr>
              <w:pStyle w:val="TableTextLeft"/>
              <w:keepLines/>
              <w:jc w:val="center"/>
            </w:pPr>
            <w:r>
              <w:rPr>
                <w:snapToGrid w:val="0"/>
              </w:rPr>
              <w:t>redacted</w:t>
            </w:r>
          </w:p>
        </w:tc>
        <w:tc>
          <w:tcPr>
            <w:tcW w:w="679" w:type="pct"/>
            <w:vAlign w:val="bottom"/>
          </w:tcPr>
          <w:p w14:paraId="68DC7BA5" w14:textId="1DEA5A39" w:rsidR="00646580" w:rsidRPr="00B0727E" w:rsidRDefault="00646580" w:rsidP="00497393">
            <w:pPr>
              <w:pStyle w:val="TableTextLeft"/>
              <w:keepLines/>
              <w:jc w:val="center"/>
            </w:pPr>
            <w:r w:rsidRPr="00F05B92">
              <w:rPr>
                <w:snapToGrid w:val="0"/>
              </w:rPr>
              <w:t>$</w:t>
            </w:r>
            <w:r w:rsidR="003A6925">
              <w:rPr>
                <w:snapToGrid w:val="0"/>
              </w:rPr>
              <w:t>redacted</w:t>
            </w:r>
          </w:p>
        </w:tc>
      </w:tr>
      <w:tr w:rsidR="00646580" w:rsidRPr="00183E4D" w14:paraId="4D7D18B8" w14:textId="77777777" w:rsidTr="00572F3E">
        <w:tc>
          <w:tcPr>
            <w:tcW w:w="3029" w:type="pct"/>
          </w:tcPr>
          <w:p w14:paraId="6FFB7CE2" w14:textId="77777777" w:rsidR="00646580" w:rsidRPr="00183E4D" w:rsidRDefault="00646580" w:rsidP="00497393">
            <w:pPr>
              <w:pStyle w:val="TableTextLeft"/>
              <w:keepLines/>
              <w:rPr>
                <w:snapToGrid w:val="0"/>
              </w:rPr>
            </w:pPr>
            <w:r>
              <w:rPr>
                <w:snapToGrid w:val="0"/>
              </w:rPr>
              <w:t>Discount rate 0%</w:t>
            </w:r>
          </w:p>
        </w:tc>
        <w:tc>
          <w:tcPr>
            <w:tcW w:w="684" w:type="pct"/>
            <w:vAlign w:val="bottom"/>
          </w:tcPr>
          <w:p w14:paraId="1DF2CCA2" w14:textId="12FFB6EF" w:rsidR="00646580" w:rsidRPr="00A269F9" w:rsidRDefault="00646580" w:rsidP="00497393">
            <w:pPr>
              <w:pStyle w:val="TableTextLeft"/>
              <w:keepLines/>
              <w:jc w:val="center"/>
            </w:pPr>
            <w:r w:rsidRPr="00F05B92">
              <w:rPr>
                <w:snapToGrid w:val="0"/>
              </w:rPr>
              <w:t>$</w:t>
            </w:r>
            <w:r w:rsidR="003A6925">
              <w:rPr>
                <w:snapToGrid w:val="0"/>
              </w:rPr>
              <w:t>redacted</w:t>
            </w:r>
          </w:p>
        </w:tc>
        <w:tc>
          <w:tcPr>
            <w:tcW w:w="608" w:type="pct"/>
            <w:vAlign w:val="bottom"/>
          </w:tcPr>
          <w:p w14:paraId="06A1374D" w14:textId="1476A2BB" w:rsidR="00646580" w:rsidRPr="00A269F9" w:rsidRDefault="003A6925" w:rsidP="00497393">
            <w:pPr>
              <w:pStyle w:val="TableTextLeft"/>
              <w:keepLines/>
              <w:jc w:val="center"/>
            </w:pPr>
            <w:r>
              <w:rPr>
                <w:snapToGrid w:val="0"/>
              </w:rPr>
              <w:t>redacted</w:t>
            </w:r>
          </w:p>
        </w:tc>
        <w:tc>
          <w:tcPr>
            <w:tcW w:w="679" w:type="pct"/>
            <w:vAlign w:val="bottom"/>
          </w:tcPr>
          <w:p w14:paraId="71D32D48" w14:textId="3D75DBB2" w:rsidR="00646580" w:rsidRPr="00B0727E" w:rsidRDefault="00646580" w:rsidP="00497393">
            <w:pPr>
              <w:pStyle w:val="TableTextLeft"/>
              <w:keepLines/>
              <w:jc w:val="center"/>
            </w:pPr>
            <w:r w:rsidRPr="00F05B92">
              <w:rPr>
                <w:snapToGrid w:val="0"/>
              </w:rPr>
              <w:t>$</w:t>
            </w:r>
            <w:r w:rsidR="003A6925">
              <w:rPr>
                <w:snapToGrid w:val="0"/>
              </w:rPr>
              <w:t>redacted</w:t>
            </w:r>
          </w:p>
        </w:tc>
      </w:tr>
      <w:tr w:rsidR="00646580" w:rsidRPr="00183E4D" w14:paraId="429CFBD5" w14:textId="77777777" w:rsidTr="00572F3E">
        <w:tc>
          <w:tcPr>
            <w:tcW w:w="3029" w:type="pct"/>
          </w:tcPr>
          <w:p w14:paraId="532A2488" w14:textId="77777777" w:rsidR="00646580" w:rsidRPr="00183E4D" w:rsidRDefault="00646580" w:rsidP="00572F3E">
            <w:pPr>
              <w:pStyle w:val="TableTextLeft"/>
              <w:rPr>
                <w:snapToGrid w:val="0"/>
              </w:rPr>
            </w:pPr>
            <w:r>
              <w:rPr>
                <w:snapToGrid w:val="0"/>
              </w:rPr>
              <w:t>Discount rate 3.5%</w:t>
            </w:r>
          </w:p>
        </w:tc>
        <w:tc>
          <w:tcPr>
            <w:tcW w:w="684" w:type="pct"/>
            <w:vAlign w:val="bottom"/>
          </w:tcPr>
          <w:p w14:paraId="12C85F82" w14:textId="69984FC6" w:rsidR="00646580" w:rsidRPr="00A269F9" w:rsidRDefault="00646580" w:rsidP="003A6925">
            <w:pPr>
              <w:pStyle w:val="TableTextLeft"/>
              <w:jc w:val="center"/>
            </w:pPr>
            <w:r w:rsidRPr="00F05B92">
              <w:rPr>
                <w:snapToGrid w:val="0"/>
              </w:rPr>
              <w:t>$</w:t>
            </w:r>
            <w:r w:rsidR="003A6925">
              <w:rPr>
                <w:snapToGrid w:val="0"/>
              </w:rPr>
              <w:t>redacted</w:t>
            </w:r>
          </w:p>
        </w:tc>
        <w:tc>
          <w:tcPr>
            <w:tcW w:w="608" w:type="pct"/>
            <w:vAlign w:val="bottom"/>
          </w:tcPr>
          <w:p w14:paraId="2C04B97F" w14:textId="6A832E94" w:rsidR="00646580" w:rsidRPr="00A269F9" w:rsidRDefault="003A6925" w:rsidP="00572F3E">
            <w:pPr>
              <w:pStyle w:val="TableTextLeft"/>
              <w:jc w:val="center"/>
            </w:pPr>
            <w:r>
              <w:rPr>
                <w:snapToGrid w:val="0"/>
              </w:rPr>
              <w:t>redacted</w:t>
            </w:r>
          </w:p>
        </w:tc>
        <w:tc>
          <w:tcPr>
            <w:tcW w:w="679" w:type="pct"/>
            <w:vAlign w:val="bottom"/>
          </w:tcPr>
          <w:p w14:paraId="4C4D0A9D" w14:textId="2CFDD2CE" w:rsidR="00646580" w:rsidRPr="00B0727E" w:rsidRDefault="00646580" w:rsidP="003A6925">
            <w:pPr>
              <w:pStyle w:val="TableTextLeft"/>
              <w:jc w:val="center"/>
            </w:pPr>
            <w:r w:rsidRPr="00F05B92">
              <w:rPr>
                <w:snapToGrid w:val="0"/>
              </w:rPr>
              <w:t>$</w:t>
            </w:r>
            <w:r w:rsidR="003A6925">
              <w:rPr>
                <w:snapToGrid w:val="0"/>
              </w:rPr>
              <w:t>redacted</w:t>
            </w:r>
          </w:p>
        </w:tc>
      </w:tr>
      <w:tr w:rsidR="00646580" w:rsidRPr="00183E4D" w14:paraId="15878D41" w14:textId="77777777" w:rsidTr="00572F3E">
        <w:tc>
          <w:tcPr>
            <w:tcW w:w="3029" w:type="pct"/>
          </w:tcPr>
          <w:p w14:paraId="1B75E935" w14:textId="77777777" w:rsidR="00646580" w:rsidRPr="00183E4D" w:rsidRDefault="00646580" w:rsidP="00572F3E">
            <w:pPr>
              <w:pStyle w:val="TableTextLeft"/>
              <w:rPr>
                <w:snapToGrid w:val="0"/>
              </w:rPr>
            </w:pPr>
            <w:r>
              <w:rPr>
                <w:snapToGrid w:val="0"/>
              </w:rPr>
              <w:t>Include MDT decisions which deviate from EndoPredict</w:t>
            </w:r>
          </w:p>
        </w:tc>
        <w:tc>
          <w:tcPr>
            <w:tcW w:w="684" w:type="pct"/>
            <w:vAlign w:val="bottom"/>
          </w:tcPr>
          <w:p w14:paraId="15804D08" w14:textId="641B1267" w:rsidR="00646580" w:rsidRPr="00A269F9" w:rsidRDefault="00646580" w:rsidP="003A6925">
            <w:pPr>
              <w:pStyle w:val="TableTextLeft"/>
              <w:jc w:val="center"/>
            </w:pPr>
            <w:r w:rsidRPr="00F05B92">
              <w:rPr>
                <w:snapToGrid w:val="0"/>
              </w:rPr>
              <w:t>$</w:t>
            </w:r>
            <w:r w:rsidR="003A6925">
              <w:rPr>
                <w:snapToGrid w:val="0"/>
              </w:rPr>
              <w:t>redacted</w:t>
            </w:r>
          </w:p>
        </w:tc>
        <w:tc>
          <w:tcPr>
            <w:tcW w:w="608" w:type="pct"/>
            <w:vAlign w:val="bottom"/>
          </w:tcPr>
          <w:p w14:paraId="7617D6EA" w14:textId="0D9C782F" w:rsidR="00646580" w:rsidRPr="00A269F9" w:rsidRDefault="003A6925" w:rsidP="00572F3E">
            <w:pPr>
              <w:pStyle w:val="TableTextLeft"/>
              <w:jc w:val="center"/>
            </w:pPr>
            <w:r>
              <w:rPr>
                <w:snapToGrid w:val="0"/>
              </w:rPr>
              <w:t>redacted</w:t>
            </w:r>
          </w:p>
        </w:tc>
        <w:tc>
          <w:tcPr>
            <w:tcW w:w="679" w:type="pct"/>
            <w:vAlign w:val="bottom"/>
          </w:tcPr>
          <w:p w14:paraId="0B9CB2E4" w14:textId="07B674E0" w:rsidR="00646580" w:rsidRPr="00B0727E" w:rsidRDefault="00646580" w:rsidP="003A6925">
            <w:pPr>
              <w:pStyle w:val="TableTextLeft"/>
              <w:jc w:val="center"/>
            </w:pPr>
            <w:r w:rsidRPr="00F05B92">
              <w:rPr>
                <w:snapToGrid w:val="0"/>
              </w:rPr>
              <w:t>$</w:t>
            </w:r>
            <w:r w:rsidR="003A6925">
              <w:rPr>
                <w:snapToGrid w:val="0"/>
              </w:rPr>
              <w:t>redacted</w:t>
            </w:r>
          </w:p>
        </w:tc>
      </w:tr>
      <w:tr w:rsidR="00646580" w:rsidRPr="00183E4D" w14:paraId="71556CDB" w14:textId="77777777" w:rsidTr="00572F3E">
        <w:tc>
          <w:tcPr>
            <w:tcW w:w="3029" w:type="pct"/>
          </w:tcPr>
          <w:p w14:paraId="0C42A17A" w14:textId="77777777" w:rsidR="00646580" w:rsidRPr="00183E4D" w:rsidRDefault="00646580" w:rsidP="00572F3E">
            <w:pPr>
              <w:pStyle w:val="TableTextLeft"/>
              <w:rPr>
                <w:snapToGrid w:val="0"/>
              </w:rPr>
            </w:pPr>
            <w:r>
              <w:rPr>
                <w:snapToGrid w:val="0"/>
              </w:rPr>
              <w:t>Assume constant relative risk reduction from adjuvant chemotherapy used in the NICE model of 0.76</w:t>
            </w:r>
          </w:p>
        </w:tc>
        <w:tc>
          <w:tcPr>
            <w:tcW w:w="684" w:type="pct"/>
            <w:vAlign w:val="bottom"/>
          </w:tcPr>
          <w:p w14:paraId="733974E6" w14:textId="50587BD9" w:rsidR="00646580" w:rsidRPr="00A269F9" w:rsidRDefault="00646580" w:rsidP="003A6925">
            <w:pPr>
              <w:pStyle w:val="TableTextLeft"/>
              <w:jc w:val="center"/>
            </w:pPr>
            <w:r w:rsidRPr="00F05B92">
              <w:rPr>
                <w:snapToGrid w:val="0"/>
              </w:rPr>
              <w:t>$</w:t>
            </w:r>
            <w:r w:rsidR="003A6925">
              <w:rPr>
                <w:snapToGrid w:val="0"/>
              </w:rPr>
              <w:t>redacted</w:t>
            </w:r>
          </w:p>
        </w:tc>
        <w:tc>
          <w:tcPr>
            <w:tcW w:w="608" w:type="pct"/>
            <w:vAlign w:val="bottom"/>
          </w:tcPr>
          <w:p w14:paraId="7E468281" w14:textId="3BD3D285" w:rsidR="00646580" w:rsidRPr="00A269F9" w:rsidRDefault="003A6925" w:rsidP="00572F3E">
            <w:pPr>
              <w:pStyle w:val="TableTextLeft"/>
              <w:jc w:val="center"/>
            </w:pPr>
            <w:r>
              <w:rPr>
                <w:snapToGrid w:val="0"/>
              </w:rPr>
              <w:t>redacted</w:t>
            </w:r>
          </w:p>
        </w:tc>
        <w:tc>
          <w:tcPr>
            <w:tcW w:w="679" w:type="pct"/>
            <w:vAlign w:val="bottom"/>
          </w:tcPr>
          <w:p w14:paraId="72097EE1" w14:textId="261C5C8A" w:rsidR="00646580" w:rsidRPr="00B0727E" w:rsidRDefault="00646580" w:rsidP="003A6925">
            <w:pPr>
              <w:pStyle w:val="TableTextLeft"/>
              <w:jc w:val="center"/>
            </w:pPr>
            <w:r w:rsidRPr="00F05B92">
              <w:rPr>
                <w:snapToGrid w:val="0"/>
              </w:rPr>
              <w:t>$</w:t>
            </w:r>
            <w:r w:rsidR="003A6925">
              <w:rPr>
                <w:snapToGrid w:val="0"/>
              </w:rPr>
              <w:t>redacted</w:t>
            </w:r>
          </w:p>
        </w:tc>
      </w:tr>
      <w:tr w:rsidR="00646580" w:rsidRPr="00183E4D" w14:paraId="59EC840F" w14:textId="77777777" w:rsidTr="00572F3E">
        <w:tc>
          <w:tcPr>
            <w:tcW w:w="3029" w:type="pct"/>
          </w:tcPr>
          <w:p w14:paraId="753DF5C8" w14:textId="77777777" w:rsidR="00646580" w:rsidRPr="00183E4D" w:rsidRDefault="00646580" w:rsidP="00572F3E">
            <w:pPr>
              <w:pStyle w:val="TableTextLeft"/>
              <w:rPr>
                <w:snapToGrid w:val="0"/>
              </w:rPr>
            </w:pPr>
            <w:r>
              <w:rPr>
                <w:snapToGrid w:val="0"/>
              </w:rPr>
              <w:t>Reduction of adjuvant chemotherapy costs by 10%</w:t>
            </w:r>
          </w:p>
        </w:tc>
        <w:tc>
          <w:tcPr>
            <w:tcW w:w="684" w:type="pct"/>
            <w:vAlign w:val="bottom"/>
          </w:tcPr>
          <w:p w14:paraId="650AECF8" w14:textId="4AE574CE" w:rsidR="00646580" w:rsidRPr="00A269F9" w:rsidRDefault="00646580" w:rsidP="003A6925">
            <w:pPr>
              <w:pStyle w:val="TableTextLeft"/>
              <w:jc w:val="center"/>
            </w:pPr>
            <w:r w:rsidRPr="00F05B92">
              <w:rPr>
                <w:snapToGrid w:val="0"/>
              </w:rPr>
              <w:t>$</w:t>
            </w:r>
            <w:r w:rsidR="003A6925">
              <w:rPr>
                <w:snapToGrid w:val="0"/>
              </w:rPr>
              <w:t>redacted</w:t>
            </w:r>
          </w:p>
        </w:tc>
        <w:tc>
          <w:tcPr>
            <w:tcW w:w="608" w:type="pct"/>
            <w:vAlign w:val="bottom"/>
          </w:tcPr>
          <w:p w14:paraId="6F31D4E9" w14:textId="4D3DB528" w:rsidR="00646580" w:rsidRPr="00A269F9" w:rsidRDefault="003A6925" w:rsidP="00572F3E">
            <w:pPr>
              <w:pStyle w:val="TableTextLeft"/>
              <w:jc w:val="center"/>
            </w:pPr>
            <w:r>
              <w:rPr>
                <w:snapToGrid w:val="0"/>
              </w:rPr>
              <w:t>redacted</w:t>
            </w:r>
          </w:p>
        </w:tc>
        <w:tc>
          <w:tcPr>
            <w:tcW w:w="679" w:type="pct"/>
            <w:vAlign w:val="bottom"/>
          </w:tcPr>
          <w:p w14:paraId="65C1E148" w14:textId="7C199FA7" w:rsidR="00646580" w:rsidRPr="00B0727E" w:rsidRDefault="00646580" w:rsidP="003A6925">
            <w:pPr>
              <w:pStyle w:val="TableTextLeft"/>
              <w:jc w:val="center"/>
            </w:pPr>
            <w:r w:rsidRPr="00F05B92">
              <w:rPr>
                <w:snapToGrid w:val="0"/>
              </w:rPr>
              <w:t>$</w:t>
            </w:r>
            <w:r w:rsidR="003A6925">
              <w:rPr>
                <w:snapToGrid w:val="0"/>
              </w:rPr>
              <w:t>redacted</w:t>
            </w:r>
          </w:p>
        </w:tc>
      </w:tr>
      <w:tr w:rsidR="00646580" w:rsidRPr="00183E4D" w14:paraId="3BB1554B" w14:textId="77777777" w:rsidTr="00572F3E">
        <w:tc>
          <w:tcPr>
            <w:tcW w:w="3029" w:type="pct"/>
          </w:tcPr>
          <w:p w14:paraId="61932BC8" w14:textId="77777777" w:rsidR="00646580" w:rsidRPr="00183E4D" w:rsidRDefault="00646580" w:rsidP="00572F3E">
            <w:pPr>
              <w:pStyle w:val="TableTextLeft"/>
              <w:rPr>
                <w:snapToGrid w:val="0"/>
              </w:rPr>
            </w:pPr>
            <w:r>
              <w:rPr>
                <w:snapToGrid w:val="0"/>
              </w:rPr>
              <w:t>Utility values for recurrence-free and distant recurrence reported by Lidgren 2007</w:t>
            </w:r>
          </w:p>
        </w:tc>
        <w:tc>
          <w:tcPr>
            <w:tcW w:w="684" w:type="pct"/>
            <w:vAlign w:val="bottom"/>
          </w:tcPr>
          <w:p w14:paraId="66038CEB" w14:textId="475E0AFA" w:rsidR="00646580" w:rsidRPr="00A269F9" w:rsidRDefault="00646580" w:rsidP="003A6925">
            <w:pPr>
              <w:pStyle w:val="TableTextLeft"/>
              <w:jc w:val="center"/>
            </w:pPr>
            <w:r w:rsidRPr="00F05B92">
              <w:rPr>
                <w:snapToGrid w:val="0"/>
              </w:rPr>
              <w:t>$</w:t>
            </w:r>
            <w:r w:rsidR="003A6925">
              <w:rPr>
                <w:snapToGrid w:val="0"/>
              </w:rPr>
              <w:t>redacted</w:t>
            </w:r>
          </w:p>
        </w:tc>
        <w:tc>
          <w:tcPr>
            <w:tcW w:w="608" w:type="pct"/>
            <w:vAlign w:val="bottom"/>
          </w:tcPr>
          <w:p w14:paraId="3141F77A" w14:textId="63D4EC2F" w:rsidR="00646580" w:rsidRPr="00A269F9" w:rsidRDefault="003A6925" w:rsidP="00572F3E">
            <w:pPr>
              <w:pStyle w:val="TableTextLeft"/>
              <w:jc w:val="center"/>
            </w:pPr>
            <w:r>
              <w:rPr>
                <w:snapToGrid w:val="0"/>
              </w:rPr>
              <w:t>redacted</w:t>
            </w:r>
          </w:p>
        </w:tc>
        <w:tc>
          <w:tcPr>
            <w:tcW w:w="679" w:type="pct"/>
            <w:vAlign w:val="bottom"/>
          </w:tcPr>
          <w:p w14:paraId="4ABFD092" w14:textId="211C9203" w:rsidR="00646580" w:rsidRPr="00B0727E" w:rsidRDefault="00646580" w:rsidP="003A6925">
            <w:pPr>
              <w:pStyle w:val="TableTextLeft"/>
              <w:jc w:val="center"/>
            </w:pPr>
            <w:r w:rsidRPr="00F05B92">
              <w:rPr>
                <w:snapToGrid w:val="0"/>
              </w:rPr>
              <w:t>$</w:t>
            </w:r>
            <w:r w:rsidR="003A6925">
              <w:rPr>
                <w:snapToGrid w:val="0"/>
              </w:rPr>
              <w:t>redacted</w:t>
            </w:r>
          </w:p>
        </w:tc>
      </w:tr>
      <w:tr w:rsidR="00646580" w:rsidRPr="00183E4D" w14:paraId="28EFD74D" w14:textId="77777777" w:rsidTr="00572F3E">
        <w:tc>
          <w:tcPr>
            <w:tcW w:w="3029" w:type="pct"/>
          </w:tcPr>
          <w:p w14:paraId="1D21F970" w14:textId="77777777" w:rsidR="00646580" w:rsidRPr="00183E4D" w:rsidRDefault="00646580" w:rsidP="00572F3E">
            <w:pPr>
              <w:pStyle w:val="TableTextLeft"/>
              <w:rPr>
                <w:snapToGrid w:val="0"/>
              </w:rPr>
            </w:pPr>
            <w:r>
              <w:rPr>
                <w:snapToGrid w:val="0"/>
              </w:rPr>
              <w:t>Breast cancer mortality rate of used in the NICE model (0.1836)</w:t>
            </w:r>
          </w:p>
        </w:tc>
        <w:tc>
          <w:tcPr>
            <w:tcW w:w="684" w:type="pct"/>
            <w:vAlign w:val="bottom"/>
          </w:tcPr>
          <w:p w14:paraId="3B6AF356" w14:textId="78911832" w:rsidR="00646580" w:rsidRPr="00A269F9" w:rsidRDefault="00646580" w:rsidP="003A6925">
            <w:pPr>
              <w:pStyle w:val="TableTextLeft"/>
              <w:jc w:val="center"/>
            </w:pPr>
            <w:r w:rsidRPr="00F05B92">
              <w:rPr>
                <w:snapToGrid w:val="0"/>
              </w:rPr>
              <w:t>$</w:t>
            </w:r>
            <w:r w:rsidR="003A6925">
              <w:rPr>
                <w:snapToGrid w:val="0"/>
              </w:rPr>
              <w:t>redacted</w:t>
            </w:r>
          </w:p>
        </w:tc>
        <w:tc>
          <w:tcPr>
            <w:tcW w:w="608" w:type="pct"/>
            <w:vAlign w:val="bottom"/>
          </w:tcPr>
          <w:p w14:paraId="1106062F" w14:textId="5D15BF67" w:rsidR="00646580" w:rsidRPr="00A269F9" w:rsidRDefault="003A6925" w:rsidP="00572F3E">
            <w:pPr>
              <w:pStyle w:val="TableTextLeft"/>
              <w:jc w:val="center"/>
            </w:pPr>
            <w:r>
              <w:rPr>
                <w:snapToGrid w:val="0"/>
              </w:rPr>
              <w:t>redacted</w:t>
            </w:r>
          </w:p>
        </w:tc>
        <w:tc>
          <w:tcPr>
            <w:tcW w:w="679" w:type="pct"/>
            <w:vAlign w:val="bottom"/>
          </w:tcPr>
          <w:p w14:paraId="2F27E7AE" w14:textId="2837CBFE" w:rsidR="00646580" w:rsidRPr="00B0727E" w:rsidRDefault="00646580" w:rsidP="003A6925">
            <w:pPr>
              <w:pStyle w:val="TableTextLeft"/>
              <w:jc w:val="center"/>
            </w:pPr>
            <w:r w:rsidRPr="00F05B92">
              <w:rPr>
                <w:snapToGrid w:val="0"/>
              </w:rPr>
              <w:t>$</w:t>
            </w:r>
            <w:r w:rsidR="003A6925">
              <w:rPr>
                <w:snapToGrid w:val="0"/>
              </w:rPr>
              <w:t>redacted</w:t>
            </w:r>
          </w:p>
        </w:tc>
      </w:tr>
    </w:tbl>
    <w:p w14:paraId="3099A52D" w14:textId="77777777" w:rsidR="009B1F59" w:rsidRPr="00F715D1" w:rsidRDefault="009B1F59" w:rsidP="009B1F59">
      <w:pPr>
        <w:pStyle w:val="Heading1"/>
      </w:pPr>
      <w:r w:rsidRPr="00F715D1">
        <w:t>Financial/budgetary impacts</w:t>
      </w:r>
    </w:p>
    <w:p w14:paraId="09E882A0" w14:textId="1F27CD9B" w:rsidR="001C7D5B" w:rsidRDefault="001C7D5B" w:rsidP="000C0B97">
      <w:pPr>
        <w:spacing w:after="240"/>
      </w:pPr>
      <w:r w:rsidRPr="005F0675">
        <w:t>An epidemiological approach was used to estimate the financial implications of the introduction of EndoPredict</w:t>
      </w:r>
      <w:r>
        <w:t xml:space="preserve"> (Tables </w:t>
      </w:r>
      <w:r w:rsidR="00646580">
        <w:t>12</w:t>
      </w:r>
      <w:r>
        <w:t xml:space="preserve"> and </w:t>
      </w:r>
      <w:r w:rsidR="00646580">
        <w:t>13</w:t>
      </w:r>
      <w:r>
        <w:t>)</w:t>
      </w:r>
      <w:r w:rsidR="000C0B97">
        <w:t>.</w:t>
      </w:r>
    </w:p>
    <w:p w14:paraId="56BB2FF8" w14:textId="592C23C6" w:rsidR="001C7D5B" w:rsidRDefault="001C7D5B" w:rsidP="000C0B97">
      <w:pPr>
        <w:spacing w:after="240"/>
      </w:pPr>
      <w:r w:rsidRPr="005F0675">
        <w:t>The</w:t>
      </w:r>
      <w:r>
        <w:t xml:space="preserve"> </w:t>
      </w:r>
      <w:r w:rsidRPr="005F0675">
        <w:t>financial impact analysis assumes that patients will receive only one EndoPredict test, and those assessed to be at high risk will receive chemotherapy consisting of AC (doxorubicin and cyclophosphamide), with 64% also receiving paclitaxel. All patients are assumed to visit a specialist twice for the treatment of adverse events.</w:t>
      </w:r>
    </w:p>
    <w:p w14:paraId="662C283D" w14:textId="77777777" w:rsidR="001C7D5B" w:rsidRPr="008971B6" w:rsidRDefault="001C7D5B" w:rsidP="008971B6">
      <w:pPr>
        <w:rPr>
          <w:rFonts w:ascii="Arial Narrow" w:hAnsi="Arial Narrow"/>
          <w:b/>
          <w:sz w:val="20"/>
        </w:rPr>
      </w:pPr>
      <w:bookmarkStart w:id="33" w:name="_Ref524525580"/>
      <w:bookmarkStart w:id="34" w:name="_Toc10043957"/>
      <w:bookmarkStart w:id="35" w:name="_Toc10728705"/>
      <w:bookmarkStart w:id="36" w:name="_Toc19276854"/>
      <w:r w:rsidRPr="008971B6">
        <w:rPr>
          <w:rFonts w:ascii="Arial Narrow" w:hAnsi="Arial Narrow"/>
          <w:b/>
          <w:sz w:val="20"/>
        </w:rPr>
        <w:t xml:space="preserve">Table </w:t>
      </w:r>
      <w:bookmarkEnd w:id="33"/>
      <w:r w:rsidR="00646580" w:rsidRPr="008971B6">
        <w:rPr>
          <w:rFonts w:ascii="Arial Narrow" w:hAnsi="Arial Narrow"/>
          <w:b/>
          <w:sz w:val="20"/>
        </w:rPr>
        <w:t>12</w:t>
      </w:r>
      <w:r w:rsidR="00FB479D" w:rsidRPr="008971B6">
        <w:rPr>
          <w:rFonts w:ascii="Arial Narrow" w:hAnsi="Arial Narrow"/>
          <w:b/>
          <w:sz w:val="20"/>
        </w:rPr>
        <w:t>:</w:t>
      </w:r>
      <w:r w:rsidRPr="008971B6">
        <w:rPr>
          <w:rFonts w:ascii="Arial Narrow" w:hAnsi="Arial Narrow"/>
          <w:b/>
          <w:sz w:val="20"/>
        </w:rPr>
        <w:tab/>
        <w:t xml:space="preserve">Projected eligible population for EndoPredict® </w:t>
      </w:r>
      <w:bookmarkEnd w:id="34"/>
      <w:bookmarkEnd w:id="35"/>
      <w:bookmarkEnd w:id="36"/>
    </w:p>
    <w:tbl>
      <w:tblPr>
        <w:tblStyle w:val="TableGrid1"/>
        <w:tblW w:w="5000" w:type="pct"/>
        <w:tblLayout w:type="fixed"/>
        <w:tblLook w:val="04A0" w:firstRow="1" w:lastRow="0" w:firstColumn="1" w:lastColumn="0" w:noHBand="0" w:noVBand="1"/>
        <w:tblCaption w:val="Projected eligible population for EndoPredict"/>
        <w:tblDescription w:val="Projected eligible population for EndoPredict"/>
      </w:tblPr>
      <w:tblGrid>
        <w:gridCol w:w="288"/>
        <w:gridCol w:w="2688"/>
        <w:gridCol w:w="898"/>
        <w:gridCol w:w="857"/>
        <w:gridCol w:w="857"/>
        <w:gridCol w:w="857"/>
        <w:gridCol w:w="857"/>
        <w:gridCol w:w="857"/>
        <w:gridCol w:w="857"/>
      </w:tblGrid>
      <w:tr w:rsidR="001C7D5B" w:rsidRPr="002314AB" w14:paraId="53948597" w14:textId="77777777" w:rsidTr="008971B6">
        <w:trPr>
          <w:cnfStyle w:val="100000000000" w:firstRow="1" w:lastRow="0" w:firstColumn="0" w:lastColumn="0" w:oddVBand="0" w:evenVBand="0" w:oddHBand="0" w:evenHBand="0" w:firstRowFirstColumn="0" w:firstRowLastColumn="0" w:lastRowFirstColumn="0" w:lastRowLastColumn="0"/>
          <w:trHeight w:val="539"/>
          <w:tblHeader/>
        </w:trPr>
        <w:tc>
          <w:tcPr>
            <w:tcW w:w="160" w:type="pct"/>
          </w:tcPr>
          <w:p w14:paraId="4710A29F" w14:textId="77777777" w:rsidR="001C7D5B" w:rsidRPr="002314AB" w:rsidRDefault="001C7D5B" w:rsidP="003B498A">
            <w:pPr>
              <w:keepNext/>
              <w:tabs>
                <w:tab w:val="left" w:pos="0"/>
              </w:tabs>
              <w:spacing w:after="40"/>
              <w:rPr>
                <w:rFonts w:ascii="Arial Narrow" w:hAnsi="Arial Narrow" w:cs="Tahoma"/>
                <w:szCs w:val="22"/>
                <w:lang w:eastAsia="en-US"/>
              </w:rPr>
            </w:pPr>
          </w:p>
        </w:tc>
        <w:tc>
          <w:tcPr>
            <w:tcW w:w="1491" w:type="pct"/>
            <w:noWrap/>
            <w:hideMark/>
          </w:tcPr>
          <w:p w14:paraId="643B8E44" w14:textId="77777777" w:rsidR="001C7D5B" w:rsidRPr="002314AB" w:rsidRDefault="001C7D5B" w:rsidP="003B498A">
            <w:pPr>
              <w:keepNext/>
              <w:tabs>
                <w:tab w:val="left" w:pos="0"/>
              </w:tabs>
              <w:spacing w:after="40"/>
              <w:rPr>
                <w:rFonts w:ascii="Arial Narrow" w:hAnsi="Arial Narrow" w:cs="Tahoma"/>
                <w:b/>
                <w:szCs w:val="22"/>
                <w:lang w:eastAsia="en-US"/>
              </w:rPr>
            </w:pPr>
            <w:r w:rsidRPr="002314AB">
              <w:rPr>
                <w:rFonts w:ascii="Arial Narrow" w:hAnsi="Arial Narrow" w:cs="Tahoma"/>
                <w:b/>
                <w:szCs w:val="22"/>
                <w:lang w:eastAsia="en-US"/>
              </w:rPr>
              <w:t>Description</w:t>
            </w:r>
          </w:p>
        </w:tc>
        <w:tc>
          <w:tcPr>
            <w:tcW w:w="498" w:type="pct"/>
            <w:noWrap/>
            <w:hideMark/>
          </w:tcPr>
          <w:p w14:paraId="5BCDC51B" w14:textId="77777777" w:rsidR="001C7D5B" w:rsidRPr="002314AB" w:rsidRDefault="001C7D5B" w:rsidP="003B498A">
            <w:pPr>
              <w:keepNext/>
              <w:tabs>
                <w:tab w:val="left" w:pos="0"/>
              </w:tabs>
              <w:spacing w:after="40"/>
              <w:jc w:val="center"/>
              <w:rPr>
                <w:rFonts w:ascii="Arial Narrow" w:hAnsi="Arial Narrow" w:cs="Tahoma"/>
                <w:b/>
                <w:szCs w:val="22"/>
                <w:lang w:eastAsia="en-US"/>
              </w:rPr>
            </w:pPr>
            <w:r w:rsidRPr="002314AB">
              <w:rPr>
                <w:rFonts w:ascii="Arial Narrow" w:hAnsi="Arial Narrow" w:cs="Tahoma"/>
                <w:b/>
                <w:szCs w:val="22"/>
                <w:lang w:eastAsia="en-US"/>
              </w:rPr>
              <w:t>Source</w:t>
            </w:r>
          </w:p>
        </w:tc>
        <w:tc>
          <w:tcPr>
            <w:tcW w:w="475" w:type="pct"/>
            <w:noWrap/>
          </w:tcPr>
          <w:p w14:paraId="000F8710" w14:textId="77777777" w:rsidR="001C7D5B" w:rsidRPr="002314AB" w:rsidRDefault="001C7D5B" w:rsidP="003B498A">
            <w:pPr>
              <w:keepNext/>
              <w:tabs>
                <w:tab w:val="left" w:pos="0"/>
              </w:tabs>
              <w:spacing w:after="40"/>
              <w:jc w:val="center"/>
              <w:rPr>
                <w:rFonts w:ascii="Arial Narrow" w:hAnsi="Arial Narrow" w:cs="Tahoma"/>
                <w:b/>
                <w:szCs w:val="22"/>
                <w:lang w:eastAsia="en-US"/>
              </w:rPr>
            </w:pPr>
            <w:r w:rsidRPr="002314AB">
              <w:rPr>
                <w:rFonts w:ascii="Arial Narrow" w:hAnsi="Arial Narrow" w:cs="Tahoma"/>
                <w:b/>
                <w:szCs w:val="22"/>
                <w:lang w:eastAsia="en-US"/>
              </w:rPr>
              <w:t>2019</w:t>
            </w:r>
          </w:p>
        </w:tc>
        <w:tc>
          <w:tcPr>
            <w:tcW w:w="475" w:type="pct"/>
            <w:noWrap/>
          </w:tcPr>
          <w:p w14:paraId="6EBD13A7" w14:textId="77777777" w:rsidR="001C7D5B" w:rsidRPr="002314AB" w:rsidRDefault="001C7D5B" w:rsidP="003B498A">
            <w:pPr>
              <w:keepNext/>
              <w:tabs>
                <w:tab w:val="left" w:pos="0"/>
              </w:tabs>
              <w:spacing w:after="40"/>
              <w:jc w:val="center"/>
              <w:rPr>
                <w:rFonts w:ascii="Arial Narrow" w:hAnsi="Arial Narrow" w:cs="Tahoma"/>
                <w:b/>
                <w:szCs w:val="22"/>
                <w:lang w:eastAsia="en-US"/>
              </w:rPr>
            </w:pPr>
            <w:r w:rsidRPr="002314AB">
              <w:rPr>
                <w:rFonts w:ascii="Arial Narrow" w:hAnsi="Arial Narrow" w:cs="Tahoma"/>
                <w:b/>
                <w:szCs w:val="22"/>
                <w:lang w:eastAsia="en-US"/>
              </w:rPr>
              <w:t>2020</w:t>
            </w:r>
          </w:p>
        </w:tc>
        <w:tc>
          <w:tcPr>
            <w:tcW w:w="475" w:type="pct"/>
            <w:noWrap/>
          </w:tcPr>
          <w:p w14:paraId="66A7D944" w14:textId="77777777" w:rsidR="001C7D5B" w:rsidRPr="002314AB" w:rsidRDefault="001C7D5B" w:rsidP="003B498A">
            <w:pPr>
              <w:keepNext/>
              <w:tabs>
                <w:tab w:val="left" w:pos="0"/>
              </w:tabs>
              <w:spacing w:after="40"/>
              <w:jc w:val="center"/>
              <w:rPr>
                <w:rFonts w:ascii="Arial Narrow" w:hAnsi="Arial Narrow" w:cs="Tahoma"/>
                <w:b/>
                <w:szCs w:val="22"/>
                <w:lang w:eastAsia="en-US"/>
              </w:rPr>
            </w:pPr>
            <w:r w:rsidRPr="002314AB">
              <w:rPr>
                <w:rFonts w:ascii="Arial Narrow" w:hAnsi="Arial Narrow" w:cs="Tahoma"/>
                <w:b/>
                <w:szCs w:val="22"/>
                <w:lang w:eastAsia="en-US"/>
              </w:rPr>
              <w:t>2021</w:t>
            </w:r>
          </w:p>
        </w:tc>
        <w:tc>
          <w:tcPr>
            <w:tcW w:w="475" w:type="pct"/>
            <w:noWrap/>
          </w:tcPr>
          <w:p w14:paraId="5046E709" w14:textId="77777777" w:rsidR="001C7D5B" w:rsidRPr="002314AB" w:rsidRDefault="001C7D5B" w:rsidP="003B498A">
            <w:pPr>
              <w:keepNext/>
              <w:tabs>
                <w:tab w:val="left" w:pos="0"/>
              </w:tabs>
              <w:spacing w:after="40"/>
              <w:jc w:val="center"/>
              <w:rPr>
                <w:rFonts w:ascii="Arial Narrow" w:hAnsi="Arial Narrow" w:cs="Tahoma"/>
                <w:b/>
                <w:szCs w:val="22"/>
                <w:lang w:eastAsia="en-US"/>
              </w:rPr>
            </w:pPr>
            <w:r w:rsidRPr="002314AB">
              <w:rPr>
                <w:rFonts w:ascii="Arial Narrow" w:hAnsi="Arial Narrow" w:cs="Tahoma"/>
                <w:b/>
                <w:szCs w:val="22"/>
                <w:lang w:eastAsia="en-US"/>
              </w:rPr>
              <w:t>2022</w:t>
            </w:r>
          </w:p>
        </w:tc>
        <w:tc>
          <w:tcPr>
            <w:tcW w:w="475" w:type="pct"/>
            <w:noWrap/>
          </w:tcPr>
          <w:p w14:paraId="4B1A1C3C" w14:textId="77777777" w:rsidR="001C7D5B" w:rsidRPr="002314AB" w:rsidRDefault="001C7D5B" w:rsidP="003B498A">
            <w:pPr>
              <w:keepNext/>
              <w:tabs>
                <w:tab w:val="left" w:pos="0"/>
              </w:tabs>
              <w:spacing w:after="40"/>
              <w:jc w:val="center"/>
              <w:rPr>
                <w:rFonts w:ascii="Arial Narrow" w:hAnsi="Arial Narrow" w:cs="Tahoma"/>
                <w:b/>
                <w:szCs w:val="22"/>
                <w:lang w:eastAsia="en-US"/>
              </w:rPr>
            </w:pPr>
            <w:r w:rsidRPr="002314AB">
              <w:rPr>
                <w:rFonts w:ascii="Arial Narrow" w:hAnsi="Arial Narrow" w:cs="Tahoma"/>
                <w:b/>
                <w:szCs w:val="22"/>
                <w:lang w:eastAsia="en-US"/>
              </w:rPr>
              <w:t>2023</w:t>
            </w:r>
          </w:p>
        </w:tc>
        <w:tc>
          <w:tcPr>
            <w:tcW w:w="475" w:type="pct"/>
          </w:tcPr>
          <w:p w14:paraId="43BA0D14" w14:textId="77777777" w:rsidR="001C7D5B" w:rsidRPr="002314AB" w:rsidRDefault="001C7D5B" w:rsidP="003B498A">
            <w:pPr>
              <w:keepNext/>
              <w:tabs>
                <w:tab w:val="left" w:pos="0"/>
              </w:tabs>
              <w:spacing w:after="40"/>
              <w:jc w:val="center"/>
              <w:rPr>
                <w:rFonts w:ascii="Arial Narrow" w:hAnsi="Arial Narrow" w:cs="Tahoma"/>
                <w:b/>
                <w:szCs w:val="22"/>
                <w:lang w:eastAsia="en-US"/>
              </w:rPr>
            </w:pPr>
            <w:r w:rsidRPr="002314AB">
              <w:rPr>
                <w:rFonts w:ascii="Arial Narrow" w:hAnsi="Arial Narrow" w:cs="Tahoma"/>
                <w:b/>
                <w:szCs w:val="22"/>
                <w:lang w:eastAsia="en-US"/>
              </w:rPr>
              <w:t>2024</w:t>
            </w:r>
          </w:p>
        </w:tc>
      </w:tr>
      <w:tr w:rsidR="001C7D5B" w:rsidRPr="002314AB" w14:paraId="25CBC8E3" w14:textId="77777777" w:rsidTr="008971B6">
        <w:trPr>
          <w:trHeight w:val="70"/>
        </w:trPr>
        <w:tc>
          <w:tcPr>
            <w:tcW w:w="160" w:type="pct"/>
          </w:tcPr>
          <w:p w14:paraId="03D5DD15"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A</w:t>
            </w:r>
          </w:p>
        </w:tc>
        <w:tc>
          <w:tcPr>
            <w:tcW w:w="1491" w:type="pct"/>
            <w:noWrap/>
            <w:hideMark/>
          </w:tcPr>
          <w:p w14:paraId="3E8F1F55"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 xml:space="preserve">Projected incidence in 2019 </w:t>
            </w:r>
          </w:p>
        </w:tc>
        <w:tc>
          <w:tcPr>
            <w:tcW w:w="498" w:type="pct"/>
            <w:noWrap/>
            <w:hideMark/>
          </w:tcPr>
          <w:p w14:paraId="13B1DC45"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AIHW</w:t>
            </w:r>
          </w:p>
        </w:tc>
        <w:tc>
          <w:tcPr>
            <w:tcW w:w="475" w:type="pct"/>
            <w:noWrap/>
          </w:tcPr>
          <w:p w14:paraId="295BF51F"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19371</w:t>
            </w:r>
          </w:p>
        </w:tc>
        <w:tc>
          <w:tcPr>
            <w:tcW w:w="475" w:type="pct"/>
            <w:noWrap/>
          </w:tcPr>
          <w:p w14:paraId="47D766A0" w14:textId="77777777" w:rsidR="001C7D5B" w:rsidRPr="002314AB" w:rsidRDefault="001C7D5B" w:rsidP="003B498A">
            <w:pPr>
              <w:keepNext/>
              <w:tabs>
                <w:tab w:val="left" w:pos="0"/>
              </w:tabs>
              <w:spacing w:after="40"/>
              <w:jc w:val="center"/>
              <w:rPr>
                <w:rFonts w:cs="Tahoma"/>
                <w:szCs w:val="22"/>
                <w:lang w:eastAsia="en-US"/>
              </w:rPr>
            </w:pPr>
          </w:p>
        </w:tc>
        <w:tc>
          <w:tcPr>
            <w:tcW w:w="475" w:type="pct"/>
            <w:noWrap/>
          </w:tcPr>
          <w:p w14:paraId="2D88E317" w14:textId="77777777" w:rsidR="001C7D5B" w:rsidRPr="002314AB" w:rsidRDefault="001C7D5B" w:rsidP="003B498A">
            <w:pPr>
              <w:keepNext/>
              <w:tabs>
                <w:tab w:val="left" w:pos="0"/>
              </w:tabs>
              <w:spacing w:after="40"/>
              <w:jc w:val="center"/>
              <w:rPr>
                <w:rFonts w:cs="Tahoma"/>
                <w:szCs w:val="22"/>
                <w:lang w:eastAsia="en-US"/>
              </w:rPr>
            </w:pPr>
          </w:p>
        </w:tc>
        <w:tc>
          <w:tcPr>
            <w:tcW w:w="475" w:type="pct"/>
            <w:noWrap/>
          </w:tcPr>
          <w:p w14:paraId="777CB076" w14:textId="77777777" w:rsidR="001C7D5B" w:rsidRPr="002314AB" w:rsidRDefault="001C7D5B" w:rsidP="003B498A">
            <w:pPr>
              <w:keepNext/>
              <w:tabs>
                <w:tab w:val="left" w:pos="0"/>
              </w:tabs>
              <w:spacing w:after="40"/>
              <w:jc w:val="center"/>
              <w:rPr>
                <w:rFonts w:cs="Tahoma"/>
                <w:szCs w:val="22"/>
                <w:lang w:eastAsia="en-US"/>
              </w:rPr>
            </w:pPr>
          </w:p>
        </w:tc>
        <w:tc>
          <w:tcPr>
            <w:tcW w:w="475" w:type="pct"/>
            <w:noWrap/>
          </w:tcPr>
          <w:p w14:paraId="058A872C" w14:textId="77777777" w:rsidR="001C7D5B" w:rsidRPr="002314AB" w:rsidRDefault="001C7D5B" w:rsidP="003B498A">
            <w:pPr>
              <w:keepNext/>
              <w:tabs>
                <w:tab w:val="left" w:pos="0"/>
              </w:tabs>
              <w:spacing w:after="40"/>
              <w:jc w:val="center"/>
              <w:rPr>
                <w:rFonts w:cs="Tahoma"/>
                <w:szCs w:val="22"/>
                <w:lang w:eastAsia="en-US"/>
              </w:rPr>
            </w:pPr>
          </w:p>
        </w:tc>
        <w:tc>
          <w:tcPr>
            <w:tcW w:w="475" w:type="pct"/>
          </w:tcPr>
          <w:p w14:paraId="2E705078" w14:textId="77777777" w:rsidR="001C7D5B" w:rsidRPr="002314AB" w:rsidRDefault="001C7D5B" w:rsidP="003B498A">
            <w:pPr>
              <w:keepNext/>
              <w:tabs>
                <w:tab w:val="left" w:pos="0"/>
              </w:tabs>
              <w:spacing w:after="40"/>
              <w:jc w:val="center"/>
              <w:rPr>
                <w:rFonts w:cs="Tahoma"/>
                <w:szCs w:val="22"/>
                <w:lang w:eastAsia="en-US"/>
              </w:rPr>
            </w:pPr>
          </w:p>
        </w:tc>
      </w:tr>
      <w:tr w:rsidR="001C7D5B" w:rsidRPr="002314AB" w14:paraId="1BBCDC7D" w14:textId="77777777" w:rsidTr="008971B6">
        <w:trPr>
          <w:trHeight w:val="539"/>
        </w:trPr>
        <w:tc>
          <w:tcPr>
            <w:tcW w:w="160" w:type="pct"/>
          </w:tcPr>
          <w:p w14:paraId="15E67646"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B</w:t>
            </w:r>
          </w:p>
        </w:tc>
        <w:tc>
          <w:tcPr>
            <w:tcW w:w="1491" w:type="pct"/>
            <w:noWrap/>
          </w:tcPr>
          <w:p w14:paraId="45540BAF"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Projected incidence of breast cancer</w:t>
            </w:r>
          </w:p>
        </w:tc>
        <w:tc>
          <w:tcPr>
            <w:tcW w:w="498" w:type="pct"/>
            <w:noWrap/>
          </w:tcPr>
          <w:p w14:paraId="44511184"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A x (1+</w:t>
            </w:r>
            <w:r w:rsidRPr="002314AB">
              <w:rPr>
                <w:rFonts w:cs="Tahoma"/>
                <w:i/>
                <w:szCs w:val="22"/>
                <w:lang w:eastAsia="en-US"/>
              </w:rPr>
              <w:t>3.23</w:t>
            </w:r>
            <w:r w:rsidRPr="002314AB">
              <w:rPr>
                <w:rFonts w:cs="Tahoma"/>
                <w:szCs w:val="22"/>
                <w:lang w:eastAsia="en-US"/>
              </w:rPr>
              <w:t>%)</w:t>
            </w:r>
          </w:p>
        </w:tc>
        <w:tc>
          <w:tcPr>
            <w:tcW w:w="475" w:type="pct"/>
            <w:noWrap/>
          </w:tcPr>
          <w:p w14:paraId="7519BFBB" w14:textId="77777777" w:rsidR="001C7D5B" w:rsidRPr="002314AB" w:rsidRDefault="001C7D5B" w:rsidP="003B498A">
            <w:pPr>
              <w:keepNext/>
              <w:tabs>
                <w:tab w:val="left" w:pos="0"/>
              </w:tabs>
              <w:spacing w:after="40"/>
              <w:jc w:val="center"/>
              <w:rPr>
                <w:rFonts w:cs="Tahoma"/>
                <w:szCs w:val="22"/>
                <w:lang w:eastAsia="en-US"/>
              </w:rPr>
            </w:pPr>
          </w:p>
        </w:tc>
        <w:tc>
          <w:tcPr>
            <w:tcW w:w="475" w:type="pct"/>
            <w:noWrap/>
          </w:tcPr>
          <w:p w14:paraId="77DD4D69"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19997</w:t>
            </w:r>
          </w:p>
        </w:tc>
        <w:tc>
          <w:tcPr>
            <w:tcW w:w="475" w:type="pct"/>
            <w:noWrap/>
          </w:tcPr>
          <w:p w14:paraId="7FEFA54F"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20643</w:t>
            </w:r>
          </w:p>
        </w:tc>
        <w:tc>
          <w:tcPr>
            <w:tcW w:w="475" w:type="pct"/>
            <w:noWrap/>
          </w:tcPr>
          <w:p w14:paraId="27A5C4C2"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21309</w:t>
            </w:r>
          </w:p>
        </w:tc>
        <w:tc>
          <w:tcPr>
            <w:tcW w:w="475" w:type="pct"/>
            <w:noWrap/>
          </w:tcPr>
          <w:p w14:paraId="1D7A0019"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21998</w:t>
            </w:r>
          </w:p>
        </w:tc>
        <w:tc>
          <w:tcPr>
            <w:tcW w:w="475" w:type="pct"/>
          </w:tcPr>
          <w:p w14:paraId="6C628CB5"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22708</w:t>
            </w:r>
          </w:p>
        </w:tc>
      </w:tr>
      <w:tr w:rsidR="001C7D5B" w:rsidRPr="002314AB" w14:paraId="2B7ACE74" w14:textId="77777777" w:rsidTr="008971B6">
        <w:trPr>
          <w:trHeight w:val="313"/>
        </w:trPr>
        <w:tc>
          <w:tcPr>
            <w:tcW w:w="160" w:type="pct"/>
          </w:tcPr>
          <w:p w14:paraId="37636E12"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C</w:t>
            </w:r>
          </w:p>
        </w:tc>
        <w:tc>
          <w:tcPr>
            <w:tcW w:w="1491" w:type="pct"/>
            <w:noWrap/>
          </w:tcPr>
          <w:p w14:paraId="7C826707"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early breast cancer</w:t>
            </w:r>
          </w:p>
        </w:tc>
        <w:tc>
          <w:tcPr>
            <w:tcW w:w="498" w:type="pct"/>
            <w:noWrap/>
          </w:tcPr>
          <w:p w14:paraId="31B7641E"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B x 80%</w:t>
            </w:r>
          </w:p>
        </w:tc>
        <w:tc>
          <w:tcPr>
            <w:tcW w:w="475" w:type="pct"/>
            <w:noWrap/>
          </w:tcPr>
          <w:p w14:paraId="63888E04" w14:textId="77777777" w:rsidR="001C7D5B" w:rsidRPr="002314AB" w:rsidDel="003141C9" w:rsidRDefault="001C7D5B" w:rsidP="003B498A">
            <w:pPr>
              <w:keepNext/>
              <w:tabs>
                <w:tab w:val="left" w:pos="0"/>
              </w:tabs>
              <w:spacing w:after="40"/>
              <w:jc w:val="center"/>
              <w:rPr>
                <w:rFonts w:cs="Tahoma"/>
                <w:szCs w:val="22"/>
                <w:lang w:eastAsia="en-US"/>
              </w:rPr>
            </w:pPr>
          </w:p>
        </w:tc>
        <w:tc>
          <w:tcPr>
            <w:tcW w:w="475" w:type="pct"/>
            <w:noWrap/>
          </w:tcPr>
          <w:p w14:paraId="08BD155C"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15,997</w:t>
            </w:r>
          </w:p>
        </w:tc>
        <w:tc>
          <w:tcPr>
            <w:tcW w:w="475" w:type="pct"/>
            <w:noWrap/>
          </w:tcPr>
          <w:p w14:paraId="58E91F18"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16,514</w:t>
            </w:r>
          </w:p>
        </w:tc>
        <w:tc>
          <w:tcPr>
            <w:tcW w:w="475" w:type="pct"/>
            <w:noWrap/>
          </w:tcPr>
          <w:p w14:paraId="025AD029"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17,048</w:t>
            </w:r>
          </w:p>
        </w:tc>
        <w:tc>
          <w:tcPr>
            <w:tcW w:w="475" w:type="pct"/>
            <w:noWrap/>
          </w:tcPr>
          <w:p w14:paraId="70F072B5"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17,598</w:t>
            </w:r>
          </w:p>
        </w:tc>
        <w:tc>
          <w:tcPr>
            <w:tcW w:w="475" w:type="pct"/>
          </w:tcPr>
          <w:p w14:paraId="536D8457"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18,167</w:t>
            </w:r>
          </w:p>
        </w:tc>
      </w:tr>
      <w:tr w:rsidR="001C7D5B" w:rsidRPr="002314AB" w14:paraId="562525DB" w14:textId="77777777" w:rsidTr="008971B6">
        <w:trPr>
          <w:trHeight w:val="539"/>
        </w:trPr>
        <w:tc>
          <w:tcPr>
            <w:tcW w:w="160" w:type="pct"/>
          </w:tcPr>
          <w:p w14:paraId="214F119B"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D</w:t>
            </w:r>
          </w:p>
        </w:tc>
        <w:tc>
          <w:tcPr>
            <w:tcW w:w="1491" w:type="pct"/>
            <w:noWrap/>
          </w:tcPr>
          <w:p w14:paraId="71633C80"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eBC HR+</w:t>
            </w:r>
          </w:p>
        </w:tc>
        <w:tc>
          <w:tcPr>
            <w:tcW w:w="498" w:type="pct"/>
            <w:noWrap/>
          </w:tcPr>
          <w:p w14:paraId="0714E880"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C x 67%</w:t>
            </w:r>
          </w:p>
        </w:tc>
        <w:tc>
          <w:tcPr>
            <w:tcW w:w="475" w:type="pct"/>
            <w:noWrap/>
          </w:tcPr>
          <w:p w14:paraId="48281C7D" w14:textId="77777777" w:rsidR="001C7D5B" w:rsidRPr="002314AB" w:rsidDel="003141C9" w:rsidRDefault="001C7D5B" w:rsidP="003B498A">
            <w:pPr>
              <w:keepNext/>
              <w:tabs>
                <w:tab w:val="left" w:pos="0"/>
              </w:tabs>
              <w:spacing w:after="40"/>
              <w:jc w:val="center"/>
              <w:rPr>
                <w:rFonts w:cs="Tahoma"/>
                <w:szCs w:val="22"/>
                <w:lang w:eastAsia="en-US"/>
              </w:rPr>
            </w:pPr>
          </w:p>
        </w:tc>
        <w:tc>
          <w:tcPr>
            <w:tcW w:w="475" w:type="pct"/>
            <w:noWrap/>
          </w:tcPr>
          <w:p w14:paraId="45D9C4C5"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10,718</w:t>
            </w:r>
          </w:p>
        </w:tc>
        <w:tc>
          <w:tcPr>
            <w:tcW w:w="475" w:type="pct"/>
            <w:noWrap/>
          </w:tcPr>
          <w:p w14:paraId="4E5E9FD8"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11,064</w:t>
            </w:r>
          </w:p>
        </w:tc>
        <w:tc>
          <w:tcPr>
            <w:tcW w:w="475" w:type="pct"/>
            <w:noWrap/>
          </w:tcPr>
          <w:p w14:paraId="1F26F8FD"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11,422</w:t>
            </w:r>
          </w:p>
        </w:tc>
        <w:tc>
          <w:tcPr>
            <w:tcW w:w="475" w:type="pct"/>
            <w:noWrap/>
          </w:tcPr>
          <w:p w14:paraId="352ABB62"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11,791</w:t>
            </w:r>
          </w:p>
        </w:tc>
        <w:tc>
          <w:tcPr>
            <w:tcW w:w="475" w:type="pct"/>
          </w:tcPr>
          <w:p w14:paraId="43635E4A"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12,172</w:t>
            </w:r>
          </w:p>
        </w:tc>
      </w:tr>
      <w:tr w:rsidR="001C7D5B" w:rsidRPr="002314AB" w14:paraId="3E9DA010" w14:textId="77777777" w:rsidTr="008971B6">
        <w:trPr>
          <w:trHeight w:val="539"/>
        </w:trPr>
        <w:tc>
          <w:tcPr>
            <w:tcW w:w="160" w:type="pct"/>
          </w:tcPr>
          <w:p w14:paraId="6A2A2EC1"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E</w:t>
            </w:r>
          </w:p>
        </w:tc>
        <w:tc>
          <w:tcPr>
            <w:tcW w:w="1491" w:type="pct"/>
            <w:noWrap/>
          </w:tcPr>
          <w:p w14:paraId="6F50870A"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eBC HR+ HER2-</w:t>
            </w:r>
          </w:p>
        </w:tc>
        <w:tc>
          <w:tcPr>
            <w:tcW w:w="498" w:type="pct"/>
            <w:noWrap/>
          </w:tcPr>
          <w:p w14:paraId="7F597E2B"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D x 80%</w:t>
            </w:r>
          </w:p>
        </w:tc>
        <w:tc>
          <w:tcPr>
            <w:tcW w:w="475" w:type="pct"/>
            <w:noWrap/>
          </w:tcPr>
          <w:p w14:paraId="274A3B6C" w14:textId="77777777" w:rsidR="001C7D5B" w:rsidRPr="002314AB" w:rsidDel="003141C9" w:rsidRDefault="001C7D5B" w:rsidP="003B498A">
            <w:pPr>
              <w:keepNext/>
              <w:tabs>
                <w:tab w:val="left" w:pos="0"/>
              </w:tabs>
              <w:spacing w:after="40"/>
              <w:jc w:val="center"/>
              <w:rPr>
                <w:rFonts w:cs="Tahoma"/>
                <w:szCs w:val="22"/>
                <w:lang w:eastAsia="en-US"/>
              </w:rPr>
            </w:pPr>
          </w:p>
        </w:tc>
        <w:tc>
          <w:tcPr>
            <w:tcW w:w="475" w:type="pct"/>
            <w:noWrap/>
          </w:tcPr>
          <w:p w14:paraId="65D66531"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8,575</w:t>
            </w:r>
          </w:p>
        </w:tc>
        <w:tc>
          <w:tcPr>
            <w:tcW w:w="475" w:type="pct"/>
            <w:noWrap/>
          </w:tcPr>
          <w:p w14:paraId="6CF4E329"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8,852</w:t>
            </w:r>
          </w:p>
        </w:tc>
        <w:tc>
          <w:tcPr>
            <w:tcW w:w="475" w:type="pct"/>
            <w:noWrap/>
          </w:tcPr>
          <w:p w14:paraId="09BB9E59"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9,137</w:t>
            </w:r>
          </w:p>
        </w:tc>
        <w:tc>
          <w:tcPr>
            <w:tcW w:w="475" w:type="pct"/>
            <w:noWrap/>
          </w:tcPr>
          <w:p w14:paraId="7DB678F2"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9,433</w:t>
            </w:r>
          </w:p>
        </w:tc>
        <w:tc>
          <w:tcPr>
            <w:tcW w:w="475" w:type="pct"/>
          </w:tcPr>
          <w:p w14:paraId="5C4ADA18"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9,737</w:t>
            </w:r>
          </w:p>
        </w:tc>
      </w:tr>
      <w:tr w:rsidR="001C7D5B" w:rsidRPr="002314AB" w14:paraId="6C5EAA1E" w14:textId="77777777" w:rsidTr="008971B6">
        <w:trPr>
          <w:trHeight w:val="539"/>
        </w:trPr>
        <w:tc>
          <w:tcPr>
            <w:tcW w:w="160" w:type="pct"/>
          </w:tcPr>
          <w:p w14:paraId="40125B62"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F</w:t>
            </w:r>
          </w:p>
        </w:tc>
        <w:tc>
          <w:tcPr>
            <w:tcW w:w="1491" w:type="pct"/>
            <w:noWrap/>
          </w:tcPr>
          <w:p w14:paraId="1B4882B7"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Suitable for adjuvant therapy</w:t>
            </w:r>
          </w:p>
        </w:tc>
        <w:tc>
          <w:tcPr>
            <w:tcW w:w="498" w:type="pct"/>
            <w:noWrap/>
          </w:tcPr>
          <w:p w14:paraId="47CB5E3A"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E x 75%</w:t>
            </w:r>
          </w:p>
        </w:tc>
        <w:tc>
          <w:tcPr>
            <w:tcW w:w="475" w:type="pct"/>
            <w:noWrap/>
          </w:tcPr>
          <w:p w14:paraId="5FEAB64D" w14:textId="77777777" w:rsidR="001C7D5B" w:rsidRPr="002314AB" w:rsidDel="003141C9" w:rsidRDefault="001C7D5B" w:rsidP="003B498A">
            <w:pPr>
              <w:keepNext/>
              <w:tabs>
                <w:tab w:val="left" w:pos="0"/>
              </w:tabs>
              <w:spacing w:after="40"/>
              <w:jc w:val="center"/>
              <w:rPr>
                <w:rFonts w:cs="Tahoma"/>
                <w:szCs w:val="22"/>
                <w:lang w:eastAsia="en-US"/>
              </w:rPr>
            </w:pPr>
          </w:p>
        </w:tc>
        <w:tc>
          <w:tcPr>
            <w:tcW w:w="475" w:type="pct"/>
            <w:noWrap/>
          </w:tcPr>
          <w:p w14:paraId="4A60A301"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6,431</w:t>
            </w:r>
          </w:p>
        </w:tc>
        <w:tc>
          <w:tcPr>
            <w:tcW w:w="475" w:type="pct"/>
            <w:noWrap/>
          </w:tcPr>
          <w:p w14:paraId="785A40F1"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6,639</w:t>
            </w:r>
          </w:p>
        </w:tc>
        <w:tc>
          <w:tcPr>
            <w:tcW w:w="475" w:type="pct"/>
            <w:noWrap/>
          </w:tcPr>
          <w:p w14:paraId="397A46C0"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6,853</w:t>
            </w:r>
          </w:p>
        </w:tc>
        <w:tc>
          <w:tcPr>
            <w:tcW w:w="475" w:type="pct"/>
            <w:noWrap/>
          </w:tcPr>
          <w:p w14:paraId="22F90E7E"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7,074</w:t>
            </w:r>
          </w:p>
        </w:tc>
        <w:tc>
          <w:tcPr>
            <w:tcW w:w="475" w:type="pct"/>
          </w:tcPr>
          <w:p w14:paraId="47ADA9FA"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7,303</w:t>
            </w:r>
          </w:p>
        </w:tc>
      </w:tr>
      <w:tr w:rsidR="001C7D5B" w:rsidRPr="002314AB" w14:paraId="4C5FAD35" w14:textId="77777777" w:rsidTr="008971B6">
        <w:trPr>
          <w:trHeight w:val="539"/>
        </w:trPr>
        <w:tc>
          <w:tcPr>
            <w:tcW w:w="160" w:type="pct"/>
          </w:tcPr>
          <w:p w14:paraId="06B139FD"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G</w:t>
            </w:r>
          </w:p>
        </w:tc>
        <w:tc>
          <w:tcPr>
            <w:tcW w:w="1491" w:type="pct"/>
            <w:noWrap/>
          </w:tcPr>
          <w:p w14:paraId="580A4067" w14:textId="77777777" w:rsidR="001C7D5B" w:rsidRPr="002314AB" w:rsidRDefault="001C7D5B" w:rsidP="003B498A">
            <w:pPr>
              <w:keepNext/>
              <w:tabs>
                <w:tab w:val="left" w:pos="0"/>
              </w:tabs>
              <w:spacing w:after="40"/>
              <w:rPr>
                <w:rFonts w:cs="Tahoma"/>
                <w:szCs w:val="22"/>
                <w:lang w:eastAsia="en-US"/>
              </w:rPr>
            </w:pPr>
            <w:r w:rsidRPr="002314AB">
              <w:rPr>
                <w:rFonts w:cs="Tahoma"/>
                <w:szCs w:val="22"/>
                <w:lang w:eastAsia="en-US"/>
              </w:rPr>
              <w:t>Intermediate clinical risk of metastases (eligible population)</w:t>
            </w:r>
          </w:p>
        </w:tc>
        <w:tc>
          <w:tcPr>
            <w:tcW w:w="498" w:type="pct"/>
            <w:noWrap/>
          </w:tcPr>
          <w:p w14:paraId="1C5590AD"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F x 80%</w:t>
            </w:r>
          </w:p>
        </w:tc>
        <w:tc>
          <w:tcPr>
            <w:tcW w:w="475" w:type="pct"/>
            <w:noWrap/>
          </w:tcPr>
          <w:p w14:paraId="199C0DD9" w14:textId="77777777" w:rsidR="001C7D5B" w:rsidRPr="002314AB" w:rsidDel="003141C9" w:rsidRDefault="001C7D5B" w:rsidP="003B498A">
            <w:pPr>
              <w:keepNext/>
              <w:tabs>
                <w:tab w:val="left" w:pos="0"/>
              </w:tabs>
              <w:spacing w:after="40"/>
              <w:jc w:val="center"/>
              <w:rPr>
                <w:rFonts w:cs="Tahoma"/>
                <w:szCs w:val="22"/>
                <w:lang w:eastAsia="en-US"/>
              </w:rPr>
            </w:pPr>
          </w:p>
        </w:tc>
        <w:tc>
          <w:tcPr>
            <w:tcW w:w="475" w:type="pct"/>
            <w:noWrap/>
          </w:tcPr>
          <w:p w14:paraId="12CBFEDF"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5,145</w:t>
            </w:r>
          </w:p>
        </w:tc>
        <w:tc>
          <w:tcPr>
            <w:tcW w:w="475" w:type="pct"/>
            <w:noWrap/>
          </w:tcPr>
          <w:p w14:paraId="36FD7DF7"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5,311</w:t>
            </w:r>
          </w:p>
        </w:tc>
        <w:tc>
          <w:tcPr>
            <w:tcW w:w="475" w:type="pct"/>
            <w:noWrap/>
          </w:tcPr>
          <w:p w14:paraId="35D6351D"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5,482</w:t>
            </w:r>
          </w:p>
        </w:tc>
        <w:tc>
          <w:tcPr>
            <w:tcW w:w="475" w:type="pct"/>
            <w:noWrap/>
          </w:tcPr>
          <w:p w14:paraId="75C05ED7"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5,660</w:t>
            </w:r>
          </w:p>
        </w:tc>
        <w:tc>
          <w:tcPr>
            <w:tcW w:w="475" w:type="pct"/>
          </w:tcPr>
          <w:p w14:paraId="70035EFB" w14:textId="77777777" w:rsidR="001C7D5B" w:rsidRPr="002314AB" w:rsidRDefault="001C7D5B" w:rsidP="003B498A">
            <w:pPr>
              <w:keepNext/>
              <w:tabs>
                <w:tab w:val="left" w:pos="0"/>
              </w:tabs>
              <w:spacing w:after="40"/>
              <w:jc w:val="center"/>
              <w:rPr>
                <w:rFonts w:cs="Tahoma"/>
                <w:szCs w:val="22"/>
                <w:lang w:eastAsia="en-US"/>
              </w:rPr>
            </w:pPr>
            <w:r w:rsidRPr="002314AB">
              <w:rPr>
                <w:rFonts w:cs="Tahoma"/>
                <w:szCs w:val="22"/>
                <w:lang w:eastAsia="en-US"/>
              </w:rPr>
              <w:t>5,842</w:t>
            </w:r>
          </w:p>
        </w:tc>
      </w:tr>
    </w:tbl>
    <w:p w14:paraId="0D84A4FF" w14:textId="77777777" w:rsidR="00646580" w:rsidRPr="003C0319" w:rsidRDefault="001C7D5B" w:rsidP="002A5F5D">
      <w:pPr>
        <w:widowControl w:val="0"/>
        <w:spacing w:after="360"/>
        <w:ind w:left="113"/>
        <w:jc w:val="both"/>
        <w:rPr>
          <w:rFonts w:ascii="Arial Narrow" w:hAnsi="Arial Narrow" w:cs="Arial"/>
          <w:snapToGrid w:val="0"/>
          <w:sz w:val="18"/>
          <w:lang w:eastAsia="en-US"/>
        </w:rPr>
      </w:pPr>
      <w:r w:rsidRPr="002314AB">
        <w:rPr>
          <w:rFonts w:ascii="Arial Narrow" w:hAnsi="Arial Narrow" w:cs="Arial"/>
          <w:snapToGrid w:val="0"/>
          <w:sz w:val="18"/>
          <w:lang w:eastAsia="en-US"/>
        </w:rPr>
        <w:t>Source: MSAC 1408 CA, Table E-2, p140</w:t>
      </w:r>
    </w:p>
    <w:p w14:paraId="34BA7CD7" w14:textId="77777777" w:rsidR="001C7D5B" w:rsidRPr="008971B6" w:rsidRDefault="001C7D5B" w:rsidP="008971B6">
      <w:pPr>
        <w:keepNext/>
        <w:keepLines/>
        <w:rPr>
          <w:rFonts w:ascii="Arial Narrow" w:hAnsi="Arial Narrow"/>
          <w:b/>
          <w:sz w:val="20"/>
        </w:rPr>
      </w:pPr>
      <w:bookmarkStart w:id="37" w:name="_Ref10630019"/>
      <w:bookmarkStart w:id="38" w:name="_Toc10728626"/>
      <w:r w:rsidRPr="008971B6">
        <w:rPr>
          <w:rFonts w:ascii="Arial Narrow" w:hAnsi="Arial Narrow"/>
          <w:b/>
          <w:sz w:val="20"/>
        </w:rPr>
        <w:lastRenderedPageBreak/>
        <w:t xml:space="preserve">Table </w:t>
      </w:r>
      <w:bookmarkEnd w:id="37"/>
      <w:r w:rsidR="00646580" w:rsidRPr="008971B6">
        <w:rPr>
          <w:rFonts w:ascii="Arial Narrow" w:hAnsi="Arial Narrow"/>
          <w:b/>
          <w:sz w:val="20"/>
        </w:rPr>
        <w:t>13</w:t>
      </w:r>
      <w:r w:rsidR="00FB479D" w:rsidRPr="008971B6">
        <w:rPr>
          <w:rFonts w:ascii="Arial Narrow" w:hAnsi="Arial Narrow"/>
          <w:b/>
          <w:sz w:val="20"/>
        </w:rPr>
        <w:t>:</w:t>
      </w:r>
      <w:r w:rsidRPr="008971B6">
        <w:rPr>
          <w:rFonts w:ascii="Arial Narrow" w:hAnsi="Arial Narrow"/>
          <w:b/>
          <w:sz w:val="20"/>
        </w:rPr>
        <w:tab/>
        <w:t>Total costs to the MBS associated with EndoPredict and subsequent chemotherapy use</w:t>
      </w:r>
      <w:bookmarkEnd w:id="38"/>
    </w:p>
    <w:tbl>
      <w:tblPr>
        <w:tblStyle w:val="TableGrid1"/>
        <w:tblW w:w="4877" w:type="pct"/>
        <w:tblLook w:val="04A0" w:firstRow="1" w:lastRow="0" w:firstColumn="1" w:lastColumn="0" w:noHBand="0" w:noVBand="1"/>
        <w:tblCaption w:val="Table 6 Total costs to the MBS associated with XXX"/>
        <w:tblDescription w:val="This table provides a summary of the financial impact of the proposed new medical service over the next five years."/>
      </w:tblPr>
      <w:tblGrid>
        <w:gridCol w:w="2156"/>
        <w:gridCol w:w="1328"/>
        <w:gridCol w:w="1328"/>
        <w:gridCol w:w="1328"/>
        <w:gridCol w:w="1328"/>
        <w:gridCol w:w="1326"/>
      </w:tblGrid>
      <w:tr w:rsidR="001C7D5B" w:rsidRPr="00183E4D" w14:paraId="719CFD17" w14:textId="77777777" w:rsidTr="008971B6">
        <w:trPr>
          <w:cnfStyle w:val="100000000000" w:firstRow="1" w:lastRow="0" w:firstColumn="0" w:lastColumn="0" w:oddVBand="0" w:evenVBand="0" w:oddHBand="0" w:evenHBand="0" w:firstRowFirstColumn="0" w:firstRowLastColumn="0" w:lastRowFirstColumn="0" w:lastRowLastColumn="0"/>
          <w:trHeight w:val="300"/>
          <w:tblHeader/>
        </w:trPr>
        <w:tc>
          <w:tcPr>
            <w:tcW w:w="1226" w:type="pct"/>
          </w:tcPr>
          <w:p w14:paraId="71541267" w14:textId="77777777" w:rsidR="001C7D5B" w:rsidRPr="00183E4D" w:rsidRDefault="001C7D5B" w:rsidP="008971B6">
            <w:pPr>
              <w:pStyle w:val="TableText0"/>
              <w:keepNext/>
              <w:keepLines/>
            </w:pPr>
          </w:p>
        </w:tc>
        <w:tc>
          <w:tcPr>
            <w:tcW w:w="755" w:type="pct"/>
          </w:tcPr>
          <w:p w14:paraId="4152F281" w14:textId="77777777" w:rsidR="001C7D5B" w:rsidRPr="003E151A" w:rsidRDefault="001C7D5B" w:rsidP="008971B6">
            <w:pPr>
              <w:pStyle w:val="TableText0"/>
              <w:keepNext/>
              <w:keepLines/>
              <w:jc w:val="center"/>
              <w:rPr>
                <w:b/>
              </w:rPr>
            </w:pPr>
            <w:r>
              <w:rPr>
                <w:b/>
              </w:rPr>
              <w:t>Year 1</w:t>
            </w:r>
          </w:p>
        </w:tc>
        <w:tc>
          <w:tcPr>
            <w:tcW w:w="755" w:type="pct"/>
          </w:tcPr>
          <w:p w14:paraId="262E06B9" w14:textId="77777777" w:rsidR="001C7D5B" w:rsidRPr="003E151A" w:rsidRDefault="001C7D5B" w:rsidP="008971B6">
            <w:pPr>
              <w:pStyle w:val="TableText0"/>
              <w:keepNext/>
              <w:keepLines/>
              <w:jc w:val="center"/>
              <w:rPr>
                <w:b/>
              </w:rPr>
            </w:pPr>
            <w:r>
              <w:rPr>
                <w:b/>
              </w:rPr>
              <w:t>Year 2</w:t>
            </w:r>
          </w:p>
        </w:tc>
        <w:tc>
          <w:tcPr>
            <w:tcW w:w="755" w:type="pct"/>
          </w:tcPr>
          <w:p w14:paraId="4EC4A21A" w14:textId="77777777" w:rsidR="001C7D5B" w:rsidRPr="003E151A" w:rsidRDefault="001C7D5B" w:rsidP="008971B6">
            <w:pPr>
              <w:pStyle w:val="TableText0"/>
              <w:keepNext/>
              <w:keepLines/>
              <w:jc w:val="center"/>
              <w:rPr>
                <w:b/>
              </w:rPr>
            </w:pPr>
            <w:r>
              <w:rPr>
                <w:b/>
              </w:rPr>
              <w:t>Year 3</w:t>
            </w:r>
          </w:p>
        </w:tc>
        <w:tc>
          <w:tcPr>
            <w:tcW w:w="755" w:type="pct"/>
          </w:tcPr>
          <w:p w14:paraId="688B9071" w14:textId="77777777" w:rsidR="001C7D5B" w:rsidRPr="003E151A" w:rsidRDefault="001C7D5B" w:rsidP="008971B6">
            <w:pPr>
              <w:pStyle w:val="TableText0"/>
              <w:keepNext/>
              <w:keepLines/>
              <w:jc w:val="center"/>
              <w:rPr>
                <w:b/>
              </w:rPr>
            </w:pPr>
            <w:r>
              <w:rPr>
                <w:b/>
              </w:rPr>
              <w:t>Year 4</w:t>
            </w:r>
          </w:p>
        </w:tc>
        <w:tc>
          <w:tcPr>
            <w:tcW w:w="754" w:type="pct"/>
          </w:tcPr>
          <w:p w14:paraId="4D312674" w14:textId="77777777" w:rsidR="001C7D5B" w:rsidRPr="003E151A" w:rsidRDefault="001C7D5B" w:rsidP="008971B6">
            <w:pPr>
              <w:pStyle w:val="TableText0"/>
              <w:keepNext/>
              <w:keepLines/>
              <w:jc w:val="center"/>
              <w:rPr>
                <w:b/>
              </w:rPr>
            </w:pPr>
            <w:r>
              <w:rPr>
                <w:b/>
              </w:rPr>
              <w:t>Year 5</w:t>
            </w:r>
          </w:p>
        </w:tc>
      </w:tr>
      <w:tr w:rsidR="001C7D5B" w:rsidRPr="00183E4D" w14:paraId="74AACB08" w14:textId="77777777" w:rsidTr="008971B6">
        <w:trPr>
          <w:trHeight w:val="300"/>
        </w:trPr>
        <w:tc>
          <w:tcPr>
            <w:tcW w:w="1226" w:type="pct"/>
          </w:tcPr>
          <w:p w14:paraId="2EA64A1A" w14:textId="77777777" w:rsidR="001C7D5B" w:rsidRPr="00183E4D" w:rsidRDefault="001C7D5B" w:rsidP="008971B6">
            <w:pPr>
              <w:pStyle w:val="TableText0"/>
              <w:keepNext/>
              <w:keepLines/>
            </w:pPr>
          </w:p>
        </w:tc>
        <w:tc>
          <w:tcPr>
            <w:tcW w:w="755" w:type="pct"/>
          </w:tcPr>
          <w:p w14:paraId="3C758CE8" w14:textId="77777777" w:rsidR="001C7D5B" w:rsidRPr="003E151A" w:rsidRDefault="001C7D5B" w:rsidP="008971B6">
            <w:pPr>
              <w:pStyle w:val="TableText0"/>
              <w:keepNext/>
              <w:keepLines/>
              <w:jc w:val="center"/>
              <w:rPr>
                <w:b/>
              </w:rPr>
            </w:pPr>
            <w:r w:rsidRPr="003E151A">
              <w:rPr>
                <w:b/>
              </w:rPr>
              <w:t>2020</w:t>
            </w:r>
          </w:p>
        </w:tc>
        <w:tc>
          <w:tcPr>
            <w:tcW w:w="755" w:type="pct"/>
          </w:tcPr>
          <w:p w14:paraId="04AB625F" w14:textId="77777777" w:rsidR="001C7D5B" w:rsidRPr="003E151A" w:rsidRDefault="001C7D5B" w:rsidP="008971B6">
            <w:pPr>
              <w:pStyle w:val="TableText0"/>
              <w:keepNext/>
              <w:keepLines/>
              <w:jc w:val="center"/>
              <w:rPr>
                <w:b/>
              </w:rPr>
            </w:pPr>
            <w:r w:rsidRPr="003E151A">
              <w:rPr>
                <w:b/>
              </w:rPr>
              <w:t>2021</w:t>
            </w:r>
          </w:p>
        </w:tc>
        <w:tc>
          <w:tcPr>
            <w:tcW w:w="755" w:type="pct"/>
          </w:tcPr>
          <w:p w14:paraId="3DE991EE" w14:textId="77777777" w:rsidR="001C7D5B" w:rsidRPr="003E151A" w:rsidRDefault="001C7D5B" w:rsidP="008971B6">
            <w:pPr>
              <w:pStyle w:val="TableText0"/>
              <w:keepNext/>
              <w:keepLines/>
              <w:jc w:val="center"/>
              <w:rPr>
                <w:b/>
              </w:rPr>
            </w:pPr>
            <w:r w:rsidRPr="003E151A">
              <w:rPr>
                <w:b/>
              </w:rPr>
              <w:t>2022</w:t>
            </w:r>
          </w:p>
        </w:tc>
        <w:tc>
          <w:tcPr>
            <w:tcW w:w="755" w:type="pct"/>
          </w:tcPr>
          <w:p w14:paraId="449032E0" w14:textId="77777777" w:rsidR="001C7D5B" w:rsidRPr="003E151A" w:rsidRDefault="001C7D5B" w:rsidP="008971B6">
            <w:pPr>
              <w:pStyle w:val="TableText0"/>
              <w:keepNext/>
              <w:keepLines/>
              <w:jc w:val="center"/>
              <w:rPr>
                <w:b/>
              </w:rPr>
            </w:pPr>
            <w:r w:rsidRPr="003E151A">
              <w:rPr>
                <w:b/>
              </w:rPr>
              <w:t>2023</w:t>
            </w:r>
          </w:p>
        </w:tc>
        <w:tc>
          <w:tcPr>
            <w:tcW w:w="754" w:type="pct"/>
          </w:tcPr>
          <w:p w14:paraId="6AFC85ED" w14:textId="77777777" w:rsidR="001C7D5B" w:rsidRPr="003E151A" w:rsidRDefault="001C7D5B" w:rsidP="008971B6">
            <w:pPr>
              <w:pStyle w:val="TableText0"/>
              <w:keepNext/>
              <w:keepLines/>
              <w:jc w:val="center"/>
              <w:rPr>
                <w:b/>
              </w:rPr>
            </w:pPr>
            <w:r w:rsidRPr="003E151A">
              <w:rPr>
                <w:b/>
              </w:rPr>
              <w:t>2024</w:t>
            </w:r>
          </w:p>
        </w:tc>
      </w:tr>
      <w:tr w:rsidR="003A6925" w:rsidRPr="00183E4D" w14:paraId="3272A879" w14:textId="77777777" w:rsidTr="008971B6">
        <w:trPr>
          <w:trHeight w:val="300"/>
        </w:trPr>
        <w:tc>
          <w:tcPr>
            <w:tcW w:w="1226" w:type="pct"/>
          </w:tcPr>
          <w:p w14:paraId="573BEE83" w14:textId="77777777" w:rsidR="003A6925" w:rsidRPr="00F51442" w:rsidRDefault="003A6925" w:rsidP="008971B6">
            <w:pPr>
              <w:pStyle w:val="TableText0"/>
              <w:keepNext/>
              <w:keepLines/>
              <w:rPr>
                <w:b/>
                <w:vertAlign w:val="superscript"/>
              </w:rPr>
            </w:pPr>
            <w:r w:rsidRPr="003E151A">
              <w:t>Estimated number of patients receiving EndoPredict test</w:t>
            </w:r>
            <w:r>
              <w:rPr>
                <w:vertAlign w:val="superscript"/>
              </w:rPr>
              <w:t>a</w:t>
            </w:r>
          </w:p>
        </w:tc>
        <w:tc>
          <w:tcPr>
            <w:tcW w:w="755" w:type="pct"/>
          </w:tcPr>
          <w:p w14:paraId="3139F421" w14:textId="2F6F57C1" w:rsidR="003A6925" w:rsidRPr="00183E4D" w:rsidRDefault="003A6925" w:rsidP="008971B6">
            <w:pPr>
              <w:pStyle w:val="TableText0"/>
              <w:keepNext/>
              <w:keepLines/>
              <w:jc w:val="center"/>
              <w:rPr>
                <w:color w:val="FFFFFF" w:themeColor="background1"/>
              </w:rPr>
            </w:pPr>
            <w:r>
              <w:rPr>
                <w:snapToGrid w:val="0"/>
              </w:rPr>
              <w:t>redacted</w:t>
            </w:r>
          </w:p>
        </w:tc>
        <w:tc>
          <w:tcPr>
            <w:tcW w:w="755" w:type="pct"/>
          </w:tcPr>
          <w:p w14:paraId="175755FB" w14:textId="3B576DE8" w:rsidR="003A6925" w:rsidRPr="00183E4D" w:rsidRDefault="003A6925" w:rsidP="008971B6">
            <w:pPr>
              <w:pStyle w:val="TableText0"/>
              <w:keepNext/>
              <w:keepLines/>
              <w:jc w:val="center"/>
              <w:rPr>
                <w:color w:val="FFFFFF" w:themeColor="background1"/>
              </w:rPr>
            </w:pPr>
            <w:r w:rsidRPr="00F06086">
              <w:rPr>
                <w:snapToGrid w:val="0"/>
              </w:rPr>
              <w:t>redacted</w:t>
            </w:r>
          </w:p>
        </w:tc>
        <w:tc>
          <w:tcPr>
            <w:tcW w:w="755" w:type="pct"/>
          </w:tcPr>
          <w:p w14:paraId="0C8A364F" w14:textId="59AF249D" w:rsidR="003A6925" w:rsidRPr="00183E4D" w:rsidRDefault="003A6925" w:rsidP="008971B6">
            <w:pPr>
              <w:pStyle w:val="TableText0"/>
              <w:keepNext/>
              <w:keepLines/>
              <w:jc w:val="center"/>
              <w:rPr>
                <w:color w:val="FFFFFF" w:themeColor="background1"/>
              </w:rPr>
            </w:pPr>
            <w:r w:rsidRPr="00F06086">
              <w:rPr>
                <w:snapToGrid w:val="0"/>
              </w:rPr>
              <w:t>redacted</w:t>
            </w:r>
          </w:p>
        </w:tc>
        <w:tc>
          <w:tcPr>
            <w:tcW w:w="755" w:type="pct"/>
          </w:tcPr>
          <w:p w14:paraId="2D522A0D" w14:textId="35AC3FDF" w:rsidR="003A6925" w:rsidRPr="00183E4D" w:rsidRDefault="003A6925" w:rsidP="008971B6">
            <w:pPr>
              <w:pStyle w:val="TableText0"/>
              <w:keepNext/>
              <w:keepLines/>
              <w:jc w:val="center"/>
              <w:rPr>
                <w:color w:val="FFFFFF" w:themeColor="background1"/>
              </w:rPr>
            </w:pPr>
            <w:r w:rsidRPr="00F06086">
              <w:rPr>
                <w:snapToGrid w:val="0"/>
              </w:rPr>
              <w:t>redacted</w:t>
            </w:r>
          </w:p>
        </w:tc>
        <w:tc>
          <w:tcPr>
            <w:tcW w:w="754" w:type="pct"/>
          </w:tcPr>
          <w:p w14:paraId="4423F4C9" w14:textId="20BBE110" w:rsidR="003A6925" w:rsidRPr="00183E4D" w:rsidRDefault="003A6925" w:rsidP="008971B6">
            <w:pPr>
              <w:pStyle w:val="TableText0"/>
              <w:keepNext/>
              <w:keepLines/>
              <w:jc w:val="center"/>
              <w:rPr>
                <w:color w:val="FFFFFF" w:themeColor="background1"/>
              </w:rPr>
            </w:pPr>
            <w:r w:rsidRPr="00F06086">
              <w:rPr>
                <w:snapToGrid w:val="0"/>
              </w:rPr>
              <w:t>redacted</w:t>
            </w:r>
          </w:p>
        </w:tc>
      </w:tr>
      <w:tr w:rsidR="001C7D5B" w:rsidRPr="00183E4D" w14:paraId="54C97650" w14:textId="77777777" w:rsidTr="008971B6">
        <w:trPr>
          <w:trHeight w:val="70"/>
        </w:trPr>
        <w:tc>
          <w:tcPr>
            <w:tcW w:w="1226" w:type="pct"/>
          </w:tcPr>
          <w:p w14:paraId="73B6018C" w14:textId="77777777" w:rsidR="001C7D5B" w:rsidRPr="00C55E3C" w:rsidRDefault="001C7D5B" w:rsidP="003B498A">
            <w:pPr>
              <w:pStyle w:val="TableText0"/>
              <w:keepNext/>
              <w:keepLines/>
              <w:rPr>
                <w:b/>
              </w:rPr>
            </w:pPr>
            <w:r w:rsidRPr="00C55E3C">
              <w:rPr>
                <w:b/>
              </w:rPr>
              <w:t>EndoPredict</w:t>
            </w:r>
          </w:p>
        </w:tc>
        <w:tc>
          <w:tcPr>
            <w:tcW w:w="755" w:type="pct"/>
          </w:tcPr>
          <w:p w14:paraId="28663EAA" w14:textId="77777777" w:rsidR="001C7D5B" w:rsidRPr="00CB3804" w:rsidRDefault="001C7D5B" w:rsidP="003B498A">
            <w:pPr>
              <w:pStyle w:val="TableText0"/>
              <w:keepNext/>
              <w:keepLines/>
              <w:jc w:val="center"/>
            </w:pPr>
          </w:p>
        </w:tc>
        <w:tc>
          <w:tcPr>
            <w:tcW w:w="755" w:type="pct"/>
          </w:tcPr>
          <w:p w14:paraId="757EBB53" w14:textId="77777777" w:rsidR="001C7D5B" w:rsidRPr="00CB3804" w:rsidRDefault="001C7D5B" w:rsidP="003B498A">
            <w:pPr>
              <w:pStyle w:val="TableText0"/>
              <w:keepNext/>
              <w:keepLines/>
              <w:jc w:val="center"/>
            </w:pPr>
          </w:p>
        </w:tc>
        <w:tc>
          <w:tcPr>
            <w:tcW w:w="755" w:type="pct"/>
          </w:tcPr>
          <w:p w14:paraId="19E54881" w14:textId="77777777" w:rsidR="001C7D5B" w:rsidRPr="00CB3804" w:rsidRDefault="001C7D5B" w:rsidP="003B498A">
            <w:pPr>
              <w:pStyle w:val="TableText0"/>
              <w:keepNext/>
              <w:keepLines/>
              <w:jc w:val="center"/>
            </w:pPr>
          </w:p>
        </w:tc>
        <w:tc>
          <w:tcPr>
            <w:tcW w:w="755" w:type="pct"/>
          </w:tcPr>
          <w:p w14:paraId="0C1B3F54" w14:textId="77777777" w:rsidR="001C7D5B" w:rsidRPr="00CB3804" w:rsidRDefault="001C7D5B" w:rsidP="003B498A">
            <w:pPr>
              <w:pStyle w:val="TableText0"/>
              <w:keepNext/>
              <w:keepLines/>
              <w:jc w:val="center"/>
            </w:pPr>
          </w:p>
        </w:tc>
        <w:tc>
          <w:tcPr>
            <w:tcW w:w="754" w:type="pct"/>
          </w:tcPr>
          <w:p w14:paraId="0C59316A" w14:textId="77777777" w:rsidR="001C7D5B" w:rsidRPr="00CB3804" w:rsidRDefault="001C7D5B" w:rsidP="003B498A">
            <w:pPr>
              <w:pStyle w:val="TableText0"/>
              <w:keepNext/>
              <w:keepLines/>
              <w:jc w:val="center"/>
            </w:pPr>
          </w:p>
        </w:tc>
      </w:tr>
      <w:tr w:rsidR="003A6925" w:rsidRPr="00183E4D" w14:paraId="7A65F6B7" w14:textId="77777777" w:rsidTr="008971B6">
        <w:trPr>
          <w:trHeight w:val="300"/>
        </w:trPr>
        <w:tc>
          <w:tcPr>
            <w:tcW w:w="1226" w:type="pct"/>
          </w:tcPr>
          <w:p w14:paraId="4FCCCDDA" w14:textId="77777777" w:rsidR="003A6925" w:rsidRPr="00D363FF" w:rsidRDefault="003A6925" w:rsidP="003A6925">
            <w:pPr>
              <w:pStyle w:val="TableText0"/>
              <w:keepNext/>
              <w:keepLines/>
            </w:pPr>
            <w:r w:rsidRPr="00D363FF">
              <w:t>Number of services</w:t>
            </w:r>
          </w:p>
        </w:tc>
        <w:tc>
          <w:tcPr>
            <w:tcW w:w="755" w:type="pct"/>
          </w:tcPr>
          <w:p w14:paraId="7F020885" w14:textId="30AFACDD" w:rsidR="003A6925" w:rsidRPr="00183E4D" w:rsidRDefault="003A6925" w:rsidP="003A6925">
            <w:pPr>
              <w:pStyle w:val="TableText0"/>
              <w:keepNext/>
              <w:keepLines/>
              <w:jc w:val="center"/>
              <w:rPr>
                <w:color w:val="FFFFFF" w:themeColor="background1"/>
              </w:rPr>
            </w:pPr>
            <w:r w:rsidRPr="0024402E">
              <w:rPr>
                <w:snapToGrid w:val="0"/>
              </w:rPr>
              <w:t>redacted</w:t>
            </w:r>
          </w:p>
        </w:tc>
        <w:tc>
          <w:tcPr>
            <w:tcW w:w="755" w:type="pct"/>
          </w:tcPr>
          <w:p w14:paraId="0C0DDED7" w14:textId="630675BD" w:rsidR="003A6925" w:rsidRPr="00183E4D" w:rsidRDefault="003A6925" w:rsidP="003A6925">
            <w:pPr>
              <w:pStyle w:val="TableText0"/>
              <w:keepNext/>
              <w:keepLines/>
              <w:jc w:val="center"/>
              <w:rPr>
                <w:color w:val="FFFFFF" w:themeColor="background1"/>
              </w:rPr>
            </w:pPr>
            <w:r w:rsidRPr="0024402E">
              <w:rPr>
                <w:snapToGrid w:val="0"/>
              </w:rPr>
              <w:t>redacted</w:t>
            </w:r>
          </w:p>
        </w:tc>
        <w:tc>
          <w:tcPr>
            <w:tcW w:w="755" w:type="pct"/>
          </w:tcPr>
          <w:p w14:paraId="0B2A8FC9" w14:textId="3422C52F" w:rsidR="003A6925" w:rsidRPr="00183E4D" w:rsidRDefault="003A6925" w:rsidP="003A6925">
            <w:pPr>
              <w:pStyle w:val="TableText0"/>
              <w:keepNext/>
              <w:keepLines/>
              <w:jc w:val="center"/>
              <w:rPr>
                <w:color w:val="FFFFFF" w:themeColor="background1"/>
              </w:rPr>
            </w:pPr>
            <w:r w:rsidRPr="0024402E">
              <w:rPr>
                <w:snapToGrid w:val="0"/>
              </w:rPr>
              <w:t>redacted</w:t>
            </w:r>
          </w:p>
        </w:tc>
        <w:tc>
          <w:tcPr>
            <w:tcW w:w="755" w:type="pct"/>
          </w:tcPr>
          <w:p w14:paraId="7ADAD5E7" w14:textId="6D5E4471" w:rsidR="003A6925" w:rsidRPr="00183E4D" w:rsidRDefault="003A6925" w:rsidP="003A6925">
            <w:pPr>
              <w:pStyle w:val="TableText0"/>
              <w:keepNext/>
              <w:keepLines/>
              <w:jc w:val="center"/>
              <w:rPr>
                <w:color w:val="FFFFFF" w:themeColor="background1"/>
              </w:rPr>
            </w:pPr>
            <w:r w:rsidRPr="0024402E">
              <w:rPr>
                <w:snapToGrid w:val="0"/>
              </w:rPr>
              <w:t>redacted</w:t>
            </w:r>
          </w:p>
        </w:tc>
        <w:tc>
          <w:tcPr>
            <w:tcW w:w="754" w:type="pct"/>
          </w:tcPr>
          <w:p w14:paraId="384CEE7D" w14:textId="2BA98BCE" w:rsidR="003A6925" w:rsidRPr="00183E4D" w:rsidRDefault="003A6925" w:rsidP="003A6925">
            <w:pPr>
              <w:pStyle w:val="TableText0"/>
              <w:keepNext/>
              <w:keepLines/>
              <w:jc w:val="center"/>
              <w:rPr>
                <w:color w:val="FFFFFF" w:themeColor="background1"/>
              </w:rPr>
            </w:pPr>
            <w:r w:rsidRPr="0024402E">
              <w:rPr>
                <w:snapToGrid w:val="0"/>
              </w:rPr>
              <w:t>redacted</w:t>
            </w:r>
          </w:p>
        </w:tc>
      </w:tr>
      <w:tr w:rsidR="001C7D5B" w:rsidRPr="00183E4D" w14:paraId="6B00C4B9" w14:textId="77777777" w:rsidTr="008971B6">
        <w:trPr>
          <w:trHeight w:val="175"/>
        </w:trPr>
        <w:tc>
          <w:tcPr>
            <w:tcW w:w="1226" w:type="pct"/>
          </w:tcPr>
          <w:p w14:paraId="34B6CB5C" w14:textId="77777777" w:rsidR="001C7D5B" w:rsidRPr="00D363FF" w:rsidRDefault="001C7D5B" w:rsidP="003B498A">
            <w:pPr>
              <w:pStyle w:val="TableText0"/>
              <w:keepNext/>
              <w:keepLines/>
            </w:pPr>
            <w:r>
              <w:t>MBS costs</w:t>
            </w:r>
          </w:p>
        </w:tc>
        <w:tc>
          <w:tcPr>
            <w:tcW w:w="755" w:type="pct"/>
          </w:tcPr>
          <w:p w14:paraId="63A44C15" w14:textId="11E01CA0" w:rsidR="001C7D5B" w:rsidRPr="007E4D79" w:rsidRDefault="001C7D5B" w:rsidP="003B498A">
            <w:pPr>
              <w:pStyle w:val="TableText0"/>
              <w:keepNext/>
              <w:keepLines/>
              <w:jc w:val="center"/>
            </w:pPr>
            <w:r w:rsidRPr="007E4D79">
              <w:t>$</w:t>
            </w:r>
            <w:r w:rsidR="003A6925">
              <w:rPr>
                <w:snapToGrid w:val="0"/>
              </w:rPr>
              <w:t>redacted</w:t>
            </w:r>
          </w:p>
        </w:tc>
        <w:tc>
          <w:tcPr>
            <w:tcW w:w="755" w:type="pct"/>
          </w:tcPr>
          <w:p w14:paraId="31079C4B" w14:textId="1A3F85D8" w:rsidR="001C7D5B" w:rsidRPr="007E4D79" w:rsidRDefault="001C7D5B" w:rsidP="003B498A">
            <w:pPr>
              <w:pStyle w:val="TableText0"/>
              <w:keepNext/>
              <w:keepLines/>
              <w:jc w:val="center"/>
            </w:pPr>
            <w:r w:rsidRPr="007E4D79">
              <w:t>$</w:t>
            </w:r>
            <w:r w:rsidR="003A6925">
              <w:rPr>
                <w:snapToGrid w:val="0"/>
              </w:rPr>
              <w:t>redacted</w:t>
            </w:r>
          </w:p>
        </w:tc>
        <w:tc>
          <w:tcPr>
            <w:tcW w:w="755" w:type="pct"/>
          </w:tcPr>
          <w:p w14:paraId="0C03BAD9" w14:textId="1A9EBEAB" w:rsidR="001C7D5B" w:rsidRPr="007E4D79" w:rsidRDefault="001C7D5B" w:rsidP="003B498A">
            <w:pPr>
              <w:pStyle w:val="TableText0"/>
              <w:keepNext/>
              <w:keepLines/>
              <w:jc w:val="center"/>
            </w:pPr>
            <w:r w:rsidRPr="007E4D79">
              <w:t>$</w:t>
            </w:r>
            <w:r w:rsidR="003A6925">
              <w:rPr>
                <w:snapToGrid w:val="0"/>
              </w:rPr>
              <w:t>redacted</w:t>
            </w:r>
          </w:p>
        </w:tc>
        <w:tc>
          <w:tcPr>
            <w:tcW w:w="755" w:type="pct"/>
          </w:tcPr>
          <w:p w14:paraId="0623C2E5" w14:textId="30BAF253" w:rsidR="001C7D5B" w:rsidRPr="007E4D79" w:rsidRDefault="001C7D5B" w:rsidP="003B498A">
            <w:pPr>
              <w:pStyle w:val="TableText0"/>
              <w:keepNext/>
              <w:keepLines/>
              <w:jc w:val="center"/>
            </w:pPr>
            <w:r w:rsidRPr="007E4D79">
              <w:t>$</w:t>
            </w:r>
            <w:r w:rsidR="003A6925">
              <w:rPr>
                <w:snapToGrid w:val="0"/>
              </w:rPr>
              <w:t>redacted</w:t>
            </w:r>
          </w:p>
        </w:tc>
        <w:tc>
          <w:tcPr>
            <w:tcW w:w="754" w:type="pct"/>
          </w:tcPr>
          <w:p w14:paraId="24F8772D" w14:textId="4716C5BB" w:rsidR="001C7D5B" w:rsidRPr="007E4D79" w:rsidRDefault="001C7D5B" w:rsidP="003B498A">
            <w:pPr>
              <w:pStyle w:val="TableText0"/>
              <w:keepNext/>
              <w:keepLines/>
              <w:jc w:val="center"/>
            </w:pPr>
            <w:r w:rsidRPr="007E4D79">
              <w:t>$</w:t>
            </w:r>
            <w:r w:rsidR="003A6925">
              <w:rPr>
                <w:snapToGrid w:val="0"/>
              </w:rPr>
              <w:t>redacted</w:t>
            </w:r>
          </w:p>
        </w:tc>
      </w:tr>
      <w:tr w:rsidR="001C7D5B" w:rsidRPr="00183E4D" w14:paraId="5BC23517" w14:textId="77777777" w:rsidTr="008971B6">
        <w:trPr>
          <w:trHeight w:val="300"/>
        </w:trPr>
        <w:tc>
          <w:tcPr>
            <w:tcW w:w="1226" w:type="pct"/>
          </w:tcPr>
          <w:p w14:paraId="1787E312" w14:textId="77777777" w:rsidR="001C7D5B" w:rsidRPr="00D363FF" w:rsidRDefault="001C7D5B" w:rsidP="003B498A">
            <w:pPr>
              <w:pStyle w:val="TableText0"/>
              <w:keepNext/>
              <w:keepLines/>
            </w:pPr>
            <w:r>
              <w:t>MBS rebate (75%)</w:t>
            </w:r>
          </w:p>
        </w:tc>
        <w:tc>
          <w:tcPr>
            <w:tcW w:w="755" w:type="pct"/>
          </w:tcPr>
          <w:p w14:paraId="531EF8BD" w14:textId="4706CE57" w:rsidR="001C7D5B" w:rsidRPr="007E4D79" w:rsidRDefault="001C7D5B" w:rsidP="003B498A">
            <w:pPr>
              <w:pStyle w:val="TableText0"/>
              <w:keepNext/>
              <w:keepLines/>
              <w:jc w:val="center"/>
            </w:pPr>
            <w:r w:rsidRPr="007E4D79">
              <w:t>$</w:t>
            </w:r>
            <w:r w:rsidR="003A6925">
              <w:rPr>
                <w:snapToGrid w:val="0"/>
              </w:rPr>
              <w:t>redacted</w:t>
            </w:r>
          </w:p>
        </w:tc>
        <w:tc>
          <w:tcPr>
            <w:tcW w:w="755" w:type="pct"/>
          </w:tcPr>
          <w:p w14:paraId="66394446" w14:textId="3E0DA259" w:rsidR="001C7D5B" w:rsidRPr="007E4D79" w:rsidRDefault="001C7D5B" w:rsidP="003B498A">
            <w:pPr>
              <w:pStyle w:val="TableText0"/>
              <w:keepNext/>
              <w:keepLines/>
              <w:jc w:val="center"/>
            </w:pPr>
            <w:r w:rsidRPr="007E4D79">
              <w:t>$</w:t>
            </w:r>
            <w:r w:rsidR="003A6925">
              <w:rPr>
                <w:snapToGrid w:val="0"/>
              </w:rPr>
              <w:t>redacted</w:t>
            </w:r>
          </w:p>
        </w:tc>
        <w:tc>
          <w:tcPr>
            <w:tcW w:w="755" w:type="pct"/>
          </w:tcPr>
          <w:p w14:paraId="3DFD148F" w14:textId="4860A27D" w:rsidR="001C7D5B" w:rsidRPr="007E4D79" w:rsidRDefault="001C7D5B" w:rsidP="003B498A">
            <w:pPr>
              <w:pStyle w:val="TableText0"/>
              <w:keepNext/>
              <w:keepLines/>
              <w:jc w:val="center"/>
            </w:pPr>
            <w:r w:rsidRPr="007E4D79">
              <w:t>$</w:t>
            </w:r>
            <w:r w:rsidR="003A6925">
              <w:rPr>
                <w:snapToGrid w:val="0"/>
              </w:rPr>
              <w:t>redacted</w:t>
            </w:r>
          </w:p>
        </w:tc>
        <w:tc>
          <w:tcPr>
            <w:tcW w:w="755" w:type="pct"/>
          </w:tcPr>
          <w:p w14:paraId="310A97B4" w14:textId="0DF32AA8" w:rsidR="001C7D5B" w:rsidRPr="007E4D79" w:rsidRDefault="001C7D5B" w:rsidP="003B498A">
            <w:pPr>
              <w:pStyle w:val="TableText0"/>
              <w:keepNext/>
              <w:keepLines/>
              <w:jc w:val="center"/>
            </w:pPr>
            <w:r w:rsidRPr="007E4D79">
              <w:t>$</w:t>
            </w:r>
            <w:r w:rsidR="003A6925">
              <w:rPr>
                <w:snapToGrid w:val="0"/>
              </w:rPr>
              <w:t>redacted</w:t>
            </w:r>
          </w:p>
        </w:tc>
        <w:tc>
          <w:tcPr>
            <w:tcW w:w="754" w:type="pct"/>
          </w:tcPr>
          <w:p w14:paraId="7E6AA17D" w14:textId="6B9BEAED" w:rsidR="001C7D5B" w:rsidRPr="007E4D79" w:rsidRDefault="001C7D5B" w:rsidP="003B498A">
            <w:pPr>
              <w:pStyle w:val="TableText0"/>
              <w:keepNext/>
              <w:keepLines/>
              <w:jc w:val="center"/>
            </w:pPr>
            <w:r w:rsidRPr="007E4D79">
              <w:t>$</w:t>
            </w:r>
            <w:r w:rsidR="003A6925">
              <w:rPr>
                <w:snapToGrid w:val="0"/>
              </w:rPr>
              <w:t>redacted</w:t>
            </w:r>
          </w:p>
        </w:tc>
      </w:tr>
      <w:tr w:rsidR="001C7D5B" w:rsidRPr="00183E4D" w14:paraId="7BF6860C" w14:textId="77777777" w:rsidTr="008971B6">
        <w:trPr>
          <w:trHeight w:val="300"/>
        </w:trPr>
        <w:tc>
          <w:tcPr>
            <w:tcW w:w="1226" w:type="pct"/>
          </w:tcPr>
          <w:p w14:paraId="447B96C9" w14:textId="77777777" w:rsidR="001C7D5B" w:rsidRPr="00D363FF" w:rsidRDefault="001C7D5B" w:rsidP="003B498A">
            <w:pPr>
              <w:pStyle w:val="TableText0"/>
              <w:keepNext/>
              <w:keepLines/>
            </w:pPr>
            <w:r>
              <w:t>Patient contribution</w:t>
            </w:r>
          </w:p>
        </w:tc>
        <w:tc>
          <w:tcPr>
            <w:tcW w:w="755" w:type="pct"/>
          </w:tcPr>
          <w:p w14:paraId="54547848" w14:textId="6588A567" w:rsidR="001C7D5B" w:rsidRPr="007E4D79" w:rsidRDefault="001C7D5B" w:rsidP="003B498A">
            <w:pPr>
              <w:pStyle w:val="TableText0"/>
              <w:keepNext/>
              <w:keepLines/>
              <w:jc w:val="center"/>
            </w:pPr>
            <w:r w:rsidRPr="007E4D79">
              <w:t>$</w:t>
            </w:r>
            <w:r w:rsidR="003A6925">
              <w:rPr>
                <w:snapToGrid w:val="0"/>
              </w:rPr>
              <w:t>redacted</w:t>
            </w:r>
          </w:p>
        </w:tc>
        <w:tc>
          <w:tcPr>
            <w:tcW w:w="755" w:type="pct"/>
          </w:tcPr>
          <w:p w14:paraId="47974523" w14:textId="7EB4A84D" w:rsidR="001C7D5B" w:rsidRPr="007E4D79" w:rsidRDefault="001C7D5B" w:rsidP="003B498A">
            <w:pPr>
              <w:pStyle w:val="TableText0"/>
              <w:keepNext/>
              <w:keepLines/>
              <w:jc w:val="center"/>
            </w:pPr>
            <w:r w:rsidRPr="007E4D79">
              <w:t>$</w:t>
            </w:r>
            <w:r w:rsidR="003A6925">
              <w:rPr>
                <w:snapToGrid w:val="0"/>
              </w:rPr>
              <w:t>redacted</w:t>
            </w:r>
          </w:p>
        </w:tc>
        <w:tc>
          <w:tcPr>
            <w:tcW w:w="755" w:type="pct"/>
          </w:tcPr>
          <w:p w14:paraId="11442789" w14:textId="1CBB0C37" w:rsidR="001C7D5B" w:rsidRPr="007E4D79" w:rsidRDefault="001C7D5B" w:rsidP="003B498A">
            <w:pPr>
              <w:pStyle w:val="TableText0"/>
              <w:keepNext/>
              <w:keepLines/>
              <w:jc w:val="center"/>
            </w:pPr>
            <w:r w:rsidRPr="007E4D79">
              <w:t>$</w:t>
            </w:r>
            <w:r w:rsidR="003A6925">
              <w:rPr>
                <w:snapToGrid w:val="0"/>
              </w:rPr>
              <w:t>redacted</w:t>
            </w:r>
          </w:p>
        </w:tc>
        <w:tc>
          <w:tcPr>
            <w:tcW w:w="755" w:type="pct"/>
          </w:tcPr>
          <w:p w14:paraId="7EAD61BF" w14:textId="044181B0" w:rsidR="001C7D5B" w:rsidRPr="007E4D79" w:rsidRDefault="001C7D5B" w:rsidP="003B498A">
            <w:pPr>
              <w:pStyle w:val="TableText0"/>
              <w:keepNext/>
              <w:keepLines/>
              <w:jc w:val="center"/>
            </w:pPr>
            <w:r w:rsidRPr="007E4D79">
              <w:t>$</w:t>
            </w:r>
            <w:r w:rsidR="003A6925">
              <w:rPr>
                <w:snapToGrid w:val="0"/>
              </w:rPr>
              <w:t>redacted</w:t>
            </w:r>
          </w:p>
        </w:tc>
        <w:tc>
          <w:tcPr>
            <w:tcW w:w="754" w:type="pct"/>
          </w:tcPr>
          <w:p w14:paraId="5C8BD851" w14:textId="72AE214D" w:rsidR="001C7D5B" w:rsidRPr="007E4D79" w:rsidRDefault="001C7D5B" w:rsidP="003B498A">
            <w:pPr>
              <w:pStyle w:val="TableText0"/>
              <w:keepNext/>
              <w:keepLines/>
              <w:jc w:val="center"/>
            </w:pPr>
            <w:r w:rsidRPr="007E4D79">
              <w:t>$</w:t>
            </w:r>
            <w:r w:rsidR="003A6925">
              <w:rPr>
                <w:snapToGrid w:val="0"/>
              </w:rPr>
              <w:t>redacted</w:t>
            </w:r>
          </w:p>
        </w:tc>
      </w:tr>
      <w:tr w:rsidR="001C7D5B" w:rsidRPr="00183E4D" w14:paraId="5E743D0D" w14:textId="77777777" w:rsidTr="008971B6">
        <w:trPr>
          <w:trHeight w:val="300"/>
        </w:trPr>
        <w:tc>
          <w:tcPr>
            <w:tcW w:w="1226" w:type="pct"/>
          </w:tcPr>
          <w:p w14:paraId="3B816668" w14:textId="77777777" w:rsidR="001C7D5B" w:rsidRPr="000C6067" w:rsidRDefault="001C7D5B" w:rsidP="003B498A">
            <w:pPr>
              <w:pStyle w:val="TableText0"/>
              <w:keepNext/>
              <w:keepLines/>
              <w:rPr>
                <w:b/>
                <w:bCs/>
              </w:rPr>
            </w:pPr>
            <w:r>
              <w:rPr>
                <w:b/>
                <w:bCs/>
              </w:rPr>
              <w:t>Cost savings to o</w:t>
            </w:r>
            <w:r w:rsidRPr="000C6067">
              <w:rPr>
                <w:b/>
                <w:bCs/>
              </w:rPr>
              <w:t>ther MBS services</w:t>
            </w:r>
          </w:p>
        </w:tc>
        <w:tc>
          <w:tcPr>
            <w:tcW w:w="755" w:type="pct"/>
          </w:tcPr>
          <w:p w14:paraId="6E427AEC" w14:textId="77777777" w:rsidR="001C7D5B" w:rsidRPr="007E4D79" w:rsidRDefault="001C7D5B" w:rsidP="003B498A">
            <w:pPr>
              <w:pStyle w:val="TableText0"/>
              <w:keepNext/>
              <w:keepLines/>
              <w:jc w:val="center"/>
            </w:pPr>
          </w:p>
        </w:tc>
        <w:tc>
          <w:tcPr>
            <w:tcW w:w="755" w:type="pct"/>
          </w:tcPr>
          <w:p w14:paraId="07729318" w14:textId="77777777" w:rsidR="001C7D5B" w:rsidRPr="007E4D79" w:rsidRDefault="001C7D5B" w:rsidP="003B498A">
            <w:pPr>
              <w:pStyle w:val="TableText0"/>
              <w:keepNext/>
              <w:keepLines/>
              <w:jc w:val="center"/>
            </w:pPr>
          </w:p>
        </w:tc>
        <w:tc>
          <w:tcPr>
            <w:tcW w:w="755" w:type="pct"/>
          </w:tcPr>
          <w:p w14:paraId="5181ADCD" w14:textId="77777777" w:rsidR="001C7D5B" w:rsidRPr="007E4D79" w:rsidRDefault="001C7D5B" w:rsidP="003B498A">
            <w:pPr>
              <w:pStyle w:val="TableText0"/>
              <w:keepNext/>
              <w:keepLines/>
              <w:jc w:val="center"/>
            </w:pPr>
          </w:p>
        </w:tc>
        <w:tc>
          <w:tcPr>
            <w:tcW w:w="755" w:type="pct"/>
          </w:tcPr>
          <w:p w14:paraId="76F56025" w14:textId="77777777" w:rsidR="001C7D5B" w:rsidRPr="007E4D79" w:rsidRDefault="001C7D5B" w:rsidP="003B498A">
            <w:pPr>
              <w:pStyle w:val="TableText0"/>
              <w:keepNext/>
              <w:keepLines/>
              <w:jc w:val="center"/>
            </w:pPr>
          </w:p>
        </w:tc>
        <w:tc>
          <w:tcPr>
            <w:tcW w:w="754" w:type="pct"/>
          </w:tcPr>
          <w:p w14:paraId="3E766101" w14:textId="77777777" w:rsidR="001C7D5B" w:rsidRPr="007E4D79" w:rsidRDefault="001C7D5B" w:rsidP="003B498A">
            <w:pPr>
              <w:pStyle w:val="TableText0"/>
              <w:keepNext/>
              <w:keepLines/>
              <w:jc w:val="center"/>
            </w:pPr>
          </w:p>
        </w:tc>
      </w:tr>
      <w:tr w:rsidR="001C7D5B" w:rsidRPr="00183E4D" w14:paraId="503CE4D3" w14:textId="77777777" w:rsidTr="008971B6">
        <w:trPr>
          <w:trHeight w:val="300"/>
        </w:trPr>
        <w:tc>
          <w:tcPr>
            <w:tcW w:w="1226" w:type="pct"/>
          </w:tcPr>
          <w:p w14:paraId="2C5705D3" w14:textId="77777777" w:rsidR="001C7D5B" w:rsidRDefault="001C7D5B" w:rsidP="003B498A">
            <w:pPr>
              <w:pStyle w:val="TableText0"/>
              <w:keepNext/>
              <w:keepLines/>
            </w:pPr>
            <w:r>
              <w:t>MBS costs</w:t>
            </w:r>
          </w:p>
        </w:tc>
        <w:tc>
          <w:tcPr>
            <w:tcW w:w="755" w:type="pct"/>
          </w:tcPr>
          <w:p w14:paraId="21872AEC" w14:textId="0EC36D2E" w:rsidR="001C7D5B" w:rsidRPr="007E4D79" w:rsidRDefault="001C7D5B" w:rsidP="003B498A">
            <w:pPr>
              <w:pStyle w:val="TableText0"/>
              <w:keepNext/>
              <w:keepLines/>
              <w:jc w:val="center"/>
            </w:pPr>
            <w:r w:rsidRPr="00D350FC">
              <w:t>$</w:t>
            </w:r>
            <w:r w:rsidR="003A6925">
              <w:rPr>
                <w:snapToGrid w:val="0"/>
              </w:rPr>
              <w:t>redacted</w:t>
            </w:r>
          </w:p>
        </w:tc>
        <w:tc>
          <w:tcPr>
            <w:tcW w:w="755" w:type="pct"/>
          </w:tcPr>
          <w:p w14:paraId="59866D36" w14:textId="00005EAA" w:rsidR="001C7D5B" w:rsidRPr="007E4D79" w:rsidRDefault="001C7D5B" w:rsidP="003A6925">
            <w:pPr>
              <w:pStyle w:val="TableText0"/>
              <w:keepNext/>
              <w:keepLines/>
              <w:jc w:val="center"/>
            </w:pPr>
            <w:r w:rsidRPr="00D350FC">
              <w:t>$</w:t>
            </w:r>
            <w:r w:rsidR="003A6925">
              <w:rPr>
                <w:snapToGrid w:val="0"/>
              </w:rPr>
              <w:t>redacted</w:t>
            </w:r>
          </w:p>
        </w:tc>
        <w:tc>
          <w:tcPr>
            <w:tcW w:w="755" w:type="pct"/>
          </w:tcPr>
          <w:p w14:paraId="1518836A" w14:textId="7DA167E0" w:rsidR="001C7D5B" w:rsidRPr="007E4D79" w:rsidRDefault="001C7D5B" w:rsidP="003B498A">
            <w:pPr>
              <w:pStyle w:val="TableText0"/>
              <w:keepNext/>
              <w:keepLines/>
              <w:jc w:val="center"/>
            </w:pPr>
            <w:r w:rsidRPr="00D350FC">
              <w:t>$</w:t>
            </w:r>
            <w:r w:rsidR="003A6925">
              <w:rPr>
                <w:snapToGrid w:val="0"/>
              </w:rPr>
              <w:t>redacted</w:t>
            </w:r>
          </w:p>
        </w:tc>
        <w:tc>
          <w:tcPr>
            <w:tcW w:w="755" w:type="pct"/>
          </w:tcPr>
          <w:p w14:paraId="68764855" w14:textId="2AD92C1A" w:rsidR="001C7D5B" w:rsidRPr="007E4D79" w:rsidRDefault="001C7D5B" w:rsidP="003A6925">
            <w:pPr>
              <w:pStyle w:val="TableText0"/>
              <w:keepNext/>
              <w:keepLines/>
              <w:jc w:val="center"/>
            </w:pPr>
            <w:r w:rsidRPr="00D350FC">
              <w:t>$</w:t>
            </w:r>
            <w:r w:rsidR="003A6925">
              <w:rPr>
                <w:snapToGrid w:val="0"/>
              </w:rPr>
              <w:t>redacted</w:t>
            </w:r>
          </w:p>
        </w:tc>
        <w:tc>
          <w:tcPr>
            <w:tcW w:w="754" w:type="pct"/>
          </w:tcPr>
          <w:p w14:paraId="1CC1C204" w14:textId="414FDE67" w:rsidR="001C7D5B" w:rsidRPr="007E4D79" w:rsidRDefault="001C7D5B" w:rsidP="003B498A">
            <w:pPr>
              <w:pStyle w:val="TableText0"/>
              <w:keepNext/>
              <w:keepLines/>
              <w:jc w:val="center"/>
            </w:pPr>
            <w:r w:rsidRPr="00D350FC">
              <w:t>$</w:t>
            </w:r>
            <w:r w:rsidR="003A6925">
              <w:rPr>
                <w:snapToGrid w:val="0"/>
              </w:rPr>
              <w:t>redacted</w:t>
            </w:r>
          </w:p>
        </w:tc>
      </w:tr>
      <w:tr w:rsidR="001C7D5B" w:rsidRPr="00183E4D" w14:paraId="42BE753F" w14:textId="77777777" w:rsidTr="008971B6">
        <w:trPr>
          <w:trHeight w:val="300"/>
        </w:trPr>
        <w:tc>
          <w:tcPr>
            <w:tcW w:w="1226" w:type="pct"/>
          </w:tcPr>
          <w:p w14:paraId="4B235688" w14:textId="77777777" w:rsidR="001C7D5B" w:rsidRDefault="001C7D5B" w:rsidP="003B498A">
            <w:pPr>
              <w:pStyle w:val="TableText0"/>
              <w:keepNext/>
              <w:keepLines/>
            </w:pPr>
            <w:r>
              <w:t>MBS rebate (75%)</w:t>
            </w:r>
          </w:p>
        </w:tc>
        <w:tc>
          <w:tcPr>
            <w:tcW w:w="755" w:type="pct"/>
          </w:tcPr>
          <w:p w14:paraId="25BB7E1E" w14:textId="74682C77" w:rsidR="001C7D5B" w:rsidRPr="007E4D79" w:rsidRDefault="001C7D5B" w:rsidP="003B498A">
            <w:pPr>
              <w:pStyle w:val="TableText0"/>
              <w:keepNext/>
              <w:keepLines/>
              <w:jc w:val="center"/>
            </w:pPr>
            <w:r w:rsidRPr="00D350FC">
              <w:t>$</w:t>
            </w:r>
            <w:r w:rsidR="003A6925">
              <w:rPr>
                <w:snapToGrid w:val="0"/>
              </w:rPr>
              <w:t>redacted</w:t>
            </w:r>
          </w:p>
        </w:tc>
        <w:tc>
          <w:tcPr>
            <w:tcW w:w="755" w:type="pct"/>
          </w:tcPr>
          <w:p w14:paraId="24E20F28" w14:textId="5576A778" w:rsidR="001C7D5B" w:rsidRPr="007E4D79" w:rsidRDefault="001C7D5B" w:rsidP="003B498A">
            <w:pPr>
              <w:pStyle w:val="TableText0"/>
              <w:keepNext/>
              <w:keepLines/>
              <w:jc w:val="center"/>
            </w:pPr>
            <w:r w:rsidRPr="00D350FC">
              <w:t>$</w:t>
            </w:r>
            <w:r w:rsidR="003A6925">
              <w:rPr>
                <w:snapToGrid w:val="0"/>
              </w:rPr>
              <w:t>redacted</w:t>
            </w:r>
          </w:p>
        </w:tc>
        <w:tc>
          <w:tcPr>
            <w:tcW w:w="755" w:type="pct"/>
          </w:tcPr>
          <w:p w14:paraId="0F6C253C" w14:textId="3976123D" w:rsidR="001C7D5B" w:rsidRPr="007E4D79" w:rsidRDefault="001C7D5B" w:rsidP="003A6925">
            <w:pPr>
              <w:pStyle w:val="TableText0"/>
              <w:keepNext/>
              <w:keepLines/>
              <w:jc w:val="center"/>
            </w:pPr>
            <w:r w:rsidRPr="00D350FC">
              <w:t>$</w:t>
            </w:r>
            <w:r w:rsidR="003A6925">
              <w:rPr>
                <w:snapToGrid w:val="0"/>
              </w:rPr>
              <w:t>redacted</w:t>
            </w:r>
          </w:p>
        </w:tc>
        <w:tc>
          <w:tcPr>
            <w:tcW w:w="755" w:type="pct"/>
          </w:tcPr>
          <w:p w14:paraId="42DD2F03" w14:textId="652B96C8" w:rsidR="001C7D5B" w:rsidRPr="007E4D79" w:rsidRDefault="001C7D5B" w:rsidP="003B498A">
            <w:pPr>
              <w:pStyle w:val="TableText0"/>
              <w:keepNext/>
              <w:keepLines/>
              <w:jc w:val="center"/>
            </w:pPr>
            <w:r w:rsidRPr="00D350FC">
              <w:t>$</w:t>
            </w:r>
            <w:r w:rsidR="003A6925">
              <w:rPr>
                <w:snapToGrid w:val="0"/>
              </w:rPr>
              <w:t>redacted</w:t>
            </w:r>
          </w:p>
        </w:tc>
        <w:tc>
          <w:tcPr>
            <w:tcW w:w="754" w:type="pct"/>
          </w:tcPr>
          <w:p w14:paraId="3A61531E" w14:textId="6C4618EE" w:rsidR="001C7D5B" w:rsidRPr="007E4D79" w:rsidRDefault="001C7D5B" w:rsidP="003A6925">
            <w:pPr>
              <w:pStyle w:val="TableText0"/>
              <w:keepNext/>
              <w:keepLines/>
              <w:jc w:val="center"/>
            </w:pPr>
            <w:r w:rsidRPr="00D350FC">
              <w:t>$</w:t>
            </w:r>
            <w:r w:rsidR="003A6925">
              <w:rPr>
                <w:snapToGrid w:val="0"/>
              </w:rPr>
              <w:t>redacted</w:t>
            </w:r>
          </w:p>
        </w:tc>
      </w:tr>
      <w:tr w:rsidR="001C7D5B" w:rsidRPr="00183E4D" w14:paraId="33E969AD" w14:textId="77777777" w:rsidTr="008971B6">
        <w:trPr>
          <w:trHeight w:val="300"/>
        </w:trPr>
        <w:tc>
          <w:tcPr>
            <w:tcW w:w="1226" w:type="pct"/>
          </w:tcPr>
          <w:p w14:paraId="1FA4D971" w14:textId="77777777" w:rsidR="001C7D5B" w:rsidRDefault="001C7D5B" w:rsidP="003B498A">
            <w:pPr>
              <w:pStyle w:val="TableText0"/>
              <w:keepNext/>
              <w:keepLines/>
            </w:pPr>
            <w:r>
              <w:t>Patient contribution</w:t>
            </w:r>
          </w:p>
        </w:tc>
        <w:tc>
          <w:tcPr>
            <w:tcW w:w="755" w:type="pct"/>
          </w:tcPr>
          <w:p w14:paraId="12367894" w14:textId="0EFB0C1C" w:rsidR="001C7D5B" w:rsidRPr="007E4D79" w:rsidRDefault="001C7D5B" w:rsidP="003B498A">
            <w:pPr>
              <w:pStyle w:val="TableText0"/>
              <w:keepNext/>
              <w:keepLines/>
              <w:jc w:val="center"/>
            </w:pPr>
            <w:r w:rsidRPr="00D350FC">
              <w:t>$</w:t>
            </w:r>
            <w:r w:rsidR="003A6925">
              <w:rPr>
                <w:snapToGrid w:val="0"/>
              </w:rPr>
              <w:t>redacted</w:t>
            </w:r>
          </w:p>
        </w:tc>
        <w:tc>
          <w:tcPr>
            <w:tcW w:w="755" w:type="pct"/>
          </w:tcPr>
          <w:p w14:paraId="4EBC85E7" w14:textId="3BC3B72A" w:rsidR="001C7D5B" w:rsidRPr="007E4D79" w:rsidRDefault="001C7D5B" w:rsidP="003B498A">
            <w:pPr>
              <w:pStyle w:val="TableText0"/>
              <w:keepNext/>
              <w:keepLines/>
              <w:jc w:val="center"/>
            </w:pPr>
            <w:r w:rsidRPr="00D350FC">
              <w:t>$</w:t>
            </w:r>
            <w:r w:rsidR="003A6925">
              <w:rPr>
                <w:snapToGrid w:val="0"/>
              </w:rPr>
              <w:t>redacted</w:t>
            </w:r>
          </w:p>
        </w:tc>
        <w:tc>
          <w:tcPr>
            <w:tcW w:w="755" w:type="pct"/>
          </w:tcPr>
          <w:p w14:paraId="3169DB57" w14:textId="75492F48" w:rsidR="001C7D5B" w:rsidRPr="007E4D79" w:rsidRDefault="001C7D5B" w:rsidP="003B498A">
            <w:pPr>
              <w:pStyle w:val="TableText0"/>
              <w:keepNext/>
              <w:keepLines/>
              <w:jc w:val="center"/>
            </w:pPr>
            <w:r w:rsidRPr="00D350FC">
              <w:t>$</w:t>
            </w:r>
            <w:r w:rsidR="003A6925">
              <w:rPr>
                <w:snapToGrid w:val="0"/>
              </w:rPr>
              <w:t>redacted</w:t>
            </w:r>
          </w:p>
        </w:tc>
        <w:tc>
          <w:tcPr>
            <w:tcW w:w="755" w:type="pct"/>
          </w:tcPr>
          <w:p w14:paraId="45106C13" w14:textId="07804B74" w:rsidR="001C7D5B" w:rsidRPr="007E4D79" w:rsidRDefault="001C7D5B" w:rsidP="003B498A">
            <w:pPr>
              <w:pStyle w:val="TableText0"/>
              <w:keepNext/>
              <w:keepLines/>
              <w:jc w:val="center"/>
            </w:pPr>
            <w:r w:rsidRPr="00D350FC">
              <w:t>$</w:t>
            </w:r>
            <w:r w:rsidR="003A6925">
              <w:rPr>
                <w:snapToGrid w:val="0"/>
              </w:rPr>
              <w:t>redacted</w:t>
            </w:r>
          </w:p>
        </w:tc>
        <w:tc>
          <w:tcPr>
            <w:tcW w:w="754" w:type="pct"/>
          </w:tcPr>
          <w:p w14:paraId="220EFC15" w14:textId="1EF53264" w:rsidR="001C7D5B" w:rsidRPr="007E4D79" w:rsidRDefault="001C7D5B" w:rsidP="003A6925">
            <w:pPr>
              <w:pStyle w:val="TableText0"/>
              <w:keepNext/>
              <w:keepLines/>
              <w:jc w:val="center"/>
            </w:pPr>
            <w:r w:rsidRPr="00D350FC">
              <w:t>$</w:t>
            </w:r>
            <w:r w:rsidR="003A6925">
              <w:rPr>
                <w:snapToGrid w:val="0"/>
              </w:rPr>
              <w:t>redacted</w:t>
            </w:r>
          </w:p>
        </w:tc>
      </w:tr>
      <w:tr w:rsidR="001C7D5B" w:rsidRPr="00183E4D" w14:paraId="658501EE" w14:textId="77777777" w:rsidTr="008971B6">
        <w:trPr>
          <w:trHeight w:val="300"/>
        </w:trPr>
        <w:tc>
          <w:tcPr>
            <w:tcW w:w="1226" w:type="pct"/>
          </w:tcPr>
          <w:p w14:paraId="1C87E698" w14:textId="77777777" w:rsidR="001C7D5B" w:rsidRPr="007001E1" w:rsidRDefault="001C7D5B" w:rsidP="003B498A">
            <w:pPr>
              <w:pStyle w:val="TableText0"/>
              <w:keepNext/>
              <w:keepLines/>
              <w:rPr>
                <w:b/>
              </w:rPr>
            </w:pPr>
            <w:r w:rsidRPr="007001E1">
              <w:rPr>
                <w:b/>
              </w:rPr>
              <w:t>Total cost to MBS</w:t>
            </w:r>
          </w:p>
        </w:tc>
        <w:tc>
          <w:tcPr>
            <w:tcW w:w="755" w:type="pct"/>
          </w:tcPr>
          <w:p w14:paraId="24A61968" w14:textId="77777777" w:rsidR="001C7D5B" w:rsidRPr="005D5DDA" w:rsidRDefault="001C7D5B" w:rsidP="003B498A">
            <w:pPr>
              <w:pStyle w:val="TableText0"/>
              <w:keepNext/>
              <w:keepLines/>
              <w:jc w:val="center"/>
            </w:pPr>
          </w:p>
        </w:tc>
        <w:tc>
          <w:tcPr>
            <w:tcW w:w="755" w:type="pct"/>
          </w:tcPr>
          <w:p w14:paraId="13296980" w14:textId="77777777" w:rsidR="001C7D5B" w:rsidRPr="005D5DDA" w:rsidRDefault="001C7D5B" w:rsidP="003B498A">
            <w:pPr>
              <w:pStyle w:val="TableText0"/>
              <w:keepNext/>
              <w:keepLines/>
              <w:jc w:val="center"/>
            </w:pPr>
          </w:p>
        </w:tc>
        <w:tc>
          <w:tcPr>
            <w:tcW w:w="755" w:type="pct"/>
          </w:tcPr>
          <w:p w14:paraId="36C10840" w14:textId="77777777" w:rsidR="001C7D5B" w:rsidRPr="005D5DDA" w:rsidRDefault="001C7D5B" w:rsidP="003B498A">
            <w:pPr>
              <w:pStyle w:val="TableText0"/>
              <w:keepNext/>
              <w:keepLines/>
              <w:jc w:val="center"/>
            </w:pPr>
          </w:p>
        </w:tc>
        <w:tc>
          <w:tcPr>
            <w:tcW w:w="755" w:type="pct"/>
          </w:tcPr>
          <w:p w14:paraId="2666544C" w14:textId="77777777" w:rsidR="001C7D5B" w:rsidRPr="005D5DDA" w:rsidRDefault="001C7D5B" w:rsidP="003B498A">
            <w:pPr>
              <w:pStyle w:val="TableText0"/>
              <w:keepNext/>
              <w:keepLines/>
              <w:jc w:val="center"/>
            </w:pPr>
          </w:p>
        </w:tc>
        <w:tc>
          <w:tcPr>
            <w:tcW w:w="754" w:type="pct"/>
          </w:tcPr>
          <w:p w14:paraId="3EBCA14E" w14:textId="77777777" w:rsidR="001C7D5B" w:rsidRPr="005D5DDA" w:rsidRDefault="001C7D5B" w:rsidP="003B498A">
            <w:pPr>
              <w:pStyle w:val="TableText0"/>
              <w:keepNext/>
              <w:keepLines/>
              <w:jc w:val="center"/>
            </w:pPr>
          </w:p>
        </w:tc>
      </w:tr>
      <w:tr w:rsidR="001C7D5B" w:rsidRPr="00183E4D" w14:paraId="00475E7C" w14:textId="77777777" w:rsidTr="008971B6">
        <w:trPr>
          <w:trHeight w:val="300"/>
        </w:trPr>
        <w:tc>
          <w:tcPr>
            <w:tcW w:w="1226" w:type="pct"/>
          </w:tcPr>
          <w:p w14:paraId="3AA7E413" w14:textId="77777777" w:rsidR="001C7D5B" w:rsidRDefault="001C7D5B" w:rsidP="003B498A">
            <w:pPr>
              <w:pStyle w:val="TableText0"/>
              <w:keepNext/>
              <w:keepLines/>
            </w:pPr>
            <w:r w:rsidRPr="00A12852">
              <w:t>MBS costs</w:t>
            </w:r>
          </w:p>
        </w:tc>
        <w:tc>
          <w:tcPr>
            <w:tcW w:w="755" w:type="pct"/>
          </w:tcPr>
          <w:p w14:paraId="55E573DC" w14:textId="33AC3F3C" w:rsidR="001C7D5B" w:rsidRPr="005D5DDA" w:rsidRDefault="001C7D5B" w:rsidP="003B498A">
            <w:pPr>
              <w:pStyle w:val="TableText0"/>
              <w:keepNext/>
              <w:keepLines/>
              <w:jc w:val="center"/>
            </w:pPr>
            <w:r w:rsidRPr="00DA147C">
              <w:t>$</w:t>
            </w:r>
            <w:r w:rsidR="003A6925">
              <w:rPr>
                <w:snapToGrid w:val="0"/>
              </w:rPr>
              <w:t>redacted</w:t>
            </w:r>
          </w:p>
        </w:tc>
        <w:tc>
          <w:tcPr>
            <w:tcW w:w="755" w:type="pct"/>
          </w:tcPr>
          <w:p w14:paraId="5E9A9949" w14:textId="7C3F896A" w:rsidR="001C7D5B" w:rsidRPr="005D5DDA" w:rsidRDefault="001C7D5B" w:rsidP="003B498A">
            <w:pPr>
              <w:pStyle w:val="TableText0"/>
              <w:keepNext/>
              <w:keepLines/>
              <w:jc w:val="center"/>
            </w:pPr>
            <w:r w:rsidRPr="00DA147C">
              <w:t>$</w:t>
            </w:r>
            <w:r w:rsidR="003A6925">
              <w:rPr>
                <w:snapToGrid w:val="0"/>
              </w:rPr>
              <w:t>redacted</w:t>
            </w:r>
          </w:p>
        </w:tc>
        <w:tc>
          <w:tcPr>
            <w:tcW w:w="755" w:type="pct"/>
          </w:tcPr>
          <w:p w14:paraId="6BF7619B" w14:textId="07EF3084" w:rsidR="001C7D5B" w:rsidRPr="005D5DDA" w:rsidRDefault="001C7D5B" w:rsidP="003B498A">
            <w:pPr>
              <w:pStyle w:val="TableText0"/>
              <w:keepNext/>
              <w:keepLines/>
              <w:jc w:val="center"/>
            </w:pPr>
            <w:r w:rsidRPr="00DA147C">
              <w:t>$</w:t>
            </w:r>
            <w:r w:rsidR="003A6925">
              <w:rPr>
                <w:snapToGrid w:val="0"/>
              </w:rPr>
              <w:t>redacted</w:t>
            </w:r>
          </w:p>
        </w:tc>
        <w:tc>
          <w:tcPr>
            <w:tcW w:w="755" w:type="pct"/>
          </w:tcPr>
          <w:p w14:paraId="0C685A38" w14:textId="5E1A135A" w:rsidR="001C7D5B" w:rsidRPr="005D5DDA" w:rsidRDefault="001C7D5B" w:rsidP="003B498A">
            <w:pPr>
              <w:pStyle w:val="TableText0"/>
              <w:keepNext/>
              <w:keepLines/>
              <w:jc w:val="center"/>
            </w:pPr>
            <w:r w:rsidRPr="00DA147C">
              <w:t>$</w:t>
            </w:r>
            <w:r w:rsidR="003A6925">
              <w:rPr>
                <w:snapToGrid w:val="0"/>
              </w:rPr>
              <w:t>redacted</w:t>
            </w:r>
          </w:p>
        </w:tc>
        <w:tc>
          <w:tcPr>
            <w:tcW w:w="754" w:type="pct"/>
          </w:tcPr>
          <w:p w14:paraId="1A59C0D5" w14:textId="1FA51BFD" w:rsidR="001C7D5B" w:rsidRPr="005D5DDA" w:rsidRDefault="001C7D5B" w:rsidP="003B498A">
            <w:pPr>
              <w:pStyle w:val="TableText0"/>
              <w:keepNext/>
              <w:keepLines/>
              <w:jc w:val="center"/>
            </w:pPr>
            <w:r w:rsidRPr="00DA147C">
              <w:t>$</w:t>
            </w:r>
            <w:r w:rsidR="003A6925">
              <w:rPr>
                <w:snapToGrid w:val="0"/>
              </w:rPr>
              <w:t>redacted</w:t>
            </w:r>
          </w:p>
        </w:tc>
      </w:tr>
      <w:tr w:rsidR="001C7D5B" w:rsidRPr="00183E4D" w14:paraId="44708462" w14:textId="77777777" w:rsidTr="008971B6">
        <w:trPr>
          <w:trHeight w:val="300"/>
        </w:trPr>
        <w:tc>
          <w:tcPr>
            <w:tcW w:w="1226" w:type="pct"/>
          </w:tcPr>
          <w:p w14:paraId="4D0069E0" w14:textId="77777777" w:rsidR="001C7D5B" w:rsidRDefault="001C7D5B" w:rsidP="003B498A">
            <w:pPr>
              <w:pStyle w:val="TableText0"/>
            </w:pPr>
            <w:r w:rsidRPr="00A12852">
              <w:t>MBS rebate (</w:t>
            </w:r>
            <w:r>
              <w:t>7</w:t>
            </w:r>
            <w:r w:rsidRPr="00A12852">
              <w:t>5%)</w:t>
            </w:r>
          </w:p>
        </w:tc>
        <w:tc>
          <w:tcPr>
            <w:tcW w:w="755" w:type="pct"/>
          </w:tcPr>
          <w:p w14:paraId="23EAA460" w14:textId="662891FF" w:rsidR="001C7D5B" w:rsidRPr="005D5DDA" w:rsidRDefault="001C7D5B" w:rsidP="003B498A">
            <w:pPr>
              <w:pStyle w:val="TableText0"/>
              <w:jc w:val="center"/>
            </w:pPr>
            <w:r w:rsidRPr="00DA147C">
              <w:t>$</w:t>
            </w:r>
            <w:r w:rsidR="003A6925">
              <w:rPr>
                <w:snapToGrid w:val="0"/>
              </w:rPr>
              <w:t>redacted</w:t>
            </w:r>
          </w:p>
        </w:tc>
        <w:tc>
          <w:tcPr>
            <w:tcW w:w="755" w:type="pct"/>
          </w:tcPr>
          <w:p w14:paraId="7BB0AB3F" w14:textId="5EC19E91" w:rsidR="001C7D5B" w:rsidRPr="005D5DDA" w:rsidRDefault="001C7D5B" w:rsidP="003B498A">
            <w:pPr>
              <w:pStyle w:val="TableText0"/>
              <w:jc w:val="center"/>
            </w:pPr>
            <w:r w:rsidRPr="00DA147C">
              <w:t>$</w:t>
            </w:r>
            <w:r w:rsidR="003A6925">
              <w:rPr>
                <w:snapToGrid w:val="0"/>
              </w:rPr>
              <w:t>redacted</w:t>
            </w:r>
          </w:p>
        </w:tc>
        <w:tc>
          <w:tcPr>
            <w:tcW w:w="755" w:type="pct"/>
          </w:tcPr>
          <w:p w14:paraId="43A68ED1" w14:textId="30CE4D43" w:rsidR="001C7D5B" w:rsidRPr="005D5DDA" w:rsidRDefault="001C7D5B" w:rsidP="003B498A">
            <w:pPr>
              <w:pStyle w:val="TableText0"/>
              <w:jc w:val="center"/>
            </w:pPr>
            <w:r w:rsidRPr="00DA147C">
              <w:t>$</w:t>
            </w:r>
            <w:r w:rsidR="003A6925">
              <w:rPr>
                <w:snapToGrid w:val="0"/>
              </w:rPr>
              <w:t>redacted</w:t>
            </w:r>
          </w:p>
        </w:tc>
        <w:tc>
          <w:tcPr>
            <w:tcW w:w="755" w:type="pct"/>
          </w:tcPr>
          <w:p w14:paraId="67C1B660" w14:textId="58173847" w:rsidR="001C7D5B" w:rsidRPr="005D5DDA" w:rsidRDefault="001C7D5B" w:rsidP="003B498A">
            <w:pPr>
              <w:pStyle w:val="TableText0"/>
              <w:jc w:val="center"/>
            </w:pPr>
            <w:r w:rsidRPr="00DA147C">
              <w:t>$</w:t>
            </w:r>
            <w:r w:rsidR="003A6925">
              <w:rPr>
                <w:snapToGrid w:val="0"/>
              </w:rPr>
              <w:t>redacted</w:t>
            </w:r>
          </w:p>
        </w:tc>
        <w:tc>
          <w:tcPr>
            <w:tcW w:w="754" w:type="pct"/>
          </w:tcPr>
          <w:p w14:paraId="0D7E6189" w14:textId="5DE9003E" w:rsidR="001C7D5B" w:rsidRPr="005D5DDA" w:rsidRDefault="001C7D5B" w:rsidP="003B498A">
            <w:pPr>
              <w:pStyle w:val="TableText0"/>
              <w:jc w:val="center"/>
            </w:pPr>
            <w:r w:rsidRPr="00DA147C">
              <w:t>$</w:t>
            </w:r>
            <w:r w:rsidR="003A6925">
              <w:rPr>
                <w:snapToGrid w:val="0"/>
              </w:rPr>
              <w:t>redacted</w:t>
            </w:r>
          </w:p>
        </w:tc>
      </w:tr>
      <w:tr w:rsidR="001C7D5B" w:rsidRPr="00183E4D" w14:paraId="62B1001E" w14:textId="77777777" w:rsidTr="008971B6">
        <w:trPr>
          <w:trHeight w:val="300"/>
        </w:trPr>
        <w:tc>
          <w:tcPr>
            <w:tcW w:w="1226" w:type="pct"/>
          </w:tcPr>
          <w:p w14:paraId="2B93859C" w14:textId="77777777" w:rsidR="001C7D5B" w:rsidRDefault="001C7D5B" w:rsidP="003B498A">
            <w:pPr>
              <w:pStyle w:val="TableText0"/>
            </w:pPr>
            <w:r w:rsidRPr="00A12852">
              <w:t>Patient contribution</w:t>
            </w:r>
          </w:p>
        </w:tc>
        <w:tc>
          <w:tcPr>
            <w:tcW w:w="755" w:type="pct"/>
          </w:tcPr>
          <w:p w14:paraId="55797BA0" w14:textId="2B349AA1" w:rsidR="001C7D5B" w:rsidRPr="005D5DDA" w:rsidRDefault="001C7D5B" w:rsidP="003B498A">
            <w:pPr>
              <w:pStyle w:val="TableText0"/>
              <w:jc w:val="center"/>
            </w:pPr>
            <w:r w:rsidRPr="00DA147C">
              <w:t>$</w:t>
            </w:r>
            <w:r w:rsidR="003A6925">
              <w:rPr>
                <w:snapToGrid w:val="0"/>
              </w:rPr>
              <w:t>redacted</w:t>
            </w:r>
          </w:p>
        </w:tc>
        <w:tc>
          <w:tcPr>
            <w:tcW w:w="755" w:type="pct"/>
          </w:tcPr>
          <w:p w14:paraId="30888DAE" w14:textId="7EC79002" w:rsidR="001C7D5B" w:rsidRPr="005D5DDA" w:rsidRDefault="001C7D5B" w:rsidP="003A6925">
            <w:pPr>
              <w:pStyle w:val="TableText0"/>
              <w:jc w:val="center"/>
            </w:pPr>
            <w:r w:rsidRPr="00DA147C">
              <w:t>$</w:t>
            </w:r>
            <w:r w:rsidR="003A6925">
              <w:rPr>
                <w:snapToGrid w:val="0"/>
              </w:rPr>
              <w:t>redacted</w:t>
            </w:r>
          </w:p>
        </w:tc>
        <w:tc>
          <w:tcPr>
            <w:tcW w:w="755" w:type="pct"/>
          </w:tcPr>
          <w:p w14:paraId="01B01CEA" w14:textId="39507883" w:rsidR="001C7D5B" w:rsidRPr="005D5DDA" w:rsidRDefault="001C7D5B" w:rsidP="003B498A">
            <w:pPr>
              <w:pStyle w:val="TableText0"/>
              <w:jc w:val="center"/>
            </w:pPr>
            <w:r w:rsidRPr="00DA147C">
              <w:t>$</w:t>
            </w:r>
            <w:r w:rsidR="003A6925">
              <w:rPr>
                <w:snapToGrid w:val="0"/>
              </w:rPr>
              <w:t>redacted</w:t>
            </w:r>
          </w:p>
        </w:tc>
        <w:tc>
          <w:tcPr>
            <w:tcW w:w="755" w:type="pct"/>
          </w:tcPr>
          <w:p w14:paraId="5C51E22C" w14:textId="4FA2A45B" w:rsidR="001C7D5B" w:rsidRPr="005D5DDA" w:rsidRDefault="001C7D5B" w:rsidP="003B498A">
            <w:pPr>
              <w:pStyle w:val="TableText0"/>
              <w:jc w:val="center"/>
            </w:pPr>
            <w:r w:rsidRPr="00DA147C">
              <w:t>$</w:t>
            </w:r>
            <w:r w:rsidR="003A6925">
              <w:rPr>
                <w:snapToGrid w:val="0"/>
              </w:rPr>
              <w:t>redacted</w:t>
            </w:r>
          </w:p>
        </w:tc>
        <w:tc>
          <w:tcPr>
            <w:tcW w:w="754" w:type="pct"/>
          </w:tcPr>
          <w:p w14:paraId="4C5E8F6C" w14:textId="6662F91C" w:rsidR="001C7D5B" w:rsidRPr="005D5DDA" w:rsidRDefault="001C7D5B" w:rsidP="003B498A">
            <w:pPr>
              <w:pStyle w:val="TableText0"/>
              <w:jc w:val="center"/>
            </w:pPr>
            <w:r w:rsidRPr="00DA147C">
              <w:t>$</w:t>
            </w:r>
            <w:r w:rsidR="003A6925">
              <w:rPr>
                <w:snapToGrid w:val="0"/>
              </w:rPr>
              <w:t>redacted</w:t>
            </w:r>
          </w:p>
        </w:tc>
      </w:tr>
    </w:tbl>
    <w:p w14:paraId="3B5E6F97" w14:textId="77777777" w:rsidR="001C7D5B" w:rsidRDefault="001C7D5B" w:rsidP="001C7D5B">
      <w:pPr>
        <w:pStyle w:val="Tablenotes"/>
      </w:pPr>
      <w:r>
        <w:t>Abbreviations: MBS,</w:t>
      </w:r>
      <w:r w:rsidRPr="00183E4D">
        <w:t xml:space="preserve"> </w:t>
      </w:r>
      <w:r>
        <w:t>Medical Benefits Schedule</w:t>
      </w:r>
    </w:p>
    <w:p w14:paraId="6252EAEB" w14:textId="5F31BD74" w:rsidR="001C7D5B" w:rsidRDefault="001C7D5B" w:rsidP="001C7D5B">
      <w:pPr>
        <w:pStyle w:val="Tablenotes"/>
      </w:pPr>
      <w:r>
        <w:rPr>
          <w:vertAlign w:val="superscript"/>
        </w:rPr>
        <w:t xml:space="preserve">a </w:t>
      </w:r>
      <w:r>
        <w:t xml:space="preserve">Uptake rate assumed of </w:t>
      </w:r>
      <w:r w:rsidR="003A6925">
        <w:t>redacted</w:t>
      </w:r>
      <w:r>
        <w:t xml:space="preserve">% for Year 1, increasing to </w:t>
      </w:r>
      <w:r w:rsidR="003A6925">
        <w:t>redacted</w:t>
      </w:r>
      <w:r>
        <w:t xml:space="preserve">% for Year 2 and stable at </w:t>
      </w:r>
      <w:r w:rsidR="003A6925">
        <w:t>redacted</w:t>
      </w:r>
      <w:r>
        <w:t>% for Years 3-5</w:t>
      </w:r>
    </w:p>
    <w:p w14:paraId="220B2D23" w14:textId="77777777" w:rsidR="001C7D5B" w:rsidRPr="00776DD4" w:rsidRDefault="001C7D5B" w:rsidP="000C0B97">
      <w:pPr>
        <w:spacing w:before="240"/>
      </w:pPr>
      <w:r>
        <w:t>T</w:t>
      </w:r>
      <w:r w:rsidRPr="00776DD4">
        <w:t xml:space="preserve">he Critique </w:t>
      </w:r>
      <w:r>
        <w:t>considered</w:t>
      </w:r>
      <w:r w:rsidRPr="00776DD4">
        <w:t xml:space="preserve"> the net financial implications for the MBS are uncertain because of uncertainties in the estimation of the eligible patient population and in the uptake rate of the test. Particular areas of uncertainty include:</w:t>
      </w:r>
      <w:bookmarkStart w:id="39" w:name="_GoBack"/>
      <w:bookmarkEnd w:id="39"/>
    </w:p>
    <w:p w14:paraId="21CF638B" w14:textId="77777777" w:rsidR="001C7D5B" w:rsidRPr="002314AB" w:rsidRDefault="001C7D5B" w:rsidP="001C7D5B">
      <w:pPr>
        <w:pStyle w:val="ListParagraph"/>
        <w:numPr>
          <w:ilvl w:val="0"/>
          <w:numId w:val="8"/>
        </w:numPr>
        <w:ind w:left="426" w:hanging="426"/>
      </w:pPr>
      <w:r w:rsidRPr="002314AB">
        <w:rPr>
          <w:szCs w:val="24"/>
        </w:rPr>
        <w:t>the proportion of patients with localised cancer was assumed to be 80 percent of the new cases of breast cancer. It is unclear as to how this proportion was derived.</w:t>
      </w:r>
    </w:p>
    <w:p w14:paraId="2C2A9E71" w14:textId="77777777" w:rsidR="001C7D5B" w:rsidRPr="002314AB" w:rsidRDefault="001C7D5B" w:rsidP="001C7D5B">
      <w:pPr>
        <w:pStyle w:val="ListParagraph"/>
        <w:numPr>
          <w:ilvl w:val="0"/>
          <w:numId w:val="8"/>
        </w:numPr>
        <w:ind w:left="426" w:hanging="426"/>
      </w:pPr>
      <w:r w:rsidRPr="002314AB">
        <w:rPr>
          <w:szCs w:val="24"/>
        </w:rPr>
        <w:t xml:space="preserve">the proportion of patients </w:t>
      </w:r>
      <w:r>
        <w:rPr>
          <w:szCs w:val="24"/>
        </w:rPr>
        <w:t xml:space="preserve">with localised cancer </w:t>
      </w:r>
      <w:r w:rsidRPr="002314AB">
        <w:rPr>
          <w:szCs w:val="24"/>
        </w:rPr>
        <w:t>suitable for adjuvant therapy was assumed to be 75</w:t>
      </w:r>
      <w:r>
        <w:rPr>
          <w:szCs w:val="24"/>
        </w:rPr>
        <w:t xml:space="preserve"> percent.</w:t>
      </w:r>
      <w:r w:rsidRPr="002314AB">
        <w:rPr>
          <w:szCs w:val="24"/>
        </w:rPr>
        <w:t xml:space="preserve"> It is unclear how this proportion is derived.</w:t>
      </w:r>
    </w:p>
    <w:p w14:paraId="7A0D31CF" w14:textId="77777777" w:rsidR="001C7D5B" w:rsidRPr="002314AB" w:rsidRDefault="001C7D5B" w:rsidP="001C7D5B">
      <w:pPr>
        <w:pStyle w:val="ListParagraph"/>
        <w:numPr>
          <w:ilvl w:val="0"/>
          <w:numId w:val="8"/>
        </w:numPr>
        <w:ind w:left="426" w:hanging="426"/>
      </w:pPr>
      <w:r w:rsidRPr="002314AB">
        <w:rPr>
          <w:szCs w:val="24"/>
        </w:rPr>
        <w:t>The update rates for the test were assumed to be 60</w:t>
      </w:r>
      <w:r>
        <w:rPr>
          <w:szCs w:val="24"/>
        </w:rPr>
        <w:t xml:space="preserve"> percent</w:t>
      </w:r>
      <w:r w:rsidRPr="002314AB">
        <w:rPr>
          <w:szCs w:val="24"/>
        </w:rPr>
        <w:t xml:space="preserve"> in Year 1, growing to 80</w:t>
      </w:r>
      <w:r>
        <w:rPr>
          <w:szCs w:val="24"/>
        </w:rPr>
        <w:t xml:space="preserve"> percent</w:t>
      </w:r>
      <w:r w:rsidRPr="002314AB">
        <w:rPr>
          <w:szCs w:val="24"/>
        </w:rPr>
        <w:t xml:space="preserve"> in Year 3. </w:t>
      </w:r>
      <w:r>
        <w:rPr>
          <w:szCs w:val="24"/>
        </w:rPr>
        <w:t>The basis for these assumptions is unclear.</w:t>
      </w:r>
    </w:p>
    <w:p w14:paraId="0E29F02B" w14:textId="33B8BB55" w:rsidR="001C7D5B" w:rsidRPr="000C0B97" w:rsidRDefault="001C7D5B" w:rsidP="000C0B97">
      <w:pPr>
        <w:pStyle w:val="ListParagraph"/>
        <w:numPr>
          <w:ilvl w:val="0"/>
          <w:numId w:val="8"/>
        </w:numPr>
        <w:ind w:left="426" w:hanging="426"/>
        <w:rPr>
          <w:szCs w:val="24"/>
        </w:rPr>
      </w:pPr>
      <w:r w:rsidRPr="002314AB">
        <w:rPr>
          <w:szCs w:val="24"/>
        </w:rPr>
        <w:t xml:space="preserve">The assumptions regarding the change in number of patients receiving chemotherapy may not be </w:t>
      </w:r>
      <w:r>
        <w:rPr>
          <w:szCs w:val="24"/>
        </w:rPr>
        <w:t>observed</w:t>
      </w:r>
      <w:r w:rsidRPr="002314AB">
        <w:rPr>
          <w:szCs w:val="24"/>
        </w:rPr>
        <w:t xml:space="preserve"> in practice</w:t>
      </w:r>
      <w:r>
        <w:rPr>
          <w:szCs w:val="24"/>
        </w:rPr>
        <w:t>.</w:t>
      </w:r>
      <w:r w:rsidR="000C0B97" w:rsidRPr="000C0B97">
        <w:rPr>
          <w:szCs w:val="24"/>
        </w:rPr>
        <w:br w:type="page"/>
      </w:r>
    </w:p>
    <w:p w14:paraId="22A2D3B4" w14:textId="77777777" w:rsidR="009B1F59" w:rsidRPr="00F715D1" w:rsidRDefault="009B1F59" w:rsidP="009B1F59">
      <w:pPr>
        <w:pStyle w:val="Heading1"/>
      </w:pPr>
      <w:r w:rsidRPr="00F715D1">
        <w:lastRenderedPageBreak/>
        <w:t>Key issues from ESC for MSAC</w:t>
      </w:r>
    </w:p>
    <w:tbl>
      <w:tblPr>
        <w:tblStyle w:val="TableGrid"/>
        <w:tblW w:w="0" w:type="auto"/>
        <w:tblLook w:val="04A0" w:firstRow="1" w:lastRow="0" w:firstColumn="1" w:lastColumn="0" w:noHBand="0" w:noVBand="1"/>
        <w:tblDescription w:val="Summary of key ESC issues for MSAC consideration"/>
      </w:tblPr>
      <w:tblGrid>
        <w:gridCol w:w="2376"/>
        <w:gridCol w:w="6640"/>
      </w:tblGrid>
      <w:tr w:rsidR="00BF6458" w:rsidRPr="00EC7E74" w14:paraId="57D84FA3" w14:textId="77777777" w:rsidTr="00EC7E74">
        <w:trPr>
          <w:tblHeader/>
        </w:trPr>
        <w:tc>
          <w:tcPr>
            <w:tcW w:w="2376" w:type="dxa"/>
          </w:tcPr>
          <w:p w14:paraId="5BA05DD5" w14:textId="77777777" w:rsidR="00BF6458" w:rsidRPr="00EC7E74" w:rsidRDefault="00BF6458" w:rsidP="00EC7E74">
            <w:pPr>
              <w:pStyle w:val="TableText0"/>
              <w:rPr>
                <w:b/>
              </w:rPr>
            </w:pPr>
            <w:r w:rsidRPr="00EC7E74">
              <w:rPr>
                <w:b/>
              </w:rPr>
              <w:t>ESC key issue</w:t>
            </w:r>
          </w:p>
        </w:tc>
        <w:tc>
          <w:tcPr>
            <w:tcW w:w="6640" w:type="dxa"/>
          </w:tcPr>
          <w:p w14:paraId="323C8C1F" w14:textId="77777777" w:rsidR="00BF6458" w:rsidRPr="00EC7E74" w:rsidRDefault="00BF6458" w:rsidP="00EC7E74">
            <w:pPr>
              <w:pStyle w:val="TableText0"/>
              <w:rPr>
                <w:b/>
              </w:rPr>
            </w:pPr>
            <w:r w:rsidRPr="00EC7E74">
              <w:rPr>
                <w:b/>
              </w:rPr>
              <w:t>ESC advice to MSAC</w:t>
            </w:r>
          </w:p>
        </w:tc>
      </w:tr>
      <w:tr w:rsidR="00BF6458" w:rsidRPr="00EC7E74" w14:paraId="1C46FD05" w14:textId="77777777" w:rsidTr="00210C73">
        <w:tc>
          <w:tcPr>
            <w:tcW w:w="9016" w:type="dxa"/>
            <w:gridSpan w:val="2"/>
          </w:tcPr>
          <w:p w14:paraId="2073F9E8" w14:textId="77777777" w:rsidR="00BF6458" w:rsidRPr="00EC7E74" w:rsidRDefault="00BF6458" w:rsidP="00EC7E74">
            <w:pPr>
              <w:pStyle w:val="TableText0"/>
            </w:pPr>
            <w:r w:rsidRPr="00EC7E74">
              <w:t>Clinical</w:t>
            </w:r>
          </w:p>
        </w:tc>
      </w:tr>
      <w:tr w:rsidR="00BF6458" w:rsidRPr="00EC7E74" w14:paraId="541D6763" w14:textId="77777777" w:rsidTr="00210C73">
        <w:tc>
          <w:tcPr>
            <w:tcW w:w="2376" w:type="dxa"/>
          </w:tcPr>
          <w:p w14:paraId="6A656415" w14:textId="77777777" w:rsidR="00BF6458" w:rsidRPr="00EC7E74" w:rsidRDefault="00BF6458" w:rsidP="00EC7E74">
            <w:pPr>
              <w:pStyle w:val="TableText0"/>
            </w:pPr>
            <w:r w:rsidRPr="00EC7E74">
              <w:t>Definition of standard of care</w:t>
            </w:r>
          </w:p>
        </w:tc>
        <w:tc>
          <w:tcPr>
            <w:tcW w:w="6640" w:type="dxa"/>
          </w:tcPr>
          <w:p w14:paraId="4EBD6D78" w14:textId="77777777" w:rsidR="00BF6458" w:rsidRPr="00EC7E74" w:rsidRDefault="00BF6458" w:rsidP="00EC7E74">
            <w:pPr>
              <w:pStyle w:val="TableText0"/>
            </w:pPr>
            <w:r w:rsidRPr="00EC7E74">
              <w:t>No clear definition of current clinical practice in Australia is available (see also MSAC recommendations for Oncotype DX 1342.4 July 2017; and Prosigna (1473, November 2017.)</w:t>
            </w:r>
          </w:p>
        </w:tc>
      </w:tr>
      <w:tr w:rsidR="00BF6458" w:rsidRPr="00EC7E74" w14:paraId="029A24A4" w14:textId="77777777" w:rsidTr="00210C73">
        <w:tc>
          <w:tcPr>
            <w:tcW w:w="2376" w:type="dxa"/>
          </w:tcPr>
          <w:p w14:paraId="07143628" w14:textId="77777777" w:rsidR="00BF6458" w:rsidRPr="00EC7E74" w:rsidRDefault="00BF6458" w:rsidP="00EC7E74">
            <w:pPr>
              <w:pStyle w:val="TableText0"/>
            </w:pPr>
            <w:r w:rsidRPr="00EC7E74">
              <w:t>Evidence to support clinical claim (prognostic accuracy)</w:t>
            </w:r>
          </w:p>
        </w:tc>
        <w:tc>
          <w:tcPr>
            <w:tcW w:w="6640" w:type="dxa"/>
          </w:tcPr>
          <w:p w14:paraId="2D6E534E" w14:textId="77777777" w:rsidR="00BF6458" w:rsidRPr="00EC7E74" w:rsidRDefault="00BF6458" w:rsidP="00EC7E74">
            <w:pPr>
              <w:pStyle w:val="TableText0"/>
            </w:pPr>
            <w:r w:rsidRPr="00EC7E74">
              <w:t>No comparative evidence is provided to directly inform the claim that EndoPredict has non-inferior safety and superior effectiveness to current clinical practice/standard of care.</w:t>
            </w:r>
          </w:p>
          <w:p w14:paraId="7C7EA8B4" w14:textId="77777777" w:rsidR="00BF6458" w:rsidRPr="00EC7E74" w:rsidRDefault="00BF6458" w:rsidP="00EC7E74">
            <w:pPr>
              <w:pStyle w:val="TableText0"/>
            </w:pPr>
            <w:r w:rsidRPr="00EC7E74">
              <w:t>The main evidence for clinical validity (prognostic accuracy) is provided by retrospective analysis of three cohorts derived from four RCTs, with reduced number of patients analysed compared to parent trials introducing the risk of selection bias.</w:t>
            </w:r>
          </w:p>
          <w:p w14:paraId="221B0BA3" w14:textId="77777777" w:rsidR="00BF6458" w:rsidRPr="00EC7E74" w:rsidRDefault="00BF6458" w:rsidP="00EC7E74">
            <w:pPr>
              <w:pStyle w:val="TableText0"/>
            </w:pPr>
            <w:r w:rsidRPr="00EC7E74">
              <w:rPr>
                <w:noProof/>
              </w:rPr>
              <w:t>Proportions of pre-test low and high-risk patients in the studies included in the analysis are unknown. EndoPredict may have different prognostic performance in these groups and prognostic performance estimates may be different if only patients with pre-test intermediate risk were included.</w:t>
            </w:r>
          </w:p>
        </w:tc>
      </w:tr>
      <w:tr w:rsidR="00BF6458" w:rsidRPr="00EC7E74" w14:paraId="627263DA" w14:textId="77777777" w:rsidTr="00210C73">
        <w:tc>
          <w:tcPr>
            <w:tcW w:w="2376" w:type="dxa"/>
          </w:tcPr>
          <w:p w14:paraId="6E7C526F" w14:textId="77777777" w:rsidR="00BF6458" w:rsidRPr="00EC7E74" w:rsidRDefault="00BF6458" w:rsidP="00EC7E74">
            <w:pPr>
              <w:pStyle w:val="TableText0"/>
            </w:pPr>
            <w:r w:rsidRPr="00EC7E74">
              <w:t>Therapeutic Efficacy (Change in management)</w:t>
            </w:r>
          </w:p>
        </w:tc>
        <w:tc>
          <w:tcPr>
            <w:tcW w:w="6640" w:type="dxa"/>
          </w:tcPr>
          <w:p w14:paraId="327368A2" w14:textId="77777777" w:rsidR="00BF6458" w:rsidRPr="00EC7E74" w:rsidRDefault="00BF6458" w:rsidP="00EC7E74">
            <w:pPr>
              <w:pStyle w:val="TableText0"/>
            </w:pPr>
            <w:r w:rsidRPr="00EC7E74">
              <w:t>Uncertain whether the PROSPER trial reflects Australian clinical practice, as it is based on a small sample (165 patients) from four specialist centres.</w:t>
            </w:r>
          </w:p>
          <w:p w14:paraId="1081E672" w14:textId="77777777" w:rsidR="00BF6458" w:rsidRPr="00EC7E74" w:rsidRDefault="00BF6458" w:rsidP="00EC7E74">
            <w:pPr>
              <w:pStyle w:val="TableText0"/>
            </w:pPr>
            <w:r w:rsidRPr="00EC7E74">
              <w:t>Evidence from additional studies very inconsistent.</w:t>
            </w:r>
          </w:p>
        </w:tc>
      </w:tr>
      <w:tr w:rsidR="00BF6458" w:rsidRPr="00EC7E74" w14:paraId="1EC94122" w14:textId="77777777" w:rsidTr="00210C73">
        <w:tc>
          <w:tcPr>
            <w:tcW w:w="2376" w:type="dxa"/>
          </w:tcPr>
          <w:p w14:paraId="596D8420" w14:textId="77777777" w:rsidR="00BF6458" w:rsidRPr="00EC7E74" w:rsidRDefault="00BF6458" w:rsidP="00EC7E74">
            <w:pPr>
              <w:pStyle w:val="TableText0"/>
            </w:pPr>
            <w:r w:rsidRPr="00EC7E74">
              <w:t>Therapeutic Effectiveness (Health benefit from change in management)</w:t>
            </w:r>
          </w:p>
        </w:tc>
        <w:tc>
          <w:tcPr>
            <w:tcW w:w="6640" w:type="dxa"/>
          </w:tcPr>
          <w:p w14:paraId="5972A8F9" w14:textId="77777777" w:rsidR="00BF6458" w:rsidRPr="00EC7E74" w:rsidRDefault="00BF6458" w:rsidP="00EC7E74">
            <w:pPr>
              <w:pStyle w:val="TableText0"/>
            </w:pPr>
            <w:r w:rsidRPr="00EC7E74">
              <w:t>The absolute health benefit of reclassification is uncertain due to the wide range of change of management results.</w:t>
            </w:r>
          </w:p>
        </w:tc>
      </w:tr>
      <w:tr w:rsidR="00BF6458" w:rsidRPr="00EC7E74" w14:paraId="59190CE5" w14:textId="77777777" w:rsidTr="00210C73">
        <w:tc>
          <w:tcPr>
            <w:tcW w:w="9016" w:type="dxa"/>
            <w:gridSpan w:val="2"/>
          </w:tcPr>
          <w:p w14:paraId="29D485AD" w14:textId="77777777" w:rsidR="00BF6458" w:rsidRPr="00EC7E74" w:rsidRDefault="00BF6458" w:rsidP="00EC7E74">
            <w:pPr>
              <w:pStyle w:val="TableText0"/>
            </w:pPr>
            <w:r w:rsidRPr="00EC7E74">
              <w:t xml:space="preserve">Economic </w:t>
            </w:r>
          </w:p>
        </w:tc>
      </w:tr>
      <w:tr w:rsidR="00BF6458" w:rsidRPr="00EC7E74" w14:paraId="09DF5041" w14:textId="77777777" w:rsidTr="00210C73">
        <w:tc>
          <w:tcPr>
            <w:tcW w:w="2376" w:type="dxa"/>
          </w:tcPr>
          <w:p w14:paraId="31109F3C" w14:textId="77777777" w:rsidR="00BF6458" w:rsidRPr="00EC7E74" w:rsidRDefault="00BF6458" w:rsidP="00EC7E74">
            <w:pPr>
              <w:pStyle w:val="TableText0"/>
            </w:pPr>
            <w:r w:rsidRPr="00EC7E74">
              <w:t>Overall</w:t>
            </w:r>
          </w:p>
        </w:tc>
        <w:tc>
          <w:tcPr>
            <w:tcW w:w="6640" w:type="dxa"/>
          </w:tcPr>
          <w:p w14:paraId="65B985CE" w14:textId="77777777" w:rsidR="00BF6458" w:rsidRPr="00EC7E74" w:rsidRDefault="00BF6458" w:rsidP="00EC7E74">
            <w:pPr>
              <w:pStyle w:val="TableText0"/>
            </w:pPr>
            <w:r w:rsidRPr="00EC7E74">
              <w:t xml:space="preserve">The uncertainties in the clinical evidence lead to the outputs of the economic being highly uncertain. </w:t>
            </w:r>
          </w:p>
          <w:p w14:paraId="194F14D8" w14:textId="77777777" w:rsidR="00BF6458" w:rsidRPr="00EC7E74" w:rsidRDefault="00BF6458" w:rsidP="00EC7E74">
            <w:pPr>
              <w:pStyle w:val="TableText0"/>
            </w:pPr>
            <w:r w:rsidRPr="00EC7E74">
              <w:t>The economic evaluation may be too simple to capture all costs and benefits of using EndoPredict.</w:t>
            </w:r>
          </w:p>
        </w:tc>
      </w:tr>
      <w:tr w:rsidR="00BF6458" w:rsidRPr="00EC7E74" w14:paraId="367D29EB" w14:textId="77777777" w:rsidTr="00210C73">
        <w:tc>
          <w:tcPr>
            <w:tcW w:w="2376" w:type="dxa"/>
          </w:tcPr>
          <w:p w14:paraId="5716806A" w14:textId="77777777" w:rsidR="00BF6458" w:rsidRPr="00EC7E74" w:rsidRDefault="00BF6458" w:rsidP="00EC7E74">
            <w:pPr>
              <w:pStyle w:val="TableText0"/>
            </w:pPr>
            <w:r w:rsidRPr="00EC7E74">
              <w:t>Assumptions regarding clinical management</w:t>
            </w:r>
          </w:p>
        </w:tc>
        <w:tc>
          <w:tcPr>
            <w:tcW w:w="6640" w:type="dxa"/>
          </w:tcPr>
          <w:p w14:paraId="15494232" w14:textId="77777777" w:rsidR="00BF6458" w:rsidRPr="00EC7E74" w:rsidRDefault="00BF6458" w:rsidP="00EC7E74">
            <w:pPr>
              <w:pStyle w:val="TableText0"/>
            </w:pPr>
            <w:r w:rsidRPr="00EC7E74">
              <w:t>Model assumes that all low-risk patients will not have chemotherapy and all high-risk patients will have chemotherapy. This may not be supported by the evidence.</w:t>
            </w:r>
          </w:p>
        </w:tc>
      </w:tr>
      <w:tr w:rsidR="00BF6458" w:rsidRPr="00EC7E74" w14:paraId="0D08014B" w14:textId="77777777" w:rsidTr="00210C73">
        <w:tc>
          <w:tcPr>
            <w:tcW w:w="2376" w:type="dxa"/>
          </w:tcPr>
          <w:p w14:paraId="7ABDE739" w14:textId="77777777" w:rsidR="00BF6458" w:rsidRPr="00EC7E74" w:rsidRDefault="00BF6458" w:rsidP="00EC7E74">
            <w:pPr>
              <w:pStyle w:val="TableText0"/>
            </w:pPr>
            <w:r w:rsidRPr="00EC7E74">
              <w:t>Transition probabilities derived from the EPclin score</w:t>
            </w:r>
          </w:p>
        </w:tc>
        <w:tc>
          <w:tcPr>
            <w:tcW w:w="6640" w:type="dxa"/>
          </w:tcPr>
          <w:p w14:paraId="625C6127" w14:textId="77777777" w:rsidR="00BF6458" w:rsidRPr="00EC7E74" w:rsidRDefault="00BF6458" w:rsidP="00EC7E74">
            <w:pPr>
              <w:pStyle w:val="TableText0"/>
            </w:pPr>
            <w:r w:rsidRPr="00EC7E74">
              <w:t>The model inappropriately assumes a perfec</w:t>
            </w:r>
            <w:bookmarkStart w:id="40" w:name="Editing"/>
            <w:bookmarkEnd w:id="40"/>
            <w:r w:rsidRPr="00EC7E74">
              <w:t>t relationship between the EPclin score and the 10-year rate of recurrence, without any loss of information during the transformation process. The model thus overestimates the transition probabilities in favour of the intervention.</w:t>
            </w:r>
          </w:p>
        </w:tc>
      </w:tr>
      <w:tr w:rsidR="00BF6458" w:rsidRPr="00EC7E74" w14:paraId="0570E81E" w14:textId="77777777" w:rsidTr="00210C73">
        <w:tc>
          <w:tcPr>
            <w:tcW w:w="2376" w:type="dxa"/>
          </w:tcPr>
          <w:p w14:paraId="072651D9" w14:textId="77777777" w:rsidR="00BF6458" w:rsidRPr="00EC7E74" w:rsidRDefault="00BF6458" w:rsidP="00EC7E74">
            <w:pPr>
              <w:pStyle w:val="TableText0"/>
            </w:pPr>
            <w:r w:rsidRPr="00EC7E74">
              <w:t>Utility values in model</w:t>
            </w:r>
          </w:p>
        </w:tc>
        <w:tc>
          <w:tcPr>
            <w:tcW w:w="6640" w:type="dxa"/>
          </w:tcPr>
          <w:p w14:paraId="641E9CC4" w14:textId="77777777" w:rsidR="00BF6458" w:rsidRPr="00EC7E74" w:rsidRDefault="00BF6458" w:rsidP="00EC7E74">
            <w:pPr>
              <w:pStyle w:val="TableText0"/>
            </w:pPr>
            <w:r w:rsidRPr="00EC7E74">
              <w:t>May not accurately reflect their corresponding health state and are unrealistically high, favouring the intervention.</w:t>
            </w:r>
          </w:p>
        </w:tc>
      </w:tr>
      <w:tr w:rsidR="00BF6458" w:rsidRPr="00EC7E74" w14:paraId="380D7707" w14:textId="77777777" w:rsidTr="00210C73">
        <w:tc>
          <w:tcPr>
            <w:tcW w:w="9016" w:type="dxa"/>
            <w:gridSpan w:val="2"/>
          </w:tcPr>
          <w:p w14:paraId="5785835D" w14:textId="77777777" w:rsidR="00BF6458" w:rsidRPr="00EC7E74" w:rsidRDefault="00BF6458" w:rsidP="00EC7E74">
            <w:pPr>
              <w:pStyle w:val="TableText0"/>
            </w:pPr>
            <w:r w:rsidRPr="00EC7E74">
              <w:t>Financial</w:t>
            </w:r>
          </w:p>
        </w:tc>
      </w:tr>
      <w:tr w:rsidR="00BF6458" w:rsidRPr="00EC7E74" w14:paraId="5FEECB5A" w14:textId="77777777" w:rsidTr="00210C73">
        <w:tc>
          <w:tcPr>
            <w:tcW w:w="2376" w:type="dxa"/>
          </w:tcPr>
          <w:p w14:paraId="779C2520" w14:textId="77777777" w:rsidR="00BF6458" w:rsidRPr="00EC7E74" w:rsidRDefault="00BF6458" w:rsidP="00EC7E74">
            <w:pPr>
              <w:pStyle w:val="TableText0"/>
            </w:pPr>
            <w:r w:rsidRPr="00EC7E74">
              <w:t>Uncertain financial impact</w:t>
            </w:r>
          </w:p>
        </w:tc>
        <w:tc>
          <w:tcPr>
            <w:tcW w:w="6640" w:type="dxa"/>
          </w:tcPr>
          <w:p w14:paraId="3C4937CF" w14:textId="77777777" w:rsidR="00BF6458" w:rsidRPr="00EC7E74" w:rsidRDefault="00BF6458" w:rsidP="00EC7E74">
            <w:pPr>
              <w:pStyle w:val="TableText0"/>
            </w:pPr>
            <w:r w:rsidRPr="00EC7E74">
              <w:t>No justification or rationale for some of the input variables used to estimate the eligible population. Thus, the impact on cost to the MBS is uncertain.</w:t>
            </w:r>
          </w:p>
        </w:tc>
      </w:tr>
      <w:tr w:rsidR="00BF6458" w:rsidRPr="00EC7E74" w14:paraId="77FFE60D" w14:textId="77777777" w:rsidTr="00210C73">
        <w:tc>
          <w:tcPr>
            <w:tcW w:w="2376" w:type="dxa"/>
          </w:tcPr>
          <w:p w14:paraId="66FC1CA7" w14:textId="77777777" w:rsidR="00BF6458" w:rsidRPr="00EC7E74" w:rsidRDefault="00BF6458" w:rsidP="00EC7E74">
            <w:pPr>
              <w:pStyle w:val="TableText0"/>
            </w:pPr>
            <w:r w:rsidRPr="00EC7E74">
              <w:t>Timing of the test</w:t>
            </w:r>
          </w:p>
        </w:tc>
        <w:tc>
          <w:tcPr>
            <w:tcW w:w="6640" w:type="dxa"/>
          </w:tcPr>
          <w:p w14:paraId="70E40E27" w14:textId="77777777" w:rsidR="00BF6458" w:rsidRPr="00EC7E74" w:rsidRDefault="00BF6458" w:rsidP="00EC7E74">
            <w:pPr>
              <w:pStyle w:val="TableText0"/>
            </w:pPr>
            <w:r w:rsidRPr="00EC7E74">
              <w:t xml:space="preserve">Consider when the test is requested – for example, before or after surgical discharge, and whether there would be an inpatient/outpatient split (104/110; 75%/85%). </w:t>
            </w:r>
          </w:p>
        </w:tc>
      </w:tr>
    </w:tbl>
    <w:p w14:paraId="1EA034D2" w14:textId="5EE748CD" w:rsidR="00BF6458" w:rsidRPr="00350897" w:rsidRDefault="00BF6458" w:rsidP="000C0B97">
      <w:pPr>
        <w:spacing w:before="240" w:after="240"/>
      </w:pPr>
      <w:r w:rsidRPr="00350897">
        <w:t>The ESC noted this is the fourth Gene Expression Profiling (GEP) test for breast cancer to request MSAC support for public subsidy in Australia. The three alternative tests considered by MSAC to date are MammaPrint</w:t>
      </w:r>
      <w:r>
        <w:t>®</w:t>
      </w:r>
      <w:r w:rsidRPr="00350897">
        <w:t>, Oncotype</w:t>
      </w:r>
      <w:r>
        <w:t>®</w:t>
      </w:r>
      <w:r w:rsidRPr="00350897">
        <w:t xml:space="preserve"> DX and Prosigna</w:t>
      </w:r>
      <w:r>
        <w:t>®</w:t>
      </w:r>
      <w:r w:rsidRPr="00350897">
        <w:t>. No GEP test is public</w:t>
      </w:r>
      <w:r>
        <w:t>ly</w:t>
      </w:r>
      <w:r w:rsidRPr="00350897">
        <w:t xml:space="preserve"> subsidised in Australia</w:t>
      </w:r>
      <w:r>
        <w:t xml:space="preserve"> at October 2019</w:t>
      </w:r>
      <w:r w:rsidR="003C0319">
        <w:t>.</w:t>
      </w:r>
    </w:p>
    <w:p w14:paraId="2AE0B48B" w14:textId="23534A37" w:rsidR="00BF6458" w:rsidRDefault="00BF6458" w:rsidP="000C0B97">
      <w:pPr>
        <w:spacing w:after="240"/>
      </w:pPr>
      <w:r w:rsidRPr="00350897">
        <w:t>The ESC considered the generic GEP item descriptor proposed by the applicant may not be appropriate as these tests are not necessarily equivalent or interchangeable.</w:t>
      </w:r>
    </w:p>
    <w:p w14:paraId="4F986BA5" w14:textId="38E1AD74" w:rsidR="00BF6458" w:rsidRDefault="00BF6458" w:rsidP="00BF6458">
      <w:r>
        <w:t>The ESC noted the submission for EndoPredict is based on a linked evidence approach, similar to that taken for Prosigna. There is no direct comparative evidence available to inform the safety and effectiveness of EndoPredict.</w:t>
      </w:r>
    </w:p>
    <w:p w14:paraId="652621A6" w14:textId="31ACE24F" w:rsidR="00BF6458" w:rsidRDefault="00BF6458" w:rsidP="000C0B97">
      <w:pPr>
        <w:spacing w:after="240"/>
      </w:pPr>
      <w:r>
        <w:rPr>
          <w:szCs w:val="24"/>
        </w:rPr>
        <w:lastRenderedPageBreak/>
        <w:t>The ESC advised MSAC consider whether the linked evidence approach is sufficient to support the applicant’s claims. Although the analytical performance and prognostic accuracy of EndoPredict appear adequate, there is</w:t>
      </w:r>
      <w:r w:rsidRPr="008725FC">
        <w:t xml:space="preserve"> </w:t>
      </w:r>
      <w:r w:rsidRPr="008725FC">
        <w:rPr>
          <w:szCs w:val="24"/>
        </w:rPr>
        <w:t xml:space="preserve">inconsistent evidence that </w:t>
      </w:r>
      <w:r>
        <w:rPr>
          <w:szCs w:val="24"/>
        </w:rPr>
        <w:t>use of the test</w:t>
      </w:r>
      <w:r w:rsidRPr="008725FC">
        <w:rPr>
          <w:szCs w:val="24"/>
        </w:rPr>
        <w:t xml:space="preserve"> changes clinical management, and limited evidence that it could be utilised to determine which patients would benefit from chemotherapy in</w:t>
      </w:r>
      <w:r w:rsidR="003C0319">
        <w:rPr>
          <w:szCs w:val="24"/>
        </w:rPr>
        <w:t xml:space="preserve"> addition to endocrine therapy.</w:t>
      </w:r>
    </w:p>
    <w:p w14:paraId="41FD749F" w14:textId="0392305C" w:rsidR="00BF6458" w:rsidRDefault="00BF6458" w:rsidP="000C0B97">
      <w:pPr>
        <w:spacing w:after="240"/>
      </w:pPr>
      <w:r>
        <w:t xml:space="preserve">The ESC noted the submission included </w:t>
      </w:r>
      <w:r w:rsidR="00A047B2" w:rsidRPr="00A047B2">
        <w:rPr>
          <w:b/>
        </w:rPr>
        <w:t>redacted</w:t>
      </w:r>
      <w:r>
        <w:t xml:space="preserve"> from an Australian study conducted to examine the impact of using EndoPredict on clinical management (PROSPER). The ESC considered this study may have </w:t>
      </w:r>
      <w:r w:rsidR="00A047B2" w:rsidRPr="005E3A7C">
        <w:rPr>
          <w:b/>
        </w:rPr>
        <w:t>redacted</w:t>
      </w:r>
      <w:r>
        <w:t>.</w:t>
      </w:r>
    </w:p>
    <w:p w14:paraId="336FD4FA" w14:textId="77777777" w:rsidR="00BF6458" w:rsidRDefault="00BF6458" w:rsidP="00BF6458">
      <w:pPr>
        <w:pStyle w:val="NormalBeforeBullet"/>
      </w:pPr>
      <w:r>
        <w:t xml:space="preserve">ESC considered that the economic evaluation may be too simple to capture all costs and benefits of using EndoPredict. </w:t>
      </w:r>
    </w:p>
    <w:p w14:paraId="644A43CC" w14:textId="77777777" w:rsidR="00BF6458" w:rsidRDefault="00BF6458" w:rsidP="00BF6458">
      <w:pPr>
        <w:pStyle w:val="NormalBeforeBullet"/>
      </w:pPr>
      <w:r>
        <w:t>ESC also noted some problems with the key assumptions in the model, namely whether:</w:t>
      </w:r>
    </w:p>
    <w:p w14:paraId="1017E62B" w14:textId="77777777" w:rsidR="00BF6458" w:rsidRDefault="00BF6458" w:rsidP="00BF6458">
      <w:pPr>
        <w:pStyle w:val="ListParagraph"/>
        <w:numPr>
          <w:ilvl w:val="0"/>
          <w:numId w:val="4"/>
        </w:numPr>
      </w:pPr>
      <w:r>
        <w:t>the management practices and decisions reported in the PROSPER trial reflect Australian clinical practice</w:t>
      </w:r>
    </w:p>
    <w:p w14:paraId="7FE5B92A" w14:textId="77777777" w:rsidR="00BF6458" w:rsidRDefault="00BF6458" w:rsidP="00BF6458">
      <w:pPr>
        <w:pStyle w:val="ListParagraph"/>
        <w:numPr>
          <w:ilvl w:val="0"/>
          <w:numId w:val="4"/>
        </w:numPr>
      </w:pPr>
      <w:r>
        <w:t>all patients categorised as high risk would have chemotherapy and all patients categorised as low risk would not</w:t>
      </w:r>
    </w:p>
    <w:p w14:paraId="2AFD6D48" w14:textId="77777777" w:rsidR="00BF6458" w:rsidRDefault="00BF6458" w:rsidP="00BF6458">
      <w:pPr>
        <w:pStyle w:val="ListParagraph"/>
        <w:numPr>
          <w:ilvl w:val="0"/>
          <w:numId w:val="4"/>
        </w:numPr>
      </w:pPr>
      <w:r>
        <w:t>treatment practices have changed since the publication of the source for costs used in the model and still reflect current practice</w:t>
      </w:r>
    </w:p>
    <w:p w14:paraId="575621B8" w14:textId="77777777" w:rsidR="00BF6458" w:rsidRDefault="00BF6458" w:rsidP="00BF6458">
      <w:pPr>
        <w:pStyle w:val="ListParagraph"/>
        <w:numPr>
          <w:ilvl w:val="0"/>
          <w:numId w:val="4"/>
        </w:numPr>
      </w:pPr>
      <w:r>
        <w:t>the EPclin score can be directly translated to a 10-year recurrence rate</w:t>
      </w:r>
    </w:p>
    <w:p w14:paraId="44B523E3" w14:textId="44A68D39" w:rsidR="00BF6458" w:rsidRDefault="00BF6458" w:rsidP="00BF6458">
      <w:pPr>
        <w:pStyle w:val="ListParagraph"/>
        <w:numPr>
          <w:ilvl w:val="0"/>
          <w:numId w:val="4"/>
        </w:numPr>
      </w:pPr>
      <w:r>
        <w:t>the utility values used by Verry et al. (2012) reflect the requested MBS patient population.</w:t>
      </w:r>
    </w:p>
    <w:p w14:paraId="742E9AC5" w14:textId="77777777" w:rsidR="00BF6458" w:rsidRDefault="00BF6458" w:rsidP="000C0B97">
      <w:pPr>
        <w:spacing w:before="240"/>
      </w:pPr>
      <w:r>
        <w:t>These problematic assumptions mean that the outcomes of the economic evaluation are uncertain.</w:t>
      </w:r>
    </w:p>
    <w:p w14:paraId="4FE88F35" w14:textId="6FE74D71" w:rsidR="00BF6458" w:rsidRDefault="00BF6458" w:rsidP="000C0B97">
      <w:pPr>
        <w:spacing w:before="240" w:after="240"/>
      </w:pPr>
      <w:r>
        <w:t>ESC considered the 50-year timeline in the model may not be inappropriate, and agreed with the Critique that any gains of QALYs in the base case and the recalculated case are the incremental benefits over 50 years, and that any change in accumulation of benefit over the course of the model significantly affects the ICER (i.e. the intervention looks better as the time horizon is pushed out). ESC also considered using the 10-year recurrence rate extrapolated directly out to 50 years to be inappropriate.</w:t>
      </w:r>
    </w:p>
    <w:p w14:paraId="27CAD4CC" w14:textId="77777777" w:rsidR="00BF6458" w:rsidRPr="003C0319" w:rsidRDefault="00BF6458" w:rsidP="003C0319">
      <w:r>
        <w:t>ESC noted that, in addition to the uncertainties in the Financial Estimates that were raised in the Critique, it is unclear whether EndoPredict would be ordered in the outpatient or inpatient setting. As this affects the MBS rebate, it creates another area of un</w:t>
      </w:r>
      <w:r w:rsidR="003C0319">
        <w:t>certainty in the budget impact.</w:t>
      </w:r>
    </w:p>
    <w:p w14:paraId="2B526935" w14:textId="77777777" w:rsidR="009B1F59" w:rsidRPr="00F715D1" w:rsidRDefault="009B1F59" w:rsidP="009B1F59">
      <w:pPr>
        <w:pStyle w:val="Heading1"/>
      </w:pPr>
      <w:r w:rsidRPr="00F715D1">
        <w:t>Other significant factors</w:t>
      </w:r>
    </w:p>
    <w:p w14:paraId="139ADA97" w14:textId="77777777" w:rsidR="009B1F59" w:rsidRPr="003C0319" w:rsidRDefault="003C0319" w:rsidP="009B1F59">
      <w:pPr>
        <w:spacing w:after="240"/>
        <w:rPr>
          <w:szCs w:val="24"/>
        </w:rPr>
      </w:pPr>
      <w:r w:rsidRPr="003C0319">
        <w:rPr>
          <w:szCs w:val="24"/>
        </w:rPr>
        <w:t>Nil.</w:t>
      </w:r>
    </w:p>
    <w:p w14:paraId="16B4111A" w14:textId="02AA06C8" w:rsidR="009B1F59" w:rsidRPr="000C0B97" w:rsidRDefault="009B1F59" w:rsidP="009B1F59">
      <w:pPr>
        <w:pStyle w:val="Heading1"/>
      </w:pPr>
      <w:r w:rsidRPr="00F715D1">
        <w:t>Applicant’s comments on MSAC’s Public Summary Document</w:t>
      </w:r>
    </w:p>
    <w:p w14:paraId="04D3001C" w14:textId="4C785326" w:rsidR="00960A66" w:rsidRPr="000C0B97" w:rsidRDefault="00960A66" w:rsidP="000C0B97">
      <w:pPr>
        <w:rPr>
          <w:lang w:eastAsia="en-US"/>
        </w:rPr>
      </w:pPr>
      <w:r w:rsidRPr="000C0B97">
        <w:rPr>
          <w:iCs/>
        </w:rPr>
        <w:t xml:space="preserve">We are disappointed in the decision and new standards set by MSAC for gene expression testing in Australia. The requirement of a ‘Randomised Control Trial’ for MSAC to have confidence in EndoPredict® is counter to its acceptance and recommendation for use by Australian clinical specialists, global breast cancer clinical guidelines, the UK NHS, US Medicare, US private insurers and numerous other insurers and public healthcare systems throughout the world. Running this suggested trial would not be appropriate, ethical or within a suitable timeline for one country considering its evidentiary acceptance around the world. We will continue to work with MSAC and pursue all avenues, ensuring Australian patients </w:t>
      </w:r>
      <w:r w:rsidRPr="000C0B97">
        <w:rPr>
          <w:iCs/>
        </w:rPr>
        <w:lastRenderedPageBreak/>
        <w:t>have equitable access to the most accurate innovative tools that improve treatment allocation in a safe and appropriate manner, benefiting both the patient’s wellbeing and this healthcare system.</w:t>
      </w:r>
    </w:p>
    <w:p w14:paraId="1500C1E1" w14:textId="77777777" w:rsidR="009B1F59" w:rsidRPr="00F715D1" w:rsidRDefault="009B1F59" w:rsidP="009B1F59">
      <w:pPr>
        <w:pStyle w:val="Heading1"/>
      </w:pPr>
      <w:r w:rsidRPr="00F715D1">
        <w:t>Further information on MSAC</w:t>
      </w:r>
    </w:p>
    <w:p w14:paraId="593C8E42" w14:textId="53D86F9F" w:rsidR="00280050" w:rsidRPr="000C0B97" w:rsidRDefault="009B1F59" w:rsidP="000C0B97">
      <w:pPr>
        <w:spacing w:after="240"/>
        <w:rPr>
          <w:szCs w:val="24"/>
        </w:rPr>
      </w:pPr>
      <w:r w:rsidRPr="00F715D1">
        <w:rPr>
          <w:szCs w:val="24"/>
        </w:rPr>
        <w:t xml:space="preserve">MSAC Terms of Reference and other information are available on the MSAC Website: </w:t>
      </w:r>
      <w:r>
        <w:rPr>
          <w:szCs w:val="24"/>
        </w:rPr>
        <w:br/>
      </w:r>
      <w:hyperlink r:id="rId13" w:tooltip="Link to Medical Services Advisory Committee website" w:history="1">
        <w:r w:rsidRPr="00F715D1">
          <w:rPr>
            <w:rStyle w:val="Hyperlink"/>
            <w:szCs w:val="24"/>
          </w:rPr>
          <w:t>visit the MSAC website</w:t>
        </w:r>
      </w:hyperlink>
    </w:p>
    <w:sectPr w:rsidR="00280050" w:rsidRPr="000C0B97" w:rsidSect="00210C73">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E71EE" w16cid:durableId="21FA52CF"/>
  <w16cid:commentId w16cid:paraId="14C31B9F" w16cid:durableId="2211F14B"/>
  <w16cid:commentId w16cid:paraId="2CDA2889" w16cid:durableId="21FA5322"/>
  <w16cid:commentId w16cid:paraId="782C23E8" w16cid:durableId="2211F14D"/>
  <w16cid:commentId w16cid:paraId="1D15CE8F" w16cid:durableId="2211F14E"/>
  <w16cid:commentId w16cid:paraId="0BECE47A" w16cid:durableId="21FA56DF"/>
  <w16cid:commentId w16cid:paraId="2F35484C" w16cid:durableId="2211F150"/>
  <w16cid:commentId w16cid:paraId="65333994" w16cid:durableId="21FA5905"/>
  <w16cid:commentId w16cid:paraId="0D7AEC99" w16cid:durableId="2211F152"/>
  <w16cid:commentId w16cid:paraId="7134C821" w16cid:durableId="21FA5960"/>
  <w16cid:commentId w16cid:paraId="0B92E3A2" w16cid:durableId="2211F154"/>
  <w16cid:commentId w16cid:paraId="1EBA11C3" w16cid:durableId="21FA597D"/>
  <w16cid:commentId w16cid:paraId="0D4DD41B" w16cid:durableId="2211F156"/>
  <w16cid:commentId w16cid:paraId="586A497E" w16cid:durableId="21FA599A"/>
  <w16cid:commentId w16cid:paraId="5ABE8420" w16cid:durableId="2211F158"/>
  <w16cid:commentId w16cid:paraId="063F53D4" w16cid:durableId="21FA5B62"/>
  <w16cid:commentId w16cid:paraId="332AF8DB" w16cid:durableId="2211F15A"/>
  <w16cid:commentId w16cid:paraId="01D0A7EC" w16cid:durableId="21FA5B76"/>
  <w16cid:commentId w16cid:paraId="7712FD30" w16cid:durableId="2211F15C"/>
  <w16cid:commentId w16cid:paraId="3F9721C0" w16cid:durableId="21FA5B80"/>
  <w16cid:commentId w16cid:paraId="23B18746" w16cid:durableId="2211F15E"/>
  <w16cid:commentId w16cid:paraId="73BE9DCB" w16cid:durableId="21FA5C8D"/>
  <w16cid:commentId w16cid:paraId="7A3FCAD8" w16cid:durableId="2211F160"/>
  <w16cid:commentId w16cid:paraId="015FF388" w16cid:durableId="21FA5CA0"/>
  <w16cid:commentId w16cid:paraId="031B670F" w16cid:durableId="2211F162"/>
  <w16cid:commentId w16cid:paraId="40CFCD2B" w16cid:durableId="21FA5CB3"/>
  <w16cid:commentId w16cid:paraId="59E6970B" w16cid:durableId="2211F164"/>
  <w16cid:commentId w16cid:paraId="305149E0" w16cid:durableId="2211F17E"/>
  <w16cid:commentId w16cid:paraId="39628CAD" w16cid:durableId="21FA5CDD"/>
  <w16cid:commentId w16cid:paraId="450B2A1B" w16cid:durableId="2211F166"/>
  <w16cid:commentId w16cid:paraId="5B8F5644" w16cid:durableId="21FA5CFD"/>
  <w16cid:commentId w16cid:paraId="16357B88" w16cid:durableId="2211F168"/>
  <w16cid:commentId w16cid:paraId="5091AD41" w16cid:durableId="21FA5D07"/>
  <w16cid:commentId w16cid:paraId="56AF078C" w16cid:durableId="2211F16A"/>
  <w16cid:commentId w16cid:paraId="48818CE5" w16cid:durableId="21FA5D43"/>
  <w16cid:commentId w16cid:paraId="35A9A631" w16cid:durableId="2211F16C"/>
  <w16cid:commentId w16cid:paraId="2EBD1A25" w16cid:durableId="21FA5E1C"/>
  <w16cid:commentId w16cid:paraId="34417C5F" w16cid:durableId="2211F1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DB2C6" w14:textId="77777777" w:rsidR="00497393" w:rsidRDefault="00497393">
      <w:r>
        <w:separator/>
      </w:r>
    </w:p>
  </w:endnote>
  <w:endnote w:type="continuationSeparator" w:id="0">
    <w:p w14:paraId="5A3E6705" w14:textId="77777777" w:rsidR="00497393" w:rsidRDefault="0049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UI Gothic">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FPE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ECFE" w14:textId="77777777" w:rsidR="008C3C4F" w:rsidRDefault="008C3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083C0F46" w14:textId="15CB712C" w:rsidR="00497393" w:rsidRDefault="00497393">
        <w:pPr>
          <w:pStyle w:val="Footer"/>
          <w:jc w:val="right"/>
        </w:pPr>
        <w:r>
          <w:fldChar w:fldCharType="begin"/>
        </w:r>
        <w:r>
          <w:instrText xml:space="preserve"> PAGE   \* MERGEFORMAT </w:instrText>
        </w:r>
        <w:r>
          <w:fldChar w:fldCharType="separate"/>
        </w:r>
        <w:r w:rsidR="008C3C4F">
          <w:rPr>
            <w:noProof/>
          </w:rPr>
          <w:t>17</w:t>
        </w:r>
        <w:r>
          <w:rPr>
            <w:noProof/>
          </w:rPr>
          <w:fldChar w:fldCharType="end"/>
        </w:r>
      </w:p>
    </w:sdtContent>
  </w:sdt>
  <w:p w14:paraId="03229513" w14:textId="77777777" w:rsidR="00497393" w:rsidRDefault="00497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3A89" w14:textId="77777777" w:rsidR="008C3C4F" w:rsidRDefault="008C3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7B706" w14:textId="77777777" w:rsidR="00497393" w:rsidRDefault="00497393">
      <w:r>
        <w:separator/>
      </w:r>
    </w:p>
  </w:footnote>
  <w:footnote w:type="continuationSeparator" w:id="0">
    <w:p w14:paraId="15CFE13A" w14:textId="77777777" w:rsidR="00497393" w:rsidRDefault="0049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7B2A" w14:textId="77777777" w:rsidR="008C3C4F" w:rsidRDefault="008C3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BD37" w14:textId="77777777" w:rsidR="008C3C4F" w:rsidRDefault="008C3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3D1E" w14:textId="77777777" w:rsidR="008C3C4F" w:rsidRDefault="008C3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72E5"/>
    <w:multiLevelType w:val="hybridMultilevel"/>
    <w:tmpl w:val="145C66C8"/>
    <w:lvl w:ilvl="0" w:tplc="6A580B5E">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975771"/>
    <w:multiLevelType w:val="hybridMultilevel"/>
    <w:tmpl w:val="B49C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4F0F"/>
    <w:multiLevelType w:val="hybridMultilevel"/>
    <w:tmpl w:val="5682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4707D"/>
    <w:multiLevelType w:val="hybridMultilevel"/>
    <w:tmpl w:val="8E7C97BE"/>
    <w:lvl w:ilvl="0" w:tplc="0C090001">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22891"/>
    <w:multiLevelType w:val="hybridMultilevel"/>
    <w:tmpl w:val="D9181DBA"/>
    <w:lvl w:ilvl="0" w:tplc="4C6066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302CC6"/>
    <w:multiLevelType w:val="hybridMultilevel"/>
    <w:tmpl w:val="9A682A12"/>
    <w:lvl w:ilvl="0" w:tplc="6A580B5E">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525121"/>
    <w:multiLevelType w:val="hybridMultilevel"/>
    <w:tmpl w:val="4CCCA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E50960"/>
    <w:multiLevelType w:val="hybridMultilevel"/>
    <w:tmpl w:val="AC1AFB86"/>
    <w:lvl w:ilvl="0" w:tplc="6A580B5E">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4F09A4"/>
    <w:multiLevelType w:val="hybridMultilevel"/>
    <w:tmpl w:val="63F8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A002B0"/>
    <w:multiLevelType w:val="hybridMultilevel"/>
    <w:tmpl w:val="9704133C"/>
    <w:lvl w:ilvl="0" w:tplc="EF6CA24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13"/>
  </w:num>
  <w:num w:numId="6">
    <w:abstractNumId w:val="4"/>
  </w:num>
  <w:num w:numId="7">
    <w:abstractNumId w:val="9"/>
  </w:num>
  <w:num w:numId="8">
    <w:abstractNumId w:val="12"/>
  </w:num>
  <w:num w:numId="9">
    <w:abstractNumId w:val="11"/>
  </w:num>
  <w:num w:numId="10">
    <w:abstractNumId w:val="0"/>
  </w:num>
  <w:num w:numId="11">
    <w:abstractNumId w:val="6"/>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59"/>
    <w:rsid w:val="00002337"/>
    <w:rsid w:val="000379D1"/>
    <w:rsid w:val="00064088"/>
    <w:rsid w:val="000A21E7"/>
    <w:rsid w:val="000A6F44"/>
    <w:rsid w:val="000B1CD8"/>
    <w:rsid w:val="000C0B97"/>
    <w:rsid w:val="00104936"/>
    <w:rsid w:val="001144B0"/>
    <w:rsid w:val="00117E07"/>
    <w:rsid w:val="00140283"/>
    <w:rsid w:val="00156E20"/>
    <w:rsid w:val="001642B9"/>
    <w:rsid w:val="00171114"/>
    <w:rsid w:val="001B5A25"/>
    <w:rsid w:val="001C7D5B"/>
    <w:rsid w:val="001E2024"/>
    <w:rsid w:val="001F4EA8"/>
    <w:rsid w:val="00210C73"/>
    <w:rsid w:val="002466F4"/>
    <w:rsid w:val="0025605D"/>
    <w:rsid w:val="00264424"/>
    <w:rsid w:val="00265962"/>
    <w:rsid w:val="00272845"/>
    <w:rsid w:val="0027490E"/>
    <w:rsid w:val="0027708D"/>
    <w:rsid w:val="00280050"/>
    <w:rsid w:val="002A5F5D"/>
    <w:rsid w:val="002B179E"/>
    <w:rsid w:val="002F6C08"/>
    <w:rsid w:val="0030721C"/>
    <w:rsid w:val="00366FDD"/>
    <w:rsid w:val="003A6925"/>
    <w:rsid w:val="003B2B72"/>
    <w:rsid w:val="003B498A"/>
    <w:rsid w:val="003C0319"/>
    <w:rsid w:val="004226C1"/>
    <w:rsid w:val="0046287D"/>
    <w:rsid w:val="00473732"/>
    <w:rsid w:val="00477994"/>
    <w:rsid w:val="00493DC1"/>
    <w:rsid w:val="00497393"/>
    <w:rsid w:val="004B279E"/>
    <w:rsid w:val="004B3BC5"/>
    <w:rsid w:val="004F7645"/>
    <w:rsid w:val="00516C1E"/>
    <w:rsid w:val="005353B1"/>
    <w:rsid w:val="0054349B"/>
    <w:rsid w:val="00572F3E"/>
    <w:rsid w:val="00584D0C"/>
    <w:rsid w:val="005B232C"/>
    <w:rsid w:val="005C10C8"/>
    <w:rsid w:val="005E0739"/>
    <w:rsid w:val="00636626"/>
    <w:rsid w:val="00636F4D"/>
    <w:rsid w:val="00644290"/>
    <w:rsid w:val="00646580"/>
    <w:rsid w:val="0068143C"/>
    <w:rsid w:val="006828F3"/>
    <w:rsid w:val="006D76C4"/>
    <w:rsid w:val="006F38A9"/>
    <w:rsid w:val="00732A99"/>
    <w:rsid w:val="0075297A"/>
    <w:rsid w:val="007A375D"/>
    <w:rsid w:val="007B4A29"/>
    <w:rsid w:val="007D1727"/>
    <w:rsid w:val="007F414E"/>
    <w:rsid w:val="008049C4"/>
    <w:rsid w:val="00845C32"/>
    <w:rsid w:val="00895DFB"/>
    <w:rsid w:val="008971B6"/>
    <w:rsid w:val="008B4567"/>
    <w:rsid w:val="008C3C4F"/>
    <w:rsid w:val="008C716C"/>
    <w:rsid w:val="009335D3"/>
    <w:rsid w:val="00960A66"/>
    <w:rsid w:val="009900B5"/>
    <w:rsid w:val="00997926"/>
    <w:rsid w:val="009B1F59"/>
    <w:rsid w:val="009F09C6"/>
    <w:rsid w:val="00A047B2"/>
    <w:rsid w:val="00A44F9F"/>
    <w:rsid w:val="00A5331B"/>
    <w:rsid w:val="00A7356A"/>
    <w:rsid w:val="00AA436B"/>
    <w:rsid w:val="00AB2165"/>
    <w:rsid w:val="00AD0E52"/>
    <w:rsid w:val="00AE461A"/>
    <w:rsid w:val="00AE5C5C"/>
    <w:rsid w:val="00AF6EA1"/>
    <w:rsid w:val="00B1027B"/>
    <w:rsid w:val="00B57AD0"/>
    <w:rsid w:val="00B61ABB"/>
    <w:rsid w:val="00B86214"/>
    <w:rsid w:val="00BE40B0"/>
    <w:rsid w:val="00BF6458"/>
    <w:rsid w:val="00C07ECB"/>
    <w:rsid w:val="00C116AC"/>
    <w:rsid w:val="00C24C76"/>
    <w:rsid w:val="00CC7BA2"/>
    <w:rsid w:val="00D110D6"/>
    <w:rsid w:val="00D464AC"/>
    <w:rsid w:val="00D839E2"/>
    <w:rsid w:val="00DA244E"/>
    <w:rsid w:val="00DA7668"/>
    <w:rsid w:val="00DF435D"/>
    <w:rsid w:val="00E436AB"/>
    <w:rsid w:val="00E70C0C"/>
    <w:rsid w:val="00E80794"/>
    <w:rsid w:val="00E9404D"/>
    <w:rsid w:val="00EC7E74"/>
    <w:rsid w:val="00ED3284"/>
    <w:rsid w:val="00EE66C1"/>
    <w:rsid w:val="00F002C7"/>
    <w:rsid w:val="00F14D6C"/>
    <w:rsid w:val="00F20DB0"/>
    <w:rsid w:val="00F44485"/>
    <w:rsid w:val="00FB479D"/>
    <w:rsid w:val="00FC6B52"/>
    <w:rsid w:val="00FD3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EB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F59"/>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9B1F59"/>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265962"/>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AE461A"/>
    <w:pPr>
      <w:keepNext/>
      <w:keepLines/>
      <w:spacing w:before="20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1F59"/>
    <w:rPr>
      <w:rFonts w:ascii="Arial" w:eastAsia="Times New Roman" w:hAnsi="Arial"/>
      <w:b/>
      <w:bCs/>
      <w:szCs w:val="28"/>
      <w:lang w:eastAsia="en-AU"/>
    </w:rPr>
  </w:style>
  <w:style w:type="character" w:styleId="Hyperlink">
    <w:name w:val="Hyperlink"/>
    <w:basedOn w:val="DefaultParagraphFont"/>
    <w:uiPriority w:val="99"/>
    <w:rsid w:val="009B1F59"/>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9B1F59"/>
    <w:pPr>
      <w:ind w:left="720"/>
      <w:contextualSpacing/>
    </w:pPr>
  </w:style>
  <w:style w:type="paragraph" w:styleId="Footer">
    <w:name w:val="footer"/>
    <w:basedOn w:val="Normal"/>
    <w:link w:val="FooterChar"/>
    <w:uiPriority w:val="99"/>
    <w:rsid w:val="009B1F59"/>
    <w:pPr>
      <w:tabs>
        <w:tab w:val="center" w:pos="4513"/>
        <w:tab w:val="right" w:pos="9026"/>
      </w:tabs>
    </w:pPr>
  </w:style>
  <w:style w:type="character" w:customStyle="1" w:styleId="FooterChar">
    <w:name w:val="Footer Char"/>
    <w:basedOn w:val="DefaultParagraphFont"/>
    <w:link w:val="Footer"/>
    <w:uiPriority w:val="99"/>
    <w:rsid w:val="009B1F59"/>
    <w:rPr>
      <w:rFonts w:eastAsia="Times New Roman"/>
      <w:szCs w:val="20"/>
      <w:lang w:eastAsia="en-AU"/>
    </w:rPr>
  </w:style>
  <w:style w:type="paragraph" w:customStyle="1" w:styleId="Default">
    <w:name w:val="Default"/>
    <w:rsid w:val="009B1F59"/>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9B1F59"/>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9B1F5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9B1F59"/>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9B1F59"/>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265962"/>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584D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BF6458"/>
    <w:rPr>
      <w:rFonts w:eastAsia="Times New Roman"/>
      <w:szCs w:val="20"/>
      <w:lang w:eastAsia="en-AU"/>
    </w:rPr>
  </w:style>
  <w:style w:type="paragraph" w:customStyle="1" w:styleId="NormalBeforeBullet">
    <w:name w:val="NormalBeforeBullet"/>
    <w:basedOn w:val="Normal"/>
    <w:qFormat/>
    <w:rsid w:val="00BF6458"/>
    <w:pPr>
      <w:keepNext/>
      <w:spacing w:after="120"/>
    </w:pPr>
    <w:rPr>
      <w:color w:val="000000"/>
    </w:rPr>
  </w:style>
  <w:style w:type="paragraph" w:customStyle="1" w:styleId="TableHeading">
    <w:name w:val="TableHeading"/>
    <w:basedOn w:val="Normal"/>
    <w:link w:val="TableHeadingChar"/>
    <w:qFormat/>
    <w:rsid w:val="00BF6458"/>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BF6458"/>
    <w:rPr>
      <w:rFonts w:ascii="Arial Narrow" w:eastAsia="Times New Roman" w:hAnsi="Arial Narrow" w:cs="Tahoma"/>
      <w:b/>
      <w:noProof/>
      <w:sz w:val="20"/>
      <w:szCs w:val="20"/>
      <w:lang w:eastAsia="en-AU"/>
    </w:rPr>
  </w:style>
  <w:style w:type="paragraph" w:customStyle="1" w:styleId="Bullet">
    <w:name w:val="Bullet"/>
    <w:basedOn w:val="ListParagraph"/>
    <w:qFormat/>
    <w:rsid w:val="00BF6458"/>
    <w:pPr>
      <w:numPr>
        <w:numId w:val="5"/>
      </w:numPr>
      <w:spacing w:before="40" w:after="240" w:line="312" w:lineRule="auto"/>
      <w:ind w:left="714" w:hanging="357"/>
    </w:pPr>
    <w:rPr>
      <w:rFonts w:ascii="Calibri" w:hAnsi="Calibri" w:cs="Tahoma"/>
      <w:sz w:val="22"/>
      <w:szCs w:val="22"/>
    </w:rPr>
  </w:style>
  <w:style w:type="paragraph" w:customStyle="1" w:styleId="TableText">
    <w:name w:val="TableText"/>
    <w:basedOn w:val="Normal"/>
    <w:rsid w:val="00BF6458"/>
    <w:pPr>
      <w:keepNext/>
      <w:spacing w:before="60" w:after="60"/>
    </w:pPr>
    <w:rPr>
      <w:color w:val="000000"/>
      <w:sz w:val="21"/>
      <w:szCs w:val="21"/>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rsid w:val="00265962"/>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265962"/>
    <w:rPr>
      <w:rFonts w:ascii="Arial Narrow" w:eastAsia="Times New Roman" w:hAnsi="Arial Narrow" w:cs="Arial"/>
      <w:b/>
      <w:bCs/>
      <w:iCs/>
      <w:sz w:val="20"/>
      <w:szCs w:val="20"/>
    </w:rPr>
  </w:style>
  <w:style w:type="paragraph" w:styleId="BodyText">
    <w:name w:val="Body Text"/>
    <w:basedOn w:val="Normal"/>
    <w:link w:val="BodyTextChar"/>
    <w:qFormat/>
    <w:rsid w:val="00265962"/>
    <w:pPr>
      <w:spacing w:after="180" w:line="312" w:lineRule="auto"/>
    </w:pPr>
    <w:rPr>
      <w:rFonts w:ascii="Calibri" w:hAnsi="Calibri" w:cs="Tahoma"/>
      <w:sz w:val="22"/>
      <w:szCs w:val="22"/>
    </w:rPr>
  </w:style>
  <w:style w:type="character" w:customStyle="1" w:styleId="BodyTextChar">
    <w:name w:val="Body Text Char"/>
    <w:basedOn w:val="DefaultParagraphFont"/>
    <w:link w:val="BodyText"/>
    <w:rsid w:val="00265962"/>
    <w:rPr>
      <w:rFonts w:ascii="Calibri" w:eastAsia="Times New Roman" w:hAnsi="Calibri" w:cs="Tahoma"/>
      <w:sz w:val="22"/>
      <w:szCs w:val="22"/>
      <w:lang w:eastAsia="en-AU"/>
    </w:rPr>
  </w:style>
  <w:style w:type="paragraph" w:customStyle="1" w:styleId="TFAbbrevs18">
    <w:name w:val="TFAbbrevs+18"/>
    <w:basedOn w:val="Normal"/>
    <w:next w:val="Normal"/>
    <w:qFormat/>
    <w:rsid w:val="00265962"/>
    <w:pPr>
      <w:keepLines/>
      <w:spacing w:after="360"/>
      <w:contextualSpacing/>
    </w:pPr>
    <w:rPr>
      <w:rFonts w:ascii="Arial Narrow" w:hAnsi="Arial Narrow"/>
      <w:color w:val="000000"/>
      <w:sz w:val="18"/>
      <w:szCs w:val="18"/>
    </w:rPr>
  </w:style>
  <w:style w:type="paragraph" w:customStyle="1" w:styleId="pic">
    <w:name w:val="pic"/>
    <w:basedOn w:val="Normal"/>
    <w:next w:val="TFAbbrevs18"/>
    <w:uiPriority w:val="99"/>
    <w:semiHidden/>
    <w:qFormat/>
    <w:rsid w:val="00265962"/>
    <w:pPr>
      <w:keepNext/>
      <w:spacing w:after="360" w:line="312" w:lineRule="auto"/>
      <w:jc w:val="center"/>
    </w:pPr>
    <w:rPr>
      <w:rFonts w:ascii="Calibri" w:hAnsi="Calibri" w:cs="Tahoma"/>
      <w:sz w:val="22"/>
      <w:szCs w:val="22"/>
    </w:rPr>
  </w:style>
  <w:style w:type="character" w:styleId="Emphasis">
    <w:name w:val="Emphasis"/>
    <w:uiPriority w:val="20"/>
    <w:qFormat/>
    <w:rsid w:val="006F38A9"/>
    <w:rPr>
      <w:rFonts w:ascii="Garamond" w:eastAsia="Times New Roman" w:hAnsi="Garamond" w:cs="Times New Roman"/>
      <w:i/>
      <w:sz w:val="24"/>
      <w:szCs w:val="24"/>
    </w:rPr>
  </w:style>
  <w:style w:type="paragraph" w:customStyle="1" w:styleId="Bulletintro">
    <w:name w:val="Bullet intro"/>
    <w:basedOn w:val="BodyText"/>
    <w:next w:val="Normal"/>
    <w:link w:val="BulletintroChar"/>
    <w:qFormat/>
    <w:rsid w:val="006F38A9"/>
    <w:pPr>
      <w:keepNext/>
      <w:spacing w:after="60"/>
    </w:pPr>
  </w:style>
  <w:style w:type="character" w:customStyle="1" w:styleId="BulletintroChar">
    <w:name w:val="Bullet intro Char"/>
    <w:basedOn w:val="BodyTextChar"/>
    <w:link w:val="Bulletintro"/>
    <w:rsid w:val="006F38A9"/>
    <w:rPr>
      <w:rFonts w:ascii="Calibri" w:eastAsia="Times New Roman" w:hAnsi="Calibri" w:cs="Tahoma"/>
      <w:sz w:val="22"/>
      <w:szCs w:val="22"/>
      <w:lang w:eastAsia="en-AU"/>
    </w:rPr>
  </w:style>
  <w:style w:type="paragraph" w:customStyle="1" w:styleId="TableText0">
    <w:name w:val="Table Text"/>
    <w:basedOn w:val="Normal"/>
    <w:link w:val="TableTextChar"/>
    <w:qFormat/>
    <w:rsid w:val="006F38A9"/>
    <w:pPr>
      <w:spacing w:before="40" w:after="40"/>
    </w:pPr>
    <w:rPr>
      <w:rFonts w:ascii="Arial Narrow" w:hAnsi="Arial Narrow" w:cs="Tahoma"/>
      <w:sz w:val="20"/>
      <w:szCs w:val="22"/>
      <w:lang w:eastAsia="en-US"/>
    </w:rPr>
  </w:style>
  <w:style w:type="character" w:customStyle="1" w:styleId="TableTextChar">
    <w:name w:val="Table Text Char"/>
    <w:link w:val="TableText0"/>
    <w:rsid w:val="006F38A9"/>
    <w:rPr>
      <w:rFonts w:ascii="Arial Narrow" w:eastAsia="Times New Roman" w:hAnsi="Arial Narrow" w:cs="Tahoma"/>
      <w:sz w:val="20"/>
      <w:szCs w:val="22"/>
    </w:rPr>
  </w:style>
  <w:style w:type="table" w:customStyle="1" w:styleId="HTATable">
    <w:name w:val="HTA Table"/>
    <w:basedOn w:val="TableNormal"/>
    <w:rsid w:val="006F38A9"/>
    <w:pPr>
      <w:spacing w:before="40" w:after="20" w:line="240" w:lineRule="auto"/>
      <w:jc w:val="center"/>
    </w:pPr>
    <w:rPr>
      <w:rFonts w:ascii="Arial Narrow" w:eastAsia="Times New Roman" w:hAnsi="Arial Narrow"/>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rFonts w:ascii="NSimSun" w:hAnsi="NSimSun"/>
        <w:b/>
        <w:sz w:val="18"/>
      </w:rPr>
      <w:tblPr/>
      <w:tcPr>
        <w:tcBorders>
          <w:top w:val="single" w:sz="12" w:space="0" w:color="auto"/>
          <w:left w:val="single" w:sz="4" w:space="0" w:color="auto"/>
          <w:bottom w:val="single" w:sz="12" w:space="0" w:color="auto"/>
          <w:right w:val="single" w:sz="4" w:space="0" w:color="auto"/>
          <w:insideH w:val="single" w:sz="4" w:space="0" w:color="auto"/>
          <w:insideV w:val="single" w:sz="4" w:space="0" w:color="auto"/>
          <w:tl2br w:val="nil"/>
          <w:tr2bl w:val="nil"/>
        </w:tcBorders>
      </w:tcPr>
    </w:tblStylePr>
    <w:tblStylePr w:type="firstCol">
      <w:pPr>
        <w:jc w:val="left"/>
      </w:pPr>
    </w:tblStylePr>
    <w:tblStylePr w:type="nwCell">
      <w:pPr>
        <w:jc w:val="left"/>
      </w:pPr>
      <w:rPr>
        <w:b/>
      </w:rPr>
    </w:tblStylePr>
  </w:style>
  <w:style w:type="character" w:styleId="Strong">
    <w:name w:val="Strong"/>
    <w:uiPriority w:val="22"/>
    <w:qFormat/>
    <w:rsid w:val="006F38A9"/>
    <w:rPr>
      <w:b/>
      <w:bCs/>
    </w:rPr>
  </w:style>
  <w:style w:type="table" w:customStyle="1" w:styleId="HTATable1">
    <w:name w:val="HTA Table1"/>
    <w:basedOn w:val="TableNormal"/>
    <w:rsid w:val="006F38A9"/>
    <w:pPr>
      <w:spacing w:before="40" w:after="20" w:line="240" w:lineRule="auto"/>
      <w:jc w:val="center"/>
    </w:pPr>
    <w:rPr>
      <w:rFonts w:ascii="Arial Narrow" w:eastAsia="Times New Roman" w:hAnsi="Arial Narrow"/>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rFonts w:ascii="Consolas" w:hAnsi="Consolas"/>
        <w:b/>
        <w:sz w:val="18"/>
      </w:rPr>
      <w:tblPr/>
      <w:tcPr>
        <w:tcBorders>
          <w:top w:val="single" w:sz="12" w:space="0" w:color="auto"/>
          <w:left w:val="single" w:sz="4" w:space="0" w:color="auto"/>
          <w:bottom w:val="single" w:sz="12" w:space="0" w:color="auto"/>
          <w:right w:val="single" w:sz="4" w:space="0" w:color="auto"/>
          <w:insideH w:val="single" w:sz="4" w:space="0" w:color="auto"/>
          <w:insideV w:val="single" w:sz="4" w:space="0" w:color="auto"/>
          <w:tl2br w:val="nil"/>
          <w:tr2bl w:val="nil"/>
        </w:tcBorders>
      </w:tcPr>
    </w:tblStylePr>
    <w:tblStylePr w:type="firstCol">
      <w:pPr>
        <w:jc w:val="left"/>
      </w:pPr>
    </w:tblStylePr>
    <w:tblStylePr w:type="nwCell">
      <w:pPr>
        <w:jc w:val="left"/>
      </w:pPr>
      <w:rPr>
        <w:b/>
      </w:rPr>
    </w:tblStylePr>
  </w:style>
  <w:style w:type="paragraph" w:customStyle="1" w:styleId="Comment">
    <w:name w:val="Comment"/>
    <w:basedOn w:val="Normal"/>
    <w:link w:val="CommentChar"/>
    <w:qFormat/>
    <w:rsid w:val="006F38A9"/>
    <w:pPr>
      <w:tabs>
        <w:tab w:val="num" w:pos="720"/>
      </w:tabs>
      <w:spacing w:after="240" w:line="312" w:lineRule="auto"/>
      <w:jc w:val="both"/>
    </w:pPr>
    <w:rPr>
      <w:rFonts w:ascii="Calibri" w:hAnsi="Calibri" w:cs="Tahoma"/>
      <w:i/>
      <w:color w:val="C00000"/>
      <w:sz w:val="22"/>
      <w:szCs w:val="22"/>
    </w:rPr>
  </w:style>
  <w:style w:type="character" w:customStyle="1" w:styleId="CommentChar">
    <w:name w:val="Comment Char"/>
    <w:basedOn w:val="DefaultParagraphFont"/>
    <w:link w:val="Comment"/>
    <w:rsid w:val="006F38A9"/>
    <w:rPr>
      <w:rFonts w:ascii="Calibri" w:eastAsia="Times New Roman" w:hAnsi="Calibri" w:cs="Tahoma"/>
      <w:i/>
      <w:color w:val="C00000"/>
      <w:sz w:val="22"/>
      <w:szCs w:val="22"/>
      <w:lang w:eastAsia="en-AU"/>
    </w:rPr>
  </w:style>
  <w:style w:type="table" w:customStyle="1" w:styleId="TableGrid1">
    <w:name w:val="Table Grid1"/>
    <w:basedOn w:val="TableNormal"/>
    <w:next w:val="TableGrid"/>
    <w:rsid w:val="00210C73"/>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UI Gothic" w:hAnsi="@MS UI Gothic"/>
        <w:b w:val="0"/>
        <w:sz w:val="20"/>
      </w:rPr>
    </w:tblStylePr>
  </w:style>
  <w:style w:type="paragraph" w:customStyle="1" w:styleId="Tablenotes">
    <w:name w:val="Tablenotes"/>
    <w:basedOn w:val="Normal"/>
    <w:link w:val="TablenotesChar"/>
    <w:autoRedefine/>
    <w:qFormat/>
    <w:rsid w:val="001C7D5B"/>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1C7D5B"/>
    <w:rPr>
      <w:rFonts w:ascii="Arial Narrow" w:eastAsia="Times New Roman" w:hAnsi="Arial Narrow" w:cs="Arial"/>
      <w:snapToGrid w:val="0"/>
      <w:sz w:val="18"/>
      <w:szCs w:val="20"/>
    </w:rPr>
  </w:style>
  <w:style w:type="character" w:styleId="CommentReference">
    <w:name w:val="annotation reference"/>
    <w:basedOn w:val="DefaultParagraphFont"/>
    <w:uiPriority w:val="99"/>
    <w:semiHidden/>
    <w:unhideWhenUsed/>
    <w:rsid w:val="00C07ECB"/>
    <w:rPr>
      <w:sz w:val="16"/>
      <w:szCs w:val="16"/>
    </w:rPr>
  </w:style>
  <w:style w:type="paragraph" w:styleId="CommentText">
    <w:name w:val="annotation text"/>
    <w:basedOn w:val="Normal"/>
    <w:link w:val="CommentTextChar"/>
    <w:uiPriority w:val="99"/>
    <w:semiHidden/>
    <w:unhideWhenUsed/>
    <w:rsid w:val="00C07ECB"/>
    <w:rPr>
      <w:sz w:val="20"/>
    </w:rPr>
  </w:style>
  <w:style w:type="character" w:customStyle="1" w:styleId="CommentTextChar">
    <w:name w:val="Comment Text Char"/>
    <w:basedOn w:val="DefaultParagraphFont"/>
    <w:link w:val="CommentText"/>
    <w:uiPriority w:val="99"/>
    <w:semiHidden/>
    <w:rsid w:val="00C07ECB"/>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07ECB"/>
    <w:rPr>
      <w:b/>
      <w:bCs/>
    </w:rPr>
  </w:style>
  <w:style w:type="character" w:customStyle="1" w:styleId="CommentSubjectChar">
    <w:name w:val="Comment Subject Char"/>
    <w:basedOn w:val="CommentTextChar"/>
    <w:link w:val="CommentSubject"/>
    <w:uiPriority w:val="99"/>
    <w:semiHidden/>
    <w:rsid w:val="00C07ECB"/>
    <w:rPr>
      <w:rFonts w:eastAsia="Times New Roman"/>
      <w:b/>
      <w:bCs/>
      <w:sz w:val="20"/>
      <w:szCs w:val="20"/>
      <w:lang w:eastAsia="en-AU"/>
    </w:rPr>
  </w:style>
  <w:style w:type="paragraph" w:styleId="BalloonText">
    <w:name w:val="Balloon Text"/>
    <w:basedOn w:val="Normal"/>
    <w:link w:val="BalloonTextChar"/>
    <w:uiPriority w:val="99"/>
    <w:semiHidden/>
    <w:unhideWhenUsed/>
    <w:rsid w:val="00C07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ECB"/>
    <w:rPr>
      <w:rFonts w:ascii="Segoe UI" w:eastAsia="Times New Roman" w:hAnsi="Segoe UI" w:cs="Segoe UI"/>
      <w:sz w:val="18"/>
      <w:szCs w:val="18"/>
      <w:lang w:eastAsia="en-AU"/>
    </w:rPr>
  </w:style>
  <w:style w:type="character" w:customStyle="1" w:styleId="Heading3Char">
    <w:name w:val="Heading 3 Char"/>
    <w:basedOn w:val="DefaultParagraphFont"/>
    <w:link w:val="Heading3"/>
    <w:uiPriority w:val="9"/>
    <w:rsid w:val="00AE461A"/>
    <w:rPr>
      <w:rFonts w:eastAsiaTheme="majorEastAsia" w:cstheme="majorBidi"/>
      <w:u w:val="single"/>
      <w:lang w:eastAsia="en-AU"/>
    </w:rPr>
  </w:style>
  <w:style w:type="paragraph" w:customStyle="1" w:styleId="TableTextcenter">
    <w:name w:val="Table Text center"/>
    <w:basedOn w:val="Normal"/>
    <w:qFormat/>
    <w:rsid w:val="00AE461A"/>
    <w:pPr>
      <w:keepNext/>
      <w:spacing w:before="40" w:after="40"/>
      <w:jc w:val="center"/>
    </w:pPr>
    <w:rPr>
      <w:rFonts w:ascii="Arial Narrow" w:hAnsi="Arial Narrow" w:cs="Tahoma"/>
      <w:sz w:val="20"/>
      <w:szCs w:val="22"/>
      <w:lang w:eastAsia="en-US"/>
    </w:rPr>
  </w:style>
  <w:style w:type="paragraph" w:customStyle="1" w:styleId="TableTextLeft">
    <w:name w:val="Table Text Left"/>
    <w:basedOn w:val="TableText0"/>
    <w:link w:val="TableTextLeftChar"/>
    <w:qFormat/>
    <w:rsid w:val="00AE461A"/>
    <w:pPr>
      <w:keepNext/>
    </w:pPr>
  </w:style>
  <w:style w:type="character" w:customStyle="1" w:styleId="TableTextLeftChar">
    <w:name w:val="Table Text Left Char"/>
    <w:link w:val="TableTextLeft"/>
    <w:rsid w:val="00AE461A"/>
    <w:rPr>
      <w:rFonts w:ascii="Arial Narrow" w:eastAsia="Times New Roman" w:hAnsi="Arial Narrow" w:cs="Tahoma"/>
      <w:sz w:val="20"/>
      <w:szCs w:val="22"/>
    </w:rPr>
  </w:style>
  <w:style w:type="paragraph" w:customStyle="1" w:styleId="TableHeadingcenter">
    <w:name w:val="Table Heading center"/>
    <w:basedOn w:val="TableTextcenter"/>
    <w:next w:val="TableTextcenter"/>
    <w:qFormat/>
    <w:rsid w:val="00AE461A"/>
    <w:rPr>
      <w:b/>
    </w:rPr>
  </w:style>
  <w:style w:type="paragraph" w:customStyle="1" w:styleId="BoxText">
    <w:name w:val="BoxText"/>
    <w:basedOn w:val="Normal"/>
    <w:qFormat/>
    <w:rsid w:val="00DA244E"/>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DA244E"/>
    <w:pPr>
      <w:keepNext/>
      <w:spacing w:before="180"/>
      <w:ind w:left="1080" w:hanging="1080"/>
    </w:pPr>
    <w:rPr>
      <w:b/>
      <w:bCs/>
    </w:rPr>
  </w:style>
  <w:style w:type="paragraph" w:customStyle="1" w:styleId="BoxHeading">
    <w:name w:val="BoxHeading"/>
    <w:basedOn w:val="BoxText"/>
    <w:rsid w:val="00DA244E"/>
    <w:pPr>
      <w:keepNext/>
      <w:spacing w:before="120" w:after="60"/>
    </w:pPr>
    <w:rPr>
      <w:b/>
      <w:bCs/>
    </w:rPr>
  </w:style>
  <w:style w:type="paragraph" w:customStyle="1" w:styleId="BulletBeforeDash">
    <w:name w:val="BulletBeforeDash"/>
    <w:basedOn w:val="Normal"/>
    <w:rsid w:val="00DA244E"/>
    <w:pPr>
      <w:numPr>
        <w:numId w:val="9"/>
      </w:numPr>
      <w:ind w:left="720"/>
    </w:pPr>
    <w:rPr>
      <w:color w:val="000000"/>
    </w:rPr>
  </w:style>
  <w:style w:type="paragraph" w:customStyle="1" w:styleId="BulletLast">
    <w:name w:val="BulletLast"/>
    <w:basedOn w:val="Bullet"/>
    <w:qFormat/>
    <w:rsid w:val="00DA244E"/>
    <w:pPr>
      <w:numPr>
        <w:numId w:val="3"/>
      </w:numPr>
      <w:spacing w:before="0" w:line="240" w:lineRule="auto"/>
      <w:contextualSpacing w:val="0"/>
    </w:pPr>
    <w:rPr>
      <w:rFonts w:ascii="Times New Roman" w:hAnsi="Times New Roman" w:cs="Times New Roman"/>
      <w:color w:val="000000"/>
      <w:sz w:val="24"/>
      <w:szCs w:val="20"/>
    </w:rPr>
  </w:style>
  <w:style w:type="paragraph" w:customStyle="1" w:styleId="BoxDash">
    <w:name w:val="BoxDash"/>
    <w:basedOn w:val="Normal"/>
    <w:rsid w:val="00DA244E"/>
    <w:pPr>
      <w:numPr>
        <w:numId w:val="10"/>
      </w:numPr>
      <w:pBdr>
        <w:top w:val="single" w:sz="4" w:space="4" w:color="000000"/>
        <w:left w:val="single" w:sz="4" w:space="4" w:color="000000"/>
        <w:bottom w:val="single" w:sz="4" w:space="4" w:color="000000"/>
        <w:right w:val="single" w:sz="4" w:space="4" w:color="000000"/>
      </w:pBdr>
      <w:spacing w:after="120"/>
    </w:pPr>
    <w:rPr>
      <w:color w:val="000000"/>
    </w:rPr>
  </w:style>
  <w:style w:type="paragraph" w:styleId="Header">
    <w:name w:val="header"/>
    <w:basedOn w:val="Normal"/>
    <w:link w:val="HeaderChar"/>
    <w:uiPriority w:val="99"/>
    <w:unhideWhenUsed/>
    <w:rsid w:val="004226C1"/>
    <w:pPr>
      <w:tabs>
        <w:tab w:val="center" w:pos="4513"/>
        <w:tab w:val="right" w:pos="9026"/>
      </w:tabs>
    </w:pPr>
  </w:style>
  <w:style w:type="character" w:customStyle="1" w:styleId="HeaderChar">
    <w:name w:val="Header Char"/>
    <w:basedOn w:val="DefaultParagraphFont"/>
    <w:link w:val="Header"/>
    <w:uiPriority w:val="99"/>
    <w:rsid w:val="004226C1"/>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ac.gov.au/internet/msac/publishing.nsf/Content/1342.4-publi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AFAB-374D-4741-A3CC-69E8631F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7801</Words>
  <Characters>43455</Characters>
  <Application>Microsoft Office Word</Application>
  <DocSecurity>0</DocSecurity>
  <Lines>1278</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1408 Final PSD</dc:title>
  <dc:subject/>
  <dc:creator/>
  <cp:keywords/>
  <dc:description/>
  <cp:lastModifiedBy/>
  <cp:revision>1</cp:revision>
  <dcterms:created xsi:type="dcterms:W3CDTF">2020-03-12T04:23:00Z</dcterms:created>
  <dcterms:modified xsi:type="dcterms:W3CDTF">2020-03-12T04:23:00Z</dcterms:modified>
</cp:coreProperties>
</file>