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96AC2"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1F85976F" wp14:editId="630F34B2">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3014062"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420FDA60" w14:textId="77777777" w:rsidR="00BC1364" w:rsidRPr="00F715D1" w:rsidRDefault="00BC1364" w:rsidP="00F715D1">
      <w:pPr>
        <w:pStyle w:val="Subtitle"/>
      </w:pPr>
      <w:r w:rsidRPr="00F715D1">
        <w:t xml:space="preserve">Application No. </w:t>
      </w:r>
      <w:r w:rsidR="00B35595" w:rsidRPr="00F715D1">
        <w:t>1</w:t>
      </w:r>
      <w:r w:rsidR="00A6355B">
        <w:t>428</w:t>
      </w:r>
      <w:r w:rsidRPr="00F715D1">
        <w:t xml:space="preserve"> – </w:t>
      </w:r>
      <w:r w:rsidR="00A6355B" w:rsidRPr="00A6355B">
        <w:t>Mechanical thrombectomy for acute ischaemic stroke</w:t>
      </w:r>
    </w:p>
    <w:p w14:paraId="7539687E" w14:textId="77777777" w:rsidR="00A6355B" w:rsidRDefault="00B35595" w:rsidP="00F443A8">
      <w:pPr>
        <w:spacing w:after="240"/>
        <w:ind w:left="3600" w:hanging="3600"/>
        <w:rPr>
          <w:rFonts w:ascii="Arial" w:hAnsi="Arial" w:cs="Arial"/>
          <w:b/>
          <w:szCs w:val="24"/>
        </w:rPr>
      </w:pPr>
      <w:r w:rsidRPr="00F715D1">
        <w:rPr>
          <w:rFonts w:ascii="Arial" w:hAnsi="Arial" w:cs="Arial"/>
          <w:b/>
          <w:szCs w:val="24"/>
        </w:rPr>
        <w:t>Applicant</w:t>
      </w:r>
      <w:r w:rsidR="00BC1364" w:rsidRPr="00F715D1">
        <w:rPr>
          <w:rFonts w:ascii="Arial" w:hAnsi="Arial" w:cs="Arial"/>
          <w:b/>
          <w:szCs w:val="24"/>
        </w:rPr>
        <w:t>:</w:t>
      </w:r>
      <w:r w:rsidR="00BC1364" w:rsidRPr="00F715D1">
        <w:rPr>
          <w:rFonts w:ascii="Arial" w:hAnsi="Arial" w:cs="Arial"/>
          <w:b/>
          <w:szCs w:val="24"/>
        </w:rPr>
        <w:tab/>
      </w:r>
      <w:r w:rsidR="00A6355B" w:rsidRPr="00A6355B">
        <w:rPr>
          <w:rFonts w:ascii="Arial" w:hAnsi="Arial" w:cs="Arial"/>
          <w:b/>
          <w:szCs w:val="24"/>
        </w:rPr>
        <w:t>Medtronic Australasia</w:t>
      </w:r>
      <w:r w:rsidR="00A6355B" w:rsidRPr="00F715D1">
        <w:rPr>
          <w:rFonts w:ascii="Arial" w:hAnsi="Arial" w:cs="Arial"/>
          <w:b/>
          <w:szCs w:val="24"/>
        </w:rPr>
        <w:t xml:space="preserve"> </w:t>
      </w:r>
    </w:p>
    <w:p w14:paraId="366A9EE3" w14:textId="77777777" w:rsidR="00BC1364" w:rsidRPr="00F715D1" w:rsidRDefault="00BC1364" w:rsidP="00F443A8">
      <w:pPr>
        <w:spacing w:after="240"/>
        <w:ind w:left="3600" w:hanging="360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A822AF">
        <w:rPr>
          <w:rFonts w:ascii="Arial" w:hAnsi="Arial" w:cs="Arial"/>
          <w:b/>
          <w:szCs w:val="24"/>
        </w:rPr>
        <w:t>8</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A822AF">
        <w:rPr>
          <w:rFonts w:ascii="Arial" w:hAnsi="Arial" w:cs="Arial"/>
          <w:b/>
          <w:szCs w:val="24"/>
        </w:rPr>
        <w:t>24</w:t>
      </w:r>
      <w:r w:rsidR="00B35595" w:rsidRPr="00F715D1">
        <w:rPr>
          <w:rFonts w:ascii="Arial" w:hAnsi="Arial" w:cs="Arial"/>
          <w:b/>
          <w:szCs w:val="24"/>
        </w:rPr>
        <w:t>-</w:t>
      </w:r>
      <w:r w:rsidR="00A822AF">
        <w:rPr>
          <w:rFonts w:ascii="Arial" w:hAnsi="Arial" w:cs="Arial"/>
          <w:b/>
          <w:szCs w:val="24"/>
        </w:rPr>
        <w:t>25 November</w:t>
      </w:r>
      <w:r w:rsidR="00EB6B6F" w:rsidRPr="00F715D1">
        <w:rPr>
          <w:rFonts w:ascii="Arial" w:hAnsi="Arial" w:cs="Arial"/>
          <w:b/>
          <w:szCs w:val="24"/>
        </w:rPr>
        <w:t xml:space="preserve"> 2016</w:t>
      </w:r>
    </w:p>
    <w:p w14:paraId="335E40B5" w14:textId="77777777" w:rsidR="00F715D1" w:rsidRDefault="006A0D97" w:rsidP="00F715D1">
      <w:pPr>
        <w:spacing w:after="240"/>
        <w:rPr>
          <w:rStyle w:val="Hyperlink"/>
          <w:szCs w:val="24"/>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history="1">
        <w:r w:rsidR="00F715D1" w:rsidRPr="00F715D1">
          <w:rPr>
            <w:rStyle w:val="Hyperlink"/>
            <w:szCs w:val="24"/>
          </w:rPr>
          <w:t>visit the MSAC website</w:t>
        </w:r>
      </w:hyperlink>
      <w:r w:rsidR="00A822AF">
        <w:rPr>
          <w:rStyle w:val="Hyperlink"/>
          <w:szCs w:val="24"/>
        </w:rPr>
        <w:t xml:space="preserve"> </w:t>
      </w:r>
    </w:p>
    <w:p w14:paraId="1243E95E" w14:textId="77777777" w:rsidR="003D7F29" w:rsidRPr="00F715D1" w:rsidRDefault="003D7F29" w:rsidP="00F715D1">
      <w:pPr>
        <w:pStyle w:val="Heading1"/>
      </w:pPr>
      <w:bookmarkStart w:id="0" w:name="_GoBack"/>
      <w:bookmarkEnd w:id="0"/>
      <w:r w:rsidRPr="00F715D1">
        <w:t>Purpose of application</w:t>
      </w:r>
      <w:r w:rsidR="00822C7E" w:rsidRPr="00F715D1">
        <w:t xml:space="preserve"> and links to other applications</w:t>
      </w:r>
    </w:p>
    <w:p w14:paraId="525C7764" w14:textId="77777777" w:rsidR="009A49DD" w:rsidRPr="001D6B40" w:rsidRDefault="00405FE3" w:rsidP="001D6B40">
      <w:pPr>
        <w:tabs>
          <w:tab w:val="left" w:pos="0"/>
          <w:tab w:val="left" w:pos="1140"/>
        </w:tabs>
        <w:rPr>
          <w:szCs w:val="24"/>
        </w:rPr>
      </w:pPr>
      <w:r>
        <w:rPr>
          <w:color w:val="000000"/>
          <w:szCs w:val="24"/>
        </w:rPr>
        <w:t>An application requesting</w:t>
      </w:r>
      <w:r w:rsidR="00733938">
        <w:rPr>
          <w:color w:val="000000"/>
          <w:szCs w:val="24"/>
        </w:rPr>
        <w:t xml:space="preserve"> </w:t>
      </w:r>
      <w:r w:rsidR="001D6B40">
        <w:rPr>
          <w:color w:val="000000"/>
          <w:szCs w:val="24"/>
        </w:rPr>
        <w:t xml:space="preserve">a new </w:t>
      </w:r>
      <w:r w:rsidR="00733938">
        <w:rPr>
          <w:color w:val="000000"/>
          <w:szCs w:val="24"/>
        </w:rPr>
        <w:t>Medical Benefit</w:t>
      </w:r>
      <w:r>
        <w:rPr>
          <w:color w:val="000000"/>
          <w:szCs w:val="24"/>
        </w:rPr>
        <w:t>s</w:t>
      </w:r>
      <w:r w:rsidR="00733938">
        <w:rPr>
          <w:color w:val="000000"/>
          <w:szCs w:val="24"/>
        </w:rPr>
        <w:t xml:space="preserve"> Schedule (MBS) listing of</w:t>
      </w:r>
      <w:r w:rsidR="009A49DD" w:rsidRPr="007B7C25">
        <w:rPr>
          <w:color w:val="000000"/>
          <w:szCs w:val="24"/>
        </w:rPr>
        <w:t xml:space="preserve"> </w:t>
      </w:r>
      <w:r w:rsidR="009A49DD" w:rsidRPr="007B7C25">
        <w:rPr>
          <w:szCs w:val="24"/>
        </w:rPr>
        <w:t>mechanical thrombectomy (MT) to treat acute ischaemic stroke (AIS) due to a</w:t>
      </w:r>
      <w:r w:rsidR="00733938">
        <w:rPr>
          <w:szCs w:val="24"/>
        </w:rPr>
        <w:t xml:space="preserve"> large vessel occlusion (LVO)</w:t>
      </w:r>
      <w:r>
        <w:rPr>
          <w:szCs w:val="24"/>
        </w:rPr>
        <w:t xml:space="preserve"> was received from Medtronic Australasia by the Department of Health</w:t>
      </w:r>
      <w:r w:rsidR="00733938">
        <w:rPr>
          <w:szCs w:val="24"/>
        </w:rPr>
        <w:t>.</w:t>
      </w:r>
    </w:p>
    <w:p w14:paraId="405D12AB" w14:textId="77777777" w:rsidR="00E977EE" w:rsidRPr="00F715D1" w:rsidRDefault="00E977EE" w:rsidP="00F715D1">
      <w:pPr>
        <w:pStyle w:val="Heading1"/>
      </w:pPr>
      <w:r w:rsidRPr="00F715D1">
        <w:t>MSAC’s advice to the Minister</w:t>
      </w:r>
    </w:p>
    <w:p w14:paraId="4DA1EDB5" w14:textId="77777777" w:rsidR="00405FE3" w:rsidRPr="00F479CC" w:rsidRDefault="00405FE3" w:rsidP="00405FE3">
      <w:pPr>
        <w:rPr>
          <w:rFonts w:cs="Arial"/>
        </w:rPr>
      </w:pPr>
      <w:r>
        <w:rPr>
          <w:rFonts w:cs="Arial"/>
        </w:rPr>
        <w:t xml:space="preserve">After considering the evidence presented in relation to safety, clinical effectiveness and cost-effectiveness, </w:t>
      </w:r>
      <w:r w:rsidRPr="003F1766">
        <w:rPr>
          <w:rFonts w:cs="Arial"/>
        </w:rPr>
        <w:t>MSAC supported MBS funding of MT for acute ischaemic stroke rela</w:t>
      </w:r>
      <w:r>
        <w:rPr>
          <w:rFonts w:cs="Arial"/>
        </w:rPr>
        <w:t>ted to a large vessel occlusion.</w:t>
      </w:r>
      <w:r w:rsidRPr="003F1766">
        <w:rPr>
          <w:rFonts w:cs="Arial"/>
        </w:rPr>
        <w:t xml:space="preserve"> MSAC</w:t>
      </w:r>
      <w:r>
        <w:rPr>
          <w:rFonts w:cs="Arial"/>
        </w:rPr>
        <w:t xml:space="preserve"> agreed that when added to usual care (</w:t>
      </w:r>
      <w:r>
        <w:t xml:space="preserve">intravenous thrombolysis or </w:t>
      </w:r>
      <w:r>
        <w:rPr>
          <w:rFonts w:cs="Arial"/>
        </w:rPr>
        <w:t>best supportive care for patients ineligible for intravenous thrombolysis), MT had superior clinical effectiveness and acceptable safety and cost-effectiveness.</w:t>
      </w:r>
      <w:r w:rsidRPr="00B02420">
        <w:rPr>
          <w:rFonts w:cs="Arial"/>
        </w:rPr>
        <w:t xml:space="preserve"> </w:t>
      </w:r>
    </w:p>
    <w:p w14:paraId="58290C73" w14:textId="77777777" w:rsidR="00405FE3" w:rsidRPr="00F34DD3" w:rsidRDefault="00405FE3" w:rsidP="00405FE3">
      <w:pPr>
        <w:rPr>
          <w:rFonts w:cs="Arial"/>
        </w:rPr>
      </w:pPr>
    </w:p>
    <w:p w14:paraId="39CF6D7F" w14:textId="77777777" w:rsidR="00405FE3" w:rsidRDefault="00405FE3" w:rsidP="00405FE3">
      <w:pPr>
        <w:rPr>
          <w:rFonts w:cs="Arial"/>
        </w:rPr>
      </w:pPr>
      <w:r w:rsidRPr="00F34DD3">
        <w:rPr>
          <w:rFonts w:cs="Arial"/>
        </w:rPr>
        <w:t>MSAC advised that the MBS service should only be rendered in a comprehensive stroke centre, and that the cost of the consumable</w:t>
      </w:r>
      <w:r w:rsidR="00216A14">
        <w:rPr>
          <w:rFonts w:cs="Arial"/>
        </w:rPr>
        <w:t>s</w:t>
      </w:r>
      <w:r w:rsidRPr="00F34DD3">
        <w:rPr>
          <w:rFonts w:cs="Arial"/>
        </w:rPr>
        <w:t xml:space="preserve"> and potential out-of-pocket costs to the patient might be a barrier to use in the private sector due to a lack of definitive funding arrangements for the non-implantable medical technology used to deliver the MBS service.</w:t>
      </w:r>
    </w:p>
    <w:p w14:paraId="65A8732E" w14:textId="77777777" w:rsidR="00405FE3" w:rsidRDefault="00405FE3" w:rsidP="00405FE3">
      <w:pPr>
        <w:rPr>
          <w:rFonts w:cs="Arial"/>
        </w:rPr>
      </w:pPr>
    </w:p>
    <w:p w14:paraId="0A57A7F2" w14:textId="77777777" w:rsidR="00405FE3" w:rsidRDefault="00405FE3" w:rsidP="00405FE3">
      <w:pPr>
        <w:rPr>
          <w:rFonts w:cs="Arial"/>
        </w:rPr>
      </w:pPr>
      <w:r>
        <w:rPr>
          <w:rFonts w:cs="Arial"/>
        </w:rPr>
        <w:t xml:space="preserve">MSAC noted that MT is listed as an option that may be considered in the draft </w:t>
      </w:r>
      <w:hyperlink r:id="rId11" w:history="1">
        <w:r w:rsidRPr="00697C87">
          <w:rPr>
            <w:rStyle w:val="Hyperlink"/>
            <w:rFonts w:cs="Arial"/>
          </w:rPr>
          <w:t>Australian Clinical Guidelines for Stroke Management (2017)</w:t>
        </w:r>
      </w:hyperlink>
      <w:r>
        <w:rPr>
          <w:rFonts w:cs="Arial"/>
        </w:rPr>
        <w:t xml:space="preserve">. MSAC </w:t>
      </w:r>
      <w:r w:rsidRPr="00DB2A4E">
        <w:rPr>
          <w:rFonts w:cs="Arial"/>
        </w:rPr>
        <w:t xml:space="preserve">supported </w:t>
      </w:r>
      <w:r>
        <w:rPr>
          <w:rFonts w:cs="Arial"/>
        </w:rPr>
        <w:t xml:space="preserve">the creation of </w:t>
      </w:r>
      <w:r w:rsidRPr="00DB2A4E">
        <w:rPr>
          <w:rFonts w:cs="Arial"/>
        </w:rPr>
        <w:t xml:space="preserve">a register </w:t>
      </w:r>
      <w:r>
        <w:rPr>
          <w:rFonts w:cs="Arial"/>
        </w:rPr>
        <w:t xml:space="preserve">to monitor volumes and </w:t>
      </w:r>
      <w:r w:rsidRPr="00DB2A4E">
        <w:rPr>
          <w:rFonts w:cs="Arial"/>
        </w:rPr>
        <w:t>outcome</w:t>
      </w:r>
      <w:r>
        <w:rPr>
          <w:rFonts w:cs="Arial"/>
        </w:rPr>
        <w:t>s</w:t>
      </w:r>
      <w:r w:rsidRPr="00DB2A4E">
        <w:rPr>
          <w:rFonts w:cs="Arial"/>
        </w:rPr>
        <w:t>.</w:t>
      </w:r>
    </w:p>
    <w:p w14:paraId="5FD2A888" w14:textId="77777777" w:rsidR="00550354" w:rsidRDefault="00550354" w:rsidP="00F715D1">
      <w:pPr>
        <w:pStyle w:val="Heading1"/>
      </w:pPr>
      <w:r w:rsidRPr="00F715D1">
        <w:t xml:space="preserve">Summary of consideration and rationale for MSAC’s advice </w:t>
      </w:r>
    </w:p>
    <w:p w14:paraId="2F985D66" w14:textId="77777777" w:rsidR="00405FE3" w:rsidRDefault="00405FE3" w:rsidP="00405FE3">
      <w:r>
        <w:t>MSAC noted that MT involves the delivery of a clot retrieval device via a catheter into the cerebral arteries to remove the</w:t>
      </w:r>
      <w:r w:rsidRPr="00B30998">
        <w:t xml:space="preserve"> obstructing clot </w:t>
      </w:r>
      <w:r>
        <w:t xml:space="preserve">and </w:t>
      </w:r>
      <w:r w:rsidRPr="00B30998">
        <w:t>restor</w:t>
      </w:r>
      <w:r>
        <w:t>e</w:t>
      </w:r>
      <w:r w:rsidRPr="00B30998">
        <w:t xml:space="preserve"> blood flow to the brain.</w:t>
      </w:r>
      <w:r>
        <w:t xml:space="preserve"> MT would be an additional therapy in patients who present within 4.5 hours of stroke onset and are eligible for intravenous thrombolysis, and an alternative therapy in patients who are ineligible for intravenous thrombolysis (usually because they have presented more than 4.5 hours after stroke onset). </w:t>
      </w:r>
    </w:p>
    <w:p w14:paraId="5B06382E" w14:textId="77777777" w:rsidR="00405FE3" w:rsidRDefault="00405FE3" w:rsidP="00405FE3">
      <w:r>
        <w:lastRenderedPageBreak/>
        <w:t>MSAC accepted that MT had a reasonable safety profile when compared to usual care (intravenous thrombolysis or medical management in patients ineligible for thrombolysis). In an individual patient meta-analysis</w:t>
      </w:r>
      <w:r w:rsidRPr="00110D88">
        <w:t xml:space="preserve"> </w:t>
      </w:r>
      <w:r>
        <w:t xml:space="preserve">combining data from five randomised controlled trials (Goyal M et al 2016; n = 1287), 90-day mortality was slightly higher in the usual care arm (18.9%) than in the MT arm </w:t>
      </w:r>
      <w:r w:rsidRPr="00110D88">
        <w:t>(15.3%) although this was not statistically significant</w:t>
      </w:r>
      <w:r>
        <w:t xml:space="preserve">. Rates of </w:t>
      </w:r>
      <w:r w:rsidRPr="00110D88">
        <w:t>symptomatic intracranial haemorrhage</w:t>
      </w:r>
      <w:r>
        <w:t xml:space="preserve"> and parenchymal haematoma were similar in both arms. </w:t>
      </w:r>
    </w:p>
    <w:p w14:paraId="18A61A9A" w14:textId="77777777" w:rsidR="00405FE3" w:rsidRDefault="00405FE3" w:rsidP="00405FE3"/>
    <w:p w14:paraId="375740EA" w14:textId="365C9873" w:rsidR="00405FE3" w:rsidRDefault="00405FE3" w:rsidP="00405FE3">
      <w:r>
        <w:t xml:space="preserve">MSAC accepted that MT was more effective than usual care. In the meta-analysis, MT significantly </w:t>
      </w:r>
      <w:r w:rsidRPr="006D1805">
        <w:t>reduced disability</w:t>
      </w:r>
      <w:r>
        <w:t xml:space="preserve"> at 90 days</w:t>
      </w:r>
      <w:r w:rsidRPr="006D1805">
        <w:t xml:space="preserve"> </w:t>
      </w:r>
      <w:r w:rsidR="00564044">
        <w:t>-</w:t>
      </w:r>
      <w:r>
        <w:t xml:space="preserve"> as </w:t>
      </w:r>
      <w:r w:rsidRPr="006D1805">
        <w:t xml:space="preserve">measured </w:t>
      </w:r>
      <w:r>
        <w:t>by at least a one point reduction in the modified Rankin Scale (</w:t>
      </w:r>
      <w:r w:rsidRPr="006D1805">
        <w:t>mRS</w:t>
      </w:r>
      <w:r>
        <w:t>)</w:t>
      </w:r>
      <w:r w:rsidRPr="006D1805">
        <w:t xml:space="preserve"> </w:t>
      </w:r>
      <w:r w:rsidR="00564044">
        <w:t>score -</w:t>
      </w:r>
      <w:r>
        <w:t xml:space="preserve"> </w:t>
      </w:r>
      <w:r w:rsidRPr="006D1805">
        <w:t>compared with usual care (</w:t>
      </w:r>
      <w:r w:rsidR="000313C8">
        <w:t xml:space="preserve">adjusted common </w:t>
      </w:r>
      <w:r w:rsidRPr="006D1805">
        <w:t>odds ratio</w:t>
      </w:r>
      <w:r>
        <w:t xml:space="preserve"> [</w:t>
      </w:r>
      <w:r w:rsidR="000313C8">
        <w:t>c</w:t>
      </w:r>
      <w:r>
        <w:t>OR]</w:t>
      </w:r>
      <w:r w:rsidRPr="006D1805">
        <w:t xml:space="preserve"> 2.</w:t>
      </w:r>
      <w:r w:rsidR="000313C8">
        <w:t>49</w:t>
      </w:r>
      <w:r w:rsidRPr="006D1805">
        <w:t>; 95% CI 1.7</w:t>
      </w:r>
      <w:r w:rsidR="000313C8">
        <w:t>6</w:t>
      </w:r>
      <w:r>
        <w:t>–</w:t>
      </w:r>
      <w:r w:rsidRPr="006D1805">
        <w:t>3.</w:t>
      </w:r>
      <w:r w:rsidR="000313C8">
        <w:t>53</w:t>
      </w:r>
      <w:r w:rsidRPr="006D1805">
        <w:t>).</w:t>
      </w:r>
      <w:r>
        <w:t xml:space="preserve"> The number needed to treat to reduce </w:t>
      </w:r>
      <w:r w:rsidRPr="00856145">
        <w:t xml:space="preserve">disability </w:t>
      </w:r>
      <w:r>
        <w:t xml:space="preserve">in one patient </w:t>
      </w:r>
      <w:r w:rsidRPr="00856145">
        <w:t>by at least one</w:t>
      </w:r>
      <w:r>
        <w:t xml:space="preserve"> point</w:t>
      </w:r>
      <w:r w:rsidRPr="00856145">
        <w:t xml:space="preserve"> on the mRS was 2·6.</w:t>
      </w:r>
      <w:r>
        <w:t xml:space="preserve"> Furthermore, the proportion of </w:t>
      </w:r>
      <w:r w:rsidRPr="006D1805">
        <w:t xml:space="preserve">patients </w:t>
      </w:r>
      <w:r>
        <w:t>who were functionally independent (mRS score</w:t>
      </w:r>
      <w:r w:rsidRPr="006D1805">
        <w:t xml:space="preserve"> 0</w:t>
      </w:r>
      <w:r>
        <w:t>–</w:t>
      </w:r>
      <w:r w:rsidRPr="006D1805">
        <w:t>2</w:t>
      </w:r>
      <w:r>
        <w:t>)</w:t>
      </w:r>
      <w:r w:rsidRPr="006D1805">
        <w:t xml:space="preserve"> at 90 days was </w:t>
      </w:r>
      <w:r>
        <w:t xml:space="preserve">significantly higher in the MT arm than in the usual care arm </w:t>
      </w:r>
      <w:r w:rsidRPr="006D1805">
        <w:t>(46</w:t>
      </w:r>
      <w:r>
        <w:t>.0</w:t>
      </w:r>
      <w:r w:rsidRPr="006D1805">
        <w:t>% vs. 26</w:t>
      </w:r>
      <w:r>
        <w:t>.5</w:t>
      </w:r>
      <w:r w:rsidRPr="006D1805">
        <w:t xml:space="preserve">%; </w:t>
      </w:r>
      <w:r>
        <w:t>OR</w:t>
      </w:r>
      <w:r w:rsidRPr="006D1805">
        <w:t xml:space="preserve"> 2.</w:t>
      </w:r>
      <w:r w:rsidR="000313C8">
        <w:t>35</w:t>
      </w:r>
      <w:r w:rsidRPr="006D1805">
        <w:t>; 95% CI 1.</w:t>
      </w:r>
      <w:r w:rsidR="000313C8">
        <w:t>85</w:t>
      </w:r>
      <w:r>
        <w:t>–</w:t>
      </w:r>
      <w:r w:rsidR="000313C8">
        <w:t>2.98</w:t>
      </w:r>
      <w:r w:rsidRPr="006D1805">
        <w:t>).</w:t>
      </w:r>
    </w:p>
    <w:p w14:paraId="296228FA" w14:textId="77777777" w:rsidR="00405FE3" w:rsidRDefault="00405FE3" w:rsidP="00405FE3"/>
    <w:p w14:paraId="35CABBBD" w14:textId="77777777" w:rsidR="00405FE3" w:rsidRDefault="00405FE3" w:rsidP="00405FE3">
      <w:r>
        <w:t xml:space="preserve">MSAC noted that the proposed item descriptor specified that the procedure be used within 8 hours of stroke onset or after 8 hours at the discretion of the clinician. </w:t>
      </w:r>
      <w:r w:rsidRPr="00B9606D">
        <w:t>MSAC noted that further analysis of the individual patient meta-analysis</w:t>
      </w:r>
      <w:r>
        <w:t xml:space="preserve"> had been recently published </w:t>
      </w:r>
      <w:r w:rsidRPr="00B9606D">
        <w:t>(</w:t>
      </w:r>
      <w:hyperlink r:id="rId12" w:history="1">
        <w:r w:rsidRPr="00B9606D">
          <w:rPr>
            <w:rStyle w:val="Hyperlink"/>
          </w:rPr>
          <w:t>Saver et al, JAMA. 2016;316:1279</w:t>
        </w:r>
        <w:r>
          <w:rPr>
            <w:rStyle w:val="Hyperlink"/>
          </w:rPr>
          <w:t>–</w:t>
        </w:r>
        <w:r w:rsidRPr="00B9606D">
          <w:rPr>
            <w:rStyle w:val="Hyperlink"/>
          </w:rPr>
          <w:t>88</w:t>
        </w:r>
      </w:hyperlink>
      <w:r w:rsidRPr="00B9606D">
        <w:t xml:space="preserve">). </w:t>
      </w:r>
      <w:r>
        <w:t xml:space="preserve">This </w:t>
      </w:r>
      <w:r w:rsidRPr="00B9606D">
        <w:t>indicated that MT was effective up until 7.3 hours post-stroke</w:t>
      </w:r>
      <w:r>
        <w:t>.</w:t>
      </w:r>
      <w:r w:rsidRPr="00B9606D">
        <w:t xml:space="preserve"> MSAC noted that this did not preclude benefit in </w:t>
      </w:r>
      <w:r>
        <w:t xml:space="preserve">some </w:t>
      </w:r>
      <w:r w:rsidRPr="00B9606D">
        <w:t xml:space="preserve">individuals after this period </w:t>
      </w:r>
      <w:r>
        <w:t xml:space="preserve">and suggested that there should be clinical discretion to use MT if imaging indicated there was salvageable brain tissue after this period. </w:t>
      </w:r>
    </w:p>
    <w:p w14:paraId="3D910EFD" w14:textId="77777777" w:rsidR="00405FE3" w:rsidRDefault="00405FE3" w:rsidP="00405FE3"/>
    <w:p w14:paraId="00F8C4C6" w14:textId="4CB00F4A" w:rsidR="00405FE3" w:rsidRPr="007E760C" w:rsidRDefault="00405FE3" w:rsidP="00405FE3">
      <w:pPr>
        <w:rPr>
          <w:rFonts w:cs="Arial"/>
          <w:highlight w:val="yellow"/>
        </w:rPr>
      </w:pPr>
      <w:r w:rsidRPr="00E70D23">
        <w:rPr>
          <w:rFonts w:cs="Arial"/>
        </w:rPr>
        <w:t xml:space="preserve">MSAC accepted that </w:t>
      </w:r>
      <w:r>
        <w:rPr>
          <w:rFonts w:cs="Arial"/>
        </w:rPr>
        <w:t>MT w</w:t>
      </w:r>
      <w:r w:rsidRPr="00E70D23">
        <w:rPr>
          <w:rFonts w:cs="Arial"/>
        </w:rPr>
        <w:t>as cost</w:t>
      </w:r>
      <w:r>
        <w:rPr>
          <w:rFonts w:cs="Arial"/>
        </w:rPr>
        <w:t>-</w:t>
      </w:r>
      <w:r w:rsidRPr="00E70D23">
        <w:rPr>
          <w:rFonts w:cs="Arial"/>
        </w:rPr>
        <w:t xml:space="preserve">effective when compared </w:t>
      </w:r>
      <w:r w:rsidR="00AD5BCA">
        <w:rPr>
          <w:rFonts w:cs="Arial"/>
        </w:rPr>
        <w:t xml:space="preserve">with </w:t>
      </w:r>
      <w:r>
        <w:rPr>
          <w:rFonts w:cs="Arial"/>
        </w:rPr>
        <w:t>usual care</w:t>
      </w:r>
      <w:r w:rsidRPr="00E70D23">
        <w:rPr>
          <w:rFonts w:cs="Arial"/>
        </w:rPr>
        <w:t xml:space="preserve">. </w:t>
      </w:r>
      <w:r>
        <w:rPr>
          <w:rFonts w:cs="Arial"/>
        </w:rPr>
        <w:t xml:space="preserve">Modelling conducted using data from Goyal M et al (2016) over a lifetime indicated that using MT </w:t>
      </w:r>
      <w:r w:rsidRPr="00A018AB">
        <w:rPr>
          <w:rFonts w:cs="Arial"/>
        </w:rPr>
        <w:t>would incur an average cost of $</w:t>
      </w:r>
      <w:r>
        <w:rPr>
          <w:rFonts w:cs="Arial"/>
        </w:rPr>
        <w:t>101,977</w:t>
      </w:r>
      <w:r w:rsidRPr="00A018AB">
        <w:rPr>
          <w:rFonts w:cs="Arial"/>
        </w:rPr>
        <w:t xml:space="preserve"> and </w:t>
      </w:r>
      <w:r>
        <w:rPr>
          <w:rFonts w:cs="Arial"/>
        </w:rPr>
        <w:t xml:space="preserve">lead to a </w:t>
      </w:r>
      <w:r w:rsidRPr="00A018AB">
        <w:rPr>
          <w:rFonts w:cs="Arial"/>
        </w:rPr>
        <w:t xml:space="preserve">gain </w:t>
      </w:r>
      <w:r>
        <w:rPr>
          <w:rFonts w:cs="Arial"/>
        </w:rPr>
        <w:t>of 2.72</w:t>
      </w:r>
      <w:r w:rsidRPr="00A018AB">
        <w:rPr>
          <w:rFonts w:cs="Arial"/>
        </w:rPr>
        <w:t xml:space="preserve"> QALYs compared with $</w:t>
      </w:r>
      <w:r>
        <w:rPr>
          <w:rFonts w:cs="Arial"/>
        </w:rPr>
        <w:t>91,311</w:t>
      </w:r>
      <w:r w:rsidRPr="00A018AB">
        <w:rPr>
          <w:rFonts w:cs="Arial"/>
        </w:rPr>
        <w:t xml:space="preserve"> and </w:t>
      </w:r>
      <w:r>
        <w:rPr>
          <w:rFonts w:cs="Arial"/>
        </w:rPr>
        <w:t xml:space="preserve">1.89 </w:t>
      </w:r>
      <w:r w:rsidRPr="00A018AB">
        <w:rPr>
          <w:rFonts w:cs="Arial"/>
        </w:rPr>
        <w:t xml:space="preserve">QALYs for </w:t>
      </w:r>
      <w:r>
        <w:rPr>
          <w:rFonts w:cs="Arial"/>
        </w:rPr>
        <w:t>usual care,</w:t>
      </w:r>
      <w:r w:rsidRPr="00A018AB">
        <w:rPr>
          <w:rFonts w:cs="Arial"/>
        </w:rPr>
        <w:t xml:space="preserve"> resulting in an ICER of $</w:t>
      </w:r>
      <w:r>
        <w:rPr>
          <w:rFonts w:cs="Arial"/>
        </w:rPr>
        <w:t>12,880</w:t>
      </w:r>
      <w:r w:rsidRPr="00A018AB">
        <w:rPr>
          <w:rFonts w:cs="Arial"/>
        </w:rPr>
        <w:t xml:space="preserve"> per QALY</w:t>
      </w:r>
      <w:r>
        <w:rPr>
          <w:rFonts w:cs="Arial"/>
        </w:rPr>
        <w:t>. MSAC considered the lifetime horizon to be excessive but noted that the procedure remained acceptably cost-effective when the time horizon was reduced to five years (ICER of ~ $43,000 per QALY). In sensitivity analyses conducted on the base case model using the lifetime horizon, cost-effectiveness remained acceptable even with changes in utility values, procedure costs, costs associated with acute/mid-term or long-term management and rates of recurrent stroke.</w:t>
      </w:r>
    </w:p>
    <w:p w14:paraId="62A190A2" w14:textId="77777777" w:rsidR="00405FE3" w:rsidRDefault="00405FE3" w:rsidP="00405FE3">
      <w:pPr>
        <w:rPr>
          <w:rFonts w:cs="Arial"/>
        </w:rPr>
      </w:pPr>
    </w:p>
    <w:p w14:paraId="6B36733D" w14:textId="77777777" w:rsidR="00405FE3" w:rsidRDefault="00405FE3" w:rsidP="00405FE3">
      <w:r>
        <w:t xml:space="preserve">MSAC noted that recent health technology assessments estimated that 5–10% of patients with an ischaemic stroke could be eligible for MT (Health Quality Ontario </w:t>
      </w:r>
      <w:r w:rsidRPr="00D85E09">
        <w:t>2016</w:t>
      </w:r>
      <w:r>
        <w:t>; Queensland Department of Health 2015). The 2015 National Stroke Audit reported that there were just under 27,000 strokes in Australia over the year (</w:t>
      </w:r>
      <w:r w:rsidRPr="004C60F6">
        <w:t>National Stroke Foundation 2015</w:t>
      </w:r>
      <w:r>
        <w:t>), suggesting that a maximum of 2,700 patients could be eligible for MT. However, MSAC accepted that it was likely that there would be a limited number of comprehensive stroke centres that could carry out the procedure and this in turn would limit the number of procedures done every year.</w:t>
      </w:r>
    </w:p>
    <w:p w14:paraId="22EFCF0B" w14:textId="77777777" w:rsidR="00405FE3" w:rsidRDefault="00405FE3" w:rsidP="00405FE3"/>
    <w:p w14:paraId="7921D0C1" w14:textId="3F059E30" w:rsidR="00F909E3" w:rsidRPr="007F5279" w:rsidRDefault="00F909E3" w:rsidP="00F909E3">
      <w:r>
        <w:rPr>
          <w:szCs w:val="24"/>
        </w:rPr>
        <w:t>MSAC</w:t>
      </w:r>
      <w:r w:rsidRPr="007B7C25">
        <w:rPr>
          <w:szCs w:val="24"/>
        </w:rPr>
        <w:t xml:space="preserve"> </w:t>
      </w:r>
      <w:r w:rsidR="00F1284C">
        <w:rPr>
          <w:szCs w:val="24"/>
        </w:rPr>
        <w:t>agreed with ESC</w:t>
      </w:r>
      <w:r w:rsidRPr="007B7C25">
        <w:rPr>
          <w:szCs w:val="24"/>
        </w:rPr>
        <w:t xml:space="preserve"> that </w:t>
      </w:r>
      <w:r>
        <w:rPr>
          <w:szCs w:val="24"/>
        </w:rPr>
        <w:t xml:space="preserve">the proposed MBS </w:t>
      </w:r>
      <w:r w:rsidR="007F5279">
        <w:rPr>
          <w:szCs w:val="24"/>
        </w:rPr>
        <w:t xml:space="preserve">item </w:t>
      </w:r>
      <w:r>
        <w:rPr>
          <w:szCs w:val="24"/>
        </w:rPr>
        <w:t xml:space="preserve">fee for </w:t>
      </w:r>
      <w:r w:rsidRPr="007B7C25">
        <w:rPr>
          <w:szCs w:val="24"/>
        </w:rPr>
        <w:t xml:space="preserve">MT </w:t>
      </w:r>
      <w:r w:rsidR="00F1284C">
        <w:rPr>
          <w:szCs w:val="24"/>
        </w:rPr>
        <w:t>i</w:t>
      </w:r>
      <w:r>
        <w:rPr>
          <w:szCs w:val="24"/>
        </w:rPr>
        <w:t>s</w:t>
      </w:r>
      <w:r w:rsidRPr="007B7C25">
        <w:rPr>
          <w:szCs w:val="24"/>
        </w:rPr>
        <w:t xml:space="preserve"> relatively high compared to other similar procedures</w:t>
      </w:r>
      <w:r>
        <w:rPr>
          <w:szCs w:val="24"/>
        </w:rPr>
        <w:t>, e.g. carotid endarterectomy ($3500 vs $1200)</w:t>
      </w:r>
      <w:r w:rsidR="00F1284C">
        <w:rPr>
          <w:szCs w:val="24"/>
        </w:rPr>
        <w:t xml:space="preserve"> and </w:t>
      </w:r>
      <w:r w:rsidR="007F5279">
        <w:t>considered better justification of the proposed fee should be provided prior to implementation.</w:t>
      </w:r>
    </w:p>
    <w:p w14:paraId="0A36F356" w14:textId="77777777" w:rsidR="00F909E3" w:rsidRDefault="00F909E3" w:rsidP="00405FE3"/>
    <w:p w14:paraId="64E6916A" w14:textId="7E671CF6" w:rsidR="00405FE3" w:rsidRDefault="00405FE3" w:rsidP="00405FE3">
      <w:pPr>
        <w:rPr>
          <w:rFonts w:cs="Arial"/>
        </w:rPr>
      </w:pPr>
      <w:r>
        <w:t xml:space="preserve">MSAC noted that the applicant assumed that there would be ten Australian private centres equipped to provide MT within 5 years, treating an average of 15 patients per year. </w:t>
      </w:r>
      <w:r>
        <w:rPr>
          <w:rFonts w:cs="Arial"/>
        </w:rPr>
        <w:t xml:space="preserve">Under these assumptions, </w:t>
      </w:r>
      <w:r w:rsidRPr="00DB2A4E">
        <w:rPr>
          <w:rFonts w:cs="Arial"/>
        </w:rPr>
        <w:t>th</w:t>
      </w:r>
      <w:r>
        <w:rPr>
          <w:rFonts w:cs="Arial"/>
        </w:rPr>
        <w:t>e</w:t>
      </w:r>
      <w:r w:rsidRPr="00DB2A4E">
        <w:rPr>
          <w:rFonts w:cs="Arial"/>
        </w:rPr>
        <w:t xml:space="preserve"> net cost to the MBS for </w:t>
      </w:r>
      <w:r>
        <w:rPr>
          <w:rFonts w:cs="Arial"/>
        </w:rPr>
        <w:t>MT</w:t>
      </w:r>
      <w:r w:rsidRPr="00DB2A4E">
        <w:rPr>
          <w:rFonts w:cs="Arial"/>
        </w:rPr>
        <w:t xml:space="preserve"> would be approximately $</w:t>
      </w:r>
      <w:r>
        <w:rPr>
          <w:rFonts w:cs="Arial"/>
        </w:rPr>
        <w:t>2</w:t>
      </w:r>
      <w:r w:rsidRPr="00DB2A4E">
        <w:rPr>
          <w:rFonts w:cs="Arial"/>
        </w:rPr>
        <w:t xml:space="preserve"> million over five years. Costs were based upon </w:t>
      </w:r>
      <w:r>
        <w:rPr>
          <w:rFonts w:cs="Arial"/>
        </w:rPr>
        <w:t>78</w:t>
      </w:r>
      <w:r w:rsidRPr="00DB2A4E">
        <w:rPr>
          <w:rFonts w:cs="Arial"/>
        </w:rPr>
        <w:t xml:space="preserve"> procedures being undertaken at an MBS cost of </w:t>
      </w:r>
      <w:r w:rsidRPr="00DB2A4E">
        <w:rPr>
          <w:rFonts w:cs="Arial"/>
        </w:rPr>
        <w:lastRenderedPageBreak/>
        <w:t>$</w:t>
      </w:r>
      <w:r>
        <w:rPr>
          <w:rFonts w:cs="Arial"/>
        </w:rPr>
        <w:t>273,000</w:t>
      </w:r>
      <w:r w:rsidRPr="00DB2A4E">
        <w:rPr>
          <w:rFonts w:cs="Arial"/>
        </w:rPr>
        <w:t xml:space="preserve"> in the first year rising to </w:t>
      </w:r>
      <w:r>
        <w:rPr>
          <w:rFonts w:cs="Arial"/>
        </w:rPr>
        <w:t>150</w:t>
      </w:r>
      <w:r w:rsidRPr="00DB2A4E">
        <w:rPr>
          <w:rFonts w:cs="Arial"/>
        </w:rPr>
        <w:t xml:space="preserve"> procedures at a cost of $</w:t>
      </w:r>
      <w:r>
        <w:rPr>
          <w:rFonts w:cs="Arial"/>
        </w:rPr>
        <w:t>525,000</w:t>
      </w:r>
      <w:r w:rsidRPr="00DB2A4E">
        <w:rPr>
          <w:rFonts w:cs="Arial"/>
        </w:rPr>
        <w:t xml:space="preserve"> in year five. </w:t>
      </w:r>
      <w:r>
        <w:rPr>
          <w:rFonts w:cs="Arial"/>
        </w:rPr>
        <w:t>In sensitivity analyses:</w:t>
      </w:r>
    </w:p>
    <w:p w14:paraId="7C658717" w14:textId="77777777" w:rsidR="00405FE3" w:rsidRDefault="00405FE3" w:rsidP="00405FE3">
      <w:pPr>
        <w:pStyle w:val="ListParagraph"/>
        <w:numPr>
          <w:ilvl w:val="0"/>
          <w:numId w:val="32"/>
        </w:numPr>
        <w:rPr>
          <w:rFonts w:cs="Arial"/>
        </w:rPr>
      </w:pPr>
      <w:r>
        <w:rPr>
          <w:rFonts w:cs="Arial"/>
        </w:rPr>
        <w:t>using the 75% benefit for inpatient procedures in a private hospital reduced the MBS costs to $394,000 in year five.</w:t>
      </w:r>
    </w:p>
    <w:p w14:paraId="5DFC79A9" w14:textId="77777777" w:rsidR="00405FE3" w:rsidRDefault="00405FE3" w:rsidP="00405FE3">
      <w:pPr>
        <w:pStyle w:val="ListParagraph"/>
        <w:numPr>
          <w:ilvl w:val="0"/>
          <w:numId w:val="32"/>
        </w:numPr>
        <w:rPr>
          <w:rFonts w:cs="Arial"/>
        </w:rPr>
      </w:pPr>
      <w:r>
        <w:rPr>
          <w:rFonts w:cs="Arial"/>
        </w:rPr>
        <w:t xml:space="preserve">including costs for anaesthesia and imaging increased MBS costs in year five to </w:t>
      </w:r>
      <w:r w:rsidRPr="00DB2A4E">
        <w:rPr>
          <w:rFonts w:cs="Arial"/>
        </w:rPr>
        <w:t>$</w:t>
      </w:r>
      <w:r w:rsidRPr="00CE09E4">
        <w:rPr>
          <w:rFonts w:cs="Arial"/>
        </w:rPr>
        <w:t>77</w:t>
      </w:r>
      <w:r>
        <w:rPr>
          <w:rFonts w:cs="Arial"/>
        </w:rPr>
        <w:t>2</w:t>
      </w:r>
      <w:r w:rsidRPr="00CE09E4">
        <w:rPr>
          <w:rFonts w:cs="Arial"/>
        </w:rPr>
        <w:t>,</w:t>
      </w:r>
      <w:r>
        <w:rPr>
          <w:rFonts w:cs="Arial"/>
        </w:rPr>
        <w:t>000 ($</w:t>
      </w:r>
      <w:r w:rsidRPr="00557163">
        <w:rPr>
          <w:rFonts w:cs="Arial"/>
        </w:rPr>
        <w:t>57</w:t>
      </w:r>
      <w:r>
        <w:rPr>
          <w:rFonts w:cs="Arial"/>
        </w:rPr>
        <w:t>9</w:t>
      </w:r>
      <w:r w:rsidRPr="00557163">
        <w:rPr>
          <w:rFonts w:cs="Arial"/>
        </w:rPr>
        <w:t>,</w:t>
      </w:r>
      <w:r>
        <w:rPr>
          <w:rFonts w:cs="Arial"/>
        </w:rPr>
        <w:t>000 using the 75% benefit)</w:t>
      </w:r>
    </w:p>
    <w:p w14:paraId="39D42F6C" w14:textId="77777777" w:rsidR="00405FE3" w:rsidRDefault="00405FE3" w:rsidP="00405FE3">
      <w:pPr>
        <w:pStyle w:val="ListParagraph"/>
        <w:numPr>
          <w:ilvl w:val="0"/>
          <w:numId w:val="32"/>
        </w:numPr>
        <w:rPr>
          <w:rFonts w:cs="Arial"/>
        </w:rPr>
      </w:pPr>
      <w:r>
        <w:rPr>
          <w:rFonts w:cs="Arial"/>
        </w:rPr>
        <w:t>assuming</w:t>
      </w:r>
      <w:r w:rsidRPr="008C3111">
        <w:rPr>
          <w:rFonts w:cs="Arial"/>
        </w:rPr>
        <w:t xml:space="preserve"> 300 patients </w:t>
      </w:r>
      <w:r>
        <w:rPr>
          <w:rFonts w:cs="Arial"/>
        </w:rPr>
        <w:t xml:space="preserve">were treated in </w:t>
      </w:r>
      <w:r w:rsidRPr="008C3111">
        <w:rPr>
          <w:rFonts w:cs="Arial"/>
        </w:rPr>
        <w:t>year five</w:t>
      </w:r>
      <w:r>
        <w:rPr>
          <w:rFonts w:cs="Arial"/>
        </w:rPr>
        <w:t xml:space="preserve"> increased MBS costs in year five to </w:t>
      </w:r>
      <w:r w:rsidRPr="008C3111">
        <w:rPr>
          <w:rFonts w:cs="Arial"/>
        </w:rPr>
        <w:t xml:space="preserve">$1.05 million </w:t>
      </w:r>
      <w:r>
        <w:rPr>
          <w:rFonts w:cs="Arial"/>
        </w:rPr>
        <w:t>(</w:t>
      </w:r>
      <w:r w:rsidRPr="00557163">
        <w:rPr>
          <w:rFonts w:cs="Arial"/>
        </w:rPr>
        <w:t>$787,500</w:t>
      </w:r>
      <w:r>
        <w:rPr>
          <w:rFonts w:cs="Arial"/>
        </w:rPr>
        <w:t xml:space="preserve"> using the 75% benefit; </w:t>
      </w:r>
      <w:r w:rsidRPr="008C3111">
        <w:rPr>
          <w:rFonts w:cs="Arial"/>
        </w:rPr>
        <w:t>$1.2 million</w:t>
      </w:r>
      <w:r>
        <w:rPr>
          <w:rFonts w:cs="Arial"/>
        </w:rPr>
        <w:t xml:space="preserve"> using the 75% benefit and </w:t>
      </w:r>
      <w:r w:rsidRPr="008C3111">
        <w:rPr>
          <w:rFonts w:cs="Arial"/>
        </w:rPr>
        <w:t>including costs for anaesthesia and imaging)</w:t>
      </w:r>
    </w:p>
    <w:p w14:paraId="1C2C12B6" w14:textId="77777777" w:rsidR="00405FE3" w:rsidRDefault="00405FE3" w:rsidP="00405FE3">
      <w:pPr>
        <w:rPr>
          <w:rFonts w:cs="Arial"/>
        </w:rPr>
      </w:pPr>
    </w:p>
    <w:p w14:paraId="61D686BD" w14:textId="77777777" w:rsidR="00405FE3" w:rsidRPr="00F479CC" w:rsidRDefault="00405FE3" w:rsidP="00405FE3">
      <w:pPr>
        <w:rPr>
          <w:rFonts w:cs="Arial"/>
        </w:rPr>
      </w:pPr>
      <w:r>
        <w:rPr>
          <w:rFonts w:cs="Arial"/>
        </w:rPr>
        <w:t xml:space="preserve">MSAC noted that MT is listed as an option that may be considered in the draft </w:t>
      </w:r>
      <w:hyperlink r:id="rId13" w:history="1">
        <w:r w:rsidRPr="00697C87">
          <w:rPr>
            <w:rStyle w:val="Hyperlink"/>
            <w:rFonts w:cs="Arial"/>
          </w:rPr>
          <w:t>Australian Clinical Guidelines for Stroke Management (2017)</w:t>
        </w:r>
      </w:hyperlink>
      <w:r>
        <w:rPr>
          <w:rFonts w:cs="Arial"/>
        </w:rPr>
        <w:t>.</w:t>
      </w:r>
    </w:p>
    <w:p w14:paraId="7DFBEA75" w14:textId="77777777" w:rsidR="00405FE3" w:rsidRPr="00DB2A4E" w:rsidRDefault="00405FE3" w:rsidP="00405FE3">
      <w:pPr>
        <w:rPr>
          <w:rFonts w:cs="Arial"/>
        </w:rPr>
      </w:pPr>
    </w:p>
    <w:p w14:paraId="445E76A0" w14:textId="77777777" w:rsidR="00405FE3" w:rsidRPr="00DB2A4E" w:rsidRDefault="00405FE3" w:rsidP="00405FE3">
      <w:pPr>
        <w:rPr>
          <w:rFonts w:cs="Arial"/>
        </w:rPr>
      </w:pPr>
      <w:r w:rsidRPr="00DB2A4E">
        <w:rPr>
          <w:rFonts w:cs="Arial"/>
        </w:rPr>
        <w:t xml:space="preserve">MSAC noted </w:t>
      </w:r>
      <w:r>
        <w:rPr>
          <w:rFonts w:cs="Arial"/>
        </w:rPr>
        <w:t xml:space="preserve">that the clot retriever devices are not implanted but are removed from the body along with the clot. This means they are not eligible to be included on the </w:t>
      </w:r>
      <w:r w:rsidRPr="00DB2A4E">
        <w:rPr>
          <w:rFonts w:cs="Arial"/>
        </w:rPr>
        <w:t xml:space="preserve">Prostheses List </w:t>
      </w:r>
      <w:r>
        <w:rPr>
          <w:rFonts w:cs="Arial"/>
        </w:rPr>
        <w:t xml:space="preserve">and private health funds will not be required to cover the fees for them. </w:t>
      </w:r>
      <w:r w:rsidRPr="00DB2A4E">
        <w:rPr>
          <w:rFonts w:cs="Arial"/>
        </w:rPr>
        <w:t xml:space="preserve">MSAC expressed concern </w:t>
      </w:r>
      <w:r>
        <w:rPr>
          <w:rFonts w:cs="Arial"/>
        </w:rPr>
        <w:t xml:space="preserve">this could result in unexpected out-of-pocket expenses for patients or unacceptable delays to treatment. MSAC noted that the cost of the clot retriever should not be a barrier to treatment and </w:t>
      </w:r>
      <w:r w:rsidRPr="00DB2A4E">
        <w:rPr>
          <w:rFonts w:cs="Arial"/>
        </w:rPr>
        <w:t xml:space="preserve">suggested </w:t>
      </w:r>
      <w:r>
        <w:rPr>
          <w:rFonts w:cs="Arial"/>
        </w:rPr>
        <w:t>the department and the Prostheses List Advisory Committee (PLAC) explore ways to address this issue</w:t>
      </w:r>
      <w:r w:rsidRPr="00DB2A4E">
        <w:rPr>
          <w:rFonts w:cs="Arial"/>
        </w:rPr>
        <w:t>.</w:t>
      </w:r>
    </w:p>
    <w:p w14:paraId="76F9B628" w14:textId="77777777" w:rsidR="00405FE3" w:rsidRPr="00DB2A4E" w:rsidRDefault="00405FE3" w:rsidP="00405FE3">
      <w:pPr>
        <w:rPr>
          <w:rFonts w:cs="Arial"/>
        </w:rPr>
      </w:pPr>
    </w:p>
    <w:p w14:paraId="64CE1B28" w14:textId="0722BAB4" w:rsidR="00405FE3" w:rsidRDefault="00405FE3" w:rsidP="00405FE3">
      <w:pPr>
        <w:rPr>
          <w:rFonts w:cs="Arial"/>
        </w:rPr>
      </w:pPr>
      <w:r w:rsidRPr="00DB2A4E">
        <w:rPr>
          <w:rFonts w:cs="Arial"/>
        </w:rPr>
        <w:t xml:space="preserve">MSAC noted </w:t>
      </w:r>
      <w:r>
        <w:rPr>
          <w:rFonts w:cs="Arial"/>
        </w:rPr>
        <w:t xml:space="preserve">that centres which provide MT will need to be highly specialised and capable of providing a 24-hour, seven day a week service. Provision of MT will require standardised models of care and protocols, including accreditation of </w:t>
      </w:r>
      <w:r w:rsidRPr="00DB2A4E">
        <w:rPr>
          <w:rFonts w:cs="Arial"/>
        </w:rPr>
        <w:t>providers and facilities</w:t>
      </w:r>
      <w:r>
        <w:rPr>
          <w:rFonts w:cs="Arial"/>
        </w:rPr>
        <w:t xml:space="preserve">, to ensure adequate patient volumes and quality outcomes. MSAC noted that credentialing processes considered in other MSAC applications (e.g. </w:t>
      </w:r>
      <w:hyperlink r:id="rId14" w:history="1">
        <w:r w:rsidRPr="006928F3">
          <w:rPr>
            <w:rStyle w:val="Hyperlink"/>
            <w:rFonts w:cs="Arial"/>
          </w:rPr>
          <w:t>Application 1361.2: Transcatheter Aortic Valve Implantation</w:t>
        </w:r>
      </w:hyperlink>
      <w:r>
        <w:rPr>
          <w:rFonts w:cs="Arial"/>
        </w:rPr>
        <w:t>) could be used as a starting point. However, MSAC noted that any accreditation model for MT needs to factor in that this service is for acute ca</w:t>
      </w:r>
      <w:r w:rsidR="002550BD">
        <w:rPr>
          <w:rFonts w:cs="Arial"/>
        </w:rPr>
        <w:t>re - not an elective procedure -</w:t>
      </w:r>
      <w:r>
        <w:rPr>
          <w:rFonts w:cs="Arial"/>
        </w:rPr>
        <w:t xml:space="preserve"> and should cover ambulance, pre-hospital and in-hospital care</w:t>
      </w:r>
      <w:r w:rsidRPr="00DB2A4E">
        <w:rPr>
          <w:rFonts w:cs="Arial"/>
        </w:rPr>
        <w:t xml:space="preserve">. </w:t>
      </w:r>
      <w:r>
        <w:rPr>
          <w:rFonts w:cs="Arial"/>
        </w:rPr>
        <w:t xml:space="preserve">MSAC suggested that </w:t>
      </w:r>
      <w:r w:rsidRPr="009113A3">
        <w:rPr>
          <w:rFonts w:cs="Arial"/>
        </w:rPr>
        <w:t xml:space="preserve">consultation with </w:t>
      </w:r>
      <w:r>
        <w:rPr>
          <w:rFonts w:cs="Arial"/>
        </w:rPr>
        <w:t>the appropriate professional s</w:t>
      </w:r>
      <w:r w:rsidRPr="009113A3">
        <w:rPr>
          <w:rFonts w:cs="Arial"/>
        </w:rPr>
        <w:t>ociet</w:t>
      </w:r>
      <w:r>
        <w:rPr>
          <w:rFonts w:cs="Arial"/>
        </w:rPr>
        <w:t>ies</w:t>
      </w:r>
      <w:r w:rsidRPr="009113A3">
        <w:rPr>
          <w:rFonts w:cs="Arial"/>
        </w:rPr>
        <w:t xml:space="preserve"> </w:t>
      </w:r>
      <w:r>
        <w:rPr>
          <w:rFonts w:cs="Arial"/>
        </w:rPr>
        <w:t xml:space="preserve">would help inform the credentialing </w:t>
      </w:r>
      <w:r w:rsidRPr="009113A3">
        <w:rPr>
          <w:rFonts w:cs="Arial"/>
        </w:rPr>
        <w:t>process</w:t>
      </w:r>
      <w:r>
        <w:rPr>
          <w:rFonts w:cs="Arial"/>
        </w:rPr>
        <w:t xml:space="preserve">. </w:t>
      </w:r>
      <w:r w:rsidRPr="00DB2A4E">
        <w:rPr>
          <w:rFonts w:cs="Arial"/>
        </w:rPr>
        <w:t xml:space="preserve">MSAC supported a register </w:t>
      </w:r>
      <w:r>
        <w:rPr>
          <w:rFonts w:cs="Arial"/>
        </w:rPr>
        <w:t xml:space="preserve">to monitor volumes and </w:t>
      </w:r>
      <w:r w:rsidRPr="00DB2A4E">
        <w:rPr>
          <w:rFonts w:cs="Arial"/>
        </w:rPr>
        <w:t>outcome</w:t>
      </w:r>
      <w:r>
        <w:rPr>
          <w:rFonts w:cs="Arial"/>
        </w:rPr>
        <w:t>s</w:t>
      </w:r>
      <w:r w:rsidRPr="00DB2A4E">
        <w:rPr>
          <w:rFonts w:cs="Arial"/>
        </w:rPr>
        <w:t>.</w:t>
      </w:r>
    </w:p>
    <w:p w14:paraId="51F4CCD5" w14:textId="77777777" w:rsidR="00405FE3" w:rsidRDefault="00405FE3" w:rsidP="00405FE3">
      <w:pPr>
        <w:rPr>
          <w:rFonts w:cs="Arial"/>
          <w:highlight w:val="yellow"/>
        </w:rPr>
      </w:pPr>
    </w:p>
    <w:p w14:paraId="3762F885" w14:textId="38B36569" w:rsidR="00405FE3" w:rsidRPr="00405FE3" w:rsidRDefault="00405FE3" w:rsidP="00405FE3">
      <w:r>
        <w:t>Finally, MSAC noted that there are different types of cl</w:t>
      </w:r>
      <w:r w:rsidR="002550BD">
        <w:t>ot retriever devices available -</w:t>
      </w:r>
      <w:r>
        <w:t xml:space="preserve"> including stent retrievers, coil retrievers and aspiration devices. MSAC noted that the most recent evidence is largely related to the use of stent retrievers. MSAC decided against restricting the listing to stent retrievers as there may be clinical reasons for deciding that another type of clot retriever device is a more suitable option in individual patients.</w:t>
      </w:r>
    </w:p>
    <w:p w14:paraId="6AE4EACB" w14:textId="77777777" w:rsidR="00BC1364" w:rsidRPr="00F715D1" w:rsidRDefault="00BC1364" w:rsidP="00F715D1">
      <w:pPr>
        <w:pStyle w:val="Heading1"/>
      </w:pPr>
      <w:r w:rsidRPr="00F715D1">
        <w:t>Background</w:t>
      </w:r>
    </w:p>
    <w:p w14:paraId="6B105DD6" w14:textId="77777777" w:rsidR="007A7EF1" w:rsidRPr="007A7EF1" w:rsidRDefault="007A7EF1" w:rsidP="00F715D1">
      <w:pPr>
        <w:spacing w:after="240"/>
        <w:rPr>
          <w:szCs w:val="24"/>
        </w:rPr>
      </w:pPr>
      <w:r w:rsidRPr="007B7C25">
        <w:rPr>
          <w:szCs w:val="24"/>
        </w:rPr>
        <w:t>MSAC has not previously considered MT</w:t>
      </w:r>
      <w:r w:rsidR="00B10335">
        <w:rPr>
          <w:szCs w:val="24"/>
        </w:rPr>
        <w:t xml:space="preserve"> to treat AIS due to</w:t>
      </w:r>
      <w:r w:rsidRPr="007B7C25">
        <w:rPr>
          <w:szCs w:val="24"/>
        </w:rPr>
        <w:t xml:space="preserve"> LVO.</w:t>
      </w:r>
    </w:p>
    <w:p w14:paraId="6DECD0C0" w14:textId="77777777" w:rsidR="00BC1364" w:rsidRPr="00F715D1" w:rsidRDefault="00BC1364" w:rsidP="00F715D1">
      <w:pPr>
        <w:pStyle w:val="Heading1"/>
      </w:pPr>
      <w:r w:rsidRPr="00F715D1">
        <w:t>Prerequisites to implementation of any funding advice</w:t>
      </w:r>
    </w:p>
    <w:p w14:paraId="31115940" w14:textId="77777777" w:rsidR="007A7EF1" w:rsidRPr="007B7C25" w:rsidRDefault="00724226" w:rsidP="007A7EF1">
      <w:pPr>
        <w:rPr>
          <w:szCs w:val="24"/>
        </w:rPr>
      </w:pPr>
      <w:r>
        <w:rPr>
          <w:szCs w:val="24"/>
        </w:rPr>
        <w:t xml:space="preserve">It is proposed that </w:t>
      </w:r>
      <w:r w:rsidR="00DC27C8">
        <w:rPr>
          <w:szCs w:val="24"/>
        </w:rPr>
        <w:t>MT</w:t>
      </w:r>
      <w:r w:rsidR="007A7EF1" w:rsidRPr="007B7C25">
        <w:rPr>
          <w:szCs w:val="24"/>
        </w:rPr>
        <w:t xml:space="preserve"> </w:t>
      </w:r>
      <w:r w:rsidR="007A7EF1">
        <w:rPr>
          <w:szCs w:val="24"/>
        </w:rPr>
        <w:t xml:space="preserve">should </w:t>
      </w:r>
      <w:r>
        <w:rPr>
          <w:szCs w:val="24"/>
        </w:rPr>
        <w:t xml:space="preserve">only </w:t>
      </w:r>
      <w:r w:rsidR="007A7EF1" w:rsidRPr="007B7C25">
        <w:rPr>
          <w:szCs w:val="24"/>
        </w:rPr>
        <w:t xml:space="preserve">be provided by suitably trained and accredited operators in suitably accredited hospitals.  Consultation with relevant clinical </w:t>
      </w:r>
      <w:r w:rsidR="007A7EF1">
        <w:rPr>
          <w:szCs w:val="24"/>
        </w:rPr>
        <w:t>craft groups will be</w:t>
      </w:r>
      <w:r w:rsidR="007A7EF1" w:rsidRPr="007B7C25">
        <w:rPr>
          <w:szCs w:val="24"/>
        </w:rPr>
        <w:t xml:space="preserve"> required to determine accreditation and registry participation requirements.</w:t>
      </w:r>
    </w:p>
    <w:p w14:paraId="0199BDB4" w14:textId="77777777" w:rsidR="00BC1364" w:rsidRPr="00F715D1" w:rsidRDefault="00BC1364" w:rsidP="00F715D1">
      <w:pPr>
        <w:pStyle w:val="Heading1"/>
      </w:pPr>
      <w:r w:rsidRPr="00F715D1">
        <w:t>Proposal for public funding</w:t>
      </w:r>
    </w:p>
    <w:p w14:paraId="020F4084" w14:textId="4851B47F" w:rsidR="007A7EF1" w:rsidRPr="007B7C25" w:rsidRDefault="007A7EF1" w:rsidP="007A7EF1">
      <w:pPr>
        <w:widowControl w:val="0"/>
        <w:rPr>
          <w:szCs w:val="24"/>
        </w:rPr>
      </w:pPr>
      <w:r w:rsidRPr="007B7C25">
        <w:rPr>
          <w:szCs w:val="24"/>
        </w:rPr>
        <w:t xml:space="preserve">The proposed MBS item descriptor is </w:t>
      </w:r>
      <w:r w:rsidR="00B10335">
        <w:rPr>
          <w:szCs w:val="24"/>
        </w:rPr>
        <w:t>shown</w:t>
      </w:r>
      <w:r w:rsidRPr="007B7C25">
        <w:rPr>
          <w:szCs w:val="24"/>
        </w:rPr>
        <w:t xml:space="preserve"> in </w:t>
      </w:r>
      <w:r w:rsidR="00B10335">
        <w:rPr>
          <w:szCs w:val="24"/>
        </w:rPr>
        <w:fldChar w:fldCharType="begin"/>
      </w:r>
      <w:r w:rsidR="00B10335">
        <w:rPr>
          <w:szCs w:val="24"/>
        </w:rPr>
        <w:instrText xml:space="preserve"> REF _Ref469483731 \h  \* MERGEFORMAT </w:instrText>
      </w:r>
      <w:r w:rsidR="00B10335">
        <w:rPr>
          <w:szCs w:val="24"/>
        </w:rPr>
      </w:r>
      <w:r w:rsidR="00B10335">
        <w:rPr>
          <w:szCs w:val="24"/>
        </w:rPr>
        <w:fldChar w:fldCharType="separate"/>
      </w:r>
      <w:r w:rsidR="00507263" w:rsidRPr="000416F8">
        <w:rPr>
          <w:szCs w:val="24"/>
        </w:rPr>
        <w:t>Table 1</w:t>
      </w:r>
      <w:r w:rsidR="00B10335">
        <w:rPr>
          <w:szCs w:val="24"/>
        </w:rPr>
        <w:fldChar w:fldCharType="end"/>
      </w:r>
      <w:r w:rsidRPr="007B7C25">
        <w:rPr>
          <w:szCs w:val="24"/>
        </w:rPr>
        <w:t>.</w:t>
      </w:r>
    </w:p>
    <w:p w14:paraId="1E2ABC2F" w14:textId="77777777" w:rsidR="007A7EF1" w:rsidRPr="007B7C25" w:rsidRDefault="007A7EF1" w:rsidP="007A7EF1">
      <w:pPr>
        <w:widowControl w:val="0"/>
        <w:rPr>
          <w:szCs w:val="24"/>
        </w:rPr>
      </w:pPr>
    </w:p>
    <w:p w14:paraId="5F4D344B" w14:textId="77777777" w:rsidR="007A7EF1" w:rsidRPr="00B10335" w:rsidRDefault="00B10335" w:rsidP="00B10335">
      <w:pPr>
        <w:pStyle w:val="Caption"/>
        <w:rPr>
          <w:rFonts w:ascii="Arial" w:hAnsi="Arial"/>
        </w:rPr>
      </w:pPr>
      <w:bookmarkStart w:id="1" w:name="_Ref469483731"/>
      <w:r w:rsidRPr="00B10335">
        <w:rPr>
          <w:rFonts w:ascii="Arial" w:hAnsi="Arial"/>
        </w:rPr>
        <w:lastRenderedPageBreak/>
        <w:t xml:space="preserve">Table </w:t>
      </w:r>
      <w:r w:rsidRPr="00B10335">
        <w:rPr>
          <w:rFonts w:ascii="Arial" w:hAnsi="Arial"/>
        </w:rPr>
        <w:fldChar w:fldCharType="begin"/>
      </w:r>
      <w:r w:rsidRPr="00B10335">
        <w:rPr>
          <w:rFonts w:ascii="Arial" w:hAnsi="Arial"/>
        </w:rPr>
        <w:instrText xml:space="preserve"> SEQ Table \* ARABIC </w:instrText>
      </w:r>
      <w:r w:rsidRPr="00B10335">
        <w:rPr>
          <w:rFonts w:ascii="Arial" w:hAnsi="Arial"/>
        </w:rPr>
        <w:fldChar w:fldCharType="separate"/>
      </w:r>
      <w:r w:rsidR="00507263">
        <w:rPr>
          <w:rFonts w:ascii="Arial" w:hAnsi="Arial"/>
          <w:noProof/>
        </w:rPr>
        <w:t>1</w:t>
      </w:r>
      <w:r w:rsidRPr="00B10335">
        <w:rPr>
          <w:rFonts w:ascii="Arial" w:hAnsi="Arial"/>
        </w:rPr>
        <w:fldChar w:fldCharType="end"/>
      </w:r>
      <w:bookmarkEnd w:id="1"/>
      <w:r w:rsidRPr="00B10335">
        <w:rPr>
          <w:rFonts w:ascii="Arial" w:hAnsi="Arial"/>
          <w:noProof/>
        </w:rPr>
        <w:t>:</w:t>
      </w:r>
      <w:r w:rsidRPr="00B10335">
        <w:rPr>
          <w:rFonts w:ascii="Arial" w:hAnsi="Arial"/>
          <w:noProof/>
        </w:rPr>
        <w:tab/>
      </w:r>
      <w:r w:rsidRPr="00B10335">
        <w:rPr>
          <w:rFonts w:ascii="Arial" w:hAnsi="Arial"/>
        </w:rPr>
        <w:t>Proposed MBS item descriptor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Table shows the proposed MBS item descriptor wording, fee and explanatory notes"/>
      </w:tblPr>
      <w:tblGrid>
        <w:gridCol w:w="9242"/>
      </w:tblGrid>
      <w:tr w:rsidR="007A7EF1" w:rsidRPr="00B10335" w14:paraId="2578A9F3" w14:textId="77777777" w:rsidTr="00216A14">
        <w:trPr>
          <w:cantSplit/>
        </w:trPr>
        <w:tc>
          <w:tcPr>
            <w:tcW w:w="5000" w:type="pct"/>
            <w:shd w:val="clear" w:color="auto" w:fill="D9D9D9" w:themeFill="background1" w:themeFillShade="D9"/>
          </w:tcPr>
          <w:p w14:paraId="2FDBFCA9" w14:textId="77777777" w:rsidR="007A7EF1" w:rsidRPr="00B10335" w:rsidRDefault="007A7EF1" w:rsidP="00216A14">
            <w:pPr>
              <w:pStyle w:val="Tabletext"/>
              <w:widowControl w:val="0"/>
              <w:rPr>
                <w:rFonts w:ascii="Arial" w:hAnsi="Arial" w:cs="Arial"/>
                <w:b/>
                <w:szCs w:val="20"/>
              </w:rPr>
            </w:pPr>
            <w:r w:rsidRPr="00B10335">
              <w:rPr>
                <w:rFonts w:ascii="Arial" w:hAnsi="Arial" w:cs="Arial"/>
                <w:b/>
                <w:szCs w:val="20"/>
              </w:rPr>
              <w:t>Category 3 - THERAPEUTIC PROCEDURES</w:t>
            </w:r>
          </w:p>
        </w:tc>
      </w:tr>
      <w:tr w:rsidR="007A7EF1" w:rsidRPr="00B10335" w14:paraId="76E3DA38" w14:textId="77777777" w:rsidTr="00216A14">
        <w:trPr>
          <w:cantSplit/>
        </w:trPr>
        <w:tc>
          <w:tcPr>
            <w:tcW w:w="5000" w:type="pct"/>
          </w:tcPr>
          <w:p w14:paraId="211C9EDA" w14:textId="77777777" w:rsidR="007A7EF1" w:rsidRPr="00B10335" w:rsidRDefault="007A7EF1" w:rsidP="00216A14">
            <w:pPr>
              <w:pStyle w:val="Tabletext"/>
              <w:widowControl w:val="0"/>
              <w:rPr>
                <w:rFonts w:ascii="Arial" w:hAnsi="Arial" w:cs="Arial"/>
                <w:szCs w:val="20"/>
              </w:rPr>
            </w:pPr>
            <w:r w:rsidRPr="00B10335">
              <w:rPr>
                <w:rFonts w:ascii="Arial" w:hAnsi="Arial" w:cs="Arial"/>
                <w:szCs w:val="20"/>
              </w:rPr>
              <w:t>MBS [item number]</w:t>
            </w:r>
          </w:p>
          <w:p w14:paraId="6206E749" w14:textId="77777777" w:rsidR="007A7EF1" w:rsidRPr="00B10335" w:rsidRDefault="007A7EF1" w:rsidP="00216A14">
            <w:pPr>
              <w:pStyle w:val="Tabletext"/>
              <w:widowControl w:val="0"/>
              <w:rPr>
                <w:rFonts w:ascii="Arial" w:hAnsi="Arial" w:cs="Arial"/>
                <w:szCs w:val="20"/>
                <w:vertAlign w:val="superscript"/>
              </w:rPr>
            </w:pPr>
            <w:r w:rsidRPr="00B10335">
              <w:rPr>
                <w:rFonts w:ascii="Arial" w:hAnsi="Arial" w:cs="Arial"/>
                <w:szCs w:val="20"/>
              </w:rPr>
              <w:t>Mechanical thrombectomy of patients with a confirmed diagnosis of acute ischaemic stroke caused by large vessel occlusion, of the anterior circulation; procedure to be started within 8 hours of stroke onset; including intra-operative imaging, but in association with preoperative diagnostic imaging items</w:t>
            </w:r>
            <w:r w:rsidRPr="00B10335">
              <w:rPr>
                <w:rFonts w:ascii="Arial" w:hAnsi="Arial" w:cs="Arial"/>
                <w:szCs w:val="20"/>
                <w:vertAlign w:val="superscript"/>
              </w:rPr>
              <w:t>a</w:t>
            </w:r>
          </w:p>
          <w:p w14:paraId="3DE3D068" w14:textId="77777777" w:rsidR="007A7EF1" w:rsidRPr="00B10335" w:rsidRDefault="007A7EF1" w:rsidP="00216A14">
            <w:pPr>
              <w:pStyle w:val="Tabletext"/>
              <w:widowControl w:val="0"/>
              <w:rPr>
                <w:rFonts w:ascii="Arial" w:hAnsi="Arial" w:cs="Arial"/>
                <w:szCs w:val="20"/>
              </w:rPr>
            </w:pPr>
            <w:r w:rsidRPr="00B10335">
              <w:rPr>
                <w:rFonts w:ascii="Arial" w:hAnsi="Arial" w:cs="Arial"/>
                <w:szCs w:val="20"/>
              </w:rPr>
              <w:t>- either 56001 or 63064</w:t>
            </w:r>
          </w:p>
          <w:p w14:paraId="67BF0D68" w14:textId="77777777" w:rsidR="007A7EF1" w:rsidRPr="00B10335" w:rsidRDefault="007A7EF1" w:rsidP="00216A14">
            <w:pPr>
              <w:pStyle w:val="Tabletext"/>
              <w:widowControl w:val="0"/>
              <w:rPr>
                <w:rFonts w:ascii="Arial" w:hAnsi="Arial" w:cs="Arial"/>
                <w:szCs w:val="20"/>
              </w:rPr>
            </w:pPr>
            <w:r w:rsidRPr="00B10335">
              <w:rPr>
                <w:rFonts w:ascii="Arial" w:hAnsi="Arial" w:cs="Arial"/>
                <w:szCs w:val="20"/>
              </w:rPr>
              <w:t>Fee: $3,500</w:t>
            </w:r>
          </w:p>
          <w:p w14:paraId="277230A4" w14:textId="77777777" w:rsidR="007A7EF1" w:rsidRPr="00B10335" w:rsidRDefault="007A7EF1" w:rsidP="00216A14">
            <w:pPr>
              <w:pStyle w:val="Tabletext"/>
              <w:widowControl w:val="0"/>
              <w:rPr>
                <w:rFonts w:ascii="Arial" w:hAnsi="Arial" w:cs="Arial"/>
                <w:szCs w:val="20"/>
              </w:rPr>
            </w:pPr>
            <w:r w:rsidRPr="00B10335">
              <w:rPr>
                <w:rFonts w:ascii="Arial" w:hAnsi="Arial" w:cs="Arial"/>
                <w:szCs w:val="20"/>
              </w:rPr>
              <w:t>(Anaes.) (Assist.)</w:t>
            </w:r>
          </w:p>
          <w:p w14:paraId="62C0BF98" w14:textId="77777777" w:rsidR="007A7EF1" w:rsidRPr="00B10335" w:rsidRDefault="007A7EF1" w:rsidP="00216A14">
            <w:pPr>
              <w:pStyle w:val="Tabletext"/>
              <w:widowControl w:val="0"/>
              <w:rPr>
                <w:rFonts w:ascii="Arial" w:hAnsi="Arial" w:cs="Arial"/>
                <w:szCs w:val="20"/>
              </w:rPr>
            </w:pPr>
          </w:p>
          <w:p w14:paraId="17831704" w14:textId="77777777" w:rsidR="007A7EF1" w:rsidRPr="00B10335" w:rsidRDefault="007A7EF1" w:rsidP="00216A14">
            <w:pPr>
              <w:pStyle w:val="Tabletext"/>
              <w:widowControl w:val="0"/>
              <w:rPr>
                <w:rFonts w:ascii="Arial" w:hAnsi="Arial" w:cs="Arial"/>
                <w:szCs w:val="20"/>
              </w:rPr>
            </w:pPr>
            <w:r w:rsidRPr="00B10335">
              <w:rPr>
                <w:rFonts w:ascii="Arial" w:hAnsi="Arial" w:cs="Arial"/>
                <w:szCs w:val="20"/>
              </w:rPr>
              <w:t>Explanatory notes:</w:t>
            </w:r>
          </w:p>
          <w:p w14:paraId="1B16C467" w14:textId="77777777" w:rsidR="007A7EF1" w:rsidRPr="00B10335" w:rsidRDefault="007A7EF1" w:rsidP="00216A14">
            <w:pPr>
              <w:pStyle w:val="Tabletext"/>
              <w:widowControl w:val="0"/>
              <w:rPr>
                <w:rFonts w:ascii="Arial" w:hAnsi="Arial" w:cs="Arial"/>
                <w:szCs w:val="20"/>
              </w:rPr>
            </w:pPr>
            <w:r w:rsidRPr="00B10335">
              <w:rPr>
                <w:rFonts w:ascii="Arial" w:hAnsi="Arial" w:cs="Arial"/>
                <w:szCs w:val="20"/>
              </w:rPr>
              <w:t>•</w:t>
            </w:r>
            <w:r w:rsidRPr="00B10335">
              <w:rPr>
                <w:rFonts w:ascii="Arial" w:hAnsi="Arial" w:cs="Arial"/>
                <w:szCs w:val="20"/>
              </w:rPr>
              <w:tab/>
              <w:t>Diagnosis confirmed by imaging: ischaemic stroke with large vessel occlusion on CTA or MRI</w:t>
            </w:r>
          </w:p>
          <w:p w14:paraId="537975FD" w14:textId="77777777" w:rsidR="007A7EF1" w:rsidRPr="00B10335" w:rsidRDefault="007A7EF1" w:rsidP="00216A14">
            <w:pPr>
              <w:pStyle w:val="Tabletext"/>
              <w:widowControl w:val="0"/>
              <w:rPr>
                <w:rFonts w:ascii="Arial" w:hAnsi="Arial" w:cs="Arial"/>
                <w:szCs w:val="20"/>
              </w:rPr>
            </w:pPr>
            <w:r w:rsidRPr="00B10335">
              <w:rPr>
                <w:rFonts w:ascii="Arial" w:hAnsi="Arial" w:cs="Arial"/>
                <w:szCs w:val="20"/>
              </w:rPr>
              <w:t>•</w:t>
            </w:r>
            <w:r w:rsidRPr="00B10335">
              <w:rPr>
                <w:rFonts w:ascii="Arial" w:hAnsi="Arial" w:cs="Arial"/>
                <w:szCs w:val="20"/>
              </w:rPr>
              <w:tab/>
              <w:t>Patients selected for treatment according to acute stroke management guidelines.</w:t>
            </w:r>
          </w:p>
          <w:p w14:paraId="75B04B31" w14:textId="77777777" w:rsidR="007A7EF1" w:rsidRPr="00B10335" w:rsidRDefault="007A7EF1" w:rsidP="00216A14">
            <w:pPr>
              <w:pStyle w:val="Tabletext"/>
              <w:widowControl w:val="0"/>
              <w:rPr>
                <w:rFonts w:ascii="Arial" w:hAnsi="Arial" w:cs="Arial"/>
                <w:szCs w:val="20"/>
              </w:rPr>
            </w:pPr>
            <w:r w:rsidRPr="00B10335">
              <w:rPr>
                <w:rFonts w:ascii="Arial" w:hAnsi="Arial" w:cs="Arial"/>
                <w:szCs w:val="20"/>
              </w:rPr>
              <w:t>•</w:t>
            </w:r>
            <w:r w:rsidRPr="00B10335">
              <w:rPr>
                <w:rFonts w:ascii="Arial" w:hAnsi="Arial" w:cs="Arial"/>
                <w:szCs w:val="20"/>
              </w:rPr>
              <w:tab/>
              <w:t xml:space="preserve">Clinician discretion for procedure use in selected patients beyond 8 hours of stroke onset, where clinical </w:t>
            </w:r>
            <w:r w:rsidRPr="00B10335">
              <w:rPr>
                <w:rFonts w:ascii="Arial" w:hAnsi="Arial" w:cs="Arial"/>
                <w:szCs w:val="20"/>
              </w:rPr>
              <w:tab/>
              <w:t>assessment indicates patient is likely to benefit from treatment (salvageable brain tissue identified on imaging).</w:t>
            </w:r>
          </w:p>
          <w:p w14:paraId="0741804E" w14:textId="77777777" w:rsidR="007A7EF1" w:rsidRPr="00B10335" w:rsidRDefault="007A7EF1" w:rsidP="00216A14">
            <w:pPr>
              <w:pStyle w:val="Tabletext"/>
              <w:widowControl w:val="0"/>
              <w:rPr>
                <w:rFonts w:ascii="Arial" w:hAnsi="Arial" w:cs="Arial"/>
                <w:szCs w:val="20"/>
              </w:rPr>
            </w:pPr>
            <w:r w:rsidRPr="00B10335">
              <w:rPr>
                <w:rFonts w:ascii="Arial" w:hAnsi="Arial" w:cs="Arial"/>
                <w:szCs w:val="20"/>
              </w:rPr>
              <w:t>•</w:t>
            </w:r>
            <w:r w:rsidRPr="00B10335">
              <w:rPr>
                <w:rFonts w:ascii="Arial" w:hAnsi="Arial" w:cs="Arial"/>
                <w:szCs w:val="20"/>
              </w:rPr>
              <w:tab/>
              <w:t>Service to be provided by suitably trained and accredited operators in suitably accredited hospitals [requirements TBD]. This should include contribution to systematic registry data for audit purposes [requirements TBD].</w:t>
            </w:r>
          </w:p>
        </w:tc>
      </w:tr>
    </w:tbl>
    <w:p w14:paraId="72EBB0C4" w14:textId="77777777" w:rsidR="00D732E5" w:rsidRPr="002550BD" w:rsidRDefault="00D732E5" w:rsidP="00D732E5">
      <w:pPr>
        <w:pStyle w:val="Tablefootnote"/>
        <w:spacing w:before="0" w:after="0"/>
        <w:rPr>
          <w:rFonts w:ascii="Calibri" w:hAnsi="Calibri" w:cs="Times New Roman"/>
          <w:sz w:val="22"/>
          <w:szCs w:val="22"/>
          <w:lang w:val="en-AU" w:eastAsia="en-US"/>
        </w:rPr>
      </w:pPr>
      <w:r w:rsidRPr="002550BD">
        <w:rPr>
          <w:vertAlign w:val="superscript"/>
          <w:lang w:val="en-AU"/>
        </w:rPr>
        <w:t>a</w:t>
      </w:r>
      <w:r w:rsidRPr="002550BD">
        <w:rPr>
          <w:lang w:val="en-AU"/>
        </w:rPr>
        <w:t>Examples of relevant CT and MRI items included.</w:t>
      </w:r>
    </w:p>
    <w:p w14:paraId="56E93448" w14:textId="77777777" w:rsidR="00D732E5" w:rsidRPr="002550BD" w:rsidRDefault="00D732E5" w:rsidP="00D732E5">
      <w:pPr>
        <w:pStyle w:val="Tablefootnote"/>
        <w:spacing w:before="0" w:after="0"/>
        <w:rPr>
          <w:lang w:val="en-AU"/>
        </w:rPr>
      </w:pPr>
      <w:r w:rsidRPr="002550BD">
        <w:rPr>
          <w:lang w:val="en-AU"/>
        </w:rPr>
        <w:t>Abbreviations: TBD, to be determined; CTA, computed tomography angiography; MRI, magnetic resonance imaging</w:t>
      </w:r>
    </w:p>
    <w:p w14:paraId="1E3784CA"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52EE0955" w14:textId="77777777" w:rsidR="007A7EF1" w:rsidRPr="007B7C25" w:rsidRDefault="00E73251" w:rsidP="007A7EF1">
      <w:pPr>
        <w:rPr>
          <w:szCs w:val="24"/>
        </w:rPr>
      </w:pPr>
      <w:r>
        <w:rPr>
          <w:szCs w:val="24"/>
        </w:rPr>
        <w:t>The PICO</w:t>
      </w:r>
      <w:r w:rsidR="007A7EF1" w:rsidRPr="007B7C25">
        <w:rPr>
          <w:szCs w:val="24"/>
        </w:rPr>
        <w:t xml:space="preserve"> Advisory Sub-Committee (PASC) received three responses from </w:t>
      </w:r>
      <w:r w:rsidR="007A7EF1" w:rsidRPr="007B7C25">
        <w:rPr>
          <w:szCs w:val="24"/>
        </w:rPr>
        <w:br/>
        <w:t xml:space="preserve">peak bodies, three responses from organisations and five responses from specialists. </w:t>
      </w:r>
    </w:p>
    <w:p w14:paraId="10E8D474" w14:textId="77777777" w:rsidR="007A7EF1" w:rsidRPr="007B7C25" w:rsidRDefault="007A7EF1" w:rsidP="007A7EF1">
      <w:pPr>
        <w:rPr>
          <w:szCs w:val="24"/>
        </w:rPr>
      </w:pPr>
      <w:r w:rsidRPr="007B7C25">
        <w:rPr>
          <w:szCs w:val="24"/>
        </w:rPr>
        <w:t>The majority of consultation feedback for the protocol was positive.   Issues raised in the responses were:</w:t>
      </w:r>
    </w:p>
    <w:p w14:paraId="4F2B200F" w14:textId="77777777" w:rsidR="007A7EF1" w:rsidRPr="007B7C25" w:rsidRDefault="007A7EF1" w:rsidP="007A7EF1">
      <w:pPr>
        <w:numPr>
          <w:ilvl w:val="0"/>
          <w:numId w:val="26"/>
        </w:numPr>
        <w:autoSpaceDE w:val="0"/>
        <w:autoSpaceDN w:val="0"/>
        <w:adjustRightInd w:val="0"/>
        <w:rPr>
          <w:color w:val="000000"/>
          <w:szCs w:val="24"/>
          <w:u w:val="single"/>
          <w:lang w:val="en-US"/>
        </w:rPr>
      </w:pPr>
      <w:r w:rsidRPr="007B7C25">
        <w:rPr>
          <w:color w:val="000000"/>
          <w:szCs w:val="24"/>
          <w:lang w:val="en-US"/>
        </w:rPr>
        <w:t xml:space="preserve">Difficulty of patient access to the medical service especially in regional areas. </w:t>
      </w:r>
    </w:p>
    <w:p w14:paraId="4479C8F3" w14:textId="77777777" w:rsidR="007A7EF1" w:rsidRPr="007B7C25" w:rsidRDefault="007A7EF1" w:rsidP="007A7EF1">
      <w:pPr>
        <w:pStyle w:val="ListParagraph"/>
        <w:numPr>
          <w:ilvl w:val="0"/>
          <w:numId w:val="26"/>
        </w:numPr>
        <w:rPr>
          <w:szCs w:val="24"/>
        </w:rPr>
      </w:pPr>
      <w:r w:rsidRPr="007B7C25">
        <w:rPr>
          <w:color w:val="000000"/>
          <w:szCs w:val="24"/>
          <w:lang w:val="en-US"/>
        </w:rPr>
        <w:t>Requirement for an accreditation process.</w:t>
      </w:r>
    </w:p>
    <w:p w14:paraId="0F1EE287" w14:textId="77777777" w:rsidR="007A7EF1" w:rsidRPr="007B7C25" w:rsidRDefault="007A7EF1" w:rsidP="007A7EF1">
      <w:pPr>
        <w:pStyle w:val="ListParagraph"/>
        <w:numPr>
          <w:ilvl w:val="0"/>
          <w:numId w:val="26"/>
        </w:numPr>
        <w:rPr>
          <w:szCs w:val="24"/>
        </w:rPr>
      </w:pPr>
      <w:r w:rsidRPr="007B7C25">
        <w:rPr>
          <w:color w:val="000000"/>
          <w:szCs w:val="24"/>
          <w:lang w:val="en-US"/>
        </w:rPr>
        <w:t>Requirement for a streamlined system for identifying appropriate patients and coordinating transport, imaging and multiple healthcare providers within the critical timeframe.</w:t>
      </w:r>
    </w:p>
    <w:p w14:paraId="2EE51D20" w14:textId="77777777" w:rsidR="007A7EF1" w:rsidRPr="007B7C25" w:rsidRDefault="007A7EF1" w:rsidP="007A7EF1">
      <w:pPr>
        <w:pStyle w:val="ListParagraph"/>
        <w:numPr>
          <w:ilvl w:val="0"/>
          <w:numId w:val="26"/>
        </w:numPr>
        <w:rPr>
          <w:szCs w:val="24"/>
        </w:rPr>
      </w:pPr>
      <w:r w:rsidRPr="007B7C25">
        <w:rPr>
          <w:color w:val="000000"/>
          <w:szCs w:val="24"/>
          <w:lang w:val="en-US"/>
        </w:rPr>
        <w:t>Recommendation for compulsory and systematic data collection.</w:t>
      </w:r>
    </w:p>
    <w:p w14:paraId="269B246D" w14:textId="77777777" w:rsidR="007A7EF1" w:rsidRPr="00724226" w:rsidRDefault="007A7EF1" w:rsidP="00724226">
      <w:pPr>
        <w:pStyle w:val="ListParagraph"/>
        <w:numPr>
          <w:ilvl w:val="0"/>
          <w:numId w:val="26"/>
        </w:numPr>
        <w:rPr>
          <w:szCs w:val="24"/>
        </w:rPr>
      </w:pPr>
      <w:r w:rsidRPr="007B7C25">
        <w:rPr>
          <w:szCs w:val="24"/>
        </w:rPr>
        <w:t>Suggestion that an MBS item number &amp; fee does not fully account for the wide range of healthcare professionals involved in the medical service.  This may result in a fragmented approach with poorer health outcomes and greater expense for the healthcare system.</w:t>
      </w:r>
    </w:p>
    <w:p w14:paraId="28D12E3C" w14:textId="77777777" w:rsidR="00BC1364" w:rsidRPr="00F715D1" w:rsidRDefault="00BC1364" w:rsidP="00F715D1">
      <w:pPr>
        <w:pStyle w:val="Heading1"/>
      </w:pPr>
      <w:r w:rsidRPr="00F715D1">
        <w:t>Proposed intervention’s place in clinical management</w:t>
      </w:r>
    </w:p>
    <w:p w14:paraId="7BE775F5" w14:textId="77777777" w:rsidR="001D6B40" w:rsidRPr="009A49DD" w:rsidRDefault="001D6B40" w:rsidP="001D6B40">
      <w:pPr>
        <w:spacing w:after="240"/>
        <w:rPr>
          <w:szCs w:val="24"/>
        </w:rPr>
      </w:pPr>
      <w:r w:rsidRPr="007B7C25">
        <w:rPr>
          <w:szCs w:val="24"/>
        </w:rPr>
        <w:t>The proposed medical service is the use of a specialised endovascular device to remove an obstructing clot from the artery, thereby restoring blood flow to the brain and minimising brain tissue damage. The devices used to perform MT include coil retrievers, aspiration devices and most recently, stent retrievers. All are delivered to occluded sites with the aid of microcatheters and guidewires, but each type of device uses a slightly different mechanical approach to remove the target clot.</w:t>
      </w:r>
      <w:r>
        <w:rPr>
          <w:szCs w:val="24"/>
        </w:rPr>
        <w:t xml:space="preserve"> This is for p</w:t>
      </w:r>
      <w:r w:rsidRPr="007B7C25">
        <w:rPr>
          <w:szCs w:val="24"/>
        </w:rPr>
        <w:t>atients with a confirmed diagnosis of an AIS caused by a LVO.</w:t>
      </w:r>
    </w:p>
    <w:p w14:paraId="79A520C0" w14:textId="4462F5B7" w:rsidR="00E50B3F" w:rsidRDefault="00373FB6" w:rsidP="00E50B3F">
      <w:pPr>
        <w:rPr>
          <w:szCs w:val="24"/>
        </w:rPr>
      </w:pPr>
      <w:r>
        <w:rPr>
          <w:szCs w:val="24"/>
        </w:rPr>
        <w:t>MT is proposed</w:t>
      </w:r>
      <w:r w:rsidR="00E50B3F" w:rsidRPr="007B7C25">
        <w:rPr>
          <w:szCs w:val="24"/>
        </w:rPr>
        <w:t xml:space="preserve"> as an additional therapy in patients who are eligible for treatment with </w:t>
      </w:r>
      <w:r w:rsidR="00E50B3F" w:rsidRPr="007B7C25">
        <w:rPr>
          <w:szCs w:val="24"/>
        </w:rPr>
        <w:br/>
        <w:t xml:space="preserve">IV tPA, and as an alternative therapy in patients for whom IV tPA is contraindicated.  </w:t>
      </w:r>
      <w:r w:rsidR="00E50B3F" w:rsidRPr="007B7C25">
        <w:rPr>
          <w:szCs w:val="24"/>
        </w:rPr>
        <w:br/>
        <w:t xml:space="preserve">The proposed clinical algorithm at </w:t>
      </w:r>
      <w:r w:rsidR="00724226">
        <w:rPr>
          <w:szCs w:val="24"/>
        </w:rPr>
        <w:fldChar w:fldCharType="begin"/>
      </w:r>
      <w:r w:rsidR="00724226">
        <w:rPr>
          <w:szCs w:val="24"/>
        </w:rPr>
        <w:instrText xml:space="preserve"> REF _Ref469486847 \h  \* MERGEFORMAT </w:instrText>
      </w:r>
      <w:r w:rsidR="00724226">
        <w:rPr>
          <w:szCs w:val="24"/>
        </w:rPr>
      </w:r>
      <w:r w:rsidR="00724226">
        <w:rPr>
          <w:szCs w:val="24"/>
        </w:rPr>
        <w:fldChar w:fldCharType="separate"/>
      </w:r>
      <w:r w:rsidR="000313C8" w:rsidRPr="000313C8">
        <w:rPr>
          <w:szCs w:val="24"/>
        </w:rPr>
        <w:t>Figure 1</w:t>
      </w:r>
      <w:r w:rsidR="00724226">
        <w:rPr>
          <w:szCs w:val="24"/>
        </w:rPr>
        <w:fldChar w:fldCharType="end"/>
      </w:r>
      <w:r w:rsidR="00E50B3F" w:rsidRPr="007B7C25">
        <w:rPr>
          <w:szCs w:val="24"/>
        </w:rPr>
        <w:t xml:space="preserve"> is consistent with recommendations from </w:t>
      </w:r>
      <w:r w:rsidR="00E50B3F" w:rsidRPr="007B7C25">
        <w:rPr>
          <w:szCs w:val="24"/>
        </w:rPr>
        <w:br/>
        <w:t>clinical practice guidelines (CPGs) and</w:t>
      </w:r>
      <w:r w:rsidR="00E50B3F">
        <w:rPr>
          <w:szCs w:val="24"/>
        </w:rPr>
        <w:t xml:space="preserve"> </w:t>
      </w:r>
      <w:r w:rsidR="00E50B3F" w:rsidRPr="007B7C25">
        <w:rPr>
          <w:szCs w:val="24"/>
        </w:rPr>
        <w:t>Australian stroke protocols.</w:t>
      </w:r>
      <w:r w:rsidR="00E50B3F">
        <w:rPr>
          <w:szCs w:val="24"/>
        </w:rPr>
        <w:br/>
      </w:r>
    </w:p>
    <w:p w14:paraId="084AD40E" w14:textId="77777777" w:rsidR="00D732E5" w:rsidRDefault="00D732E5" w:rsidP="00E50B3F">
      <w:pPr>
        <w:rPr>
          <w:szCs w:val="24"/>
        </w:rPr>
      </w:pPr>
    </w:p>
    <w:p w14:paraId="10176A17" w14:textId="77777777" w:rsidR="00D732E5" w:rsidRPr="00724226" w:rsidRDefault="00D732E5" w:rsidP="00D732E5">
      <w:pPr>
        <w:pStyle w:val="Caption"/>
        <w:rPr>
          <w:rFonts w:ascii="Arial" w:hAnsi="Arial"/>
        </w:rPr>
      </w:pPr>
      <w:r w:rsidRPr="00724226">
        <w:rPr>
          <w:rFonts w:ascii="Arial" w:hAnsi="Arial"/>
        </w:rPr>
        <w:lastRenderedPageBreak/>
        <w:t xml:space="preserve">Figure </w:t>
      </w:r>
      <w:r w:rsidRPr="00724226">
        <w:rPr>
          <w:rFonts w:ascii="Arial" w:hAnsi="Arial"/>
        </w:rPr>
        <w:fldChar w:fldCharType="begin"/>
      </w:r>
      <w:r w:rsidRPr="00724226">
        <w:rPr>
          <w:rFonts w:ascii="Arial" w:hAnsi="Arial"/>
        </w:rPr>
        <w:instrText xml:space="preserve"> SEQ Figure \* ARABIC </w:instrText>
      </w:r>
      <w:r w:rsidRPr="00724226">
        <w:rPr>
          <w:rFonts w:ascii="Arial" w:hAnsi="Arial"/>
        </w:rPr>
        <w:fldChar w:fldCharType="separate"/>
      </w:r>
      <w:r w:rsidR="00507263">
        <w:rPr>
          <w:rFonts w:ascii="Arial" w:hAnsi="Arial"/>
          <w:noProof/>
        </w:rPr>
        <w:t>1</w:t>
      </w:r>
      <w:r w:rsidRPr="00724226">
        <w:rPr>
          <w:rFonts w:ascii="Arial" w:hAnsi="Arial"/>
        </w:rPr>
        <w:fldChar w:fldCharType="end"/>
      </w:r>
      <w:r w:rsidRPr="00724226">
        <w:rPr>
          <w:rFonts w:ascii="Arial" w:hAnsi="Arial"/>
        </w:rPr>
        <w:t xml:space="preserve"> Proposed clinical algorithm</w:t>
      </w:r>
    </w:p>
    <w:p w14:paraId="39B5D775" w14:textId="77777777" w:rsidR="00D732E5" w:rsidRPr="007B7C25" w:rsidRDefault="00D732E5" w:rsidP="00E50B3F">
      <w:pPr>
        <w:rPr>
          <w:szCs w:val="24"/>
        </w:rPr>
      </w:pPr>
    </w:p>
    <w:p w14:paraId="4EE6638E" w14:textId="77777777" w:rsidR="00E50B3F" w:rsidRDefault="00E50B3F" w:rsidP="00E50B3F">
      <w:pPr>
        <w:rPr>
          <w:szCs w:val="24"/>
        </w:rPr>
      </w:pPr>
      <w:r w:rsidRPr="007B7C25">
        <w:rPr>
          <w:noProof/>
          <w:szCs w:val="24"/>
        </w:rPr>
        <w:drawing>
          <wp:inline distT="0" distB="0" distL="0" distR="0" wp14:anchorId="5965736B" wp14:editId="724E374C">
            <wp:extent cx="4991841" cy="3228229"/>
            <wp:effectExtent l="0" t="0" r="0" b="0"/>
            <wp:docPr id="1" name="Picture 1" descr="Current (comparator) and proposed clinical management for patients with confirmed diagnosis of AIS caused by LVO. Under the proposed pathway if the patient is eligible for IV thrombolytic therapy and MT eligible they will receive both treatments leading to outcomes with ongoing care determined by the patients needs. If not eligible for IV thrombolytic therapy but are eligible for MT, the patient will receive MT and medical management. If the patient is only eligible for IV thrombolytic but not MT they will receive IV therapy if they don't respond to this they will receive medical management (anti-thrombotic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21851" cy="3247637"/>
                    </a:xfrm>
                    <a:prstGeom prst="rect">
                      <a:avLst/>
                    </a:prstGeom>
                  </pic:spPr>
                </pic:pic>
              </a:graphicData>
            </a:graphic>
          </wp:inline>
        </w:drawing>
      </w:r>
    </w:p>
    <w:p w14:paraId="0A1D5FF7" w14:textId="77777777" w:rsidR="00D732E5" w:rsidRPr="00D85E09" w:rsidRDefault="00D732E5" w:rsidP="00D732E5">
      <w:pPr>
        <w:pStyle w:val="Tablefootnote"/>
        <w:rPr>
          <w:lang w:val="en-AU"/>
        </w:rPr>
      </w:pPr>
      <w:bookmarkStart w:id="2" w:name="_Ref469486847"/>
      <w:r w:rsidRPr="00D85E09">
        <w:rPr>
          <w:lang w:val="en-AU"/>
        </w:rPr>
        <w:t>Abbreviations: LVO, large vessel occlusion; MT, mechanical thrombectomy</w:t>
      </w:r>
    </w:p>
    <w:bookmarkEnd w:id="2"/>
    <w:p w14:paraId="6E4160D2" w14:textId="77777777" w:rsidR="00BC1364" w:rsidRPr="00F715D1" w:rsidRDefault="00BC1364" w:rsidP="00F715D1">
      <w:pPr>
        <w:pStyle w:val="Heading1"/>
      </w:pPr>
      <w:r w:rsidRPr="00F715D1">
        <w:t xml:space="preserve">Comparator </w:t>
      </w:r>
    </w:p>
    <w:p w14:paraId="5D2C3CEB" w14:textId="77777777" w:rsidR="00E50B3F" w:rsidRPr="007B7C25" w:rsidRDefault="00067FD4" w:rsidP="00724226">
      <w:pPr>
        <w:rPr>
          <w:szCs w:val="24"/>
        </w:rPr>
      </w:pPr>
      <w:r>
        <w:rPr>
          <w:szCs w:val="24"/>
        </w:rPr>
        <w:t>MT is proposed</w:t>
      </w:r>
      <w:r w:rsidR="00E50B3F" w:rsidRPr="007B7C25">
        <w:rPr>
          <w:szCs w:val="24"/>
        </w:rPr>
        <w:t xml:space="preserve"> as an additional therapy in patients who are eligible for IV tPA, and as an alternative therapy in patients for whom IV tPA is contraindicated. The comparators for these respective groups are:</w:t>
      </w:r>
    </w:p>
    <w:p w14:paraId="0529DB1E" w14:textId="77777777" w:rsidR="00E50B3F" w:rsidRPr="007B7C25" w:rsidRDefault="00E50B3F" w:rsidP="00724226">
      <w:pPr>
        <w:pStyle w:val="ListParagraph"/>
        <w:numPr>
          <w:ilvl w:val="0"/>
          <w:numId w:val="27"/>
        </w:numPr>
        <w:contextualSpacing w:val="0"/>
        <w:rPr>
          <w:szCs w:val="24"/>
        </w:rPr>
      </w:pPr>
      <w:r w:rsidRPr="007B7C25">
        <w:rPr>
          <w:szCs w:val="24"/>
        </w:rPr>
        <w:t>IV tPA alone (where indicated), and</w:t>
      </w:r>
    </w:p>
    <w:p w14:paraId="31C7B5E9" w14:textId="77777777" w:rsidR="00E50B3F" w:rsidRPr="007B7C25" w:rsidRDefault="00E50B3F" w:rsidP="00724226">
      <w:pPr>
        <w:pStyle w:val="ListParagraph"/>
        <w:numPr>
          <w:ilvl w:val="0"/>
          <w:numId w:val="27"/>
        </w:numPr>
        <w:spacing w:after="240"/>
        <w:contextualSpacing w:val="0"/>
        <w:rPr>
          <w:szCs w:val="24"/>
        </w:rPr>
      </w:pPr>
      <w:r w:rsidRPr="007B7C25">
        <w:rPr>
          <w:szCs w:val="24"/>
        </w:rPr>
        <w:t>Medical management (anti-thrombotic therapy) where IV thrombolytic therapy is contraindicated.</w:t>
      </w:r>
    </w:p>
    <w:p w14:paraId="559A8555" w14:textId="77777777" w:rsidR="00E80347" w:rsidRPr="007B7C25" w:rsidRDefault="00E50B3F" w:rsidP="00724226">
      <w:pPr>
        <w:spacing w:after="240"/>
        <w:rPr>
          <w:szCs w:val="24"/>
        </w:rPr>
      </w:pPr>
      <w:r w:rsidRPr="007B7C25">
        <w:rPr>
          <w:szCs w:val="24"/>
        </w:rPr>
        <w:t>In the submission report the comparators are referred to as ‘usual care’.</w:t>
      </w:r>
    </w:p>
    <w:p w14:paraId="23F9F7FB" w14:textId="77777777" w:rsidR="00E50B3F" w:rsidRPr="00F715D1" w:rsidRDefault="00930188" w:rsidP="00724226">
      <w:pPr>
        <w:rPr>
          <w:szCs w:val="24"/>
        </w:rPr>
      </w:pPr>
      <w:r>
        <w:rPr>
          <w:szCs w:val="24"/>
        </w:rPr>
        <w:t>The assessment</w:t>
      </w:r>
      <w:r w:rsidR="00724226">
        <w:rPr>
          <w:szCs w:val="24"/>
        </w:rPr>
        <w:t xml:space="preserve"> report stated</w:t>
      </w:r>
      <w:r w:rsidR="00E80347">
        <w:rPr>
          <w:szCs w:val="24"/>
        </w:rPr>
        <w:t xml:space="preserve"> that t</w:t>
      </w:r>
      <w:r w:rsidR="00E50B3F" w:rsidRPr="007B7C25">
        <w:rPr>
          <w:szCs w:val="24"/>
        </w:rPr>
        <w:t>here are strict rules to determine if a patient is eligible for IV tPA - it is recommended in clinical practice guidelines as first line therapy approved for LVOs within 4.5 hours of symptom onset. Hence, presentation &gt; 4.5 hours after stroke symptom onset will preclude access to IV tPA. In addition, patients may be ineligible for IV tPA due to non-time based reasons, examples include: severe, uncontrolled hypertension; previous surgery; widespread ischaemia, patient receiving oral anticoagulants. The only treatment option available to patients who are ineligible for IV tPA (time and non-time based reasons) is medical management, consisting of anti-thrombotic therapy with antiplatelet agents (aspirin) or anticoagulants.</w:t>
      </w:r>
    </w:p>
    <w:p w14:paraId="47AB1374" w14:textId="77777777" w:rsidR="00BC1364" w:rsidRPr="00F715D1" w:rsidRDefault="00BC1364" w:rsidP="00F715D1">
      <w:pPr>
        <w:pStyle w:val="Heading1"/>
      </w:pPr>
      <w:r w:rsidRPr="00F715D1">
        <w:t>Comparative safety</w:t>
      </w:r>
    </w:p>
    <w:p w14:paraId="0916169F" w14:textId="77777777" w:rsidR="008C7F80" w:rsidRPr="00BF444F" w:rsidRDefault="00541EE0" w:rsidP="00724226">
      <w:pPr>
        <w:spacing w:after="200"/>
        <w:rPr>
          <w:i/>
          <w:color w:val="00B050"/>
          <w:szCs w:val="24"/>
        </w:rPr>
      </w:pPr>
      <w:r>
        <w:rPr>
          <w:szCs w:val="24"/>
        </w:rPr>
        <w:t>F</w:t>
      </w:r>
      <w:r w:rsidR="00E50B3F" w:rsidRPr="007B7C25">
        <w:rPr>
          <w:szCs w:val="24"/>
        </w:rPr>
        <w:t xml:space="preserve">ive randomised trials of MT plus usual care and usual care alone </w:t>
      </w:r>
      <w:r w:rsidR="008C45FA">
        <w:rPr>
          <w:szCs w:val="24"/>
        </w:rPr>
        <w:t xml:space="preserve">were identified </w:t>
      </w:r>
      <w:r w:rsidR="00E50B3F" w:rsidRPr="007B7C25">
        <w:rPr>
          <w:szCs w:val="24"/>
        </w:rPr>
        <w:t>which met the PICO-defined inclusion criteria:</w:t>
      </w:r>
      <w:r w:rsidR="00E50B3F" w:rsidRPr="007B7C25">
        <w:rPr>
          <w:i/>
          <w:color w:val="00B050"/>
          <w:szCs w:val="24"/>
        </w:rPr>
        <w:t xml:space="preserve"> </w:t>
      </w:r>
      <w:r w:rsidR="00E50B3F" w:rsidRPr="007B7C25">
        <w:rPr>
          <w:szCs w:val="24"/>
        </w:rPr>
        <w:t>ESCAPE; EXTEND-IA; MR CLEAN; REVASCAT and SWIFT PRIME.</w:t>
      </w:r>
    </w:p>
    <w:p w14:paraId="2F6E7E32" w14:textId="77777777" w:rsidR="00E50B3F" w:rsidRPr="00724226" w:rsidRDefault="007F7FF0" w:rsidP="00E50B3F">
      <w:r>
        <w:rPr>
          <w:szCs w:val="24"/>
        </w:rPr>
        <w:t>D</w:t>
      </w:r>
      <w:r w:rsidR="00E50B3F" w:rsidRPr="007B7C25">
        <w:rPr>
          <w:szCs w:val="24"/>
        </w:rPr>
        <w:t>eath and symptomatic intracerebral haemorrhage outc</w:t>
      </w:r>
      <w:r w:rsidR="00BF444F">
        <w:rPr>
          <w:szCs w:val="24"/>
        </w:rPr>
        <w:t xml:space="preserve">omes were consistently reported </w:t>
      </w:r>
      <w:r w:rsidR="00E50B3F" w:rsidRPr="007B7C25">
        <w:rPr>
          <w:szCs w:val="24"/>
        </w:rPr>
        <w:t xml:space="preserve">across the five trials and thus analysed in the meta-analysis by Goyal et al. 2016. </w:t>
      </w:r>
      <w:r w:rsidR="00E50B3F" w:rsidRPr="00724226">
        <w:t>In the meta-analysis of the individual patient data from the five selected trials (Goyal et al. 2016):</w:t>
      </w:r>
    </w:p>
    <w:p w14:paraId="3CEC12FD" w14:textId="77777777" w:rsidR="00E50B3F" w:rsidRPr="007B7C25" w:rsidRDefault="00E50B3F" w:rsidP="00E50B3F">
      <w:pPr>
        <w:pStyle w:val="ListParagraph"/>
        <w:numPr>
          <w:ilvl w:val="0"/>
          <w:numId w:val="28"/>
        </w:numPr>
        <w:rPr>
          <w:szCs w:val="24"/>
        </w:rPr>
      </w:pPr>
      <w:r w:rsidRPr="007B7C25">
        <w:rPr>
          <w:szCs w:val="24"/>
        </w:rPr>
        <w:lastRenderedPageBreak/>
        <w:t>There was a higher rate of deaths in the control arm than in the treatment arm at 90</w:t>
      </w:r>
      <w:r w:rsidR="00724226">
        <w:rPr>
          <w:szCs w:val="24"/>
        </w:rPr>
        <w:t> </w:t>
      </w:r>
      <w:r w:rsidRPr="007B7C25">
        <w:rPr>
          <w:szCs w:val="24"/>
        </w:rPr>
        <w:t>days (18.9% vs. 15.3%) although this was not statistically significant;</w:t>
      </w:r>
    </w:p>
    <w:p w14:paraId="47A1510C" w14:textId="77777777" w:rsidR="00E50B3F" w:rsidRPr="007B7C25" w:rsidRDefault="00E50B3F" w:rsidP="00E50B3F">
      <w:pPr>
        <w:pStyle w:val="ListParagraph"/>
        <w:numPr>
          <w:ilvl w:val="0"/>
          <w:numId w:val="28"/>
        </w:numPr>
        <w:rPr>
          <w:szCs w:val="24"/>
        </w:rPr>
      </w:pPr>
      <w:r w:rsidRPr="007B7C25">
        <w:rPr>
          <w:szCs w:val="24"/>
        </w:rPr>
        <w:t>There was a similar rate of symptomatic intracranial haemorrhage between both arms (intervention arm = 4.4% vs. control arm = 4.3%)</w:t>
      </w:r>
    </w:p>
    <w:p w14:paraId="12AF0ABC" w14:textId="265D537D" w:rsidR="00E50B3F" w:rsidRPr="007B7C25" w:rsidRDefault="00E50B3F" w:rsidP="00E50B3F">
      <w:pPr>
        <w:rPr>
          <w:szCs w:val="24"/>
        </w:rPr>
      </w:pPr>
      <w:r>
        <w:rPr>
          <w:szCs w:val="24"/>
        </w:rPr>
        <w:br/>
      </w:r>
      <w:r w:rsidRPr="007B7C25">
        <w:rPr>
          <w:szCs w:val="24"/>
        </w:rPr>
        <w:t>However, in the REVASCAT trial (that enrolled patients up to eight hours after symptom onset), the rate of deaths was higher in the treatment arm than in the control arm at 90 days (</w:t>
      </w:r>
      <w:r w:rsidR="00724226">
        <w:rPr>
          <w:szCs w:val="24"/>
        </w:rPr>
        <w:fldChar w:fldCharType="begin"/>
      </w:r>
      <w:r w:rsidR="00724226">
        <w:rPr>
          <w:szCs w:val="24"/>
        </w:rPr>
        <w:instrText xml:space="preserve"> REF _Ref469487041 \h  \* MERGEFORMAT </w:instrText>
      </w:r>
      <w:r w:rsidR="00724226">
        <w:rPr>
          <w:szCs w:val="24"/>
        </w:rPr>
      </w:r>
      <w:r w:rsidR="00724226">
        <w:rPr>
          <w:szCs w:val="24"/>
        </w:rPr>
        <w:fldChar w:fldCharType="separate"/>
      </w:r>
      <w:r w:rsidR="00507263" w:rsidRPr="00362EB3">
        <w:rPr>
          <w:szCs w:val="24"/>
        </w:rPr>
        <w:t>Table 2</w:t>
      </w:r>
      <w:r w:rsidR="00724226">
        <w:rPr>
          <w:szCs w:val="24"/>
        </w:rPr>
        <w:fldChar w:fldCharType="end"/>
      </w:r>
      <w:r w:rsidRPr="007B7C25">
        <w:rPr>
          <w:szCs w:val="24"/>
        </w:rPr>
        <w:t>).</w:t>
      </w:r>
    </w:p>
    <w:p w14:paraId="603B8BD0" w14:textId="77777777" w:rsidR="00E50B3F" w:rsidRDefault="00E50B3F" w:rsidP="00E50B3F">
      <w:pPr>
        <w:rPr>
          <w:szCs w:val="24"/>
        </w:rPr>
      </w:pPr>
    </w:p>
    <w:p w14:paraId="676F8945" w14:textId="77777777" w:rsidR="00E50B3F" w:rsidRPr="00724226" w:rsidRDefault="00724226" w:rsidP="00724226">
      <w:pPr>
        <w:pStyle w:val="Caption"/>
        <w:rPr>
          <w:rFonts w:ascii="Arial" w:hAnsi="Arial"/>
        </w:rPr>
      </w:pPr>
      <w:bookmarkStart w:id="3" w:name="_Ref469487041"/>
      <w:bookmarkStart w:id="4" w:name="_Ref469487025"/>
      <w:r w:rsidRPr="00724226">
        <w:rPr>
          <w:rFonts w:ascii="Arial" w:hAnsi="Arial"/>
        </w:rPr>
        <w:t xml:space="preserve">Table </w:t>
      </w:r>
      <w:r w:rsidRPr="00724226">
        <w:rPr>
          <w:rFonts w:ascii="Arial" w:hAnsi="Arial"/>
        </w:rPr>
        <w:fldChar w:fldCharType="begin"/>
      </w:r>
      <w:r w:rsidRPr="00724226">
        <w:rPr>
          <w:rFonts w:ascii="Arial" w:hAnsi="Arial"/>
        </w:rPr>
        <w:instrText xml:space="preserve"> SEQ Table \* ARABIC </w:instrText>
      </w:r>
      <w:r w:rsidRPr="00724226">
        <w:rPr>
          <w:rFonts w:ascii="Arial" w:hAnsi="Arial"/>
        </w:rPr>
        <w:fldChar w:fldCharType="separate"/>
      </w:r>
      <w:r w:rsidR="00507263">
        <w:rPr>
          <w:rFonts w:ascii="Arial" w:hAnsi="Arial"/>
          <w:noProof/>
        </w:rPr>
        <w:t>2</w:t>
      </w:r>
      <w:r w:rsidRPr="00724226">
        <w:rPr>
          <w:rFonts w:ascii="Arial" w:hAnsi="Arial"/>
        </w:rPr>
        <w:fldChar w:fldCharType="end"/>
      </w:r>
      <w:bookmarkEnd w:id="3"/>
      <w:r w:rsidRPr="00724226">
        <w:rPr>
          <w:rFonts w:ascii="Arial" w:hAnsi="Arial"/>
          <w:noProof/>
        </w:rPr>
        <w:t>:</w:t>
      </w:r>
      <w:r w:rsidRPr="00724226">
        <w:rPr>
          <w:rFonts w:ascii="Arial" w:hAnsi="Arial"/>
          <w:noProof/>
        </w:rPr>
        <w:tab/>
      </w:r>
      <w:r w:rsidRPr="00724226">
        <w:rPr>
          <w:rFonts w:ascii="Arial" w:hAnsi="Arial"/>
        </w:rPr>
        <w:t>Results of key patient-relevant outcome across the randomised controlled trials</w:t>
      </w:r>
      <w:bookmarkEnd w:id="4"/>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This table provides a summary of the findings in each study for the key patient-relevant outcome. Results for the intervention and comparator arms of each study are provided, along with an indication of the absolute difference and relative difference in results between the study arms. If the results across studies are meta-analysed, the results are also given."/>
      </w:tblPr>
      <w:tblGrid>
        <w:gridCol w:w="1716"/>
        <w:gridCol w:w="1684"/>
        <w:gridCol w:w="1873"/>
        <w:gridCol w:w="1843"/>
        <w:gridCol w:w="1984"/>
      </w:tblGrid>
      <w:tr w:rsidR="00362EB3" w:rsidRPr="00724226" w14:paraId="43494A23" w14:textId="77777777" w:rsidTr="002550BD">
        <w:trPr>
          <w:trHeight w:val="416"/>
          <w:tblHeader/>
        </w:trPr>
        <w:tc>
          <w:tcPr>
            <w:tcW w:w="1716" w:type="dxa"/>
            <w:shd w:val="clear" w:color="auto" w:fill="auto"/>
          </w:tcPr>
          <w:p w14:paraId="3CF20CAF" w14:textId="77777777" w:rsidR="00362EB3" w:rsidRPr="00724226" w:rsidRDefault="00362EB3" w:rsidP="00541EE0">
            <w:pPr>
              <w:pStyle w:val="TableHeading"/>
              <w:keepNext w:val="0"/>
              <w:ind w:left="0" w:firstLine="0"/>
              <w:jc w:val="left"/>
              <w:rPr>
                <w:rFonts w:ascii="Arial" w:hAnsi="Arial" w:cs="Arial"/>
                <w:noProof w:val="0"/>
                <w:snapToGrid w:val="0"/>
                <w:lang w:eastAsia="en-US"/>
              </w:rPr>
            </w:pPr>
            <w:r w:rsidRPr="00724226">
              <w:rPr>
                <w:rFonts w:ascii="Arial" w:hAnsi="Arial" w:cs="Arial"/>
                <w:noProof w:val="0"/>
                <w:snapToGrid w:val="0"/>
                <w:lang w:eastAsia="en-US"/>
              </w:rPr>
              <w:t>Study ID</w:t>
            </w:r>
          </w:p>
        </w:tc>
        <w:tc>
          <w:tcPr>
            <w:tcW w:w="1684" w:type="dxa"/>
            <w:shd w:val="clear" w:color="auto" w:fill="auto"/>
          </w:tcPr>
          <w:p w14:paraId="4610A6CB" w14:textId="77777777" w:rsidR="00362EB3" w:rsidRPr="00724226" w:rsidRDefault="00362EB3" w:rsidP="00541EE0">
            <w:pPr>
              <w:pStyle w:val="TableHeading"/>
              <w:keepNext w:val="0"/>
              <w:ind w:left="0" w:right="117" w:firstLine="0"/>
              <w:jc w:val="left"/>
              <w:rPr>
                <w:rFonts w:ascii="Arial" w:hAnsi="Arial" w:cs="Arial"/>
                <w:noProof w:val="0"/>
                <w:snapToGrid w:val="0"/>
                <w:lang w:eastAsia="en-US"/>
              </w:rPr>
            </w:pPr>
            <w:r w:rsidRPr="00724226">
              <w:rPr>
                <w:rFonts w:ascii="Arial" w:hAnsi="Arial" w:cs="Arial"/>
                <w:noProof w:val="0"/>
                <w:snapToGrid w:val="0"/>
                <w:lang w:eastAsia="en-US"/>
              </w:rPr>
              <w:t>MT + usual care</w:t>
            </w:r>
          </w:p>
        </w:tc>
        <w:tc>
          <w:tcPr>
            <w:tcW w:w="1873" w:type="dxa"/>
            <w:shd w:val="clear" w:color="auto" w:fill="auto"/>
          </w:tcPr>
          <w:p w14:paraId="07DB86C7" w14:textId="77777777" w:rsidR="00362EB3" w:rsidRPr="00724226" w:rsidRDefault="00362EB3" w:rsidP="00541EE0">
            <w:pPr>
              <w:pStyle w:val="TableHeading"/>
              <w:keepNext w:val="0"/>
              <w:ind w:left="0" w:right="117" w:firstLine="0"/>
              <w:jc w:val="left"/>
              <w:rPr>
                <w:rFonts w:ascii="Arial" w:hAnsi="Arial" w:cs="Arial"/>
                <w:noProof w:val="0"/>
                <w:snapToGrid w:val="0"/>
                <w:lang w:eastAsia="en-US"/>
              </w:rPr>
            </w:pPr>
            <w:r w:rsidRPr="00724226">
              <w:rPr>
                <w:rFonts w:ascii="Arial" w:hAnsi="Arial" w:cs="Arial"/>
                <w:noProof w:val="0"/>
                <w:snapToGrid w:val="0"/>
                <w:lang w:eastAsia="en-US"/>
              </w:rPr>
              <w:t>Usual care</w:t>
            </w:r>
          </w:p>
          <w:p w14:paraId="0BCE2948" w14:textId="77777777" w:rsidR="00362EB3" w:rsidRPr="00724226" w:rsidRDefault="00362EB3" w:rsidP="00541EE0">
            <w:pPr>
              <w:pStyle w:val="TableHeading"/>
              <w:keepNext w:val="0"/>
              <w:ind w:left="0" w:right="117" w:firstLine="0"/>
              <w:jc w:val="left"/>
              <w:rPr>
                <w:rFonts w:ascii="Arial" w:hAnsi="Arial" w:cs="Arial"/>
                <w:noProof w:val="0"/>
                <w:snapToGrid w:val="0"/>
                <w:lang w:eastAsia="en-US"/>
              </w:rPr>
            </w:pPr>
          </w:p>
        </w:tc>
        <w:tc>
          <w:tcPr>
            <w:tcW w:w="1843" w:type="dxa"/>
            <w:shd w:val="clear" w:color="auto" w:fill="auto"/>
          </w:tcPr>
          <w:p w14:paraId="7F127057" w14:textId="77777777" w:rsidR="00362EB3" w:rsidRPr="00724226" w:rsidRDefault="00362EB3" w:rsidP="00541EE0">
            <w:pPr>
              <w:pStyle w:val="TableHeading"/>
              <w:keepNext w:val="0"/>
              <w:ind w:left="0" w:right="117" w:firstLine="0"/>
              <w:jc w:val="left"/>
              <w:rPr>
                <w:rFonts w:ascii="Arial" w:hAnsi="Arial" w:cs="Arial"/>
                <w:noProof w:val="0"/>
                <w:snapToGrid w:val="0"/>
                <w:lang w:eastAsia="en-US"/>
              </w:rPr>
            </w:pPr>
            <w:r w:rsidRPr="00724226">
              <w:rPr>
                <w:rFonts w:ascii="Arial" w:hAnsi="Arial" w:cs="Arial"/>
                <w:noProof w:val="0"/>
                <w:snapToGrid w:val="0"/>
                <w:lang w:eastAsia="en-US"/>
              </w:rPr>
              <w:t>RD (95% CI)</w:t>
            </w:r>
          </w:p>
        </w:tc>
        <w:tc>
          <w:tcPr>
            <w:tcW w:w="1984" w:type="dxa"/>
            <w:shd w:val="clear" w:color="auto" w:fill="auto"/>
          </w:tcPr>
          <w:p w14:paraId="016CBADC" w14:textId="77777777" w:rsidR="00362EB3" w:rsidRPr="00724226" w:rsidRDefault="00362EB3" w:rsidP="00541EE0">
            <w:pPr>
              <w:pStyle w:val="TableHeading"/>
              <w:keepNext w:val="0"/>
              <w:ind w:left="0" w:right="117" w:firstLine="0"/>
              <w:jc w:val="left"/>
              <w:rPr>
                <w:rFonts w:ascii="Arial" w:hAnsi="Arial" w:cs="Arial"/>
                <w:noProof w:val="0"/>
                <w:snapToGrid w:val="0"/>
                <w:lang w:eastAsia="en-US"/>
              </w:rPr>
            </w:pPr>
            <w:r w:rsidRPr="00724226">
              <w:rPr>
                <w:rFonts w:ascii="Arial" w:hAnsi="Arial" w:cs="Arial"/>
                <w:noProof w:val="0"/>
                <w:snapToGrid w:val="0"/>
                <w:lang w:eastAsia="en-US"/>
              </w:rPr>
              <w:t>RR (95% CI)</w:t>
            </w:r>
          </w:p>
        </w:tc>
      </w:tr>
      <w:tr w:rsidR="00362EB3" w:rsidRPr="00724226" w14:paraId="7BF8562A" w14:textId="77777777" w:rsidTr="002550BD">
        <w:trPr>
          <w:trHeight w:val="389"/>
          <w:tblHeader/>
        </w:trPr>
        <w:tc>
          <w:tcPr>
            <w:tcW w:w="1716" w:type="dxa"/>
            <w:shd w:val="clear" w:color="auto" w:fill="auto"/>
          </w:tcPr>
          <w:p w14:paraId="6DADEDBD" w14:textId="77777777" w:rsidR="00362EB3" w:rsidRPr="00724226" w:rsidRDefault="00362EB3" w:rsidP="00541EE0">
            <w:pPr>
              <w:pStyle w:val="TableText0"/>
              <w:keepNext w:val="0"/>
              <w:rPr>
                <w:rFonts w:ascii="Arial" w:hAnsi="Arial" w:cs="Arial"/>
                <w:b/>
                <w:snapToGrid w:val="0"/>
                <w:szCs w:val="20"/>
              </w:rPr>
            </w:pPr>
            <w:r w:rsidRPr="00724226">
              <w:rPr>
                <w:rFonts w:ascii="Arial" w:hAnsi="Arial" w:cs="Arial"/>
                <w:b/>
                <w:snapToGrid w:val="0"/>
                <w:szCs w:val="20"/>
              </w:rPr>
              <w:t>Deaths at 90 days</w:t>
            </w:r>
          </w:p>
        </w:tc>
        <w:tc>
          <w:tcPr>
            <w:tcW w:w="1684" w:type="dxa"/>
            <w:shd w:val="clear" w:color="auto" w:fill="auto"/>
          </w:tcPr>
          <w:p w14:paraId="740A2D46" w14:textId="77777777" w:rsidR="00362EB3" w:rsidRPr="00724226" w:rsidRDefault="00362EB3" w:rsidP="00541EE0">
            <w:pPr>
              <w:pStyle w:val="TableText0"/>
              <w:keepNext w:val="0"/>
              <w:ind w:left="111" w:right="117"/>
              <w:rPr>
                <w:rFonts w:ascii="Arial" w:hAnsi="Arial" w:cs="Arial"/>
                <w:b/>
                <w:snapToGrid w:val="0"/>
                <w:szCs w:val="20"/>
              </w:rPr>
            </w:pPr>
          </w:p>
        </w:tc>
        <w:tc>
          <w:tcPr>
            <w:tcW w:w="1873" w:type="dxa"/>
            <w:shd w:val="clear" w:color="auto" w:fill="auto"/>
          </w:tcPr>
          <w:p w14:paraId="4577C6F9" w14:textId="77777777" w:rsidR="00362EB3" w:rsidRPr="00724226" w:rsidRDefault="00362EB3" w:rsidP="00541EE0">
            <w:pPr>
              <w:pStyle w:val="TableText0"/>
              <w:keepNext w:val="0"/>
              <w:ind w:left="77" w:right="117"/>
              <w:rPr>
                <w:rFonts w:ascii="Arial" w:hAnsi="Arial" w:cs="Arial"/>
                <w:b/>
                <w:snapToGrid w:val="0"/>
                <w:szCs w:val="20"/>
              </w:rPr>
            </w:pPr>
          </w:p>
        </w:tc>
        <w:tc>
          <w:tcPr>
            <w:tcW w:w="1843" w:type="dxa"/>
            <w:shd w:val="clear" w:color="auto" w:fill="auto"/>
          </w:tcPr>
          <w:p w14:paraId="1F1911B4" w14:textId="77777777" w:rsidR="00362EB3" w:rsidRPr="00724226" w:rsidRDefault="00362EB3" w:rsidP="00541EE0">
            <w:pPr>
              <w:pStyle w:val="TableText0"/>
              <w:keepNext w:val="0"/>
              <w:ind w:left="41" w:right="117"/>
              <w:rPr>
                <w:rFonts w:ascii="Arial" w:hAnsi="Arial" w:cs="Arial"/>
                <w:b/>
                <w:snapToGrid w:val="0"/>
                <w:szCs w:val="20"/>
              </w:rPr>
            </w:pPr>
          </w:p>
        </w:tc>
        <w:tc>
          <w:tcPr>
            <w:tcW w:w="1984" w:type="dxa"/>
            <w:shd w:val="clear" w:color="auto" w:fill="auto"/>
          </w:tcPr>
          <w:p w14:paraId="1FC8F8AA" w14:textId="77777777" w:rsidR="00362EB3" w:rsidRPr="00724226" w:rsidRDefault="00362EB3" w:rsidP="00541EE0">
            <w:pPr>
              <w:pStyle w:val="TableText0"/>
              <w:keepNext w:val="0"/>
              <w:ind w:right="117"/>
              <w:rPr>
                <w:rFonts w:ascii="Arial" w:hAnsi="Arial" w:cs="Arial"/>
                <w:b/>
                <w:snapToGrid w:val="0"/>
                <w:szCs w:val="20"/>
              </w:rPr>
            </w:pPr>
          </w:p>
        </w:tc>
      </w:tr>
      <w:tr w:rsidR="00362EB3" w:rsidRPr="00724226" w14:paraId="5E3AE72D" w14:textId="77777777" w:rsidTr="002550BD">
        <w:trPr>
          <w:trHeight w:val="218"/>
          <w:tblHeader/>
        </w:trPr>
        <w:tc>
          <w:tcPr>
            <w:tcW w:w="1716" w:type="dxa"/>
            <w:shd w:val="clear" w:color="auto" w:fill="auto"/>
          </w:tcPr>
          <w:p w14:paraId="010E833F" w14:textId="169EBE7F" w:rsidR="00362EB3" w:rsidRPr="00724226" w:rsidRDefault="00362EB3" w:rsidP="00541EE0">
            <w:pPr>
              <w:pStyle w:val="TableText0"/>
              <w:keepNext w:val="0"/>
              <w:rPr>
                <w:rFonts w:ascii="Arial" w:hAnsi="Arial" w:cs="Arial"/>
                <w:snapToGrid w:val="0"/>
                <w:szCs w:val="20"/>
              </w:rPr>
            </w:pPr>
            <w:r w:rsidRPr="00724226">
              <w:rPr>
                <w:rFonts w:ascii="Arial" w:hAnsi="Arial" w:cs="Arial"/>
                <w:b/>
                <w:snapToGrid w:val="0"/>
                <w:szCs w:val="20"/>
              </w:rPr>
              <w:t>Up to 6 hours</w:t>
            </w:r>
            <w:r>
              <w:rPr>
                <w:rFonts w:ascii="Arial" w:hAnsi="Arial" w:cs="Arial"/>
                <w:b/>
                <w:snapToGrid w:val="0"/>
                <w:szCs w:val="20"/>
              </w:rPr>
              <w:t>*</w:t>
            </w:r>
          </w:p>
        </w:tc>
        <w:tc>
          <w:tcPr>
            <w:tcW w:w="1684" w:type="dxa"/>
            <w:shd w:val="clear" w:color="auto" w:fill="auto"/>
          </w:tcPr>
          <w:p w14:paraId="01F0439A" w14:textId="77777777" w:rsidR="00362EB3" w:rsidRPr="00724226" w:rsidRDefault="00362EB3" w:rsidP="00541EE0">
            <w:pPr>
              <w:pStyle w:val="TableText0"/>
              <w:keepNext w:val="0"/>
              <w:ind w:left="111" w:right="117"/>
              <w:rPr>
                <w:rFonts w:ascii="Arial" w:hAnsi="Arial" w:cs="Arial"/>
                <w:snapToGrid w:val="0"/>
                <w:szCs w:val="20"/>
              </w:rPr>
            </w:pPr>
          </w:p>
        </w:tc>
        <w:tc>
          <w:tcPr>
            <w:tcW w:w="1873" w:type="dxa"/>
            <w:shd w:val="clear" w:color="auto" w:fill="auto"/>
          </w:tcPr>
          <w:p w14:paraId="795E2593" w14:textId="77777777" w:rsidR="00362EB3" w:rsidRPr="00724226" w:rsidRDefault="00362EB3" w:rsidP="00541EE0">
            <w:pPr>
              <w:pStyle w:val="TableText0"/>
              <w:keepNext w:val="0"/>
              <w:ind w:left="77" w:right="117"/>
              <w:rPr>
                <w:rFonts w:ascii="Arial" w:hAnsi="Arial" w:cs="Arial"/>
                <w:snapToGrid w:val="0"/>
                <w:szCs w:val="20"/>
              </w:rPr>
            </w:pPr>
          </w:p>
        </w:tc>
        <w:tc>
          <w:tcPr>
            <w:tcW w:w="1843" w:type="dxa"/>
            <w:shd w:val="clear" w:color="auto" w:fill="auto"/>
          </w:tcPr>
          <w:p w14:paraId="2BD46A8F" w14:textId="77777777" w:rsidR="00362EB3" w:rsidRPr="00724226" w:rsidRDefault="00362EB3" w:rsidP="00541EE0">
            <w:pPr>
              <w:pStyle w:val="TableText0"/>
              <w:keepNext w:val="0"/>
              <w:ind w:left="41" w:right="117"/>
              <w:rPr>
                <w:rFonts w:ascii="Arial" w:hAnsi="Arial" w:cs="Arial"/>
                <w:snapToGrid w:val="0"/>
                <w:szCs w:val="20"/>
              </w:rPr>
            </w:pPr>
          </w:p>
        </w:tc>
        <w:tc>
          <w:tcPr>
            <w:tcW w:w="1984" w:type="dxa"/>
            <w:shd w:val="clear" w:color="auto" w:fill="auto"/>
          </w:tcPr>
          <w:p w14:paraId="0F08C359" w14:textId="77777777" w:rsidR="00362EB3" w:rsidRPr="00724226" w:rsidRDefault="00362EB3" w:rsidP="00541EE0">
            <w:pPr>
              <w:pStyle w:val="TableText0"/>
              <w:keepNext w:val="0"/>
              <w:ind w:right="117"/>
              <w:rPr>
                <w:rFonts w:ascii="Arial" w:hAnsi="Arial" w:cs="Arial"/>
                <w:snapToGrid w:val="0"/>
                <w:szCs w:val="20"/>
              </w:rPr>
            </w:pPr>
          </w:p>
        </w:tc>
      </w:tr>
      <w:tr w:rsidR="00362EB3" w:rsidRPr="00724226" w14:paraId="3AD8E9DA" w14:textId="77777777" w:rsidTr="002550BD">
        <w:trPr>
          <w:trHeight w:val="389"/>
          <w:tblHeader/>
        </w:trPr>
        <w:tc>
          <w:tcPr>
            <w:tcW w:w="1716" w:type="dxa"/>
            <w:shd w:val="clear" w:color="auto" w:fill="auto"/>
          </w:tcPr>
          <w:p w14:paraId="14C38BE2" w14:textId="77777777" w:rsidR="00362EB3" w:rsidRPr="00724226" w:rsidRDefault="00362EB3" w:rsidP="00541EE0">
            <w:pPr>
              <w:pStyle w:val="TableText0"/>
              <w:keepNext w:val="0"/>
              <w:rPr>
                <w:rFonts w:ascii="Arial" w:hAnsi="Arial" w:cs="Arial"/>
                <w:snapToGrid w:val="0"/>
                <w:szCs w:val="20"/>
              </w:rPr>
            </w:pPr>
            <w:r w:rsidRPr="00724226">
              <w:rPr>
                <w:rFonts w:ascii="Arial" w:hAnsi="Arial" w:cs="Arial"/>
                <w:snapToGrid w:val="0"/>
                <w:szCs w:val="20"/>
              </w:rPr>
              <w:t>EXTEND-IA</w:t>
            </w:r>
          </w:p>
        </w:tc>
        <w:tc>
          <w:tcPr>
            <w:tcW w:w="1684" w:type="dxa"/>
            <w:shd w:val="clear" w:color="auto" w:fill="auto"/>
          </w:tcPr>
          <w:p w14:paraId="43E8F8E1" w14:textId="77777777" w:rsidR="00362EB3" w:rsidRPr="00724226" w:rsidRDefault="00362EB3" w:rsidP="00541EE0">
            <w:pPr>
              <w:pStyle w:val="TableText0"/>
              <w:keepNext w:val="0"/>
              <w:ind w:left="111" w:right="117"/>
              <w:rPr>
                <w:rFonts w:ascii="Arial" w:hAnsi="Arial" w:cs="Arial"/>
                <w:snapToGrid w:val="0"/>
                <w:szCs w:val="20"/>
              </w:rPr>
            </w:pPr>
            <w:r w:rsidRPr="00724226">
              <w:rPr>
                <w:rFonts w:ascii="Arial" w:hAnsi="Arial" w:cs="Arial"/>
                <w:snapToGrid w:val="0"/>
                <w:szCs w:val="20"/>
              </w:rPr>
              <w:t>3/35 (9%)</w:t>
            </w:r>
          </w:p>
        </w:tc>
        <w:tc>
          <w:tcPr>
            <w:tcW w:w="1873" w:type="dxa"/>
            <w:shd w:val="clear" w:color="auto" w:fill="auto"/>
          </w:tcPr>
          <w:p w14:paraId="5BA0A30F" w14:textId="77777777" w:rsidR="00362EB3" w:rsidRPr="00724226" w:rsidRDefault="00362EB3" w:rsidP="00541EE0">
            <w:pPr>
              <w:pStyle w:val="TableText0"/>
              <w:keepNext w:val="0"/>
              <w:ind w:left="77" w:right="117"/>
              <w:rPr>
                <w:rFonts w:ascii="Arial" w:hAnsi="Arial" w:cs="Arial"/>
                <w:snapToGrid w:val="0"/>
                <w:szCs w:val="20"/>
              </w:rPr>
            </w:pPr>
            <w:r w:rsidRPr="00724226">
              <w:rPr>
                <w:rFonts w:ascii="Arial" w:hAnsi="Arial" w:cs="Arial"/>
                <w:snapToGrid w:val="0"/>
                <w:szCs w:val="20"/>
              </w:rPr>
              <w:t>7/35 (20%)</w:t>
            </w:r>
          </w:p>
        </w:tc>
        <w:tc>
          <w:tcPr>
            <w:tcW w:w="1843" w:type="dxa"/>
            <w:shd w:val="clear" w:color="auto" w:fill="auto"/>
          </w:tcPr>
          <w:p w14:paraId="3C9C4FB0" w14:textId="77777777" w:rsidR="00362EB3" w:rsidRPr="00724226" w:rsidRDefault="00362EB3" w:rsidP="00541EE0">
            <w:pPr>
              <w:pStyle w:val="TableText0"/>
              <w:keepNext w:val="0"/>
              <w:ind w:left="41" w:right="117"/>
              <w:rPr>
                <w:rFonts w:ascii="Arial" w:hAnsi="Arial" w:cs="Arial"/>
                <w:snapToGrid w:val="0"/>
                <w:szCs w:val="20"/>
              </w:rPr>
            </w:pPr>
            <w:r w:rsidRPr="00724226">
              <w:rPr>
                <w:rFonts w:ascii="Arial" w:hAnsi="Arial" w:cs="Arial"/>
                <w:i/>
                <w:snapToGrid w:val="0"/>
                <w:szCs w:val="20"/>
              </w:rPr>
              <w:t>-11.4% (-27.6%; 4.7%)</w:t>
            </w:r>
          </w:p>
        </w:tc>
        <w:tc>
          <w:tcPr>
            <w:tcW w:w="1984" w:type="dxa"/>
            <w:shd w:val="clear" w:color="auto" w:fill="auto"/>
          </w:tcPr>
          <w:p w14:paraId="53A9F997" w14:textId="77777777" w:rsidR="00362EB3" w:rsidRPr="00724226" w:rsidRDefault="00362EB3" w:rsidP="00541EE0">
            <w:pPr>
              <w:pStyle w:val="TableText0"/>
              <w:keepNext w:val="0"/>
              <w:ind w:right="117"/>
              <w:rPr>
                <w:rFonts w:ascii="Arial" w:hAnsi="Arial" w:cs="Arial"/>
                <w:snapToGrid w:val="0"/>
                <w:szCs w:val="20"/>
              </w:rPr>
            </w:pPr>
            <w:r w:rsidRPr="00724226">
              <w:rPr>
                <w:rFonts w:ascii="Arial" w:hAnsi="Arial" w:cs="Arial"/>
                <w:i/>
                <w:snapToGrid w:val="0"/>
                <w:szCs w:val="20"/>
              </w:rPr>
              <w:t>0.4 (0.1; 1.5)</w:t>
            </w:r>
          </w:p>
        </w:tc>
      </w:tr>
      <w:tr w:rsidR="00362EB3" w:rsidRPr="00724226" w14:paraId="1BED1502" w14:textId="77777777" w:rsidTr="002550BD">
        <w:trPr>
          <w:trHeight w:val="226"/>
          <w:tblHeader/>
        </w:trPr>
        <w:tc>
          <w:tcPr>
            <w:tcW w:w="1716" w:type="dxa"/>
            <w:shd w:val="clear" w:color="auto" w:fill="auto"/>
          </w:tcPr>
          <w:p w14:paraId="2E901B6D" w14:textId="77777777" w:rsidR="00362EB3" w:rsidRPr="00724226" w:rsidRDefault="00362EB3" w:rsidP="00541EE0">
            <w:pPr>
              <w:pStyle w:val="TableText0"/>
              <w:keepNext w:val="0"/>
              <w:rPr>
                <w:rFonts w:ascii="Arial" w:hAnsi="Arial" w:cs="Arial"/>
                <w:snapToGrid w:val="0"/>
                <w:szCs w:val="20"/>
              </w:rPr>
            </w:pPr>
            <w:r w:rsidRPr="00724226">
              <w:rPr>
                <w:rFonts w:ascii="Arial" w:hAnsi="Arial" w:cs="Arial"/>
                <w:snapToGrid w:val="0"/>
                <w:szCs w:val="20"/>
              </w:rPr>
              <w:t>MR CLEAN</w:t>
            </w:r>
          </w:p>
        </w:tc>
        <w:tc>
          <w:tcPr>
            <w:tcW w:w="1684" w:type="dxa"/>
            <w:shd w:val="clear" w:color="auto" w:fill="auto"/>
          </w:tcPr>
          <w:p w14:paraId="5E228A42" w14:textId="77777777" w:rsidR="00362EB3" w:rsidRPr="00724226" w:rsidRDefault="00362EB3" w:rsidP="00541EE0">
            <w:pPr>
              <w:pStyle w:val="TableText0"/>
              <w:keepNext w:val="0"/>
              <w:ind w:left="111" w:right="117"/>
              <w:rPr>
                <w:rFonts w:ascii="Arial" w:hAnsi="Arial" w:cs="Arial"/>
                <w:snapToGrid w:val="0"/>
                <w:szCs w:val="20"/>
              </w:rPr>
            </w:pPr>
            <w:r w:rsidRPr="00724226">
              <w:rPr>
                <w:rFonts w:ascii="Arial" w:hAnsi="Arial" w:cs="Arial"/>
                <w:snapToGrid w:val="0"/>
                <w:szCs w:val="20"/>
              </w:rPr>
              <w:t>49/233 (21%)</w:t>
            </w:r>
          </w:p>
        </w:tc>
        <w:tc>
          <w:tcPr>
            <w:tcW w:w="1873" w:type="dxa"/>
            <w:shd w:val="clear" w:color="auto" w:fill="auto"/>
          </w:tcPr>
          <w:p w14:paraId="6E1EFE3C" w14:textId="77777777" w:rsidR="00362EB3" w:rsidRPr="00724226" w:rsidRDefault="00362EB3" w:rsidP="00541EE0">
            <w:pPr>
              <w:pStyle w:val="TableText0"/>
              <w:keepNext w:val="0"/>
              <w:ind w:left="77" w:right="117"/>
              <w:rPr>
                <w:rFonts w:ascii="Arial" w:hAnsi="Arial" w:cs="Arial"/>
                <w:snapToGrid w:val="0"/>
                <w:szCs w:val="20"/>
              </w:rPr>
            </w:pPr>
            <w:r w:rsidRPr="00724226">
              <w:rPr>
                <w:rFonts w:ascii="Arial" w:hAnsi="Arial" w:cs="Arial"/>
                <w:snapToGrid w:val="0"/>
                <w:szCs w:val="20"/>
              </w:rPr>
              <w:t>59/267 (22%)</w:t>
            </w:r>
          </w:p>
        </w:tc>
        <w:tc>
          <w:tcPr>
            <w:tcW w:w="1843" w:type="dxa"/>
            <w:shd w:val="clear" w:color="auto" w:fill="auto"/>
          </w:tcPr>
          <w:p w14:paraId="360C3218" w14:textId="77777777" w:rsidR="00362EB3" w:rsidRPr="00724226" w:rsidRDefault="00362EB3" w:rsidP="00541EE0">
            <w:pPr>
              <w:pStyle w:val="TableText0"/>
              <w:keepNext w:val="0"/>
              <w:ind w:left="41" w:right="117"/>
              <w:rPr>
                <w:rFonts w:ascii="Arial" w:hAnsi="Arial" w:cs="Arial"/>
                <w:snapToGrid w:val="0"/>
                <w:szCs w:val="20"/>
              </w:rPr>
            </w:pPr>
            <w:r w:rsidRPr="00724226">
              <w:rPr>
                <w:rFonts w:ascii="Arial" w:hAnsi="Arial" w:cs="Arial"/>
                <w:i/>
                <w:snapToGrid w:val="0"/>
                <w:szCs w:val="20"/>
              </w:rPr>
              <w:t>-1.1% (-8.3%; 6.2%)</w:t>
            </w:r>
          </w:p>
        </w:tc>
        <w:tc>
          <w:tcPr>
            <w:tcW w:w="1984" w:type="dxa"/>
            <w:shd w:val="clear" w:color="auto" w:fill="auto"/>
          </w:tcPr>
          <w:p w14:paraId="0CEA8496" w14:textId="77777777" w:rsidR="00362EB3" w:rsidRPr="00724226" w:rsidRDefault="00362EB3" w:rsidP="00541EE0">
            <w:pPr>
              <w:pStyle w:val="TableText0"/>
              <w:keepNext w:val="0"/>
              <w:ind w:right="117"/>
              <w:rPr>
                <w:rFonts w:ascii="Arial" w:hAnsi="Arial" w:cs="Arial"/>
                <w:snapToGrid w:val="0"/>
                <w:szCs w:val="20"/>
              </w:rPr>
            </w:pPr>
            <w:r w:rsidRPr="00724226">
              <w:rPr>
                <w:rFonts w:ascii="Arial" w:hAnsi="Arial" w:cs="Arial"/>
                <w:i/>
                <w:snapToGrid w:val="0"/>
                <w:szCs w:val="20"/>
              </w:rPr>
              <w:t>0.95 (0.68; 1.33)</w:t>
            </w:r>
          </w:p>
        </w:tc>
      </w:tr>
      <w:tr w:rsidR="00362EB3" w:rsidRPr="00724226" w14:paraId="4F93F354" w14:textId="77777777" w:rsidTr="002550BD">
        <w:trPr>
          <w:trHeight w:val="389"/>
          <w:tblHeader/>
        </w:trPr>
        <w:tc>
          <w:tcPr>
            <w:tcW w:w="1716" w:type="dxa"/>
            <w:shd w:val="clear" w:color="auto" w:fill="auto"/>
          </w:tcPr>
          <w:p w14:paraId="714BAF23" w14:textId="77777777" w:rsidR="00362EB3" w:rsidRPr="00724226" w:rsidRDefault="00362EB3" w:rsidP="00541EE0">
            <w:pPr>
              <w:pStyle w:val="TableText0"/>
              <w:keepNext w:val="0"/>
              <w:rPr>
                <w:rFonts w:ascii="Arial" w:hAnsi="Arial" w:cs="Arial"/>
                <w:snapToGrid w:val="0"/>
                <w:szCs w:val="20"/>
              </w:rPr>
            </w:pPr>
            <w:r w:rsidRPr="00724226">
              <w:rPr>
                <w:rFonts w:ascii="Arial" w:hAnsi="Arial" w:cs="Arial"/>
                <w:snapToGrid w:val="0"/>
                <w:szCs w:val="20"/>
              </w:rPr>
              <w:t>SWIFT PRIME</w:t>
            </w:r>
          </w:p>
        </w:tc>
        <w:tc>
          <w:tcPr>
            <w:tcW w:w="1684" w:type="dxa"/>
            <w:shd w:val="clear" w:color="auto" w:fill="auto"/>
          </w:tcPr>
          <w:p w14:paraId="092E725E" w14:textId="77777777" w:rsidR="00362EB3" w:rsidRPr="00724226" w:rsidRDefault="00362EB3" w:rsidP="00541EE0">
            <w:pPr>
              <w:pStyle w:val="TableText0"/>
              <w:keepNext w:val="0"/>
              <w:ind w:left="111" w:right="117"/>
              <w:rPr>
                <w:rFonts w:ascii="Arial" w:hAnsi="Arial" w:cs="Arial"/>
                <w:snapToGrid w:val="0"/>
                <w:szCs w:val="20"/>
              </w:rPr>
            </w:pPr>
            <w:r w:rsidRPr="00724226">
              <w:rPr>
                <w:rFonts w:ascii="Arial" w:hAnsi="Arial" w:cs="Arial"/>
                <w:snapToGrid w:val="0"/>
                <w:szCs w:val="20"/>
              </w:rPr>
              <w:t>9/98 (9.0%)</w:t>
            </w:r>
          </w:p>
        </w:tc>
        <w:tc>
          <w:tcPr>
            <w:tcW w:w="1873" w:type="dxa"/>
            <w:shd w:val="clear" w:color="auto" w:fill="auto"/>
          </w:tcPr>
          <w:p w14:paraId="55E64767" w14:textId="77777777" w:rsidR="00362EB3" w:rsidRPr="00724226" w:rsidRDefault="00362EB3" w:rsidP="00541EE0">
            <w:pPr>
              <w:pStyle w:val="TableText0"/>
              <w:keepNext w:val="0"/>
              <w:ind w:left="77" w:right="117"/>
              <w:rPr>
                <w:rFonts w:ascii="Arial" w:hAnsi="Arial" w:cs="Arial"/>
                <w:snapToGrid w:val="0"/>
                <w:szCs w:val="20"/>
              </w:rPr>
            </w:pPr>
            <w:r w:rsidRPr="00724226">
              <w:rPr>
                <w:rFonts w:ascii="Arial" w:hAnsi="Arial" w:cs="Arial"/>
                <w:snapToGrid w:val="0"/>
                <w:szCs w:val="20"/>
              </w:rPr>
              <w:t>12/97 (12.0%)</w:t>
            </w:r>
          </w:p>
        </w:tc>
        <w:tc>
          <w:tcPr>
            <w:tcW w:w="1843" w:type="dxa"/>
            <w:shd w:val="clear" w:color="auto" w:fill="auto"/>
          </w:tcPr>
          <w:p w14:paraId="7E4E30A7" w14:textId="77777777" w:rsidR="00362EB3" w:rsidRPr="00724226" w:rsidRDefault="00362EB3" w:rsidP="00541EE0">
            <w:pPr>
              <w:pStyle w:val="TableText0"/>
              <w:keepNext w:val="0"/>
              <w:ind w:left="41" w:right="117"/>
              <w:rPr>
                <w:rFonts w:ascii="Arial" w:hAnsi="Arial" w:cs="Arial"/>
                <w:snapToGrid w:val="0"/>
                <w:szCs w:val="20"/>
              </w:rPr>
            </w:pPr>
            <w:r w:rsidRPr="00724226">
              <w:rPr>
                <w:rFonts w:ascii="Arial" w:hAnsi="Arial" w:cs="Arial"/>
                <w:i/>
                <w:snapToGrid w:val="0"/>
                <w:szCs w:val="20"/>
              </w:rPr>
              <w:t>-3.2% (-11.9%; 5.5%)</w:t>
            </w:r>
          </w:p>
        </w:tc>
        <w:tc>
          <w:tcPr>
            <w:tcW w:w="1984" w:type="dxa"/>
            <w:shd w:val="clear" w:color="auto" w:fill="auto"/>
          </w:tcPr>
          <w:p w14:paraId="18AD68A3" w14:textId="77777777" w:rsidR="00362EB3" w:rsidRPr="00724226" w:rsidRDefault="00362EB3" w:rsidP="00541EE0">
            <w:pPr>
              <w:pStyle w:val="TableText0"/>
              <w:keepNext w:val="0"/>
              <w:ind w:right="117"/>
              <w:rPr>
                <w:rFonts w:ascii="Arial" w:hAnsi="Arial" w:cs="Arial"/>
                <w:snapToGrid w:val="0"/>
                <w:szCs w:val="20"/>
              </w:rPr>
            </w:pPr>
            <w:r w:rsidRPr="00724226">
              <w:rPr>
                <w:rFonts w:ascii="Arial" w:hAnsi="Arial" w:cs="Arial"/>
                <w:snapToGrid w:val="0"/>
                <w:szCs w:val="20"/>
              </w:rPr>
              <w:t>0.74 (0.33; 1.68)</w:t>
            </w:r>
          </w:p>
        </w:tc>
      </w:tr>
      <w:tr w:rsidR="00362EB3" w:rsidRPr="00724226" w14:paraId="60B3A560" w14:textId="77777777" w:rsidTr="002550BD">
        <w:trPr>
          <w:trHeight w:val="218"/>
          <w:tblHeader/>
        </w:trPr>
        <w:tc>
          <w:tcPr>
            <w:tcW w:w="1716" w:type="dxa"/>
            <w:shd w:val="clear" w:color="auto" w:fill="auto"/>
          </w:tcPr>
          <w:p w14:paraId="79EACD9B" w14:textId="62FEC907" w:rsidR="00362EB3" w:rsidRPr="00724226" w:rsidRDefault="00362EB3" w:rsidP="00541EE0">
            <w:pPr>
              <w:pStyle w:val="TableText0"/>
              <w:keepNext w:val="0"/>
              <w:rPr>
                <w:rFonts w:ascii="Arial" w:hAnsi="Arial" w:cs="Arial"/>
                <w:snapToGrid w:val="0"/>
                <w:szCs w:val="20"/>
              </w:rPr>
            </w:pPr>
            <w:r w:rsidRPr="00724226">
              <w:rPr>
                <w:rFonts w:ascii="Arial" w:hAnsi="Arial" w:cs="Arial"/>
                <w:b/>
                <w:snapToGrid w:val="0"/>
                <w:szCs w:val="20"/>
              </w:rPr>
              <w:t>Up to 8 hours</w:t>
            </w:r>
            <w:r>
              <w:rPr>
                <w:rFonts w:ascii="Arial" w:hAnsi="Arial" w:cs="Arial"/>
                <w:b/>
                <w:snapToGrid w:val="0"/>
                <w:szCs w:val="20"/>
              </w:rPr>
              <w:t>*</w:t>
            </w:r>
          </w:p>
        </w:tc>
        <w:tc>
          <w:tcPr>
            <w:tcW w:w="1684" w:type="dxa"/>
            <w:shd w:val="clear" w:color="auto" w:fill="auto"/>
          </w:tcPr>
          <w:p w14:paraId="5C128BEC" w14:textId="77777777" w:rsidR="00362EB3" w:rsidRPr="00724226" w:rsidRDefault="00362EB3" w:rsidP="00541EE0">
            <w:pPr>
              <w:pStyle w:val="TableText0"/>
              <w:keepNext w:val="0"/>
              <w:ind w:left="111" w:right="117"/>
              <w:rPr>
                <w:rFonts w:ascii="Arial" w:hAnsi="Arial" w:cs="Arial"/>
                <w:snapToGrid w:val="0"/>
                <w:szCs w:val="20"/>
              </w:rPr>
            </w:pPr>
          </w:p>
        </w:tc>
        <w:tc>
          <w:tcPr>
            <w:tcW w:w="1873" w:type="dxa"/>
            <w:shd w:val="clear" w:color="auto" w:fill="auto"/>
          </w:tcPr>
          <w:p w14:paraId="4E8ED478" w14:textId="77777777" w:rsidR="00362EB3" w:rsidRPr="00724226" w:rsidRDefault="00362EB3" w:rsidP="00541EE0">
            <w:pPr>
              <w:pStyle w:val="TableText0"/>
              <w:keepNext w:val="0"/>
              <w:ind w:left="77" w:right="117"/>
              <w:rPr>
                <w:rFonts w:ascii="Arial" w:hAnsi="Arial" w:cs="Arial"/>
                <w:snapToGrid w:val="0"/>
                <w:szCs w:val="20"/>
              </w:rPr>
            </w:pPr>
          </w:p>
        </w:tc>
        <w:tc>
          <w:tcPr>
            <w:tcW w:w="1843" w:type="dxa"/>
            <w:shd w:val="clear" w:color="auto" w:fill="auto"/>
          </w:tcPr>
          <w:p w14:paraId="5879E379" w14:textId="77777777" w:rsidR="00362EB3" w:rsidRPr="00724226" w:rsidRDefault="00362EB3" w:rsidP="00541EE0">
            <w:pPr>
              <w:pStyle w:val="TableText0"/>
              <w:keepNext w:val="0"/>
              <w:ind w:left="41" w:right="117"/>
              <w:rPr>
                <w:rFonts w:ascii="Arial" w:hAnsi="Arial" w:cs="Arial"/>
                <w:snapToGrid w:val="0"/>
                <w:szCs w:val="20"/>
              </w:rPr>
            </w:pPr>
          </w:p>
        </w:tc>
        <w:tc>
          <w:tcPr>
            <w:tcW w:w="1984" w:type="dxa"/>
            <w:shd w:val="clear" w:color="auto" w:fill="auto"/>
          </w:tcPr>
          <w:p w14:paraId="571877AA" w14:textId="77777777" w:rsidR="00362EB3" w:rsidRPr="00724226" w:rsidRDefault="00362EB3" w:rsidP="00541EE0">
            <w:pPr>
              <w:pStyle w:val="TableText0"/>
              <w:keepNext w:val="0"/>
              <w:ind w:right="117"/>
              <w:rPr>
                <w:rFonts w:ascii="Arial" w:hAnsi="Arial" w:cs="Arial"/>
                <w:snapToGrid w:val="0"/>
                <w:szCs w:val="20"/>
              </w:rPr>
            </w:pPr>
          </w:p>
        </w:tc>
      </w:tr>
      <w:tr w:rsidR="00362EB3" w:rsidRPr="00724226" w14:paraId="21C96FA8" w14:textId="77777777" w:rsidTr="002550BD">
        <w:trPr>
          <w:trHeight w:val="389"/>
          <w:tblHeader/>
        </w:trPr>
        <w:tc>
          <w:tcPr>
            <w:tcW w:w="1716" w:type="dxa"/>
            <w:shd w:val="clear" w:color="auto" w:fill="auto"/>
          </w:tcPr>
          <w:p w14:paraId="66DC2DF0" w14:textId="77777777" w:rsidR="00362EB3" w:rsidRPr="00724226" w:rsidRDefault="00362EB3" w:rsidP="00541EE0">
            <w:pPr>
              <w:pStyle w:val="TableText0"/>
              <w:keepNext w:val="0"/>
              <w:rPr>
                <w:rFonts w:ascii="Arial" w:hAnsi="Arial" w:cs="Arial"/>
                <w:snapToGrid w:val="0"/>
                <w:szCs w:val="20"/>
              </w:rPr>
            </w:pPr>
            <w:r w:rsidRPr="00724226">
              <w:rPr>
                <w:rFonts w:ascii="Arial" w:hAnsi="Arial" w:cs="Arial"/>
                <w:snapToGrid w:val="0"/>
                <w:szCs w:val="20"/>
              </w:rPr>
              <w:t>REVASCAT</w:t>
            </w:r>
          </w:p>
        </w:tc>
        <w:tc>
          <w:tcPr>
            <w:tcW w:w="1684" w:type="dxa"/>
            <w:shd w:val="clear" w:color="auto" w:fill="auto"/>
          </w:tcPr>
          <w:p w14:paraId="1FD0CA3B" w14:textId="77777777" w:rsidR="00362EB3" w:rsidRPr="00724226" w:rsidRDefault="00362EB3" w:rsidP="00541EE0">
            <w:pPr>
              <w:pStyle w:val="TableText0"/>
              <w:keepNext w:val="0"/>
              <w:ind w:left="111" w:right="117"/>
              <w:rPr>
                <w:rFonts w:ascii="Arial" w:hAnsi="Arial" w:cs="Arial"/>
                <w:snapToGrid w:val="0"/>
                <w:szCs w:val="20"/>
              </w:rPr>
            </w:pPr>
            <w:r w:rsidRPr="00724226">
              <w:rPr>
                <w:rFonts w:ascii="Arial" w:hAnsi="Arial" w:cs="Arial"/>
                <w:snapToGrid w:val="0"/>
                <w:szCs w:val="20"/>
              </w:rPr>
              <w:t>19/103 (18.4%)</w:t>
            </w:r>
          </w:p>
        </w:tc>
        <w:tc>
          <w:tcPr>
            <w:tcW w:w="1873" w:type="dxa"/>
            <w:shd w:val="clear" w:color="auto" w:fill="auto"/>
          </w:tcPr>
          <w:p w14:paraId="27EB08C9" w14:textId="77777777" w:rsidR="00362EB3" w:rsidRPr="00724226" w:rsidRDefault="00362EB3" w:rsidP="00541EE0">
            <w:pPr>
              <w:pStyle w:val="TableText0"/>
              <w:keepNext w:val="0"/>
              <w:ind w:left="77" w:right="117"/>
              <w:rPr>
                <w:rFonts w:ascii="Arial" w:hAnsi="Arial" w:cs="Arial"/>
                <w:snapToGrid w:val="0"/>
                <w:szCs w:val="20"/>
              </w:rPr>
            </w:pPr>
            <w:r w:rsidRPr="00724226">
              <w:rPr>
                <w:rFonts w:ascii="Arial" w:hAnsi="Arial" w:cs="Arial"/>
                <w:snapToGrid w:val="0"/>
                <w:szCs w:val="20"/>
              </w:rPr>
              <w:t>16/106 (15.5%)</w:t>
            </w:r>
          </w:p>
        </w:tc>
        <w:tc>
          <w:tcPr>
            <w:tcW w:w="1843" w:type="dxa"/>
            <w:shd w:val="clear" w:color="auto" w:fill="auto"/>
          </w:tcPr>
          <w:p w14:paraId="7EBCC834" w14:textId="77777777" w:rsidR="00362EB3" w:rsidRPr="00724226" w:rsidRDefault="00362EB3" w:rsidP="00541EE0">
            <w:pPr>
              <w:pStyle w:val="TableText0"/>
              <w:keepNext w:val="0"/>
              <w:ind w:left="41" w:right="117"/>
              <w:rPr>
                <w:rFonts w:ascii="Arial" w:hAnsi="Arial" w:cs="Arial"/>
                <w:snapToGrid w:val="0"/>
                <w:szCs w:val="20"/>
              </w:rPr>
            </w:pPr>
            <w:r w:rsidRPr="00724226">
              <w:rPr>
                <w:rFonts w:ascii="Arial" w:hAnsi="Arial" w:cs="Arial"/>
                <w:i/>
                <w:snapToGrid w:val="0"/>
                <w:szCs w:val="20"/>
              </w:rPr>
              <w:t>3.4% (-6.8%; 13.5%)</w:t>
            </w:r>
          </w:p>
        </w:tc>
        <w:tc>
          <w:tcPr>
            <w:tcW w:w="1984" w:type="dxa"/>
            <w:shd w:val="clear" w:color="auto" w:fill="auto"/>
          </w:tcPr>
          <w:p w14:paraId="2B597425" w14:textId="77777777" w:rsidR="00362EB3" w:rsidRPr="00724226" w:rsidRDefault="00362EB3" w:rsidP="00541EE0">
            <w:pPr>
              <w:pStyle w:val="TableText0"/>
              <w:keepNext w:val="0"/>
              <w:ind w:right="117"/>
              <w:rPr>
                <w:rFonts w:ascii="Arial" w:hAnsi="Arial" w:cs="Arial"/>
                <w:snapToGrid w:val="0"/>
                <w:szCs w:val="20"/>
              </w:rPr>
            </w:pPr>
            <w:r w:rsidRPr="00724226">
              <w:rPr>
                <w:rFonts w:ascii="Arial" w:hAnsi="Arial" w:cs="Arial"/>
                <w:snapToGrid w:val="0"/>
                <w:szCs w:val="20"/>
              </w:rPr>
              <w:t>1.2 (0.6; 2.2)</w:t>
            </w:r>
          </w:p>
        </w:tc>
      </w:tr>
      <w:tr w:rsidR="00362EB3" w:rsidRPr="00724226" w14:paraId="35E4A49D" w14:textId="77777777" w:rsidTr="002550BD">
        <w:trPr>
          <w:trHeight w:val="226"/>
          <w:tblHeader/>
        </w:trPr>
        <w:tc>
          <w:tcPr>
            <w:tcW w:w="1716" w:type="dxa"/>
            <w:shd w:val="clear" w:color="auto" w:fill="auto"/>
          </w:tcPr>
          <w:p w14:paraId="47CD4D0F" w14:textId="637308E7" w:rsidR="00362EB3" w:rsidRPr="00724226" w:rsidRDefault="00362EB3" w:rsidP="00541EE0">
            <w:pPr>
              <w:pStyle w:val="TableText0"/>
              <w:keepNext w:val="0"/>
              <w:rPr>
                <w:rFonts w:ascii="Arial" w:hAnsi="Arial" w:cs="Arial"/>
                <w:snapToGrid w:val="0"/>
                <w:szCs w:val="20"/>
              </w:rPr>
            </w:pPr>
            <w:r w:rsidRPr="00724226">
              <w:rPr>
                <w:rFonts w:ascii="Arial" w:hAnsi="Arial" w:cs="Arial"/>
                <w:b/>
                <w:snapToGrid w:val="0"/>
                <w:szCs w:val="20"/>
              </w:rPr>
              <w:t>Up to 12 hours</w:t>
            </w:r>
            <w:r>
              <w:rPr>
                <w:rFonts w:ascii="Arial" w:hAnsi="Arial" w:cs="Arial"/>
                <w:b/>
                <w:snapToGrid w:val="0"/>
                <w:szCs w:val="20"/>
              </w:rPr>
              <w:t>*</w:t>
            </w:r>
          </w:p>
        </w:tc>
        <w:tc>
          <w:tcPr>
            <w:tcW w:w="1684" w:type="dxa"/>
            <w:shd w:val="clear" w:color="auto" w:fill="auto"/>
          </w:tcPr>
          <w:p w14:paraId="10C204AA" w14:textId="77777777" w:rsidR="00362EB3" w:rsidRPr="00724226" w:rsidRDefault="00362EB3" w:rsidP="00541EE0">
            <w:pPr>
              <w:pStyle w:val="TableText0"/>
              <w:keepNext w:val="0"/>
              <w:ind w:left="111" w:right="117"/>
              <w:rPr>
                <w:rFonts w:ascii="Arial" w:hAnsi="Arial" w:cs="Arial"/>
                <w:snapToGrid w:val="0"/>
                <w:szCs w:val="20"/>
              </w:rPr>
            </w:pPr>
          </w:p>
        </w:tc>
        <w:tc>
          <w:tcPr>
            <w:tcW w:w="1873" w:type="dxa"/>
            <w:shd w:val="clear" w:color="auto" w:fill="auto"/>
          </w:tcPr>
          <w:p w14:paraId="7E39A247" w14:textId="77777777" w:rsidR="00362EB3" w:rsidRPr="00724226" w:rsidRDefault="00362EB3" w:rsidP="00541EE0">
            <w:pPr>
              <w:pStyle w:val="TableText0"/>
              <w:keepNext w:val="0"/>
              <w:ind w:left="77" w:right="117"/>
              <w:rPr>
                <w:rFonts w:ascii="Arial" w:hAnsi="Arial" w:cs="Arial"/>
                <w:snapToGrid w:val="0"/>
                <w:szCs w:val="20"/>
              </w:rPr>
            </w:pPr>
          </w:p>
        </w:tc>
        <w:tc>
          <w:tcPr>
            <w:tcW w:w="1843" w:type="dxa"/>
            <w:shd w:val="clear" w:color="auto" w:fill="auto"/>
          </w:tcPr>
          <w:p w14:paraId="04138AAA" w14:textId="77777777" w:rsidR="00362EB3" w:rsidRPr="00724226" w:rsidRDefault="00362EB3" w:rsidP="00541EE0">
            <w:pPr>
              <w:pStyle w:val="TableText0"/>
              <w:keepNext w:val="0"/>
              <w:ind w:left="41" w:right="117"/>
              <w:rPr>
                <w:rFonts w:ascii="Arial" w:hAnsi="Arial" w:cs="Arial"/>
                <w:snapToGrid w:val="0"/>
                <w:szCs w:val="20"/>
              </w:rPr>
            </w:pPr>
          </w:p>
        </w:tc>
        <w:tc>
          <w:tcPr>
            <w:tcW w:w="1984" w:type="dxa"/>
            <w:shd w:val="clear" w:color="auto" w:fill="auto"/>
          </w:tcPr>
          <w:p w14:paraId="7CBB3B73" w14:textId="77777777" w:rsidR="00362EB3" w:rsidRPr="00724226" w:rsidRDefault="00362EB3" w:rsidP="00541EE0">
            <w:pPr>
              <w:pStyle w:val="TableText0"/>
              <w:keepNext w:val="0"/>
              <w:ind w:right="117"/>
              <w:rPr>
                <w:rFonts w:ascii="Arial" w:hAnsi="Arial" w:cs="Arial"/>
                <w:snapToGrid w:val="0"/>
                <w:szCs w:val="20"/>
              </w:rPr>
            </w:pPr>
          </w:p>
        </w:tc>
      </w:tr>
      <w:tr w:rsidR="00362EB3" w:rsidRPr="00724226" w14:paraId="10EABED8" w14:textId="77777777" w:rsidTr="002550BD">
        <w:trPr>
          <w:trHeight w:val="389"/>
          <w:tblHeader/>
        </w:trPr>
        <w:tc>
          <w:tcPr>
            <w:tcW w:w="1716" w:type="dxa"/>
            <w:shd w:val="clear" w:color="auto" w:fill="auto"/>
          </w:tcPr>
          <w:p w14:paraId="1F8BDC00" w14:textId="77777777" w:rsidR="00362EB3" w:rsidRPr="00724226" w:rsidRDefault="00362EB3" w:rsidP="00541EE0">
            <w:pPr>
              <w:pStyle w:val="TableText0"/>
              <w:keepNext w:val="0"/>
              <w:rPr>
                <w:rFonts w:ascii="Arial" w:hAnsi="Arial" w:cs="Arial"/>
                <w:snapToGrid w:val="0"/>
                <w:szCs w:val="20"/>
              </w:rPr>
            </w:pPr>
            <w:r w:rsidRPr="00724226">
              <w:rPr>
                <w:rFonts w:ascii="Arial" w:hAnsi="Arial" w:cs="Arial"/>
                <w:snapToGrid w:val="0"/>
                <w:szCs w:val="20"/>
              </w:rPr>
              <w:t>ESCAPE</w:t>
            </w:r>
          </w:p>
        </w:tc>
        <w:tc>
          <w:tcPr>
            <w:tcW w:w="1684" w:type="dxa"/>
            <w:shd w:val="clear" w:color="auto" w:fill="auto"/>
          </w:tcPr>
          <w:p w14:paraId="7E4FDD0C" w14:textId="77777777" w:rsidR="00362EB3" w:rsidRPr="00724226" w:rsidRDefault="00362EB3" w:rsidP="00541EE0">
            <w:pPr>
              <w:pStyle w:val="TableText0"/>
              <w:keepNext w:val="0"/>
              <w:ind w:left="111" w:right="117"/>
              <w:rPr>
                <w:rFonts w:ascii="Arial" w:hAnsi="Arial" w:cs="Arial"/>
                <w:snapToGrid w:val="0"/>
                <w:szCs w:val="20"/>
              </w:rPr>
            </w:pPr>
            <w:r w:rsidRPr="00724226">
              <w:rPr>
                <w:rFonts w:ascii="Arial" w:hAnsi="Arial" w:cs="Arial"/>
                <w:snapToGrid w:val="0"/>
                <w:szCs w:val="20"/>
              </w:rPr>
              <w:t>17/164 (10.4%)</w:t>
            </w:r>
          </w:p>
        </w:tc>
        <w:tc>
          <w:tcPr>
            <w:tcW w:w="1873" w:type="dxa"/>
            <w:shd w:val="clear" w:color="auto" w:fill="auto"/>
          </w:tcPr>
          <w:p w14:paraId="58E000A8" w14:textId="77777777" w:rsidR="00362EB3" w:rsidRPr="00724226" w:rsidRDefault="00362EB3" w:rsidP="00541EE0">
            <w:pPr>
              <w:pStyle w:val="TableText0"/>
              <w:keepNext w:val="0"/>
              <w:ind w:left="77" w:right="117"/>
              <w:rPr>
                <w:rFonts w:ascii="Arial" w:hAnsi="Arial" w:cs="Arial"/>
                <w:snapToGrid w:val="0"/>
                <w:szCs w:val="20"/>
              </w:rPr>
            </w:pPr>
            <w:r w:rsidRPr="00724226">
              <w:rPr>
                <w:rFonts w:ascii="Arial" w:hAnsi="Arial" w:cs="Arial"/>
                <w:snapToGrid w:val="0"/>
                <w:szCs w:val="20"/>
              </w:rPr>
              <w:t>28/147 (19.0%)</w:t>
            </w:r>
          </w:p>
        </w:tc>
        <w:tc>
          <w:tcPr>
            <w:tcW w:w="1843" w:type="dxa"/>
            <w:shd w:val="clear" w:color="auto" w:fill="auto"/>
          </w:tcPr>
          <w:p w14:paraId="24860B11" w14:textId="77777777" w:rsidR="00362EB3" w:rsidRPr="00724226" w:rsidRDefault="00362EB3" w:rsidP="00541EE0">
            <w:pPr>
              <w:pStyle w:val="TableText0"/>
              <w:keepNext w:val="0"/>
              <w:ind w:left="41" w:right="117"/>
              <w:rPr>
                <w:rFonts w:ascii="Arial" w:hAnsi="Arial" w:cs="Arial"/>
                <w:snapToGrid w:val="0"/>
                <w:szCs w:val="20"/>
              </w:rPr>
            </w:pPr>
            <w:r w:rsidRPr="00724226">
              <w:rPr>
                <w:rFonts w:ascii="Arial" w:hAnsi="Arial" w:cs="Arial"/>
                <w:b/>
                <w:i/>
                <w:snapToGrid w:val="0"/>
                <w:szCs w:val="20"/>
              </w:rPr>
              <w:t>-8.7% (-16.6%; -0.8%)</w:t>
            </w:r>
          </w:p>
        </w:tc>
        <w:tc>
          <w:tcPr>
            <w:tcW w:w="1984" w:type="dxa"/>
            <w:shd w:val="clear" w:color="auto" w:fill="auto"/>
          </w:tcPr>
          <w:p w14:paraId="45636371" w14:textId="77777777" w:rsidR="00362EB3" w:rsidRPr="00724226" w:rsidRDefault="00362EB3" w:rsidP="00541EE0">
            <w:pPr>
              <w:pStyle w:val="TableText0"/>
              <w:keepNext w:val="0"/>
              <w:ind w:right="117"/>
              <w:rPr>
                <w:rFonts w:ascii="Arial" w:hAnsi="Arial" w:cs="Arial"/>
                <w:snapToGrid w:val="0"/>
                <w:szCs w:val="20"/>
              </w:rPr>
            </w:pPr>
            <w:r w:rsidRPr="00724226">
              <w:rPr>
                <w:rFonts w:ascii="Arial" w:hAnsi="Arial" w:cs="Arial"/>
                <w:i/>
                <w:snapToGrid w:val="0"/>
                <w:szCs w:val="20"/>
              </w:rPr>
              <w:t>0.5 (0.3; 1.0)</w:t>
            </w:r>
          </w:p>
        </w:tc>
      </w:tr>
      <w:tr w:rsidR="00362EB3" w:rsidRPr="00724226" w14:paraId="098DD230" w14:textId="77777777" w:rsidTr="002550BD">
        <w:trPr>
          <w:trHeight w:val="218"/>
          <w:tblHeader/>
        </w:trPr>
        <w:tc>
          <w:tcPr>
            <w:tcW w:w="1716" w:type="dxa"/>
            <w:tcBorders>
              <w:bottom w:val="single" w:sz="4" w:space="0" w:color="auto"/>
            </w:tcBorders>
            <w:shd w:val="clear" w:color="auto" w:fill="auto"/>
          </w:tcPr>
          <w:p w14:paraId="18A82150" w14:textId="77777777" w:rsidR="00362EB3" w:rsidRPr="00724226" w:rsidRDefault="00362EB3" w:rsidP="00541EE0">
            <w:pPr>
              <w:pStyle w:val="TableText0"/>
              <w:keepNext w:val="0"/>
              <w:rPr>
                <w:rFonts w:ascii="Arial" w:hAnsi="Arial" w:cs="Arial"/>
                <w:snapToGrid w:val="0"/>
                <w:szCs w:val="20"/>
              </w:rPr>
            </w:pPr>
            <w:r w:rsidRPr="00724226">
              <w:rPr>
                <w:rFonts w:ascii="Arial" w:hAnsi="Arial" w:cs="Arial"/>
                <w:b/>
                <w:snapToGrid w:val="0"/>
                <w:szCs w:val="20"/>
              </w:rPr>
              <w:t>Meta-analysis</w:t>
            </w:r>
          </w:p>
        </w:tc>
        <w:tc>
          <w:tcPr>
            <w:tcW w:w="1684" w:type="dxa"/>
            <w:tcBorders>
              <w:bottom w:val="single" w:sz="4" w:space="0" w:color="auto"/>
            </w:tcBorders>
            <w:shd w:val="clear" w:color="auto" w:fill="auto"/>
          </w:tcPr>
          <w:p w14:paraId="3B6CB837" w14:textId="77777777" w:rsidR="00362EB3" w:rsidRPr="00724226" w:rsidRDefault="00362EB3" w:rsidP="00541EE0">
            <w:pPr>
              <w:pStyle w:val="TableText0"/>
              <w:keepNext w:val="0"/>
              <w:ind w:left="111" w:right="117"/>
              <w:rPr>
                <w:rFonts w:ascii="Arial" w:hAnsi="Arial" w:cs="Arial"/>
                <w:snapToGrid w:val="0"/>
                <w:color w:val="FFFFFF" w:themeColor="background1"/>
                <w:szCs w:val="20"/>
              </w:rPr>
            </w:pPr>
          </w:p>
        </w:tc>
        <w:tc>
          <w:tcPr>
            <w:tcW w:w="1873" w:type="dxa"/>
            <w:tcBorders>
              <w:bottom w:val="single" w:sz="4" w:space="0" w:color="auto"/>
            </w:tcBorders>
            <w:shd w:val="clear" w:color="auto" w:fill="auto"/>
          </w:tcPr>
          <w:p w14:paraId="54E3ECAC" w14:textId="77777777" w:rsidR="00362EB3" w:rsidRPr="00724226" w:rsidRDefault="00362EB3" w:rsidP="00541EE0">
            <w:pPr>
              <w:pStyle w:val="TableText0"/>
              <w:keepNext w:val="0"/>
              <w:ind w:left="77" w:right="117"/>
              <w:rPr>
                <w:rFonts w:ascii="Arial" w:hAnsi="Arial" w:cs="Arial"/>
                <w:snapToGrid w:val="0"/>
                <w:color w:val="FFFFFF" w:themeColor="background1"/>
                <w:szCs w:val="20"/>
              </w:rPr>
            </w:pPr>
          </w:p>
        </w:tc>
        <w:tc>
          <w:tcPr>
            <w:tcW w:w="1843" w:type="dxa"/>
            <w:tcBorders>
              <w:bottom w:val="single" w:sz="4" w:space="0" w:color="auto"/>
            </w:tcBorders>
            <w:shd w:val="clear" w:color="auto" w:fill="auto"/>
          </w:tcPr>
          <w:p w14:paraId="46FB6264" w14:textId="77777777" w:rsidR="00362EB3" w:rsidRPr="00724226" w:rsidRDefault="00362EB3" w:rsidP="00541EE0">
            <w:pPr>
              <w:pStyle w:val="TableText0"/>
              <w:keepNext w:val="0"/>
              <w:ind w:left="41" w:right="117"/>
              <w:rPr>
                <w:rFonts w:ascii="Arial" w:hAnsi="Arial" w:cs="Arial"/>
                <w:snapToGrid w:val="0"/>
                <w:szCs w:val="20"/>
              </w:rPr>
            </w:pPr>
          </w:p>
        </w:tc>
        <w:tc>
          <w:tcPr>
            <w:tcW w:w="1984" w:type="dxa"/>
            <w:tcBorders>
              <w:bottom w:val="single" w:sz="4" w:space="0" w:color="auto"/>
            </w:tcBorders>
            <w:shd w:val="clear" w:color="auto" w:fill="auto"/>
          </w:tcPr>
          <w:p w14:paraId="34FA835A" w14:textId="77777777" w:rsidR="00362EB3" w:rsidRPr="00724226" w:rsidRDefault="00362EB3" w:rsidP="00541EE0">
            <w:pPr>
              <w:pStyle w:val="TableText0"/>
              <w:keepNext w:val="0"/>
              <w:ind w:right="117"/>
              <w:rPr>
                <w:rFonts w:ascii="Arial" w:hAnsi="Arial" w:cs="Arial"/>
                <w:snapToGrid w:val="0"/>
                <w:szCs w:val="20"/>
              </w:rPr>
            </w:pPr>
          </w:p>
        </w:tc>
      </w:tr>
      <w:tr w:rsidR="00362EB3" w:rsidRPr="00724226" w14:paraId="1F0863B7" w14:textId="77777777" w:rsidTr="002550BD">
        <w:trPr>
          <w:trHeight w:val="398"/>
          <w:tblHeader/>
        </w:trPr>
        <w:tc>
          <w:tcPr>
            <w:tcW w:w="1716" w:type="dxa"/>
            <w:tcBorders>
              <w:right w:val="single" w:sz="4" w:space="0" w:color="auto"/>
            </w:tcBorders>
            <w:shd w:val="clear" w:color="auto" w:fill="auto"/>
          </w:tcPr>
          <w:p w14:paraId="20C541A6" w14:textId="77777777" w:rsidR="00362EB3" w:rsidRPr="00724226" w:rsidRDefault="00362EB3" w:rsidP="00541EE0">
            <w:pPr>
              <w:pStyle w:val="TableText0"/>
              <w:keepNext w:val="0"/>
              <w:rPr>
                <w:rFonts w:ascii="Arial" w:hAnsi="Arial" w:cs="Arial"/>
                <w:i/>
                <w:snapToGrid w:val="0"/>
                <w:szCs w:val="20"/>
              </w:rPr>
            </w:pPr>
            <w:r w:rsidRPr="00724226">
              <w:rPr>
                <w:rFonts w:ascii="Arial" w:hAnsi="Arial" w:cs="Arial"/>
                <w:snapToGrid w:val="0"/>
                <w:szCs w:val="20"/>
              </w:rPr>
              <w:t>Goyal 2016</w:t>
            </w:r>
          </w:p>
        </w:tc>
        <w:tc>
          <w:tcPr>
            <w:tcW w:w="1684" w:type="dxa"/>
            <w:tcBorders>
              <w:left w:val="single" w:sz="4" w:space="0" w:color="auto"/>
              <w:right w:val="single" w:sz="4" w:space="0" w:color="auto"/>
            </w:tcBorders>
            <w:shd w:val="clear" w:color="auto" w:fill="auto"/>
          </w:tcPr>
          <w:p w14:paraId="67A28D44" w14:textId="77777777" w:rsidR="00362EB3" w:rsidRPr="00724226" w:rsidRDefault="00362EB3" w:rsidP="00541EE0">
            <w:pPr>
              <w:pStyle w:val="TableText0"/>
              <w:keepNext w:val="0"/>
              <w:ind w:left="111" w:right="117"/>
              <w:rPr>
                <w:rFonts w:ascii="Arial" w:hAnsi="Arial" w:cs="Arial"/>
                <w:snapToGrid w:val="0"/>
                <w:color w:val="FFFFFF" w:themeColor="background1"/>
                <w:szCs w:val="20"/>
              </w:rPr>
            </w:pPr>
            <w:r w:rsidRPr="00724226">
              <w:rPr>
                <w:rFonts w:ascii="Arial" w:hAnsi="Arial" w:cs="Arial"/>
                <w:snapToGrid w:val="0"/>
                <w:szCs w:val="20"/>
              </w:rPr>
              <w:t>97/633 (15.3%)</w:t>
            </w:r>
          </w:p>
        </w:tc>
        <w:tc>
          <w:tcPr>
            <w:tcW w:w="1873" w:type="dxa"/>
            <w:tcBorders>
              <w:left w:val="single" w:sz="4" w:space="0" w:color="auto"/>
              <w:right w:val="single" w:sz="4" w:space="0" w:color="auto"/>
            </w:tcBorders>
            <w:shd w:val="clear" w:color="auto" w:fill="auto"/>
          </w:tcPr>
          <w:p w14:paraId="621248DC" w14:textId="77777777" w:rsidR="00362EB3" w:rsidRPr="00724226" w:rsidRDefault="00362EB3" w:rsidP="00541EE0">
            <w:pPr>
              <w:pStyle w:val="TableText0"/>
              <w:keepNext w:val="0"/>
              <w:ind w:left="77" w:right="117"/>
              <w:rPr>
                <w:rFonts w:ascii="Arial" w:hAnsi="Arial" w:cs="Arial"/>
                <w:snapToGrid w:val="0"/>
                <w:color w:val="FFFFFF" w:themeColor="background1"/>
                <w:szCs w:val="20"/>
              </w:rPr>
            </w:pPr>
            <w:r w:rsidRPr="00724226">
              <w:rPr>
                <w:rFonts w:ascii="Arial" w:hAnsi="Arial" w:cs="Arial"/>
                <w:snapToGrid w:val="0"/>
                <w:szCs w:val="20"/>
              </w:rPr>
              <w:t>122/646 (18.9%)</w:t>
            </w:r>
          </w:p>
        </w:tc>
        <w:tc>
          <w:tcPr>
            <w:tcW w:w="1843" w:type="dxa"/>
            <w:tcBorders>
              <w:left w:val="single" w:sz="4" w:space="0" w:color="auto"/>
              <w:right w:val="single" w:sz="4" w:space="0" w:color="auto"/>
            </w:tcBorders>
            <w:shd w:val="clear" w:color="auto" w:fill="auto"/>
          </w:tcPr>
          <w:p w14:paraId="728213FC" w14:textId="77777777" w:rsidR="00362EB3" w:rsidRPr="00724226" w:rsidRDefault="00362EB3" w:rsidP="00541EE0">
            <w:pPr>
              <w:pStyle w:val="TableText0"/>
              <w:keepNext w:val="0"/>
              <w:ind w:left="41" w:right="117"/>
              <w:rPr>
                <w:rFonts w:ascii="Arial" w:hAnsi="Arial" w:cs="Arial"/>
                <w:snapToGrid w:val="0"/>
                <w:color w:val="FFFFFF" w:themeColor="background1"/>
                <w:szCs w:val="20"/>
              </w:rPr>
            </w:pPr>
            <w:r w:rsidRPr="00724226">
              <w:rPr>
                <w:rFonts w:ascii="Arial" w:hAnsi="Arial" w:cs="Arial"/>
                <w:i/>
                <w:snapToGrid w:val="0"/>
                <w:szCs w:val="20"/>
              </w:rPr>
              <w:t>-3.6% (-7.7%; 0.6%)</w:t>
            </w:r>
          </w:p>
        </w:tc>
        <w:tc>
          <w:tcPr>
            <w:tcW w:w="1984" w:type="dxa"/>
            <w:tcBorders>
              <w:left w:val="single" w:sz="4" w:space="0" w:color="auto"/>
            </w:tcBorders>
            <w:shd w:val="clear" w:color="auto" w:fill="auto"/>
          </w:tcPr>
          <w:p w14:paraId="03459240" w14:textId="77777777" w:rsidR="00362EB3" w:rsidRPr="00724226" w:rsidRDefault="00362EB3" w:rsidP="00541EE0">
            <w:pPr>
              <w:pStyle w:val="TableText0"/>
              <w:keepNext w:val="0"/>
              <w:ind w:right="117"/>
              <w:rPr>
                <w:rFonts w:ascii="Arial" w:hAnsi="Arial" w:cs="Arial"/>
                <w:snapToGrid w:val="0"/>
                <w:color w:val="FFFFFF" w:themeColor="background1"/>
                <w:szCs w:val="20"/>
              </w:rPr>
            </w:pPr>
            <w:r w:rsidRPr="00724226">
              <w:rPr>
                <w:rFonts w:ascii="Arial" w:hAnsi="Arial" w:cs="Arial"/>
                <w:i/>
                <w:snapToGrid w:val="0"/>
                <w:szCs w:val="20"/>
              </w:rPr>
              <w:t>0.83 (0.64; 1.03)</w:t>
            </w:r>
          </w:p>
        </w:tc>
      </w:tr>
    </w:tbl>
    <w:p w14:paraId="4F296D52" w14:textId="77777777" w:rsidR="00362EB3" w:rsidRDefault="00E50B3F" w:rsidP="002471BA">
      <w:pPr>
        <w:rPr>
          <w:rFonts w:ascii="Arial" w:hAnsi="Arial" w:cs="Arial"/>
          <w:snapToGrid w:val="0"/>
          <w:sz w:val="20"/>
          <w:lang w:eastAsia="en-US"/>
        </w:rPr>
      </w:pPr>
      <w:r w:rsidRPr="00724226">
        <w:rPr>
          <w:rFonts w:ascii="Arial" w:hAnsi="Arial" w:cs="Arial"/>
          <w:b/>
          <w:snapToGrid w:val="0"/>
          <w:sz w:val="20"/>
          <w:lang w:eastAsia="en-US"/>
        </w:rPr>
        <w:t xml:space="preserve">bold = </w:t>
      </w:r>
      <w:r w:rsidRPr="00724226">
        <w:rPr>
          <w:rFonts w:ascii="Arial" w:hAnsi="Arial" w:cs="Arial"/>
          <w:snapToGrid w:val="0"/>
          <w:sz w:val="20"/>
          <w:lang w:eastAsia="en-US"/>
        </w:rPr>
        <w:t>statistically significant; CI = confidence interval; MT = mechanical thrombectomy; RD = risk difference; RR = risk ratio.</w:t>
      </w:r>
    </w:p>
    <w:p w14:paraId="3C89D468" w14:textId="77777777" w:rsidR="00362EB3" w:rsidRPr="00356927" w:rsidRDefault="00362EB3" w:rsidP="00362EB3">
      <w:pPr>
        <w:rPr>
          <w:rFonts w:ascii="Arial" w:hAnsi="Arial" w:cs="Arial"/>
          <w:snapToGrid w:val="0"/>
          <w:sz w:val="16"/>
          <w:szCs w:val="16"/>
          <w:lang w:eastAsia="en-US"/>
        </w:rPr>
      </w:pPr>
      <w:r w:rsidRPr="00356927">
        <w:rPr>
          <w:rFonts w:ascii="Arial" w:hAnsi="Arial" w:cs="Arial"/>
          <w:snapToGrid w:val="0"/>
          <w:sz w:val="16"/>
          <w:szCs w:val="16"/>
          <w:lang w:eastAsia="en-US"/>
        </w:rPr>
        <w:t>* time to initiation of mechanical thrombectomy post stroke symptom onset</w:t>
      </w:r>
    </w:p>
    <w:p w14:paraId="1FE61B62" w14:textId="14DE6D20" w:rsidR="00BF444F" w:rsidRPr="00724226" w:rsidRDefault="00E50B3F" w:rsidP="002471BA">
      <w:pPr>
        <w:rPr>
          <w:rFonts w:ascii="Arial" w:hAnsi="Arial" w:cs="Arial"/>
          <w:b/>
          <w:sz w:val="20"/>
        </w:rPr>
      </w:pPr>
      <w:r w:rsidRPr="00724226">
        <w:rPr>
          <w:rFonts w:ascii="Arial" w:hAnsi="Arial" w:cs="Arial"/>
          <w:snapToGrid w:val="0"/>
          <w:sz w:val="20"/>
          <w:lang w:eastAsia="en-US"/>
        </w:rPr>
        <w:t xml:space="preserve"> </w:t>
      </w:r>
    </w:p>
    <w:p w14:paraId="59B5360C" w14:textId="7680D64B" w:rsidR="00104B02" w:rsidRDefault="00BF444F" w:rsidP="002471BA">
      <w:pPr>
        <w:rPr>
          <w:szCs w:val="24"/>
        </w:rPr>
      </w:pPr>
      <w:r w:rsidRPr="007B7C25">
        <w:rPr>
          <w:szCs w:val="24"/>
        </w:rPr>
        <w:t>The assessment report stated that MT is associated with an increased risk of certain complications compared to usual care alone; in particular, procedural complications and hematoma.</w:t>
      </w:r>
      <w:r>
        <w:rPr>
          <w:szCs w:val="24"/>
        </w:rPr>
        <w:t xml:space="preserve">  </w:t>
      </w:r>
      <w:r w:rsidRPr="00467E73">
        <w:t xml:space="preserve">However, </w:t>
      </w:r>
      <w:r>
        <w:t xml:space="preserve">suggested that </w:t>
      </w:r>
      <w:r w:rsidRPr="00467E73">
        <w:t>these risks should be balanced against the poor prognosis of many patients with AIS and the net benefits of treatment with MT in terms of functional outcomes.</w:t>
      </w:r>
    </w:p>
    <w:p w14:paraId="17E75416" w14:textId="77777777" w:rsidR="00104B02" w:rsidRDefault="00104B02" w:rsidP="002471BA">
      <w:pPr>
        <w:rPr>
          <w:szCs w:val="24"/>
        </w:rPr>
      </w:pPr>
    </w:p>
    <w:p w14:paraId="20918EC9" w14:textId="77777777" w:rsidR="002471BA" w:rsidRPr="007B7C25" w:rsidRDefault="002471BA" w:rsidP="002471BA">
      <w:pPr>
        <w:rPr>
          <w:szCs w:val="24"/>
        </w:rPr>
      </w:pPr>
      <w:r w:rsidRPr="007B7C25">
        <w:rPr>
          <w:szCs w:val="24"/>
        </w:rPr>
        <w:t xml:space="preserve">The </w:t>
      </w:r>
      <w:r>
        <w:rPr>
          <w:szCs w:val="24"/>
        </w:rPr>
        <w:t xml:space="preserve">assessment </w:t>
      </w:r>
      <w:r w:rsidR="007F7FF0">
        <w:rPr>
          <w:szCs w:val="24"/>
        </w:rPr>
        <w:t>report proposed</w:t>
      </w:r>
      <w:r>
        <w:rPr>
          <w:szCs w:val="24"/>
        </w:rPr>
        <w:t xml:space="preserve"> that </w:t>
      </w:r>
      <w:r w:rsidR="00104B02">
        <w:rPr>
          <w:szCs w:val="24"/>
        </w:rPr>
        <w:t xml:space="preserve">relative to usual care, </w:t>
      </w:r>
      <w:r w:rsidRPr="007B7C25">
        <w:rPr>
          <w:szCs w:val="24"/>
        </w:rPr>
        <w:t>MT is non-inferior in terms of safety.</w:t>
      </w:r>
    </w:p>
    <w:p w14:paraId="0B1F70BE" w14:textId="77777777" w:rsidR="00BC1364" w:rsidRPr="00F715D1" w:rsidRDefault="00BC1364" w:rsidP="00F715D1">
      <w:pPr>
        <w:pStyle w:val="Heading1"/>
      </w:pPr>
      <w:r w:rsidRPr="00F715D1">
        <w:t>Comparative effectiveness</w:t>
      </w:r>
    </w:p>
    <w:p w14:paraId="5034D395" w14:textId="77777777" w:rsidR="00E50B3F" w:rsidRPr="0074266A" w:rsidRDefault="00E50B3F" w:rsidP="009E2EFD">
      <w:pPr>
        <w:pStyle w:val="TFAbbrevs18"/>
        <w:keepNext w:val="0"/>
        <w:keepLines w:val="0"/>
        <w:widowControl w:val="0"/>
        <w:rPr>
          <w:rFonts w:ascii="Times New Roman" w:hAnsi="Times New Roman"/>
          <w:b/>
          <w:color w:val="auto"/>
          <w:sz w:val="24"/>
          <w:szCs w:val="24"/>
        </w:rPr>
      </w:pPr>
      <w:r w:rsidRPr="0074266A">
        <w:rPr>
          <w:rFonts w:ascii="Times New Roman" w:hAnsi="Times New Roman"/>
          <w:sz w:val="24"/>
          <w:szCs w:val="24"/>
        </w:rPr>
        <w:t>The primary outcome prese</w:t>
      </w:r>
      <w:r w:rsidR="00E015E6">
        <w:rPr>
          <w:rFonts w:ascii="Times New Roman" w:hAnsi="Times New Roman"/>
          <w:sz w:val="24"/>
          <w:szCs w:val="24"/>
        </w:rPr>
        <w:t>nted in the assessment report was</w:t>
      </w:r>
      <w:r w:rsidRPr="0074266A">
        <w:rPr>
          <w:rFonts w:ascii="Times New Roman" w:hAnsi="Times New Roman"/>
          <w:sz w:val="24"/>
          <w:szCs w:val="24"/>
        </w:rPr>
        <w:t xml:space="preserve"> the modified Rankin Scale (mRS) at 90 days, which is a measure of functional ability (the lower the mRS score the lower the degree of disability and increased functional independence).  </w:t>
      </w:r>
    </w:p>
    <w:p w14:paraId="15A5DB91" w14:textId="77777777" w:rsidR="00E50B3F" w:rsidRPr="008C45FA" w:rsidRDefault="00E50B3F" w:rsidP="009E2EFD">
      <w:pPr>
        <w:pStyle w:val="Summaryboxheading"/>
        <w:widowControl w:val="0"/>
        <w:spacing w:before="0" w:after="0" w:afterAutospacing="0" w:line="240" w:lineRule="auto"/>
        <w:rPr>
          <w:rStyle w:val="Emphasis"/>
          <w:rFonts w:ascii="Times New Roman" w:hAnsi="Times New Roman"/>
          <w:b w:val="0"/>
          <w:i w:val="0"/>
        </w:rPr>
      </w:pPr>
      <w:r w:rsidRPr="008C45FA">
        <w:rPr>
          <w:rFonts w:ascii="Times New Roman" w:hAnsi="Times New Roman" w:cs="Times New Roman"/>
          <w:b w:val="0"/>
          <w:sz w:val="24"/>
          <w:szCs w:val="24"/>
        </w:rPr>
        <w:t>In the meta</w:t>
      </w:r>
      <w:r w:rsidRPr="008C45FA">
        <w:rPr>
          <w:rStyle w:val="Emphasis"/>
          <w:rFonts w:ascii="Times New Roman" w:hAnsi="Times New Roman"/>
          <w:b w:val="0"/>
          <w:i w:val="0"/>
        </w:rPr>
        <w:t xml:space="preserve">-analysis of the </w:t>
      </w:r>
      <w:r w:rsidRPr="008C45FA">
        <w:rPr>
          <w:rFonts w:ascii="Times New Roman" w:hAnsi="Times New Roman" w:cs="Times New Roman"/>
          <w:b w:val="0"/>
          <w:sz w:val="24"/>
          <w:szCs w:val="24"/>
        </w:rPr>
        <w:t>individual</w:t>
      </w:r>
      <w:r w:rsidRPr="008C45FA">
        <w:rPr>
          <w:rStyle w:val="Emphasis"/>
          <w:rFonts w:ascii="Times New Roman" w:hAnsi="Times New Roman"/>
          <w:b w:val="0"/>
        </w:rPr>
        <w:t xml:space="preserve"> </w:t>
      </w:r>
      <w:r w:rsidRPr="008C45FA">
        <w:rPr>
          <w:rStyle w:val="Emphasis"/>
          <w:rFonts w:ascii="Times New Roman" w:hAnsi="Times New Roman"/>
          <w:b w:val="0"/>
          <w:i w:val="0"/>
        </w:rPr>
        <w:t>patient data from the five selected trials (Goyal et al. 2016):</w:t>
      </w:r>
    </w:p>
    <w:p w14:paraId="16E4F463" w14:textId="70629635" w:rsidR="00E50B3F" w:rsidRPr="007B7C25" w:rsidRDefault="00E50B3F" w:rsidP="008C45FA">
      <w:pPr>
        <w:pStyle w:val="ListParagraph"/>
        <w:numPr>
          <w:ilvl w:val="0"/>
          <w:numId w:val="29"/>
        </w:numPr>
        <w:rPr>
          <w:szCs w:val="24"/>
        </w:rPr>
      </w:pPr>
      <w:r w:rsidRPr="007B7C25">
        <w:rPr>
          <w:szCs w:val="24"/>
        </w:rPr>
        <w:lastRenderedPageBreak/>
        <w:t>There was a significantly reduced chance of disability measured with the mRS score at 90 days in patients assigned to MT compared with patients assigned to usual care (</w:t>
      </w:r>
      <w:r w:rsidR="008759F6">
        <w:rPr>
          <w:szCs w:val="24"/>
        </w:rPr>
        <w:t xml:space="preserve">adjusted common </w:t>
      </w:r>
      <w:r w:rsidRPr="007B7C25">
        <w:rPr>
          <w:szCs w:val="24"/>
        </w:rPr>
        <w:t>odds ratio = 2.</w:t>
      </w:r>
      <w:r w:rsidR="008759F6">
        <w:rPr>
          <w:szCs w:val="24"/>
        </w:rPr>
        <w:t>49</w:t>
      </w:r>
      <w:r w:rsidRPr="007B7C25">
        <w:rPr>
          <w:szCs w:val="24"/>
        </w:rPr>
        <w:t>; 95% CI 1.7</w:t>
      </w:r>
      <w:r w:rsidR="008759F6">
        <w:rPr>
          <w:szCs w:val="24"/>
        </w:rPr>
        <w:t>6</w:t>
      </w:r>
      <w:r w:rsidRPr="007B7C25">
        <w:rPr>
          <w:szCs w:val="24"/>
        </w:rPr>
        <w:t xml:space="preserve"> - 3.</w:t>
      </w:r>
      <w:r w:rsidR="008759F6">
        <w:rPr>
          <w:szCs w:val="24"/>
        </w:rPr>
        <w:t>53</w:t>
      </w:r>
      <w:r w:rsidRPr="007B7C25">
        <w:rPr>
          <w:szCs w:val="24"/>
        </w:rPr>
        <w:t>).</w:t>
      </w:r>
    </w:p>
    <w:p w14:paraId="688041F8" w14:textId="1F35207F" w:rsidR="00E50B3F" w:rsidRPr="007B7C25" w:rsidRDefault="00E50B3F" w:rsidP="00E50B3F">
      <w:pPr>
        <w:pStyle w:val="ListParagraph"/>
        <w:numPr>
          <w:ilvl w:val="0"/>
          <w:numId w:val="29"/>
        </w:numPr>
        <w:rPr>
          <w:szCs w:val="24"/>
        </w:rPr>
      </w:pPr>
      <w:r w:rsidRPr="007B7C25">
        <w:rPr>
          <w:szCs w:val="24"/>
        </w:rPr>
        <w:t>The proportion of patients with an mRS score 0-2 at 90 days was significantly higher in the intervention arm compared with the control arm (odds ratio 2.</w:t>
      </w:r>
      <w:r w:rsidR="00285EA9">
        <w:rPr>
          <w:szCs w:val="24"/>
        </w:rPr>
        <w:t>35</w:t>
      </w:r>
      <w:r w:rsidRPr="007B7C25">
        <w:rPr>
          <w:szCs w:val="24"/>
        </w:rPr>
        <w:t>; 95% CI 1.</w:t>
      </w:r>
      <w:r w:rsidR="00285EA9">
        <w:rPr>
          <w:szCs w:val="24"/>
        </w:rPr>
        <w:t>85</w:t>
      </w:r>
      <w:r w:rsidRPr="007B7C25">
        <w:rPr>
          <w:szCs w:val="24"/>
        </w:rPr>
        <w:t xml:space="preserve"> – </w:t>
      </w:r>
      <w:r w:rsidR="00285EA9">
        <w:rPr>
          <w:szCs w:val="24"/>
        </w:rPr>
        <w:t>2.98</w:t>
      </w:r>
      <w:r w:rsidRPr="007B7C25">
        <w:rPr>
          <w:szCs w:val="24"/>
        </w:rPr>
        <w:t>).</w:t>
      </w:r>
    </w:p>
    <w:p w14:paraId="1B6FB64A" w14:textId="77777777" w:rsidR="00E50B3F" w:rsidRDefault="00E50B3F" w:rsidP="00E50B3F">
      <w:pPr>
        <w:rPr>
          <w:szCs w:val="24"/>
        </w:rPr>
      </w:pPr>
    </w:p>
    <w:p w14:paraId="27B0FDA4" w14:textId="26B85734" w:rsidR="00E50B3F" w:rsidRPr="008C45FA" w:rsidRDefault="008C45FA" w:rsidP="008C45FA">
      <w:pPr>
        <w:pStyle w:val="Caption"/>
        <w:jc w:val="left"/>
        <w:rPr>
          <w:rFonts w:ascii="Arial" w:hAnsi="Arial"/>
        </w:rPr>
      </w:pPr>
      <w:r w:rsidRPr="008C45FA">
        <w:rPr>
          <w:rFonts w:ascii="Arial" w:hAnsi="Arial"/>
        </w:rPr>
        <w:t xml:space="preserve">Table </w:t>
      </w:r>
      <w:r w:rsidRPr="008C45FA">
        <w:rPr>
          <w:rFonts w:ascii="Arial" w:hAnsi="Arial"/>
        </w:rPr>
        <w:fldChar w:fldCharType="begin"/>
      </w:r>
      <w:r w:rsidRPr="008C45FA">
        <w:rPr>
          <w:rFonts w:ascii="Arial" w:hAnsi="Arial"/>
        </w:rPr>
        <w:instrText xml:space="preserve"> SEQ Table \* ARABIC </w:instrText>
      </w:r>
      <w:r w:rsidRPr="008C45FA">
        <w:rPr>
          <w:rFonts w:ascii="Arial" w:hAnsi="Arial"/>
        </w:rPr>
        <w:fldChar w:fldCharType="separate"/>
      </w:r>
      <w:r w:rsidR="00507263">
        <w:rPr>
          <w:rFonts w:ascii="Arial" w:hAnsi="Arial"/>
          <w:noProof/>
        </w:rPr>
        <w:t>3</w:t>
      </w:r>
      <w:r w:rsidRPr="008C45FA">
        <w:rPr>
          <w:rFonts w:ascii="Arial" w:hAnsi="Arial"/>
        </w:rPr>
        <w:fldChar w:fldCharType="end"/>
      </w:r>
      <w:r w:rsidR="0042605F">
        <w:rPr>
          <w:rFonts w:ascii="Arial" w:hAnsi="Arial"/>
        </w:rPr>
        <w:tab/>
      </w:r>
      <w:r w:rsidR="00051ED4">
        <w:rPr>
          <w:rFonts w:ascii="Arial" w:hAnsi="Arial"/>
        </w:rPr>
        <w:tab/>
      </w:r>
      <w:r w:rsidRPr="008C45FA">
        <w:rPr>
          <w:rFonts w:ascii="Arial" w:hAnsi="Arial"/>
          <w:snapToGrid w:val="0"/>
        </w:rPr>
        <w:t xml:space="preserve">Results </w:t>
      </w:r>
      <w:r w:rsidRPr="008C45FA">
        <w:rPr>
          <w:rStyle w:val="TablecaptionChar"/>
          <w:rFonts w:ascii="Arial" w:hAnsi="Arial"/>
        </w:rPr>
        <w:t>of key patient-relevant outcome across the randomised controlled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This table provides a summary of the findings in each study for the key patient-relevant outcome. Results for the intervention and comparator arms of each study are provided, along with an indication of the absolute difference and relative difference in results between the study arms. If the results across studies are meta-analysed, the results are also given."/>
      </w:tblPr>
      <w:tblGrid>
        <w:gridCol w:w="2298"/>
        <w:gridCol w:w="2410"/>
        <w:gridCol w:w="2267"/>
        <w:gridCol w:w="2107"/>
      </w:tblGrid>
      <w:tr w:rsidR="002550BD" w:rsidRPr="008C45FA" w14:paraId="5BB5A518" w14:textId="77777777" w:rsidTr="002550BD">
        <w:trPr>
          <w:tblHeader/>
        </w:trPr>
        <w:tc>
          <w:tcPr>
            <w:tcW w:w="1265" w:type="pct"/>
            <w:shd w:val="clear" w:color="auto" w:fill="auto"/>
          </w:tcPr>
          <w:p w14:paraId="4BFF3E5D" w14:textId="77777777" w:rsidR="00362EB3" w:rsidRPr="008C45FA" w:rsidRDefault="00362EB3" w:rsidP="00216A14">
            <w:pPr>
              <w:pStyle w:val="TableHeading"/>
              <w:keepNext w:val="0"/>
              <w:ind w:left="0" w:firstLine="0"/>
              <w:jc w:val="left"/>
              <w:rPr>
                <w:rFonts w:ascii="Arial" w:hAnsi="Arial" w:cs="Arial"/>
                <w:noProof w:val="0"/>
                <w:snapToGrid w:val="0"/>
                <w:lang w:eastAsia="en-US"/>
              </w:rPr>
            </w:pPr>
            <w:r w:rsidRPr="008C45FA">
              <w:rPr>
                <w:rFonts w:ascii="Arial" w:hAnsi="Arial" w:cs="Arial"/>
                <w:noProof w:val="0"/>
                <w:snapToGrid w:val="0"/>
                <w:lang w:eastAsia="en-US"/>
              </w:rPr>
              <w:t>Study ID</w:t>
            </w:r>
          </w:p>
        </w:tc>
        <w:tc>
          <w:tcPr>
            <w:tcW w:w="1327" w:type="pct"/>
            <w:shd w:val="clear" w:color="auto" w:fill="auto"/>
          </w:tcPr>
          <w:p w14:paraId="4EA69EFB" w14:textId="77777777" w:rsidR="00362EB3" w:rsidRPr="008C45FA" w:rsidRDefault="00362EB3" w:rsidP="00216A14">
            <w:pPr>
              <w:pStyle w:val="TableHeading"/>
              <w:keepNext w:val="0"/>
              <w:ind w:left="0" w:right="117" w:firstLine="0"/>
              <w:jc w:val="left"/>
              <w:rPr>
                <w:rFonts w:ascii="Arial" w:hAnsi="Arial" w:cs="Arial"/>
                <w:noProof w:val="0"/>
                <w:snapToGrid w:val="0"/>
                <w:lang w:eastAsia="en-US"/>
              </w:rPr>
            </w:pPr>
            <w:r w:rsidRPr="008C45FA">
              <w:rPr>
                <w:rFonts w:ascii="Arial" w:hAnsi="Arial" w:cs="Arial"/>
                <w:noProof w:val="0"/>
                <w:snapToGrid w:val="0"/>
                <w:lang w:eastAsia="en-US"/>
              </w:rPr>
              <w:t>MT + usual care</w:t>
            </w:r>
          </w:p>
        </w:tc>
        <w:tc>
          <w:tcPr>
            <w:tcW w:w="1248" w:type="pct"/>
            <w:shd w:val="clear" w:color="auto" w:fill="auto"/>
          </w:tcPr>
          <w:p w14:paraId="692DF29A" w14:textId="77777777" w:rsidR="00362EB3" w:rsidRPr="008C45FA" w:rsidRDefault="00362EB3" w:rsidP="00216A14">
            <w:pPr>
              <w:pStyle w:val="TableHeading"/>
              <w:keepNext w:val="0"/>
              <w:ind w:left="0" w:right="117" w:firstLine="0"/>
              <w:jc w:val="left"/>
              <w:rPr>
                <w:rFonts w:ascii="Arial" w:hAnsi="Arial" w:cs="Arial"/>
                <w:noProof w:val="0"/>
                <w:snapToGrid w:val="0"/>
                <w:lang w:eastAsia="en-US"/>
              </w:rPr>
            </w:pPr>
            <w:r w:rsidRPr="008C45FA">
              <w:rPr>
                <w:rFonts w:ascii="Arial" w:hAnsi="Arial" w:cs="Arial"/>
                <w:noProof w:val="0"/>
                <w:snapToGrid w:val="0"/>
                <w:lang w:eastAsia="en-US"/>
              </w:rPr>
              <w:t>Usual care</w:t>
            </w:r>
          </w:p>
        </w:tc>
        <w:tc>
          <w:tcPr>
            <w:tcW w:w="1161" w:type="pct"/>
            <w:shd w:val="clear" w:color="auto" w:fill="auto"/>
          </w:tcPr>
          <w:p w14:paraId="22C0DB9C" w14:textId="77777777" w:rsidR="00362EB3" w:rsidRPr="008C45FA" w:rsidRDefault="00362EB3" w:rsidP="00216A14">
            <w:pPr>
              <w:pStyle w:val="TableHeading"/>
              <w:keepNext w:val="0"/>
              <w:ind w:left="0" w:right="117" w:firstLine="0"/>
              <w:jc w:val="left"/>
              <w:rPr>
                <w:rFonts w:ascii="Arial" w:hAnsi="Arial" w:cs="Arial"/>
                <w:noProof w:val="0"/>
                <w:snapToGrid w:val="0"/>
                <w:lang w:eastAsia="en-US"/>
              </w:rPr>
            </w:pPr>
            <w:r w:rsidRPr="008C45FA">
              <w:rPr>
                <w:rFonts w:ascii="Arial" w:hAnsi="Arial" w:cs="Arial"/>
                <w:noProof w:val="0"/>
                <w:snapToGrid w:val="0"/>
                <w:lang w:eastAsia="en-US"/>
              </w:rPr>
              <w:t>Relative difference</w:t>
            </w:r>
          </w:p>
        </w:tc>
      </w:tr>
      <w:tr w:rsidR="002550BD" w:rsidRPr="008C45FA" w14:paraId="3FF85AF9" w14:textId="77777777" w:rsidTr="002550BD">
        <w:trPr>
          <w:tblHeader/>
        </w:trPr>
        <w:tc>
          <w:tcPr>
            <w:tcW w:w="1265" w:type="pct"/>
            <w:shd w:val="clear" w:color="auto" w:fill="auto"/>
            <w:vAlign w:val="center"/>
          </w:tcPr>
          <w:p w14:paraId="628B771D" w14:textId="77777777" w:rsidR="00362EB3" w:rsidRPr="008C45FA" w:rsidRDefault="00362EB3" w:rsidP="00216A14">
            <w:pPr>
              <w:pStyle w:val="TableText0"/>
              <w:keepNext w:val="0"/>
              <w:rPr>
                <w:rFonts w:ascii="Arial" w:hAnsi="Arial" w:cs="Arial"/>
                <w:b/>
                <w:snapToGrid w:val="0"/>
                <w:szCs w:val="20"/>
              </w:rPr>
            </w:pPr>
            <w:r w:rsidRPr="008C45FA">
              <w:rPr>
                <w:rFonts w:ascii="Arial" w:hAnsi="Arial" w:cs="Arial"/>
                <w:b/>
                <w:snapToGrid w:val="0"/>
                <w:szCs w:val="20"/>
              </w:rPr>
              <w:t>mRS at 90 days</w:t>
            </w:r>
          </w:p>
        </w:tc>
        <w:tc>
          <w:tcPr>
            <w:tcW w:w="1327" w:type="pct"/>
            <w:shd w:val="clear" w:color="auto" w:fill="auto"/>
            <w:vAlign w:val="center"/>
          </w:tcPr>
          <w:p w14:paraId="1E41409E" w14:textId="77777777" w:rsidR="00362EB3" w:rsidRPr="008C45FA" w:rsidRDefault="00362EB3" w:rsidP="00216A14">
            <w:pPr>
              <w:pStyle w:val="TableText0"/>
              <w:keepNext w:val="0"/>
              <w:ind w:left="111" w:right="117"/>
              <w:rPr>
                <w:rFonts w:ascii="Arial" w:hAnsi="Arial" w:cs="Arial"/>
                <w:b/>
                <w:snapToGrid w:val="0"/>
                <w:szCs w:val="20"/>
              </w:rPr>
            </w:pPr>
            <w:r w:rsidRPr="008C45FA">
              <w:rPr>
                <w:rFonts w:ascii="Arial" w:hAnsi="Arial" w:cs="Arial"/>
                <w:b/>
                <w:snapToGrid w:val="0"/>
                <w:szCs w:val="20"/>
              </w:rPr>
              <w:t>Median (IQR)</w:t>
            </w:r>
          </w:p>
        </w:tc>
        <w:tc>
          <w:tcPr>
            <w:tcW w:w="1248" w:type="pct"/>
            <w:shd w:val="clear" w:color="auto" w:fill="auto"/>
            <w:vAlign w:val="center"/>
          </w:tcPr>
          <w:p w14:paraId="4858AA51" w14:textId="77777777" w:rsidR="00362EB3" w:rsidRPr="008C45FA" w:rsidRDefault="00362EB3" w:rsidP="00216A14">
            <w:pPr>
              <w:pStyle w:val="TableText0"/>
              <w:keepNext w:val="0"/>
              <w:ind w:left="77" w:right="117"/>
              <w:rPr>
                <w:rFonts w:ascii="Arial" w:hAnsi="Arial" w:cs="Arial"/>
                <w:b/>
                <w:snapToGrid w:val="0"/>
                <w:szCs w:val="20"/>
              </w:rPr>
            </w:pPr>
            <w:r w:rsidRPr="008C45FA">
              <w:rPr>
                <w:rFonts w:ascii="Arial" w:hAnsi="Arial" w:cs="Arial"/>
                <w:b/>
                <w:snapToGrid w:val="0"/>
                <w:szCs w:val="20"/>
              </w:rPr>
              <w:t>Median (IQR)</w:t>
            </w:r>
          </w:p>
        </w:tc>
        <w:tc>
          <w:tcPr>
            <w:tcW w:w="1161" w:type="pct"/>
            <w:shd w:val="clear" w:color="auto" w:fill="auto"/>
            <w:vAlign w:val="center"/>
          </w:tcPr>
          <w:p w14:paraId="0C8AB2C1" w14:textId="48241090" w:rsidR="00362EB3" w:rsidRPr="008C45FA" w:rsidRDefault="00362EB3" w:rsidP="00216A14">
            <w:pPr>
              <w:pStyle w:val="TableText0"/>
              <w:keepNext w:val="0"/>
              <w:ind w:right="117"/>
              <w:rPr>
                <w:rFonts w:ascii="Arial" w:hAnsi="Arial" w:cs="Arial"/>
                <w:b/>
                <w:snapToGrid w:val="0"/>
                <w:szCs w:val="20"/>
              </w:rPr>
            </w:pPr>
            <w:r>
              <w:rPr>
                <w:rFonts w:ascii="Arial" w:hAnsi="Arial" w:cs="Arial"/>
                <w:b/>
                <w:snapToGrid w:val="0"/>
                <w:szCs w:val="20"/>
              </w:rPr>
              <w:t xml:space="preserve">Common </w:t>
            </w:r>
            <w:r w:rsidRPr="008C45FA">
              <w:rPr>
                <w:rFonts w:ascii="Arial" w:hAnsi="Arial" w:cs="Arial"/>
                <w:b/>
                <w:snapToGrid w:val="0"/>
                <w:szCs w:val="20"/>
              </w:rPr>
              <w:t>OR (95%CI)</w:t>
            </w:r>
          </w:p>
        </w:tc>
      </w:tr>
      <w:tr w:rsidR="002550BD" w:rsidRPr="008C45FA" w14:paraId="411E0BD3" w14:textId="77777777" w:rsidTr="002550BD">
        <w:trPr>
          <w:tblHeader/>
        </w:trPr>
        <w:tc>
          <w:tcPr>
            <w:tcW w:w="1265" w:type="pct"/>
            <w:shd w:val="clear" w:color="auto" w:fill="auto"/>
            <w:vAlign w:val="center"/>
          </w:tcPr>
          <w:p w14:paraId="35C6D986" w14:textId="7E5F83A3" w:rsidR="00362EB3" w:rsidRPr="008C45FA" w:rsidRDefault="00362EB3" w:rsidP="00216A14">
            <w:pPr>
              <w:pStyle w:val="TableText0"/>
              <w:keepNext w:val="0"/>
              <w:rPr>
                <w:rFonts w:ascii="Arial" w:hAnsi="Arial" w:cs="Arial"/>
                <w:snapToGrid w:val="0"/>
                <w:szCs w:val="20"/>
              </w:rPr>
            </w:pPr>
            <w:r w:rsidRPr="008C45FA">
              <w:rPr>
                <w:rFonts w:ascii="Arial" w:hAnsi="Arial" w:cs="Arial"/>
                <w:b/>
                <w:snapToGrid w:val="0"/>
                <w:szCs w:val="20"/>
              </w:rPr>
              <w:t>Up to 6 hours</w:t>
            </w:r>
            <w:r>
              <w:rPr>
                <w:rFonts w:ascii="Arial" w:hAnsi="Arial" w:cs="Arial"/>
                <w:b/>
                <w:snapToGrid w:val="0"/>
                <w:szCs w:val="20"/>
              </w:rPr>
              <w:t>*</w:t>
            </w:r>
          </w:p>
        </w:tc>
        <w:tc>
          <w:tcPr>
            <w:tcW w:w="1327" w:type="pct"/>
            <w:shd w:val="clear" w:color="auto" w:fill="auto"/>
            <w:vAlign w:val="center"/>
          </w:tcPr>
          <w:p w14:paraId="48225297" w14:textId="77777777" w:rsidR="00362EB3" w:rsidRPr="008C45FA" w:rsidRDefault="00362EB3" w:rsidP="00216A14">
            <w:pPr>
              <w:pStyle w:val="TableText0"/>
              <w:keepNext w:val="0"/>
              <w:ind w:left="111" w:right="117"/>
              <w:rPr>
                <w:rFonts w:ascii="Arial" w:hAnsi="Arial" w:cs="Arial"/>
                <w:snapToGrid w:val="0"/>
                <w:szCs w:val="20"/>
              </w:rPr>
            </w:pPr>
          </w:p>
        </w:tc>
        <w:tc>
          <w:tcPr>
            <w:tcW w:w="1248" w:type="pct"/>
            <w:shd w:val="clear" w:color="auto" w:fill="auto"/>
            <w:vAlign w:val="center"/>
          </w:tcPr>
          <w:p w14:paraId="67C75194" w14:textId="77777777" w:rsidR="00362EB3" w:rsidRPr="008C45FA" w:rsidRDefault="00362EB3" w:rsidP="00216A14">
            <w:pPr>
              <w:pStyle w:val="TableText0"/>
              <w:keepNext w:val="0"/>
              <w:ind w:left="77" w:right="117"/>
              <w:rPr>
                <w:rFonts w:ascii="Arial" w:hAnsi="Arial" w:cs="Arial"/>
                <w:snapToGrid w:val="0"/>
                <w:szCs w:val="20"/>
              </w:rPr>
            </w:pPr>
          </w:p>
        </w:tc>
        <w:tc>
          <w:tcPr>
            <w:tcW w:w="1161" w:type="pct"/>
            <w:shd w:val="clear" w:color="auto" w:fill="auto"/>
            <w:vAlign w:val="center"/>
          </w:tcPr>
          <w:p w14:paraId="64919C17" w14:textId="77777777" w:rsidR="00362EB3" w:rsidRPr="008C45FA" w:rsidRDefault="00362EB3" w:rsidP="00216A14">
            <w:pPr>
              <w:pStyle w:val="TableText0"/>
              <w:keepNext w:val="0"/>
              <w:ind w:right="117"/>
              <w:rPr>
                <w:rFonts w:ascii="Arial" w:hAnsi="Arial" w:cs="Arial"/>
                <w:snapToGrid w:val="0"/>
                <w:szCs w:val="20"/>
              </w:rPr>
            </w:pPr>
          </w:p>
        </w:tc>
      </w:tr>
      <w:tr w:rsidR="002550BD" w:rsidRPr="008C45FA" w14:paraId="229F8D99" w14:textId="77777777" w:rsidTr="002550BD">
        <w:trPr>
          <w:tblHeader/>
        </w:trPr>
        <w:tc>
          <w:tcPr>
            <w:tcW w:w="1265" w:type="pct"/>
            <w:shd w:val="clear" w:color="auto" w:fill="auto"/>
            <w:vAlign w:val="center"/>
          </w:tcPr>
          <w:p w14:paraId="38B885F4" w14:textId="77777777" w:rsidR="00362EB3" w:rsidRPr="008C45FA" w:rsidRDefault="00362EB3" w:rsidP="00216A14">
            <w:pPr>
              <w:pStyle w:val="TableText0"/>
              <w:keepNext w:val="0"/>
              <w:rPr>
                <w:rFonts w:ascii="Arial" w:hAnsi="Arial" w:cs="Arial"/>
                <w:snapToGrid w:val="0"/>
                <w:szCs w:val="20"/>
              </w:rPr>
            </w:pPr>
            <w:r w:rsidRPr="008C45FA">
              <w:rPr>
                <w:rFonts w:ascii="Arial" w:hAnsi="Arial" w:cs="Arial"/>
                <w:snapToGrid w:val="0"/>
                <w:szCs w:val="20"/>
              </w:rPr>
              <w:t>EXTEND-IA</w:t>
            </w:r>
          </w:p>
        </w:tc>
        <w:tc>
          <w:tcPr>
            <w:tcW w:w="1327" w:type="pct"/>
            <w:shd w:val="clear" w:color="auto" w:fill="auto"/>
            <w:vAlign w:val="center"/>
          </w:tcPr>
          <w:p w14:paraId="4EFA39B3" w14:textId="77777777" w:rsidR="00362EB3" w:rsidRPr="008C45FA" w:rsidRDefault="00362EB3" w:rsidP="00216A14">
            <w:pPr>
              <w:pStyle w:val="TableText0"/>
              <w:keepNext w:val="0"/>
              <w:ind w:left="111" w:right="117"/>
              <w:rPr>
                <w:rFonts w:ascii="Arial" w:hAnsi="Arial" w:cs="Arial"/>
                <w:snapToGrid w:val="0"/>
                <w:szCs w:val="20"/>
              </w:rPr>
            </w:pPr>
            <w:r w:rsidRPr="008C45FA">
              <w:rPr>
                <w:rFonts w:ascii="Arial" w:hAnsi="Arial" w:cs="Arial"/>
                <w:snapToGrid w:val="0"/>
                <w:szCs w:val="20"/>
              </w:rPr>
              <w:t>1 (0 – 3)</w:t>
            </w:r>
          </w:p>
        </w:tc>
        <w:tc>
          <w:tcPr>
            <w:tcW w:w="1248" w:type="pct"/>
            <w:shd w:val="clear" w:color="auto" w:fill="auto"/>
            <w:vAlign w:val="center"/>
          </w:tcPr>
          <w:p w14:paraId="70847831" w14:textId="77777777" w:rsidR="00362EB3" w:rsidRPr="008C45FA" w:rsidRDefault="00362EB3" w:rsidP="00216A14">
            <w:pPr>
              <w:pStyle w:val="TableText0"/>
              <w:keepNext w:val="0"/>
              <w:ind w:left="77" w:right="117"/>
              <w:rPr>
                <w:rFonts w:ascii="Arial" w:hAnsi="Arial" w:cs="Arial"/>
                <w:snapToGrid w:val="0"/>
                <w:szCs w:val="20"/>
              </w:rPr>
            </w:pPr>
            <w:r w:rsidRPr="008C45FA">
              <w:rPr>
                <w:rFonts w:ascii="Arial" w:hAnsi="Arial" w:cs="Arial"/>
                <w:snapToGrid w:val="0"/>
                <w:szCs w:val="20"/>
              </w:rPr>
              <w:t>3 (1 – 5)</w:t>
            </w:r>
          </w:p>
        </w:tc>
        <w:tc>
          <w:tcPr>
            <w:tcW w:w="1161" w:type="pct"/>
            <w:shd w:val="clear" w:color="auto" w:fill="auto"/>
            <w:vAlign w:val="center"/>
          </w:tcPr>
          <w:p w14:paraId="2503ECC8" w14:textId="77777777" w:rsidR="00362EB3" w:rsidRPr="008C45FA" w:rsidRDefault="00362EB3" w:rsidP="00216A14">
            <w:pPr>
              <w:pStyle w:val="TableText0"/>
              <w:keepNext w:val="0"/>
              <w:ind w:right="117"/>
              <w:rPr>
                <w:rFonts w:ascii="Arial" w:hAnsi="Arial" w:cs="Arial"/>
                <w:snapToGrid w:val="0"/>
                <w:szCs w:val="20"/>
              </w:rPr>
            </w:pPr>
            <w:r w:rsidRPr="008C45FA">
              <w:rPr>
                <w:rFonts w:ascii="Arial" w:hAnsi="Arial" w:cs="Arial"/>
                <w:b/>
                <w:snapToGrid w:val="0"/>
                <w:szCs w:val="20"/>
              </w:rPr>
              <w:t>2.1 (1.2; 3.8)</w:t>
            </w:r>
          </w:p>
        </w:tc>
      </w:tr>
      <w:tr w:rsidR="002550BD" w:rsidRPr="008C45FA" w14:paraId="283120CC" w14:textId="77777777" w:rsidTr="002550BD">
        <w:trPr>
          <w:tblHeader/>
        </w:trPr>
        <w:tc>
          <w:tcPr>
            <w:tcW w:w="1265" w:type="pct"/>
            <w:shd w:val="clear" w:color="auto" w:fill="auto"/>
            <w:vAlign w:val="center"/>
          </w:tcPr>
          <w:p w14:paraId="5E07F15C" w14:textId="77777777" w:rsidR="00362EB3" w:rsidRPr="008C45FA" w:rsidRDefault="00362EB3" w:rsidP="00216A14">
            <w:pPr>
              <w:pStyle w:val="TableText0"/>
              <w:keepNext w:val="0"/>
              <w:rPr>
                <w:rFonts w:ascii="Arial" w:hAnsi="Arial" w:cs="Arial"/>
                <w:snapToGrid w:val="0"/>
                <w:szCs w:val="20"/>
              </w:rPr>
            </w:pPr>
            <w:r w:rsidRPr="008C45FA">
              <w:rPr>
                <w:rFonts w:ascii="Arial" w:hAnsi="Arial" w:cs="Arial"/>
                <w:snapToGrid w:val="0"/>
                <w:szCs w:val="20"/>
              </w:rPr>
              <w:t>MR CLEAN</w:t>
            </w:r>
          </w:p>
        </w:tc>
        <w:tc>
          <w:tcPr>
            <w:tcW w:w="1327" w:type="pct"/>
            <w:shd w:val="clear" w:color="auto" w:fill="auto"/>
            <w:vAlign w:val="center"/>
          </w:tcPr>
          <w:p w14:paraId="69B779A5" w14:textId="77777777" w:rsidR="00362EB3" w:rsidRPr="008C45FA" w:rsidRDefault="00362EB3" w:rsidP="00216A14">
            <w:pPr>
              <w:pStyle w:val="TableText0"/>
              <w:keepNext w:val="0"/>
              <w:ind w:left="111" w:right="117"/>
              <w:rPr>
                <w:rFonts w:ascii="Arial" w:hAnsi="Arial" w:cs="Arial"/>
                <w:snapToGrid w:val="0"/>
                <w:szCs w:val="20"/>
              </w:rPr>
            </w:pPr>
            <w:r w:rsidRPr="008C45FA">
              <w:rPr>
                <w:rFonts w:ascii="Arial" w:hAnsi="Arial" w:cs="Arial"/>
                <w:snapToGrid w:val="0"/>
                <w:szCs w:val="20"/>
              </w:rPr>
              <w:t>3 (2 – 5)</w:t>
            </w:r>
          </w:p>
        </w:tc>
        <w:tc>
          <w:tcPr>
            <w:tcW w:w="1248" w:type="pct"/>
            <w:shd w:val="clear" w:color="auto" w:fill="auto"/>
            <w:vAlign w:val="center"/>
          </w:tcPr>
          <w:p w14:paraId="3EC2A4F4" w14:textId="77777777" w:rsidR="00362EB3" w:rsidRPr="008C45FA" w:rsidRDefault="00362EB3" w:rsidP="00216A14">
            <w:pPr>
              <w:pStyle w:val="TableText0"/>
              <w:keepNext w:val="0"/>
              <w:ind w:left="77" w:right="117"/>
              <w:rPr>
                <w:rFonts w:ascii="Arial" w:hAnsi="Arial" w:cs="Arial"/>
                <w:snapToGrid w:val="0"/>
                <w:szCs w:val="20"/>
              </w:rPr>
            </w:pPr>
            <w:r w:rsidRPr="008C45FA">
              <w:rPr>
                <w:rFonts w:ascii="Arial" w:hAnsi="Arial" w:cs="Arial"/>
                <w:snapToGrid w:val="0"/>
                <w:szCs w:val="20"/>
              </w:rPr>
              <w:t>4 (3 – 5)</w:t>
            </w:r>
          </w:p>
        </w:tc>
        <w:tc>
          <w:tcPr>
            <w:tcW w:w="1161" w:type="pct"/>
            <w:shd w:val="clear" w:color="auto" w:fill="auto"/>
            <w:vAlign w:val="center"/>
          </w:tcPr>
          <w:p w14:paraId="4C3F01B3" w14:textId="77777777" w:rsidR="00362EB3" w:rsidRPr="008C45FA" w:rsidRDefault="00362EB3" w:rsidP="00216A14">
            <w:pPr>
              <w:pStyle w:val="TableText0"/>
              <w:keepNext w:val="0"/>
              <w:ind w:right="117"/>
              <w:rPr>
                <w:rFonts w:ascii="Arial" w:hAnsi="Arial" w:cs="Arial"/>
                <w:snapToGrid w:val="0"/>
                <w:szCs w:val="20"/>
              </w:rPr>
            </w:pPr>
            <w:r w:rsidRPr="008C45FA">
              <w:rPr>
                <w:rFonts w:ascii="Arial" w:hAnsi="Arial" w:cs="Arial"/>
                <w:b/>
                <w:snapToGrid w:val="0"/>
                <w:szCs w:val="20"/>
              </w:rPr>
              <w:t>1.7 (1.2; 2.3)</w:t>
            </w:r>
          </w:p>
        </w:tc>
      </w:tr>
      <w:tr w:rsidR="002550BD" w:rsidRPr="008C45FA" w14:paraId="1B115E65" w14:textId="77777777" w:rsidTr="002550BD">
        <w:trPr>
          <w:tblHeader/>
        </w:trPr>
        <w:tc>
          <w:tcPr>
            <w:tcW w:w="1265" w:type="pct"/>
            <w:shd w:val="clear" w:color="auto" w:fill="auto"/>
            <w:vAlign w:val="center"/>
          </w:tcPr>
          <w:p w14:paraId="7FC3F3BE" w14:textId="77777777" w:rsidR="00362EB3" w:rsidRPr="008C45FA" w:rsidRDefault="00362EB3" w:rsidP="00216A14">
            <w:pPr>
              <w:pStyle w:val="TableText0"/>
              <w:keepNext w:val="0"/>
              <w:rPr>
                <w:rFonts w:ascii="Arial" w:hAnsi="Arial" w:cs="Arial"/>
                <w:snapToGrid w:val="0"/>
                <w:szCs w:val="20"/>
              </w:rPr>
            </w:pPr>
            <w:r w:rsidRPr="008C45FA">
              <w:rPr>
                <w:rFonts w:ascii="Arial" w:hAnsi="Arial" w:cs="Arial"/>
                <w:snapToGrid w:val="0"/>
                <w:szCs w:val="20"/>
              </w:rPr>
              <w:t>SWIFT PRIME</w:t>
            </w:r>
          </w:p>
        </w:tc>
        <w:tc>
          <w:tcPr>
            <w:tcW w:w="1327" w:type="pct"/>
            <w:shd w:val="clear" w:color="auto" w:fill="auto"/>
            <w:vAlign w:val="center"/>
          </w:tcPr>
          <w:p w14:paraId="6A09BB0E" w14:textId="77777777" w:rsidR="00362EB3" w:rsidRPr="008C45FA" w:rsidRDefault="00362EB3" w:rsidP="00216A14">
            <w:pPr>
              <w:pStyle w:val="TableText0"/>
              <w:keepNext w:val="0"/>
              <w:ind w:left="111" w:right="117"/>
              <w:rPr>
                <w:rFonts w:ascii="Arial" w:hAnsi="Arial" w:cs="Arial"/>
                <w:snapToGrid w:val="0"/>
                <w:szCs w:val="20"/>
              </w:rPr>
            </w:pPr>
            <w:r w:rsidRPr="008C45FA">
              <w:rPr>
                <w:rFonts w:ascii="Arial" w:hAnsi="Arial" w:cs="Arial"/>
                <w:snapToGrid w:val="0"/>
                <w:szCs w:val="20"/>
              </w:rPr>
              <w:t>2 (1 – 4)</w:t>
            </w:r>
          </w:p>
        </w:tc>
        <w:tc>
          <w:tcPr>
            <w:tcW w:w="1248" w:type="pct"/>
            <w:shd w:val="clear" w:color="auto" w:fill="auto"/>
            <w:vAlign w:val="center"/>
          </w:tcPr>
          <w:p w14:paraId="1259FDBA" w14:textId="77777777" w:rsidR="00362EB3" w:rsidRPr="008C45FA" w:rsidRDefault="00362EB3" w:rsidP="00216A14">
            <w:pPr>
              <w:pStyle w:val="TableText0"/>
              <w:keepNext w:val="0"/>
              <w:ind w:left="77" w:right="117"/>
              <w:rPr>
                <w:rFonts w:ascii="Arial" w:hAnsi="Arial" w:cs="Arial"/>
                <w:snapToGrid w:val="0"/>
                <w:szCs w:val="20"/>
              </w:rPr>
            </w:pPr>
            <w:r w:rsidRPr="008C45FA">
              <w:rPr>
                <w:rFonts w:ascii="Arial" w:hAnsi="Arial" w:cs="Arial"/>
                <w:snapToGrid w:val="0"/>
                <w:szCs w:val="20"/>
              </w:rPr>
              <w:t>3 (2 – 5)</w:t>
            </w:r>
          </w:p>
        </w:tc>
        <w:tc>
          <w:tcPr>
            <w:tcW w:w="1161" w:type="pct"/>
            <w:shd w:val="clear" w:color="auto" w:fill="auto"/>
            <w:vAlign w:val="center"/>
          </w:tcPr>
          <w:p w14:paraId="216782CB" w14:textId="77777777" w:rsidR="00362EB3" w:rsidRPr="008C45FA" w:rsidRDefault="00362EB3" w:rsidP="00216A14">
            <w:pPr>
              <w:pStyle w:val="TableText0"/>
              <w:keepNext w:val="0"/>
              <w:ind w:right="117"/>
              <w:rPr>
                <w:rFonts w:ascii="Arial" w:hAnsi="Arial" w:cs="Arial"/>
                <w:snapToGrid w:val="0"/>
                <w:szCs w:val="20"/>
              </w:rPr>
            </w:pPr>
            <w:r w:rsidRPr="008C45FA">
              <w:rPr>
                <w:rFonts w:ascii="Arial" w:hAnsi="Arial" w:cs="Arial"/>
                <w:b/>
                <w:snapToGrid w:val="0"/>
                <w:szCs w:val="20"/>
              </w:rPr>
              <w:t>2.6 (1.6; 2.9)</w:t>
            </w:r>
          </w:p>
        </w:tc>
      </w:tr>
      <w:tr w:rsidR="002550BD" w:rsidRPr="008C45FA" w14:paraId="5C37D978" w14:textId="77777777" w:rsidTr="002550BD">
        <w:trPr>
          <w:tblHeader/>
        </w:trPr>
        <w:tc>
          <w:tcPr>
            <w:tcW w:w="1265" w:type="pct"/>
            <w:shd w:val="clear" w:color="auto" w:fill="auto"/>
            <w:vAlign w:val="center"/>
          </w:tcPr>
          <w:p w14:paraId="045F0876" w14:textId="314A02C5" w:rsidR="00362EB3" w:rsidRPr="008C45FA" w:rsidRDefault="00362EB3" w:rsidP="00216A14">
            <w:pPr>
              <w:pStyle w:val="TableText0"/>
              <w:keepNext w:val="0"/>
              <w:rPr>
                <w:rFonts w:ascii="Arial" w:hAnsi="Arial" w:cs="Arial"/>
                <w:snapToGrid w:val="0"/>
                <w:szCs w:val="20"/>
              </w:rPr>
            </w:pPr>
            <w:r w:rsidRPr="008C45FA">
              <w:rPr>
                <w:rFonts w:ascii="Arial" w:hAnsi="Arial" w:cs="Arial"/>
                <w:b/>
                <w:snapToGrid w:val="0"/>
                <w:szCs w:val="20"/>
              </w:rPr>
              <w:t>Up to 8 hours</w:t>
            </w:r>
            <w:r>
              <w:rPr>
                <w:rFonts w:ascii="Arial" w:hAnsi="Arial" w:cs="Arial"/>
                <w:b/>
                <w:snapToGrid w:val="0"/>
                <w:szCs w:val="20"/>
              </w:rPr>
              <w:t>*</w:t>
            </w:r>
          </w:p>
        </w:tc>
        <w:tc>
          <w:tcPr>
            <w:tcW w:w="1327" w:type="pct"/>
            <w:shd w:val="clear" w:color="auto" w:fill="auto"/>
            <w:vAlign w:val="center"/>
          </w:tcPr>
          <w:p w14:paraId="04C51FB5" w14:textId="77777777" w:rsidR="00362EB3" w:rsidRPr="008C45FA" w:rsidRDefault="00362EB3" w:rsidP="00216A14">
            <w:pPr>
              <w:pStyle w:val="TableText0"/>
              <w:keepNext w:val="0"/>
              <w:ind w:left="111" w:right="117"/>
              <w:rPr>
                <w:rFonts w:ascii="Arial" w:hAnsi="Arial" w:cs="Arial"/>
                <w:snapToGrid w:val="0"/>
                <w:szCs w:val="20"/>
              </w:rPr>
            </w:pPr>
          </w:p>
        </w:tc>
        <w:tc>
          <w:tcPr>
            <w:tcW w:w="1248" w:type="pct"/>
            <w:shd w:val="clear" w:color="auto" w:fill="auto"/>
            <w:vAlign w:val="center"/>
          </w:tcPr>
          <w:p w14:paraId="195E21B2" w14:textId="77777777" w:rsidR="00362EB3" w:rsidRPr="008C45FA" w:rsidRDefault="00362EB3" w:rsidP="00216A14">
            <w:pPr>
              <w:pStyle w:val="TableText0"/>
              <w:keepNext w:val="0"/>
              <w:ind w:left="77" w:right="117"/>
              <w:rPr>
                <w:rFonts w:ascii="Arial" w:hAnsi="Arial" w:cs="Arial"/>
                <w:snapToGrid w:val="0"/>
                <w:szCs w:val="20"/>
              </w:rPr>
            </w:pPr>
          </w:p>
        </w:tc>
        <w:tc>
          <w:tcPr>
            <w:tcW w:w="1161" w:type="pct"/>
            <w:shd w:val="clear" w:color="auto" w:fill="auto"/>
            <w:vAlign w:val="center"/>
          </w:tcPr>
          <w:p w14:paraId="4B3F7351" w14:textId="77777777" w:rsidR="00362EB3" w:rsidRPr="008C45FA" w:rsidRDefault="00362EB3" w:rsidP="00216A14">
            <w:pPr>
              <w:pStyle w:val="TableText0"/>
              <w:keepNext w:val="0"/>
              <w:ind w:right="117"/>
              <w:rPr>
                <w:rFonts w:ascii="Arial" w:hAnsi="Arial" w:cs="Arial"/>
                <w:snapToGrid w:val="0"/>
                <w:szCs w:val="20"/>
              </w:rPr>
            </w:pPr>
          </w:p>
        </w:tc>
      </w:tr>
      <w:tr w:rsidR="002550BD" w:rsidRPr="008C45FA" w14:paraId="3400DE99" w14:textId="77777777" w:rsidTr="002550BD">
        <w:trPr>
          <w:tblHeader/>
        </w:trPr>
        <w:tc>
          <w:tcPr>
            <w:tcW w:w="1265" w:type="pct"/>
            <w:shd w:val="clear" w:color="auto" w:fill="auto"/>
            <w:vAlign w:val="center"/>
          </w:tcPr>
          <w:p w14:paraId="659EB1C6" w14:textId="77777777" w:rsidR="00362EB3" w:rsidRPr="008C45FA" w:rsidRDefault="00362EB3" w:rsidP="00216A14">
            <w:pPr>
              <w:pStyle w:val="TableText0"/>
              <w:keepNext w:val="0"/>
              <w:rPr>
                <w:rFonts w:ascii="Arial" w:hAnsi="Arial" w:cs="Arial"/>
                <w:snapToGrid w:val="0"/>
                <w:szCs w:val="20"/>
              </w:rPr>
            </w:pPr>
            <w:r w:rsidRPr="008C45FA">
              <w:rPr>
                <w:rFonts w:ascii="Arial" w:hAnsi="Arial" w:cs="Arial"/>
                <w:snapToGrid w:val="0"/>
                <w:szCs w:val="20"/>
              </w:rPr>
              <w:t>REVASCAT</w:t>
            </w:r>
          </w:p>
        </w:tc>
        <w:tc>
          <w:tcPr>
            <w:tcW w:w="1327" w:type="pct"/>
            <w:shd w:val="clear" w:color="auto" w:fill="auto"/>
            <w:vAlign w:val="center"/>
          </w:tcPr>
          <w:p w14:paraId="4E01DA50" w14:textId="77777777" w:rsidR="00362EB3" w:rsidRPr="008C45FA" w:rsidRDefault="00362EB3" w:rsidP="00216A14">
            <w:pPr>
              <w:pStyle w:val="TableText0"/>
              <w:keepNext w:val="0"/>
              <w:ind w:left="111" w:right="117"/>
              <w:rPr>
                <w:rFonts w:ascii="Arial" w:hAnsi="Arial" w:cs="Arial"/>
                <w:snapToGrid w:val="0"/>
                <w:szCs w:val="20"/>
              </w:rPr>
            </w:pPr>
            <w:r w:rsidRPr="008C45FA">
              <w:rPr>
                <w:rFonts w:ascii="Arial" w:hAnsi="Arial" w:cs="Arial"/>
                <w:snapToGrid w:val="0"/>
                <w:szCs w:val="20"/>
              </w:rPr>
              <w:t>NR</w:t>
            </w:r>
          </w:p>
        </w:tc>
        <w:tc>
          <w:tcPr>
            <w:tcW w:w="1248" w:type="pct"/>
            <w:shd w:val="clear" w:color="auto" w:fill="auto"/>
            <w:vAlign w:val="center"/>
          </w:tcPr>
          <w:p w14:paraId="3820FBA4" w14:textId="77777777" w:rsidR="00362EB3" w:rsidRPr="008C45FA" w:rsidRDefault="00362EB3" w:rsidP="00216A14">
            <w:pPr>
              <w:pStyle w:val="TableText0"/>
              <w:keepNext w:val="0"/>
              <w:ind w:left="77" w:right="117"/>
              <w:rPr>
                <w:rFonts w:ascii="Arial" w:hAnsi="Arial" w:cs="Arial"/>
                <w:snapToGrid w:val="0"/>
                <w:szCs w:val="20"/>
              </w:rPr>
            </w:pPr>
            <w:r w:rsidRPr="008C45FA">
              <w:rPr>
                <w:rFonts w:ascii="Arial" w:hAnsi="Arial" w:cs="Arial"/>
                <w:snapToGrid w:val="0"/>
                <w:szCs w:val="20"/>
              </w:rPr>
              <w:t>NR</w:t>
            </w:r>
          </w:p>
        </w:tc>
        <w:tc>
          <w:tcPr>
            <w:tcW w:w="1161" w:type="pct"/>
            <w:shd w:val="clear" w:color="auto" w:fill="auto"/>
            <w:vAlign w:val="center"/>
          </w:tcPr>
          <w:p w14:paraId="64628E7B" w14:textId="77777777" w:rsidR="00362EB3" w:rsidRPr="008C45FA" w:rsidRDefault="00362EB3" w:rsidP="00216A14">
            <w:pPr>
              <w:pStyle w:val="TableText0"/>
              <w:keepNext w:val="0"/>
              <w:ind w:right="117"/>
              <w:rPr>
                <w:rFonts w:ascii="Arial" w:hAnsi="Arial" w:cs="Arial"/>
                <w:snapToGrid w:val="0"/>
                <w:szCs w:val="20"/>
              </w:rPr>
            </w:pPr>
            <w:r w:rsidRPr="008C45FA">
              <w:rPr>
                <w:rFonts w:ascii="Arial" w:hAnsi="Arial" w:cs="Arial"/>
                <w:b/>
                <w:snapToGrid w:val="0"/>
                <w:szCs w:val="20"/>
              </w:rPr>
              <w:t>1.7 (1.0; 2.7)</w:t>
            </w:r>
          </w:p>
        </w:tc>
      </w:tr>
      <w:tr w:rsidR="002550BD" w:rsidRPr="008C45FA" w14:paraId="5368637C" w14:textId="77777777" w:rsidTr="002550BD">
        <w:trPr>
          <w:tblHeader/>
        </w:trPr>
        <w:tc>
          <w:tcPr>
            <w:tcW w:w="1265" w:type="pct"/>
            <w:shd w:val="clear" w:color="auto" w:fill="auto"/>
            <w:vAlign w:val="center"/>
          </w:tcPr>
          <w:p w14:paraId="20686C39" w14:textId="7F591176" w:rsidR="00362EB3" w:rsidRPr="008C45FA" w:rsidRDefault="00362EB3" w:rsidP="00216A14">
            <w:pPr>
              <w:pStyle w:val="TableText0"/>
              <w:keepNext w:val="0"/>
              <w:rPr>
                <w:rFonts w:ascii="Arial" w:hAnsi="Arial" w:cs="Arial"/>
                <w:snapToGrid w:val="0"/>
                <w:szCs w:val="20"/>
              </w:rPr>
            </w:pPr>
            <w:r w:rsidRPr="008C45FA">
              <w:rPr>
                <w:rFonts w:ascii="Arial" w:hAnsi="Arial" w:cs="Arial"/>
                <w:b/>
                <w:snapToGrid w:val="0"/>
                <w:szCs w:val="20"/>
              </w:rPr>
              <w:t>Up to 12 hours</w:t>
            </w:r>
            <w:r>
              <w:rPr>
                <w:rFonts w:ascii="Arial" w:hAnsi="Arial" w:cs="Arial"/>
                <w:b/>
                <w:snapToGrid w:val="0"/>
                <w:szCs w:val="20"/>
              </w:rPr>
              <w:t>*</w:t>
            </w:r>
          </w:p>
        </w:tc>
        <w:tc>
          <w:tcPr>
            <w:tcW w:w="1327" w:type="pct"/>
            <w:shd w:val="clear" w:color="auto" w:fill="auto"/>
            <w:vAlign w:val="center"/>
          </w:tcPr>
          <w:p w14:paraId="3BC8946C" w14:textId="77777777" w:rsidR="00362EB3" w:rsidRPr="008C45FA" w:rsidRDefault="00362EB3" w:rsidP="00216A14">
            <w:pPr>
              <w:pStyle w:val="TableText0"/>
              <w:keepNext w:val="0"/>
              <w:ind w:left="111" w:right="117"/>
              <w:rPr>
                <w:rFonts w:ascii="Arial" w:hAnsi="Arial" w:cs="Arial"/>
                <w:snapToGrid w:val="0"/>
                <w:szCs w:val="20"/>
              </w:rPr>
            </w:pPr>
          </w:p>
        </w:tc>
        <w:tc>
          <w:tcPr>
            <w:tcW w:w="1248" w:type="pct"/>
            <w:shd w:val="clear" w:color="auto" w:fill="auto"/>
            <w:vAlign w:val="center"/>
          </w:tcPr>
          <w:p w14:paraId="18F2BB78" w14:textId="77777777" w:rsidR="00362EB3" w:rsidRPr="008C45FA" w:rsidRDefault="00362EB3" w:rsidP="00216A14">
            <w:pPr>
              <w:pStyle w:val="TableText0"/>
              <w:keepNext w:val="0"/>
              <w:ind w:left="77" w:right="117"/>
              <w:rPr>
                <w:rFonts w:ascii="Arial" w:hAnsi="Arial" w:cs="Arial"/>
                <w:snapToGrid w:val="0"/>
                <w:szCs w:val="20"/>
              </w:rPr>
            </w:pPr>
          </w:p>
        </w:tc>
        <w:tc>
          <w:tcPr>
            <w:tcW w:w="1161" w:type="pct"/>
            <w:shd w:val="clear" w:color="auto" w:fill="auto"/>
            <w:vAlign w:val="center"/>
          </w:tcPr>
          <w:p w14:paraId="330EA1F8" w14:textId="77777777" w:rsidR="00362EB3" w:rsidRPr="008C45FA" w:rsidRDefault="00362EB3" w:rsidP="00216A14">
            <w:pPr>
              <w:pStyle w:val="TableText0"/>
              <w:keepNext w:val="0"/>
              <w:ind w:right="117"/>
              <w:rPr>
                <w:rFonts w:ascii="Arial" w:hAnsi="Arial" w:cs="Arial"/>
                <w:snapToGrid w:val="0"/>
                <w:szCs w:val="20"/>
              </w:rPr>
            </w:pPr>
          </w:p>
        </w:tc>
      </w:tr>
      <w:tr w:rsidR="002550BD" w:rsidRPr="008C45FA" w14:paraId="3719D2E2" w14:textId="77777777" w:rsidTr="002550BD">
        <w:trPr>
          <w:tblHeader/>
        </w:trPr>
        <w:tc>
          <w:tcPr>
            <w:tcW w:w="1265" w:type="pct"/>
            <w:shd w:val="clear" w:color="auto" w:fill="auto"/>
            <w:vAlign w:val="center"/>
          </w:tcPr>
          <w:p w14:paraId="66BD7552" w14:textId="77777777" w:rsidR="00362EB3" w:rsidRPr="008C45FA" w:rsidRDefault="00362EB3" w:rsidP="00216A14">
            <w:pPr>
              <w:pStyle w:val="TableText0"/>
              <w:keepNext w:val="0"/>
              <w:rPr>
                <w:rFonts w:ascii="Arial" w:hAnsi="Arial" w:cs="Arial"/>
                <w:snapToGrid w:val="0"/>
                <w:szCs w:val="20"/>
              </w:rPr>
            </w:pPr>
            <w:r w:rsidRPr="008C45FA">
              <w:rPr>
                <w:rFonts w:ascii="Arial" w:hAnsi="Arial" w:cs="Arial"/>
                <w:snapToGrid w:val="0"/>
                <w:szCs w:val="20"/>
              </w:rPr>
              <w:t>ESCAPE</w:t>
            </w:r>
          </w:p>
        </w:tc>
        <w:tc>
          <w:tcPr>
            <w:tcW w:w="1327" w:type="pct"/>
            <w:shd w:val="clear" w:color="auto" w:fill="auto"/>
            <w:vAlign w:val="center"/>
          </w:tcPr>
          <w:p w14:paraId="04C85896" w14:textId="77777777" w:rsidR="00362EB3" w:rsidRPr="008C45FA" w:rsidRDefault="00362EB3" w:rsidP="00216A14">
            <w:pPr>
              <w:pStyle w:val="TableText0"/>
              <w:keepNext w:val="0"/>
              <w:ind w:left="111" w:right="117"/>
              <w:rPr>
                <w:rFonts w:ascii="Arial" w:hAnsi="Arial" w:cs="Arial"/>
                <w:snapToGrid w:val="0"/>
                <w:szCs w:val="20"/>
              </w:rPr>
            </w:pPr>
            <w:r w:rsidRPr="008C45FA">
              <w:rPr>
                <w:rFonts w:ascii="Arial" w:hAnsi="Arial" w:cs="Arial"/>
                <w:snapToGrid w:val="0"/>
                <w:szCs w:val="20"/>
              </w:rPr>
              <w:t>NR</w:t>
            </w:r>
          </w:p>
        </w:tc>
        <w:tc>
          <w:tcPr>
            <w:tcW w:w="1248" w:type="pct"/>
            <w:shd w:val="clear" w:color="auto" w:fill="auto"/>
            <w:vAlign w:val="center"/>
          </w:tcPr>
          <w:p w14:paraId="14FB1ACE" w14:textId="77777777" w:rsidR="00362EB3" w:rsidRPr="008C45FA" w:rsidRDefault="00362EB3" w:rsidP="00216A14">
            <w:pPr>
              <w:pStyle w:val="TableText0"/>
              <w:keepNext w:val="0"/>
              <w:ind w:left="77" w:right="117"/>
              <w:rPr>
                <w:rFonts w:ascii="Arial" w:hAnsi="Arial" w:cs="Arial"/>
                <w:snapToGrid w:val="0"/>
                <w:szCs w:val="20"/>
              </w:rPr>
            </w:pPr>
            <w:r w:rsidRPr="008C45FA">
              <w:rPr>
                <w:rFonts w:ascii="Arial" w:hAnsi="Arial" w:cs="Arial"/>
                <w:snapToGrid w:val="0"/>
                <w:szCs w:val="20"/>
              </w:rPr>
              <w:t>NR</w:t>
            </w:r>
          </w:p>
        </w:tc>
        <w:tc>
          <w:tcPr>
            <w:tcW w:w="1161" w:type="pct"/>
            <w:shd w:val="clear" w:color="auto" w:fill="auto"/>
            <w:vAlign w:val="center"/>
          </w:tcPr>
          <w:p w14:paraId="0040200A" w14:textId="77777777" w:rsidR="00362EB3" w:rsidRPr="008C45FA" w:rsidRDefault="00362EB3" w:rsidP="00216A14">
            <w:pPr>
              <w:pStyle w:val="TableText0"/>
              <w:keepNext w:val="0"/>
              <w:ind w:right="117"/>
              <w:rPr>
                <w:rFonts w:ascii="Arial" w:hAnsi="Arial" w:cs="Arial"/>
                <w:snapToGrid w:val="0"/>
                <w:szCs w:val="20"/>
              </w:rPr>
            </w:pPr>
            <w:r w:rsidRPr="008C45FA">
              <w:rPr>
                <w:rFonts w:ascii="Arial" w:hAnsi="Arial" w:cs="Arial"/>
                <w:b/>
                <w:snapToGrid w:val="0"/>
                <w:szCs w:val="20"/>
              </w:rPr>
              <w:t>2.6 (1.7; 3.8)</w:t>
            </w:r>
          </w:p>
        </w:tc>
      </w:tr>
      <w:tr w:rsidR="002550BD" w:rsidRPr="008C45FA" w14:paraId="02ADB6AA" w14:textId="77777777" w:rsidTr="002550BD">
        <w:trPr>
          <w:tblHeader/>
        </w:trPr>
        <w:tc>
          <w:tcPr>
            <w:tcW w:w="1265" w:type="pct"/>
            <w:tcBorders>
              <w:bottom w:val="single" w:sz="4" w:space="0" w:color="auto"/>
            </w:tcBorders>
            <w:shd w:val="clear" w:color="auto" w:fill="auto"/>
            <w:vAlign w:val="center"/>
          </w:tcPr>
          <w:p w14:paraId="74BC0B3B" w14:textId="77777777" w:rsidR="00362EB3" w:rsidRPr="008C45FA" w:rsidRDefault="00362EB3" w:rsidP="00216A14">
            <w:pPr>
              <w:pStyle w:val="TableText0"/>
              <w:keepNext w:val="0"/>
              <w:rPr>
                <w:rFonts w:ascii="Arial" w:hAnsi="Arial" w:cs="Arial"/>
                <w:snapToGrid w:val="0"/>
                <w:szCs w:val="20"/>
              </w:rPr>
            </w:pPr>
            <w:r w:rsidRPr="008C45FA">
              <w:rPr>
                <w:rFonts w:ascii="Arial" w:hAnsi="Arial" w:cs="Arial"/>
                <w:b/>
                <w:snapToGrid w:val="0"/>
                <w:szCs w:val="20"/>
              </w:rPr>
              <w:t>Meta-analysis</w:t>
            </w:r>
          </w:p>
        </w:tc>
        <w:tc>
          <w:tcPr>
            <w:tcW w:w="1327" w:type="pct"/>
            <w:tcBorders>
              <w:bottom w:val="single" w:sz="4" w:space="0" w:color="auto"/>
            </w:tcBorders>
            <w:shd w:val="clear" w:color="auto" w:fill="auto"/>
            <w:vAlign w:val="center"/>
          </w:tcPr>
          <w:p w14:paraId="5EF331DB" w14:textId="77777777" w:rsidR="00362EB3" w:rsidRPr="008C45FA" w:rsidRDefault="00362EB3" w:rsidP="00216A14">
            <w:pPr>
              <w:pStyle w:val="TableText0"/>
              <w:keepNext w:val="0"/>
              <w:ind w:left="111" w:right="117"/>
              <w:rPr>
                <w:rFonts w:ascii="Arial" w:hAnsi="Arial" w:cs="Arial"/>
                <w:snapToGrid w:val="0"/>
                <w:szCs w:val="20"/>
              </w:rPr>
            </w:pPr>
          </w:p>
        </w:tc>
        <w:tc>
          <w:tcPr>
            <w:tcW w:w="1248" w:type="pct"/>
            <w:tcBorders>
              <w:bottom w:val="single" w:sz="4" w:space="0" w:color="auto"/>
            </w:tcBorders>
            <w:shd w:val="clear" w:color="auto" w:fill="auto"/>
            <w:vAlign w:val="center"/>
          </w:tcPr>
          <w:p w14:paraId="32CC9146" w14:textId="77777777" w:rsidR="00362EB3" w:rsidRPr="008C45FA" w:rsidRDefault="00362EB3" w:rsidP="00216A14">
            <w:pPr>
              <w:pStyle w:val="TableText0"/>
              <w:keepNext w:val="0"/>
              <w:ind w:left="77" w:right="117"/>
              <w:rPr>
                <w:rFonts w:ascii="Arial" w:hAnsi="Arial" w:cs="Arial"/>
                <w:snapToGrid w:val="0"/>
                <w:szCs w:val="20"/>
              </w:rPr>
            </w:pPr>
          </w:p>
        </w:tc>
        <w:tc>
          <w:tcPr>
            <w:tcW w:w="1161" w:type="pct"/>
            <w:tcBorders>
              <w:bottom w:val="single" w:sz="4" w:space="0" w:color="auto"/>
            </w:tcBorders>
            <w:shd w:val="clear" w:color="auto" w:fill="auto"/>
            <w:vAlign w:val="center"/>
          </w:tcPr>
          <w:p w14:paraId="6CEE07CA" w14:textId="77777777" w:rsidR="00362EB3" w:rsidRPr="008C45FA" w:rsidRDefault="00362EB3" w:rsidP="00216A14">
            <w:pPr>
              <w:pStyle w:val="TableText0"/>
              <w:keepNext w:val="0"/>
              <w:ind w:right="117"/>
              <w:rPr>
                <w:rFonts w:ascii="Arial" w:hAnsi="Arial" w:cs="Arial"/>
                <w:snapToGrid w:val="0"/>
                <w:szCs w:val="20"/>
              </w:rPr>
            </w:pPr>
          </w:p>
        </w:tc>
      </w:tr>
      <w:tr w:rsidR="002550BD" w:rsidRPr="008C45FA" w14:paraId="7113029B" w14:textId="77777777" w:rsidTr="002550BD">
        <w:trPr>
          <w:tblHeader/>
        </w:trPr>
        <w:tc>
          <w:tcPr>
            <w:tcW w:w="1265" w:type="pct"/>
            <w:tcBorders>
              <w:right w:val="nil"/>
            </w:tcBorders>
            <w:shd w:val="clear" w:color="auto" w:fill="auto"/>
            <w:vAlign w:val="center"/>
          </w:tcPr>
          <w:p w14:paraId="5D4548FC" w14:textId="77777777" w:rsidR="00362EB3" w:rsidRPr="008C45FA" w:rsidRDefault="00362EB3" w:rsidP="00216A14">
            <w:pPr>
              <w:pStyle w:val="TableText0"/>
              <w:keepNext w:val="0"/>
              <w:rPr>
                <w:rFonts w:ascii="Arial" w:hAnsi="Arial" w:cs="Arial"/>
                <w:snapToGrid w:val="0"/>
                <w:szCs w:val="20"/>
              </w:rPr>
            </w:pPr>
            <w:r w:rsidRPr="008C45FA">
              <w:rPr>
                <w:rFonts w:ascii="Arial" w:hAnsi="Arial" w:cs="Arial"/>
                <w:snapToGrid w:val="0"/>
                <w:szCs w:val="20"/>
              </w:rPr>
              <w:t>Goyal 2016</w:t>
            </w:r>
          </w:p>
        </w:tc>
        <w:tc>
          <w:tcPr>
            <w:tcW w:w="1327" w:type="pct"/>
            <w:tcBorders>
              <w:left w:val="nil"/>
              <w:right w:val="nil"/>
            </w:tcBorders>
            <w:shd w:val="clear" w:color="auto" w:fill="auto"/>
            <w:vAlign w:val="center"/>
          </w:tcPr>
          <w:p w14:paraId="1B4B9945" w14:textId="77777777" w:rsidR="00362EB3" w:rsidRPr="008C45FA" w:rsidRDefault="00362EB3" w:rsidP="00216A14">
            <w:pPr>
              <w:pStyle w:val="TableText0"/>
              <w:keepNext w:val="0"/>
              <w:ind w:left="111" w:right="117"/>
              <w:rPr>
                <w:rFonts w:ascii="Arial" w:hAnsi="Arial" w:cs="Arial"/>
                <w:snapToGrid w:val="0"/>
                <w:szCs w:val="20"/>
              </w:rPr>
            </w:pPr>
            <w:r w:rsidRPr="008C45FA">
              <w:rPr>
                <w:rFonts w:ascii="Arial" w:hAnsi="Arial" w:cs="Arial"/>
                <w:snapToGrid w:val="0"/>
                <w:szCs w:val="20"/>
              </w:rPr>
              <w:t>-</w:t>
            </w:r>
          </w:p>
        </w:tc>
        <w:tc>
          <w:tcPr>
            <w:tcW w:w="1248" w:type="pct"/>
            <w:tcBorders>
              <w:left w:val="nil"/>
              <w:right w:val="nil"/>
            </w:tcBorders>
            <w:shd w:val="clear" w:color="auto" w:fill="auto"/>
            <w:vAlign w:val="center"/>
          </w:tcPr>
          <w:p w14:paraId="3E43A5FD" w14:textId="77777777" w:rsidR="00362EB3" w:rsidRPr="008C45FA" w:rsidRDefault="00362EB3" w:rsidP="00216A14">
            <w:pPr>
              <w:pStyle w:val="TableText0"/>
              <w:keepNext w:val="0"/>
              <w:ind w:left="77" w:right="117"/>
              <w:rPr>
                <w:rFonts w:ascii="Arial" w:hAnsi="Arial" w:cs="Arial"/>
                <w:snapToGrid w:val="0"/>
                <w:szCs w:val="20"/>
              </w:rPr>
            </w:pPr>
            <w:r w:rsidRPr="008C45FA">
              <w:rPr>
                <w:rFonts w:ascii="Arial" w:hAnsi="Arial" w:cs="Arial"/>
                <w:snapToGrid w:val="0"/>
                <w:szCs w:val="20"/>
              </w:rPr>
              <w:t>-</w:t>
            </w:r>
          </w:p>
        </w:tc>
        <w:tc>
          <w:tcPr>
            <w:tcW w:w="1161" w:type="pct"/>
            <w:tcBorders>
              <w:left w:val="nil"/>
            </w:tcBorders>
            <w:shd w:val="clear" w:color="auto" w:fill="auto"/>
            <w:vAlign w:val="center"/>
          </w:tcPr>
          <w:p w14:paraId="44439E0C" w14:textId="4918F5C9" w:rsidR="00362EB3" w:rsidRPr="008C45FA" w:rsidRDefault="00362EB3" w:rsidP="00216A14">
            <w:pPr>
              <w:pStyle w:val="TableText0"/>
              <w:keepNext w:val="0"/>
              <w:ind w:right="117"/>
              <w:rPr>
                <w:rFonts w:ascii="Arial" w:hAnsi="Arial" w:cs="Arial"/>
                <w:snapToGrid w:val="0"/>
                <w:szCs w:val="20"/>
              </w:rPr>
            </w:pPr>
            <w:r w:rsidRPr="008C45FA">
              <w:rPr>
                <w:rFonts w:ascii="Arial" w:hAnsi="Arial" w:cs="Arial"/>
                <w:b/>
                <w:snapToGrid w:val="0"/>
                <w:szCs w:val="20"/>
              </w:rPr>
              <w:t>2.</w:t>
            </w:r>
            <w:r>
              <w:rPr>
                <w:rFonts w:ascii="Arial" w:hAnsi="Arial" w:cs="Arial"/>
                <w:b/>
                <w:snapToGrid w:val="0"/>
                <w:szCs w:val="20"/>
              </w:rPr>
              <w:t>49</w:t>
            </w:r>
            <w:r w:rsidRPr="008C45FA">
              <w:rPr>
                <w:rFonts w:ascii="Arial" w:hAnsi="Arial" w:cs="Arial"/>
                <w:b/>
                <w:snapToGrid w:val="0"/>
                <w:szCs w:val="20"/>
              </w:rPr>
              <w:t xml:space="preserve"> (1.7</w:t>
            </w:r>
            <w:r>
              <w:rPr>
                <w:rFonts w:ascii="Arial" w:hAnsi="Arial" w:cs="Arial"/>
                <w:b/>
                <w:snapToGrid w:val="0"/>
                <w:szCs w:val="20"/>
              </w:rPr>
              <w:t>6</w:t>
            </w:r>
            <w:r w:rsidRPr="008C45FA">
              <w:rPr>
                <w:rFonts w:ascii="Arial" w:hAnsi="Arial" w:cs="Arial"/>
                <w:b/>
                <w:snapToGrid w:val="0"/>
                <w:szCs w:val="20"/>
              </w:rPr>
              <w:t>; 3.</w:t>
            </w:r>
            <w:r>
              <w:rPr>
                <w:rFonts w:ascii="Arial" w:hAnsi="Arial" w:cs="Arial"/>
                <w:b/>
                <w:snapToGrid w:val="0"/>
                <w:szCs w:val="20"/>
              </w:rPr>
              <w:t>53</w:t>
            </w:r>
            <w:r w:rsidRPr="008C45FA">
              <w:rPr>
                <w:rFonts w:ascii="Arial" w:hAnsi="Arial" w:cs="Arial"/>
                <w:b/>
                <w:snapToGrid w:val="0"/>
                <w:szCs w:val="20"/>
              </w:rPr>
              <w:t>)</w:t>
            </w:r>
          </w:p>
        </w:tc>
      </w:tr>
    </w:tbl>
    <w:p w14:paraId="0157E2C2" w14:textId="77777777" w:rsidR="00E50B3F" w:rsidRDefault="00E50B3F" w:rsidP="008C45FA">
      <w:pPr>
        <w:pStyle w:val="TFAbbrevs18"/>
        <w:keepNext w:val="0"/>
        <w:spacing w:after="0"/>
        <w:rPr>
          <w:rFonts w:ascii="Arial" w:hAnsi="Arial" w:cs="Arial"/>
          <w:snapToGrid w:val="0"/>
          <w:color w:val="auto"/>
          <w:sz w:val="16"/>
          <w:szCs w:val="16"/>
          <w:lang w:eastAsia="en-US"/>
        </w:rPr>
      </w:pPr>
      <w:r w:rsidRPr="008C45FA">
        <w:rPr>
          <w:rFonts w:ascii="Arial" w:hAnsi="Arial" w:cs="Arial"/>
          <w:b/>
          <w:snapToGrid w:val="0"/>
          <w:color w:val="auto"/>
          <w:sz w:val="16"/>
          <w:szCs w:val="16"/>
          <w:lang w:eastAsia="en-US"/>
        </w:rPr>
        <w:t xml:space="preserve">bold = </w:t>
      </w:r>
      <w:r w:rsidRPr="008C45FA">
        <w:rPr>
          <w:rFonts w:ascii="Arial" w:hAnsi="Arial" w:cs="Arial"/>
          <w:snapToGrid w:val="0"/>
          <w:color w:val="auto"/>
          <w:sz w:val="16"/>
          <w:szCs w:val="16"/>
          <w:lang w:eastAsia="en-US"/>
        </w:rPr>
        <w:t>statistically significant; CI = confidence interval; IQR = interquartile range; MT = mechanical thrombectomy; mRS = modified Rankin scale; RD = r</w:t>
      </w:r>
      <w:r w:rsidR="008C45FA">
        <w:rPr>
          <w:rFonts w:ascii="Arial" w:hAnsi="Arial" w:cs="Arial"/>
          <w:snapToGrid w:val="0"/>
          <w:color w:val="auto"/>
          <w:sz w:val="16"/>
          <w:szCs w:val="16"/>
          <w:lang w:eastAsia="en-US"/>
        </w:rPr>
        <w:t>isk difference; RR = risk ratio</w:t>
      </w:r>
    </w:p>
    <w:p w14:paraId="16FFCA2A" w14:textId="09345844" w:rsidR="00356927" w:rsidRPr="00356927" w:rsidRDefault="00356927" w:rsidP="00356927">
      <w:pPr>
        <w:rPr>
          <w:rFonts w:ascii="Arial" w:hAnsi="Arial" w:cs="Arial"/>
          <w:snapToGrid w:val="0"/>
          <w:sz w:val="16"/>
          <w:szCs w:val="16"/>
          <w:lang w:eastAsia="en-US"/>
        </w:rPr>
      </w:pPr>
      <w:r w:rsidRPr="00356927">
        <w:rPr>
          <w:rFonts w:ascii="Arial" w:hAnsi="Arial" w:cs="Arial"/>
          <w:snapToGrid w:val="0"/>
          <w:sz w:val="16"/>
          <w:szCs w:val="16"/>
          <w:lang w:eastAsia="en-US"/>
        </w:rPr>
        <w:t>* time to initiation of mechanical thrombectomy post stroke symptom onset</w:t>
      </w:r>
    </w:p>
    <w:p w14:paraId="23A2D610" w14:textId="77777777" w:rsidR="00BC1364" w:rsidRPr="008C45FA" w:rsidRDefault="00E015E6" w:rsidP="008C45FA">
      <w:pPr>
        <w:spacing w:before="240"/>
        <w:rPr>
          <w:szCs w:val="24"/>
        </w:rPr>
      </w:pPr>
      <w:r w:rsidRPr="007B7C25">
        <w:rPr>
          <w:szCs w:val="24"/>
        </w:rPr>
        <w:t xml:space="preserve">The </w:t>
      </w:r>
      <w:r>
        <w:rPr>
          <w:szCs w:val="24"/>
        </w:rPr>
        <w:t xml:space="preserve">assessment report proposed that </w:t>
      </w:r>
      <w:r w:rsidR="00104B02">
        <w:rPr>
          <w:szCs w:val="24"/>
        </w:rPr>
        <w:t xml:space="preserve">relative to usual care, </w:t>
      </w:r>
      <w:r>
        <w:rPr>
          <w:szCs w:val="24"/>
        </w:rPr>
        <w:t>MT is superior in terms of effectiveness.</w:t>
      </w:r>
    </w:p>
    <w:p w14:paraId="38FAF663" w14:textId="77777777" w:rsidR="00BC1364" w:rsidRPr="00F715D1" w:rsidRDefault="00BC1364" w:rsidP="00F715D1">
      <w:pPr>
        <w:pStyle w:val="Heading1"/>
      </w:pPr>
      <w:r w:rsidRPr="00F715D1">
        <w:t>Economic evaluation</w:t>
      </w:r>
    </w:p>
    <w:p w14:paraId="0ECAF964" w14:textId="12B5F538" w:rsidR="0031089A" w:rsidRPr="007B7C25" w:rsidRDefault="009A269F" w:rsidP="008C45FA">
      <w:pPr>
        <w:tabs>
          <w:tab w:val="left" w:pos="709"/>
          <w:tab w:val="left" w:pos="1140"/>
        </w:tabs>
        <w:spacing w:after="240"/>
        <w:rPr>
          <w:szCs w:val="24"/>
        </w:rPr>
      </w:pPr>
      <w:r>
        <w:rPr>
          <w:szCs w:val="24"/>
        </w:rPr>
        <w:t>The</w:t>
      </w:r>
      <w:r w:rsidR="0031089A">
        <w:rPr>
          <w:szCs w:val="24"/>
        </w:rPr>
        <w:t xml:space="preserve"> </w:t>
      </w:r>
      <w:r>
        <w:rPr>
          <w:szCs w:val="24"/>
        </w:rPr>
        <w:t xml:space="preserve">economic evaluation was presented as a </w:t>
      </w:r>
      <w:r w:rsidR="0031089A">
        <w:rPr>
          <w:szCs w:val="24"/>
        </w:rPr>
        <w:t>cost utility analysis.</w:t>
      </w:r>
      <w:r w:rsidR="008C45FA">
        <w:rPr>
          <w:szCs w:val="24"/>
        </w:rPr>
        <w:t xml:space="preserve"> </w:t>
      </w:r>
      <w:r w:rsidR="0031089A" w:rsidRPr="00D50C53">
        <w:rPr>
          <w:szCs w:val="24"/>
        </w:rPr>
        <w:t xml:space="preserve">A summary of the key characteristics </w:t>
      </w:r>
      <w:r>
        <w:rPr>
          <w:szCs w:val="24"/>
        </w:rPr>
        <w:t>are</w:t>
      </w:r>
      <w:r w:rsidR="0031089A" w:rsidRPr="00D50C53">
        <w:rPr>
          <w:szCs w:val="24"/>
        </w:rPr>
        <w:t xml:space="preserve"> </w:t>
      </w:r>
      <w:r w:rsidR="008C45FA">
        <w:rPr>
          <w:szCs w:val="24"/>
        </w:rPr>
        <w:t>shown</w:t>
      </w:r>
      <w:r w:rsidR="0031089A" w:rsidRPr="00D50C53">
        <w:rPr>
          <w:szCs w:val="24"/>
        </w:rPr>
        <w:t xml:space="preserve"> in</w:t>
      </w:r>
      <w:r w:rsidR="0031089A">
        <w:rPr>
          <w:szCs w:val="24"/>
        </w:rPr>
        <w:t xml:space="preserve"> </w:t>
      </w:r>
      <w:r w:rsidR="008C45FA">
        <w:rPr>
          <w:szCs w:val="24"/>
        </w:rPr>
        <w:fldChar w:fldCharType="begin"/>
      </w:r>
      <w:r w:rsidR="008C45FA">
        <w:rPr>
          <w:szCs w:val="24"/>
        </w:rPr>
        <w:instrText xml:space="preserve"> REF _Ref469491833 \h  \* MERGEFORMAT </w:instrText>
      </w:r>
      <w:r w:rsidR="008C45FA">
        <w:rPr>
          <w:szCs w:val="24"/>
        </w:rPr>
      </w:r>
      <w:r w:rsidR="008C45FA">
        <w:rPr>
          <w:szCs w:val="24"/>
        </w:rPr>
        <w:fldChar w:fldCharType="separate"/>
      </w:r>
      <w:r w:rsidR="00507263" w:rsidRPr="000416F8">
        <w:rPr>
          <w:szCs w:val="24"/>
        </w:rPr>
        <w:t>Table 4</w:t>
      </w:r>
      <w:r w:rsidR="008C45FA">
        <w:rPr>
          <w:szCs w:val="24"/>
        </w:rPr>
        <w:fldChar w:fldCharType="end"/>
      </w:r>
      <w:r w:rsidR="00F266D3" w:rsidRPr="007B7C25">
        <w:rPr>
          <w:szCs w:val="24"/>
        </w:rPr>
        <w:t>.</w:t>
      </w:r>
    </w:p>
    <w:p w14:paraId="1BCE1CCA" w14:textId="77777777" w:rsidR="00F266D3" w:rsidRPr="008C45FA" w:rsidRDefault="008C45FA" w:rsidP="008C45FA">
      <w:pPr>
        <w:pStyle w:val="Caption"/>
        <w:rPr>
          <w:rFonts w:ascii="Arial" w:hAnsi="Arial"/>
        </w:rPr>
      </w:pPr>
      <w:bookmarkStart w:id="5" w:name="_Ref469491833"/>
      <w:r w:rsidRPr="008C45FA">
        <w:rPr>
          <w:rFonts w:ascii="Arial" w:hAnsi="Arial"/>
        </w:rPr>
        <w:t xml:space="preserve">Table </w:t>
      </w:r>
      <w:r w:rsidRPr="008C45FA">
        <w:rPr>
          <w:rFonts w:ascii="Arial" w:hAnsi="Arial"/>
        </w:rPr>
        <w:fldChar w:fldCharType="begin"/>
      </w:r>
      <w:r w:rsidRPr="008C45FA">
        <w:rPr>
          <w:rFonts w:ascii="Arial" w:hAnsi="Arial"/>
        </w:rPr>
        <w:instrText xml:space="preserve"> SEQ Table \* ARABIC </w:instrText>
      </w:r>
      <w:r w:rsidRPr="008C45FA">
        <w:rPr>
          <w:rFonts w:ascii="Arial" w:hAnsi="Arial"/>
        </w:rPr>
        <w:fldChar w:fldCharType="separate"/>
      </w:r>
      <w:r w:rsidR="00507263">
        <w:rPr>
          <w:rFonts w:ascii="Arial" w:hAnsi="Arial"/>
          <w:noProof/>
        </w:rPr>
        <w:t>4</w:t>
      </w:r>
      <w:r w:rsidRPr="008C45FA">
        <w:rPr>
          <w:rFonts w:ascii="Arial" w:hAnsi="Arial"/>
        </w:rPr>
        <w:fldChar w:fldCharType="end"/>
      </w:r>
      <w:bookmarkEnd w:id="5"/>
      <w:r w:rsidRPr="008C45FA">
        <w:rPr>
          <w:rFonts w:ascii="Arial" w:hAnsi="Arial"/>
        </w:rPr>
        <w:t>:</w:t>
      </w:r>
      <w:r w:rsidRPr="008C45FA">
        <w:rPr>
          <w:rFonts w:ascii="Arial" w:hAnsi="Arial"/>
        </w:rPr>
        <w:tab/>
        <w:t>Summary of the economic evaluation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describes the key constructs of the economic evaluation that is provided in the assessment report."/>
      </w:tblPr>
      <w:tblGrid>
        <w:gridCol w:w="3119"/>
        <w:gridCol w:w="5953"/>
      </w:tblGrid>
      <w:tr w:rsidR="00F266D3" w:rsidRPr="008C45FA" w14:paraId="0AD95DEE" w14:textId="77777777" w:rsidTr="00216A14">
        <w:trPr>
          <w:trHeight w:val="20"/>
        </w:trPr>
        <w:tc>
          <w:tcPr>
            <w:tcW w:w="3119" w:type="dxa"/>
            <w:tcBorders>
              <w:top w:val="single" w:sz="4" w:space="0" w:color="auto"/>
              <w:left w:val="single" w:sz="4" w:space="0" w:color="auto"/>
              <w:bottom w:val="single" w:sz="4" w:space="0" w:color="auto"/>
              <w:right w:val="single" w:sz="4" w:space="0" w:color="auto"/>
            </w:tcBorders>
          </w:tcPr>
          <w:p w14:paraId="4D333258" w14:textId="77777777" w:rsidR="00F266D3" w:rsidRPr="008C45FA" w:rsidRDefault="00F266D3" w:rsidP="00216A14">
            <w:pPr>
              <w:pStyle w:val="Tabletext"/>
              <w:rPr>
                <w:rFonts w:ascii="Arial" w:hAnsi="Arial" w:cs="Arial"/>
                <w:szCs w:val="20"/>
              </w:rPr>
            </w:pPr>
            <w:r w:rsidRPr="008C45FA">
              <w:rPr>
                <w:rFonts w:ascii="Arial" w:hAnsi="Arial" w:cs="Arial"/>
                <w:szCs w:val="20"/>
              </w:rPr>
              <w:t>Perspective</w:t>
            </w:r>
          </w:p>
        </w:tc>
        <w:tc>
          <w:tcPr>
            <w:tcW w:w="5953" w:type="dxa"/>
            <w:tcBorders>
              <w:top w:val="single" w:sz="4" w:space="0" w:color="auto"/>
              <w:left w:val="single" w:sz="4" w:space="0" w:color="auto"/>
              <w:bottom w:val="single" w:sz="4" w:space="0" w:color="auto"/>
              <w:right w:val="single" w:sz="4" w:space="0" w:color="auto"/>
            </w:tcBorders>
          </w:tcPr>
          <w:p w14:paraId="401F4651" w14:textId="77777777" w:rsidR="00F266D3" w:rsidRPr="008C45FA" w:rsidRDefault="00F266D3" w:rsidP="00216A14">
            <w:pPr>
              <w:pStyle w:val="Tabletext"/>
              <w:rPr>
                <w:rFonts w:ascii="Arial" w:hAnsi="Arial" w:cs="Arial"/>
                <w:szCs w:val="20"/>
              </w:rPr>
            </w:pPr>
            <w:r w:rsidRPr="008C45FA">
              <w:rPr>
                <w:rFonts w:ascii="Arial" w:hAnsi="Arial" w:cs="Arial"/>
                <w:szCs w:val="20"/>
              </w:rPr>
              <w:t>Australian health care provider</w:t>
            </w:r>
          </w:p>
        </w:tc>
      </w:tr>
      <w:tr w:rsidR="00F266D3" w:rsidRPr="008C45FA" w14:paraId="3635AFD6" w14:textId="77777777" w:rsidTr="00216A14">
        <w:trPr>
          <w:trHeight w:val="20"/>
        </w:trPr>
        <w:tc>
          <w:tcPr>
            <w:tcW w:w="3119" w:type="dxa"/>
            <w:tcBorders>
              <w:top w:val="single" w:sz="4" w:space="0" w:color="auto"/>
              <w:left w:val="single" w:sz="4" w:space="0" w:color="auto"/>
              <w:bottom w:val="single" w:sz="4" w:space="0" w:color="auto"/>
              <w:right w:val="single" w:sz="4" w:space="0" w:color="auto"/>
            </w:tcBorders>
          </w:tcPr>
          <w:p w14:paraId="4FF53865" w14:textId="77777777" w:rsidR="00F266D3" w:rsidRPr="008C45FA" w:rsidRDefault="00F266D3" w:rsidP="00216A14">
            <w:pPr>
              <w:pStyle w:val="Tabletext"/>
              <w:rPr>
                <w:rFonts w:ascii="Arial" w:hAnsi="Arial" w:cs="Arial"/>
                <w:szCs w:val="20"/>
              </w:rPr>
            </w:pPr>
            <w:r w:rsidRPr="008C45FA">
              <w:rPr>
                <w:rFonts w:ascii="Arial" w:hAnsi="Arial" w:cs="Arial"/>
                <w:szCs w:val="20"/>
              </w:rPr>
              <w:t>Comparator</w:t>
            </w:r>
          </w:p>
        </w:tc>
        <w:tc>
          <w:tcPr>
            <w:tcW w:w="5953" w:type="dxa"/>
            <w:tcBorders>
              <w:top w:val="single" w:sz="4" w:space="0" w:color="auto"/>
              <w:left w:val="single" w:sz="4" w:space="0" w:color="auto"/>
              <w:bottom w:val="single" w:sz="4" w:space="0" w:color="auto"/>
              <w:right w:val="single" w:sz="4" w:space="0" w:color="auto"/>
            </w:tcBorders>
          </w:tcPr>
          <w:p w14:paraId="0D8158BB" w14:textId="77777777" w:rsidR="00F266D3" w:rsidRPr="008C45FA" w:rsidRDefault="00F266D3" w:rsidP="00216A14">
            <w:pPr>
              <w:pStyle w:val="Tabletext"/>
              <w:rPr>
                <w:rFonts w:ascii="Arial" w:hAnsi="Arial" w:cs="Arial"/>
                <w:szCs w:val="20"/>
              </w:rPr>
            </w:pPr>
            <w:r w:rsidRPr="008C45FA">
              <w:rPr>
                <w:rFonts w:ascii="Arial" w:hAnsi="Arial" w:cs="Arial"/>
                <w:szCs w:val="20"/>
              </w:rPr>
              <w:t>Usual care</w:t>
            </w:r>
          </w:p>
        </w:tc>
      </w:tr>
      <w:tr w:rsidR="00F266D3" w:rsidRPr="008C45FA" w14:paraId="381C2665" w14:textId="77777777" w:rsidTr="00216A14">
        <w:trPr>
          <w:trHeight w:val="20"/>
        </w:trPr>
        <w:tc>
          <w:tcPr>
            <w:tcW w:w="3119" w:type="dxa"/>
            <w:tcBorders>
              <w:top w:val="single" w:sz="4" w:space="0" w:color="auto"/>
              <w:left w:val="single" w:sz="4" w:space="0" w:color="auto"/>
              <w:bottom w:val="single" w:sz="4" w:space="0" w:color="auto"/>
              <w:right w:val="single" w:sz="4" w:space="0" w:color="auto"/>
            </w:tcBorders>
          </w:tcPr>
          <w:p w14:paraId="44A77D88" w14:textId="77777777" w:rsidR="00F266D3" w:rsidRPr="008C45FA" w:rsidRDefault="00F266D3" w:rsidP="00216A14">
            <w:pPr>
              <w:pStyle w:val="Tabletext"/>
              <w:rPr>
                <w:rFonts w:ascii="Arial" w:hAnsi="Arial" w:cs="Arial"/>
                <w:szCs w:val="20"/>
              </w:rPr>
            </w:pPr>
            <w:r w:rsidRPr="008C45FA">
              <w:rPr>
                <w:rFonts w:ascii="Arial" w:hAnsi="Arial" w:cs="Arial"/>
                <w:szCs w:val="20"/>
              </w:rPr>
              <w:t>Type of economic evaluation</w:t>
            </w:r>
          </w:p>
        </w:tc>
        <w:tc>
          <w:tcPr>
            <w:tcW w:w="5953" w:type="dxa"/>
            <w:tcBorders>
              <w:top w:val="single" w:sz="4" w:space="0" w:color="auto"/>
              <w:left w:val="single" w:sz="4" w:space="0" w:color="auto"/>
              <w:bottom w:val="single" w:sz="4" w:space="0" w:color="auto"/>
              <w:right w:val="single" w:sz="4" w:space="0" w:color="auto"/>
            </w:tcBorders>
          </w:tcPr>
          <w:p w14:paraId="6887AD9C" w14:textId="77777777" w:rsidR="00F266D3" w:rsidRPr="008C45FA" w:rsidRDefault="00F266D3" w:rsidP="00216A14">
            <w:pPr>
              <w:pStyle w:val="Tabletext"/>
              <w:rPr>
                <w:rFonts w:ascii="Arial" w:hAnsi="Arial" w:cs="Arial"/>
                <w:szCs w:val="20"/>
              </w:rPr>
            </w:pPr>
            <w:r w:rsidRPr="008C45FA">
              <w:rPr>
                <w:rFonts w:ascii="Arial" w:hAnsi="Arial" w:cs="Arial"/>
                <w:szCs w:val="20"/>
              </w:rPr>
              <w:t>Cost-utility</w:t>
            </w:r>
          </w:p>
        </w:tc>
      </w:tr>
      <w:tr w:rsidR="00F266D3" w:rsidRPr="008C45FA" w14:paraId="560FE841" w14:textId="77777777" w:rsidTr="00216A14">
        <w:trPr>
          <w:trHeight w:val="20"/>
        </w:trPr>
        <w:tc>
          <w:tcPr>
            <w:tcW w:w="3119" w:type="dxa"/>
            <w:tcBorders>
              <w:top w:val="single" w:sz="4" w:space="0" w:color="auto"/>
              <w:left w:val="single" w:sz="4" w:space="0" w:color="auto"/>
              <w:bottom w:val="single" w:sz="4" w:space="0" w:color="auto"/>
              <w:right w:val="single" w:sz="4" w:space="0" w:color="auto"/>
            </w:tcBorders>
          </w:tcPr>
          <w:p w14:paraId="2AF9B9AC" w14:textId="77777777" w:rsidR="00F266D3" w:rsidRPr="008C45FA" w:rsidRDefault="00F266D3" w:rsidP="00216A14">
            <w:pPr>
              <w:pStyle w:val="Tabletext"/>
              <w:rPr>
                <w:rFonts w:ascii="Arial" w:hAnsi="Arial" w:cs="Arial"/>
                <w:szCs w:val="20"/>
              </w:rPr>
            </w:pPr>
            <w:r w:rsidRPr="008C45FA">
              <w:rPr>
                <w:rFonts w:ascii="Arial" w:hAnsi="Arial" w:cs="Arial"/>
                <w:szCs w:val="20"/>
              </w:rPr>
              <w:t>Sources of evidence</w:t>
            </w:r>
          </w:p>
        </w:tc>
        <w:tc>
          <w:tcPr>
            <w:tcW w:w="5953" w:type="dxa"/>
            <w:tcBorders>
              <w:top w:val="single" w:sz="4" w:space="0" w:color="auto"/>
              <w:left w:val="single" w:sz="4" w:space="0" w:color="auto"/>
              <w:bottom w:val="single" w:sz="4" w:space="0" w:color="auto"/>
              <w:right w:val="single" w:sz="4" w:space="0" w:color="auto"/>
            </w:tcBorders>
          </w:tcPr>
          <w:p w14:paraId="4954D22D" w14:textId="77777777" w:rsidR="00F266D3" w:rsidRPr="008C45FA" w:rsidRDefault="00F266D3" w:rsidP="00216A14">
            <w:pPr>
              <w:pStyle w:val="Tabletext"/>
              <w:rPr>
                <w:rFonts w:ascii="Arial" w:hAnsi="Arial" w:cs="Arial"/>
                <w:szCs w:val="20"/>
              </w:rPr>
            </w:pPr>
            <w:r w:rsidRPr="008C45FA">
              <w:rPr>
                <w:rFonts w:ascii="Arial" w:hAnsi="Arial" w:cs="Arial"/>
                <w:szCs w:val="20"/>
              </w:rPr>
              <w:t>IPD meta-analysis of five RCTs identified in Section B</w:t>
            </w:r>
          </w:p>
        </w:tc>
      </w:tr>
      <w:tr w:rsidR="00F266D3" w:rsidRPr="008C45FA" w14:paraId="25E786F7" w14:textId="77777777" w:rsidTr="00216A14">
        <w:trPr>
          <w:trHeight w:val="20"/>
        </w:trPr>
        <w:tc>
          <w:tcPr>
            <w:tcW w:w="3119" w:type="dxa"/>
            <w:tcBorders>
              <w:top w:val="single" w:sz="4" w:space="0" w:color="auto"/>
              <w:left w:val="single" w:sz="4" w:space="0" w:color="auto"/>
              <w:bottom w:val="single" w:sz="4" w:space="0" w:color="auto"/>
              <w:right w:val="single" w:sz="4" w:space="0" w:color="auto"/>
            </w:tcBorders>
            <w:hideMark/>
          </w:tcPr>
          <w:p w14:paraId="3B4DF2A2" w14:textId="77777777" w:rsidR="00F266D3" w:rsidRPr="008C45FA" w:rsidRDefault="00F266D3" w:rsidP="00216A14">
            <w:pPr>
              <w:pStyle w:val="Tabletext"/>
              <w:rPr>
                <w:rFonts w:ascii="Arial" w:hAnsi="Arial" w:cs="Arial"/>
                <w:szCs w:val="20"/>
              </w:rPr>
            </w:pPr>
            <w:r w:rsidRPr="008C45FA">
              <w:rPr>
                <w:rFonts w:ascii="Arial" w:hAnsi="Arial" w:cs="Arial"/>
                <w:szCs w:val="20"/>
              </w:rPr>
              <w:t>Time horizon</w:t>
            </w:r>
          </w:p>
        </w:tc>
        <w:tc>
          <w:tcPr>
            <w:tcW w:w="5953" w:type="dxa"/>
            <w:tcBorders>
              <w:top w:val="single" w:sz="4" w:space="0" w:color="auto"/>
              <w:left w:val="single" w:sz="4" w:space="0" w:color="auto"/>
              <w:bottom w:val="single" w:sz="4" w:space="0" w:color="auto"/>
              <w:right w:val="single" w:sz="4" w:space="0" w:color="auto"/>
            </w:tcBorders>
            <w:hideMark/>
          </w:tcPr>
          <w:p w14:paraId="386215B5" w14:textId="77777777" w:rsidR="00F266D3" w:rsidRPr="008C45FA" w:rsidRDefault="00F266D3" w:rsidP="00216A14">
            <w:pPr>
              <w:pStyle w:val="Tabletext"/>
              <w:rPr>
                <w:rFonts w:ascii="Arial" w:hAnsi="Arial" w:cs="Arial"/>
                <w:szCs w:val="20"/>
              </w:rPr>
            </w:pPr>
            <w:r w:rsidRPr="008C45FA">
              <w:rPr>
                <w:rFonts w:ascii="Arial" w:hAnsi="Arial" w:cs="Arial"/>
                <w:szCs w:val="20"/>
              </w:rPr>
              <w:t>Life time</w:t>
            </w:r>
          </w:p>
        </w:tc>
      </w:tr>
      <w:tr w:rsidR="00F266D3" w:rsidRPr="008C45FA" w14:paraId="2FA7EB72" w14:textId="77777777" w:rsidTr="00216A14">
        <w:trPr>
          <w:trHeight w:val="20"/>
        </w:trPr>
        <w:tc>
          <w:tcPr>
            <w:tcW w:w="3119" w:type="dxa"/>
            <w:tcBorders>
              <w:top w:val="single" w:sz="4" w:space="0" w:color="auto"/>
              <w:left w:val="single" w:sz="4" w:space="0" w:color="auto"/>
              <w:bottom w:val="single" w:sz="4" w:space="0" w:color="auto"/>
              <w:right w:val="single" w:sz="4" w:space="0" w:color="auto"/>
            </w:tcBorders>
            <w:hideMark/>
          </w:tcPr>
          <w:p w14:paraId="3E316CC6" w14:textId="77777777" w:rsidR="00F266D3" w:rsidRPr="008C45FA" w:rsidRDefault="00F266D3" w:rsidP="00216A14">
            <w:pPr>
              <w:pStyle w:val="Tabletext"/>
              <w:rPr>
                <w:rFonts w:ascii="Arial" w:hAnsi="Arial" w:cs="Arial"/>
                <w:szCs w:val="20"/>
              </w:rPr>
            </w:pPr>
            <w:r w:rsidRPr="008C45FA">
              <w:rPr>
                <w:rFonts w:ascii="Arial" w:hAnsi="Arial" w:cs="Arial"/>
                <w:szCs w:val="20"/>
              </w:rPr>
              <w:t>Outcomes</w:t>
            </w:r>
          </w:p>
        </w:tc>
        <w:tc>
          <w:tcPr>
            <w:tcW w:w="5953" w:type="dxa"/>
            <w:tcBorders>
              <w:top w:val="single" w:sz="4" w:space="0" w:color="auto"/>
              <w:left w:val="single" w:sz="4" w:space="0" w:color="auto"/>
              <w:bottom w:val="single" w:sz="4" w:space="0" w:color="auto"/>
              <w:right w:val="single" w:sz="4" w:space="0" w:color="auto"/>
            </w:tcBorders>
          </w:tcPr>
          <w:p w14:paraId="0926C6DE" w14:textId="77777777" w:rsidR="00F266D3" w:rsidRPr="008C45FA" w:rsidRDefault="00F266D3" w:rsidP="00216A14">
            <w:pPr>
              <w:pStyle w:val="Tabletext"/>
              <w:rPr>
                <w:rFonts w:ascii="Arial" w:hAnsi="Arial" w:cs="Arial"/>
                <w:szCs w:val="20"/>
              </w:rPr>
            </w:pPr>
            <w:r w:rsidRPr="008C45FA">
              <w:rPr>
                <w:rFonts w:ascii="Arial" w:hAnsi="Arial" w:cs="Arial"/>
                <w:szCs w:val="20"/>
              </w:rPr>
              <w:t>LYG and QALYs</w:t>
            </w:r>
          </w:p>
        </w:tc>
      </w:tr>
      <w:tr w:rsidR="00F266D3" w:rsidRPr="008C45FA" w14:paraId="06C7F8A0" w14:textId="77777777" w:rsidTr="00216A14">
        <w:trPr>
          <w:trHeight w:val="20"/>
        </w:trPr>
        <w:tc>
          <w:tcPr>
            <w:tcW w:w="3119" w:type="dxa"/>
            <w:tcBorders>
              <w:top w:val="single" w:sz="4" w:space="0" w:color="auto"/>
              <w:left w:val="single" w:sz="4" w:space="0" w:color="auto"/>
              <w:bottom w:val="single" w:sz="4" w:space="0" w:color="auto"/>
              <w:right w:val="single" w:sz="4" w:space="0" w:color="auto"/>
            </w:tcBorders>
            <w:hideMark/>
          </w:tcPr>
          <w:p w14:paraId="5800421D" w14:textId="77777777" w:rsidR="00F266D3" w:rsidRPr="008C45FA" w:rsidRDefault="00F266D3" w:rsidP="00216A14">
            <w:pPr>
              <w:pStyle w:val="Tabletext"/>
              <w:rPr>
                <w:rFonts w:ascii="Arial" w:hAnsi="Arial" w:cs="Arial"/>
                <w:szCs w:val="20"/>
              </w:rPr>
            </w:pPr>
            <w:r w:rsidRPr="008C45FA">
              <w:rPr>
                <w:rFonts w:ascii="Arial" w:hAnsi="Arial" w:cs="Arial"/>
                <w:szCs w:val="20"/>
              </w:rPr>
              <w:t>Methods used to generate results</w:t>
            </w:r>
          </w:p>
        </w:tc>
        <w:tc>
          <w:tcPr>
            <w:tcW w:w="5953" w:type="dxa"/>
            <w:tcBorders>
              <w:top w:val="single" w:sz="4" w:space="0" w:color="auto"/>
              <w:left w:val="single" w:sz="4" w:space="0" w:color="auto"/>
              <w:bottom w:val="single" w:sz="4" w:space="0" w:color="auto"/>
              <w:right w:val="single" w:sz="4" w:space="0" w:color="auto"/>
            </w:tcBorders>
          </w:tcPr>
          <w:p w14:paraId="1CF53A3D" w14:textId="77777777" w:rsidR="00F266D3" w:rsidRPr="008C45FA" w:rsidRDefault="00F266D3" w:rsidP="00216A14">
            <w:pPr>
              <w:pStyle w:val="Tabletext"/>
              <w:rPr>
                <w:rFonts w:ascii="Arial" w:hAnsi="Arial" w:cs="Arial"/>
                <w:szCs w:val="20"/>
              </w:rPr>
            </w:pPr>
            <w:r w:rsidRPr="008C45FA">
              <w:rPr>
                <w:rFonts w:ascii="Arial" w:hAnsi="Arial" w:cs="Arial"/>
                <w:szCs w:val="20"/>
              </w:rPr>
              <w:t>Trial-based; decision tree and Markov model</w:t>
            </w:r>
          </w:p>
        </w:tc>
      </w:tr>
      <w:tr w:rsidR="00F266D3" w:rsidRPr="008C45FA" w14:paraId="6F93CC56" w14:textId="77777777" w:rsidTr="00216A14">
        <w:trPr>
          <w:trHeight w:val="20"/>
        </w:trPr>
        <w:tc>
          <w:tcPr>
            <w:tcW w:w="3119" w:type="dxa"/>
            <w:tcBorders>
              <w:top w:val="single" w:sz="4" w:space="0" w:color="auto"/>
              <w:left w:val="single" w:sz="4" w:space="0" w:color="auto"/>
              <w:bottom w:val="single" w:sz="4" w:space="0" w:color="auto"/>
              <w:right w:val="single" w:sz="4" w:space="0" w:color="auto"/>
            </w:tcBorders>
          </w:tcPr>
          <w:p w14:paraId="4099CA06" w14:textId="77777777" w:rsidR="00F266D3" w:rsidRPr="008C45FA" w:rsidRDefault="00F266D3" w:rsidP="00216A14">
            <w:pPr>
              <w:pStyle w:val="Tabletext"/>
              <w:rPr>
                <w:rFonts w:ascii="Arial" w:hAnsi="Arial" w:cs="Arial"/>
                <w:szCs w:val="20"/>
              </w:rPr>
            </w:pPr>
            <w:r w:rsidRPr="008C45FA">
              <w:rPr>
                <w:rFonts w:ascii="Arial" w:hAnsi="Arial" w:cs="Arial"/>
                <w:szCs w:val="20"/>
              </w:rPr>
              <w:t>Health states</w:t>
            </w:r>
          </w:p>
        </w:tc>
        <w:tc>
          <w:tcPr>
            <w:tcW w:w="5953" w:type="dxa"/>
            <w:tcBorders>
              <w:top w:val="single" w:sz="4" w:space="0" w:color="auto"/>
              <w:left w:val="single" w:sz="4" w:space="0" w:color="auto"/>
              <w:bottom w:val="single" w:sz="4" w:space="0" w:color="auto"/>
              <w:right w:val="single" w:sz="4" w:space="0" w:color="auto"/>
            </w:tcBorders>
          </w:tcPr>
          <w:p w14:paraId="66E80EFC" w14:textId="77777777" w:rsidR="00F266D3" w:rsidRPr="008C45FA" w:rsidRDefault="00F266D3" w:rsidP="00216A14">
            <w:pPr>
              <w:pStyle w:val="Tabletext"/>
              <w:rPr>
                <w:rFonts w:ascii="Arial" w:hAnsi="Arial" w:cs="Arial"/>
                <w:szCs w:val="20"/>
              </w:rPr>
            </w:pPr>
            <w:r w:rsidRPr="008C45FA">
              <w:rPr>
                <w:rFonts w:ascii="Arial" w:hAnsi="Arial" w:cs="Arial"/>
                <w:szCs w:val="20"/>
              </w:rPr>
              <w:t>Seven health states based on mRS score 0 to 6</w:t>
            </w:r>
          </w:p>
        </w:tc>
      </w:tr>
      <w:tr w:rsidR="00F266D3" w:rsidRPr="008C45FA" w14:paraId="311547ED" w14:textId="77777777" w:rsidTr="00216A14">
        <w:trPr>
          <w:trHeight w:val="20"/>
        </w:trPr>
        <w:tc>
          <w:tcPr>
            <w:tcW w:w="3119" w:type="dxa"/>
            <w:tcBorders>
              <w:top w:val="single" w:sz="4" w:space="0" w:color="auto"/>
              <w:left w:val="single" w:sz="4" w:space="0" w:color="auto"/>
              <w:bottom w:val="single" w:sz="4" w:space="0" w:color="auto"/>
              <w:right w:val="single" w:sz="4" w:space="0" w:color="auto"/>
            </w:tcBorders>
            <w:hideMark/>
          </w:tcPr>
          <w:p w14:paraId="1412E393" w14:textId="77777777" w:rsidR="00F266D3" w:rsidRPr="008C45FA" w:rsidRDefault="00F266D3" w:rsidP="00216A14">
            <w:pPr>
              <w:pStyle w:val="Tabletext"/>
              <w:rPr>
                <w:rFonts w:ascii="Arial" w:hAnsi="Arial" w:cs="Arial"/>
                <w:szCs w:val="20"/>
              </w:rPr>
            </w:pPr>
            <w:r w:rsidRPr="008C45FA">
              <w:rPr>
                <w:rFonts w:ascii="Arial" w:hAnsi="Arial" w:cs="Arial"/>
                <w:szCs w:val="20"/>
              </w:rPr>
              <w:t>Cycle length</w:t>
            </w:r>
          </w:p>
        </w:tc>
        <w:tc>
          <w:tcPr>
            <w:tcW w:w="5953" w:type="dxa"/>
            <w:tcBorders>
              <w:top w:val="single" w:sz="4" w:space="0" w:color="auto"/>
              <w:left w:val="single" w:sz="4" w:space="0" w:color="auto"/>
              <w:bottom w:val="single" w:sz="4" w:space="0" w:color="auto"/>
              <w:right w:val="single" w:sz="4" w:space="0" w:color="auto"/>
            </w:tcBorders>
          </w:tcPr>
          <w:p w14:paraId="33B13A45" w14:textId="77777777" w:rsidR="00F266D3" w:rsidRPr="008C45FA" w:rsidRDefault="00F266D3" w:rsidP="00216A14">
            <w:pPr>
              <w:pStyle w:val="Tabletext"/>
              <w:rPr>
                <w:rFonts w:ascii="Arial" w:hAnsi="Arial" w:cs="Arial"/>
                <w:szCs w:val="20"/>
              </w:rPr>
            </w:pPr>
            <w:r w:rsidRPr="008C45FA">
              <w:rPr>
                <w:rFonts w:ascii="Arial" w:hAnsi="Arial" w:cs="Arial"/>
                <w:szCs w:val="20"/>
              </w:rPr>
              <w:t>1 year</w:t>
            </w:r>
          </w:p>
        </w:tc>
      </w:tr>
      <w:tr w:rsidR="00F266D3" w:rsidRPr="008C45FA" w14:paraId="4A0DC7B7" w14:textId="77777777" w:rsidTr="00216A14">
        <w:trPr>
          <w:trHeight w:val="20"/>
        </w:trPr>
        <w:tc>
          <w:tcPr>
            <w:tcW w:w="3119" w:type="dxa"/>
            <w:tcBorders>
              <w:top w:val="single" w:sz="4" w:space="0" w:color="auto"/>
              <w:left w:val="single" w:sz="4" w:space="0" w:color="auto"/>
              <w:bottom w:val="single" w:sz="4" w:space="0" w:color="auto"/>
              <w:right w:val="single" w:sz="4" w:space="0" w:color="auto"/>
            </w:tcBorders>
            <w:hideMark/>
          </w:tcPr>
          <w:p w14:paraId="1875274A" w14:textId="77777777" w:rsidR="00F266D3" w:rsidRPr="008C45FA" w:rsidRDefault="00F266D3" w:rsidP="00216A14">
            <w:pPr>
              <w:pStyle w:val="Tabletext"/>
              <w:rPr>
                <w:rFonts w:ascii="Arial" w:hAnsi="Arial" w:cs="Arial"/>
                <w:szCs w:val="20"/>
              </w:rPr>
            </w:pPr>
            <w:r w:rsidRPr="008C45FA">
              <w:rPr>
                <w:rFonts w:ascii="Arial" w:hAnsi="Arial" w:cs="Arial"/>
                <w:szCs w:val="20"/>
              </w:rPr>
              <w:t>Discount rate</w:t>
            </w:r>
          </w:p>
        </w:tc>
        <w:tc>
          <w:tcPr>
            <w:tcW w:w="5953" w:type="dxa"/>
            <w:tcBorders>
              <w:top w:val="single" w:sz="4" w:space="0" w:color="auto"/>
              <w:left w:val="single" w:sz="4" w:space="0" w:color="auto"/>
              <w:bottom w:val="single" w:sz="4" w:space="0" w:color="auto"/>
              <w:right w:val="single" w:sz="4" w:space="0" w:color="auto"/>
            </w:tcBorders>
          </w:tcPr>
          <w:p w14:paraId="617113B4" w14:textId="77777777" w:rsidR="00F266D3" w:rsidRPr="008C45FA" w:rsidRDefault="00F266D3" w:rsidP="00216A14">
            <w:pPr>
              <w:pStyle w:val="Tabletext"/>
              <w:rPr>
                <w:rFonts w:ascii="Arial" w:hAnsi="Arial" w:cs="Arial"/>
                <w:szCs w:val="20"/>
              </w:rPr>
            </w:pPr>
            <w:r w:rsidRPr="008C45FA">
              <w:rPr>
                <w:rFonts w:ascii="Arial" w:hAnsi="Arial" w:cs="Arial"/>
                <w:szCs w:val="20"/>
              </w:rPr>
              <w:t>5%</w:t>
            </w:r>
          </w:p>
        </w:tc>
      </w:tr>
      <w:tr w:rsidR="00F266D3" w:rsidRPr="008C45FA" w14:paraId="16395B41" w14:textId="77777777" w:rsidTr="00216A14">
        <w:trPr>
          <w:trHeight w:val="20"/>
        </w:trPr>
        <w:tc>
          <w:tcPr>
            <w:tcW w:w="3119" w:type="dxa"/>
            <w:tcBorders>
              <w:top w:val="single" w:sz="4" w:space="0" w:color="auto"/>
              <w:left w:val="single" w:sz="4" w:space="0" w:color="auto"/>
              <w:bottom w:val="single" w:sz="4" w:space="0" w:color="auto"/>
              <w:right w:val="single" w:sz="4" w:space="0" w:color="auto"/>
            </w:tcBorders>
            <w:hideMark/>
          </w:tcPr>
          <w:p w14:paraId="0DB3A3D5" w14:textId="77777777" w:rsidR="00F266D3" w:rsidRPr="008C45FA" w:rsidRDefault="00F266D3" w:rsidP="00216A14">
            <w:pPr>
              <w:pStyle w:val="Tabletext"/>
              <w:rPr>
                <w:rFonts w:ascii="Arial" w:hAnsi="Arial" w:cs="Arial"/>
                <w:szCs w:val="20"/>
              </w:rPr>
            </w:pPr>
            <w:r w:rsidRPr="008C45FA">
              <w:rPr>
                <w:rFonts w:ascii="Arial" w:hAnsi="Arial" w:cs="Arial"/>
                <w:szCs w:val="20"/>
              </w:rPr>
              <w:t>Software packages used</w:t>
            </w:r>
          </w:p>
        </w:tc>
        <w:tc>
          <w:tcPr>
            <w:tcW w:w="5953" w:type="dxa"/>
            <w:tcBorders>
              <w:top w:val="single" w:sz="4" w:space="0" w:color="auto"/>
              <w:left w:val="single" w:sz="4" w:space="0" w:color="auto"/>
              <w:bottom w:val="single" w:sz="4" w:space="0" w:color="auto"/>
              <w:right w:val="single" w:sz="4" w:space="0" w:color="auto"/>
            </w:tcBorders>
          </w:tcPr>
          <w:p w14:paraId="3FA0C885" w14:textId="77777777" w:rsidR="00F266D3" w:rsidRPr="008C45FA" w:rsidRDefault="00F266D3" w:rsidP="00216A14">
            <w:pPr>
              <w:pStyle w:val="Tabletext"/>
              <w:rPr>
                <w:rFonts w:ascii="Arial" w:hAnsi="Arial" w:cs="Arial"/>
                <w:szCs w:val="20"/>
              </w:rPr>
            </w:pPr>
            <w:r w:rsidRPr="008C45FA">
              <w:rPr>
                <w:rFonts w:ascii="Arial" w:hAnsi="Arial" w:cs="Arial"/>
                <w:szCs w:val="20"/>
              </w:rPr>
              <w:t>Excel</w:t>
            </w:r>
          </w:p>
        </w:tc>
      </w:tr>
    </w:tbl>
    <w:p w14:paraId="316E8449" w14:textId="77777777" w:rsidR="00F266D3" w:rsidRPr="008C45FA" w:rsidRDefault="00F266D3" w:rsidP="008C45FA">
      <w:pPr>
        <w:pStyle w:val="TFAbbrevs18"/>
        <w:spacing w:after="0"/>
        <w:rPr>
          <w:rFonts w:ascii="Arial" w:hAnsi="Arial" w:cs="Arial"/>
          <w:color w:val="auto"/>
          <w:sz w:val="16"/>
          <w:szCs w:val="16"/>
        </w:rPr>
      </w:pPr>
      <w:r w:rsidRPr="008C45FA">
        <w:rPr>
          <w:rFonts w:ascii="Arial" w:hAnsi="Arial" w:cs="Arial"/>
          <w:sz w:val="16"/>
          <w:szCs w:val="16"/>
        </w:rPr>
        <w:t>IPD = individual patient data; LYG = life year gained; mRS = modified Rankin scale; QALY = quality adjusted life years; RCT = randomised controlled trials.</w:t>
      </w:r>
    </w:p>
    <w:p w14:paraId="77D5BCC8" w14:textId="2887AB43" w:rsidR="00F266D3" w:rsidRPr="007B7C25" w:rsidRDefault="0050584C" w:rsidP="008C45FA">
      <w:pPr>
        <w:spacing w:before="240"/>
        <w:rPr>
          <w:szCs w:val="24"/>
        </w:rPr>
      </w:pPr>
      <w:r>
        <w:rPr>
          <w:szCs w:val="24"/>
        </w:rPr>
        <w:t>The economic model consisted</w:t>
      </w:r>
      <w:r w:rsidR="00F266D3" w:rsidRPr="007B7C25">
        <w:rPr>
          <w:szCs w:val="24"/>
        </w:rPr>
        <w:t xml:space="preserve"> of three phases: acute phase from onset to 90 days; mid-term phase from day 91 to 365;</w:t>
      </w:r>
      <w:r w:rsidR="00085B2B">
        <w:rPr>
          <w:szCs w:val="24"/>
        </w:rPr>
        <w:t xml:space="preserve"> and long-term phase from Year 1</w:t>
      </w:r>
      <w:r w:rsidR="00F266D3" w:rsidRPr="007B7C25">
        <w:rPr>
          <w:szCs w:val="24"/>
        </w:rPr>
        <w:t xml:space="preserve"> to end of patient’s life. </w:t>
      </w:r>
      <w:r>
        <w:rPr>
          <w:szCs w:val="24"/>
        </w:rPr>
        <w:t xml:space="preserve">The acute and mid-term phase </w:t>
      </w:r>
      <w:r w:rsidR="00767EFA">
        <w:rPr>
          <w:szCs w:val="24"/>
        </w:rPr>
        <w:t xml:space="preserve">were </w:t>
      </w:r>
      <w:r w:rsidR="00F266D3" w:rsidRPr="007B7C25">
        <w:rPr>
          <w:szCs w:val="24"/>
        </w:rPr>
        <w:t>modelled in a decision t</w:t>
      </w:r>
      <w:r>
        <w:rPr>
          <w:szCs w:val="24"/>
        </w:rPr>
        <w:t>ree while the long-term phase was</w:t>
      </w:r>
      <w:r w:rsidR="00F266D3" w:rsidRPr="007B7C25">
        <w:rPr>
          <w:szCs w:val="24"/>
        </w:rPr>
        <w:t xml:space="preserve"> a Markov model consisting of seven health states defined by the mRS score 0 to 6.</w:t>
      </w:r>
    </w:p>
    <w:p w14:paraId="5DB843CF" w14:textId="77777777" w:rsidR="00F266D3" w:rsidRPr="007B7C25" w:rsidRDefault="00F266D3" w:rsidP="00F266D3">
      <w:pPr>
        <w:rPr>
          <w:szCs w:val="24"/>
        </w:rPr>
      </w:pPr>
    </w:p>
    <w:p w14:paraId="010E3F7C" w14:textId="698D1585" w:rsidR="00F266D3" w:rsidRPr="007B7C25" w:rsidRDefault="00F266D3" w:rsidP="00F266D3">
      <w:pPr>
        <w:rPr>
          <w:szCs w:val="24"/>
        </w:rPr>
      </w:pPr>
      <w:r w:rsidRPr="007B7C25">
        <w:rPr>
          <w:szCs w:val="24"/>
        </w:rPr>
        <w:t xml:space="preserve">The overall costs and outcomes, and incremental costs and outcomes as calculated for the intervention and comparator in the model, and using the base case assumptions, are shown in </w:t>
      </w:r>
      <w:r w:rsidR="009A269F">
        <w:rPr>
          <w:szCs w:val="24"/>
        </w:rPr>
        <w:fldChar w:fldCharType="begin"/>
      </w:r>
      <w:r w:rsidR="009A269F">
        <w:rPr>
          <w:szCs w:val="24"/>
        </w:rPr>
        <w:instrText xml:space="preserve"> REF _Ref469491998 \h  \* MERGEFORMAT </w:instrText>
      </w:r>
      <w:r w:rsidR="009A269F">
        <w:rPr>
          <w:szCs w:val="24"/>
        </w:rPr>
      </w:r>
      <w:r w:rsidR="009A269F">
        <w:rPr>
          <w:szCs w:val="24"/>
        </w:rPr>
        <w:fldChar w:fldCharType="separate"/>
      </w:r>
      <w:r w:rsidR="00507263" w:rsidRPr="000416F8">
        <w:rPr>
          <w:szCs w:val="24"/>
        </w:rPr>
        <w:t>Table 5</w:t>
      </w:r>
      <w:r w:rsidR="009A269F">
        <w:rPr>
          <w:szCs w:val="24"/>
        </w:rPr>
        <w:fldChar w:fldCharType="end"/>
      </w:r>
      <w:r w:rsidRPr="007B7C25">
        <w:rPr>
          <w:szCs w:val="24"/>
        </w:rPr>
        <w:t>.</w:t>
      </w:r>
      <w:r>
        <w:rPr>
          <w:szCs w:val="24"/>
        </w:rPr>
        <w:t xml:space="preserve">  As noted above, this modelling is in stark contrast to the actual data in EXTEND-IA, where MT is dominant at 90 days.  This may be due to underestimating the hospital costs in the usual care group in the current evaluation.</w:t>
      </w:r>
    </w:p>
    <w:p w14:paraId="1AA61F03" w14:textId="77777777" w:rsidR="00F266D3" w:rsidRDefault="00F266D3" w:rsidP="00F266D3">
      <w:pPr>
        <w:rPr>
          <w:szCs w:val="24"/>
        </w:rPr>
      </w:pPr>
    </w:p>
    <w:p w14:paraId="72007AF3" w14:textId="77777777" w:rsidR="00F266D3" w:rsidRPr="009A269F" w:rsidRDefault="009A269F" w:rsidP="009A269F">
      <w:pPr>
        <w:pStyle w:val="Caption"/>
        <w:rPr>
          <w:rFonts w:ascii="Arial" w:hAnsi="Arial"/>
        </w:rPr>
      </w:pPr>
      <w:bookmarkStart w:id="6" w:name="_Ref469491998"/>
      <w:r w:rsidRPr="009A269F">
        <w:rPr>
          <w:rFonts w:ascii="Arial" w:hAnsi="Arial"/>
        </w:rPr>
        <w:t xml:space="preserve">Table </w:t>
      </w:r>
      <w:r w:rsidRPr="009A269F">
        <w:rPr>
          <w:rFonts w:ascii="Arial" w:hAnsi="Arial"/>
        </w:rPr>
        <w:fldChar w:fldCharType="begin"/>
      </w:r>
      <w:r w:rsidRPr="009A269F">
        <w:rPr>
          <w:rFonts w:ascii="Arial" w:hAnsi="Arial"/>
        </w:rPr>
        <w:instrText xml:space="preserve"> SEQ Table \* ARABIC </w:instrText>
      </w:r>
      <w:r w:rsidRPr="009A269F">
        <w:rPr>
          <w:rFonts w:ascii="Arial" w:hAnsi="Arial"/>
        </w:rPr>
        <w:fldChar w:fldCharType="separate"/>
      </w:r>
      <w:r w:rsidR="00507263">
        <w:rPr>
          <w:rFonts w:ascii="Arial" w:hAnsi="Arial"/>
          <w:noProof/>
        </w:rPr>
        <w:t>5</w:t>
      </w:r>
      <w:r w:rsidRPr="009A269F">
        <w:rPr>
          <w:rFonts w:ascii="Arial" w:hAnsi="Arial"/>
        </w:rPr>
        <w:fldChar w:fldCharType="end"/>
      </w:r>
      <w:bookmarkEnd w:id="6"/>
      <w:r w:rsidRPr="009A269F">
        <w:rPr>
          <w:rFonts w:ascii="Arial" w:hAnsi="Arial"/>
        </w:rPr>
        <w:tab/>
      </w:r>
      <w:r>
        <w:rPr>
          <w:rFonts w:ascii="Arial" w:hAnsi="Arial"/>
        </w:rPr>
        <w:tab/>
      </w:r>
      <w:r w:rsidRPr="009A269F">
        <w:rPr>
          <w:rFonts w:ascii="Arial" w:hAnsi="Arial"/>
        </w:rPr>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Table shows the comparative overall costs, QALYs and incremental costs for MT + usual care (intervention) and usual care (comparator). The result is presented as the incremental cost per extra QALY gained."/>
      </w:tblPr>
      <w:tblGrid>
        <w:gridCol w:w="2270"/>
        <w:gridCol w:w="2379"/>
        <w:gridCol w:w="2379"/>
        <w:gridCol w:w="2054"/>
      </w:tblGrid>
      <w:tr w:rsidR="00F266D3" w:rsidRPr="009A269F" w14:paraId="1E9619C8" w14:textId="77777777" w:rsidTr="00216A14">
        <w:trPr>
          <w:tblHeader/>
        </w:trPr>
        <w:tc>
          <w:tcPr>
            <w:tcW w:w="1249" w:type="pct"/>
          </w:tcPr>
          <w:p w14:paraId="17799ED9" w14:textId="77777777" w:rsidR="00F266D3" w:rsidRPr="009A269F" w:rsidRDefault="00F266D3" w:rsidP="00216A14">
            <w:pPr>
              <w:keepNext/>
              <w:rPr>
                <w:rFonts w:ascii="Arial" w:hAnsi="Arial" w:cs="Arial"/>
                <w:b/>
                <w:sz w:val="20"/>
              </w:rPr>
            </w:pPr>
            <w:r w:rsidRPr="009A269F">
              <w:rPr>
                <w:rFonts w:ascii="Arial" w:hAnsi="Arial" w:cs="Arial"/>
                <w:b/>
                <w:sz w:val="20"/>
              </w:rPr>
              <w:t>Component</w:t>
            </w:r>
          </w:p>
        </w:tc>
        <w:tc>
          <w:tcPr>
            <w:tcW w:w="1310" w:type="pct"/>
          </w:tcPr>
          <w:p w14:paraId="2FCFAF8B" w14:textId="77777777" w:rsidR="00F266D3" w:rsidRPr="009A269F" w:rsidRDefault="00F266D3" w:rsidP="00216A14">
            <w:pPr>
              <w:keepNext/>
              <w:rPr>
                <w:rFonts w:ascii="Arial" w:hAnsi="Arial" w:cs="Arial"/>
                <w:b/>
                <w:sz w:val="20"/>
              </w:rPr>
            </w:pPr>
            <w:r w:rsidRPr="009A269F">
              <w:rPr>
                <w:rFonts w:ascii="Arial" w:hAnsi="Arial" w:cs="Arial"/>
                <w:b/>
                <w:sz w:val="20"/>
              </w:rPr>
              <w:t>MT + usual care</w:t>
            </w:r>
          </w:p>
        </w:tc>
        <w:tc>
          <w:tcPr>
            <w:tcW w:w="1310" w:type="pct"/>
          </w:tcPr>
          <w:p w14:paraId="4D8E30A0" w14:textId="77777777" w:rsidR="00F266D3" w:rsidRPr="009A269F" w:rsidRDefault="00F266D3" w:rsidP="00216A14">
            <w:pPr>
              <w:keepNext/>
              <w:rPr>
                <w:rFonts w:ascii="Arial" w:hAnsi="Arial" w:cs="Arial"/>
                <w:b/>
                <w:sz w:val="20"/>
              </w:rPr>
            </w:pPr>
            <w:r w:rsidRPr="009A269F">
              <w:rPr>
                <w:rFonts w:ascii="Arial" w:hAnsi="Arial" w:cs="Arial"/>
                <w:b/>
                <w:sz w:val="20"/>
              </w:rPr>
              <w:t>Usual care</w:t>
            </w:r>
          </w:p>
        </w:tc>
        <w:tc>
          <w:tcPr>
            <w:tcW w:w="1131" w:type="pct"/>
          </w:tcPr>
          <w:p w14:paraId="62EC4EC0" w14:textId="77777777" w:rsidR="00F266D3" w:rsidRPr="009A269F" w:rsidRDefault="00F266D3" w:rsidP="00216A14">
            <w:pPr>
              <w:keepNext/>
              <w:rPr>
                <w:rFonts w:ascii="Arial" w:hAnsi="Arial" w:cs="Arial"/>
                <w:b/>
                <w:sz w:val="20"/>
              </w:rPr>
            </w:pPr>
            <w:r w:rsidRPr="009A269F">
              <w:rPr>
                <w:rFonts w:ascii="Arial" w:hAnsi="Arial" w:cs="Arial"/>
                <w:b/>
                <w:sz w:val="20"/>
              </w:rPr>
              <w:t>Increment</w:t>
            </w:r>
          </w:p>
        </w:tc>
      </w:tr>
      <w:tr w:rsidR="00F266D3" w:rsidRPr="009A269F" w14:paraId="2B1D719C" w14:textId="77777777" w:rsidTr="00216A14">
        <w:tc>
          <w:tcPr>
            <w:tcW w:w="1249" w:type="pct"/>
          </w:tcPr>
          <w:p w14:paraId="7F67D50F" w14:textId="77777777" w:rsidR="00F266D3" w:rsidRPr="009A269F" w:rsidRDefault="00F266D3" w:rsidP="00216A14">
            <w:pPr>
              <w:keepNext/>
              <w:rPr>
                <w:rFonts w:ascii="Arial" w:hAnsi="Arial" w:cs="Arial"/>
                <w:sz w:val="20"/>
              </w:rPr>
            </w:pPr>
            <w:r w:rsidRPr="009A269F">
              <w:rPr>
                <w:rFonts w:ascii="Arial" w:hAnsi="Arial" w:cs="Arial"/>
                <w:sz w:val="20"/>
              </w:rPr>
              <w:t>Costs</w:t>
            </w:r>
          </w:p>
        </w:tc>
        <w:tc>
          <w:tcPr>
            <w:tcW w:w="1310" w:type="pct"/>
          </w:tcPr>
          <w:p w14:paraId="4D65A49F" w14:textId="77777777" w:rsidR="00F266D3" w:rsidRPr="009A269F" w:rsidRDefault="00F266D3" w:rsidP="00216A14">
            <w:pPr>
              <w:keepNext/>
              <w:rPr>
                <w:rFonts w:ascii="Arial" w:hAnsi="Arial" w:cs="Arial"/>
                <w:sz w:val="20"/>
              </w:rPr>
            </w:pPr>
            <w:r w:rsidRPr="009A269F">
              <w:rPr>
                <w:rFonts w:ascii="Arial" w:hAnsi="Arial" w:cs="Arial"/>
                <w:sz w:val="20"/>
              </w:rPr>
              <w:t>$101,977</w:t>
            </w:r>
          </w:p>
        </w:tc>
        <w:tc>
          <w:tcPr>
            <w:tcW w:w="1310" w:type="pct"/>
          </w:tcPr>
          <w:p w14:paraId="4F69517C" w14:textId="77777777" w:rsidR="00F266D3" w:rsidRPr="009A269F" w:rsidRDefault="00F266D3" w:rsidP="00216A14">
            <w:pPr>
              <w:keepNext/>
              <w:rPr>
                <w:rFonts w:ascii="Arial" w:hAnsi="Arial" w:cs="Arial"/>
                <w:sz w:val="20"/>
              </w:rPr>
            </w:pPr>
            <w:r w:rsidRPr="009A269F">
              <w:rPr>
                <w:rFonts w:ascii="Arial" w:hAnsi="Arial" w:cs="Arial"/>
                <w:sz w:val="20"/>
              </w:rPr>
              <w:t>$91,311</w:t>
            </w:r>
          </w:p>
        </w:tc>
        <w:tc>
          <w:tcPr>
            <w:tcW w:w="1131" w:type="pct"/>
          </w:tcPr>
          <w:p w14:paraId="1667E734" w14:textId="77777777" w:rsidR="00F266D3" w:rsidRPr="009A269F" w:rsidRDefault="00F266D3" w:rsidP="00216A14">
            <w:pPr>
              <w:keepNext/>
              <w:rPr>
                <w:rFonts w:ascii="Arial" w:hAnsi="Arial" w:cs="Arial"/>
                <w:sz w:val="20"/>
              </w:rPr>
            </w:pPr>
            <w:r w:rsidRPr="009A269F">
              <w:rPr>
                <w:rFonts w:ascii="Arial" w:hAnsi="Arial" w:cs="Arial"/>
                <w:sz w:val="20"/>
              </w:rPr>
              <w:t>$10,666</w:t>
            </w:r>
          </w:p>
        </w:tc>
      </w:tr>
      <w:tr w:rsidR="00F266D3" w:rsidRPr="009A269F" w14:paraId="78CC48BC" w14:textId="77777777" w:rsidTr="00216A14">
        <w:tc>
          <w:tcPr>
            <w:tcW w:w="1249" w:type="pct"/>
          </w:tcPr>
          <w:p w14:paraId="239C3E99" w14:textId="77777777" w:rsidR="00F266D3" w:rsidRPr="009A269F" w:rsidRDefault="00F266D3" w:rsidP="00216A14">
            <w:pPr>
              <w:keepNext/>
              <w:rPr>
                <w:rFonts w:ascii="Arial" w:hAnsi="Arial" w:cs="Arial"/>
                <w:sz w:val="20"/>
              </w:rPr>
            </w:pPr>
            <w:r w:rsidRPr="009A269F">
              <w:rPr>
                <w:rFonts w:ascii="Arial" w:hAnsi="Arial" w:cs="Arial"/>
                <w:sz w:val="20"/>
              </w:rPr>
              <w:t>QALYs</w:t>
            </w:r>
          </w:p>
        </w:tc>
        <w:tc>
          <w:tcPr>
            <w:tcW w:w="1310" w:type="pct"/>
          </w:tcPr>
          <w:p w14:paraId="3C1A2DA7" w14:textId="77777777" w:rsidR="00F266D3" w:rsidRPr="009A269F" w:rsidRDefault="00F266D3" w:rsidP="00216A14">
            <w:pPr>
              <w:keepNext/>
              <w:rPr>
                <w:rFonts w:ascii="Arial" w:hAnsi="Arial" w:cs="Arial"/>
                <w:sz w:val="20"/>
              </w:rPr>
            </w:pPr>
            <w:r w:rsidRPr="009A269F">
              <w:rPr>
                <w:rFonts w:ascii="Arial" w:hAnsi="Arial" w:cs="Arial"/>
                <w:sz w:val="20"/>
              </w:rPr>
              <w:t>2.72</w:t>
            </w:r>
          </w:p>
        </w:tc>
        <w:tc>
          <w:tcPr>
            <w:tcW w:w="1310" w:type="pct"/>
          </w:tcPr>
          <w:p w14:paraId="535630BD" w14:textId="77777777" w:rsidR="00F266D3" w:rsidRPr="009A269F" w:rsidRDefault="00F266D3" w:rsidP="00216A14">
            <w:pPr>
              <w:keepNext/>
              <w:rPr>
                <w:rFonts w:ascii="Arial" w:hAnsi="Arial" w:cs="Arial"/>
                <w:sz w:val="20"/>
              </w:rPr>
            </w:pPr>
            <w:r w:rsidRPr="009A269F">
              <w:rPr>
                <w:rFonts w:ascii="Arial" w:hAnsi="Arial" w:cs="Arial"/>
                <w:sz w:val="20"/>
              </w:rPr>
              <w:t>1.89</w:t>
            </w:r>
          </w:p>
        </w:tc>
        <w:tc>
          <w:tcPr>
            <w:tcW w:w="1131" w:type="pct"/>
          </w:tcPr>
          <w:p w14:paraId="2C98B108" w14:textId="77777777" w:rsidR="00F266D3" w:rsidRPr="009A269F" w:rsidRDefault="00F266D3" w:rsidP="00216A14">
            <w:pPr>
              <w:keepNext/>
              <w:rPr>
                <w:rFonts w:ascii="Arial" w:hAnsi="Arial" w:cs="Arial"/>
                <w:sz w:val="20"/>
              </w:rPr>
            </w:pPr>
            <w:r w:rsidRPr="009A269F">
              <w:rPr>
                <w:rFonts w:ascii="Arial" w:hAnsi="Arial" w:cs="Arial"/>
                <w:sz w:val="20"/>
              </w:rPr>
              <w:t>0.83</w:t>
            </w:r>
          </w:p>
        </w:tc>
      </w:tr>
      <w:tr w:rsidR="00F266D3" w:rsidRPr="009A269F" w14:paraId="580CF62C" w14:textId="77777777" w:rsidTr="00216A14">
        <w:tc>
          <w:tcPr>
            <w:tcW w:w="3869" w:type="pct"/>
            <w:gridSpan w:val="3"/>
          </w:tcPr>
          <w:p w14:paraId="500F436A" w14:textId="77777777" w:rsidR="00F266D3" w:rsidRPr="009A269F" w:rsidRDefault="00F266D3" w:rsidP="00216A14">
            <w:pPr>
              <w:keepNext/>
              <w:rPr>
                <w:rFonts w:ascii="Arial" w:hAnsi="Arial" w:cs="Arial"/>
                <w:b/>
                <w:sz w:val="20"/>
              </w:rPr>
            </w:pPr>
            <w:r w:rsidRPr="009A269F">
              <w:rPr>
                <w:rFonts w:ascii="Arial" w:hAnsi="Arial" w:cs="Arial"/>
                <w:b/>
                <w:sz w:val="20"/>
              </w:rPr>
              <w:t>Incremental cost/extra QALY gained</w:t>
            </w:r>
          </w:p>
        </w:tc>
        <w:tc>
          <w:tcPr>
            <w:tcW w:w="1131" w:type="pct"/>
          </w:tcPr>
          <w:p w14:paraId="749A21BB" w14:textId="77777777" w:rsidR="00F266D3" w:rsidRPr="009A269F" w:rsidRDefault="00F266D3" w:rsidP="00216A14">
            <w:pPr>
              <w:keepNext/>
              <w:rPr>
                <w:rFonts w:ascii="Arial" w:hAnsi="Arial" w:cs="Arial"/>
                <w:b/>
                <w:sz w:val="20"/>
              </w:rPr>
            </w:pPr>
            <w:r w:rsidRPr="009A269F">
              <w:rPr>
                <w:rFonts w:ascii="Arial" w:hAnsi="Arial" w:cs="Arial"/>
                <w:b/>
                <w:sz w:val="20"/>
              </w:rPr>
              <w:t>$12,880</w:t>
            </w:r>
          </w:p>
        </w:tc>
      </w:tr>
    </w:tbl>
    <w:p w14:paraId="044CDDEA" w14:textId="77777777" w:rsidR="00F266D3" w:rsidRPr="00F715D1" w:rsidRDefault="00F266D3" w:rsidP="009A269F">
      <w:pPr>
        <w:pStyle w:val="Tablenotes"/>
        <w:keepNext/>
        <w:jc w:val="left"/>
        <w:rPr>
          <w:szCs w:val="24"/>
        </w:rPr>
      </w:pPr>
      <w:r w:rsidRPr="009A269F">
        <w:rPr>
          <w:rFonts w:ascii="Arial" w:hAnsi="Arial"/>
          <w:sz w:val="16"/>
          <w:szCs w:val="16"/>
        </w:rPr>
        <w:t xml:space="preserve">MT = mechanical thrombectomy; QALY = quality-adjusted life years; </w:t>
      </w:r>
    </w:p>
    <w:p w14:paraId="13EA0B04" w14:textId="77777777" w:rsidR="00BC1364" w:rsidRPr="00F715D1" w:rsidRDefault="00BC1364" w:rsidP="00F715D1">
      <w:pPr>
        <w:pStyle w:val="Heading1"/>
      </w:pPr>
      <w:r w:rsidRPr="00F715D1">
        <w:t>Financial/budgetary impacts</w:t>
      </w:r>
    </w:p>
    <w:p w14:paraId="14B543FD" w14:textId="77777777" w:rsidR="00F266D3" w:rsidRDefault="00327C67" w:rsidP="00F266D3">
      <w:pPr>
        <w:rPr>
          <w:szCs w:val="24"/>
        </w:rPr>
      </w:pPr>
      <w:r>
        <w:rPr>
          <w:szCs w:val="24"/>
        </w:rPr>
        <w:t>The Assessment Report estimated that around 2,694 patients</w:t>
      </w:r>
      <w:r w:rsidR="00F266D3" w:rsidRPr="007B7C25">
        <w:rPr>
          <w:szCs w:val="24"/>
        </w:rPr>
        <w:t xml:space="preserve"> may satisfy the eligi</w:t>
      </w:r>
      <w:r w:rsidR="00880CAC">
        <w:rPr>
          <w:szCs w:val="24"/>
        </w:rPr>
        <w:t>bility criteria for MT.  The critique noted that</w:t>
      </w:r>
      <w:r w:rsidR="00F266D3" w:rsidRPr="007B7C25">
        <w:rPr>
          <w:i/>
          <w:szCs w:val="24"/>
        </w:rPr>
        <w:t xml:space="preserve"> </w:t>
      </w:r>
      <w:r w:rsidR="00F266D3" w:rsidRPr="007B7C25">
        <w:rPr>
          <w:szCs w:val="24"/>
        </w:rPr>
        <w:t xml:space="preserve">the financial estimates were derived using a caseload capacity approach. </w:t>
      </w:r>
    </w:p>
    <w:p w14:paraId="08FE08D8" w14:textId="77777777" w:rsidR="00880CAC" w:rsidRPr="007B7C25" w:rsidRDefault="00880CAC" w:rsidP="00F266D3">
      <w:pPr>
        <w:rPr>
          <w:szCs w:val="24"/>
        </w:rPr>
      </w:pPr>
    </w:p>
    <w:p w14:paraId="14A60855" w14:textId="647F87A6" w:rsidR="00F266D3" w:rsidRPr="007B7C25" w:rsidRDefault="00F266D3" w:rsidP="00F266D3">
      <w:pPr>
        <w:rPr>
          <w:szCs w:val="24"/>
        </w:rPr>
      </w:pPr>
      <w:r w:rsidRPr="007B7C25">
        <w:rPr>
          <w:szCs w:val="24"/>
        </w:rPr>
        <w:t xml:space="preserve">The financial implications to the MBS resulting from the proposed listing of mechanical thrombectomy are summarised in </w:t>
      </w:r>
      <w:r w:rsidR="009A269F" w:rsidRPr="009A269F">
        <w:rPr>
          <w:szCs w:val="24"/>
        </w:rPr>
        <w:fldChar w:fldCharType="begin"/>
      </w:r>
      <w:r w:rsidR="009A269F">
        <w:rPr>
          <w:szCs w:val="24"/>
        </w:rPr>
        <w:instrText xml:space="preserve"> REF _Ref469492104 \h  \* MERGEFORMAT </w:instrText>
      </w:r>
      <w:r w:rsidR="009A269F" w:rsidRPr="009A269F">
        <w:rPr>
          <w:szCs w:val="24"/>
        </w:rPr>
      </w:r>
      <w:r w:rsidR="009A269F" w:rsidRPr="009A269F">
        <w:rPr>
          <w:szCs w:val="24"/>
        </w:rPr>
        <w:fldChar w:fldCharType="separate"/>
      </w:r>
      <w:r w:rsidR="00507263" w:rsidRPr="000416F8">
        <w:rPr>
          <w:szCs w:val="24"/>
        </w:rPr>
        <w:t>Table 6</w:t>
      </w:r>
      <w:r w:rsidR="009A269F" w:rsidRPr="009A269F">
        <w:rPr>
          <w:szCs w:val="24"/>
        </w:rPr>
        <w:fldChar w:fldCharType="end"/>
      </w:r>
      <w:r w:rsidRPr="007B7C25">
        <w:rPr>
          <w:szCs w:val="24"/>
        </w:rPr>
        <w:t>.</w:t>
      </w:r>
    </w:p>
    <w:p w14:paraId="409A71C1" w14:textId="77777777" w:rsidR="00F266D3" w:rsidRPr="007B7C25" w:rsidRDefault="00F266D3" w:rsidP="00F266D3">
      <w:pPr>
        <w:rPr>
          <w:szCs w:val="24"/>
        </w:rPr>
      </w:pPr>
    </w:p>
    <w:p w14:paraId="000AE0E5" w14:textId="77777777" w:rsidR="00F266D3" w:rsidRPr="009A269F" w:rsidRDefault="009A269F" w:rsidP="009A269F">
      <w:pPr>
        <w:pStyle w:val="Caption"/>
        <w:rPr>
          <w:rFonts w:ascii="Arial" w:hAnsi="Arial"/>
        </w:rPr>
      </w:pPr>
      <w:bookmarkStart w:id="7" w:name="_Ref469492104"/>
      <w:r w:rsidRPr="009A269F">
        <w:rPr>
          <w:rFonts w:ascii="Arial" w:hAnsi="Arial"/>
        </w:rPr>
        <w:t xml:space="preserve">Table </w:t>
      </w:r>
      <w:r w:rsidRPr="009A269F">
        <w:rPr>
          <w:rFonts w:ascii="Arial" w:hAnsi="Arial"/>
        </w:rPr>
        <w:fldChar w:fldCharType="begin"/>
      </w:r>
      <w:r w:rsidRPr="009A269F">
        <w:rPr>
          <w:rFonts w:ascii="Arial" w:hAnsi="Arial"/>
        </w:rPr>
        <w:instrText xml:space="preserve"> SEQ Table \* ARABIC </w:instrText>
      </w:r>
      <w:r w:rsidRPr="009A269F">
        <w:rPr>
          <w:rFonts w:ascii="Arial" w:hAnsi="Arial"/>
        </w:rPr>
        <w:fldChar w:fldCharType="separate"/>
      </w:r>
      <w:r w:rsidR="00507263">
        <w:rPr>
          <w:rFonts w:ascii="Arial" w:hAnsi="Arial"/>
          <w:noProof/>
        </w:rPr>
        <w:t>6</w:t>
      </w:r>
      <w:r w:rsidRPr="009A269F">
        <w:rPr>
          <w:rFonts w:ascii="Arial" w:hAnsi="Arial"/>
        </w:rPr>
        <w:fldChar w:fldCharType="end"/>
      </w:r>
      <w:bookmarkEnd w:id="7"/>
      <w:r w:rsidRPr="009A269F">
        <w:rPr>
          <w:rFonts w:ascii="Arial" w:hAnsi="Arial"/>
        </w:rPr>
        <w:tab/>
      </w:r>
      <w:r>
        <w:rPr>
          <w:rFonts w:ascii="Arial" w:hAnsi="Arial"/>
        </w:rPr>
        <w:tab/>
      </w:r>
      <w:r w:rsidRPr="009A269F">
        <w:rPr>
          <w:rFonts w:ascii="Arial" w:hAnsi="Arial"/>
        </w:rPr>
        <w:t>Total costs to the MBS associated with mechanical thrombectomy</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provides a summary of the financial impact of the proposed new medical service over the next five years."/>
      </w:tblPr>
      <w:tblGrid>
        <w:gridCol w:w="1960"/>
        <w:gridCol w:w="1411"/>
        <w:gridCol w:w="1411"/>
        <w:gridCol w:w="1411"/>
        <w:gridCol w:w="1411"/>
        <w:gridCol w:w="1411"/>
      </w:tblGrid>
      <w:tr w:rsidR="00F266D3" w:rsidRPr="009A269F" w14:paraId="6DEFF22A" w14:textId="77777777" w:rsidTr="00216A14">
        <w:trPr>
          <w:trHeight w:val="300"/>
          <w:tblHeader/>
        </w:trPr>
        <w:tc>
          <w:tcPr>
            <w:tcW w:w="1226" w:type="pct"/>
            <w:tcBorders>
              <w:bottom w:val="single" w:sz="4" w:space="0" w:color="auto"/>
            </w:tcBorders>
            <w:shd w:val="clear" w:color="auto" w:fill="auto"/>
            <w:vAlign w:val="center"/>
          </w:tcPr>
          <w:p w14:paraId="3C625442" w14:textId="77777777" w:rsidR="00F266D3" w:rsidRPr="009A269F" w:rsidRDefault="00F266D3" w:rsidP="00216A14">
            <w:pPr>
              <w:keepNext/>
              <w:tabs>
                <w:tab w:val="left" w:pos="851"/>
              </w:tabs>
              <w:spacing w:before="40" w:after="40"/>
              <w:ind w:left="360"/>
              <w:rPr>
                <w:rFonts w:ascii="Arial" w:hAnsi="Arial" w:cs="Arial"/>
                <w:b/>
                <w:sz w:val="20"/>
              </w:rPr>
            </w:pPr>
            <w:r w:rsidRPr="009A269F">
              <w:rPr>
                <w:rFonts w:ascii="Arial" w:hAnsi="Arial" w:cs="Arial"/>
                <w:b/>
                <w:color w:val="FFFFFF" w:themeColor="background1"/>
                <w:sz w:val="20"/>
              </w:rPr>
              <w:t>-</w:t>
            </w:r>
          </w:p>
        </w:tc>
        <w:tc>
          <w:tcPr>
            <w:tcW w:w="755" w:type="pct"/>
            <w:tcBorders>
              <w:bottom w:val="single" w:sz="4" w:space="0" w:color="auto"/>
            </w:tcBorders>
            <w:vAlign w:val="center"/>
          </w:tcPr>
          <w:p w14:paraId="2347421E" w14:textId="77777777" w:rsidR="00F266D3" w:rsidRPr="009A269F" w:rsidRDefault="00F266D3" w:rsidP="00216A14">
            <w:pPr>
              <w:keepNext/>
              <w:tabs>
                <w:tab w:val="left" w:pos="851"/>
              </w:tabs>
              <w:spacing w:before="40" w:after="40"/>
              <w:ind w:left="360"/>
              <w:rPr>
                <w:rFonts w:ascii="Arial" w:hAnsi="Arial" w:cs="Arial"/>
                <w:b/>
                <w:sz w:val="20"/>
              </w:rPr>
            </w:pPr>
            <w:r w:rsidRPr="009A269F">
              <w:rPr>
                <w:rFonts w:ascii="Arial" w:hAnsi="Arial" w:cs="Arial"/>
                <w:b/>
                <w:sz w:val="20"/>
              </w:rPr>
              <w:t>2016-17</w:t>
            </w:r>
          </w:p>
        </w:tc>
        <w:tc>
          <w:tcPr>
            <w:tcW w:w="755" w:type="pct"/>
            <w:tcBorders>
              <w:bottom w:val="single" w:sz="4" w:space="0" w:color="auto"/>
            </w:tcBorders>
            <w:shd w:val="clear" w:color="auto" w:fill="auto"/>
            <w:vAlign w:val="center"/>
          </w:tcPr>
          <w:p w14:paraId="7FC04DB7" w14:textId="77777777" w:rsidR="00F266D3" w:rsidRPr="009A269F" w:rsidRDefault="00F266D3" w:rsidP="00216A14">
            <w:pPr>
              <w:keepNext/>
              <w:tabs>
                <w:tab w:val="left" w:pos="851"/>
              </w:tabs>
              <w:spacing w:before="40" w:after="40"/>
              <w:ind w:left="360"/>
              <w:rPr>
                <w:rFonts w:ascii="Arial" w:hAnsi="Arial" w:cs="Arial"/>
                <w:b/>
                <w:sz w:val="20"/>
              </w:rPr>
            </w:pPr>
            <w:r w:rsidRPr="009A269F">
              <w:rPr>
                <w:rFonts w:ascii="Arial" w:hAnsi="Arial" w:cs="Arial"/>
                <w:b/>
                <w:sz w:val="20"/>
              </w:rPr>
              <w:t>2017-18</w:t>
            </w:r>
          </w:p>
        </w:tc>
        <w:tc>
          <w:tcPr>
            <w:tcW w:w="755" w:type="pct"/>
            <w:tcBorders>
              <w:bottom w:val="single" w:sz="4" w:space="0" w:color="auto"/>
            </w:tcBorders>
            <w:shd w:val="clear" w:color="auto" w:fill="auto"/>
            <w:vAlign w:val="center"/>
          </w:tcPr>
          <w:p w14:paraId="0F725700" w14:textId="77777777" w:rsidR="00F266D3" w:rsidRPr="009A269F" w:rsidRDefault="00F266D3" w:rsidP="00216A14">
            <w:pPr>
              <w:keepNext/>
              <w:tabs>
                <w:tab w:val="left" w:pos="851"/>
              </w:tabs>
              <w:spacing w:before="40" w:after="40"/>
              <w:ind w:left="360"/>
              <w:rPr>
                <w:rFonts w:ascii="Arial" w:hAnsi="Arial" w:cs="Arial"/>
                <w:b/>
                <w:sz w:val="20"/>
              </w:rPr>
            </w:pPr>
            <w:r w:rsidRPr="009A269F">
              <w:rPr>
                <w:rFonts w:ascii="Arial" w:hAnsi="Arial" w:cs="Arial"/>
                <w:b/>
                <w:sz w:val="20"/>
              </w:rPr>
              <w:t>2018-19</w:t>
            </w:r>
          </w:p>
        </w:tc>
        <w:tc>
          <w:tcPr>
            <w:tcW w:w="755" w:type="pct"/>
            <w:tcBorders>
              <w:bottom w:val="single" w:sz="4" w:space="0" w:color="auto"/>
            </w:tcBorders>
            <w:shd w:val="clear" w:color="auto" w:fill="auto"/>
            <w:vAlign w:val="center"/>
          </w:tcPr>
          <w:p w14:paraId="308055AC" w14:textId="77777777" w:rsidR="00F266D3" w:rsidRPr="009A269F" w:rsidRDefault="00F266D3" w:rsidP="00216A14">
            <w:pPr>
              <w:keepNext/>
              <w:tabs>
                <w:tab w:val="left" w:pos="851"/>
              </w:tabs>
              <w:spacing w:before="40" w:after="40"/>
              <w:ind w:left="360"/>
              <w:rPr>
                <w:rFonts w:ascii="Arial" w:hAnsi="Arial" w:cs="Arial"/>
                <w:b/>
                <w:sz w:val="20"/>
              </w:rPr>
            </w:pPr>
            <w:r w:rsidRPr="009A269F">
              <w:rPr>
                <w:rFonts w:ascii="Arial" w:hAnsi="Arial" w:cs="Arial"/>
                <w:b/>
                <w:sz w:val="20"/>
              </w:rPr>
              <w:t>2019-20</w:t>
            </w:r>
          </w:p>
        </w:tc>
        <w:tc>
          <w:tcPr>
            <w:tcW w:w="754" w:type="pct"/>
            <w:tcBorders>
              <w:bottom w:val="single" w:sz="4" w:space="0" w:color="auto"/>
            </w:tcBorders>
            <w:shd w:val="clear" w:color="auto" w:fill="auto"/>
            <w:vAlign w:val="center"/>
          </w:tcPr>
          <w:p w14:paraId="46636394" w14:textId="77777777" w:rsidR="00F266D3" w:rsidRPr="009A269F" w:rsidRDefault="00F266D3" w:rsidP="00216A14">
            <w:pPr>
              <w:keepNext/>
              <w:tabs>
                <w:tab w:val="left" w:pos="851"/>
              </w:tabs>
              <w:spacing w:before="40" w:after="40"/>
              <w:ind w:left="360"/>
              <w:rPr>
                <w:rFonts w:ascii="Arial" w:hAnsi="Arial" w:cs="Arial"/>
                <w:b/>
                <w:sz w:val="20"/>
              </w:rPr>
            </w:pPr>
            <w:r w:rsidRPr="009A269F">
              <w:rPr>
                <w:rFonts w:ascii="Arial" w:hAnsi="Arial" w:cs="Arial"/>
                <w:b/>
                <w:sz w:val="20"/>
              </w:rPr>
              <w:t>2020-21</w:t>
            </w:r>
          </w:p>
        </w:tc>
      </w:tr>
      <w:tr w:rsidR="00F266D3" w:rsidRPr="009A269F" w14:paraId="513839B9" w14:textId="77777777" w:rsidTr="00216A14">
        <w:trPr>
          <w:trHeight w:val="300"/>
        </w:trPr>
        <w:tc>
          <w:tcPr>
            <w:tcW w:w="5000" w:type="pct"/>
            <w:gridSpan w:val="6"/>
            <w:tcBorders>
              <w:right w:val="nil"/>
            </w:tcBorders>
            <w:shd w:val="clear" w:color="auto" w:fill="auto"/>
          </w:tcPr>
          <w:p w14:paraId="292A2773" w14:textId="77777777" w:rsidR="00F266D3" w:rsidRPr="009A269F" w:rsidRDefault="00F266D3" w:rsidP="00216A14">
            <w:pPr>
              <w:widowControl w:val="0"/>
              <w:tabs>
                <w:tab w:val="left" w:pos="0"/>
              </w:tabs>
              <w:spacing w:before="40" w:after="40"/>
              <w:ind w:left="29"/>
              <w:rPr>
                <w:rFonts w:ascii="Arial" w:hAnsi="Arial" w:cs="Arial"/>
                <w:b/>
                <w:color w:val="FFFFFF" w:themeColor="background1"/>
                <w:sz w:val="20"/>
              </w:rPr>
            </w:pPr>
            <w:r w:rsidRPr="009A269F">
              <w:rPr>
                <w:rFonts w:ascii="Arial" w:hAnsi="Arial" w:cs="Arial"/>
                <w:b/>
                <w:sz w:val="20"/>
              </w:rPr>
              <w:t>Mechanical thrombectomy</w:t>
            </w:r>
            <w:r w:rsidRPr="009A269F">
              <w:rPr>
                <w:rFonts w:ascii="Arial" w:hAnsi="Arial" w:cs="Arial"/>
                <w:b/>
                <w:color w:val="FFFFFF" w:themeColor="background1"/>
                <w:sz w:val="20"/>
              </w:rPr>
              <w:t>-</w:t>
            </w:r>
          </w:p>
        </w:tc>
      </w:tr>
      <w:tr w:rsidR="00F266D3" w:rsidRPr="009A269F" w14:paraId="097CEED0" w14:textId="77777777" w:rsidTr="00216A14">
        <w:trPr>
          <w:trHeight w:val="300"/>
        </w:trPr>
        <w:tc>
          <w:tcPr>
            <w:tcW w:w="1226" w:type="pct"/>
            <w:shd w:val="clear" w:color="auto" w:fill="auto"/>
          </w:tcPr>
          <w:p w14:paraId="750B4AF7" w14:textId="77777777" w:rsidR="00F266D3" w:rsidRPr="009A269F" w:rsidRDefault="00F266D3" w:rsidP="00216A14">
            <w:pPr>
              <w:widowControl w:val="0"/>
              <w:tabs>
                <w:tab w:val="left" w:pos="851"/>
              </w:tabs>
              <w:spacing w:before="40" w:after="40"/>
              <w:ind w:left="29"/>
              <w:rPr>
                <w:rFonts w:ascii="Arial" w:hAnsi="Arial" w:cs="Arial"/>
                <w:sz w:val="20"/>
              </w:rPr>
            </w:pPr>
            <w:r w:rsidRPr="009A269F">
              <w:rPr>
                <w:rFonts w:ascii="Arial" w:hAnsi="Arial" w:cs="Arial"/>
                <w:sz w:val="20"/>
              </w:rPr>
              <w:t>Number of services</w:t>
            </w:r>
          </w:p>
        </w:tc>
        <w:tc>
          <w:tcPr>
            <w:tcW w:w="755" w:type="pct"/>
          </w:tcPr>
          <w:p w14:paraId="4D47E0FD" w14:textId="77777777" w:rsidR="00F266D3" w:rsidRPr="009A269F" w:rsidRDefault="00F266D3" w:rsidP="00216A14">
            <w:pPr>
              <w:widowControl w:val="0"/>
              <w:spacing w:before="40" w:after="40"/>
              <w:ind w:left="360"/>
              <w:rPr>
                <w:rFonts w:ascii="Arial" w:hAnsi="Arial" w:cs="Arial"/>
                <w:sz w:val="20"/>
              </w:rPr>
            </w:pPr>
            <w:r w:rsidRPr="009A269F">
              <w:rPr>
                <w:rFonts w:ascii="Arial" w:hAnsi="Arial" w:cs="Arial"/>
                <w:sz w:val="20"/>
              </w:rPr>
              <w:t>78</w:t>
            </w:r>
          </w:p>
        </w:tc>
        <w:tc>
          <w:tcPr>
            <w:tcW w:w="755" w:type="pct"/>
            <w:shd w:val="clear" w:color="auto" w:fill="auto"/>
          </w:tcPr>
          <w:p w14:paraId="598F1C1B" w14:textId="77777777" w:rsidR="00F266D3" w:rsidRPr="009A269F" w:rsidRDefault="00F266D3" w:rsidP="00216A14">
            <w:pPr>
              <w:widowControl w:val="0"/>
              <w:spacing w:before="40" w:after="40"/>
              <w:ind w:left="360"/>
              <w:rPr>
                <w:rFonts w:ascii="Arial" w:hAnsi="Arial" w:cs="Arial"/>
                <w:sz w:val="20"/>
              </w:rPr>
            </w:pPr>
            <w:r w:rsidRPr="009A269F">
              <w:rPr>
                <w:rFonts w:ascii="Arial" w:hAnsi="Arial" w:cs="Arial"/>
                <w:sz w:val="20"/>
              </w:rPr>
              <w:t>96</w:t>
            </w:r>
          </w:p>
        </w:tc>
        <w:tc>
          <w:tcPr>
            <w:tcW w:w="755" w:type="pct"/>
            <w:shd w:val="clear" w:color="auto" w:fill="auto"/>
          </w:tcPr>
          <w:p w14:paraId="62361B9C" w14:textId="77777777" w:rsidR="00F266D3" w:rsidRPr="009A269F" w:rsidRDefault="00F266D3" w:rsidP="00216A14">
            <w:pPr>
              <w:widowControl w:val="0"/>
              <w:spacing w:before="40" w:after="40"/>
              <w:ind w:left="360"/>
              <w:rPr>
                <w:rFonts w:ascii="Arial" w:hAnsi="Arial" w:cs="Arial"/>
                <w:sz w:val="20"/>
              </w:rPr>
            </w:pPr>
            <w:r w:rsidRPr="009A269F">
              <w:rPr>
                <w:rFonts w:ascii="Arial" w:hAnsi="Arial" w:cs="Arial"/>
                <w:sz w:val="20"/>
              </w:rPr>
              <w:t>114</w:t>
            </w:r>
          </w:p>
        </w:tc>
        <w:tc>
          <w:tcPr>
            <w:tcW w:w="755" w:type="pct"/>
            <w:shd w:val="clear" w:color="auto" w:fill="auto"/>
          </w:tcPr>
          <w:p w14:paraId="50CE2DC7" w14:textId="77777777" w:rsidR="00F266D3" w:rsidRPr="009A269F" w:rsidRDefault="00F266D3" w:rsidP="00216A14">
            <w:pPr>
              <w:widowControl w:val="0"/>
              <w:spacing w:before="40" w:after="40"/>
              <w:ind w:left="360"/>
              <w:rPr>
                <w:rFonts w:ascii="Arial" w:hAnsi="Arial" w:cs="Arial"/>
                <w:sz w:val="20"/>
              </w:rPr>
            </w:pPr>
            <w:r w:rsidRPr="009A269F">
              <w:rPr>
                <w:rFonts w:ascii="Arial" w:hAnsi="Arial" w:cs="Arial"/>
                <w:sz w:val="20"/>
              </w:rPr>
              <w:t>132</w:t>
            </w:r>
          </w:p>
        </w:tc>
        <w:tc>
          <w:tcPr>
            <w:tcW w:w="754" w:type="pct"/>
            <w:shd w:val="clear" w:color="auto" w:fill="auto"/>
          </w:tcPr>
          <w:p w14:paraId="10BEF9AC" w14:textId="77777777" w:rsidR="00F266D3" w:rsidRPr="009A269F" w:rsidRDefault="00F266D3" w:rsidP="00216A14">
            <w:pPr>
              <w:widowControl w:val="0"/>
              <w:spacing w:before="40" w:after="40"/>
              <w:ind w:left="360"/>
              <w:rPr>
                <w:rFonts w:ascii="Arial" w:hAnsi="Arial" w:cs="Arial"/>
                <w:sz w:val="20"/>
              </w:rPr>
            </w:pPr>
            <w:r w:rsidRPr="009A269F">
              <w:rPr>
                <w:rFonts w:ascii="Arial" w:hAnsi="Arial" w:cs="Arial"/>
                <w:sz w:val="20"/>
              </w:rPr>
              <w:t>150</w:t>
            </w:r>
          </w:p>
        </w:tc>
      </w:tr>
      <w:tr w:rsidR="00F266D3" w:rsidRPr="009A269F" w14:paraId="79CE57BC" w14:textId="77777777" w:rsidTr="00216A14">
        <w:trPr>
          <w:trHeight w:val="315"/>
        </w:trPr>
        <w:tc>
          <w:tcPr>
            <w:tcW w:w="1226" w:type="pct"/>
            <w:tcBorders>
              <w:bottom w:val="single" w:sz="4" w:space="0" w:color="auto"/>
            </w:tcBorders>
            <w:shd w:val="clear" w:color="auto" w:fill="auto"/>
          </w:tcPr>
          <w:p w14:paraId="18E2654D" w14:textId="7A80BB7A" w:rsidR="00F266D3" w:rsidRPr="009A269F" w:rsidRDefault="00F266D3" w:rsidP="00216A14">
            <w:pPr>
              <w:widowControl w:val="0"/>
              <w:spacing w:before="40" w:after="40"/>
              <w:ind w:left="29"/>
              <w:rPr>
                <w:rFonts w:ascii="Arial" w:hAnsi="Arial" w:cs="Arial"/>
                <w:sz w:val="20"/>
              </w:rPr>
            </w:pPr>
            <w:r w:rsidRPr="009A269F">
              <w:rPr>
                <w:rFonts w:ascii="Arial" w:hAnsi="Arial" w:cs="Arial"/>
                <w:sz w:val="20"/>
              </w:rPr>
              <w:t>Sub-total cost</w:t>
            </w:r>
            <w:r w:rsidR="00C75DF2">
              <w:rPr>
                <w:rFonts w:ascii="Arial" w:hAnsi="Arial" w:cs="Arial"/>
                <w:sz w:val="20"/>
              </w:rPr>
              <w:br/>
              <w:t>(at 75% benefit)</w:t>
            </w:r>
          </w:p>
        </w:tc>
        <w:tc>
          <w:tcPr>
            <w:tcW w:w="755" w:type="pct"/>
            <w:tcBorders>
              <w:bottom w:val="single" w:sz="4" w:space="0" w:color="auto"/>
            </w:tcBorders>
          </w:tcPr>
          <w:p w14:paraId="4054F63E" w14:textId="77777777" w:rsidR="00F266D3" w:rsidRPr="009A269F" w:rsidRDefault="00F266D3" w:rsidP="00216A14">
            <w:pPr>
              <w:widowControl w:val="0"/>
              <w:spacing w:before="40" w:after="40"/>
              <w:ind w:left="360"/>
              <w:rPr>
                <w:rFonts w:ascii="Arial" w:hAnsi="Arial" w:cs="Arial"/>
                <w:sz w:val="20"/>
              </w:rPr>
            </w:pPr>
            <w:r w:rsidRPr="009A269F">
              <w:rPr>
                <w:rFonts w:ascii="Arial" w:hAnsi="Arial" w:cs="Arial"/>
                <w:sz w:val="20"/>
              </w:rPr>
              <w:t>$204,750</w:t>
            </w:r>
          </w:p>
        </w:tc>
        <w:tc>
          <w:tcPr>
            <w:tcW w:w="755" w:type="pct"/>
            <w:tcBorders>
              <w:bottom w:val="single" w:sz="4" w:space="0" w:color="auto"/>
            </w:tcBorders>
            <w:shd w:val="clear" w:color="auto" w:fill="auto"/>
          </w:tcPr>
          <w:p w14:paraId="16777601" w14:textId="77777777" w:rsidR="00F266D3" w:rsidRPr="009A269F" w:rsidRDefault="00F266D3" w:rsidP="00216A14">
            <w:pPr>
              <w:widowControl w:val="0"/>
              <w:spacing w:before="40" w:after="40"/>
              <w:ind w:left="360"/>
              <w:rPr>
                <w:rFonts w:ascii="Arial" w:hAnsi="Arial" w:cs="Arial"/>
                <w:sz w:val="20"/>
              </w:rPr>
            </w:pPr>
            <w:r w:rsidRPr="009A269F">
              <w:rPr>
                <w:rFonts w:ascii="Arial" w:hAnsi="Arial" w:cs="Arial"/>
                <w:sz w:val="20"/>
              </w:rPr>
              <w:t>$252,000</w:t>
            </w:r>
          </w:p>
        </w:tc>
        <w:tc>
          <w:tcPr>
            <w:tcW w:w="755" w:type="pct"/>
            <w:tcBorders>
              <w:bottom w:val="single" w:sz="4" w:space="0" w:color="auto"/>
            </w:tcBorders>
            <w:shd w:val="clear" w:color="auto" w:fill="auto"/>
          </w:tcPr>
          <w:p w14:paraId="7FF6B0CB" w14:textId="77777777" w:rsidR="00F266D3" w:rsidRPr="009A269F" w:rsidRDefault="00F266D3" w:rsidP="00216A14">
            <w:pPr>
              <w:widowControl w:val="0"/>
              <w:spacing w:before="40" w:after="40"/>
              <w:ind w:left="360"/>
              <w:rPr>
                <w:rFonts w:ascii="Arial" w:hAnsi="Arial" w:cs="Arial"/>
                <w:sz w:val="20"/>
              </w:rPr>
            </w:pPr>
            <w:r w:rsidRPr="009A269F">
              <w:rPr>
                <w:rFonts w:ascii="Arial" w:hAnsi="Arial" w:cs="Arial"/>
                <w:sz w:val="20"/>
              </w:rPr>
              <w:t>$299,250</w:t>
            </w:r>
          </w:p>
        </w:tc>
        <w:tc>
          <w:tcPr>
            <w:tcW w:w="755" w:type="pct"/>
            <w:tcBorders>
              <w:bottom w:val="single" w:sz="4" w:space="0" w:color="auto"/>
            </w:tcBorders>
            <w:shd w:val="clear" w:color="auto" w:fill="auto"/>
          </w:tcPr>
          <w:p w14:paraId="35E950EF" w14:textId="77777777" w:rsidR="00F266D3" w:rsidRPr="009A269F" w:rsidRDefault="00F266D3" w:rsidP="00216A14">
            <w:pPr>
              <w:widowControl w:val="0"/>
              <w:spacing w:before="40" w:after="40"/>
              <w:ind w:left="360"/>
              <w:rPr>
                <w:rFonts w:ascii="Arial" w:hAnsi="Arial" w:cs="Arial"/>
                <w:sz w:val="20"/>
              </w:rPr>
            </w:pPr>
            <w:r w:rsidRPr="009A269F">
              <w:rPr>
                <w:rFonts w:ascii="Arial" w:hAnsi="Arial" w:cs="Arial"/>
                <w:sz w:val="20"/>
              </w:rPr>
              <w:t>$346,500</w:t>
            </w:r>
          </w:p>
        </w:tc>
        <w:tc>
          <w:tcPr>
            <w:tcW w:w="754" w:type="pct"/>
            <w:tcBorders>
              <w:bottom w:val="single" w:sz="4" w:space="0" w:color="auto"/>
            </w:tcBorders>
            <w:shd w:val="clear" w:color="auto" w:fill="auto"/>
          </w:tcPr>
          <w:p w14:paraId="52D2BDF6" w14:textId="77777777" w:rsidR="00F266D3" w:rsidRPr="009A269F" w:rsidRDefault="00F266D3" w:rsidP="00216A14">
            <w:pPr>
              <w:widowControl w:val="0"/>
              <w:spacing w:before="40" w:after="40"/>
              <w:ind w:left="360"/>
              <w:rPr>
                <w:rFonts w:ascii="Arial" w:hAnsi="Arial" w:cs="Arial"/>
                <w:sz w:val="20"/>
              </w:rPr>
            </w:pPr>
            <w:r w:rsidRPr="009A269F">
              <w:rPr>
                <w:rFonts w:ascii="Arial" w:hAnsi="Arial" w:cs="Arial"/>
                <w:sz w:val="20"/>
              </w:rPr>
              <w:t>$393,750</w:t>
            </w:r>
          </w:p>
        </w:tc>
      </w:tr>
      <w:tr w:rsidR="00F266D3" w:rsidRPr="009A269F" w14:paraId="4F7682EC" w14:textId="77777777" w:rsidTr="00216A14">
        <w:trPr>
          <w:trHeight w:val="159"/>
        </w:trPr>
        <w:tc>
          <w:tcPr>
            <w:tcW w:w="1226" w:type="pct"/>
            <w:tcBorders>
              <w:right w:val="nil"/>
            </w:tcBorders>
            <w:shd w:val="clear" w:color="auto" w:fill="auto"/>
          </w:tcPr>
          <w:p w14:paraId="7C08D189" w14:textId="77777777" w:rsidR="00F266D3" w:rsidRPr="009A269F" w:rsidRDefault="00F266D3" w:rsidP="00216A14">
            <w:pPr>
              <w:widowControl w:val="0"/>
              <w:spacing w:before="40" w:after="40"/>
              <w:ind w:left="29"/>
              <w:rPr>
                <w:rFonts w:ascii="Arial" w:hAnsi="Arial" w:cs="Arial"/>
                <w:b/>
                <w:sz w:val="20"/>
              </w:rPr>
            </w:pPr>
            <w:r w:rsidRPr="009A269F">
              <w:rPr>
                <w:rFonts w:ascii="Arial" w:hAnsi="Arial" w:cs="Arial"/>
                <w:b/>
                <w:sz w:val="20"/>
              </w:rPr>
              <w:t>Co-administered</w:t>
            </w:r>
          </w:p>
        </w:tc>
        <w:tc>
          <w:tcPr>
            <w:tcW w:w="755" w:type="pct"/>
            <w:tcBorders>
              <w:left w:val="nil"/>
              <w:right w:val="nil"/>
            </w:tcBorders>
          </w:tcPr>
          <w:p w14:paraId="795B79EA" w14:textId="77777777" w:rsidR="00F266D3" w:rsidRPr="009A269F" w:rsidRDefault="00F266D3" w:rsidP="00216A14">
            <w:pPr>
              <w:widowControl w:val="0"/>
              <w:spacing w:before="40" w:after="40"/>
              <w:ind w:left="360"/>
              <w:rPr>
                <w:rFonts w:ascii="Arial" w:hAnsi="Arial" w:cs="Arial"/>
                <w:b/>
                <w:color w:val="FFFFFF" w:themeColor="background1"/>
                <w:sz w:val="20"/>
              </w:rPr>
            </w:pPr>
            <w:r w:rsidRPr="009A269F">
              <w:rPr>
                <w:rFonts w:ascii="Arial" w:hAnsi="Arial" w:cs="Arial"/>
                <w:b/>
                <w:color w:val="FFFFFF" w:themeColor="background1"/>
                <w:sz w:val="20"/>
              </w:rPr>
              <w:t>-</w:t>
            </w:r>
          </w:p>
        </w:tc>
        <w:tc>
          <w:tcPr>
            <w:tcW w:w="755" w:type="pct"/>
            <w:tcBorders>
              <w:left w:val="nil"/>
              <w:right w:val="nil"/>
            </w:tcBorders>
            <w:shd w:val="clear" w:color="auto" w:fill="auto"/>
          </w:tcPr>
          <w:p w14:paraId="4560FDAB" w14:textId="77777777" w:rsidR="00F266D3" w:rsidRPr="009A269F" w:rsidRDefault="00F266D3" w:rsidP="00216A14">
            <w:pPr>
              <w:widowControl w:val="0"/>
              <w:spacing w:before="40" w:after="40"/>
              <w:ind w:left="360"/>
              <w:rPr>
                <w:rFonts w:ascii="Arial" w:hAnsi="Arial" w:cs="Arial"/>
                <w:b/>
                <w:color w:val="FFFFFF" w:themeColor="background1"/>
                <w:sz w:val="20"/>
              </w:rPr>
            </w:pPr>
            <w:r w:rsidRPr="009A269F">
              <w:rPr>
                <w:rFonts w:ascii="Arial" w:hAnsi="Arial" w:cs="Arial"/>
                <w:b/>
                <w:color w:val="FFFFFF" w:themeColor="background1"/>
                <w:sz w:val="20"/>
              </w:rPr>
              <w:t>-</w:t>
            </w:r>
          </w:p>
        </w:tc>
        <w:tc>
          <w:tcPr>
            <w:tcW w:w="755" w:type="pct"/>
            <w:tcBorders>
              <w:left w:val="nil"/>
              <w:right w:val="nil"/>
            </w:tcBorders>
            <w:shd w:val="clear" w:color="auto" w:fill="auto"/>
          </w:tcPr>
          <w:p w14:paraId="34F0661C" w14:textId="77777777" w:rsidR="00F266D3" w:rsidRPr="009A269F" w:rsidRDefault="00F266D3" w:rsidP="00216A14">
            <w:pPr>
              <w:widowControl w:val="0"/>
              <w:spacing w:before="40" w:after="40"/>
              <w:ind w:left="360"/>
              <w:rPr>
                <w:rFonts w:ascii="Arial" w:hAnsi="Arial" w:cs="Arial"/>
                <w:b/>
                <w:color w:val="FFFFFF" w:themeColor="background1"/>
                <w:sz w:val="20"/>
              </w:rPr>
            </w:pPr>
            <w:r w:rsidRPr="009A269F">
              <w:rPr>
                <w:rFonts w:ascii="Arial" w:hAnsi="Arial" w:cs="Arial"/>
                <w:b/>
                <w:color w:val="FFFFFF" w:themeColor="background1"/>
                <w:sz w:val="20"/>
              </w:rPr>
              <w:t>-</w:t>
            </w:r>
          </w:p>
        </w:tc>
        <w:tc>
          <w:tcPr>
            <w:tcW w:w="755" w:type="pct"/>
            <w:tcBorders>
              <w:left w:val="nil"/>
              <w:right w:val="nil"/>
            </w:tcBorders>
            <w:shd w:val="clear" w:color="auto" w:fill="auto"/>
          </w:tcPr>
          <w:p w14:paraId="058A039C" w14:textId="77777777" w:rsidR="00F266D3" w:rsidRPr="009A269F" w:rsidRDefault="00F266D3" w:rsidP="00216A14">
            <w:pPr>
              <w:widowControl w:val="0"/>
              <w:spacing w:before="40" w:after="40"/>
              <w:ind w:left="360"/>
              <w:rPr>
                <w:rFonts w:ascii="Arial" w:hAnsi="Arial" w:cs="Arial"/>
                <w:b/>
                <w:color w:val="FFFFFF" w:themeColor="background1"/>
                <w:sz w:val="20"/>
              </w:rPr>
            </w:pPr>
            <w:r w:rsidRPr="009A269F">
              <w:rPr>
                <w:rFonts w:ascii="Arial" w:hAnsi="Arial" w:cs="Arial"/>
                <w:b/>
                <w:color w:val="FFFFFF" w:themeColor="background1"/>
                <w:sz w:val="20"/>
              </w:rPr>
              <w:t>-</w:t>
            </w:r>
          </w:p>
        </w:tc>
        <w:tc>
          <w:tcPr>
            <w:tcW w:w="754" w:type="pct"/>
            <w:tcBorders>
              <w:left w:val="nil"/>
              <w:right w:val="nil"/>
            </w:tcBorders>
            <w:shd w:val="clear" w:color="auto" w:fill="auto"/>
          </w:tcPr>
          <w:p w14:paraId="1AB93D6F" w14:textId="77777777" w:rsidR="00F266D3" w:rsidRPr="009A269F" w:rsidRDefault="00F266D3" w:rsidP="00216A14">
            <w:pPr>
              <w:widowControl w:val="0"/>
              <w:spacing w:before="40" w:after="40"/>
              <w:ind w:left="360"/>
              <w:rPr>
                <w:rFonts w:ascii="Arial" w:hAnsi="Arial" w:cs="Arial"/>
                <w:b/>
                <w:color w:val="FFFFFF" w:themeColor="background1"/>
                <w:sz w:val="20"/>
              </w:rPr>
            </w:pPr>
            <w:r w:rsidRPr="009A269F">
              <w:rPr>
                <w:rFonts w:ascii="Arial" w:hAnsi="Arial" w:cs="Arial"/>
                <w:b/>
                <w:color w:val="FFFFFF" w:themeColor="background1"/>
                <w:sz w:val="20"/>
              </w:rPr>
              <w:t>-</w:t>
            </w:r>
          </w:p>
        </w:tc>
      </w:tr>
      <w:tr w:rsidR="00F266D3" w:rsidRPr="009A269F" w14:paraId="0A18FA6E" w14:textId="77777777" w:rsidTr="00216A14">
        <w:trPr>
          <w:trHeight w:val="300"/>
        </w:trPr>
        <w:tc>
          <w:tcPr>
            <w:tcW w:w="1226" w:type="pct"/>
            <w:tcBorders>
              <w:bottom w:val="single" w:sz="4" w:space="0" w:color="auto"/>
            </w:tcBorders>
            <w:shd w:val="clear" w:color="auto" w:fill="auto"/>
          </w:tcPr>
          <w:p w14:paraId="10896909" w14:textId="30BE2443" w:rsidR="00F266D3" w:rsidRPr="009A269F" w:rsidRDefault="00F266D3" w:rsidP="00216A14">
            <w:pPr>
              <w:widowControl w:val="0"/>
              <w:spacing w:before="40" w:after="40"/>
              <w:ind w:left="29"/>
              <w:rPr>
                <w:rFonts w:ascii="Arial" w:hAnsi="Arial" w:cs="Arial"/>
                <w:sz w:val="20"/>
              </w:rPr>
            </w:pPr>
            <w:r w:rsidRPr="009A269F">
              <w:rPr>
                <w:rFonts w:ascii="Arial" w:hAnsi="Arial" w:cs="Arial"/>
                <w:sz w:val="20"/>
              </w:rPr>
              <w:t>Sub-total cost</w:t>
            </w:r>
            <w:r w:rsidR="00906168">
              <w:rPr>
                <w:rFonts w:ascii="Arial" w:hAnsi="Arial" w:cs="Arial"/>
                <w:sz w:val="20"/>
              </w:rPr>
              <w:br/>
              <w:t>(at 75% benefit)</w:t>
            </w:r>
          </w:p>
        </w:tc>
        <w:tc>
          <w:tcPr>
            <w:tcW w:w="755" w:type="pct"/>
            <w:tcBorders>
              <w:bottom w:val="single" w:sz="4" w:space="0" w:color="auto"/>
            </w:tcBorders>
          </w:tcPr>
          <w:p w14:paraId="028F34D2" w14:textId="77777777" w:rsidR="00F266D3" w:rsidRPr="009A269F" w:rsidRDefault="00F266D3" w:rsidP="00216A14">
            <w:pPr>
              <w:pStyle w:val="Tabletext"/>
              <w:rPr>
                <w:rFonts w:ascii="Arial" w:hAnsi="Arial" w:cs="Arial"/>
                <w:szCs w:val="20"/>
              </w:rPr>
            </w:pPr>
            <w:r w:rsidRPr="009A269F">
              <w:rPr>
                <w:rFonts w:ascii="Arial" w:hAnsi="Arial" w:cs="Arial"/>
                <w:szCs w:val="20"/>
              </w:rPr>
              <w:t>$96,167</w:t>
            </w:r>
          </w:p>
        </w:tc>
        <w:tc>
          <w:tcPr>
            <w:tcW w:w="755" w:type="pct"/>
            <w:tcBorders>
              <w:bottom w:val="single" w:sz="4" w:space="0" w:color="auto"/>
            </w:tcBorders>
            <w:shd w:val="clear" w:color="auto" w:fill="auto"/>
          </w:tcPr>
          <w:p w14:paraId="4AEA18C1" w14:textId="77777777" w:rsidR="00F266D3" w:rsidRPr="009A269F" w:rsidRDefault="00F266D3" w:rsidP="00216A14">
            <w:pPr>
              <w:pStyle w:val="Tabletext"/>
              <w:rPr>
                <w:rFonts w:ascii="Arial" w:hAnsi="Arial" w:cs="Arial"/>
                <w:szCs w:val="20"/>
              </w:rPr>
            </w:pPr>
            <w:r w:rsidRPr="009A269F">
              <w:rPr>
                <w:rFonts w:ascii="Arial" w:hAnsi="Arial" w:cs="Arial"/>
                <w:szCs w:val="20"/>
              </w:rPr>
              <w:t>$118,360</w:t>
            </w:r>
          </w:p>
        </w:tc>
        <w:tc>
          <w:tcPr>
            <w:tcW w:w="755" w:type="pct"/>
            <w:tcBorders>
              <w:bottom w:val="single" w:sz="4" w:space="0" w:color="auto"/>
            </w:tcBorders>
            <w:shd w:val="clear" w:color="auto" w:fill="auto"/>
          </w:tcPr>
          <w:p w14:paraId="11C4945D" w14:textId="77777777" w:rsidR="00F266D3" w:rsidRPr="009A269F" w:rsidRDefault="00F266D3" w:rsidP="00216A14">
            <w:pPr>
              <w:pStyle w:val="Tabletext"/>
              <w:rPr>
                <w:rFonts w:ascii="Arial" w:hAnsi="Arial" w:cs="Arial"/>
                <w:szCs w:val="20"/>
              </w:rPr>
            </w:pPr>
            <w:r w:rsidRPr="009A269F">
              <w:rPr>
                <w:rFonts w:ascii="Arial" w:hAnsi="Arial" w:cs="Arial"/>
                <w:szCs w:val="20"/>
              </w:rPr>
              <w:t>$140,552</w:t>
            </w:r>
          </w:p>
        </w:tc>
        <w:tc>
          <w:tcPr>
            <w:tcW w:w="755" w:type="pct"/>
            <w:tcBorders>
              <w:bottom w:val="single" w:sz="4" w:space="0" w:color="auto"/>
            </w:tcBorders>
            <w:shd w:val="clear" w:color="auto" w:fill="auto"/>
          </w:tcPr>
          <w:p w14:paraId="3D7C5BA6" w14:textId="77777777" w:rsidR="00F266D3" w:rsidRPr="009A269F" w:rsidRDefault="00F266D3" w:rsidP="00216A14">
            <w:pPr>
              <w:pStyle w:val="Tabletext"/>
              <w:rPr>
                <w:rFonts w:ascii="Arial" w:hAnsi="Arial" w:cs="Arial"/>
                <w:szCs w:val="20"/>
              </w:rPr>
            </w:pPr>
            <w:r w:rsidRPr="009A269F">
              <w:rPr>
                <w:rFonts w:ascii="Arial" w:hAnsi="Arial" w:cs="Arial"/>
                <w:szCs w:val="20"/>
              </w:rPr>
              <w:t>$162,745</w:t>
            </w:r>
          </w:p>
        </w:tc>
        <w:tc>
          <w:tcPr>
            <w:tcW w:w="754" w:type="pct"/>
            <w:tcBorders>
              <w:bottom w:val="single" w:sz="4" w:space="0" w:color="auto"/>
            </w:tcBorders>
            <w:shd w:val="clear" w:color="auto" w:fill="auto"/>
          </w:tcPr>
          <w:p w14:paraId="66D4BB0E" w14:textId="77777777" w:rsidR="00F266D3" w:rsidRPr="009A269F" w:rsidRDefault="00F266D3" w:rsidP="00216A14">
            <w:pPr>
              <w:pStyle w:val="Tabletext"/>
              <w:rPr>
                <w:rFonts w:ascii="Arial" w:hAnsi="Arial" w:cs="Arial"/>
                <w:szCs w:val="20"/>
              </w:rPr>
            </w:pPr>
            <w:r w:rsidRPr="009A269F">
              <w:rPr>
                <w:rFonts w:ascii="Arial" w:hAnsi="Arial" w:cs="Arial"/>
                <w:szCs w:val="20"/>
              </w:rPr>
              <w:t>$184,937</w:t>
            </w:r>
          </w:p>
        </w:tc>
      </w:tr>
      <w:tr w:rsidR="00F266D3" w:rsidRPr="009A269F" w14:paraId="2BAB3300" w14:textId="77777777" w:rsidTr="00216A14">
        <w:trPr>
          <w:trHeight w:val="315"/>
        </w:trPr>
        <w:tc>
          <w:tcPr>
            <w:tcW w:w="1226" w:type="pct"/>
            <w:shd w:val="clear" w:color="auto" w:fill="auto"/>
          </w:tcPr>
          <w:p w14:paraId="7B4C087A" w14:textId="6C5F7478" w:rsidR="00F266D3" w:rsidRPr="008E6938" w:rsidRDefault="00F266D3" w:rsidP="009C69BC">
            <w:pPr>
              <w:widowControl w:val="0"/>
              <w:spacing w:before="40" w:after="40"/>
              <w:ind w:left="29"/>
              <w:rPr>
                <w:rFonts w:ascii="Arial" w:hAnsi="Arial" w:cs="Arial"/>
                <w:sz w:val="20"/>
              </w:rPr>
            </w:pPr>
            <w:r w:rsidRPr="009A269F">
              <w:rPr>
                <w:rFonts w:ascii="Arial" w:hAnsi="Arial" w:cs="Arial"/>
                <w:b/>
                <w:sz w:val="20"/>
              </w:rPr>
              <w:t>Total services</w:t>
            </w:r>
            <w:r w:rsidR="00906168">
              <w:rPr>
                <w:rFonts w:ascii="Arial" w:hAnsi="Arial" w:cs="Arial"/>
                <w:b/>
                <w:sz w:val="20"/>
              </w:rPr>
              <w:br/>
            </w:r>
          </w:p>
        </w:tc>
        <w:tc>
          <w:tcPr>
            <w:tcW w:w="755" w:type="pct"/>
          </w:tcPr>
          <w:p w14:paraId="2EEE2B34" w14:textId="77777777" w:rsidR="00F266D3" w:rsidRPr="009A269F" w:rsidRDefault="00F266D3" w:rsidP="00216A14">
            <w:pPr>
              <w:widowControl w:val="0"/>
              <w:spacing w:before="40" w:after="40"/>
              <w:ind w:left="360"/>
              <w:rPr>
                <w:rFonts w:ascii="Arial" w:hAnsi="Arial" w:cs="Arial"/>
                <w:b/>
                <w:sz w:val="20"/>
              </w:rPr>
            </w:pPr>
            <w:r w:rsidRPr="009A269F">
              <w:rPr>
                <w:rFonts w:ascii="Arial" w:hAnsi="Arial" w:cs="Arial"/>
                <w:sz w:val="20"/>
              </w:rPr>
              <w:t>78</w:t>
            </w:r>
          </w:p>
        </w:tc>
        <w:tc>
          <w:tcPr>
            <w:tcW w:w="755" w:type="pct"/>
            <w:shd w:val="clear" w:color="auto" w:fill="auto"/>
          </w:tcPr>
          <w:p w14:paraId="01FC3F8A" w14:textId="77777777" w:rsidR="00F266D3" w:rsidRPr="009A269F" w:rsidRDefault="00F266D3" w:rsidP="00216A14">
            <w:pPr>
              <w:widowControl w:val="0"/>
              <w:spacing w:before="40" w:after="40"/>
              <w:ind w:left="360"/>
              <w:rPr>
                <w:rFonts w:ascii="Arial" w:hAnsi="Arial" w:cs="Arial"/>
                <w:b/>
                <w:sz w:val="20"/>
              </w:rPr>
            </w:pPr>
            <w:r w:rsidRPr="009A269F">
              <w:rPr>
                <w:rFonts w:ascii="Arial" w:hAnsi="Arial" w:cs="Arial"/>
                <w:sz w:val="20"/>
              </w:rPr>
              <w:t>96</w:t>
            </w:r>
          </w:p>
        </w:tc>
        <w:tc>
          <w:tcPr>
            <w:tcW w:w="755" w:type="pct"/>
            <w:shd w:val="clear" w:color="auto" w:fill="auto"/>
          </w:tcPr>
          <w:p w14:paraId="451E35D9" w14:textId="77777777" w:rsidR="00F266D3" w:rsidRPr="009A269F" w:rsidRDefault="00F266D3" w:rsidP="00216A14">
            <w:pPr>
              <w:widowControl w:val="0"/>
              <w:spacing w:before="40" w:after="40"/>
              <w:ind w:left="360"/>
              <w:rPr>
                <w:rFonts w:ascii="Arial" w:hAnsi="Arial" w:cs="Arial"/>
                <w:b/>
                <w:sz w:val="20"/>
              </w:rPr>
            </w:pPr>
            <w:r w:rsidRPr="009A269F">
              <w:rPr>
                <w:rFonts w:ascii="Arial" w:hAnsi="Arial" w:cs="Arial"/>
                <w:sz w:val="20"/>
              </w:rPr>
              <w:t>114</w:t>
            </w:r>
          </w:p>
        </w:tc>
        <w:tc>
          <w:tcPr>
            <w:tcW w:w="755" w:type="pct"/>
            <w:shd w:val="clear" w:color="auto" w:fill="auto"/>
          </w:tcPr>
          <w:p w14:paraId="33049FD3" w14:textId="77777777" w:rsidR="00F266D3" w:rsidRPr="009A269F" w:rsidRDefault="00F266D3" w:rsidP="00216A14">
            <w:pPr>
              <w:widowControl w:val="0"/>
              <w:spacing w:before="40" w:after="40"/>
              <w:ind w:left="360"/>
              <w:rPr>
                <w:rFonts w:ascii="Arial" w:hAnsi="Arial" w:cs="Arial"/>
                <w:b/>
                <w:sz w:val="20"/>
              </w:rPr>
            </w:pPr>
            <w:r w:rsidRPr="009A269F">
              <w:rPr>
                <w:rFonts w:ascii="Arial" w:hAnsi="Arial" w:cs="Arial"/>
                <w:sz w:val="20"/>
              </w:rPr>
              <w:t>132</w:t>
            </w:r>
          </w:p>
        </w:tc>
        <w:tc>
          <w:tcPr>
            <w:tcW w:w="754" w:type="pct"/>
            <w:shd w:val="clear" w:color="auto" w:fill="auto"/>
          </w:tcPr>
          <w:p w14:paraId="537431E6" w14:textId="77777777" w:rsidR="00F266D3" w:rsidRPr="009A269F" w:rsidRDefault="00F266D3" w:rsidP="00216A14">
            <w:pPr>
              <w:widowControl w:val="0"/>
              <w:spacing w:before="40" w:after="40"/>
              <w:ind w:left="360"/>
              <w:rPr>
                <w:rFonts w:ascii="Arial" w:hAnsi="Arial" w:cs="Arial"/>
                <w:b/>
                <w:sz w:val="20"/>
              </w:rPr>
            </w:pPr>
            <w:r w:rsidRPr="009A269F">
              <w:rPr>
                <w:rFonts w:ascii="Arial" w:hAnsi="Arial" w:cs="Arial"/>
                <w:sz w:val="20"/>
              </w:rPr>
              <w:t>150</w:t>
            </w:r>
          </w:p>
        </w:tc>
      </w:tr>
      <w:tr w:rsidR="00F266D3" w:rsidRPr="009A269F" w14:paraId="3EB1988B" w14:textId="77777777" w:rsidTr="00216A14">
        <w:trPr>
          <w:trHeight w:val="315"/>
        </w:trPr>
        <w:tc>
          <w:tcPr>
            <w:tcW w:w="1226" w:type="pct"/>
            <w:shd w:val="clear" w:color="auto" w:fill="auto"/>
          </w:tcPr>
          <w:p w14:paraId="1906B0F3" w14:textId="77777777" w:rsidR="00F266D3" w:rsidRDefault="00F266D3" w:rsidP="00216A14">
            <w:pPr>
              <w:widowControl w:val="0"/>
              <w:spacing w:before="40" w:after="40"/>
              <w:ind w:left="29"/>
              <w:rPr>
                <w:rFonts w:ascii="Arial" w:hAnsi="Arial" w:cs="Arial"/>
                <w:b/>
                <w:sz w:val="20"/>
              </w:rPr>
            </w:pPr>
            <w:r w:rsidRPr="009A269F">
              <w:rPr>
                <w:rFonts w:ascii="Arial" w:hAnsi="Arial" w:cs="Arial"/>
                <w:b/>
                <w:sz w:val="20"/>
              </w:rPr>
              <w:t>Total cost</w:t>
            </w:r>
          </w:p>
          <w:p w14:paraId="61D056CC" w14:textId="30BF1625" w:rsidR="009C69BC" w:rsidRPr="009A269F" w:rsidRDefault="009C69BC" w:rsidP="00216A14">
            <w:pPr>
              <w:widowControl w:val="0"/>
              <w:spacing w:before="40" w:after="40"/>
              <w:ind w:left="29"/>
              <w:rPr>
                <w:rFonts w:ascii="Arial" w:hAnsi="Arial" w:cs="Arial"/>
                <w:b/>
                <w:sz w:val="20"/>
              </w:rPr>
            </w:pPr>
            <w:r>
              <w:rPr>
                <w:rFonts w:ascii="Arial" w:hAnsi="Arial" w:cs="Arial"/>
                <w:b/>
                <w:sz w:val="20"/>
              </w:rPr>
              <w:t>(at 75% benefit)</w:t>
            </w:r>
          </w:p>
        </w:tc>
        <w:tc>
          <w:tcPr>
            <w:tcW w:w="755" w:type="pct"/>
          </w:tcPr>
          <w:p w14:paraId="109EBB1C" w14:textId="77777777" w:rsidR="00F266D3" w:rsidRPr="009A269F" w:rsidRDefault="00F266D3" w:rsidP="00216A14">
            <w:pPr>
              <w:pStyle w:val="Tabletext"/>
              <w:rPr>
                <w:rFonts w:ascii="Arial" w:hAnsi="Arial" w:cs="Arial"/>
                <w:b/>
                <w:szCs w:val="20"/>
              </w:rPr>
            </w:pPr>
            <w:r w:rsidRPr="009A269F">
              <w:rPr>
                <w:rFonts w:ascii="Arial" w:hAnsi="Arial" w:cs="Arial"/>
                <w:b/>
                <w:szCs w:val="20"/>
              </w:rPr>
              <w:t>$300,917</w:t>
            </w:r>
          </w:p>
        </w:tc>
        <w:tc>
          <w:tcPr>
            <w:tcW w:w="755" w:type="pct"/>
            <w:shd w:val="clear" w:color="auto" w:fill="auto"/>
          </w:tcPr>
          <w:p w14:paraId="347CE356" w14:textId="77777777" w:rsidR="00F266D3" w:rsidRPr="009A269F" w:rsidRDefault="00F266D3" w:rsidP="00216A14">
            <w:pPr>
              <w:pStyle w:val="Tabletext"/>
              <w:rPr>
                <w:rFonts w:ascii="Arial" w:hAnsi="Arial" w:cs="Arial"/>
                <w:b/>
                <w:szCs w:val="20"/>
              </w:rPr>
            </w:pPr>
            <w:r w:rsidRPr="009A269F">
              <w:rPr>
                <w:rFonts w:ascii="Arial" w:hAnsi="Arial" w:cs="Arial"/>
                <w:b/>
                <w:szCs w:val="20"/>
              </w:rPr>
              <w:t>$370,360</w:t>
            </w:r>
          </w:p>
        </w:tc>
        <w:tc>
          <w:tcPr>
            <w:tcW w:w="755" w:type="pct"/>
            <w:shd w:val="clear" w:color="auto" w:fill="auto"/>
          </w:tcPr>
          <w:p w14:paraId="362A1CA1" w14:textId="77777777" w:rsidR="00F266D3" w:rsidRPr="009A269F" w:rsidRDefault="00F266D3" w:rsidP="00216A14">
            <w:pPr>
              <w:pStyle w:val="Tabletext"/>
              <w:rPr>
                <w:rFonts w:ascii="Arial" w:hAnsi="Arial" w:cs="Arial"/>
                <w:b/>
                <w:szCs w:val="20"/>
              </w:rPr>
            </w:pPr>
            <w:r w:rsidRPr="009A269F">
              <w:rPr>
                <w:rFonts w:ascii="Arial" w:hAnsi="Arial" w:cs="Arial"/>
                <w:b/>
                <w:szCs w:val="20"/>
              </w:rPr>
              <w:t>$439,802</w:t>
            </w:r>
          </w:p>
        </w:tc>
        <w:tc>
          <w:tcPr>
            <w:tcW w:w="755" w:type="pct"/>
            <w:shd w:val="clear" w:color="auto" w:fill="auto"/>
          </w:tcPr>
          <w:p w14:paraId="089923C9" w14:textId="77777777" w:rsidR="00F266D3" w:rsidRPr="009A269F" w:rsidRDefault="00F266D3" w:rsidP="00216A14">
            <w:pPr>
              <w:pStyle w:val="Tabletext"/>
              <w:rPr>
                <w:rFonts w:ascii="Arial" w:hAnsi="Arial" w:cs="Arial"/>
                <w:b/>
                <w:szCs w:val="20"/>
              </w:rPr>
            </w:pPr>
            <w:r w:rsidRPr="009A269F">
              <w:rPr>
                <w:rFonts w:ascii="Arial" w:hAnsi="Arial" w:cs="Arial"/>
                <w:b/>
                <w:szCs w:val="20"/>
              </w:rPr>
              <w:t>$509,245</w:t>
            </w:r>
          </w:p>
        </w:tc>
        <w:tc>
          <w:tcPr>
            <w:tcW w:w="754" w:type="pct"/>
            <w:shd w:val="clear" w:color="auto" w:fill="auto"/>
          </w:tcPr>
          <w:p w14:paraId="75FE7A95" w14:textId="77777777" w:rsidR="00F266D3" w:rsidRPr="009A269F" w:rsidRDefault="00F266D3" w:rsidP="00216A14">
            <w:pPr>
              <w:pStyle w:val="Tabletext"/>
              <w:rPr>
                <w:rFonts w:ascii="Arial" w:hAnsi="Arial" w:cs="Arial"/>
                <w:b/>
                <w:szCs w:val="20"/>
              </w:rPr>
            </w:pPr>
            <w:r w:rsidRPr="009A269F">
              <w:rPr>
                <w:rFonts w:ascii="Arial" w:hAnsi="Arial" w:cs="Arial"/>
                <w:b/>
                <w:szCs w:val="20"/>
              </w:rPr>
              <w:t>$578,687</w:t>
            </w:r>
          </w:p>
        </w:tc>
      </w:tr>
    </w:tbl>
    <w:p w14:paraId="3E35F46C" w14:textId="77777777" w:rsidR="006A0D97" w:rsidRPr="00F715D1" w:rsidRDefault="006A0D97" w:rsidP="00F715D1">
      <w:pPr>
        <w:pStyle w:val="Heading1"/>
      </w:pPr>
      <w:r w:rsidRPr="00F715D1">
        <w:t>Key issues from ESC for MSAC</w:t>
      </w:r>
    </w:p>
    <w:p w14:paraId="36EEAA9A" w14:textId="7E98C92A" w:rsidR="00A868F9" w:rsidRPr="000416F8" w:rsidRDefault="00A868F9" w:rsidP="009A269F">
      <w:pPr>
        <w:rPr>
          <w:i/>
          <w:szCs w:val="24"/>
          <w:lang w:eastAsia="en-US"/>
        </w:rPr>
      </w:pPr>
      <w:r w:rsidRPr="007B7C25">
        <w:rPr>
          <w:szCs w:val="24"/>
          <w:lang w:eastAsia="en-US"/>
        </w:rPr>
        <w:t xml:space="preserve">ESC noted that the </w:t>
      </w:r>
      <w:r w:rsidRPr="007B7C25">
        <w:rPr>
          <w:szCs w:val="24"/>
        </w:rPr>
        <w:t xml:space="preserve">devices used to perform MT are coil retrievers, aspiration devices and stent retrievers.  ESC considered </w:t>
      </w:r>
      <w:r>
        <w:rPr>
          <w:szCs w:val="24"/>
        </w:rPr>
        <w:t>whether</w:t>
      </w:r>
      <w:r w:rsidRPr="007B7C25">
        <w:rPr>
          <w:szCs w:val="24"/>
        </w:rPr>
        <w:t xml:space="preserve"> blank</w:t>
      </w:r>
      <w:r>
        <w:rPr>
          <w:szCs w:val="24"/>
        </w:rPr>
        <w:t>et</w:t>
      </w:r>
      <w:r w:rsidRPr="007B7C25">
        <w:rPr>
          <w:szCs w:val="24"/>
        </w:rPr>
        <w:t xml:space="preserve"> approval of all three methods is appropriate.</w:t>
      </w:r>
      <w:r>
        <w:rPr>
          <w:szCs w:val="24"/>
        </w:rPr>
        <w:t xml:space="preserve">  Clinical input was that the different</w:t>
      </w:r>
      <w:r w:rsidRPr="007B7C25">
        <w:rPr>
          <w:szCs w:val="24"/>
          <w:lang w:eastAsia="en-US"/>
        </w:rPr>
        <w:t xml:space="preserve"> </w:t>
      </w:r>
      <w:r>
        <w:rPr>
          <w:szCs w:val="24"/>
          <w:lang w:eastAsia="en-US"/>
        </w:rPr>
        <w:t>methods may have different benefits for differing vessel characteristics and that clinical judgement is required to know which retriever is best for which clot and vessel tortuosity.  There is no evidence that the current generation of retrievers (stent and aspiration) have different efficacies; coil retrievers are not currently being tested as the sole intervention in a trial.</w:t>
      </w:r>
      <w:r w:rsidR="000416F8">
        <w:rPr>
          <w:szCs w:val="24"/>
          <w:lang w:eastAsia="en-US"/>
        </w:rPr>
        <w:t xml:space="preserve"> </w:t>
      </w:r>
      <w:r w:rsidR="000416F8" w:rsidRPr="008E6938">
        <w:rPr>
          <w:i/>
          <w:szCs w:val="24"/>
          <w:lang w:eastAsia="en-US"/>
        </w:rPr>
        <w:t xml:space="preserve">For the applicant’s view, see comment </w:t>
      </w:r>
      <w:r w:rsidR="000416F8" w:rsidRPr="000416F8">
        <w:rPr>
          <w:i/>
          <w:szCs w:val="24"/>
          <w:lang w:eastAsia="en-US"/>
        </w:rPr>
        <w:t>in Section 16.</w:t>
      </w:r>
    </w:p>
    <w:p w14:paraId="7D13A7D7" w14:textId="77777777" w:rsidR="00A868F9" w:rsidRPr="007B7C25" w:rsidRDefault="00A868F9" w:rsidP="009A269F">
      <w:pPr>
        <w:rPr>
          <w:szCs w:val="24"/>
        </w:rPr>
      </w:pPr>
    </w:p>
    <w:p w14:paraId="761AD166" w14:textId="77777777" w:rsidR="00A868F9" w:rsidRPr="007B7C25" w:rsidRDefault="00A868F9" w:rsidP="009A269F">
      <w:pPr>
        <w:rPr>
          <w:szCs w:val="24"/>
          <w:lang w:eastAsia="en-US"/>
        </w:rPr>
      </w:pPr>
      <w:r w:rsidRPr="007B7C25">
        <w:rPr>
          <w:szCs w:val="24"/>
          <w:lang w:eastAsia="en-US"/>
        </w:rPr>
        <w:t>ESC discussed specification</w:t>
      </w:r>
      <w:r>
        <w:rPr>
          <w:szCs w:val="24"/>
          <w:lang w:eastAsia="en-US"/>
        </w:rPr>
        <w:t xml:space="preserve"> issues</w:t>
      </w:r>
      <w:r w:rsidRPr="007B7C25">
        <w:rPr>
          <w:szCs w:val="24"/>
          <w:lang w:eastAsia="en-US"/>
        </w:rPr>
        <w:t xml:space="preserve"> in the MBS item </w:t>
      </w:r>
      <w:r>
        <w:rPr>
          <w:szCs w:val="24"/>
          <w:lang w:eastAsia="en-US"/>
        </w:rPr>
        <w:t>including</w:t>
      </w:r>
      <w:r w:rsidRPr="007B7C25">
        <w:rPr>
          <w:szCs w:val="24"/>
          <w:lang w:eastAsia="en-US"/>
        </w:rPr>
        <w:t>:</w:t>
      </w:r>
    </w:p>
    <w:p w14:paraId="7DE01E47" w14:textId="77777777" w:rsidR="00A868F9" w:rsidRPr="007B7C25" w:rsidRDefault="00A868F9" w:rsidP="009A269F">
      <w:pPr>
        <w:pStyle w:val="ListParagraph"/>
        <w:numPr>
          <w:ilvl w:val="0"/>
          <w:numId w:val="30"/>
        </w:numPr>
        <w:spacing w:after="200"/>
        <w:rPr>
          <w:szCs w:val="24"/>
          <w:lang w:eastAsia="en-US"/>
        </w:rPr>
      </w:pPr>
      <w:r w:rsidRPr="007B7C25">
        <w:rPr>
          <w:szCs w:val="24"/>
          <w:lang w:eastAsia="en-US"/>
        </w:rPr>
        <w:t>Time from stroke onset: recent meta-analys</w:t>
      </w:r>
      <w:r>
        <w:rPr>
          <w:szCs w:val="24"/>
          <w:lang w:eastAsia="en-US"/>
        </w:rPr>
        <w:t>i</w:t>
      </w:r>
      <w:r w:rsidRPr="007B7C25">
        <w:rPr>
          <w:szCs w:val="24"/>
          <w:lang w:eastAsia="en-US"/>
        </w:rPr>
        <w:t>s</w:t>
      </w:r>
      <w:r>
        <w:rPr>
          <w:szCs w:val="24"/>
          <w:lang w:eastAsia="en-US"/>
        </w:rPr>
        <w:t xml:space="preserve"> (JAMA Oct 2016)</w:t>
      </w:r>
      <w:r w:rsidRPr="007B7C25">
        <w:rPr>
          <w:szCs w:val="24"/>
          <w:lang w:eastAsia="en-US"/>
        </w:rPr>
        <w:t xml:space="preserve"> suggest 8 hours (</w:t>
      </w:r>
      <w:r w:rsidRPr="007B7C25">
        <w:rPr>
          <w:szCs w:val="24"/>
        </w:rPr>
        <w:t>lower bound for ordinal mRS reaches 1)</w:t>
      </w:r>
    </w:p>
    <w:p w14:paraId="19F67D1C" w14:textId="77777777" w:rsidR="00A868F9" w:rsidRPr="007B7C25" w:rsidRDefault="00A868F9" w:rsidP="009A269F">
      <w:pPr>
        <w:pStyle w:val="ListParagraph"/>
        <w:numPr>
          <w:ilvl w:val="0"/>
          <w:numId w:val="30"/>
        </w:numPr>
        <w:spacing w:after="200"/>
        <w:rPr>
          <w:szCs w:val="24"/>
          <w:lang w:eastAsia="en-US"/>
        </w:rPr>
      </w:pPr>
      <w:r w:rsidRPr="007B7C25">
        <w:rPr>
          <w:szCs w:val="24"/>
          <w:lang w:eastAsia="en-US"/>
        </w:rPr>
        <w:lastRenderedPageBreak/>
        <w:t>Frequency: once in life or repeated if recurrent stroke</w:t>
      </w:r>
      <w:r>
        <w:rPr>
          <w:szCs w:val="24"/>
          <w:lang w:eastAsia="en-US"/>
        </w:rPr>
        <w:t>; there was no evidence to restrict MT to once per lifetime, especially given the evidence that recurrent strokes tend to be in the same territory as the original stroke.</w:t>
      </w:r>
    </w:p>
    <w:p w14:paraId="202A63A1" w14:textId="77777777" w:rsidR="00A868F9" w:rsidRPr="007B7C25" w:rsidRDefault="00A868F9" w:rsidP="009A269F">
      <w:pPr>
        <w:pStyle w:val="ListParagraph"/>
        <w:numPr>
          <w:ilvl w:val="0"/>
          <w:numId w:val="30"/>
        </w:numPr>
        <w:spacing w:after="200"/>
        <w:rPr>
          <w:szCs w:val="24"/>
          <w:lang w:eastAsia="en-US"/>
        </w:rPr>
      </w:pPr>
      <w:r w:rsidRPr="007B7C25">
        <w:rPr>
          <w:szCs w:val="24"/>
          <w:lang w:eastAsia="en-US"/>
        </w:rPr>
        <w:t>Preceding imaging type</w:t>
      </w:r>
      <w:r>
        <w:rPr>
          <w:szCs w:val="24"/>
          <w:lang w:eastAsia="en-US"/>
        </w:rPr>
        <w:t>: advanced imaging is a rapidly developing field and being too prescriptive may mean the item becomes outdated quickly.</w:t>
      </w:r>
    </w:p>
    <w:p w14:paraId="153CE3C5" w14:textId="77777777" w:rsidR="00A868F9" w:rsidRPr="007B7C25" w:rsidRDefault="00A868F9" w:rsidP="009A269F">
      <w:pPr>
        <w:pStyle w:val="ListParagraph"/>
        <w:numPr>
          <w:ilvl w:val="0"/>
          <w:numId w:val="30"/>
        </w:numPr>
        <w:spacing w:after="200"/>
        <w:rPr>
          <w:szCs w:val="24"/>
          <w:lang w:eastAsia="en-US"/>
        </w:rPr>
      </w:pPr>
      <w:r w:rsidRPr="007B7C25">
        <w:rPr>
          <w:szCs w:val="24"/>
          <w:lang w:eastAsia="en-US"/>
        </w:rPr>
        <w:t xml:space="preserve">Site requirements:  referencing the National Stroke Foundation guidelines, </w:t>
      </w:r>
      <w:r>
        <w:rPr>
          <w:szCs w:val="24"/>
          <w:lang w:eastAsia="en-US"/>
        </w:rPr>
        <w:t>and restricting the procedure to</w:t>
      </w:r>
      <w:r w:rsidRPr="007B7C25">
        <w:rPr>
          <w:szCs w:val="24"/>
          <w:lang w:eastAsia="en-US"/>
        </w:rPr>
        <w:t xml:space="preserve"> comprehensive stroke centres</w:t>
      </w:r>
      <w:r>
        <w:rPr>
          <w:szCs w:val="24"/>
          <w:lang w:eastAsia="en-US"/>
        </w:rPr>
        <w:t>.  This is likely the best way to ensure that the procedure is undertaken in centres that have the infrastructure, processes and clinical expertise to perform it safely and effectively.</w:t>
      </w:r>
    </w:p>
    <w:p w14:paraId="5BFAAC98" w14:textId="77777777" w:rsidR="00A868F9" w:rsidRPr="007B7C25" w:rsidRDefault="00A868F9" w:rsidP="009A269F">
      <w:pPr>
        <w:pStyle w:val="ListParagraph"/>
        <w:numPr>
          <w:ilvl w:val="0"/>
          <w:numId w:val="30"/>
        </w:numPr>
        <w:spacing w:after="200"/>
        <w:rPr>
          <w:szCs w:val="24"/>
          <w:lang w:eastAsia="en-US"/>
        </w:rPr>
      </w:pPr>
      <w:r w:rsidRPr="007B7C25">
        <w:rPr>
          <w:szCs w:val="24"/>
          <w:lang w:eastAsia="en-US"/>
        </w:rPr>
        <w:t>specialist competence requirements</w:t>
      </w:r>
    </w:p>
    <w:p w14:paraId="3ABC2D9E" w14:textId="77777777" w:rsidR="00A868F9" w:rsidRPr="007B7C25" w:rsidRDefault="00A868F9" w:rsidP="009A269F">
      <w:pPr>
        <w:rPr>
          <w:szCs w:val="24"/>
        </w:rPr>
      </w:pPr>
      <w:r w:rsidRPr="007B7C25">
        <w:rPr>
          <w:szCs w:val="24"/>
        </w:rPr>
        <w:t>ESC discussed the requirement for flexibility in the MBS item to enable clinical judgement</w:t>
      </w:r>
      <w:r>
        <w:rPr>
          <w:szCs w:val="24"/>
        </w:rPr>
        <w:t xml:space="preserve"> and to take into account the developing evidence base for MT</w:t>
      </w:r>
      <w:r w:rsidRPr="007B7C25">
        <w:rPr>
          <w:szCs w:val="24"/>
        </w:rPr>
        <w:t>.</w:t>
      </w:r>
    </w:p>
    <w:p w14:paraId="602EDD8A" w14:textId="77777777" w:rsidR="00A868F9" w:rsidRPr="007B7C25" w:rsidRDefault="00A868F9" w:rsidP="009A269F">
      <w:pPr>
        <w:rPr>
          <w:szCs w:val="24"/>
        </w:rPr>
      </w:pPr>
    </w:p>
    <w:p w14:paraId="00F5DA7E" w14:textId="77777777" w:rsidR="00A868F9" w:rsidRPr="007B7C25" w:rsidRDefault="00A868F9" w:rsidP="009A269F">
      <w:pPr>
        <w:contextualSpacing/>
        <w:rPr>
          <w:szCs w:val="24"/>
        </w:rPr>
      </w:pPr>
      <w:r w:rsidRPr="007B7C25">
        <w:rPr>
          <w:szCs w:val="24"/>
        </w:rPr>
        <w:t>ESC noted that validity of MT is well established based on evidence from 8 randomised control trials (RCT’s), 3 old and 5 new, 10 pending RCT’s, 2 with preliminary data, 9 summary level meta-analyses and 3 IPD meta-analyses.</w:t>
      </w:r>
      <w:r>
        <w:rPr>
          <w:szCs w:val="24"/>
        </w:rPr>
        <w:t xml:space="preserve">  The number needed to treat to prevent one nursing home placement was 5, which is a very strong effect size.</w:t>
      </w:r>
    </w:p>
    <w:p w14:paraId="72CBC1B4" w14:textId="77777777" w:rsidR="00A868F9" w:rsidRPr="007B7C25" w:rsidRDefault="00A868F9" w:rsidP="009A269F">
      <w:pPr>
        <w:contextualSpacing/>
        <w:rPr>
          <w:color w:val="FF0000"/>
          <w:szCs w:val="24"/>
        </w:rPr>
      </w:pPr>
    </w:p>
    <w:p w14:paraId="0DD2FD7F" w14:textId="77777777" w:rsidR="00A868F9" w:rsidRPr="007B7C25" w:rsidRDefault="00A868F9" w:rsidP="009A269F">
      <w:pPr>
        <w:tabs>
          <w:tab w:val="left" w:pos="709"/>
        </w:tabs>
        <w:rPr>
          <w:szCs w:val="24"/>
        </w:rPr>
      </w:pPr>
      <w:r w:rsidRPr="007B7C25">
        <w:rPr>
          <w:szCs w:val="24"/>
        </w:rPr>
        <w:t>ESC considered the lifetime horizon for the economic model (100 years) to be excessive suggesting that 10 years post-surgery would be appropriate.</w:t>
      </w:r>
    </w:p>
    <w:p w14:paraId="7253ADC0" w14:textId="77777777" w:rsidR="00A868F9" w:rsidRPr="007B7C25" w:rsidRDefault="00A868F9" w:rsidP="009A269F">
      <w:pPr>
        <w:tabs>
          <w:tab w:val="left" w:pos="709"/>
        </w:tabs>
        <w:rPr>
          <w:color w:val="0070C0"/>
          <w:szCs w:val="24"/>
        </w:rPr>
      </w:pPr>
    </w:p>
    <w:p w14:paraId="0F3D9CEF" w14:textId="77777777" w:rsidR="00A868F9" w:rsidRPr="007B7C25" w:rsidRDefault="00A868F9" w:rsidP="009A269F">
      <w:pPr>
        <w:tabs>
          <w:tab w:val="left" w:pos="709"/>
        </w:tabs>
        <w:rPr>
          <w:szCs w:val="24"/>
        </w:rPr>
      </w:pPr>
      <w:r w:rsidRPr="007B7C25">
        <w:rPr>
          <w:szCs w:val="24"/>
        </w:rPr>
        <w:t xml:space="preserve">ESC noted that there are discrepant findings between the economic analysis </w:t>
      </w:r>
      <w:r>
        <w:rPr>
          <w:szCs w:val="24"/>
        </w:rPr>
        <w:t xml:space="preserve">from </w:t>
      </w:r>
      <w:r w:rsidRPr="007B7C25">
        <w:rPr>
          <w:szCs w:val="24"/>
        </w:rPr>
        <w:t>the EX</w:t>
      </w:r>
      <w:r>
        <w:rPr>
          <w:szCs w:val="24"/>
        </w:rPr>
        <w:t>T</w:t>
      </w:r>
      <w:r w:rsidRPr="007B7C25">
        <w:rPr>
          <w:szCs w:val="24"/>
        </w:rPr>
        <w:t>END-</w:t>
      </w:r>
      <w:r>
        <w:rPr>
          <w:szCs w:val="24"/>
        </w:rPr>
        <w:t>IA trial</w:t>
      </w:r>
      <w:r w:rsidRPr="007B7C25">
        <w:rPr>
          <w:szCs w:val="24"/>
        </w:rPr>
        <w:t xml:space="preserve">/NNT and the economic model used by the applicant. </w:t>
      </w:r>
      <w:r>
        <w:rPr>
          <w:szCs w:val="24"/>
        </w:rPr>
        <w:t>The EXTEND-IA trial showed that the intervention was dominant at 90 days.</w:t>
      </w:r>
      <w:r w:rsidRPr="007B7C25">
        <w:rPr>
          <w:szCs w:val="24"/>
        </w:rPr>
        <w:t xml:space="preserve"> Utility values </w:t>
      </w:r>
      <w:r>
        <w:rPr>
          <w:szCs w:val="24"/>
        </w:rPr>
        <w:t xml:space="preserve">used in the applicant’s model </w:t>
      </w:r>
      <w:r w:rsidRPr="007B7C25">
        <w:rPr>
          <w:szCs w:val="24"/>
        </w:rPr>
        <w:t xml:space="preserve">were taken from </w:t>
      </w:r>
      <w:r w:rsidRPr="007B7C25">
        <w:rPr>
          <w:szCs w:val="24"/>
          <w:lang w:val="en-US"/>
        </w:rPr>
        <w:t xml:space="preserve">Sturm et al based on Australian data and it was considered that these are </w:t>
      </w:r>
      <w:r>
        <w:rPr>
          <w:szCs w:val="24"/>
          <w:lang w:val="en-US"/>
        </w:rPr>
        <w:t xml:space="preserve">potentially </w:t>
      </w:r>
      <w:r w:rsidRPr="007B7C25">
        <w:rPr>
          <w:szCs w:val="24"/>
          <w:lang w:val="en-US"/>
        </w:rPr>
        <w:t>conservative compared to other available utility values.</w:t>
      </w:r>
    </w:p>
    <w:p w14:paraId="49BA2BCE" w14:textId="77777777" w:rsidR="00A868F9" w:rsidRPr="007B7C25" w:rsidRDefault="00A868F9" w:rsidP="009A269F">
      <w:pPr>
        <w:contextualSpacing/>
        <w:rPr>
          <w:szCs w:val="24"/>
        </w:rPr>
      </w:pPr>
      <w:r w:rsidRPr="007B7C25">
        <w:rPr>
          <w:szCs w:val="24"/>
        </w:rPr>
        <w:t>ESC questioned the accuracy of the inpatient and outpatient costs for stroke patients in the economic model.</w:t>
      </w:r>
    </w:p>
    <w:p w14:paraId="062F5368" w14:textId="77777777" w:rsidR="00A868F9" w:rsidRPr="007B7C25" w:rsidRDefault="00A868F9" w:rsidP="009A269F">
      <w:pPr>
        <w:contextualSpacing/>
        <w:rPr>
          <w:szCs w:val="24"/>
        </w:rPr>
      </w:pPr>
    </w:p>
    <w:p w14:paraId="609F80E4" w14:textId="4C5C65BD" w:rsidR="00A868F9" w:rsidRPr="007B7C25" w:rsidRDefault="00A868F9" w:rsidP="009A269F">
      <w:pPr>
        <w:contextualSpacing/>
        <w:rPr>
          <w:szCs w:val="24"/>
        </w:rPr>
      </w:pPr>
      <w:r w:rsidRPr="007B7C25">
        <w:rPr>
          <w:szCs w:val="24"/>
        </w:rPr>
        <w:t>ESC noted that the transition from 90 days to 1 year was modelled on 3 years of Swiss data.</w:t>
      </w:r>
    </w:p>
    <w:p w14:paraId="622088F0" w14:textId="77777777" w:rsidR="00A868F9" w:rsidRPr="007B7C25" w:rsidRDefault="00A868F9" w:rsidP="009A269F">
      <w:pPr>
        <w:contextualSpacing/>
        <w:rPr>
          <w:szCs w:val="24"/>
        </w:rPr>
      </w:pPr>
    </w:p>
    <w:p w14:paraId="15323E6D" w14:textId="77777777" w:rsidR="00A868F9" w:rsidRPr="007B7C25" w:rsidRDefault="00A868F9" w:rsidP="009A269F">
      <w:pPr>
        <w:contextualSpacing/>
        <w:rPr>
          <w:szCs w:val="24"/>
        </w:rPr>
      </w:pPr>
      <w:r w:rsidRPr="007B7C25">
        <w:rPr>
          <w:szCs w:val="24"/>
        </w:rPr>
        <w:t>ESC considered that the economic model was bias</w:t>
      </w:r>
      <w:r>
        <w:rPr>
          <w:szCs w:val="24"/>
        </w:rPr>
        <w:t>ed</w:t>
      </w:r>
      <w:r w:rsidRPr="007B7C25">
        <w:rPr>
          <w:szCs w:val="24"/>
        </w:rPr>
        <w:t xml:space="preserve"> in favour of the intervention as recurrent stroke was counted twice, </w:t>
      </w:r>
      <w:r>
        <w:rPr>
          <w:szCs w:val="24"/>
        </w:rPr>
        <w:t xml:space="preserve">including </w:t>
      </w:r>
      <w:r w:rsidRPr="007B7C25">
        <w:rPr>
          <w:szCs w:val="24"/>
        </w:rPr>
        <w:t>once already in the disutility. The model assumed no further changes in modified Ranking Scale (mRS) (including death).  ESC considered that long term mRS data should have been used to model death instead of life tables.</w:t>
      </w:r>
    </w:p>
    <w:p w14:paraId="439189E7" w14:textId="77777777" w:rsidR="00A868F9" w:rsidRPr="007B7C25" w:rsidRDefault="00A868F9" w:rsidP="009A269F">
      <w:pPr>
        <w:contextualSpacing/>
        <w:rPr>
          <w:color w:val="0070C0"/>
          <w:szCs w:val="24"/>
        </w:rPr>
      </w:pPr>
    </w:p>
    <w:p w14:paraId="4164467F" w14:textId="77777777" w:rsidR="00A868F9" w:rsidRPr="007B7C25" w:rsidRDefault="00A868F9" w:rsidP="009A269F">
      <w:pPr>
        <w:contextualSpacing/>
        <w:rPr>
          <w:szCs w:val="24"/>
        </w:rPr>
      </w:pPr>
      <w:r w:rsidRPr="007B7C25">
        <w:rPr>
          <w:szCs w:val="24"/>
        </w:rPr>
        <w:t xml:space="preserve">ESC considered that </w:t>
      </w:r>
      <w:r>
        <w:rPr>
          <w:szCs w:val="24"/>
        </w:rPr>
        <w:t xml:space="preserve">the estimated incidence of large vessel occlusion (18,320) is likely to be an overestimation, but that the estimates of total MT procedures per year are more reasonable due to the limited number of comprehensive stroke centres in the private sector. </w:t>
      </w:r>
    </w:p>
    <w:p w14:paraId="3EF15F56" w14:textId="77777777" w:rsidR="00A868F9" w:rsidRPr="007B7C25" w:rsidRDefault="00A868F9" w:rsidP="009A269F">
      <w:pPr>
        <w:contextualSpacing/>
        <w:rPr>
          <w:szCs w:val="24"/>
        </w:rPr>
      </w:pPr>
    </w:p>
    <w:p w14:paraId="4CE340FB" w14:textId="77777777" w:rsidR="00A868F9" w:rsidRPr="007B7C25" w:rsidRDefault="00A868F9" w:rsidP="009A269F">
      <w:pPr>
        <w:contextualSpacing/>
        <w:rPr>
          <w:szCs w:val="24"/>
        </w:rPr>
      </w:pPr>
      <w:r w:rsidRPr="007B7C25">
        <w:rPr>
          <w:szCs w:val="24"/>
        </w:rPr>
        <w:t xml:space="preserve">ESC </w:t>
      </w:r>
      <w:r>
        <w:rPr>
          <w:szCs w:val="24"/>
        </w:rPr>
        <w:t xml:space="preserve">also </w:t>
      </w:r>
      <w:r w:rsidRPr="007B7C25">
        <w:rPr>
          <w:szCs w:val="24"/>
        </w:rPr>
        <w:t>considered that as the majority of stroke centres are in the public sector, this raises the potential for cost-shifting.</w:t>
      </w:r>
      <w:r>
        <w:rPr>
          <w:szCs w:val="24"/>
        </w:rPr>
        <w:t xml:space="preserve">  However, listing the service would mean that private patients in the public sector could be charged to help recover the cost of this new technology.</w:t>
      </w:r>
    </w:p>
    <w:p w14:paraId="4540B5C0" w14:textId="77777777" w:rsidR="00A868F9" w:rsidRPr="007B7C25" w:rsidRDefault="00A868F9" w:rsidP="009A269F">
      <w:pPr>
        <w:contextualSpacing/>
        <w:rPr>
          <w:szCs w:val="24"/>
        </w:rPr>
      </w:pPr>
    </w:p>
    <w:p w14:paraId="5E89550C" w14:textId="22532991" w:rsidR="00A868F9" w:rsidRPr="007B7C25" w:rsidRDefault="00A868F9" w:rsidP="009A269F">
      <w:pPr>
        <w:contextualSpacing/>
        <w:rPr>
          <w:szCs w:val="24"/>
        </w:rPr>
      </w:pPr>
      <w:r w:rsidRPr="007B7C25">
        <w:rPr>
          <w:szCs w:val="24"/>
        </w:rPr>
        <w:t xml:space="preserve">ESC noted that the </w:t>
      </w:r>
      <w:r>
        <w:rPr>
          <w:szCs w:val="24"/>
        </w:rPr>
        <w:t>devices</w:t>
      </w:r>
      <w:r w:rsidRPr="007B7C25">
        <w:rPr>
          <w:szCs w:val="24"/>
        </w:rPr>
        <w:t xml:space="preserve"> </w:t>
      </w:r>
      <w:r>
        <w:rPr>
          <w:szCs w:val="24"/>
        </w:rPr>
        <w:t xml:space="preserve">(coil retrievers, stent retrievers and aspiration devices) </w:t>
      </w:r>
      <w:r w:rsidRPr="007B7C25">
        <w:rPr>
          <w:szCs w:val="24"/>
        </w:rPr>
        <w:t xml:space="preserve">used in the procedure </w:t>
      </w:r>
      <w:r>
        <w:rPr>
          <w:szCs w:val="24"/>
        </w:rPr>
        <w:t>are</w:t>
      </w:r>
      <w:r w:rsidRPr="007B7C25">
        <w:rPr>
          <w:szCs w:val="24"/>
        </w:rPr>
        <w:t xml:space="preserve"> not suitable for Part A of the Prosthesis list</w:t>
      </w:r>
      <w:r>
        <w:rPr>
          <w:szCs w:val="24"/>
        </w:rPr>
        <w:t>.  ESC</w:t>
      </w:r>
      <w:r w:rsidRPr="007B7C25">
        <w:rPr>
          <w:szCs w:val="24"/>
        </w:rPr>
        <w:t xml:space="preserve"> </w:t>
      </w:r>
      <w:r>
        <w:rPr>
          <w:szCs w:val="24"/>
        </w:rPr>
        <w:t>instead</w:t>
      </w:r>
      <w:r w:rsidRPr="007B7C25">
        <w:rPr>
          <w:szCs w:val="24"/>
        </w:rPr>
        <w:t xml:space="preserve"> discussed </w:t>
      </w:r>
      <w:r>
        <w:rPr>
          <w:szCs w:val="24"/>
        </w:rPr>
        <w:t>whether</w:t>
      </w:r>
      <w:r w:rsidRPr="007B7C25">
        <w:rPr>
          <w:szCs w:val="24"/>
        </w:rPr>
        <w:t xml:space="preserve"> </w:t>
      </w:r>
      <w:r>
        <w:rPr>
          <w:szCs w:val="24"/>
        </w:rPr>
        <w:t>they</w:t>
      </w:r>
      <w:r w:rsidRPr="007B7C25">
        <w:rPr>
          <w:szCs w:val="24"/>
        </w:rPr>
        <w:t xml:space="preserve"> could be considered for Part C of the Prosthesis list.</w:t>
      </w:r>
      <w:r w:rsidRPr="007B7C25">
        <w:rPr>
          <w:szCs w:val="24"/>
        </w:rPr>
        <w:br/>
      </w:r>
    </w:p>
    <w:p w14:paraId="5590A671" w14:textId="77777777" w:rsidR="00A868F9" w:rsidRPr="007B7C25" w:rsidRDefault="00A868F9" w:rsidP="009A269F">
      <w:pPr>
        <w:contextualSpacing/>
        <w:rPr>
          <w:szCs w:val="24"/>
        </w:rPr>
      </w:pPr>
      <w:r w:rsidRPr="007B7C25">
        <w:rPr>
          <w:szCs w:val="24"/>
        </w:rPr>
        <w:t xml:space="preserve">ESC considered that the </w:t>
      </w:r>
      <w:r>
        <w:rPr>
          <w:szCs w:val="24"/>
        </w:rPr>
        <w:t>devices</w:t>
      </w:r>
      <w:r w:rsidRPr="007B7C25">
        <w:rPr>
          <w:szCs w:val="24"/>
        </w:rPr>
        <w:t xml:space="preserve"> may be an out-of-pocket expense.</w:t>
      </w:r>
    </w:p>
    <w:p w14:paraId="294E2B46" w14:textId="77777777" w:rsidR="00A868F9" w:rsidRPr="007B7C25" w:rsidRDefault="00A868F9" w:rsidP="009A269F">
      <w:pPr>
        <w:contextualSpacing/>
        <w:rPr>
          <w:szCs w:val="24"/>
        </w:rPr>
      </w:pPr>
    </w:p>
    <w:p w14:paraId="36DED753" w14:textId="77777777" w:rsidR="00A868F9" w:rsidRPr="007B7C25" w:rsidRDefault="00A868F9" w:rsidP="009A269F">
      <w:pPr>
        <w:contextualSpacing/>
        <w:rPr>
          <w:szCs w:val="24"/>
        </w:rPr>
      </w:pPr>
      <w:r w:rsidRPr="007B7C25">
        <w:rPr>
          <w:szCs w:val="24"/>
        </w:rPr>
        <w:lastRenderedPageBreak/>
        <w:t xml:space="preserve">ESC considered that </w:t>
      </w:r>
      <w:r>
        <w:rPr>
          <w:szCs w:val="24"/>
        </w:rPr>
        <w:t xml:space="preserve">the proposed MBS fee for </w:t>
      </w:r>
      <w:r w:rsidRPr="007B7C25">
        <w:rPr>
          <w:szCs w:val="24"/>
        </w:rPr>
        <w:t xml:space="preserve">MT </w:t>
      </w:r>
      <w:r>
        <w:rPr>
          <w:szCs w:val="24"/>
        </w:rPr>
        <w:t>is</w:t>
      </w:r>
      <w:r w:rsidRPr="007B7C25">
        <w:rPr>
          <w:szCs w:val="24"/>
        </w:rPr>
        <w:t xml:space="preserve"> relatively high compared to other similar procedures</w:t>
      </w:r>
      <w:r>
        <w:rPr>
          <w:szCs w:val="24"/>
        </w:rPr>
        <w:t>, e.g. carotid endarterectomy ($3500 vs $1200)</w:t>
      </w:r>
      <w:r w:rsidRPr="007B7C25">
        <w:rPr>
          <w:szCs w:val="24"/>
        </w:rPr>
        <w:t>.</w:t>
      </w:r>
    </w:p>
    <w:p w14:paraId="1DF75C27" w14:textId="77777777" w:rsidR="00A868F9" w:rsidRPr="00220D20" w:rsidRDefault="00A868F9" w:rsidP="009A269F">
      <w:pPr>
        <w:rPr>
          <w:color w:val="1F497D"/>
          <w:szCs w:val="24"/>
        </w:rPr>
      </w:pPr>
    </w:p>
    <w:p w14:paraId="35970535" w14:textId="77777777" w:rsidR="00A868F9" w:rsidRPr="00220D20" w:rsidRDefault="00A868F9" w:rsidP="009A269F">
      <w:pPr>
        <w:rPr>
          <w:szCs w:val="24"/>
        </w:rPr>
      </w:pPr>
      <w:r w:rsidRPr="00220D20">
        <w:rPr>
          <w:szCs w:val="24"/>
        </w:rPr>
        <w:t>The item-specific consumer comments presented addressed predicted consumer support for an apparently new and effective treatment. Consumer support was expressed for the requirement to comply with accreditation standards and caution noted re inhibiting clinical judgement where there is no evidence to do so (in response to the time limit issue), and where there could be some benefit to a person.</w:t>
      </w:r>
    </w:p>
    <w:p w14:paraId="7DAF8F34" w14:textId="77777777" w:rsidR="00A868F9" w:rsidRPr="00220D20" w:rsidRDefault="00A868F9" w:rsidP="009A269F">
      <w:pPr>
        <w:rPr>
          <w:szCs w:val="24"/>
        </w:rPr>
      </w:pPr>
    </w:p>
    <w:p w14:paraId="5315ACA2" w14:textId="77777777" w:rsidR="00A868F9" w:rsidRPr="00220D20" w:rsidRDefault="00A868F9" w:rsidP="009A269F">
      <w:pPr>
        <w:rPr>
          <w:szCs w:val="24"/>
        </w:rPr>
      </w:pPr>
      <w:r w:rsidRPr="00220D20">
        <w:rPr>
          <w:szCs w:val="24"/>
        </w:rPr>
        <w:t>The report notes some of the out of pocket costs critical to consumers. The consumer presentation also noted the following consumer perspectives which are both specific to the proposed item and potentially to the MBS, and MBS Review, more broadly:</w:t>
      </w:r>
    </w:p>
    <w:p w14:paraId="018CAEAD" w14:textId="77777777" w:rsidR="00A868F9" w:rsidRPr="00A61595" w:rsidRDefault="00A868F9" w:rsidP="009A269F">
      <w:pPr>
        <w:pStyle w:val="ListParagraph"/>
        <w:numPr>
          <w:ilvl w:val="0"/>
          <w:numId w:val="31"/>
        </w:numPr>
        <w:rPr>
          <w:szCs w:val="24"/>
        </w:rPr>
      </w:pPr>
      <w:r w:rsidRPr="00A61595">
        <w:rPr>
          <w:szCs w:val="24"/>
        </w:rPr>
        <w:t>The submission appears to argue for development of private accredited/comprehensive stroke facilities/centres of excellence: while the ESC seemed to be of the view this would not be an appealing business model in the private sector, it should be noted that privatisation can threaten equity and access. Consumers support universal access to health care: if there is clinically effective care for a predictable need this should</w:t>
      </w:r>
      <w:r>
        <w:rPr>
          <w:szCs w:val="24"/>
        </w:rPr>
        <w:t xml:space="preserve"> be publicly available</w:t>
      </w:r>
    </w:p>
    <w:p w14:paraId="0D15E4F0" w14:textId="77777777" w:rsidR="00A868F9" w:rsidRPr="00A61595" w:rsidRDefault="00A868F9" w:rsidP="009A269F">
      <w:pPr>
        <w:pStyle w:val="ListParagraph"/>
        <w:numPr>
          <w:ilvl w:val="0"/>
          <w:numId w:val="31"/>
        </w:numPr>
        <w:rPr>
          <w:szCs w:val="24"/>
        </w:rPr>
      </w:pPr>
      <w:r w:rsidRPr="00A61595">
        <w:rPr>
          <w:szCs w:val="24"/>
        </w:rPr>
        <w:t>Caution was expressed re the potential for cost shifting</w:t>
      </w:r>
    </w:p>
    <w:p w14:paraId="1BFC869C" w14:textId="77777777" w:rsidR="00A868F9" w:rsidRPr="00A61595" w:rsidRDefault="00A868F9" w:rsidP="009A269F">
      <w:pPr>
        <w:pStyle w:val="ListParagraph"/>
        <w:numPr>
          <w:ilvl w:val="0"/>
          <w:numId w:val="31"/>
        </w:numPr>
        <w:rPr>
          <w:szCs w:val="24"/>
        </w:rPr>
      </w:pPr>
      <w:r w:rsidRPr="00A61595">
        <w:rPr>
          <w:szCs w:val="24"/>
        </w:rPr>
        <w:t>Concern was expressed re setting reimbursement precedents related to urgency, comparative complexity, time &amp; team members</w:t>
      </w:r>
    </w:p>
    <w:p w14:paraId="41C4CF39" w14:textId="77777777" w:rsidR="00A868F9" w:rsidRPr="00A61595" w:rsidRDefault="00A868F9" w:rsidP="009A269F">
      <w:pPr>
        <w:pStyle w:val="ListParagraph"/>
        <w:numPr>
          <w:ilvl w:val="0"/>
          <w:numId w:val="31"/>
        </w:numPr>
        <w:rPr>
          <w:szCs w:val="24"/>
        </w:rPr>
      </w:pPr>
      <w:r w:rsidRPr="00A61595">
        <w:rPr>
          <w:szCs w:val="24"/>
        </w:rPr>
        <w:t>Concern was expressed regarding the impact and precedent set in equipment costs</w:t>
      </w:r>
    </w:p>
    <w:p w14:paraId="364E96E9" w14:textId="77777777" w:rsidR="006A0D97" w:rsidRPr="009A269F" w:rsidRDefault="00A868F9" w:rsidP="009A269F">
      <w:pPr>
        <w:pStyle w:val="ListParagraph"/>
        <w:numPr>
          <w:ilvl w:val="0"/>
          <w:numId w:val="31"/>
        </w:numPr>
        <w:rPr>
          <w:szCs w:val="24"/>
        </w:rPr>
      </w:pPr>
      <w:r w:rsidRPr="00A61595">
        <w:rPr>
          <w:szCs w:val="24"/>
        </w:rPr>
        <w:t>The question was asked (and not answered) re the lack of proper costing for retrieval/transport for the individual and systems.</w:t>
      </w:r>
    </w:p>
    <w:p w14:paraId="000038AC" w14:textId="77777777" w:rsidR="00D90A38" w:rsidRPr="00F715D1" w:rsidRDefault="00BC1364" w:rsidP="00F715D1">
      <w:pPr>
        <w:pStyle w:val="Heading1"/>
      </w:pPr>
      <w:r w:rsidRPr="00F715D1">
        <w:t>Other significant factors</w:t>
      </w:r>
    </w:p>
    <w:p w14:paraId="238AD1AA" w14:textId="77777777" w:rsidR="00BC1364" w:rsidRPr="009A269F" w:rsidRDefault="00BC1364" w:rsidP="00F715D1">
      <w:pPr>
        <w:spacing w:after="240"/>
        <w:rPr>
          <w:szCs w:val="24"/>
        </w:rPr>
      </w:pPr>
      <w:r w:rsidRPr="009A269F">
        <w:rPr>
          <w:szCs w:val="24"/>
        </w:rPr>
        <w:t>Nil</w:t>
      </w:r>
    </w:p>
    <w:p w14:paraId="1F9A1C8F" w14:textId="77777777" w:rsidR="00BC1364" w:rsidRPr="00F715D1" w:rsidRDefault="00BC1364" w:rsidP="00F715D1">
      <w:pPr>
        <w:pStyle w:val="Heading1"/>
      </w:pPr>
      <w:r w:rsidRPr="00F715D1">
        <w:t xml:space="preserve">Applicant’s comments on MSAC’s </w:t>
      </w:r>
      <w:r w:rsidR="00DA56AA" w:rsidRPr="00F715D1">
        <w:t>Public Summary Document</w:t>
      </w:r>
    </w:p>
    <w:p w14:paraId="517278C8" w14:textId="77777777" w:rsidR="00B5564B" w:rsidRPr="004A2ED4" w:rsidRDefault="00B5564B" w:rsidP="004A2ED4">
      <w:pPr>
        <w:rPr>
          <w:rFonts w:eastAsia="Calibri"/>
          <w:szCs w:val="24"/>
          <w:lang w:eastAsia="en-US"/>
        </w:rPr>
      </w:pPr>
      <w:r w:rsidRPr="004A2ED4">
        <w:rPr>
          <w:rFonts w:eastAsia="Calibri"/>
          <w:szCs w:val="24"/>
          <w:lang w:eastAsia="en-US"/>
        </w:rPr>
        <w:t xml:space="preserve">Medtronic welcome MSAC’s findings and consider the outcome of this application an important step forward in improving outcomes for acute ischemic stroke patients. We recognise that careful implementation of mechanical thrombectomy on the MBS is necessary to optimize patient outcomes. </w:t>
      </w:r>
    </w:p>
    <w:p w14:paraId="7FA23277" w14:textId="6C36F7D1" w:rsidR="00B5564B" w:rsidRPr="004A2ED4" w:rsidRDefault="00B5564B" w:rsidP="004A2ED4">
      <w:pPr>
        <w:pStyle w:val="ListParagraph"/>
        <w:numPr>
          <w:ilvl w:val="0"/>
          <w:numId w:val="33"/>
        </w:numPr>
        <w:rPr>
          <w:rFonts w:eastAsia="Calibri"/>
          <w:szCs w:val="24"/>
          <w:lang w:eastAsia="en-US"/>
        </w:rPr>
      </w:pPr>
      <w:r w:rsidRPr="004A2ED4">
        <w:rPr>
          <w:rFonts w:eastAsia="Calibri"/>
          <w:szCs w:val="24"/>
          <w:lang w:eastAsia="en-US"/>
        </w:rPr>
        <w:t xml:space="preserve">MSAC’s comments regarding the proposed MBS fee are noted – however, we disagree with ESC’s advice that carotid </w:t>
      </w:r>
      <w:r w:rsidRPr="004A2ED4">
        <w:rPr>
          <w:rFonts w:eastAsia="Yu Mincho"/>
          <w:szCs w:val="24"/>
          <w:lang w:eastAsia="ja-JP"/>
        </w:rPr>
        <w:t xml:space="preserve">endarterectomy is a similar procedure. </w:t>
      </w:r>
      <w:r w:rsidR="009B7D8D" w:rsidRPr="004A2ED4">
        <w:rPr>
          <w:rFonts w:eastAsia="Yu Mincho"/>
          <w:szCs w:val="24"/>
          <w:lang w:eastAsia="ja-JP"/>
        </w:rPr>
        <w:t xml:space="preserve">In the Final Protocol, it was suggested the proposed MBS fee for MT be referenced to the current MBS benefit amount for endovascular coiling of intra-cranial aneurisms ($2857.55; MBS item 35412). </w:t>
      </w:r>
      <w:r w:rsidRPr="004A2ED4">
        <w:rPr>
          <w:rFonts w:eastAsia="Yu Mincho"/>
          <w:szCs w:val="24"/>
          <w:lang w:eastAsia="ja-JP"/>
        </w:rPr>
        <w:t xml:space="preserve">We recognise that further consultation with clinicians who perform these procedures is necessary to fully justify and determine the MBS fee. </w:t>
      </w:r>
      <w:r w:rsidR="00CE161C" w:rsidRPr="004A2ED4">
        <w:rPr>
          <w:rFonts w:eastAsia="Yu Mincho"/>
          <w:szCs w:val="24"/>
          <w:lang w:eastAsia="ja-JP"/>
        </w:rPr>
        <w:t>(See Submission Section C.5.2. for proposed fee justification)</w:t>
      </w:r>
    </w:p>
    <w:p w14:paraId="4DA372A9" w14:textId="77777777" w:rsidR="00B5564B" w:rsidRPr="004A2ED4" w:rsidRDefault="00B5564B" w:rsidP="004A2ED4">
      <w:pPr>
        <w:pStyle w:val="ListParagraph"/>
        <w:numPr>
          <w:ilvl w:val="0"/>
          <w:numId w:val="33"/>
        </w:numPr>
        <w:rPr>
          <w:rFonts w:eastAsia="Calibri"/>
          <w:szCs w:val="24"/>
          <w:lang w:eastAsia="en-US"/>
        </w:rPr>
      </w:pPr>
      <w:r w:rsidRPr="004A2ED4">
        <w:rPr>
          <w:rFonts w:eastAsia="Calibri"/>
          <w:szCs w:val="24"/>
          <w:lang w:eastAsia="en-US"/>
        </w:rPr>
        <w:t xml:space="preserve">We share MSAC’s concerns regarding the lack of definitive funding arrangements for non-implantable technology used in mechanical thrombectomy procedures.  To allow eligible patients timely access to this service, while avoiding potential out-of-pocket costs, it will be necessary to develop funding arrangements to ensure the device is reimbursed in parallel to the processes for MBS implementation. This timing is critical to ensure barriers to access are avoided. </w:t>
      </w:r>
    </w:p>
    <w:p w14:paraId="0C76FF70" w14:textId="12728926" w:rsidR="00B5564B" w:rsidRPr="004A2ED4" w:rsidRDefault="00B5564B" w:rsidP="004A2ED4">
      <w:pPr>
        <w:pStyle w:val="ListParagraph"/>
        <w:numPr>
          <w:ilvl w:val="0"/>
          <w:numId w:val="33"/>
        </w:numPr>
        <w:rPr>
          <w:rFonts w:eastAsia="Calibri"/>
          <w:szCs w:val="24"/>
          <w:lang w:eastAsia="en-US"/>
        </w:rPr>
      </w:pPr>
      <w:r w:rsidRPr="004A2ED4">
        <w:rPr>
          <w:rFonts w:eastAsia="Calibri"/>
          <w:szCs w:val="24"/>
          <w:lang w:eastAsia="en-US"/>
        </w:rPr>
        <w:t xml:space="preserve">With regards to this we note ESC’s discussion on whether devices used in the procedure could be considered for Part C of the Prostheses List and welcome MSAC’s suggestion that the department and PLAC explore ways to address the potential for out-of-pocket costs and unacceptable treatment delays. The latter point is </w:t>
      </w:r>
      <w:r w:rsidRPr="004A2ED4">
        <w:rPr>
          <w:rFonts w:eastAsia="Calibri"/>
          <w:szCs w:val="24"/>
          <w:lang w:eastAsia="en-US"/>
        </w:rPr>
        <w:lastRenderedPageBreak/>
        <w:t xml:space="preserve">of particular significance for this time-critical procedure – delays can impact patient outcomes. </w:t>
      </w:r>
    </w:p>
    <w:p w14:paraId="4C321712" w14:textId="257987BE" w:rsidR="00B5564B" w:rsidRPr="004A2ED4" w:rsidRDefault="00B5564B" w:rsidP="004A2ED4">
      <w:pPr>
        <w:pStyle w:val="ListParagraph"/>
        <w:numPr>
          <w:ilvl w:val="0"/>
          <w:numId w:val="33"/>
        </w:numPr>
        <w:rPr>
          <w:rFonts w:eastAsia="Calibri"/>
          <w:szCs w:val="24"/>
          <w:lang w:eastAsia="en-US"/>
        </w:rPr>
      </w:pPr>
      <w:r w:rsidRPr="004A2ED4">
        <w:rPr>
          <w:rFonts w:eastAsia="Calibri"/>
          <w:szCs w:val="24"/>
          <w:lang w:eastAsia="en-US"/>
        </w:rPr>
        <w:t>We welcome the c</w:t>
      </w:r>
      <w:r w:rsidR="001A16FF" w:rsidRPr="004A2ED4">
        <w:rPr>
          <w:rFonts w:eastAsia="Calibri"/>
          <w:szCs w:val="24"/>
          <w:lang w:eastAsia="en-US"/>
        </w:rPr>
        <w:t>onsumer perspectives, but would like to clarify</w:t>
      </w:r>
      <w:r w:rsidRPr="004A2ED4">
        <w:rPr>
          <w:rFonts w:eastAsia="Calibri"/>
          <w:szCs w:val="24"/>
          <w:lang w:eastAsia="en-US"/>
        </w:rPr>
        <w:t xml:space="preserve"> that the submission did not propose the development of private centres of excellence per se, but proposed that centres with appropriate facilities and experience in neurointerventional procedures (i.e. sufficient case volumes/operator training) would be the appropriate place to implement the proposed service. </w:t>
      </w:r>
    </w:p>
    <w:p w14:paraId="28D867A9" w14:textId="1E44EB72" w:rsidR="00F52F18" w:rsidRPr="004A2ED4" w:rsidRDefault="00F52F18" w:rsidP="004A2ED4">
      <w:pPr>
        <w:pStyle w:val="ListParagraph"/>
        <w:numPr>
          <w:ilvl w:val="0"/>
          <w:numId w:val="33"/>
        </w:numPr>
        <w:rPr>
          <w:rFonts w:eastAsia="Calibri"/>
          <w:szCs w:val="24"/>
          <w:lang w:eastAsia="en-US"/>
        </w:rPr>
      </w:pPr>
      <w:r w:rsidRPr="004A2ED4">
        <w:rPr>
          <w:rFonts w:eastAsia="Calibri"/>
          <w:szCs w:val="24"/>
          <w:lang w:eastAsia="en-US"/>
        </w:rPr>
        <w:t>We would like to clarify at the time of the submission, there was no published evidence that aspiration (or any other) devices have similar efficacy to stent retrievers.  Furthermore, MSAC noted that the most recent evidence is largely related to the use of stent retrievers. While MSAC noted there may be clinical reasons for using another type of clot retrieval device – this is not aligned with evidence presented in the submission - based on studies where the majority of patients were treated with stent retrievers</w:t>
      </w:r>
      <w:r w:rsidR="0008029A" w:rsidRPr="004A2ED4">
        <w:rPr>
          <w:rFonts w:eastAsia="Calibri"/>
          <w:szCs w:val="24"/>
          <w:lang w:eastAsia="en-US"/>
        </w:rPr>
        <w:t xml:space="preserve">. </w:t>
      </w:r>
      <w:r w:rsidR="000A6998" w:rsidRPr="004A2ED4">
        <w:rPr>
          <w:rFonts w:eastAsia="Calibri"/>
          <w:szCs w:val="24"/>
          <w:lang w:eastAsia="en-US"/>
        </w:rPr>
        <w:t xml:space="preserve"> European consensus recognised the difference in evidence for aspiration devices and stent retrievers – KSU Grade C and Grade A, respectively</w:t>
      </w:r>
      <w:r w:rsidR="000A6998" w:rsidRPr="004A2ED4">
        <w:rPr>
          <w:rStyle w:val="FootnoteReference"/>
          <w:rFonts w:eastAsia="Calibri"/>
          <w:szCs w:val="24"/>
          <w:lang w:eastAsia="en-US"/>
        </w:rPr>
        <w:footnoteReference w:id="1"/>
      </w:r>
      <w:r w:rsidR="000A6998" w:rsidRPr="004A2ED4">
        <w:rPr>
          <w:rFonts w:eastAsia="Calibri"/>
          <w:szCs w:val="24"/>
          <w:lang w:eastAsia="en-US"/>
        </w:rPr>
        <w:t xml:space="preserve">. </w:t>
      </w:r>
      <w:r w:rsidR="003135B4" w:rsidRPr="004A2ED4">
        <w:rPr>
          <w:rFonts w:eastAsia="Calibri"/>
          <w:szCs w:val="24"/>
          <w:lang w:eastAsia="en-US"/>
        </w:rPr>
        <w:t>Lower levels of evidence for aspiration devices are also noted in other guidelines</w:t>
      </w:r>
      <w:r w:rsidR="003135B4" w:rsidRPr="004A2ED4">
        <w:rPr>
          <w:rStyle w:val="FootnoteReference"/>
          <w:rFonts w:eastAsia="Calibri"/>
          <w:szCs w:val="24"/>
          <w:lang w:eastAsia="en-US"/>
        </w:rPr>
        <w:footnoteReference w:id="2"/>
      </w:r>
      <w:r w:rsidR="003135B4" w:rsidRPr="004A2ED4">
        <w:rPr>
          <w:rFonts w:eastAsia="Calibri"/>
          <w:szCs w:val="24"/>
          <w:lang w:eastAsia="en-US"/>
        </w:rPr>
        <w:t xml:space="preserve">. </w:t>
      </w:r>
    </w:p>
    <w:p w14:paraId="3C0FF0D5" w14:textId="36D25AA9" w:rsidR="00B5564B" w:rsidRPr="004A2ED4" w:rsidRDefault="00B5564B" w:rsidP="004A2ED4">
      <w:pPr>
        <w:rPr>
          <w:color w:val="00B0F0"/>
          <w:szCs w:val="24"/>
        </w:rPr>
      </w:pPr>
      <w:r w:rsidRPr="004A2ED4">
        <w:rPr>
          <w:rFonts w:eastAsia="Calibri"/>
          <w:szCs w:val="24"/>
          <w:lang w:eastAsia="en-US"/>
        </w:rPr>
        <w:t>MSAC’s findings for this application represent an opportunity to ensure that both the mechanical thrombectomy procedure and technology used to deliver this procedure are funded, with no barriers to patient access. This is required to allow consistent, equitable access and the optimisation of this MBS service – essential for achieving the best outcomes for acute ischemic stroke patients and realising cost benefits for the healthcare system.</w:t>
      </w:r>
    </w:p>
    <w:p w14:paraId="068D2CCD" w14:textId="77777777" w:rsidR="00BC1364" w:rsidRPr="00F715D1" w:rsidRDefault="00271F18" w:rsidP="00F715D1">
      <w:pPr>
        <w:pStyle w:val="Heading1"/>
      </w:pPr>
      <w:r w:rsidRPr="00F715D1">
        <w:t>Further information on MSAC</w:t>
      </w:r>
    </w:p>
    <w:p w14:paraId="70FC70F0"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6" w:history="1">
        <w:r w:rsidR="00BC2667" w:rsidRPr="00F715D1">
          <w:rPr>
            <w:rStyle w:val="Hyperlink"/>
            <w:szCs w:val="24"/>
          </w:rPr>
          <w:t>visit the MSAC website</w:t>
        </w:r>
      </w:hyperlink>
    </w:p>
    <w:sectPr w:rsidR="00BC1364" w:rsidRPr="00F715D1" w:rsidSect="00271F18">
      <w:footerReference w:type="default" r:id="rId17"/>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D913A" w14:textId="77777777" w:rsidR="00507263" w:rsidRDefault="00507263" w:rsidP="00065623">
      <w:r>
        <w:separator/>
      </w:r>
    </w:p>
  </w:endnote>
  <w:endnote w:type="continuationSeparator" w:id="0">
    <w:p w14:paraId="31B7697F" w14:textId="77777777" w:rsidR="00507263" w:rsidRDefault="00507263"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77CACC79" w14:textId="77777777" w:rsidR="00507263" w:rsidRDefault="00507263">
        <w:pPr>
          <w:pStyle w:val="Footer"/>
          <w:jc w:val="right"/>
        </w:pPr>
        <w:r>
          <w:fldChar w:fldCharType="begin"/>
        </w:r>
        <w:r>
          <w:instrText xml:space="preserve"> PAGE   \* MERGEFORMAT </w:instrText>
        </w:r>
        <w:r>
          <w:fldChar w:fldCharType="separate"/>
        </w:r>
        <w:r w:rsidR="0024750B">
          <w:rPr>
            <w:noProof/>
          </w:rPr>
          <w:t>1</w:t>
        </w:r>
        <w:r>
          <w:rPr>
            <w:noProof/>
          </w:rPr>
          <w:fldChar w:fldCharType="end"/>
        </w:r>
      </w:p>
    </w:sdtContent>
  </w:sdt>
  <w:p w14:paraId="3A1347C0" w14:textId="77777777" w:rsidR="00507263" w:rsidRDefault="00507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0A226" w14:textId="77777777" w:rsidR="00507263" w:rsidRDefault="00507263" w:rsidP="00065623">
      <w:r>
        <w:separator/>
      </w:r>
    </w:p>
  </w:footnote>
  <w:footnote w:type="continuationSeparator" w:id="0">
    <w:p w14:paraId="275E45ED" w14:textId="77777777" w:rsidR="00507263" w:rsidRDefault="00507263" w:rsidP="00065623">
      <w:r>
        <w:continuationSeparator/>
      </w:r>
    </w:p>
  </w:footnote>
  <w:footnote w:id="1">
    <w:p w14:paraId="21C76ABC" w14:textId="0C8808D3" w:rsidR="00507263" w:rsidRDefault="00507263" w:rsidP="00D537AB">
      <w:pPr>
        <w:pStyle w:val="FootnoteText"/>
      </w:pPr>
      <w:r>
        <w:rPr>
          <w:rStyle w:val="FootnoteReference"/>
        </w:rPr>
        <w:footnoteRef/>
      </w:r>
      <w:r>
        <w:t xml:space="preserve"> Mechanical thrombectomy in acute ischemic stroke: Consensus statement by ESO-Karolinska Stroke Update 2014/2015, supported by ESO, ESMINT, ESNR and EAN. International Journal of Stroke 2016, Vol. 11(1) 134–147. (Available: </w:t>
      </w:r>
      <w:hyperlink r:id="rId1" w:tooltip="Link to International Journal of Stroke article" w:history="1">
        <w:r w:rsidRPr="001D738B">
          <w:rPr>
            <w:rStyle w:val="Hyperlink"/>
          </w:rPr>
          <w:t>http://journals.sagepub.com/doi/full/10.1177/1747493015609778</w:t>
        </w:r>
      </w:hyperlink>
      <w:r>
        <w:t>, accessed 23</w:t>
      </w:r>
      <w:r w:rsidRPr="000160A1">
        <w:rPr>
          <w:vertAlign w:val="superscript"/>
        </w:rPr>
        <w:t>rd</w:t>
      </w:r>
      <w:r>
        <w:t xml:space="preserve"> January 2017).</w:t>
      </w:r>
    </w:p>
  </w:footnote>
  <w:footnote w:id="2">
    <w:p w14:paraId="1F4DD649" w14:textId="4C959217" w:rsidR="00507263" w:rsidRDefault="00507263" w:rsidP="003135B4">
      <w:pPr>
        <w:pStyle w:val="FootnoteText"/>
      </w:pPr>
      <w:r>
        <w:rPr>
          <w:rStyle w:val="FootnoteReference"/>
        </w:rPr>
        <w:footnoteRef/>
      </w:r>
      <w:r>
        <w:t xml:space="preserve"> Canadian Stroke Best Practice Recommendations: Hyperacute Stroke Care Guidelines, Update 2015. </w:t>
      </w:r>
      <w:r w:rsidRPr="003135B4">
        <w:t>Int J Stroke. 2015 Aug;10(6):924-40</w:t>
      </w:r>
      <w:r>
        <w:t>; European Recommendations on Organisation of Interventional Care in Acute Stroke (EROICAS), International Journal of Stroke 2016, Vol. 11(6) 701–716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EEF1C81"/>
    <w:multiLevelType w:val="hybridMultilevel"/>
    <w:tmpl w:val="D6505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4528BF"/>
    <w:multiLevelType w:val="hybridMultilevel"/>
    <w:tmpl w:val="AED0E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4220D8"/>
    <w:multiLevelType w:val="hybridMultilevel"/>
    <w:tmpl w:val="5E905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4F208F5"/>
    <w:multiLevelType w:val="hybridMultilevel"/>
    <w:tmpl w:val="56B83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4810E1"/>
    <w:multiLevelType w:val="hybridMultilevel"/>
    <w:tmpl w:val="6B46D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1556BE"/>
    <w:multiLevelType w:val="hybridMultilevel"/>
    <w:tmpl w:val="007A9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75BC068E"/>
    <w:multiLevelType w:val="hybridMultilevel"/>
    <w:tmpl w:val="F9C48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D20FD0"/>
    <w:multiLevelType w:val="hybridMultilevel"/>
    <w:tmpl w:val="C8C011E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8"/>
  </w:num>
  <w:num w:numId="2">
    <w:abstractNumId w:val="16"/>
  </w:num>
  <w:num w:numId="3">
    <w:abstractNumId w:val="1"/>
  </w:num>
  <w:num w:numId="4">
    <w:abstractNumId w:val="19"/>
  </w:num>
  <w:num w:numId="5">
    <w:abstractNumId w:val="12"/>
  </w:num>
  <w:num w:numId="6">
    <w:abstractNumId w:val="18"/>
  </w:num>
  <w:num w:numId="7">
    <w:abstractNumId w:val="23"/>
  </w:num>
  <w:num w:numId="8">
    <w:abstractNumId w:val="13"/>
  </w:num>
  <w:num w:numId="9">
    <w:abstractNumId w:val="31"/>
  </w:num>
  <w:num w:numId="10">
    <w:abstractNumId w:val="0"/>
  </w:num>
  <w:num w:numId="11">
    <w:abstractNumId w:val="22"/>
  </w:num>
  <w:num w:numId="12">
    <w:abstractNumId w:val="24"/>
  </w:num>
  <w:num w:numId="13">
    <w:abstractNumId w:val="5"/>
  </w:num>
  <w:num w:numId="14">
    <w:abstractNumId w:val="29"/>
  </w:num>
  <w:num w:numId="15">
    <w:abstractNumId w:val="20"/>
  </w:num>
  <w:num w:numId="16">
    <w:abstractNumId w:val="25"/>
  </w:num>
  <w:num w:numId="17">
    <w:abstractNumId w:val="14"/>
  </w:num>
  <w:num w:numId="18">
    <w:abstractNumId w:val="15"/>
  </w:num>
  <w:num w:numId="19">
    <w:abstractNumId w:val="28"/>
  </w:num>
  <w:num w:numId="20">
    <w:abstractNumId w:val="27"/>
  </w:num>
  <w:num w:numId="21">
    <w:abstractNumId w:val="4"/>
  </w:num>
  <w:num w:numId="22">
    <w:abstractNumId w:val="11"/>
  </w:num>
  <w:num w:numId="23">
    <w:abstractNumId w:val="3"/>
  </w:num>
  <w:num w:numId="24">
    <w:abstractNumId w:val="10"/>
  </w:num>
  <w:num w:numId="25">
    <w:abstractNumId w:val="6"/>
  </w:num>
  <w:num w:numId="26">
    <w:abstractNumId w:val="30"/>
  </w:num>
  <w:num w:numId="27">
    <w:abstractNumId w:val="9"/>
  </w:num>
  <w:num w:numId="28">
    <w:abstractNumId w:val="2"/>
  </w:num>
  <w:num w:numId="29">
    <w:abstractNumId w:val="26"/>
  </w:num>
  <w:num w:numId="30">
    <w:abstractNumId w:val="21"/>
  </w:num>
  <w:num w:numId="31">
    <w:abstractNumId w:val="32"/>
  </w:num>
  <w:num w:numId="32">
    <w:abstractNumId w:val="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160A1"/>
    <w:rsid w:val="0002314F"/>
    <w:rsid w:val="00027513"/>
    <w:rsid w:val="000313C8"/>
    <w:rsid w:val="000416F8"/>
    <w:rsid w:val="00047606"/>
    <w:rsid w:val="00051ED4"/>
    <w:rsid w:val="00065623"/>
    <w:rsid w:val="00067E89"/>
    <w:rsid w:val="00067FD4"/>
    <w:rsid w:val="000756B9"/>
    <w:rsid w:val="0008029A"/>
    <w:rsid w:val="00085B2B"/>
    <w:rsid w:val="00096B67"/>
    <w:rsid w:val="00096DAF"/>
    <w:rsid w:val="000A6998"/>
    <w:rsid w:val="000C25FF"/>
    <w:rsid w:val="000C2F47"/>
    <w:rsid w:val="000C61DC"/>
    <w:rsid w:val="000D6C00"/>
    <w:rsid w:val="000E4E04"/>
    <w:rsid w:val="000F14B4"/>
    <w:rsid w:val="000F75DF"/>
    <w:rsid w:val="00104B02"/>
    <w:rsid w:val="001328FA"/>
    <w:rsid w:val="00147AAF"/>
    <w:rsid w:val="00152CF1"/>
    <w:rsid w:val="001552C0"/>
    <w:rsid w:val="001640B1"/>
    <w:rsid w:val="0018435E"/>
    <w:rsid w:val="001A16FF"/>
    <w:rsid w:val="001D6B40"/>
    <w:rsid w:val="002041A1"/>
    <w:rsid w:val="002054F0"/>
    <w:rsid w:val="00216A14"/>
    <w:rsid w:val="00230D6B"/>
    <w:rsid w:val="00232068"/>
    <w:rsid w:val="002330F2"/>
    <w:rsid w:val="00243D9E"/>
    <w:rsid w:val="002471BA"/>
    <w:rsid w:val="0024750B"/>
    <w:rsid w:val="00253B66"/>
    <w:rsid w:val="002550BD"/>
    <w:rsid w:val="00261DF1"/>
    <w:rsid w:val="00271AD4"/>
    <w:rsid w:val="00271F18"/>
    <w:rsid w:val="00282779"/>
    <w:rsid w:val="0028334D"/>
    <w:rsid w:val="00285EA9"/>
    <w:rsid w:val="002B4E42"/>
    <w:rsid w:val="002B7FFA"/>
    <w:rsid w:val="002C2BCF"/>
    <w:rsid w:val="002F279D"/>
    <w:rsid w:val="002F43B8"/>
    <w:rsid w:val="0031089A"/>
    <w:rsid w:val="003135B4"/>
    <w:rsid w:val="00327C67"/>
    <w:rsid w:val="00336093"/>
    <w:rsid w:val="00336856"/>
    <w:rsid w:val="0034554D"/>
    <w:rsid w:val="00352224"/>
    <w:rsid w:val="00356927"/>
    <w:rsid w:val="00362EB3"/>
    <w:rsid w:val="003671E6"/>
    <w:rsid w:val="00373FB6"/>
    <w:rsid w:val="00384272"/>
    <w:rsid w:val="00386D67"/>
    <w:rsid w:val="003945B8"/>
    <w:rsid w:val="003D7F29"/>
    <w:rsid w:val="004012BC"/>
    <w:rsid w:val="00405A6B"/>
    <w:rsid w:val="00405FE3"/>
    <w:rsid w:val="00407B1F"/>
    <w:rsid w:val="00414C57"/>
    <w:rsid w:val="0041758C"/>
    <w:rsid w:val="0042605F"/>
    <w:rsid w:val="00431DFA"/>
    <w:rsid w:val="004539DE"/>
    <w:rsid w:val="00454335"/>
    <w:rsid w:val="00467E73"/>
    <w:rsid w:val="004855D1"/>
    <w:rsid w:val="004A2CF1"/>
    <w:rsid w:val="004A2ED4"/>
    <w:rsid w:val="004B5157"/>
    <w:rsid w:val="004C026E"/>
    <w:rsid w:val="004C0CA0"/>
    <w:rsid w:val="004C3035"/>
    <w:rsid w:val="004C307F"/>
    <w:rsid w:val="004E4BA8"/>
    <w:rsid w:val="004F340F"/>
    <w:rsid w:val="004F7B7C"/>
    <w:rsid w:val="0050584C"/>
    <w:rsid w:val="00507263"/>
    <w:rsid w:val="0052243D"/>
    <w:rsid w:val="00532435"/>
    <w:rsid w:val="00541EE0"/>
    <w:rsid w:val="00542DD6"/>
    <w:rsid w:val="00550354"/>
    <w:rsid w:val="00551119"/>
    <w:rsid w:val="00564044"/>
    <w:rsid w:val="00566786"/>
    <w:rsid w:val="00571236"/>
    <w:rsid w:val="005953A1"/>
    <w:rsid w:val="005B015F"/>
    <w:rsid w:val="005B0770"/>
    <w:rsid w:val="005C7135"/>
    <w:rsid w:val="005D0332"/>
    <w:rsid w:val="005D0D8C"/>
    <w:rsid w:val="006132DF"/>
    <w:rsid w:val="00643218"/>
    <w:rsid w:val="006703BA"/>
    <w:rsid w:val="006776AE"/>
    <w:rsid w:val="006A0D97"/>
    <w:rsid w:val="006B1F86"/>
    <w:rsid w:val="006B4E62"/>
    <w:rsid w:val="006C0A91"/>
    <w:rsid w:val="007054BB"/>
    <w:rsid w:val="00706C47"/>
    <w:rsid w:val="00707064"/>
    <w:rsid w:val="00724226"/>
    <w:rsid w:val="00730683"/>
    <w:rsid w:val="0073273F"/>
    <w:rsid w:val="00733938"/>
    <w:rsid w:val="0075261F"/>
    <w:rsid w:val="0075468E"/>
    <w:rsid w:val="007665D8"/>
    <w:rsid w:val="00766E36"/>
    <w:rsid w:val="00767EFA"/>
    <w:rsid w:val="007765F4"/>
    <w:rsid w:val="00776633"/>
    <w:rsid w:val="00780994"/>
    <w:rsid w:val="00784D53"/>
    <w:rsid w:val="00797797"/>
    <w:rsid w:val="007A63C9"/>
    <w:rsid w:val="007A7EF1"/>
    <w:rsid w:val="007B32D1"/>
    <w:rsid w:val="007B5401"/>
    <w:rsid w:val="007B7095"/>
    <w:rsid w:val="007D1EA2"/>
    <w:rsid w:val="007D24E1"/>
    <w:rsid w:val="007D6288"/>
    <w:rsid w:val="007F4CE9"/>
    <w:rsid w:val="007F4E20"/>
    <w:rsid w:val="007F5279"/>
    <w:rsid w:val="007F7FF0"/>
    <w:rsid w:val="008224D2"/>
    <w:rsid w:val="00822C7E"/>
    <w:rsid w:val="00847060"/>
    <w:rsid w:val="00851808"/>
    <w:rsid w:val="00856A33"/>
    <w:rsid w:val="00857D8F"/>
    <w:rsid w:val="008614D6"/>
    <w:rsid w:val="008636F5"/>
    <w:rsid w:val="0087303A"/>
    <w:rsid w:val="008759F6"/>
    <w:rsid w:val="00880CAC"/>
    <w:rsid w:val="00887930"/>
    <w:rsid w:val="00892620"/>
    <w:rsid w:val="00895008"/>
    <w:rsid w:val="008A0B30"/>
    <w:rsid w:val="008B5D24"/>
    <w:rsid w:val="008C3BFF"/>
    <w:rsid w:val="008C45FA"/>
    <w:rsid w:val="008C7D37"/>
    <w:rsid w:val="008C7F80"/>
    <w:rsid w:val="008D5885"/>
    <w:rsid w:val="008E6938"/>
    <w:rsid w:val="008F02C5"/>
    <w:rsid w:val="00906168"/>
    <w:rsid w:val="00916590"/>
    <w:rsid w:val="00923FA2"/>
    <w:rsid w:val="00930188"/>
    <w:rsid w:val="009325A7"/>
    <w:rsid w:val="00951310"/>
    <w:rsid w:val="0096060D"/>
    <w:rsid w:val="00974A50"/>
    <w:rsid w:val="0097585A"/>
    <w:rsid w:val="009872AF"/>
    <w:rsid w:val="009921AA"/>
    <w:rsid w:val="009924B0"/>
    <w:rsid w:val="009942C9"/>
    <w:rsid w:val="009A269F"/>
    <w:rsid w:val="009A49DD"/>
    <w:rsid w:val="009B35C4"/>
    <w:rsid w:val="009B7D8D"/>
    <w:rsid w:val="009C630A"/>
    <w:rsid w:val="009C69BC"/>
    <w:rsid w:val="009E0D98"/>
    <w:rsid w:val="009E2EFD"/>
    <w:rsid w:val="009F36F6"/>
    <w:rsid w:val="00A064CF"/>
    <w:rsid w:val="00A068A1"/>
    <w:rsid w:val="00A1207D"/>
    <w:rsid w:val="00A12FD8"/>
    <w:rsid w:val="00A25042"/>
    <w:rsid w:val="00A254E6"/>
    <w:rsid w:val="00A346FC"/>
    <w:rsid w:val="00A36E4D"/>
    <w:rsid w:val="00A3721C"/>
    <w:rsid w:val="00A43A66"/>
    <w:rsid w:val="00A45336"/>
    <w:rsid w:val="00A6355B"/>
    <w:rsid w:val="00A71E41"/>
    <w:rsid w:val="00A822AF"/>
    <w:rsid w:val="00A84F93"/>
    <w:rsid w:val="00A868F9"/>
    <w:rsid w:val="00AA2195"/>
    <w:rsid w:val="00AB1AC5"/>
    <w:rsid w:val="00AB3BFC"/>
    <w:rsid w:val="00AC4F2E"/>
    <w:rsid w:val="00AD0C37"/>
    <w:rsid w:val="00AD385F"/>
    <w:rsid w:val="00AD51F5"/>
    <w:rsid w:val="00AD5BCA"/>
    <w:rsid w:val="00AD6C10"/>
    <w:rsid w:val="00AE6E2A"/>
    <w:rsid w:val="00AF1935"/>
    <w:rsid w:val="00B10335"/>
    <w:rsid w:val="00B31E9C"/>
    <w:rsid w:val="00B35595"/>
    <w:rsid w:val="00B51C6D"/>
    <w:rsid w:val="00B5564B"/>
    <w:rsid w:val="00B62744"/>
    <w:rsid w:val="00B8385C"/>
    <w:rsid w:val="00B86D64"/>
    <w:rsid w:val="00BA4AC5"/>
    <w:rsid w:val="00BA5D99"/>
    <w:rsid w:val="00BC1364"/>
    <w:rsid w:val="00BC2667"/>
    <w:rsid w:val="00BC7DE9"/>
    <w:rsid w:val="00BD7A31"/>
    <w:rsid w:val="00BF444F"/>
    <w:rsid w:val="00BF479B"/>
    <w:rsid w:val="00C02577"/>
    <w:rsid w:val="00C204FB"/>
    <w:rsid w:val="00C20BEE"/>
    <w:rsid w:val="00C2158D"/>
    <w:rsid w:val="00C34CD7"/>
    <w:rsid w:val="00C67DD2"/>
    <w:rsid w:val="00C725CB"/>
    <w:rsid w:val="00C75DF2"/>
    <w:rsid w:val="00C76F5C"/>
    <w:rsid w:val="00C96BAD"/>
    <w:rsid w:val="00CA6944"/>
    <w:rsid w:val="00CB0F8E"/>
    <w:rsid w:val="00CB7E7D"/>
    <w:rsid w:val="00CC2911"/>
    <w:rsid w:val="00CE161C"/>
    <w:rsid w:val="00CE58FD"/>
    <w:rsid w:val="00CF0C6D"/>
    <w:rsid w:val="00CF67D7"/>
    <w:rsid w:val="00CF7307"/>
    <w:rsid w:val="00CF7C68"/>
    <w:rsid w:val="00D124FA"/>
    <w:rsid w:val="00D340DE"/>
    <w:rsid w:val="00D46819"/>
    <w:rsid w:val="00D510C2"/>
    <w:rsid w:val="00D537AB"/>
    <w:rsid w:val="00D55723"/>
    <w:rsid w:val="00D62FAD"/>
    <w:rsid w:val="00D70450"/>
    <w:rsid w:val="00D732E5"/>
    <w:rsid w:val="00D83BFD"/>
    <w:rsid w:val="00D90A38"/>
    <w:rsid w:val="00DA0515"/>
    <w:rsid w:val="00DA171E"/>
    <w:rsid w:val="00DA1C19"/>
    <w:rsid w:val="00DA56AA"/>
    <w:rsid w:val="00DA60A6"/>
    <w:rsid w:val="00DB5833"/>
    <w:rsid w:val="00DC27C8"/>
    <w:rsid w:val="00DD2858"/>
    <w:rsid w:val="00DE4C68"/>
    <w:rsid w:val="00DF4E15"/>
    <w:rsid w:val="00E015E6"/>
    <w:rsid w:val="00E03E33"/>
    <w:rsid w:val="00E059E0"/>
    <w:rsid w:val="00E30967"/>
    <w:rsid w:val="00E3642A"/>
    <w:rsid w:val="00E415C4"/>
    <w:rsid w:val="00E50016"/>
    <w:rsid w:val="00E50B3F"/>
    <w:rsid w:val="00E50EAA"/>
    <w:rsid w:val="00E5247D"/>
    <w:rsid w:val="00E656D6"/>
    <w:rsid w:val="00E728F0"/>
    <w:rsid w:val="00E73251"/>
    <w:rsid w:val="00E80347"/>
    <w:rsid w:val="00E84CD4"/>
    <w:rsid w:val="00E977EE"/>
    <w:rsid w:val="00EA2F24"/>
    <w:rsid w:val="00EA67A2"/>
    <w:rsid w:val="00EB6B6F"/>
    <w:rsid w:val="00EC4F98"/>
    <w:rsid w:val="00ED1F51"/>
    <w:rsid w:val="00F051EC"/>
    <w:rsid w:val="00F102CD"/>
    <w:rsid w:val="00F1284C"/>
    <w:rsid w:val="00F12F02"/>
    <w:rsid w:val="00F266D3"/>
    <w:rsid w:val="00F32E0D"/>
    <w:rsid w:val="00F35134"/>
    <w:rsid w:val="00F37C63"/>
    <w:rsid w:val="00F41812"/>
    <w:rsid w:val="00F443A8"/>
    <w:rsid w:val="00F52F18"/>
    <w:rsid w:val="00F715D1"/>
    <w:rsid w:val="00F73333"/>
    <w:rsid w:val="00F907E0"/>
    <w:rsid w:val="00F909E3"/>
    <w:rsid w:val="00F95D8F"/>
    <w:rsid w:val="00F9645D"/>
    <w:rsid w:val="00FA46FF"/>
    <w:rsid w:val="00FB350A"/>
    <w:rsid w:val="00FB4C5D"/>
    <w:rsid w:val="00FD58AC"/>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D64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431DFA"/>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FA"/>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 text"/>
    <w:basedOn w:val="Normal"/>
    <w:link w:val="TabletextChar"/>
    <w:qFormat/>
    <w:rsid w:val="007A7EF1"/>
    <w:rPr>
      <w:rFonts w:ascii="Arial Narrow" w:hAnsi="Arial Narrow"/>
      <w:sz w:val="20"/>
      <w:szCs w:val="24"/>
      <w:lang w:eastAsia="en-US"/>
    </w:rPr>
  </w:style>
  <w:style w:type="character" w:customStyle="1" w:styleId="TabletextChar">
    <w:name w:val="Table text Char"/>
    <w:basedOn w:val="DefaultParagraphFont"/>
    <w:link w:val="Tabletext"/>
    <w:rsid w:val="007A7EF1"/>
    <w:rPr>
      <w:rFonts w:ascii="Arial Narrow" w:eastAsia="Times New Roman" w:hAnsi="Arial Narrow"/>
      <w:sz w:val="20"/>
      <w:szCs w:val="24"/>
      <w:lang w:eastAsia="en-US"/>
    </w:rPr>
  </w:style>
  <w:style w:type="paragraph" w:styleId="Caption">
    <w:name w:val="caption"/>
    <w:aliases w:val="Bayer Caption,IB Caption,Medical Caption,CSR Caption,Table and Figure Name,Caption1,Caption2,Caption3,Caption4,Caption5,Caption Char2 Char,Caption Char Char Char2,Caption Char1 Char Char Char1,Caption Char2 Char Char Char1 Char1,Bayer"/>
    <w:basedOn w:val="Normal"/>
    <w:next w:val="Normal"/>
    <w:link w:val="CaptionChar"/>
    <w:uiPriority w:val="35"/>
    <w:unhideWhenUsed/>
    <w:qFormat/>
    <w:locked/>
    <w:rsid w:val="007A7EF1"/>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Caption1 Char,Caption2 Char,Caption3 Char,Caption4 Char,Caption5 Char,Caption Char2 Char Char,Caption Char Char Char2 Char,Bayer Char"/>
    <w:basedOn w:val="DefaultParagraphFont"/>
    <w:link w:val="Caption"/>
    <w:uiPriority w:val="35"/>
    <w:rsid w:val="007A7EF1"/>
    <w:rPr>
      <w:rFonts w:ascii="Arial Narrow" w:eastAsia="Times New Roman" w:hAnsi="Arial Narrow" w:cs="Arial"/>
      <w:b/>
      <w:bCs/>
      <w:iCs/>
      <w:sz w:val="20"/>
      <w:szCs w:val="20"/>
      <w:lang w:eastAsia="en-US"/>
    </w:rPr>
  </w:style>
  <w:style w:type="character" w:customStyle="1" w:styleId="ListParagraphChar">
    <w:name w:val="List Paragraph Char"/>
    <w:basedOn w:val="DefaultParagraphFont"/>
    <w:link w:val="ListParagraph"/>
    <w:uiPriority w:val="34"/>
    <w:rsid w:val="007A7EF1"/>
    <w:rPr>
      <w:rFonts w:eastAsia="Times New Roman"/>
      <w:sz w:val="24"/>
      <w:szCs w:val="20"/>
    </w:rPr>
  </w:style>
  <w:style w:type="character" w:styleId="Emphasis">
    <w:name w:val="Emphasis"/>
    <w:uiPriority w:val="20"/>
    <w:qFormat/>
    <w:locked/>
    <w:rsid w:val="00E50B3F"/>
    <w:rPr>
      <w:rFonts w:ascii="Garamond" w:eastAsia="Times New Roman" w:hAnsi="Garamond" w:cs="Times New Roman"/>
      <w:i/>
      <w:sz w:val="24"/>
      <w:szCs w:val="24"/>
    </w:rPr>
  </w:style>
  <w:style w:type="paragraph" w:customStyle="1" w:styleId="TableHeading">
    <w:name w:val="TableHeading"/>
    <w:basedOn w:val="Normal"/>
    <w:link w:val="TableHeadingChar"/>
    <w:qFormat/>
    <w:rsid w:val="00E50B3F"/>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E50B3F"/>
    <w:rPr>
      <w:rFonts w:ascii="Arial Narrow" w:eastAsia="Times New Roman" w:hAnsi="Arial Narrow" w:cs="Tahoma"/>
      <w:b/>
      <w:noProof/>
      <w:sz w:val="20"/>
      <w:szCs w:val="20"/>
    </w:rPr>
  </w:style>
  <w:style w:type="paragraph" w:customStyle="1" w:styleId="TableText0">
    <w:name w:val="Table Text"/>
    <w:basedOn w:val="Normal"/>
    <w:link w:val="TableTextChar0"/>
    <w:rsid w:val="00E50B3F"/>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E50B3F"/>
    <w:rPr>
      <w:rFonts w:ascii="Arial Narrow" w:eastAsia="Times New Roman" w:hAnsi="Arial Narrow" w:cs="Tahoma"/>
      <w:sz w:val="20"/>
      <w:lang w:eastAsia="en-US"/>
    </w:rPr>
  </w:style>
  <w:style w:type="paragraph" w:customStyle="1" w:styleId="Tablecaption">
    <w:name w:val="Table caption"/>
    <w:basedOn w:val="Normal"/>
    <w:link w:val="TablecaptionChar"/>
    <w:qFormat/>
    <w:rsid w:val="00E50B3F"/>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E50B3F"/>
    <w:rPr>
      <w:rFonts w:ascii="Arial Narrow" w:eastAsia="Times New Roman" w:hAnsi="Arial Narrow" w:cs="Arial"/>
      <w:sz w:val="20"/>
      <w:szCs w:val="20"/>
      <w:lang w:eastAsia="en-US"/>
    </w:rPr>
  </w:style>
  <w:style w:type="paragraph" w:customStyle="1" w:styleId="Summaryboxheading">
    <w:name w:val="Summary box heading"/>
    <w:basedOn w:val="Normal"/>
    <w:rsid w:val="00E50B3F"/>
    <w:pPr>
      <w:spacing w:before="120" w:after="100" w:afterAutospacing="1" w:line="312" w:lineRule="auto"/>
    </w:pPr>
    <w:rPr>
      <w:rFonts w:ascii="Arial Narrow" w:hAnsi="Arial Narrow" w:cs="Tahoma"/>
      <w:b/>
      <w:sz w:val="22"/>
      <w:szCs w:val="22"/>
    </w:rPr>
  </w:style>
  <w:style w:type="paragraph" w:customStyle="1" w:styleId="TFAbbrevs18">
    <w:name w:val="TFAbbrevs+18"/>
    <w:basedOn w:val="Normal"/>
    <w:next w:val="Normal"/>
    <w:qFormat/>
    <w:rsid w:val="00E50B3F"/>
    <w:pPr>
      <w:keepNext/>
      <w:keepLines/>
      <w:spacing w:after="360"/>
    </w:pPr>
    <w:rPr>
      <w:rFonts w:ascii="Arial Narrow" w:hAnsi="Arial Narrow"/>
      <w:color w:val="000000"/>
      <w:sz w:val="18"/>
      <w:szCs w:val="18"/>
    </w:rPr>
  </w:style>
  <w:style w:type="paragraph" w:customStyle="1" w:styleId="Tablenotes">
    <w:name w:val="Tablenotes"/>
    <w:basedOn w:val="Normal"/>
    <w:link w:val="TablenotesChar"/>
    <w:qFormat/>
    <w:rsid w:val="00F266D3"/>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F266D3"/>
    <w:rPr>
      <w:rFonts w:ascii="Arial Narrow" w:eastAsia="Times New Roman" w:hAnsi="Arial Narrow" w:cs="Arial"/>
      <w:snapToGrid w:val="0"/>
      <w:sz w:val="18"/>
      <w:szCs w:val="20"/>
      <w:lang w:eastAsia="en-US"/>
    </w:rPr>
  </w:style>
  <w:style w:type="paragraph" w:customStyle="1" w:styleId="Tablefootnote">
    <w:name w:val="Table footnote"/>
    <w:basedOn w:val="Normal"/>
    <w:link w:val="TablefootnoteChar"/>
    <w:qFormat/>
    <w:rsid w:val="00DE4C68"/>
    <w:pPr>
      <w:spacing w:before="80" w:after="80"/>
    </w:pPr>
    <w:rPr>
      <w:rFonts w:ascii="Arial Narrow" w:eastAsiaTheme="minorEastAsia" w:hAnsi="Arial Narrow" w:cs="Arial Narrow"/>
      <w:sz w:val="16"/>
      <w:szCs w:val="16"/>
      <w:lang w:val="en-GB"/>
    </w:rPr>
  </w:style>
  <w:style w:type="character" w:customStyle="1" w:styleId="TablefootnoteChar">
    <w:name w:val="Table footnote Char"/>
    <w:basedOn w:val="DefaultParagraphFont"/>
    <w:link w:val="Tablefootnote"/>
    <w:rsid w:val="00DE4C68"/>
    <w:rPr>
      <w:rFonts w:ascii="Arial Narrow" w:eastAsiaTheme="minorEastAsia" w:hAnsi="Arial Narrow" w:cs="Arial Narrow"/>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431DFA"/>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FA"/>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 text"/>
    <w:basedOn w:val="Normal"/>
    <w:link w:val="TabletextChar"/>
    <w:qFormat/>
    <w:rsid w:val="007A7EF1"/>
    <w:rPr>
      <w:rFonts w:ascii="Arial Narrow" w:hAnsi="Arial Narrow"/>
      <w:sz w:val="20"/>
      <w:szCs w:val="24"/>
      <w:lang w:eastAsia="en-US"/>
    </w:rPr>
  </w:style>
  <w:style w:type="character" w:customStyle="1" w:styleId="TabletextChar">
    <w:name w:val="Table text Char"/>
    <w:basedOn w:val="DefaultParagraphFont"/>
    <w:link w:val="Tabletext"/>
    <w:rsid w:val="007A7EF1"/>
    <w:rPr>
      <w:rFonts w:ascii="Arial Narrow" w:eastAsia="Times New Roman" w:hAnsi="Arial Narrow"/>
      <w:sz w:val="20"/>
      <w:szCs w:val="24"/>
      <w:lang w:eastAsia="en-US"/>
    </w:rPr>
  </w:style>
  <w:style w:type="paragraph" w:styleId="Caption">
    <w:name w:val="caption"/>
    <w:aliases w:val="Bayer Caption,IB Caption,Medical Caption,CSR Caption,Table and Figure Name,Caption1,Caption2,Caption3,Caption4,Caption5,Caption Char2 Char,Caption Char Char Char2,Caption Char1 Char Char Char1,Caption Char2 Char Char Char1 Char1,Bayer"/>
    <w:basedOn w:val="Normal"/>
    <w:next w:val="Normal"/>
    <w:link w:val="CaptionChar"/>
    <w:uiPriority w:val="35"/>
    <w:unhideWhenUsed/>
    <w:qFormat/>
    <w:locked/>
    <w:rsid w:val="007A7EF1"/>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Caption1 Char,Caption2 Char,Caption3 Char,Caption4 Char,Caption5 Char,Caption Char2 Char Char,Caption Char Char Char2 Char,Bayer Char"/>
    <w:basedOn w:val="DefaultParagraphFont"/>
    <w:link w:val="Caption"/>
    <w:uiPriority w:val="35"/>
    <w:rsid w:val="007A7EF1"/>
    <w:rPr>
      <w:rFonts w:ascii="Arial Narrow" w:eastAsia="Times New Roman" w:hAnsi="Arial Narrow" w:cs="Arial"/>
      <w:b/>
      <w:bCs/>
      <w:iCs/>
      <w:sz w:val="20"/>
      <w:szCs w:val="20"/>
      <w:lang w:eastAsia="en-US"/>
    </w:rPr>
  </w:style>
  <w:style w:type="character" w:customStyle="1" w:styleId="ListParagraphChar">
    <w:name w:val="List Paragraph Char"/>
    <w:basedOn w:val="DefaultParagraphFont"/>
    <w:link w:val="ListParagraph"/>
    <w:uiPriority w:val="34"/>
    <w:rsid w:val="007A7EF1"/>
    <w:rPr>
      <w:rFonts w:eastAsia="Times New Roman"/>
      <w:sz w:val="24"/>
      <w:szCs w:val="20"/>
    </w:rPr>
  </w:style>
  <w:style w:type="character" w:styleId="Emphasis">
    <w:name w:val="Emphasis"/>
    <w:uiPriority w:val="20"/>
    <w:qFormat/>
    <w:locked/>
    <w:rsid w:val="00E50B3F"/>
    <w:rPr>
      <w:rFonts w:ascii="Garamond" w:eastAsia="Times New Roman" w:hAnsi="Garamond" w:cs="Times New Roman"/>
      <w:i/>
      <w:sz w:val="24"/>
      <w:szCs w:val="24"/>
    </w:rPr>
  </w:style>
  <w:style w:type="paragraph" w:customStyle="1" w:styleId="TableHeading">
    <w:name w:val="TableHeading"/>
    <w:basedOn w:val="Normal"/>
    <w:link w:val="TableHeadingChar"/>
    <w:qFormat/>
    <w:rsid w:val="00E50B3F"/>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E50B3F"/>
    <w:rPr>
      <w:rFonts w:ascii="Arial Narrow" w:eastAsia="Times New Roman" w:hAnsi="Arial Narrow" w:cs="Tahoma"/>
      <w:b/>
      <w:noProof/>
      <w:sz w:val="20"/>
      <w:szCs w:val="20"/>
    </w:rPr>
  </w:style>
  <w:style w:type="paragraph" w:customStyle="1" w:styleId="TableText0">
    <w:name w:val="Table Text"/>
    <w:basedOn w:val="Normal"/>
    <w:link w:val="TableTextChar0"/>
    <w:rsid w:val="00E50B3F"/>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E50B3F"/>
    <w:rPr>
      <w:rFonts w:ascii="Arial Narrow" w:eastAsia="Times New Roman" w:hAnsi="Arial Narrow" w:cs="Tahoma"/>
      <w:sz w:val="20"/>
      <w:lang w:eastAsia="en-US"/>
    </w:rPr>
  </w:style>
  <w:style w:type="paragraph" w:customStyle="1" w:styleId="Tablecaption">
    <w:name w:val="Table caption"/>
    <w:basedOn w:val="Normal"/>
    <w:link w:val="TablecaptionChar"/>
    <w:qFormat/>
    <w:rsid w:val="00E50B3F"/>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E50B3F"/>
    <w:rPr>
      <w:rFonts w:ascii="Arial Narrow" w:eastAsia="Times New Roman" w:hAnsi="Arial Narrow" w:cs="Arial"/>
      <w:sz w:val="20"/>
      <w:szCs w:val="20"/>
      <w:lang w:eastAsia="en-US"/>
    </w:rPr>
  </w:style>
  <w:style w:type="paragraph" w:customStyle="1" w:styleId="Summaryboxheading">
    <w:name w:val="Summary box heading"/>
    <w:basedOn w:val="Normal"/>
    <w:rsid w:val="00E50B3F"/>
    <w:pPr>
      <w:spacing w:before="120" w:after="100" w:afterAutospacing="1" w:line="312" w:lineRule="auto"/>
    </w:pPr>
    <w:rPr>
      <w:rFonts w:ascii="Arial Narrow" w:hAnsi="Arial Narrow" w:cs="Tahoma"/>
      <w:b/>
      <w:sz w:val="22"/>
      <w:szCs w:val="22"/>
    </w:rPr>
  </w:style>
  <w:style w:type="paragraph" w:customStyle="1" w:styleId="TFAbbrevs18">
    <w:name w:val="TFAbbrevs+18"/>
    <w:basedOn w:val="Normal"/>
    <w:next w:val="Normal"/>
    <w:qFormat/>
    <w:rsid w:val="00E50B3F"/>
    <w:pPr>
      <w:keepNext/>
      <w:keepLines/>
      <w:spacing w:after="360"/>
    </w:pPr>
    <w:rPr>
      <w:rFonts w:ascii="Arial Narrow" w:hAnsi="Arial Narrow"/>
      <w:color w:val="000000"/>
      <w:sz w:val="18"/>
      <w:szCs w:val="18"/>
    </w:rPr>
  </w:style>
  <w:style w:type="paragraph" w:customStyle="1" w:styleId="Tablenotes">
    <w:name w:val="Tablenotes"/>
    <w:basedOn w:val="Normal"/>
    <w:link w:val="TablenotesChar"/>
    <w:qFormat/>
    <w:rsid w:val="00F266D3"/>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F266D3"/>
    <w:rPr>
      <w:rFonts w:ascii="Arial Narrow" w:eastAsia="Times New Roman" w:hAnsi="Arial Narrow" w:cs="Arial"/>
      <w:snapToGrid w:val="0"/>
      <w:sz w:val="18"/>
      <w:szCs w:val="20"/>
      <w:lang w:eastAsia="en-US"/>
    </w:rPr>
  </w:style>
  <w:style w:type="paragraph" w:customStyle="1" w:styleId="Tablefootnote">
    <w:name w:val="Table footnote"/>
    <w:basedOn w:val="Normal"/>
    <w:link w:val="TablefootnoteChar"/>
    <w:qFormat/>
    <w:rsid w:val="00DE4C68"/>
    <w:pPr>
      <w:spacing w:before="80" w:after="80"/>
    </w:pPr>
    <w:rPr>
      <w:rFonts w:ascii="Arial Narrow" w:eastAsiaTheme="minorEastAsia" w:hAnsi="Arial Narrow" w:cs="Arial Narrow"/>
      <w:sz w:val="16"/>
      <w:szCs w:val="16"/>
      <w:lang w:val="en-GB"/>
    </w:rPr>
  </w:style>
  <w:style w:type="character" w:customStyle="1" w:styleId="TablefootnoteChar">
    <w:name w:val="Table footnote Char"/>
    <w:basedOn w:val="DefaultParagraphFont"/>
    <w:link w:val="Tablefootnote"/>
    <w:rsid w:val="00DE4C68"/>
    <w:rPr>
      <w:rFonts w:ascii="Arial Narrow" w:eastAsiaTheme="minorEastAsia" w:hAnsi="Arial Narrow" w:cs="Arial Narrow"/>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535003889">
      <w:bodyDiv w:val="1"/>
      <w:marLeft w:val="0"/>
      <w:marRight w:val="0"/>
      <w:marTop w:val="0"/>
      <w:marBottom w:val="0"/>
      <w:divBdr>
        <w:top w:val="none" w:sz="0" w:space="0" w:color="auto"/>
        <w:left w:val="none" w:sz="0" w:space="0" w:color="auto"/>
        <w:bottom w:val="none" w:sz="0" w:space="0" w:color="auto"/>
        <w:right w:val="none" w:sz="0" w:space="0" w:color="auto"/>
      </w:divBdr>
    </w:div>
    <w:div w:id="1687559384">
      <w:bodyDiv w:val="1"/>
      <w:marLeft w:val="0"/>
      <w:marRight w:val="0"/>
      <w:marTop w:val="0"/>
      <w:marBottom w:val="0"/>
      <w:divBdr>
        <w:top w:val="none" w:sz="0" w:space="0" w:color="auto"/>
        <w:left w:val="none" w:sz="0" w:space="0" w:color="auto"/>
        <w:bottom w:val="none" w:sz="0" w:space="0" w:color="auto"/>
        <w:right w:val="none" w:sz="0" w:space="0" w:color="auto"/>
      </w:divBdr>
    </w:div>
    <w:div w:id="18631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rmme.org.au/Guidelines/2017-Draft-Guidelin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amanetwork.com/journals/jama/fullarticle/25561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a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rmme.org.au/Guidelines/2017-Draft-Guidelines/"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ac.gov.au/internet/msac/publishing.nsf/Content/DD8E7B7D8210F8B6CA25801000123C1A/$File/FINAL-PSD_1361.2_TAVI.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journals.sagepub.com/doi/full/10.1177/1747493015609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95636-7C19-40AA-816C-0382F11D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4567</Words>
  <Characters>25721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1428 - Public Summary Document</dc:title>
  <dc:creator/>
  <cp:lastModifiedBy/>
  <cp:revision>1</cp:revision>
  <dcterms:created xsi:type="dcterms:W3CDTF">2017-03-06T02:15:00Z</dcterms:created>
  <dcterms:modified xsi:type="dcterms:W3CDTF">2017-03-06T02:15:00Z</dcterms:modified>
</cp:coreProperties>
</file>