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CF550" w14:textId="77777777" w:rsidR="00BA3279" w:rsidRPr="00707064" w:rsidRDefault="00BA3279" w:rsidP="00BA3279">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3C6D1FF5" wp14:editId="416FC4DC">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12ABC8EB" w14:textId="77777777" w:rsidR="00BA3279" w:rsidRPr="00F715D1" w:rsidRDefault="00BA3279" w:rsidP="00BA3279">
      <w:pPr>
        <w:pStyle w:val="Title"/>
        <w:tabs>
          <w:tab w:val="left" w:pos="1926"/>
          <w:tab w:val="center" w:pos="4513"/>
        </w:tabs>
        <w:jc w:val="left"/>
      </w:pPr>
      <w:r>
        <w:tab/>
      </w:r>
      <w:r>
        <w:tab/>
      </w:r>
      <w:r w:rsidRPr="00F715D1">
        <w:t>Public Summary Document</w:t>
      </w:r>
    </w:p>
    <w:p w14:paraId="6347A474" w14:textId="499F4C38" w:rsidR="00BA3279" w:rsidRPr="00F715D1" w:rsidRDefault="00BA3279" w:rsidP="00BA3279">
      <w:pPr>
        <w:pStyle w:val="Subtitle"/>
      </w:pPr>
      <w:r w:rsidRPr="00F715D1">
        <w:t xml:space="preserve">Application No. </w:t>
      </w:r>
      <w:r>
        <w:t>1429</w:t>
      </w:r>
      <w:r w:rsidR="00F02FC8">
        <w:t>.1</w:t>
      </w:r>
      <w:r w:rsidRPr="00F715D1">
        <w:t xml:space="preserve"> – </w:t>
      </w:r>
      <w:r w:rsidR="008B5D22">
        <w:t xml:space="preserve">Targeted </w:t>
      </w:r>
      <w:r>
        <w:rPr>
          <w:rFonts w:cs="Helvetica"/>
        </w:rPr>
        <w:t>Intraoperative Radiotherapy for Early Stage Breast Cancer</w:t>
      </w:r>
    </w:p>
    <w:p w14:paraId="4E7CE21D" w14:textId="77777777" w:rsidR="00BA3279" w:rsidRPr="00F715D1" w:rsidRDefault="00BA3279" w:rsidP="00BA3279">
      <w:pPr>
        <w:tabs>
          <w:tab w:val="left" w:pos="3686"/>
        </w:tabs>
        <w:spacing w:after="240"/>
        <w:rPr>
          <w:rFonts w:ascii="Arial" w:hAnsi="Arial" w:cs="Arial"/>
          <w:b/>
          <w:szCs w:val="24"/>
        </w:rPr>
      </w:pPr>
      <w:r w:rsidRPr="00F715D1">
        <w:rPr>
          <w:rFonts w:ascii="Arial" w:hAnsi="Arial" w:cs="Arial"/>
          <w:b/>
          <w:szCs w:val="24"/>
        </w:rPr>
        <w:t>Applicant</w:t>
      </w:r>
      <w:r>
        <w:rPr>
          <w:rFonts w:ascii="Arial" w:hAnsi="Arial" w:cs="Arial"/>
          <w:b/>
          <w:szCs w:val="24"/>
        </w:rPr>
        <w:t>:</w:t>
      </w:r>
      <w:r>
        <w:rPr>
          <w:rFonts w:ascii="Arial" w:hAnsi="Arial" w:cs="Arial"/>
          <w:b/>
          <w:szCs w:val="24"/>
        </w:rPr>
        <w:tab/>
        <w:t>Regional Health Care Group Pty Limited</w:t>
      </w:r>
    </w:p>
    <w:p w14:paraId="27FB428F" w14:textId="7E4209BC" w:rsidR="00BA3279" w:rsidRPr="00F715D1" w:rsidRDefault="00BA3279" w:rsidP="00BA3279">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t xml:space="preserve">MSAC </w:t>
      </w:r>
      <w:r>
        <w:rPr>
          <w:rFonts w:ascii="Arial" w:hAnsi="Arial" w:cs="Arial"/>
          <w:b/>
          <w:szCs w:val="24"/>
        </w:rPr>
        <w:t>78</w:t>
      </w:r>
      <w:r w:rsidRPr="00F715D1">
        <w:rPr>
          <w:rFonts w:ascii="Arial" w:hAnsi="Arial" w:cs="Arial"/>
          <w:b/>
          <w:szCs w:val="24"/>
          <w:vertAlign w:val="superscript"/>
        </w:rPr>
        <w:t>th</w:t>
      </w:r>
      <w:r w:rsidRPr="00F715D1">
        <w:rPr>
          <w:rFonts w:ascii="Arial" w:hAnsi="Arial" w:cs="Arial"/>
          <w:b/>
          <w:szCs w:val="24"/>
        </w:rPr>
        <w:t xml:space="preserve"> Meeting, </w:t>
      </w:r>
      <w:r>
        <w:rPr>
          <w:rFonts w:ascii="Arial" w:hAnsi="Arial" w:cs="Arial"/>
          <w:b/>
          <w:szCs w:val="24"/>
        </w:rPr>
        <w:t>3 April 2020</w:t>
      </w:r>
    </w:p>
    <w:p w14:paraId="6D35417C" w14:textId="77777777" w:rsidR="00BA3279" w:rsidRPr="00B03EAB" w:rsidRDefault="00BA3279" w:rsidP="00BA3279">
      <w:pPr>
        <w:spacing w:after="36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8" w:tooltip="Link to Medical Services Advisory Committee website" w:history="1">
        <w:r w:rsidRPr="00F715D1">
          <w:rPr>
            <w:rStyle w:val="Hyperlink"/>
            <w:szCs w:val="24"/>
          </w:rPr>
          <w:t>visit the MSAC website</w:t>
        </w:r>
      </w:hyperlink>
    </w:p>
    <w:p w14:paraId="2F1E3493" w14:textId="77777777" w:rsidR="00BA3279" w:rsidRPr="00F715D1" w:rsidRDefault="00BA3279" w:rsidP="00BA3279">
      <w:pPr>
        <w:pStyle w:val="Heading1"/>
      </w:pPr>
      <w:r w:rsidRPr="00F715D1">
        <w:t xml:space="preserve">Purpose of application </w:t>
      </w:r>
    </w:p>
    <w:p w14:paraId="34D3AF10" w14:textId="3BF35704" w:rsidR="00F02FC8" w:rsidRPr="001160BC" w:rsidRDefault="00E9302D" w:rsidP="00F02FC8">
      <w:pPr>
        <w:rPr>
          <w:szCs w:val="24"/>
        </w:rPr>
      </w:pPr>
      <w:r>
        <w:t>A</w:t>
      </w:r>
      <w:r w:rsidR="00F02FC8">
        <w:t xml:space="preserve"> resubmission requesting Medicare </w:t>
      </w:r>
      <w:r w:rsidR="009F2563">
        <w:t>B</w:t>
      </w:r>
      <w:r w:rsidR="00F02FC8">
        <w:t xml:space="preserve">enefits Schedule (MBS) listing </w:t>
      </w:r>
      <w:r w:rsidR="00F02FC8" w:rsidRPr="001160BC">
        <w:rPr>
          <w:szCs w:val="24"/>
        </w:rPr>
        <w:t xml:space="preserve">for </w:t>
      </w:r>
      <w:r w:rsidR="009F2563">
        <w:rPr>
          <w:szCs w:val="24"/>
        </w:rPr>
        <w:t xml:space="preserve">targeted </w:t>
      </w:r>
      <w:r w:rsidR="00F02FC8" w:rsidRPr="001160BC">
        <w:rPr>
          <w:szCs w:val="24"/>
        </w:rPr>
        <w:t xml:space="preserve">Intraoperative Radiotherapy (IORT) for </w:t>
      </w:r>
      <w:r w:rsidR="008C6552">
        <w:rPr>
          <w:szCs w:val="24"/>
        </w:rPr>
        <w:t>early stage</w:t>
      </w:r>
      <w:r w:rsidR="00F02FC8" w:rsidRPr="001160BC">
        <w:rPr>
          <w:szCs w:val="24"/>
        </w:rPr>
        <w:t xml:space="preserve"> breast cancer to include services delivered using the Xoft</w:t>
      </w:r>
      <w:r w:rsidR="00F02FC8" w:rsidRPr="002160A5">
        <w:rPr>
          <w:szCs w:val="24"/>
          <w:vertAlign w:val="superscript"/>
        </w:rPr>
        <w:t>®</w:t>
      </w:r>
      <w:r w:rsidR="00F02FC8" w:rsidRPr="001160BC">
        <w:rPr>
          <w:szCs w:val="24"/>
        </w:rPr>
        <w:t xml:space="preserve"> Axxent</w:t>
      </w:r>
      <w:r w:rsidR="00F02FC8" w:rsidRPr="002160A5">
        <w:rPr>
          <w:szCs w:val="24"/>
          <w:vertAlign w:val="superscript"/>
        </w:rPr>
        <w:t>®</w:t>
      </w:r>
      <w:r w:rsidR="00F02FC8" w:rsidRPr="001160BC">
        <w:rPr>
          <w:szCs w:val="24"/>
        </w:rPr>
        <w:t xml:space="preserve"> (California, USA) device</w:t>
      </w:r>
      <w:r w:rsidR="00F02FC8">
        <w:rPr>
          <w:szCs w:val="24"/>
        </w:rPr>
        <w:t xml:space="preserve"> was received</w:t>
      </w:r>
      <w:r w:rsidR="00F02FC8" w:rsidRPr="00FB7DB3">
        <w:rPr>
          <w:szCs w:val="24"/>
        </w:rPr>
        <w:t xml:space="preserve"> </w:t>
      </w:r>
      <w:r w:rsidR="00F02FC8">
        <w:rPr>
          <w:szCs w:val="24"/>
        </w:rPr>
        <w:t xml:space="preserve">from the </w:t>
      </w:r>
      <w:r w:rsidR="00F02FC8" w:rsidRPr="001160BC">
        <w:rPr>
          <w:szCs w:val="24"/>
        </w:rPr>
        <w:t>Re</w:t>
      </w:r>
      <w:r w:rsidR="00F02FC8">
        <w:rPr>
          <w:szCs w:val="24"/>
        </w:rPr>
        <w:t>gional Health Care Group by the Department of Health.</w:t>
      </w:r>
    </w:p>
    <w:p w14:paraId="37EFD37A" w14:textId="77777777" w:rsidR="00BA3279" w:rsidRPr="00F715D1" w:rsidRDefault="00BA3279" w:rsidP="00BA3279">
      <w:pPr>
        <w:pStyle w:val="Heading1"/>
      </w:pPr>
      <w:r w:rsidRPr="00F715D1">
        <w:t>MSAC’s advice to the Minister</w:t>
      </w:r>
    </w:p>
    <w:p w14:paraId="7D045A73" w14:textId="69E904BB" w:rsidR="00E9302D" w:rsidRPr="00E9302D" w:rsidRDefault="00E9302D" w:rsidP="007E2988">
      <w:pPr>
        <w:rPr>
          <w:b/>
          <w:bCs/>
          <w:iCs/>
        </w:rPr>
      </w:pPr>
      <w:r w:rsidRPr="00E9302D">
        <w:t>After considering the strength of the available evidence in relation to comparative safety, clinical effectiveness and cost-effectiveness, MSAC supported public funding f</w:t>
      </w:r>
      <w:r>
        <w:t xml:space="preserve">or </w:t>
      </w:r>
      <w:r w:rsidRPr="00E9302D">
        <w:t>IORT services delivered using the Xoft</w:t>
      </w:r>
      <w:r w:rsidRPr="007E2988">
        <w:rPr>
          <w:vertAlign w:val="superscript"/>
        </w:rPr>
        <w:t>®</w:t>
      </w:r>
      <w:r w:rsidRPr="00E9302D">
        <w:t xml:space="preserve"> Axxent</w:t>
      </w:r>
      <w:r w:rsidRPr="007E2988">
        <w:rPr>
          <w:vertAlign w:val="superscript"/>
        </w:rPr>
        <w:t>®</w:t>
      </w:r>
      <w:r w:rsidRPr="00E9302D">
        <w:t xml:space="preserve"> device for </w:t>
      </w:r>
      <w:r w:rsidR="008C6552">
        <w:t>early stage</w:t>
      </w:r>
      <w:r w:rsidRPr="00E9302D">
        <w:t xml:space="preserve"> breast cancer. MSAC accepted the evidence of clinical equivalence for Axxent</w:t>
      </w:r>
      <w:r w:rsidRPr="007E2988">
        <w:rPr>
          <w:vertAlign w:val="superscript"/>
        </w:rPr>
        <w:t>®</w:t>
      </w:r>
      <w:r w:rsidRPr="00E9302D">
        <w:t xml:space="preserve"> and MBS-listed comparators (whole-breast external beam radiation therapy [WB-EBRT] and Intrabeam</w:t>
      </w:r>
      <w:r w:rsidRPr="007E2988">
        <w:rPr>
          <w:vertAlign w:val="superscript"/>
        </w:rPr>
        <w:t>®</w:t>
      </w:r>
      <w:r w:rsidRPr="00E9302D">
        <w:t>), but</w:t>
      </w:r>
      <w:r w:rsidR="007E6A64" w:rsidRPr="007E6A64">
        <w:rPr>
          <w:szCs w:val="24"/>
        </w:rPr>
        <w:t xml:space="preserve"> </w:t>
      </w:r>
      <w:r w:rsidR="007E6A64">
        <w:rPr>
          <w:szCs w:val="24"/>
        </w:rPr>
        <w:t>recommended that</w:t>
      </w:r>
      <w:r w:rsidR="00C703C0">
        <w:rPr>
          <w:szCs w:val="24"/>
        </w:rPr>
        <w:t xml:space="preserve"> </w:t>
      </w:r>
      <w:r w:rsidR="00163B09">
        <w:rPr>
          <w:szCs w:val="24"/>
        </w:rPr>
        <w:t xml:space="preserve">the </w:t>
      </w:r>
      <w:r w:rsidR="00C703C0">
        <w:rPr>
          <w:szCs w:val="24"/>
        </w:rPr>
        <w:t>services for</w:t>
      </w:r>
      <w:r w:rsidR="007E6A64">
        <w:rPr>
          <w:szCs w:val="24"/>
        </w:rPr>
        <w:t xml:space="preserve"> </w:t>
      </w:r>
      <w:r w:rsidR="007E6A64" w:rsidRPr="00E9302D">
        <w:rPr>
          <w:szCs w:val="24"/>
        </w:rPr>
        <w:t>Intrabeam</w:t>
      </w:r>
      <w:r w:rsidR="007E6A64" w:rsidRPr="007E2988">
        <w:rPr>
          <w:szCs w:val="24"/>
          <w:vertAlign w:val="superscript"/>
        </w:rPr>
        <w:t>®</w:t>
      </w:r>
      <w:r w:rsidR="007E6A64" w:rsidRPr="00E9302D">
        <w:rPr>
          <w:szCs w:val="24"/>
        </w:rPr>
        <w:t xml:space="preserve"> and Axxent</w:t>
      </w:r>
      <w:r w:rsidR="007E6A64" w:rsidRPr="007E2988">
        <w:rPr>
          <w:szCs w:val="24"/>
          <w:vertAlign w:val="superscript"/>
        </w:rPr>
        <w:t>®</w:t>
      </w:r>
      <w:r w:rsidR="007E6A64" w:rsidRPr="00E9302D">
        <w:rPr>
          <w:szCs w:val="24"/>
        </w:rPr>
        <w:t xml:space="preserve"> b</w:t>
      </w:r>
      <w:r w:rsidR="007E6A64">
        <w:rPr>
          <w:szCs w:val="24"/>
        </w:rPr>
        <w:t>e rigorously reviewed when the</w:t>
      </w:r>
      <w:r w:rsidR="007E6A64" w:rsidRPr="00E9302D">
        <w:rPr>
          <w:szCs w:val="24"/>
        </w:rPr>
        <w:t xml:space="preserve"> </w:t>
      </w:r>
      <w:r w:rsidR="002871B0">
        <w:rPr>
          <w:szCs w:val="24"/>
        </w:rPr>
        <w:t>follow-up</w:t>
      </w:r>
      <w:r w:rsidR="0093280A">
        <w:rPr>
          <w:szCs w:val="24"/>
        </w:rPr>
        <w:t xml:space="preserve"> </w:t>
      </w:r>
      <w:r w:rsidR="007E6A64" w:rsidRPr="00E9302D">
        <w:rPr>
          <w:szCs w:val="24"/>
        </w:rPr>
        <w:t>data</w:t>
      </w:r>
      <w:r w:rsidR="007E6A64">
        <w:rPr>
          <w:szCs w:val="24"/>
        </w:rPr>
        <w:t xml:space="preserve"> from the upcoming </w:t>
      </w:r>
      <w:r w:rsidR="00C13A0B">
        <w:rPr>
          <w:szCs w:val="24"/>
        </w:rPr>
        <w:t>clinical</w:t>
      </w:r>
      <w:r w:rsidR="008235C9">
        <w:rPr>
          <w:szCs w:val="24"/>
        </w:rPr>
        <w:t xml:space="preserve"> trial</w:t>
      </w:r>
      <w:r w:rsidR="00C13A0B">
        <w:rPr>
          <w:szCs w:val="24"/>
        </w:rPr>
        <w:t>s</w:t>
      </w:r>
      <w:r w:rsidR="008235C9">
        <w:rPr>
          <w:szCs w:val="24"/>
        </w:rPr>
        <w:t xml:space="preserve"> </w:t>
      </w:r>
      <w:r w:rsidR="007E6A64" w:rsidRPr="00E9302D">
        <w:rPr>
          <w:szCs w:val="24"/>
        </w:rPr>
        <w:t>are available, to determine the</w:t>
      </w:r>
      <w:r w:rsidR="00686485">
        <w:rPr>
          <w:szCs w:val="24"/>
        </w:rPr>
        <w:t xml:space="preserve"> </w:t>
      </w:r>
      <w:r w:rsidR="007E6A64" w:rsidRPr="00E9302D">
        <w:rPr>
          <w:szCs w:val="24"/>
        </w:rPr>
        <w:t xml:space="preserve">place </w:t>
      </w:r>
      <w:r w:rsidR="00686485">
        <w:rPr>
          <w:szCs w:val="24"/>
        </w:rPr>
        <w:t xml:space="preserve">of IORT </w:t>
      </w:r>
      <w:r w:rsidR="007E6A64" w:rsidRPr="00E9302D">
        <w:rPr>
          <w:szCs w:val="24"/>
        </w:rPr>
        <w:t>on the MBS</w:t>
      </w:r>
      <w:r w:rsidR="00686485">
        <w:rPr>
          <w:szCs w:val="24"/>
        </w:rPr>
        <w:t xml:space="preserve">. </w:t>
      </w:r>
    </w:p>
    <w:p w14:paraId="75FE5D73" w14:textId="71A1B59A" w:rsidR="00BA3279" w:rsidRDefault="00E9302D" w:rsidP="00E9302D">
      <w:pPr>
        <w:pStyle w:val="Default"/>
        <w:spacing w:before="240" w:after="240"/>
      </w:pPr>
      <w:r>
        <w:t>MSAC considered that it was important to have IORT as a treatment option for rural and regional women, who may not</w:t>
      </w:r>
      <w:r w:rsidR="00C703C0">
        <w:t xml:space="preserve"> be able to</w:t>
      </w:r>
      <w:r>
        <w:t xml:space="preserve"> access</w:t>
      </w:r>
      <w:r w:rsidR="00686485">
        <w:t xml:space="preserve"> </w:t>
      </w:r>
      <w:r w:rsidR="009F2563">
        <w:t>three</w:t>
      </w:r>
      <w:r>
        <w:t xml:space="preserve"> weeks of </w:t>
      </w:r>
      <w:r w:rsidR="009F2563">
        <w:t xml:space="preserve">hypofractionated </w:t>
      </w:r>
      <w:r>
        <w:t>WB-EBRT.</w:t>
      </w:r>
    </w:p>
    <w:p w14:paraId="6004F485" w14:textId="4EC662C7" w:rsidR="00E2464C" w:rsidRPr="009F2563" w:rsidRDefault="009F2563" w:rsidP="00F67851">
      <w:pPr>
        <w:pStyle w:val="Default"/>
        <w:rPr>
          <w:color w:val="auto"/>
        </w:rPr>
      </w:pPr>
      <w:r w:rsidRPr="009F2563">
        <w:rPr>
          <w:color w:val="auto"/>
        </w:rPr>
        <w:t>The MSAC supported item descriptor</w:t>
      </w:r>
      <w:r w:rsidR="00044122">
        <w:rPr>
          <w:color w:val="auto"/>
        </w:rPr>
        <w:t>s are</w:t>
      </w:r>
      <w:r w:rsidRPr="009F2563">
        <w:rPr>
          <w:color w:val="auto"/>
        </w:rPr>
        <w:t>:</w:t>
      </w:r>
    </w:p>
    <w:tbl>
      <w:tblPr>
        <w:tblStyle w:val="TableGrid"/>
        <w:tblW w:w="0" w:type="auto"/>
        <w:tblLook w:val="04A0" w:firstRow="1" w:lastRow="0" w:firstColumn="1" w:lastColumn="0" w:noHBand="0" w:noVBand="1"/>
        <w:tblDescription w:val="MSAC supported MBS descriptors"/>
      </w:tblPr>
      <w:tblGrid>
        <w:gridCol w:w="1413"/>
        <w:gridCol w:w="7603"/>
      </w:tblGrid>
      <w:tr w:rsidR="00181049" w:rsidRPr="00ED7C46" w14:paraId="22EC81B3" w14:textId="77777777" w:rsidTr="00181049">
        <w:trPr>
          <w:tblHeader/>
        </w:trPr>
        <w:tc>
          <w:tcPr>
            <w:tcW w:w="1413" w:type="dxa"/>
          </w:tcPr>
          <w:p w14:paraId="41C959CC" w14:textId="28FEFF16" w:rsidR="00181049" w:rsidRPr="00ED7C46" w:rsidRDefault="00181049" w:rsidP="008B5D22">
            <w:pPr>
              <w:pStyle w:val="Default"/>
              <w:rPr>
                <w:rFonts w:ascii="Arial Narrow" w:hAnsi="Arial Narrow"/>
                <w:sz w:val="19"/>
                <w:szCs w:val="19"/>
              </w:rPr>
            </w:pPr>
            <w:r w:rsidRPr="00ED7C46">
              <w:rPr>
                <w:rFonts w:ascii="Arial Narrow" w:hAnsi="Arial Narrow"/>
                <w:sz w:val="19"/>
                <w:szCs w:val="19"/>
              </w:rPr>
              <w:t>MBS Item</w:t>
            </w:r>
          </w:p>
        </w:tc>
        <w:tc>
          <w:tcPr>
            <w:tcW w:w="7603" w:type="dxa"/>
          </w:tcPr>
          <w:p w14:paraId="6486D028" w14:textId="5488253E" w:rsidR="00181049" w:rsidRPr="00ED7C46" w:rsidRDefault="00181049" w:rsidP="008B5D22">
            <w:pPr>
              <w:pStyle w:val="Default"/>
              <w:rPr>
                <w:rFonts w:ascii="Arial Narrow" w:hAnsi="Arial Narrow"/>
                <w:sz w:val="19"/>
                <w:szCs w:val="19"/>
              </w:rPr>
            </w:pPr>
            <w:r w:rsidRPr="00ED7C46">
              <w:rPr>
                <w:rFonts w:ascii="Arial Narrow" w:hAnsi="Arial Narrow"/>
                <w:sz w:val="19"/>
                <w:szCs w:val="19"/>
              </w:rPr>
              <w:t>Descriptor</w:t>
            </w:r>
          </w:p>
        </w:tc>
      </w:tr>
      <w:tr w:rsidR="008B5D22" w:rsidRPr="00ED7C46" w14:paraId="4F872791" w14:textId="77777777" w:rsidTr="008B5D22">
        <w:tc>
          <w:tcPr>
            <w:tcW w:w="1413" w:type="dxa"/>
          </w:tcPr>
          <w:p w14:paraId="3B2FE28A" w14:textId="77777777" w:rsidR="008B5D22" w:rsidRPr="00ED7C46" w:rsidRDefault="008B5D22" w:rsidP="008B5D22">
            <w:pPr>
              <w:pStyle w:val="Default"/>
              <w:rPr>
                <w:rFonts w:ascii="Arial Narrow" w:hAnsi="Arial Narrow"/>
                <w:sz w:val="19"/>
                <w:szCs w:val="19"/>
              </w:rPr>
            </w:pPr>
            <w:r w:rsidRPr="00ED7C46">
              <w:rPr>
                <w:rFonts w:ascii="Arial Narrow" w:hAnsi="Arial Narrow"/>
                <w:sz w:val="19"/>
                <w:szCs w:val="19"/>
              </w:rPr>
              <w:t xml:space="preserve">15900 </w:t>
            </w:r>
          </w:p>
          <w:p w14:paraId="3712A951" w14:textId="77777777" w:rsidR="008B5D22" w:rsidRPr="00ED7C46" w:rsidRDefault="008B5D22" w:rsidP="008B5D22">
            <w:pPr>
              <w:rPr>
                <w:rFonts w:ascii="Arial Narrow" w:hAnsi="Arial Narrow"/>
                <w:color w:val="A6A6A6" w:themeColor="background1" w:themeShade="A6"/>
                <w:sz w:val="19"/>
                <w:szCs w:val="19"/>
              </w:rPr>
            </w:pPr>
          </w:p>
        </w:tc>
        <w:tc>
          <w:tcPr>
            <w:tcW w:w="7603" w:type="dxa"/>
          </w:tcPr>
          <w:p w14:paraId="61F65274" w14:textId="77777777" w:rsidR="008B5D22" w:rsidRPr="00ED7C46" w:rsidRDefault="008B5D22" w:rsidP="008B5D22">
            <w:pPr>
              <w:pStyle w:val="Default"/>
              <w:rPr>
                <w:rFonts w:ascii="Arial Narrow" w:hAnsi="Arial Narrow"/>
                <w:sz w:val="19"/>
                <w:szCs w:val="19"/>
              </w:rPr>
            </w:pPr>
            <w:r w:rsidRPr="00ED7C46">
              <w:rPr>
                <w:rFonts w:ascii="Arial Narrow" w:hAnsi="Arial Narrow"/>
                <w:sz w:val="19"/>
                <w:szCs w:val="19"/>
              </w:rPr>
              <w:t xml:space="preserve">BREAST, MALIGNANT TUMOUR, targeted intraoperative radiotherapy, using an Intrabeam® or Xoft®Axxent® device, delivered at the time of breast-conserving surgery (partial mastectomy or lumpectomy) for a patient who: </w:t>
            </w:r>
          </w:p>
          <w:p w14:paraId="41C617AA" w14:textId="77777777" w:rsidR="008B5D22" w:rsidRPr="00ED7C46" w:rsidRDefault="008B5D22" w:rsidP="008B5D22">
            <w:pPr>
              <w:pStyle w:val="Default"/>
              <w:rPr>
                <w:rFonts w:ascii="Arial Narrow" w:hAnsi="Arial Narrow"/>
                <w:sz w:val="19"/>
                <w:szCs w:val="19"/>
              </w:rPr>
            </w:pPr>
            <w:r w:rsidRPr="00ED7C46">
              <w:rPr>
                <w:rFonts w:ascii="Arial Narrow" w:hAnsi="Arial Narrow"/>
                <w:sz w:val="19"/>
                <w:szCs w:val="19"/>
              </w:rPr>
              <w:t xml:space="preserve">a) is 45 years of age or more; and </w:t>
            </w:r>
          </w:p>
          <w:p w14:paraId="6786A155" w14:textId="77777777" w:rsidR="008B5D22" w:rsidRPr="00ED7C46" w:rsidRDefault="008B5D22" w:rsidP="008B5D22">
            <w:pPr>
              <w:pStyle w:val="Default"/>
              <w:rPr>
                <w:rFonts w:ascii="Arial Narrow" w:hAnsi="Arial Narrow"/>
                <w:sz w:val="19"/>
                <w:szCs w:val="19"/>
              </w:rPr>
            </w:pPr>
            <w:r w:rsidRPr="00ED7C46">
              <w:rPr>
                <w:rFonts w:ascii="Arial Narrow" w:hAnsi="Arial Narrow"/>
                <w:sz w:val="19"/>
                <w:szCs w:val="19"/>
              </w:rPr>
              <w:t xml:space="preserve">b) has a T1 or small T2 (less than or equal to 3cm in diameter) primary tumour; and </w:t>
            </w:r>
          </w:p>
          <w:p w14:paraId="32E82C25" w14:textId="77777777" w:rsidR="008B5D22" w:rsidRPr="00ED7C46" w:rsidRDefault="008B5D22" w:rsidP="008B5D22">
            <w:pPr>
              <w:pStyle w:val="Default"/>
              <w:rPr>
                <w:rFonts w:ascii="Arial Narrow" w:hAnsi="Arial Narrow"/>
                <w:sz w:val="19"/>
                <w:szCs w:val="19"/>
              </w:rPr>
            </w:pPr>
            <w:r w:rsidRPr="00ED7C46">
              <w:rPr>
                <w:rFonts w:ascii="Arial Narrow" w:hAnsi="Arial Narrow"/>
                <w:sz w:val="19"/>
                <w:szCs w:val="19"/>
              </w:rPr>
              <w:t xml:space="preserve">c) has an histologic Grade 1 or 2 tumour; and </w:t>
            </w:r>
          </w:p>
          <w:p w14:paraId="0FF2615C" w14:textId="77777777" w:rsidR="008B5D22" w:rsidRPr="00ED7C46" w:rsidRDefault="008B5D22" w:rsidP="008B5D22">
            <w:pPr>
              <w:pStyle w:val="Default"/>
              <w:rPr>
                <w:rFonts w:ascii="Arial Narrow" w:hAnsi="Arial Narrow"/>
                <w:sz w:val="19"/>
                <w:szCs w:val="19"/>
              </w:rPr>
            </w:pPr>
            <w:r w:rsidRPr="00ED7C46">
              <w:rPr>
                <w:rFonts w:ascii="Arial Narrow" w:hAnsi="Arial Narrow"/>
                <w:sz w:val="19"/>
                <w:szCs w:val="19"/>
              </w:rPr>
              <w:t xml:space="preserve">d) has an oestrogen-receptor positive tumour; and </w:t>
            </w:r>
          </w:p>
          <w:p w14:paraId="608DB8B2" w14:textId="77777777" w:rsidR="008B5D22" w:rsidRPr="00ED7C46" w:rsidRDefault="008B5D22" w:rsidP="008B5D22">
            <w:pPr>
              <w:pStyle w:val="Default"/>
              <w:rPr>
                <w:rFonts w:ascii="Arial Narrow" w:hAnsi="Arial Narrow"/>
                <w:sz w:val="19"/>
                <w:szCs w:val="19"/>
              </w:rPr>
            </w:pPr>
            <w:r w:rsidRPr="00ED7C46">
              <w:rPr>
                <w:rFonts w:ascii="Arial Narrow" w:hAnsi="Arial Narrow"/>
                <w:sz w:val="19"/>
                <w:szCs w:val="19"/>
              </w:rPr>
              <w:t xml:space="preserve">e) has a node negative malignancy; and </w:t>
            </w:r>
          </w:p>
          <w:p w14:paraId="37F3804C" w14:textId="77777777" w:rsidR="008B5D22" w:rsidRPr="00ED7C46" w:rsidRDefault="008B5D22" w:rsidP="008B5D22">
            <w:pPr>
              <w:pStyle w:val="Default"/>
              <w:rPr>
                <w:rFonts w:ascii="Arial Narrow" w:hAnsi="Arial Narrow"/>
                <w:sz w:val="19"/>
                <w:szCs w:val="19"/>
              </w:rPr>
            </w:pPr>
            <w:r w:rsidRPr="00ED7C46">
              <w:rPr>
                <w:rFonts w:ascii="Arial Narrow" w:hAnsi="Arial Narrow"/>
                <w:sz w:val="19"/>
                <w:szCs w:val="19"/>
              </w:rPr>
              <w:t xml:space="preserve">f) is suitable for wide local excision of a primary invasive ductal carcinoma that was diagnosed as unifocal on conventional examination and imaging; and </w:t>
            </w:r>
          </w:p>
          <w:p w14:paraId="138DB236" w14:textId="77777777" w:rsidR="008B5D22" w:rsidRPr="00ED7C46" w:rsidRDefault="008B5D22" w:rsidP="008B5D22">
            <w:pPr>
              <w:pStyle w:val="Default"/>
              <w:rPr>
                <w:rFonts w:ascii="Arial Narrow" w:hAnsi="Arial Narrow"/>
                <w:sz w:val="19"/>
                <w:szCs w:val="19"/>
              </w:rPr>
            </w:pPr>
            <w:r w:rsidRPr="00ED7C46">
              <w:rPr>
                <w:rFonts w:ascii="Arial Narrow" w:hAnsi="Arial Narrow"/>
                <w:sz w:val="19"/>
                <w:szCs w:val="19"/>
              </w:rPr>
              <w:t xml:space="preserve">g) has no contra-indications to breast irradiation </w:t>
            </w:r>
          </w:p>
          <w:p w14:paraId="3DFA89D9" w14:textId="77777777" w:rsidR="008B5D22" w:rsidRPr="00ED7C46" w:rsidRDefault="008B5D22" w:rsidP="008B5D22">
            <w:pPr>
              <w:rPr>
                <w:rFonts w:ascii="Arial Narrow" w:hAnsi="Arial Narrow"/>
                <w:color w:val="A6A6A6" w:themeColor="background1" w:themeShade="A6"/>
                <w:sz w:val="19"/>
                <w:szCs w:val="19"/>
              </w:rPr>
            </w:pPr>
            <w:r w:rsidRPr="00ED7C46">
              <w:rPr>
                <w:rFonts w:ascii="Arial Narrow" w:hAnsi="Arial Narrow"/>
                <w:sz w:val="19"/>
                <w:szCs w:val="19"/>
              </w:rPr>
              <w:t xml:space="preserve">Fee: $250.00 Benefit: 75% = $187.50 </w:t>
            </w:r>
          </w:p>
        </w:tc>
      </w:tr>
      <w:tr w:rsidR="008B5D22" w:rsidRPr="00ED7C46" w14:paraId="5B57E25F" w14:textId="77777777" w:rsidTr="008B5D22">
        <w:tc>
          <w:tcPr>
            <w:tcW w:w="1413" w:type="dxa"/>
          </w:tcPr>
          <w:p w14:paraId="0F05C86F" w14:textId="77777777" w:rsidR="008B5D22" w:rsidRPr="00ED7C46" w:rsidRDefault="008B5D22" w:rsidP="008B5D22">
            <w:pPr>
              <w:pStyle w:val="Default"/>
              <w:rPr>
                <w:rFonts w:ascii="Arial Narrow" w:hAnsi="Arial Narrow"/>
                <w:sz w:val="19"/>
                <w:szCs w:val="19"/>
              </w:rPr>
            </w:pPr>
            <w:r w:rsidRPr="00ED7C46">
              <w:rPr>
                <w:rFonts w:ascii="Arial Narrow" w:hAnsi="Arial Narrow"/>
                <w:sz w:val="19"/>
                <w:szCs w:val="19"/>
              </w:rPr>
              <w:lastRenderedPageBreak/>
              <w:t xml:space="preserve">31516 </w:t>
            </w:r>
          </w:p>
          <w:p w14:paraId="6BE70D3C" w14:textId="77777777" w:rsidR="008B5D22" w:rsidRPr="00ED7C46" w:rsidRDefault="008B5D22" w:rsidP="008B5D22">
            <w:pPr>
              <w:rPr>
                <w:rFonts w:ascii="Arial Narrow" w:hAnsi="Arial Narrow"/>
                <w:color w:val="A6A6A6" w:themeColor="background1" w:themeShade="A6"/>
                <w:sz w:val="19"/>
                <w:szCs w:val="19"/>
              </w:rPr>
            </w:pPr>
          </w:p>
        </w:tc>
        <w:tc>
          <w:tcPr>
            <w:tcW w:w="7603" w:type="dxa"/>
          </w:tcPr>
          <w:p w14:paraId="19F39882" w14:textId="77777777" w:rsidR="008B5D22" w:rsidRPr="00ED7C46" w:rsidRDefault="008B5D22" w:rsidP="008B5D22">
            <w:pPr>
              <w:pStyle w:val="Default"/>
              <w:rPr>
                <w:rFonts w:ascii="Arial Narrow" w:hAnsi="Arial Narrow"/>
                <w:sz w:val="19"/>
                <w:szCs w:val="19"/>
              </w:rPr>
            </w:pPr>
            <w:r w:rsidRPr="00ED7C46">
              <w:rPr>
                <w:rFonts w:ascii="Arial Narrow" w:hAnsi="Arial Narrow"/>
                <w:sz w:val="19"/>
                <w:szCs w:val="19"/>
              </w:rPr>
              <w:t xml:space="preserve">BREAST, MALIGNANT TUMOUR, complete local excision of, with or without frozen section histology when targeted intraoperative radiotherapy (using an Intrabeam® or Xoft®Axxent® device) is performed concurrently, if the requirements of item 15900 are met for the patient (Anaes.) (Assist.) </w:t>
            </w:r>
          </w:p>
          <w:p w14:paraId="312E614F" w14:textId="77777777" w:rsidR="008B5D22" w:rsidRPr="00ED7C46" w:rsidRDefault="008B5D22" w:rsidP="008B5D22">
            <w:pPr>
              <w:rPr>
                <w:rFonts w:ascii="Arial Narrow" w:hAnsi="Arial Narrow"/>
                <w:color w:val="A6A6A6" w:themeColor="background1" w:themeShade="A6"/>
                <w:sz w:val="19"/>
                <w:szCs w:val="19"/>
              </w:rPr>
            </w:pPr>
            <w:r w:rsidRPr="00ED7C46">
              <w:rPr>
                <w:rFonts w:ascii="Arial Narrow" w:hAnsi="Arial Narrow"/>
                <w:sz w:val="19"/>
                <w:szCs w:val="19"/>
              </w:rPr>
              <w:t xml:space="preserve">Fee: $867.00 Benefit: 75% = $650.25 </w:t>
            </w:r>
          </w:p>
        </w:tc>
      </w:tr>
    </w:tbl>
    <w:p w14:paraId="5FF055BD" w14:textId="5AF6EB12" w:rsidR="008B5D22" w:rsidRDefault="008B5D22" w:rsidP="007E2988">
      <w:pPr>
        <w:pStyle w:val="Default"/>
        <w:spacing w:after="240"/>
        <w:rPr>
          <w:i/>
          <w:color w:val="auto"/>
        </w:rPr>
      </w:pPr>
    </w:p>
    <w:tbl>
      <w:tblPr>
        <w:tblStyle w:val="TableGrid"/>
        <w:tblW w:w="0" w:type="auto"/>
        <w:tblLook w:val="04A0" w:firstRow="1" w:lastRow="0" w:firstColumn="1" w:lastColumn="0" w:noHBand="0" w:noVBand="1"/>
        <w:tblCaption w:val="Consumer summary"/>
      </w:tblPr>
      <w:tblGrid>
        <w:gridCol w:w="9016"/>
      </w:tblGrid>
      <w:tr w:rsidR="00BA3279" w14:paraId="7D4BBE77" w14:textId="77777777" w:rsidTr="00181049">
        <w:trPr>
          <w:tblHeader/>
        </w:trPr>
        <w:tc>
          <w:tcPr>
            <w:tcW w:w="9242" w:type="dxa"/>
          </w:tcPr>
          <w:p w14:paraId="3A53F625" w14:textId="05000BA7" w:rsidR="00BA3279" w:rsidRDefault="00BA3279" w:rsidP="00E9302D">
            <w:pPr>
              <w:pStyle w:val="Default"/>
              <w:spacing w:before="120" w:after="120"/>
              <w:rPr>
                <w:b/>
                <w:color w:val="auto"/>
                <w:sz w:val="24"/>
                <w:szCs w:val="24"/>
              </w:rPr>
            </w:pPr>
            <w:r w:rsidRPr="00E9302D">
              <w:rPr>
                <w:b/>
                <w:color w:val="auto"/>
                <w:sz w:val="24"/>
                <w:szCs w:val="24"/>
              </w:rPr>
              <w:t>Consumer summary</w:t>
            </w:r>
          </w:p>
          <w:p w14:paraId="4FE9ABF2" w14:textId="04BDE7CC" w:rsidR="00E9302D" w:rsidRPr="00E9302D" w:rsidRDefault="00E9302D" w:rsidP="00E9302D">
            <w:pPr>
              <w:pStyle w:val="Default"/>
              <w:spacing w:after="240"/>
              <w:rPr>
                <w:color w:val="auto"/>
                <w:sz w:val="24"/>
                <w:szCs w:val="24"/>
              </w:rPr>
            </w:pPr>
            <w:r w:rsidRPr="00E9302D">
              <w:rPr>
                <w:color w:val="auto"/>
                <w:sz w:val="24"/>
                <w:szCs w:val="24"/>
              </w:rPr>
              <w:t>The Regional Health Care Group Pty Ltd submitted an application to list Xoft</w:t>
            </w:r>
            <w:r w:rsidRPr="007E2988">
              <w:rPr>
                <w:color w:val="auto"/>
                <w:vertAlign w:val="superscript"/>
              </w:rPr>
              <w:t>®</w:t>
            </w:r>
            <w:r w:rsidRPr="00E9302D">
              <w:rPr>
                <w:color w:val="auto"/>
                <w:sz w:val="24"/>
                <w:szCs w:val="24"/>
              </w:rPr>
              <w:t xml:space="preserve"> Axxent</w:t>
            </w:r>
            <w:r w:rsidRPr="007E2988">
              <w:rPr>
                <w:color w:val="auto"/>
                <w:vertAlign w:val="superscript"/>
              </w:rPr>
              <w:t>®</w:t>
            </w:r>
            <w:r w:rsidRPr="00E9302D">
              <w:rPr>
                <w:color w:val="auto"/>
                <w:sz w:val="24"/>
                <w:szCs w:val="24"/>
              </w:rPr>
              <w:t xml:space="preserve"> on the Medicare Benefits Schedule (MBS) to treat early stage breast cancer.</w:t>
            </w:r>
          </w:p>
          <w:p w14:paraId="527642D2" w14:textId="43090248" w:rsidR="00E9302D" w:rsidRPr="00E9302D" w:rsidRDefault="00E9302D" w:rsidP="00E9302D">
            <w:pPr>
              <w:pStyle w:val="Default"/>
              <w:spacing w:before="120" w:after="240"/>
              <w:rPr>
                <w:color w:val="auto"/>
                <w:sz w:val="24"/>
                <w:szCs w:val="24"/>
              </w:rPr>
            </w:pPr>
            <w:r w:rsidRPr="00E9302D">
              <w:rPr>
                <w:color w:val="auto"/>
                <w:sz w:val="24"/>
                <w:szCs w:val="24"/>
              </w:rPr>
              <w:t>Axxent</w:t>
            </w:r>
            <w:r w:rsidRPr="007E2988">
              <w:rPr>
                <w:color w:val="auto"/>
                <w:vertAlign w:val="superscript"/>
              </w:rPr>
              <w:t>®</w:t>
            </w:r>
            <w:r w:rsidRPr="00E9302D">
              <w:rPr>
                <w:color w:val="auto"/>
                <w:sz w:val="24"/>
                <w:szCs w:val="24"/>
              </w:rPr>
              <w:t xml:space="preserve"> and Intrabeam</w:t>
            </w:r>
            <w:r w:rsidRPr="007E2988">
              <w:rPr>
                <w:color w:val="auto"/>
                <w:vertAlign w:val="superscript"/>
              </w:rPr>
              <w:t>®</w:t>
            </w:r>
            <w:r w:rsidRPr="00E9302D">
              <w:rPr>
                <w:color w:val="auto"/>
                <w:sz w:val="24"/>
                <w:szCs w:val="24"/>
              </w:rPr>
              <w:t xml:space="preserve"> </w:t>
            </w:r>
            <w:r w:rsidR="004B5C94">
              <w:rPr>
                <w:color w:val="auto"/>
                <w:sz w:val="24"/>
                <w:szCs w:val="24"/>
              </w:rPr>
              <w:t xml:space="preserve">deliver </w:t>
            </w:r>
            <w:r w:rsidRPr="00E9302D">
              <w:rPr>
                <w:color w:val="auto"/>
                <w:sz w:val="24"/>
                <w:szCs w:val="24"/>
              </w:rPr>
              <w:t xml:space="preserve">intraoperative </w:t>
            </w:r>
            <w:r w:rsidR="004B5C94" w:rsidRPr="00E9302D">
              <w:rPr>
                <w:color w:val="auto"/>
                <w:sz w:val="24"/>
                <w:szCs w:val="24"/>
              </w:rPr>
              <w:t>radiotherap</w:t>
            </w:r>
            <w:r w:rsidR="004B5C94">
              <w:rPr>
                <w:color w:val="auto"/>
                <w:sz w:val="24"/>
                <w:szCs w:val="24"/>
              </w:rPr>
              <w:t xml:space="preserve">y </w:t>
            </w:r>
            <w:r w:rsidRPr="00E9302D">
              <w:rPr>
                <w:color w:val="auto"/>
                <w:sz w:val="24"/>
                <w:szCs w:val="24"/>
              </w:rPr>
              <w:t xml:space="preserve">during breast conserving surgery. This means that a device </w:t>
            </w:r>
            <w:r w:rsidR="00E2464C">
              <w:rPr>
                <w:color w:val="auto"/>
                <w:sz w:val="24"/>
                <w:szCs w:val="24"/>
              </w:rPr>
              <w:t>used to deliver</w:t>
            </w:r>
            <w:r w:rsidR="00E2464C" w:rsidRPr="00E9302D">
              <w:rPr>
                <w:color w:val="auto"/>
                <w:sz w:val="24"/>
                <w:szCs w:val="24"/>
              </w:rPr>
              <w:t xml:space="preserve"> </w:t>
            </w:r>
            <w:r w:rsidRPr="00E9302D">
              <w:rPr>
                <w:color w:val="auto"/>
                <w:sz w:val="24"/>
                <w:szCs w:val="24"/>
              </w:rPr>
              <w:t xml:space="preserve">radiotherapy is placed inside the body </w:t>
            </w:r>
            <w:r w:rsidR="00C703C0">
              <w:rPr>
                <w:color w:val="auto"/>
                <w:sz w:val="24"/>
                <w:szCs w:val="24"/>
              </w:rPr>
              <w:t xml:space="preserve">temporarily </w:t>
            </w:r>
            <w:r w:rsidRPr="00E9302D">
              <w:rPr>
                <w:color w:val="auto"/>
                <w:sz w:val="24"/>
                <w:szCs w:val="24"/>
              </w:rPr>
              <w:t>during surgery</w:t>
            </w:r>
            <w:r w:rsidR="006B279B">
              <w:rPr>
                <w:color w:val="auto"/>
                <w:sz w:val="24"/>
                <w:szCs w:val="24"/>
              </w:rPr>
              <w:t xml:space="preserve">, </w:t>
            </w:r>
            <w:r w:rsidR="006B279B">
              <w:t>a large single dose of radiation is delivered to the tumour or tumour bed,</w:t>
            </w:r>
            <w:r w:rsidR="00C703C0">
              <w:rPr>
                <w:color w:val="auto"/>
                <w:sz w:val="24"/>
                <w:szCs w:val="24"/>
              </w:rPr>
              <w:t xml:space="preserve"> and </w:t>
            </w:r>
            <w:r w:rsidR="006B279B">
              <w:rPr>
                <w:color w:val="auto"/>
                <w:sz w:val="24"/>
                <w:szCs w:val="24"/>
              </w:rPr>
              <w:t xml:space="preserve">the device is </w:t>
            </w:r>
            <w:r w:rsidR="00C703C0">
              <w:rPr>
                <w:color w:val="auto"/>
                <w:sz w:val="24"/>
                <w:szCs w:val="24"/>
              </w:rPr>
              <w:t>removed before the end of the operation</w:t>
            </w:r>
            <w:r w:rsidRPr="00E9302D">
              <w:rPr>
                <w:color w:val="auto"/>
                <w:sz w:val="24"/>
                <w:szCs w:val="24"/>
              </w:rPr>
              <w:t xml:space="preserve">. Thus, </w:t>
            </w:r>
            <w:r w:rsidR="002751EA">
              <w:rPr>
                <w:color w:val="auto"/>
                <w:sz w:val="24"/>
                <w:szCs w:val="24"/>
              </w:rPr>
              <w:t>patients</w:t>
            </w:r>
            <w:r w:rsidR="002751EA" w:rsidRPr="00E9302D">
              <w:rPr>
                <w:color w:val="auto"/>
                <w:sz w:val="24"/>
                <w:szCs w:val="24"/>
              </w:rPr>
              <w:t xml:space="preserve"> </w:t>
            </w:r>
            <w:r w:rsidRPr="00E9302D">
              <w:rPr>
                <w:color w:val="auto"/>
                <w:sz w:val="24"/>
                <w:szCs w:val="24"/>
              </w:rPr>
              <w:t xml:space="preserve">can receive radiotherapy in one day, rather than </w:t>
            </w:r>
            <w:r w:rsidR="002751EA">
              <w:rPr>
                <w:color w:val="auto"/>
                <w:sz w:val="24"/>
                <w:szCs w:val="24"/>
              </w:rPr>
              <w:t xml:space="preserve">having </w:t>
            </w:r>
            <w:r w:rsidRPr="00E9302D">
              <w:rPr>
                <w:color w:val="auto"/>
                <w:sz w:val="24"/>
                <w:szCs w:val="24"/>
              </w:rPr>
              <w:t xml:space="preserve">daily </w:t>
            </w:r>
            <w:r w:rsidR="002751EA" w:rsidRPr="00E9302D">
              <w:rPr>
                <w:color w:val="auto"/>
                <w:sz w:val="24"/>
                <w:szCs w:val="24"/>
              </w:rPr>
              <w:t>external beam radiotherapy</w:t>
            </w:r>
            <w:r w:rsidR="002751EA" w:rsidRPr="00E9302D" w:rsidDel="002751EA">
              <w:rPr>
                <w:color w:val="auto"/>
                <w:sz w:val="24"/>
                <w:szCs w:val="24"/>
              </w:rPr>
              <w:t xml:space="preserve"> </w:t>
            </w:r>
            <w:r w:rsidRPr="00E9302D">
              <w:rPr>
                <w:color w:val="auto"/>
                <w:sz w:val="24"/>
                <w:szCs w:val="24"/>
              </w:rPr>
              <w:t xml:space="preserve">for </w:t>
            </w:r>
            <w:r w:rsidR="00AB188F">
              <w:rPr>
                <w:color w:val="auto"/>
                <w:sz w:val="24"/>
                <w:szCs w:val="24"/>
              </w:rPr>
              <w:t>~3</w:t>
            </w:r>
            <w:r w:rsidR="00C0131D">
              <w:rPr>
                <w:color w:val="auto"/>
                <w:sz w:val="24"/>
                <w:szCs w:val="24"/>
              </w:rPr>
              <w:t xml:space="preserve"> weeks</w:t>
            </w:r>
            <w:r w:rsidRPr="00E9302D">
              <w:rPr>
                <w:color w:val="auto"/>
                <w:sz w:val="24"/>
                <w:szCs w:val="24"/>
              </w:rPr>
              <w:t>.</w:t>
            </w:r>
          </w:p>
          <w:p w14:paraId="1DEE5F50" w14:textId="6727F842" w:rsidR="00E9302D" w:rsidRPr="00E9302D" w:rsidRDefault="00E9302D" w:rsidP="00E9302D">
            <w:pPr>
              <w:pStyle w:val="Default"/>
              <w:spacing w:before="120" w:after="240"/>
              <w:rPr>
                <w:color w:val="auto"/>
                <w:sz w:val="24"/>
                <w:szCs w:val="24"/>
              </w:rPr>
            </w:pPr>
            <w:r w:rsidRPr="00E9302D">
              <w:rPr>
                <w:color w:val="auto"/>
                <w:sz w:val="24"/>
                <w:szCs w:val="24"/>
              </w:rPr>
              <w:t xml:space="preserve">The Medical Services Advisory Committee (MSAC) considered intraoperative radiotherapy to be a great advantage for </w:t>
            </w:r>
            <w:r w:rsidR="002751EA">
              <w:rPr>
                <w:color w:val="auto"/>
                <w:sz w:val="24"/>
                <w:szCs w:val="24"/>
              </w:rPr>
              <w:t>patients</w:t>
            </w:r>
            <w:r w:rsidR="002751EA" w:rsidRPr="00E9302D">
              <w:rPr>
                <w:color w:val="auto"/>
                <w:sz w:val="24"/>
                <w:szCs w:val="24"/>
              </w:rPr>
              <w:t xml:space="preserve"> </w:t>
            </w:r>
            <w:r w:rsidRPr="00E9302D">
              <w:rPr>
                <w:color w:val="auto"/>
                <w:sz w:val="24"/>
                <w:szCs w:val="24"/>
              </w:rPr>
              <w:t xml:space="preserve">who live in rural or regional areas, and </w:t>
            </w:r>
            <w:r w:rsidR="002751EA">
              <w:rPr>
                <w:color w:val="auto"/>
                <w:sz w:val="24"/>
                <w:szCs w:val="24"/>
              </w:rPr>
              <w:t xml:space="preserve">others who </w:t>
            </w:r>
            <w:r w:rsidRPr="00E9302D">
              <w:rPr>
                <w:color w:val="auto"/>
                <w:sz w:val="24"/>
                <w:szCs w:val="24"/>
              </w:rPr>
              <w:t xml:space="preserve">may not be able to access </w:t>
            </w:r>
            <w:r w:rsidR="006F4536">
              <w:rPr>
                <w:color w:val="auto"/>
                <w:sz w:val="24"/>
                <w:szCs w:val="24"/>
              </w:rPr>
              <w:t>~3</w:t>
            </w:r>
            <w:r w:rsidRPr="00E9302D">
              <w:rPr>
                <w:color w:val="auto"/>
                <w:sz w:val="24"/>
                <w:szCs w:val="24"/>
              </w:rPr>
              <w:t xml:space="preserve"> weeks of daily radiotherapy. Also, Intrabeam</w:t>
            </w:r>
            <w:r w:rsidRPr="007E2988">
              <w:rPr>
                <w:color w:val="auto"/>
                <w:vertAlign w:val="superscript"/>
              </w:rPr>
              <w:t>®</w:t>
            </w:r>
            <w:r w:rsidRPr="00E9302D">
              <w:rPr>
                <w:color w:val="auto"/>
                <w:sz w:val="24"/>
                <w:szCs w:val="24"/>
              </w:rPr>
              <w:t xml:space="preserve"> is already listed on the MBS. MSAC </w:t>
            </w:r>
            <w:r w:rsidR="002751EA">
              <w:rPr>
                <w:color w:val="auto"/>
                <w:sz w:val="24"/>
                <w:szCs w:val="24"/>
              </w:rPr>
              <w:t>considered</w:t>
            </w:r>
            <w:r w:rsidR="002751EA" w:rsidRPr="00E9302D">
              <w:rPr>
                <w:color w:val="auto"/>
                <w:sz w:val="24"/>
                <w:szCs w:val="24"/>
              </w:rPr>
              <w:t xml:space="preserve"> </w:t>
            </w:r>
            <w:r w:rsidRPr="00E9302D">
              <w:rPr>
                <w:color w:val="auto"/>
                <w:sz w:val="24"/>
                <w:szCs w:val="24"/>
              </w:rPr>
              <w:t>that Axxent</w:t>
            </w:r>
            <w:r w:rsidRPr="007E2988">
              <w:rPr>
                <w:color w:val="auto"/>
                <w:vertAlign w:val="superscript"/>
              </w:rPr>
              <w:t>®</w:t>
            </w:r>
            <w:r w:rsidRPr="00E9302D">
              <w:rPr>
                <w:color w:val="auto"/>
                <w:sz w:val="24"/>
                <w:szCs w:val="24"/>
              </w:rPr>
              <w:t xml:space="preserve"> works </w:t>
            </w:r>
            <w:r w:rsidR="00502258">
              <w:rPr>
                <w:color w:val="auto"/>
                <w:sz w:val="24"/>
                <w:szCs w:val="24"/>
              </w:rPr>
              <w:t xml:space="preserve">in a similar way </w:t>
            </w:r>
            <w:r w:rsidRPr="00E9302D">
              <w:rPr>
                <w:color w:val="auto"/>
                <w:sz w:val="24"/>
                <w:szCs w:val="24"/>
              </w:rPr>
              <w:t>as Intrabeam</w:t>
            </w:r>
            <w:r w:rsidRPr="007E2988">
              <w:rPr>
                <w:color w:val="auto"/>
                <w:vertAlign w:val="superscript"/>
              </w:rPr>
              <w:t>®</w:t>
            </w:r>
            <w:r w:rsidRPr="00E9302D">
              <w:rPr>
                <w:color w:val="auto"/>
                <w:sz w:val="24"/>
                <w:szCs w:val="24"/>
              </w:rPr>
              <w:t>.</w:t>
            </w:r>
          </w:p>
          <w:p w14:paraId="6DCBC4E8" w14:textId="4BB36C01" w:rsidR="00E9302D" w:rsidRPr="00E9302D" w:rsidRDefault="00E9302D" w:rsidP="00E9302D">
            <w:pPr>
              <w:pStyle w:val="Default"/>
              <w:spacing w:before="120" w:after="240"/>
              <w:rPr>
                <w:color w:val="auto"/>
                <w:sz w:val="24"/>
                <w:szCs w:val="24"/>
              </w:rPr>
            </w:pPr>
            <w:r w:rsidRPr="00E9302D">
              <w:rPr>
                <w:color w:val="auto"/>
                <w:sz w:val="24"/>
                <w:szCs w:val="24"/>
              </w:rPr>
              <w:t>MSAC had some concern about the long-term effectiveness of both Axxent</w:t>
            </w:r>
            <w:r w:rsidRPr="007E2988">
              <w:rPr>
                <w:color w:val="auto"/>
                <w:vertAlign w:val="superscript"/>
              </w:rPr>
              <w:t>®</w:t>
            </w:r>
            <w:r w:rsidRPr="00E9302D">
              <w:rPr>
                <w:color w:val="auto"/>
                <w:sz w:val="24"/>
                <w:szCs w:val="24"/>
              </w:rPr>
              <w:t xml:space="preserve"> and Intrabeam</w:t>
            </w:r>
            <w:r w:rsidRPr="007E2988">
              <w:rPr>
                <w:color w:val="auto"/>
                <w:vertAlign w:val="superscript"/>
              </w:rPr>
              <w:t>®</w:t>
            </w:r>
            <w:r w:rsidRPr="00E9302D">
              <w:rPr>
                <w:color w:val="auto"/>
                <w:sz w:val="24"/>
                <w:szCs w:val="24"/>
              </w:rPr>
              <w:t xml:space="preserve">; specifically, the rate at which people who have been treated develop cancer again later (recurrence rate). Therefore, MSAC recommended that </w:t>
            </w:r>
            <w:r w:rsidR="002751EA">
              <w:rPr>
                <w:color w:val="auto"/>
                <w:sz w:val="24"/>
                <w:szCs w:val="24"/>
              </w:rPr>
              <w:t xml:space="preserve">the outcomes of the use of </w:t>
            </w:r>
            <w:r w:rsidRPr="00E9302D">
              <w:rPr>
                <w:color w:val="auto"/>
                <w:sz w:val="24"/>
                <w:szCs w:val="24"/>
              </w:rPr>
              <w:t>both devices be reviewed in 2–3 years after a study called the TARGIT-A trial is complete. This trial is comparing intraoperative radiotherapy</w:t>
            </w:r>
            <w:r w:rsidR="00C96835">
              <w:rPr>
                <w:color w:val="auto"/>
                <w:sz w:val="24"/>
                <w:szCs w:val="24"/>
              </w:rPr>
              <w:t xml:space="preserve"> using Intrabeam</w:t>
            </w:r>
            <w:r w:rsidR="00C96835" w:rsidRPr="005C300A">
              <w:rPr>
                <w:color w:val="auto"/>
                <w:vertAlign w:val="superscript"/>
              </w:rPr>
              <w:t>®</w:t>
            </w:r>
            <w:r w:rsidRPr="00E9302D">
              <w:rPr>
                <w:color w:val="auto"/>
                <w:sz w:val="24"/>
                <w:szCs w:val="24"/>
              </w:rPr>
              <w:t xml:space="preserve"> with external beam radiotherapy, and will have 10 years of follow-up data, so breast cancer recurrence rates after the two technologies can be compared.</w:t>
            </w:r>
          </w:p>
          <w:p w14:paraId="398CD7CE" w14:textId="664EFB74" w:rsidR="00BA3279" w:rsidRDefault="00BA3279" w:rsidP="00E9302D">
            <w:pPr>
              <w:pStyle w:val="Default"/>
              <w:spacing w:after="120"/>
              <w:rPr>
                <w:b/>
                <w:color w:val="auto"/>
                <w:sz w:val="24"/>
                <w:szCs w:val="24"/>
              </w:rPr>
            </w:pPr>
            <w:r w:rsidRPr="00E9302D">
              <w:rPr>
                <w:b/>
                <w:color w:val="auto"/>
                <w:sz w:val="24"/>
                <w:szCs w:val="24"/>
              </w:rPr>
              <w:t xml:space="preserve">MSAC’s advice to the Commonwealth Minister </w:t>
            </w:r>
            <w:r w:rsidR="00B222B4">
              <w:rPr>
                <w:b/>
                <w:color w:val="auto"/>
                <w:sz w:val="24"/>
                <w:szCs w:val="24"/>
              </w:rPr>
              <w:t>for</w:t>
            </w:r>
            <w:r w:rsidRPr="00E9302D">
              <w:rPr>
                <w:b/>
                <w:color w:val="auto"/>
                <w:sz w:val="24"/>
                <w:szCs w:val="24"/>
              </w:rPr>
              <w:t xml:space="preserve"> Health</w:t>
            </w:r>
          </w:p>
          <w:p w14:paraId="4216BC89" w14:textId="3D434ABD" w:rsidR="00E9302D" w:rsidRPr="00E9302D" w:rsidRDefault="00E9302D" w:rsidP="00E9302D">
            <w:pPr>
              <w:pStyle w:val="Default"/>
              <w:spacing w:after="120"/>
              <w:rPr>
                <w:color w:val="auto"/>
                <w:sz w:val="24"/>
                <w:szCs w:val="24"/>
              </w:rPr>
            </w:pPr>
            <w:r w:rsidRPr="00E9302D">
              <w:rPr>
                <w:color w:val="auto"/>
                <w:sz w:val="24"/>
                <w:szCs w:val="24"/>
              </w:rPr>
              <w:t>MSAC recommend</w:t>
            </w:r>
            <w:r w:rsidR="006B279B">
              <w:rPr>
                <w:color w:val="auto"/>
                <w:sz w:val="24"/>
                <w:szCs w:val="24"/>
              </w:rPr>
              <w:t>ed</w:t>
            </w:r>
            <w:r w:rsidRPr="00E9302D">
              <w:rPr>
                <w:color w:val="auto"/>
                <w:sz w:val="24"/>
                <w:szCs w:val="24"/>
              </w:rPr>
              <w:t xml:space="preserve"> listing Xoft</w:t>
            </w:r>
            <w:r w:rsidRPr="007E2988">
              <w:rPr>
                <w:color w:val="auto"/>
                <w:vertAlign w:val="superscript"/>
              </w:rPr>
              <w:t>®</w:t>
            </w:r>
            <w:r w:rsidRPr="00E9302D">
              <w:rPr>
                <w:color w:val="auto"/>
                <w:sz w:val="24"/>
                <w:szCs w:val="24"/>
              </w:rPr>
              <w:t xml:space="preserve"> Axxent</w:t>
            </w:r>
            <w:r w:rsidRPr="007E2988">
              <w:rPr>
                <w:color w:val="auto"/>
                <w:vertAlign w:val="superscript"/>
              </w:rPr>
              <w:t>®</w:t>
            </w:r>
            <w:r w:rsidRPr="00E9302D">
              <w:rPr>
                <w:color w:val="auto"/>
                <w:sz w:val="24"/>
                <w:szCs w:val="24"/>
              </w:rPr>
              <w:t xml:space="preserve"> alongside Intrabeam</w:t>
            </w:r>
            <w:r w:rsidRPr="007E2988">
              <w:rPr>
                <w:color w:val="auto"/>
                <w:vertAlign w:val="superscript"/>
              </w:rPr>
              <w:t>®</w:t>
            </w:r>
            <w:r w:rsidRPr="00E9302D">
              <w:rPr>
                <w:color w:val="auto"/>
                <w:sz w:val="24"/>
                <w:szCs w:val="24"/>
              </w:rPr>
              <w:t xml:space="preserve">, which is already listed. MSAC felt that the two technologies are similar in terms of safety, effectiveness and cost-effectiveness. However, MSAC recommended reviewing the listing in 2–3 years </w:t>
            </w:r>
            <w:r w:rsidR="002B6F42">
              <w:rPr>
                <w:color w:val="auto"/>
                <w:sz w:val="24"/>
                <w:szCs w:val="24"/>
              </w:rPr>
              <w:t>as soon as</w:t>
            </w:r>
            <w:r w:rsidR="002B6F42" w:rsidRPr="00E9302D">
              <w:rPr>
                <w:color w:val="auto"/>
                <w:sz w:val="24"/>
                <w:szCs w:val="24"/>
              </w:rPr>
              <w:t xml:space="preserve"> </w:t>
            </w:r>
            <w:r w:rsidRPr="00E9302D">
              <w:rPr>
                <w:color w:val="auto"/>
                <w:sz w:val="24"/>
                <w:szCs w:val="24"/>
              </w:rPr>
              <w:t>the results of the TARGIT-A trial are published, to determine if intraoperative radiotherapy is as good as external beam radiotherapy.</w:t>
            </w:r>
          </w:p>
        </w:tc>
      </w:tr>
    </w:tbl>
    <w:p w14:paraId="5DD6CE3E" w14:textId="77777777" w:rsidR="00BA3279" w:rsidRPr="00F715D1" w:rsidRDefault="00BA3279" w:rsidP="00BA3279">
      <w:pPr>
        <w:pStyle w:val="Heading1"/>
      </w:pPr>
      <w:r w:rsidRPr="00F715D1">
        <w:t xml:space="preserve">Summary of consideration and rationale for MSAC’s advice </w:t>
      </w:r>
    </w:p>
    <w:p w14:paraId="3C9E99FB" w14:textId="46062267" w:rsidR="00E9302D" w:rsidRDefault="00E9302D" w:rsidP="00E9302D">
      <w:pPr>
        <w:spacing w:after="240"/>
        <w:rPr>
          <w:szCs w:val="24"/>
        </w:rPr>
      </w:pPr>
      <w:r w:rsidRPr="00E9302D">
        <w:rPr>
          <w:szCs w:val="24"/>
        </w:rPr>
        <w:t xml:space="preserve">MSAC noted that this application was to amend MBS items 15900 and 31516 to </w:t>
      </w:r>
      <w:r w:rsidR="00BE0EFA">
        <w:rPr>
          <w:szCs w:val="24"/>
        </w:rPr>
        <w:t xml:space="preserve">list delivery of target IORT for early stage breast cancer using the </w:t>
      </w:r>
      <w:r w:rsidRPr="00E9302D">
        <w:rPr>
          <w:szCs w:val="24"/>
        </w:rPr>
        <w:t>Axxent</w:t>
      </w:r>
      <w:r w:rsidRPr="007E2988">
        <w:rPr>
          <w:szCs w:val="24"/>
          <w:vertAlign w:val="superscript"/>
        </w:rPr>
        <w:t xml:space="preserve">® </w:t>
      </w:r>
      <w:r w:rsidR="00BE0EFA">
        <w:rPr>
          <w:szCs w:val="24"/>
        </w:rPr>
        <w:t>device i</w:t>
      </w:r>
      <w:r w:rsidRPr="00E9302D">
        <w:rPr>
          <w:szCs w:val="24"/>
        </w:rPr>
        <w:t>n addition to Intrabeam</w:t>
      </w:r>
      <w:r w:rsidRPr="007E2988">
        <w:rPr>
          <w:szCs w:val="24"/>
          <w:vertAlign w:val="superscript"/>
        </w:rPr>
        <w:t>®</w:t>
      </w:r>
      <w:r w:rsidR="00BE0EFA">
        <w:rPr>
          <w:szCs w:val="24"/>
        </w:rPr>
        <w:t>.</w:t>
      </w:r>
      <w:r w:rsidRPr="00E9302D">
        <w:rPr>
          <w:szCs w:val="24"/>
        </w:rPr>
        <w:t xml:space="preserve"> </w:t>
      </w:r>
    </w:p>
    <w:p w14:paraId="7F78FC40" w14:textId="7B19D3DF" w:rsidR="008F7056" w:rsidRDefault="00E9302D" w:rsidP="008F7056">
      <w:pPr>
        <w:spacing w:after="240"/>
        <w:rPr>
          <w:szCs w:val="24"/>
        </w:rPr>
      </w:pPr>
      <w:r w:rsidRPr="00E9302D">
        <w:rPr>
          <w:szCs w:val="24"/>
        </w:rPr>
        <w:t xml:space="preserve">MSAC noted the application was a resubmission, </w:t>
      </w:r>
      <w:r w:rsidR="00EE3557">
        <w:rPr>
          <w:szCs w:val="24"/>
        </w:rPr>
        <w:t>which</w:t>
      </w:r>
      <w:r w:rsidR="00EE3557" w:rsidRPr="00E9302D">
        <w:rPr>
          <w:szCs w:val="24"/>
        </w:rPr>
        <w:t xml:space="preserve"> </w:t>
      </w:r>
      <w:r w:rsidR="00EE3557">
        <w:rPr>
          <w:szCs w:val="24"/>
        </w:rPr>
        <w:t>was not supported</w:t>
      </w:r>
      <w:r w:rsidRPr="00E9302D">
        <w:rPr>
          <w:szCs w:val="24"/>
        </w:rPr>
        <w:t xml:space="preserve"> in 2017 due to the poor data for safety, effectiveness and cost-effectiveness. In its April 2017 meeting, MSAC acknowledged the technical equivalence between Intrabeam</w:t>
      </w:r>
      <w:r w:rsidRPr="007E2988">
        <w:rPr>
          <w:szCs w:val="24"/>
          <w:vertAlign w:val="superscript"/>
        </w:rPr>
        <w:t>®</w:t>
      </w:r>
      <w:r w:rsidRPr="00E9302D">
        <w:rPr>
          <w:szCs w:val="24"/>
        </w:rPr>
        <w:t xml:space="preserve"> and Axxent</w:t>
      </w:r>
      <w:r w:rsidRPr="007E2988">
        <w:rPr>
          <w:szCs w:val="24"/>
          <w:vertAlign w:val="superscript"/>
        </w:rPr>
        <w:t>®</w:t>
      </w:r>
      <w:r w:rsidRPr="00E9302D">
        <w:rPr>
          <w:szCs w:val="24"/>
        </w:rPr>
        <w:t xml:space="preserve">. </w:t>
      </w:r>
      <w:r w:rsidR="00F62A75">
        <w:rPr>
          <w:szCs w:val="24"/>
        </w:rPr>
        <w:t xml:space="preserve">MSAC </w:t>
      </w:r>
      <w:r w:rsidR="008F7056">
        <w:rPr>
          <w:szCs w:val="24"/>
        </w:rPr>
        <w:t xml:space="preserve">also </w:t>
      </w:r>
      <w:r w:rsidR="00F62A75">
        <w:rPr>
          <w:szCs w:val="24"/>
        </w:rPr>
        <w:t xml:space="preserve">considered that WB-EBRT </w:t>
      </w:r>
      <w:r w:rsidR="008F7056">
        <w:t>wa</w:t>
      </w:r>
      <w:r w:rsidR="00F62A75" w:rsidRPr="001F4CD6">
        <w:t>s the appropriate comparator for Axxent</w:t>
      </w:r>
      <w:r w:rsidR="00F62A75" w:rsidRPr="000945A3">
        <w:rPr>
          <w:szCs w:val="24"/>
          <w:vertAlign w:val="superscript"/>
        </w:rPr>
        <w:t>®</w:t>
      </w:r>
      <w:r w:rsidR="00F62A75" w:rsidRPr="001F4CD6">
        <w:t xml:space="preserve"> </w:t>
      </w:r>
      <w:r w:rsidR="00D82527">
        <w:t xml:space="preserve">and </w:t>
      </w:r>
      <w:r w:rsidR="00F36827">
        <w:t>evidence of long</w:t>
      </w:r>
      <w:r w:rsidR="00A9311E">
        <w:t xml:space="preserve"> </w:t>
      </w:r>
      <w:r w:rsidR="00F36827">
        <w:t xml:space="preserve">term safety and clinical effectiveness be provided as part of a resubmission </w:t>
      </w:r>
      <w:r w:rsidRPr="00E9302D">
        <w:rPr>
          <w:szCs w:val="24"/>
        </w:rPr>
        <w:t>to ESC.</w:t>
      </w:r>
      <w:r w:rsidR="0050127B">
        <w:rPr>
          <w:szCs w:val="24"/>
        </w:rPr>
        <w:t xml:space="preserve"> MSAC requested</w:t>
      </w:r>
      <w:r w:rsidR="00957D07">
        <w:rPr>
          <w:szCs w:val="24"/>
        </w:rPr>
        <w:t xml:space="preserve"> </w:t>
      </w:r>
      <w:r w:rsidR="00957D07">
        <w:t>the d</w:t>
      </w:r>
      <w:r w:rsidR="00957D07" w:rsidRPr="001F4CD6">
        <w:t>epartment follow-up with the Royal Australian and New Zealand College of Radiologists</w:t>
      </w:r>
      <w:r w:rsidR="00957D07">
        <w:t xml:space="preserve"> (RANZCR)</w:t>
      </w:r>
      <w:r w:rsidR="00957D07" w:rsidRPr="001F4CD6">
        <w:t>, the Royal Australasian College of Surgeons (breast surgeons) and hospitals that have purchased these devices in Western Australia and the P</w:t>
      </w:r>
      <w:r w:rsidR="00957D07">
        <w:t xml:space="preserve">eter MacCallum </w:t>
      </w:r>
      <w:r w:rsidR="00957D07">
        <w:lastRenderedPageBreak/>
        <w:t>Cancer Centre to</w:t>
      </w:r>
      <w:r w:rsidR="00957D07" w:rsidRPr="001F4CD6">
        <w:t xml:space="preserve"> identify what data </w:t>
      </w:r>
      <w:r w:rsidR="00A9311E">
        <w:t>is</w:t>
      </w:r>
      <w:r w:rsidR="00A9311E" w:rsidRPr="001F4CD6">
        <w:t xml:space="preserve"> </w:t>
      </w:r>
      <w:r w:rsidR="00957D07" w:rsidRPr="001F4CD6">
        <w:t>being collected, explain the clinical place of these devices with respect to each other and external beam radiotherapy, and explain the very low number of MBS claims to date.</w:t>
      </w:r>
    </w:p>
    <w:p w14:paraId="3AA39C51" w14:textId="50D5F789" w:rsidR="003D380F" w:rsidRDefault="008F7056" w:rsidP="007E2988">
      <w:pPr>
        <w:spacing w:after="240"/>
      </w:pPr>
      <w:r>
        <w:t xml:space="preserve">MSAC noted the updated evidence in the </w:t>
      </w:r>
      <w:r w:rsidR="00D0496B">
        <w:t>department contracted assessment report (</w:t>
      </w:r>
      <w:r w:rsidR="00E72B14">
        <w:t>DCAR</w:t>
      </w:r>
      <w:r w:rsidR="00D0496B">
        <w:t>)</w:t>
      </w:r>
      <w:r>
        <w:t xml:space="preserve"> is primarily from two case series, which now provides </w:t>
      </w:r>
      <w:r w:rsidR="00582531">
        <w:t xml:space="preserve">median follow-up of </w:t>
      </w:r>
      <w:r w:rsidRPr="00E9302D">
        <w:rPr>
          <w:szCs w:val="24"/>
        </w:rPr>
        <w:t>3 years for Axxent</w:t>
      </w:r>
      <w:r w:rsidRPr="000945A3">
        <w:rPr>
          <w:szCs w:val="24"/>
          <w:vertAlign w:val="superscript"/>
        </w:rPr>
        <w:t>®</w:t>
      </w:r>
      <w:r>
        <w:rPr>
          <w:szCs w:val="24"/>
        </w:rPr>
        <w:t xml:space="preserve">. </w:t>
      </w:r>
      <w:r w:rsidR="003F52D1">
        <w:t>MSAC noted the applicant highlighted in their pre-MSAC response that</w:t>
      </w:r>
      <w:r w:rsidR="003F52D1" w:rsidRPr="00723E3F">
        <w:t xml:space="preserve"> </w:t>
      </w:r>
      <w:r w:rsidR="003F52D1">
        <w:t>Intrabeam</w:t>
      </w:r>
      <w:r w:rsidR="003F52D1" w:rsidRPr="00F449BD">
        <w:rPr>
          <w:vertAlign w:val="superscript"/>
        </w:rPr>
        <w:t>®</w:t>
      </w:r>
      <w:r w:rsidR="003F52D1">
        <w:t xml:space="preserve"> was approved on </w:t>
      </w:r>
      <w:r w:rsidR="00582531">
        <w:t xml:space="preserve">median </w:t>
      </w:r>
      <w:r w:rsidR="003F52D1">
        <w:t>follow-up of 3.2 years, but also noted that the Intrabeam</w:t>
      </w:r>
      <w:r w:rsidR="003F52D1" w:rsidRPr="00F449BD">
        <w:rPr>
          <w:vertAlign w:val="superscript"/>
        </w:rPr>
        <w:t>®</w:t>
      </w:r>
      <w:r w:rsidR="003F52D1">
        <w:t xml:space="preserve"> application was based on a large non-inferiority randomised controlled trial (RCT) (TARGIT-A; </w:t>
      </w:r>
      <w:r w:rsidR="003F52D1" w:rsidRPr="00460E0C">
        <w:rPr>
          <w:i/>
          <w:iCs/>
        </w:rPr>
        <w:t>n</w:t>
      </w:r>
      <w:r w:rsidR="003F52D1">
        <w:t> = 3,451).</w:t>
      </w:r>
    </w:p>
    <w:p w14:paraId="0A66AA40" w14:textId="2BEE2F4D" w:rsidR="003F52D1" w:rsidRPr="00FF0BB1" w:rsidRDefault="003F52D1" w:rsidP="007E2988">
      <w:pPr>
        <w:spacing w:after="240"/>
        <w:rPr>
          <w:szCs w:val="24"/>
        </w:rPr>
      </w:pPr>
      <w:r w:rsidRPr="00E9302D">
        <w:rPr>
          <w:szCs w:val="24"/>
        </w:rPr>
        <w:t xml:space="preserve">MSAC noted that the </w:t>
      </w:r>
      <w:r w:rsidR="00A9311E" w:rsidRPr="00E9302D">
        <w:rPr>
          <w:szCs w:val="24"/>
        </w:rPr>
        <w:t>Prosthesis</w:t>
      </w:r>
      <w:r w:rsidRPr="00E9302D">
        <w:rPr>
          <w:szCs w:val="24"/>
        </w:rPr>
        <w:t xml:space="preserve"> List Advisory Committee has accepted technical equivalence between Intrabeam</w:t>
      </w:r>
      <w:r w:rsidRPr="000945A3">
        <w:rPr>
          <w:szCs w:val="24"/>
          <w:vertAlign w:val="superscript"/>
        </w:rPr>
        <w:t>®</w:t>
      </w:r>
      <w:r w:rsidRPr="00E9302D">
        <w:rPr>
          <w:szCs w:val="24"/>
        </w:rPr>
        <w:t xml:space="preserve"> and Axxent</w:t>
      </w:r>
      <w:r w:rsidRPr="000945A3">
        <w:rPr>
          <w:szCs w:val="24"/>
          <w:vertAlign w:val="superscript"/>
        </w:rPr>
        <w:t>®</w:t>
      </w:r>
      <w:r w:rsidRPr="00E9302D">
        <w:rPr>
          <w:szCs w:val="24"/>
        </w:rPr>
        <w:t>.</w:t>
      </w:r>
      <w:r>
        <w:rPr>
          <w:szCs w:val="24"/>
        </w:rPr>
        <w:t xml:space="preserve"> MSAC recalled it </w:t>
      </w:r>
      <w:r w:rsidRPr="008F7056">
        <w:rPr>
          <w:szCs w:val="24"/>
        </w:rPr>
        <w:t>accepted technical equivalence between the two devices with respect to the x-ray spectra, relative biological effectiveness</w:t>
      </w:r>
      <w:r>
        <w:rPr>
          <w:szCs w:val="24"/>
        </w:rPr>
        <w:t xml:space="preserve"> and tissue dose distribution. </w:t>
      </w:r>
    </w:p>
    <w:p w14:paraId="34989D3D" w14:textId="4912CFFE" w:rsidR="003F52D1" w:rsidRDefault="00A34225" w:rsidP="003B0693">
      <w:pPr>
        <w:pStyle w:val="Default"/>
        <w:spacing w:before="240" w:after="240"/>
      </w:pPr>
      <w:r>
        <w:t>Overall</w:t>
      </w:r>
      <w:r w:rsidR="003F52D1">
        <w:t xml:space="preserve">, </w:t>
      </w:r>
      <w:r w:rsidR="00524E54" w:rsidRPr="00E9302D">
        <w:t>MSAC accepted the evidence of clinical equivalence for Axxent</w:t>
      </w:r>
      <w:r w:rsidR="00524E54" w:rsidRPr="000945A3">
        <w:rPr>
          <w:vertAlign w:val="superscript"/>
        </w:rPr>
        <w:t>®</w:t>
      </w:r>
      <w:r w:rsidR="004C6711">
        <w:t xml:space="preserve"> </w:t>
      </w:r>
      <w:r w:rsidR="004C6711" w:rsidRPr="00E9302D">
        <w:t>and MBS-listed comparators (</w:t>
      </w:r>
      <w:r w:rsidR="004C6711">
        <w:t>WB-EBRT</w:t>
      </w:r>
      <w:r w:rsidR="004C6711" w:rsidRPr="00E9302D">
        <w:t xml:space="preserve"> and Intrabeam</w:t>
      </w:r>
      <w:r w:rsidR="004C6711" w:rsidRPr="000945A3">
        <w:rPr>
          <w:vertAlign w:val="superscript"/>
        </w:rPr>
        <w:t>®</w:t>
      </w:r>
      <w:r w:rsidR="006A434F">
        <w:t>)</w:t>
      </w:r>
      <w:r w:rsidR="00082EE5">
        <w:t xml:space="preserve">, but </w:t>
      </w:r>
      <w:r w:rsidR="00E9302D" w:rsidRPr="00E9302D">
        <w:t>considered that</w:t>
      </w:r>
      <w:r w:rsidR="00751747">
        <w:t xml:space="preserve"> on the current evidence base</w:t>
      </w:r>
      <w:r w:rsidR="00E9302D" w:rsidRPr="00E9302D">
        <w:t>, IORT is not proven to be non-inferior to WB-EBRT in terms of clinical effectiveness. However, WB-EBRT requires daily treatment over several weeks, and that the main advantage for IORT is for women based in rural or regional areas who cannot easily access WB-EBRT. In its pre-MSAC response, the applicant accepted that hypofractionated WB-EBRT is generally recommended for patients with early stage breast cancer (25 fractions down to 15 fractions), reducing the number of weeks required for treatment</w:t>
      </w:r>
      <w:r w:rsidR="00825803">
        <w:t xml:space="preserve"> (from ~5 weeks to ~3 weeks)</w:t>
      </w:r>
      <w:r w:rsidR="00E9302D" w:rsidRPr="00E9302D">
        <w:t>. MSAC agreed that even a 15-fraction treatment regimen is inaccessible for a number of patients.</w:t>
      </w:r>
      <w:r w:rsidR="003B0693">
        <w:t xml:space="preserve"> MSAC considered that it was important to have IORT as a treatment option for rural and regional women, who may not be able to access three weeks of hypofractionated WB-EBRT.</w:t>
      </w:r>
    </w:p>
    <w:p w14:paraId="47D98B50" w14:textId="69F93D3E" w:rsidR="00E9302D" w:rsidRPr="00E9302D" w:rsidRDefault="003F52D1" w:rsidP="00E9302D">
      <w:pPr>
        <w:spacing w:after="240"/>
        <w:rPr>
          <w:szCs w:val="24"/>
        </w:rPr>
      </w:pPr>
      <w:r w:rsidRPr="00E9302D">
        <w:rPr>
          <w:szCs w:val="24"/>
        </w:rPr>
        <w:t>MSAC considered that naming the devices in the MBS descriptor was appropriate.</w:t>
      </w:r>
    </w:p>
    <w:p w14:paraId="7FC24BC8" w14:textId="655A989E" w:rsidR="00E9302D" w:rsidRPr="00E9302D" w:rsidRDefault="00E9302D" w:rsidP="00E9302D">
      <w:pPr>
        <w:spacing w:after="240"/>
        <w:rPr>
          <w:szCs w:val="24"/>
        </w:rPr>
      </w:pPr>
      <w:r w:rsidRPr="00E9302D">
        <w:rPr>
          <w:szCs w:val="24"/>
        </w:rPr>
        <w:t>MSAC noted that IORT replaces WB-EBRT planning and delivery items (MBS items 15221, 15236, 15251, 15266, 1550, 15562, 15705). MSAC noted that the costs for Intrabeam</w:t>
      </w:r>
      <w:r w:rsidRPr="007E2988">
        <w:rPr>
          <w:szCs w:val="24"/>
          <w:vertAlign w:val="superscript"/>
        </w:rPr>
        <w:t>®</w:t>
      </w:r>
      <w:r w:rsidRPr="00E9302D">
        <w:rPr>
          <w:szCs w:val="24"/>
        </w:rPr>
        <w:t xml:space="preserve"> and Axxent</w:t>
      </w:r>
      <w:r w:rsidRPr="007E2988">
        <w:rPr>
          <w:szCs w:val="24"/>
          <w:vertAlign w:val="superscript"/>
        </w:rPr>
        <w:t>®</w:t>
      </w:r>
      <w:r w:rsidRPr="00E9302D">
        <w:rPr>
          <w:szCs w:val="24"/>
        </w:rPr>
        <w:t xml:space="preserve"> are similar, and both are cheaper than WB-EBRT</w:t>
      </w:r>
      <w:r w:rsidR="009D17DE">
        <w:rPr>
          <w:szCs w:val="24"/>
        </w:rPr>
        <w:t>, even when comparing with the more appropriate hypofractionated WB-EBRT regimen (</w:t>
      </w:r>
      <w:r w:rsidR="00C02C9B">
        <w:rPr>
          <w:szCs w:val="24"/>
        </w:rPr>
        <w:t>cost savings of about $3,000 per patient; see</w:t>
      </w:r>
      <w:r w:rsidR="009D17DE">
        <w:rPr>
          <w:szCs w:val="24"/>
        </w:rPr>
        <w:t xml:space="preserve"> Table 8). </w:t>
      </w:r>
      <w:r w:rsidR="00C02C9B">
        <w:rPr>
          <w:szCs w:val="24"/>
        </w:rPr>
        <w:t xml:space="preserve">MSAC </w:t>
      </w:r>
      <w:r w:rsidR="006162A7">
        <w:rPr>
          <w:szCs w:val="24"/>
        </w:rPr>
        <w:t xml:space="preserve">also </w:t>
      </w:r>
      <w:r w:rsidR="00C02C9B">
        <w:rPr>
          <w:szCs w:val="24"/>
        </w:rPr>
        <w:t>noted the pre-MSAC response where the applicant provided economic findings from</w:t>
      </w:r>
      <w:r w:rsidR="003B0693">
        <w:rPr>
          <w:szCs w:val="24"/>
        </w:rPr>
        <w:t xml:space="preserve"> the</w:t>
      </w:r>
      <w:r w:rsidR="00C02C9B">
        <w:rPr>
          <w:szCs w:val="24"/>
        </w:rPr>
        <w:t xml:space="preserve"> Peter </w:t>
      </w:r>
      <w:r w:rsidR="00C02C9B">
        <w:t>MacCallum Cancer Centre estimating over a $2,000 cost reduction to health</w:t>
      </w:r>
      <w:r w:rsidR="006162A7">
        <w:t>care system for patients with IORT.</w:t>
      </w:r>
      <w:r w:rsidR="00C02C9B">
        <w:rPr>
          <w:szCs w:val="24"/>
        </w:rPr>
        <w:t xml:space="preserve"> </w:t>
      </w:r>
      <w:r w:rsidRPr="00E9302D">
        <w:rPr>
          <w:szCs w:val="24"/>
        </w:rPr>
        <w:t>MSAC accepted that there will be no extra cost to the MBS if Axxent</w:t>
      </w:r>
      <w:r w:rsidRPr="007E2988">
        <w:rPr>
          <w:szCs w:val="24"/>
          <w:vertAlign w:val="superscript"/>
        </w:rPr>
        <w:t>®</w:t>
      </w:r>
      <w:r w:rsidRPr="00E9302D">
        <w:rPr>
          <w:szCs w:val="24"/>
        </w:rPr>
        <w:t xml:space="preserve"> is listed alongside Intrabeam</w:t>
      </w:r>
      <w:r w:rsidRPr="007E2988">
        <w:rPr>
          <w:szCs w:val="24"/>
          <w:vertAlign w:val="superscript"/>
        </w:rPr>
        <w:t>®</w:t>
      </w:r>
      <w:r w:rsidRPr="00E9302D">
        <w:rPr>
          <w:szCs w:val="24"/>
        </w:rPr>
        <w:t>. However, depending on pathology, about 15% of patients require WB-EBRT after breast-conserving surgery.</w:t>
      </w:r>
    </w:p>
    <w:p w14:paraId="5BE2420C" w14:textId="77F23B07" w:rsidR="00E9302D" w:rsidRPr="00E9302D" w:rsidRDefault="00E9302D" w:rsidP="00E9302D">
      <w:pPr>
        <w:spacing w:after="240"/>
        <w:rPr>
          <w:szCs w:val="24"/>
        </w:rPr>
      </w:pPr>
      <w:r w:rsidRPr="00E9302D">
        <w:rPr>
          <w:szCs w:val="24"/>
        </w:rPr>
        <w:t>MSAC noted the low utilisation rates for Intrabeam</w:t>
      </w:r>
      <w:r w:rsidRPr="007E2988">
        <w:rPr>
          <w:szCs w:val="24"/>
          <w:vertAlign w:val="superscript"/>
        </w:rPr>
        <w:t>®</w:t>
      </w:r>
      <w:r w:rsidRPr="00E9302D">
        <w:rPr>
          <w:szCs w:val="24"/>
        </w:rPr>
        <w:t xml:space="preserve">, although the technology is currently only available in Western Australia. MSAC noted the pre-MSAC response where the applicant stated that utilisation will increase due to additional machines being installed in private facilities. </w:t>
      </w:r>
      <w:r w:rsidR="00957D07">
        <w:rPr>
          <w:szCs w:val="24"/>
        </w:rPr>
        <w:t>MSAC noted t</w:t>
      </w:r>
      <w:r w:rsidRPr="00E9302D">
        <w:rPr>
          <w:szCs w:val="24"/>
        </w:rPr>
        <w:t xml:space="preserve">he </w:t>
      </w:r>
      <w:r w:rsidR="00CE40A0">
        <w:rPr>
          <w:szCs w:val="24"/>
        </w:rPr>
        <w:t>RANZCR</w:t>
      </w:r>
      <w:r w:rsidRPr="00E9302D">
        <w:rPr>
          <w:szCs w:val="24"/>
        </w:rPr>
        <w:t xml:space="preserve"> considered the low utilisation to be because the technology is still new.</w:t>
      </w:r>
    </w:p>
    <w:p w14:paraId="558B56E8" w14:textId="015E048E" w:rsidR="00BC2AA9" w:rsidRDefault="00BC2AA9" w:rsidP="00E9302D">
      <w:pPr>
        <w:spacing w:after="240"/>
      </w:pPr>
      <w:r>
        <w:rPr>
          <w:szCs w:val="24"/>
        </w:rPr>
        <w:t xml:space="preserve">MSAC </w:t>
      </w:r>
      <w:r w:rsidR="00CE40A0">
        <w:rPr>
          <w:szCs w:val="24"/>
        </w:rPr>
        <w:t xml:space="preserve">also </w:t>
      </w:r>
      <w:r>
        <w:rPr>
          <w:szCs w:val="24"/>
        </w:rPr>
        <w:t xml:space="preserve">noted </w:t>
      </w:r>
      <w:r>
        <w:t xml:space="preserve">the </w:t>
      </w:r>
      <w:r w:rsidR="00CE40A0">
        <w:t>RANZCR</w:t>
      </w:r>
      <w:r>
        <w:t xml:space="preserve"> view </w:t>
      </w:r>
      <w:r w:rsidR="00AD375F">
        <w:t>does not currently support IORT as an established method for treatment of early breast cancer outside of ongoing clinical trials,</w:t>
      </w:r>
      <w:r w:rsidR="00C560A8">
        <w:t xml:space="preserve"> </w:t>
      </w:r>
      <w:r w:rsidR="00AD375F">
        <w:t>and</w:t>
      </w:r>
      <w:r w:rsidR="00AD375F" w:rsidRPr="00D23571">
        <w:t xml:space="preserve"> </w:t>
      </w:r>
      <w:r w:rsidRPr="00D23571">
        <w:t>without a minimum of 10 years of follow-up data</w:t>
      </w:r>
      <w:r>
        <w:t>.</w:t>
      </w:r>
    </w:p>
    <w:p w14:paraId="2D01F2CD" w14:textId="58C58BFE" w:rsidR="00F33F36" w:rsidRDefault="00F33F36" w:rsidP="00A04F8B">
      <w:pPr>
        <w:spacing w:after="240"/>
      </w:pPr>
      <w:r>
        <w:rPr>
          <w:szCs w:val="24"/>
        </w:rPr>
        <w:t xml:space="preserve">MSAC noted the pre-MSAC response where the applicant </w:t>
      </w:r>
      <w:r w:rsidR="00A04F8B">
        <w:rPr>
          <w:szCs w:val="24"/>
        </w:rPr>
        <w:t>indicated</w:t>
      </w:r>
      <w:r>
        <w:rPr>
          <w:szCs w:val="24"/>
        </w:rPr>
        <w:t xml:space="preserve"> that</w:t>
      </w:r>
      <w:r w:rsidR="00A04F8B">
        <w:rPr>
          <w:szCs w:val="24"/>
        </w:rPr>
        <w:t xml:space="preserve"> the</w:t>
      </w:r>
      <w:r w:rsidR="00582531">
        <w:rPr>
          <w:szCs w:val="24"/>
        </w:rPr>
        <w:t>re is an upcoming</w:t>
      </w:r>
      <w:r>
        <w:rPr>
          <w:szCs w:val="24"/>
        </w:rPr>
        <w:t xml:space="preserve"> </w:t>
      </w:r>
      <w:r w:rsidR="00A04F8B">
        <w:rPr>
          <w:szCs w:val="24"/>
        </w:rPr>
        <w:t>1,200 patient Xoft</w:t>
      </w:r>
      <w:r w:rsidR="00A04F8B" w:rsidRPr="007E2988">
        <w:rPr>
          <w:szCs w:val="24"/>
          <w:vertAlign w:val="superscript"/>
        </w:rPr>
        <w:t>®</w:t>
      </w:r>
      <w:r w:rsidR="00A04F8B">
        <w:rPr>
          <w:szCs w:val="24"/>
        </w:rPr>
        <w:t xml:space="preserve"> </w:t>
      </w:r>
      <w:r w:rsidR="00A04F8B" w:rsidRPr="00A04F8B">
        <w:rPr>
          <w:szCs w:val="24"/>
        </w:rPr>
        <w:t xml:space="preserve">Sponsored Clinical Trial which reached </w:t>
      </w:r>
      <w:r w:rsidR="00A04F8B">
        <w:rPr>
          <w:szCs w:val="24"/>
        </w:rPr>
        <w:t xml:space="preserve">median four year follow-up, and </w:t>
      </w:r>
      <w:r w:rsidR="00A04F8B">
        <w:rPr>
          <w:szCs w:val="24"/>
        </w:rPr>
        <w:lastRenderedPageBreak/>
        <w:t xml:space="preserve">Peter </w:t>
      </w:r>
      <w:r w:rsidR="00957D07">
        <w:t>MacCallum Cancer Centre</w:t>
      </w:r>
      <w:r w:rsidR="00A04F8B">
        <w:rPr>
          <w:szCs w:val="24"/>
        </w:rPr>
        <w:t xml:space="preserve"> </w:t>
      </w:r>
      <w:r w:rsidR="00A9311E">
        <w:rPr>
          <w:szCs w:val="24"/>
        </w:rPr>
        <w:t xml:space="preserve">is </w:t>
      </w:r>
      <w:r w:rsidR="00A04F8B">
        <w:rPr>
          <w:szCs w:val="24"/>
        </w:rPr>
        <w:t>part of the trial</w:t>
      </w:r>
      <w:r>
        <w:rPr>
          <w:szCs w:val="24"/>
        </w:rPr>
        <w:t xml:space="preserve"> (</w:t>
      </w:r>
      <w:hyperlink r:id="rId9" w:tooltip="Link to Clinical Trials website" w:history="1">
        <w:r w:rsidRPr="00BC2392">
          <w:rPr>
            <w:rStyle w:val="Hyperlink"/>
          </w:rPr>
          <w:t>NCT</w:t>
        </w:r>
        <w:r w:rsidRPr="00BC2392">
          <w:rPr>
            <w:rStyle w:val="Hyperlink"/>
          </w:rPr>
          <w:t>0</w:t>
        </w:r>
        <w:r w:rsidRPr="00BC2392">
          <w:rPr>
            <w:rStyle w:val="Hyperlink"/>
          </w:rPr>
          <w:t>1644669</w:t>
        </w:r>
      </w:hyperlink>
      <w:r>
        <w:t xml:space="preserve">). MSAC noted the applicant </w:t>
      </w:r>
      <w:r w:rsidR="009F378C">
        <w:t>stated</w:t>
      </w:r>
      <w:r w:rsidR="007E1A21">
        <w:t xml:space="preserve"> </w:t>
      </w:r>
      <w:r>
        <w:t xml:space="preserve">that prepublication ipsilateral recurrence data appear non-inferior to WB-EBRT and appear comparable to the predicate </w:t>
      </w:r>
      <w:r w:rsidR="009F378C">
        <w:t>device. However, MSAC noted the supportive data was not included.</w:t>
      </w:r>
      <w:r>
        <w:t xml:space="preserve"> MSAC </w:t>
      </w:r>
      <w:r w:rsidR="009F378C">
        <w:t xml:space="preserve">also </w:t>
      </w:r>
      <w:r>
        <w:t>noted the</w:t>
      </w:r>
      <w:r w:rsidR="00A04F8B">
        <w:t xml:space="preserve"> </w:t>
      </w:r>
      <w:r w:rsidR="00A04F8B" w:rsidRPr="00A04F8B">
        <w:t xml:space="preserve">non-inferiority comparison to </w:t>
      </w:r>
      <w:r w:rsidR="00C96835">
        <w:t>WB-EBRT would be made at five</w:t>
      </w:r>
      <w:r w:rsidR="00A04F8B">
        <w:t xml:space="preserve"> years (primary completion date </w:t>
      </w:r>
      <w:r w:rsidR="00751747">
        <w:t xml:space="preserve">due </w:t>
      </w:r>
      <w:r w:rsidR="00A04F8B">
        <w:t>in</w:t>
      </w:r>
      <w:r w:rsidR="00BD1927">
        <w:t xml:space="preserve"> July</w:t>
      </w:r>
      <w:r w:rsidR="00A04F8B">
        <w:t xml:space="preserve"> </w:t>
      </w:r>
      <w:r>
        <w:t>2023</w:t>
      </w:r>
      <w:r w:rsidR="00A04F8B">
        <w:t>)</w:t>
      </w:r>
      <w:r>
        <w:t xml:space="preserve"> </w:t>
      </w:r>
      <w:r w:rsidR="00A04F8B">
        <w:t xml:space="preserve">and </w:t>
      </w:r>
      <w:r w:rsidR="00751747">
        <w:t xml:space="preserve">estimated </w:t>
      </w:r>
      <w:r w:rsidR="00A04F8B">
        <w:t>study completion</w:t>
      </w:r>
      <w:r w:rsidR="00751747">
        <w:t xml:space="preserve"> date </w:t>
      </w:r>
      <w:r w:rsidR="009F378C">
        <w:t>is</w:t>
      </w:r>
      <w:r w:rsidR="008C6552">
        <w:t xml:space="preserve"> </w:t>
      </w:r>
      <w:r w:rsidR="00A04F8B">
        <w:t>due in 2029</w:t>
      </w:r>
      <w:r>
        <w:t>.</w:t>
      </w:r>
    </w:p>
    <w:p w14:paraId="72D6FEC3" w14:textId="33B8D1EE" w:rsidR="007E6A64" w:rsidRPr="00F67851" w:rsidRDefault="00E9302D" w:rsidP="00FC7CD1">
      <w:pPr>
        <w:spacing w:after="240"/>
        <w:rPr>
          <w:szCs w:val="24"/>
        </w:rPr>
      </w:pPr>
      <w:r w:rsidRPr="00E9302D">
        <w:rPr>
          <w:szCs w:val="24"/>
        </w:rPr>
        <w:t xml:space="preserve">MSAC </w:t>
      </w:r>
      <w:r w:rsidR="00FF0BB1">
        <w:rPr>
          <w:szCs w:val="24"/>
        </w:rPr>
        <w:t>considered</w:t>
      </w:r>
      <w:r w:rsidRPr="00E9302D">
        <w:rPr>
          <w:szCs w:val="24"/>
        </w:rPr>
        <w:t xml:space="preserve"> that longer term follow-up for IORT relies heavily on 10-year patient follow-up data from the TARGIT-A trial</w:t>
      </w:r>
      <w:r w:rsidR="00722AF9">
        <w:rPr>
          <w:szCs w:val="24"/>
        </w:rPr>
        <w:t xml:space="preserve"> (</w:t>
      </w:r>
      <w:hyperlink r:id="rId10" w:tooltip="Link to Clinical trials website" w:history="1">
        <w:r w:rsidR="00722AF9" w:rsidRPr="00783A56">
          <w:rPr>
            <w:rStyle w:val="Hyperlink"/>
          </w:rPr>
          <w:t>NCT03501121</w:t>
        </w:r>
      </w:hyperlink>
      <w:r w:rsidR="000E1FF6">
        <w:rPr>
          <w:szCs w:val="24"/>
        </w:rPr>
        <w:t>)</w:t>
      </w:r>
      <w:r w:rsidRPr="00E9302D">
        <w:rPr>
          <w:szCs w:val="24"/>
        </w:rPr>
        <w:t xml:space="preserve">, the </w:t>
      </w:r>
      <w:r w:rsidR="00082EE5">
        <w:rPr>
          <w:szCs w:val="24"/>
        </w:rPr>
        <w:t>results of which are due in 2023</w:t>
      </w:r>
      <w:r w:rsidRPr="00E9302D">
        <w:rPr>
          <w:szCs w:val="24"/>
        </w:rPr>
        <w:t xml:space="preserve"> at the earliest</w:t>
      </w:r>
      <w:r w:rsidR="00BD1927">
        <w:rPr>
          <w:szCs w:val="24"/>
        </w:rPr>
        <w:t xml:space="preserve"> (study completion date due in January 2023)</w:t>
      </w:r>
      <w:r w:rsidRPr="00E9302D">
        <w:rPr>
          <w:szCs w:val="24"/>
        </w:rPr>
        <w:t>.</w:t>
      </w:r>
      <w:r w:rsidR="0093280A">
        <w:rPr>
          <w:szCs w:val="24"/>
        </w:rPr>
        <w:t xml:space="preserve"> </w:t>
      </w:r>
      <w:r w:rsidRPr="00E9302D">
        <w:rPr>
          <w:szCs w:val="24"/>
        </w:rPr>
        <w:t>MSAC recommended that both technologies (Intrabeam</w:t>
      </w:r>
      <w:r w:rsidRPr="007E2988">
        <w:rPr>
          <w:szCs w:val="24"/>
          <w:vertAlign w:val="superscript"/>
        </w:rPr>
        <w:t>®</w:t>
      </w:r>
      <w:r w:rsidRPr="00E9302D">
        <w:rPr>
          <w:szCs w:val="24"/>
        </w:rPr>
        <w:t xml:space="preserve"> and Axxent</w:t>
      </w:r>
      <w:r w:rsidRPr="007E2988">
        <w:rPr>
          <w:szCs w:val="24"/>
          <w:vertAlign w:val="superscript"/>
        </w:rPr>
        <w:t>®</w:t>
      </w:r>
      <w:r w:rsidRPr="00E9302D">
        <w:rPr>
          <w:szCs w:val="24"/>
        </w:rPr>
        <w:t xml:space="preserve">) be rigorously reviewed </w:t>
      </w:r>
      <w:r w:rsidR="002B6F42">
        <w:rPr>
          <w:szCs w:val="24"/>
        </w:rPr>
        <w:t xml:space="preserve">as soon as the </w:t>
      </w:r>
      <w:r w:rsidR="00C96835">
        <w:rPr>
          <w:szCs w:val="24"/>
        </w:rPr>
        <w:t>data</w:t>
      </w:r>
      <w:r w:rsidR="00F33F36">
        <w:rPr>
          <w:szCs w:val="24"/>
        </w:rPr>
        <w:t xml:space="preserve"> </w:t>
      </w:r>
      <w:r w:rsidRPr="00E9302D">
        <w:rPr>
          <w:szCs w:val="24"/>
        </w:rPr>
        <w:t>available</w:t>
      </w:r>
      <w:r w:rsidR="002B6F42">
        <w:rPr>
          <w:szCs w:val="24"/>
        </w:rPr>
        <w:t xml:space="preserve"> is available from TARGIT-A. The assessment process will re-</w:t>
      </w:r>
      <w:r w:rsidR="00957D07">
        <w:rPr>
          <w:szCs w:val="24"/>
        </w:rPr>
        <w:t xml:space="preserve">assess comparative </w:t>
      </w:r>
      <w:r w:rsidR="00FC32D7">
        <w:rPr>
          <w:szCs w:val="24"/>
        </w:rPr>
        <w:t xml:space="preserve">safety and </w:t>
      </w:r>
      <w:r w:rsidR="00957D07">
        <w:rPr>
          <w:szCs w:val="24"/>
        </w:rPr>
        <w:t>effectiveness</w:t>
      </w:r>
      <w:r w:rsidR="00FC32D7">
        <w:rPr>
          <w:szCs w:val="24"/>
        </w:rPr>
        <w:t xml:space="preserve">, </w:t>
      </w:r>
      <w:r w:rsidR="00957D07">
        <w:rPr>
          <w:szCs w:val="24"/>
        </w:rPr>
        <w:t>cost-effectiveness, utilisation and patient preference data</w:t>
      </w:r>
      <w:r w:rsidR="002B6F42">
        <w:rPr>
          <w:szCs w:val="24"/>
        </w:rPr>
        <w:t xml:space="preserve">. This assessment </w:t>
      </w:r>
      <w:r w:rsidR="00E72B14">
        <w:rPr>
          <w:szCs w:val="24"/>
        </w:rPr>
        <w:t>will assist in</w:t>
      </w:r>
      <w:r w:rsidR="00E72B14" w:rsidRPr="00E9302D">
        <w:rPr>
          <w:szCs w:val="24"/>
        </w:rPr>
        <w:t xml:space="preserve"> determining</w:t>
      </w:r>
      <w:r w:rsidR="00E72B14">
        <w:rPr>
          <w:szCs w:val="24"/>
        </w:rPr>
        <w:t xml:space="preserve"> </w:t>
      </w:r>
      <w:r w:rsidR="002B6F42">
        <w:rPr>
          <w:szCs w:val="24"/>
        </w:rPr>
        <w:t>the</w:t>
      </w:r>
      <w:r w:rsidR="002B6F42" w:rsidRPr="00E9302D">
        <w:rPr>
          <w:szCs w:val="24"/>
        </w:rPr>
        <w:t xml:space="preserve"> </w:t>
      </w:r>
      <w:r w:rsidRPr="00E9302D">
        <w:rPr>
          <w:szCs w:val="24"/>
        </w:rPr>
        <w:t xml:space="preserve">place </w:t>
      </w:r>
      <w:r w:rsidR="002B6F42">
        <w:rPr>
          <w:szCs w:val="24"/>
        </w:rPr>
        <w:t xml:space="preserve">of IORT (irrespective of technology) </w:t>
      </w:r>
      <w:r w:rsidRPr="00E9302D">
        <w:rPr>
          <w:szCs w:val="24"/>
        </w:rPr>
        <w:t xml:space="preserve">on the MBS in the long term; and </w:t>
      </w:r>
      <w:r w:rsidRPr="003B15F1">
        <w:rPr>
          <w:szCs w:val="24"/>
        </w:rPr>
        <w:t>in</w:t>
      </w:r>
      <w:r w:rsidRPr="00F67851">
        <w:rPr>
          <w:szCs w:val="24"/>
        </w:rPr>
        <w:t xml:space="preserve"> particular, to assess whether IORT is non-inferior to WB-EBRT in terms of recurrence rates.</w:t>
      </w:r>
    </w:p>
    <w:p w14:paraId="5A70D0F1" w14:textId="0B0C75A4" w:rsidR="00AD375F" w:rsidRPr="007E2988" w:rsidRDefault="00AD375F" w:rsidP="00FC7CD1">
      <w:pPr>
        <w:spacing w:after="240"/>
        <w:rPr>
          <w:szCs w:val="24"/>
        </w:rPr>
      </w:pPr>
      <w:r>
        <w:t xml:space="preserve">MSAC also noted the department had decided to defer the predicted versus actual review because of the limited availability of </w:t>
      </w:r>
      <w:r w:rsidR="00E72B14">
        <w:t>MBS claims data</w:t>
      </w:r>
      <w:r>
        <w:t xml:space="preserve">, the </w:t>
      </w:r>
      <w:r w:rsidR="002B6F42">
        <w:t xml:space="preserve">yet to be available </w:t>
      </w:r>
      <w:r>
        <w:t>TARGIT-A follow-up data and the lack of information regarding why IORT is not being used as a treatment option.</w:t>
      </w:r>
    </w:p>
    <w:p w14:paraId="1B2F769B" w14:textId="77777777" w:rsidR="00BA3279" w:rsidRPr="00F715D1" w:rsidRDefault="00BA3279" w:rsidP="00BA3279">
      <w:pPr>
        <w:pStyle w:val="Heading1"/>
      </w:pPr>
      <w:r w:rsidRPr="00F715D1">
        <w:t>Background</w:t>
      </w:r>
    </w:p>
    <w:p w14:paraId="06E5CDD0" w14:textId="10950505" w:rsidR="00F02FC8" w:rsidRDefault="00F02FC8" w:rsidP="00F02FC8">
      <w:r>
        <w:t xml:space="preserve">This is the first resubmission </w:t>
      </w:r>
      <w:r w:rsidR="00D0496B">
        <w:t xml:space="preserve">(department contracted assessment report; DCAR) </w:t>
      </w:r>
      <w:r>
        <w:t>of Application 1429.</w:t>
      </w:r>
    </w:p>
    <w:p w14:paraId="1F8443C3" w14:textId="61953D38" w:rsidR="00F02FC8" w:rsidRDefault="00F02FC8" w:rsidP="00E9302D">
      <w:pPr>
        <w:spacing w:before="240"/>
      </w:pPr>
      <w:r>
        <w:t>At the April 2017 meeting, MSAC did not support public funding of IORT using the Xoft</w:t>
      </w:r>
      <w:r w:rsidRPr="002160A5">
        <w:rPr>
          <w:vertAlign w:val="superscript"/>
        </w:rPr>
        <w:t>®</w:t>
      </w:r>
      <w:r>
        <w:t xml:space="preserve"> Axxent</w:t>
      </w:r>
      <w:r w:rsidRPr="002160A5">
        <w:rPr>
          <w:vertAlign w:val="superscript"/>
        </w:rPr>
        <w:t>®</w:t>
      </w:r>
      <w:r>
        <w:t xml:space="preserve"> device for </w:t>
      </w:r>
      <w:r w:rsidR="008C6552">
        <w:t>early stage</w:t>
      </w:r>
      <w:r>
        <w:t xml:space="preserve"> breast cancer.</w:t>
      </w:r>
      <w:r w:rsidR="00E9302D">
        <w:t xml:space="preserve"> </w:t>
      </w:r>
      <w:r>
        <w:t>MSAC accepted the evidence of technical equivalence between the proposed (Axxent) and listed (Intrabeam) devices, but advised that this evidence did not provide a satisfactory basis to conclude clinical equivalence. Further, MSAC considered that the clinical place for IORT has not yet been fully established and that no acceptable direct or indirect evidence of comparative safety, clinical effectiveness or cost-effectiveness was presented.</w:t>
      </w:r>
    </w:p>
    <w:p w14:paraId="30285407" w14:textId="77777777" w:rsidR="00F02FC8" w:rsidRDefault="00F02FC8" w:rsidP="00E9302D">
      <w:pPr>
        <w:spacing w:before="240"/>
      </w:pPr>
      <w:r>
        <w:t>MSAC requested any resubmission would need to be considered by ESC and should provide evidence of long-term safety and clinical effectiveness. MSAC agreed that whole-breast external beam radiation therapy (WB-EBRT) is the appropriate comparator for Axxent, given that there has been virtually no utilisation of the existing MBS items for IORT.</w:t>
      </w:r>
    </w:p>
    <w:p w14:paraId="3CE97217" w14:textId="7BF80FA6" w:rsidR="00F02FC8" w:rsidRDefault="00F02FC8" w:rsidP="00E9302D">
      <w:pPr>
        <w:spacing w:before="240"/>
      </w:pPr>
      <w:r>
        <w:t>MSAC requested the department follow-up with</w:t>
      </w:r>
      <w:r w:rsidR="00E72B14">
        <w:t xml:space="preserve"> RANZCR</w:t>
      </w:r>
      <w:r>
        <w:t xml:space="preserve">, the Royal Australasian College of Surgeons (breast surgeons) and hospitals that have purchased these devices in Western Australia and the Peter MacCallum Cancer Centre to identify what data </w:t>
      </w:r>
      <w:r w:rsidR="00C846A0">
        <w:t xml:space="preserve">is </w:t>
      </w:r>
      <w:r>
        <w:t>being collected, explain the clinical place of these devices with respect to each other and external beam radiotherapy, and explain the very low number of MBS claims to date (</w:t>
      </w:r>
      <w:hyperlink r:id="rId11" w:tooltip="Link to MSAC website for application 1429" w:history="1">
        <w:r w:rsidRPr="00571A01">
          <w:rPr>
            <w:rStyle w:val="Hyperlink"/>
          </w:rPr>
          <w:t>Public Summary Document [PSD] Application 1429, April 2017, p1</w:t>
        </w:r>
      </w:hyperlink>
      <w:r>
        <w:t>).</w:t>
      </w:r>
    </w:p>
    <w:p w14:paraId="67340B21" w14:textId="0D3F826C" w:rsidR="00F02FC8" w:rsidRDefault="00F02FC8" w:rsidP="00E9302D">
      <w:pPr>
        <w:spacing w:before="240" w:after="240"/>
      </w:pPr>
      <w:r>
        <w:t>The DCAR provided a detailed summary of previous MSAC issues from the previous submission (1429) and how they have addressed them in the resubmission (Application 1429.1) [Table 1].</w:t>
      </w:r>
    </w:p>
    <w:p w14:paraId="529BCD99" w14:textId="77777777" w:rsidR="00F02FC8" w:rsidRPr="00ED7C46" w:rsidRDefault="00F02FC8" w:rsidP="00ED7C46">
      <w:pPr>
        <w:keepNext/>
        <w:keepLines/>
        <w:rPr>
          <w:rFonts w:ascii="Arial Narrow" w:hAnsi="Arial Narrow"/>
          <w:b/>
          <w:sz w:val="20"/>
        </w:rPr>
      </w:pPr>
      <w:bookmarkStart w:id="1" w:name="_Toc29554549"/>
      <w:r w:rsidRPr="00ED7C46">
        <w:rPr>
          <w:rFonts w:ascii="Arial Narrow" w:hAnsi="Arial Narrow"/>
          <w:b/>
          <w:sz w:val="20"/>
        </w:rPr>
        <w:lastRenderedPageBreak/>
        <w:t>Table 1</w:t>
      </w:r>
      <w:r w:rsidRPr="00ED7C46">
        <w:rPr>
          <w:rFonts w:ascii="Arial Narrow" w:hAnsi="Arial Narrow"/>
          <w:b/>
          <w:sz w:val="20"/>
        </w:rPr>
        <w:tab/>
        <w:t>Summary of MSAC’s recommendations from MSAC 1429, and approach used in the resubmission</w:t>
      </w:r>
      <w:bookmarkEnd w:id="1"/>
    </w:p>
    <w:tbl>
      <w:tblPr>
        <w:tblStyle w:val="TableGrid"/>
        <w:tblW w:w="0" w:type="auto"/>
        <w:tblCellMar>
          <w:left w:w="28" w:type="dxa"/>
          <w:right w:w="28" w:type="dxa"/>
        </w:tblCellMar>
        <w:tblLook w:val="04A0" w:firstRow="1" w:lastRow="0" w:firstColumn="1" w:lastColumn="0" w:noHBand="0" w:noVBand="1"/>
        <w:tblCaption w:val="Table 1 Summary of MSAC’s recommendations from MSAC 1429, and approach used in the resubmission"/>
        <w:tblDescription w:val="Summary of MSAC issues/recommendations based on MSAC 1429 and how these recommendations have been addressed in MSAC 1429.1"/>
      </w:tblPr>
      <w:tblGrid>
        <w:gridCol w:w="4508"/>
        <w:gridCol w:w="4508"/>
      </w:tblGrid>
      <w:tr w:rsidR="00F02FC8" w14:paraId="4071693E" w14:textId="77777777" w:rsidTr="00F02FC8">
        <w:trPr>
          <w:tblHeader/>
        </w:trPr>
        <w:tc>
          <w:tcPr>
            <w:tcW w:w="4509" w:type="dxa"/>
          </w:tcPr>
          <w:p w14:paraId="3E2B53E7" w14:textId="77777777" w:rsidR="00F02FC8" w:rsidRPr="00FB4D55" w:rsidRDefault="00F02FC8" w:rsidP="00ED7C46">
            <w:pPr>
              <w:pStyle w:val="Tabletext0"/>
              <w:keepNext/>
              <w:keepLines/>
              <w:rPr>
                <w:b/>
              </w:rPr>
            </w:pPr>
            <w:r w:rsidRPr="00FB4D55">
              <w:rPr>
                <w:b/>
              </w:rPr>
              <w:t xml:space="preserve">MSAC </w:t>
            </w:r>
            <w:r>
              <w:rPr>
                <w:b/>
              </w:rPr>
              <w:t>issues/</w:t>
            </w:r>
            <w:r w:rsidRPr="00FB4D55">
              <w:rPr>
                <w:b/>
              </w:rPr>
              <w:t>recommendation</w:t>
            </w:r>
            <w:r>
              <w:rPr>
                <w:b/>
              </w:rPr>
              <w:t>s</w:t>
            </w:r>
            <w:r w:rsidRPr="00FB4D55">
              <w:rPr>
                <w:b/>
              </w:rPr>
              <w:t xml:space="preserve"> based on MSAC</w:t>
            </w:r>
            <w:r>
              <w:rPr>
                <w:b/>
              </w:rPr>
              <w:t xml:space="preserve"> 1429</w:t>
            </w:r>
          </w:p>
        </w:tc>
        <w:tc>
          <w:tcPr>
            <w:tcW w:w="4510" w:type="dxa"/>
          </w:tcPr>
          <w:p w14:paraId="1F3E9F49" w14:textId="77777777" w:rsidR="00F02FC8" w:rsidRPr="00FB4D55" w:rsidRDefault="00F02FC8" w:rsidP="00ED7C46">
            <w:pPr>
              <w:pStyle w:val="Tabletext0"/>
              <w:keepNext/>
              <w:keepLines/>
              <w:rPr>
                <w:b/>
              </w:rPr>
            </w:pPr>
            <w:r w:rsidRPr="00FB4D55">
              <w:rPr>
                <w:b/>
              </w:rPr>
              <w:t>How these recommendations have been addressed in MSAC 1429.1</w:t>
            </w:r>
          </w:p>
        </w:tc>
      </w:tr>
      <w:tr w:rsidR="00F02FC8" w14:paraId="6BF9DCA9" w14:textId="77777777" w:rsidTr="00E9302D">
        <w:tc>
          <w:tcPr>
            <w:tcW w:w="4509" w:type="dxa"/>
          </w:tcPr>
          <w:p w14:paraId="59DF526D" w14:textId="77777777" w:rsidR="00F02FC8" w:rsidRPr="00317AC9" w:rsidRDefault="00F02FC8" w:rsidP="00ED7C46">
            <w:pPr>
              <w:pStyle w:val="Tabletext0"/>
              <w:keepNext/>
              <w:keepLines/>
              <w:spacing w:after="120"/>
              <w:ind w:left="0" w:right="0"/>
            </w:pPr>
            <w:r w:rsidRPr="00317AC9">
              <w:t>MSAC agreed that whole-breast external beam radiation therapy (WB-EBRT) is the appropriate comparator for Axxent, given that there has been virtually no utilisation of the existing MBS items for IORT</w:t>
            </w:r>
            <w:r>
              <w:t xml:space="preserve"> [PSD, p1,2].</w:t>
            </w:r>
          </w:p>
        </w:tc>
        <w:tc>
          <w:tcPr>
            <w:tcW w:w="4510" w:type="dxa"/>
          </w:tcPr>
          <w:p w14:paraId="676A16CE" w14:textId="77777777" w:rsidR="00F02FC8" w:rsidRDefault="00F02FC8" w:rsidP="00ED7C46">
            <w:pPr>
              <w:pStyle w:val="Tabletext0"/>
              <w:keepNext/>
              <w:keepLines/>
              <w:spacing w:after="120"/>
              <w:ind w:left="0" w:right="0"/>
            </w:pPr>
            <w:r>
              <w:t>WB-EBRT is the appropriate comparator [Application Form] and has been nominated as the main comparator in this submission.</w:t>
            </w:r>
          </w:p>
        </w:tc>
      </w:tr>
      <w:tr w:rsidR="00F02FC8" w14:paraId="3D81ABBA" w14:textId="77777777" w:rsidTr="00E9302D">
        <w:tc>
          <w:tcPr>
            <w:tcW w:w="4509" w:type="dxa"/>
          </w:tcPr>
          <w:p w14:paraId="6B933AF3" w14:textId="77777777" w:rsidR="00F02FC8" w:rsidRDefault="00F02FC8" w:rsidP="003D1F30">
            <w:pPr>
              <w:pStyle w:val="Tabletext0"/>
              <w:spacing w:after="120"/>
              <w:ind w:left="0" w:right="0"/>
            </w:pPr>
            <w:r w:rsidRPr="00317AC9">
              <w:t>MSAC considered that the clinical place for IORT has not yet been fully established</w:t>
            </w:r>
            <w:r>
              <w:t xml:space="preserve"> [PSD, p1].</w:t>
            </w:r>
          </w:p>
        </w:tc>
        <w:tc>
          <w:tcPr>
            <w:tcW w:w="4510" w:type="dxa"/>
          </w:tcPr>
          <w:p w14:paraId="0A496A5A" w14:textId="77777777" w:rsidR="00F02FC8" w:rsidRDefault="00F02FC8" w:rsidP="003D1F30">
            <w:pPr>
              <w:pStyle w:val="Tabletext0"/>
              <w:spacing w:after="120"/>
              <w:ind w:left="0" w:right="0"/>
            </w:pPr>
            <w:r>
              <w:t>RANZCR agreed with the clinical algorithm proposed in the previous submission [Consolidated Consultations Feedback]. Increased utilisation of Intrabeam</w:t>
            </w:r>
            <w:r w:rsidRPr="00FB4D55">
              <w:rPr>
                <w:vertAlign w:val="superscript"/>
              </w:rPr>
              <w:t>®</w:t>
            </w:r>
            <w:r>
              <w:t xml:space="preserve"> suggests IORT has a place in clinical practice.</w:t>
            </w:r>
          </w:p>
        </w:tc>
      </w:tr>
      <w:tr w:rsidR="00F02FC8" w14:paraId="2B892506" w14:textId="77777777" w:rsidTr="00E9302D">
        <w:tc>
          <w:tcPr>
            <w:tcW w:w="4509" w:type="dxa"/>
          </w:tcPr>
          <w:p w14:paraId="32A5DEC8" w14:textId="77777777" w:rsidR="00F02FC8" w:rsidRPr="00EC0454" w:rsidRDefault="00F02FC8" w:rsidP="003D1F30">
            <w:pPr>
              <w:pStyle w:val="Tabletext0"/>
              <w:spacing w:after="120"/>
              <w:ind w:left="0" w:right="0"/>
            </w:pPr>
            <w:r w:rsidRPr="00243A09">
              <w:t>MSAC questioned the need for listing another device on the MBS, given the lack of uptake of Intrabeam (no MBS claims under Item 15900, six claims under Item 31516, between September 2015 to February 2017) – which suggests a lack of clinical n</w:t>
            </w:r>
            <w:r>
              <w:t>eed for IORT in general [PSD, p3].</w:t>
            </w:r>
          </w:p>
        </w:tc>
        <w:tc>
          <w:tcPr>
            <w:tcW w:w="4510" w:type="dxa"/>
          </w:tcPr>
          <w:p w14:paraId="20605AD3" w14:textId="77777777" w:rsidR="00F02FC8" w:rsidRPr="00153313" w:rsidRDefault="00F02FC8" w:rsidP="003D1F30">
            <w:pPr>
              <w:pStyle w:val="Tabletext0"/>
              <w:spacing w:after="120"/>
              <w:ind w:left="0" w:right="0"/>
            </w:pPr>
            <w:r>
              <w:t>There has been an increase in uptake of Intrabeam</w:t>
            </w:r>
            <w:r w:rsidRPr="00FB4D55">
              <w:rPr>
                <w:vertAlign w:val="superscript"/>
              </w:rPr>
              <w:t>®</w:t>
            </w:r>
            <w:r>
              <w:t xml:space="preserve"> since the previous submission. There have been 36 claims under MBS item 31516 but no claims under MBS item 15900, between September 2015 to September 2019. This suggests that IORT has a place in clinical practice with uptake likely to continue to rise.</w:t>
            </w:r>
          </w:p>
        </w:tc>
      </w:tr>
      <w:tr w:rsidR="00F02FC8" w14:paraId="43018F7D" w14:textId="77777777" w:rsidTr="00E9302D">
        <w:tc>
          <w:tcPr>
            <w:tcW w:w="4509" w:type="dxa"/>
          </w:tcPr>
          <w:p w14:paraId="475E1EE3" w14:textId="77777777" w:rsidR="00F02FC8" w:rsidRDefault="00F02FC8" w:rsidP="003D1F30">
            <w:pPr>
              <w:pStyle w:val="Tabletext0"/>
              <w:spacing w:after="120"/>
              <w:ind w:left="0" w:right="0"/>
            </w:pPr>
            <w:r w:rsidRPr="00EC0454">
              <w:t>Any resubmission</w:t>
            </w:r>
            <w:r>
              <w:t xml:space="preserve"> should provide evidence of long-term safety and clinical effectiveness [PSD, p1]. </w:t>
            </w:r>
          </w:p>
          <w:p w14:paraId="00D3BDCA" w14:textId="77777777" w:rsidR="00F02FC8" w:rsidRDefault="00F02FC8" w:rsidP="003D1F30">
            <w:pPr>
              <w:pStyle w:val="Tabletext0"/>
              <w:spacing w:after="120"/>
              <w:ind w:left="0" w:right="0"/>
            </w:pPr>
            <w:r w:rsidRPr="00EC0454">
              <w:t>MSAC agreed on the lack of long</w:t>
            </w:r>
            <w:r>
              <w:t>-</w:t>
            </w:r>
            <w:r w:rsidRPr="00EC0454">
              <w:t>term sa</w:t>
            </w:r>
            <w:r>
              <w:t>fety data for the Axxent device [PSD, p2]</w:t>
            </w:r>
          </w:p>
          <w:p w14:paraId="5624A142" w14:textId="18BEE1E6" w:rsidR="00F02FC8" w:rsidRDefault="00F02FC8" w:rsidP="003D1F30">
            <w:pPr>
              <w:pStyle w:val="Tabletext0"/>
              <w:spacing w:after="120"/>
              <w:ind w:left="0" w:right="0"/>
            </w:pPr>
            <w:r w:rsidRPr="00D863FD">
              <w:t>MSAC recalled its concerns regarding the Intrabeam evidence base</w:t>
            </w:r>
            <w:r>
              <w:t xml:space="preserve"> </w:t>
            </w:r>
            <w:r w:rsidRPr="0083368F">
              <w:t>(</w:t>
            </w:r>
            <w:hyperlink r:id="rId12" w:tooltip="Link to MSAC public summary document for application 1189" w:history="1">
              <w:r w:rsidRPr="0083368F">
                <w:rPr>
                  <w:rStyle w:val="Hyperlink"/>
                </w:rPr>
                <w:t>MSAC Public Summary Document [PSD] Application 1189, November 2014</w:t>
              </w:r>
            </w:hyperlink>
            <w:r w:rsidRPr="0083368F">
              <w:t>) and the limited evidence for long</w:t>
            </w:r>
            <w:r>
              <w:t>-</w:t>
            </w:r>
            <w:r w:rsidRPr="0083368F">
              <w:t>term safety and efficacy of IORT using Intrabeam compared to WB-EBRT</w:t>
            </w:r>
            <w:r w:rsidRPr="0066117C">
              <w:t xml:space="preserve"> [PSD, </w:t>
            </w:r>
            <w:r>
              <w:t>p2].</w:t>
            </w:r>
          </w:p>
        </w:tc>
        <w:tc>
          <w:tcPr>
            <w:tcW w:w="4510" w:type="dxa"/>
          </w:tcPr>
          <w:p w14:paraId="564B47A1" w14:textId="77777777" w:rsidR="00F02FC8" w:rsidRDefault="00F02FC8" w:rsidP="003D1F30">
            <w:pPr>
              <w:pStyle w:val="Tabletext0"/>
              <w:spacing w:after="120"/>
              <w:ind w:left="0" w:right="0"/>
            </w:pPr>
            <w:r>
              <w:t>An updated literature search identified a new study reporting on longer follow-up data for Axxent</w:t>
            </w:r>
            <w:r w:rsidRPr="00FB4D55">
              <w:rPr>
                <w:vertAlign w:val="superscript"/>
              </w:rPr>
              <w:t>®</w:t>
            </w:r>
            <w:r>
              <w:t xml:space="preserve"> with a median follow-up of three years (Silverstein </w:t>
            </w:r>
            <w:r>
              <w:rPr>
                <w:i/>
                <w:iCs/>
              </w:rPr>
              <w:t>et al</w:t>
            </w:r>
            <w:r>
              <w:t xml:space="preserve"> 2018).</w:t>
            </w:r>
          </w:p>
          <w:p w14:paraId="2107CAF3" w14:textId="77777777" w:rsidR="00F02FC8" w:rsidRDefault="00F02FC8" w:rsidP="003D1F30">
            <w:pPr>
              <w:pStyle w:val="Tabletext0"/>
              <w:spacing w:after="120"/>
              <w:ind w:left="0" w:right="0"/>
            </w:pPr>
            <w:r>
              <w:t xml:space="preserve">Vaidya </w:t>
            </w:r>
            <w:r>
              <w:rPr>
                <w:i/>
                <w:iCs/>
              </w:rPr>
              <w:t xml:space="preserve">et </w:t>
            </w:r>
            <w:r w:rsidRPr="00147C25">
              <w:rPr>
                <w:i/>
                <w:iCs/>
              </w:rPr>
              <w:t>al</w:t>
            </w:r>
            <w:r>
              <w:t xml:space="preserve"> 2010 and 2014 reported results with Intrabeam</w:t>
            </w:r>
            <w:r w:rsidRPr="00FB4D55">
              <w:rPr>
                <w:vertAlign w:val="superscript"/>
              </w:rPr>
              <w:t>®</w:t>
            </w:r>
            <w:r>
              <w:t xml:space="preserve"> with a median follow-up of 5.8 years. An updated literature search identified o</w:t>
            </w:r>
            <w:r w:rsidRPr="00147C25">
              <w:t>ne</w:t>
            </w:r>
            <w:r w:rsidRPr="0046652D">
              <w:t xml:space="preserve"> new RCT on Intrabeam</w:t>
            </w:r>
            <w:r w:rsidRPr="00FB4D55">
              <w:rPr>
                <w:vertAlign w:val="superscript"/>
              </w:rPr>
              <w:t>®</w:t>
            </w:r>
            <w:r w:rsidRPr="0046652D">
              <w:t xml:space="preserve"> that</w:t>
            </w:r>
            <w:r>
              <w:t xml:space="preserve"> reported safety outcomes from </w:t>
            </w:r>
            <w:r w:rsidRPr="0046652D">
              <w:t>41 patients</w:t>
            </w:r>
            <w:r>
              <w:t xml:space="preserve"> after a median follow-up of 3.2 years (Key </w:t>
            </w:r>
            <w:r>
              <w:rPr>
                <w:i/>
                <w:iCs/>
              </w:rPr>
              <w:t>et al</w:t>
            </w:r>
            <w:r>
              <w:t xml:space="preserve"> 2017)</w:t>
            </w:r>
            <w:r w:rsidRPr="0046652D">
              <w:t>.</w:t>
            </w:r>
          </w:p>
        </w:tc>
      </w:tr>
      <w:tr w:rsidR="00F02FC8" w14:paraId="39A1D909" w14:textId="77777777" w:rsidTr="00E9302D">
        <w:tc>
          <w:tcPr>
            <w:tcW w:w="4509" w:type="dxa"/>
            <w:tcBorders>
              <w:bottom w:val="single" w:sz="4" w:space="0" w:color="auto"/>
            </w:tcBorders>
          </w:tcPr>
          <w:p w14:paraId="2DEA85A1" w14:textId="77777777" w:rsidR="00F02FC8" w:rsidRPr="00EC0454" w:rsidRDefault="00F02FC8" w:rsidP="003D1F30">
            <w:pPr>
              <w:pStyle w:val="Tabletext0"/>
              <w:spacing w:after="120"/>
              <w:ind w:left="0" w:right="0"/>
            </w:pPr>
            <w:r w:rsidRPr="00D863FD">
              <w:t>MSAC noted that an economic evaluation had not been presented to the Committee due to uncertainties around the reported outcomes. MSAC also noted the unknown costs for the Axxent devi</w:t>
            </w:r>
            <w:r>
              <w:t>ce [PSD, p2].</w:t>
            </w:r>
          </w:p>
        </w:tc>
        <w:tc>
          <w:tcPr>
            <w:tcW w:w="4510" w:type="dxa"/>
            <w:tcBorders>
              <w:bottom w:val="single" w:sz="4" w:space="0" w:color="auto"/>
            </w:tcBorders>
          </w:tcPr>
          <w:p w14:paraId="19153573" w14:textId="77777777" w:rsidR="00F02FC8" w:rsidRDefault="00F02FC8" w:rsidP="003D1F30">
            <w:pPr>
              <w:pStyle w:val="Tabletext0"/>
              <w:spacing w:after="120"/>
              <w:ind w:left="0" w:right="0"/>
            </w:pPr>
            <w:r>
              <w:t>MSAC recommended MBS listing of Intrabeam</w:t>
            </w:r>
            <w:r w:rsidRPr="00FB4D55">
              <w:rPr>
                <w:vertAlign w:val="superscript"/>
              </w:rPr>
              <w:t>®</w:t>
            </w:r>
            <w:r>
              <w:t xml:space="preserve"> on a cost-minimisation basis given the claim of non-inferiority in terms of safety and effectiveness compared to WB-EBRT (PSD Application 1189 p1). </w:t>
            </w:r>
          </w:p>
          <w:p w14:paraId="5DB04CF3" w14:textId="77777777" w:rsidR="00F02FC8" w:rsidRDefault="00F02FC8" w:rsidP="003D1F30">
            <w:pPr>
              <w:pStyle w:val="Tabletext0"/>
              <w:spacing w:after="120"/>
              <w:ind w:left="0" w:right="0"/>
            </w:pPr>
            <w:r>
              <w:t>Section B of this submission demonstrates clinical non-inferiority between Axxent</w:t>
            </w:r>
            <w:r w:rsidRPr="00BA2819">
              <w:rPr>
                <w:vertAlign w:val="superscript"/>
              </w:rPr>
              <w:t>®</w:t>
            </w:r>
            <w:r>
              <w:rPr>
                <w:vertAlign w:val="superscript"/>
              </w:rPr>
              <w:t xml:space="preserve"> </w:t>
            </w:r>
            <w:r>
              <w:t>against WB-EBRT or Intrabeam</w:t>
            </w:r>
            <w:r w:rsidRPr="00BA2819">
              <w:rPr>
                <w:vertAlign w:val="superscript"/>
              </w:rPr>
              <w:t>®</w:t>
            </w:r>
            <w:r>
              <w:t xml:space="preserve"> in terms of both safety and effectiveness. This is consistent with the previous submission.</w:t>
            </w:r>
          </w:p>
          <w:p w14:paraId="4F84EDC1" w14:textId="77777777" w:rsidR="00F02FC8" w:rsidRDefault="00F02FC8" w:rsidP="003D1F30">
            <w:pPr>
              <w:pStyle w:val="Tabletext0"/>
              <w:spacing w:after="120"/>
              <w:ind w:left="0" w:right="0"/>
            </w:pPr>
            <w:r>
              <w:t>Given the evidence presented in this resubmission and MSAC recommendations for Intrabeam</w:t>
            </w:r>
            <w:r w:rsidRPr="00FB4D55">
              <w:rPr>
                <w:vertAlign w:val="superscript"/>
              </w:rPr>
              <w:t>®</w:t>
            </w:r>
            <w:r>
              <w:t>, it is assumed that Axxent</w:t>
            </w:r>
            <w:r w:rsidRPr="00FB4D55">
              <w:rPr>
                <w:vertAlign w:val="superscript"/>
              </w:rPr>
              <w:t>®</w:t>
            </w:r>
            <w:r>
              <w:t xml:space="preserve"> can be cost-minimised against WB-EBRT. Therefore, consistent with the previous submission, no pre-modelling studies or economic evaluation were provided in the resubmission.</w:t>
            </w:r>
          </w:p>
        </w:tc>
      </w:tr>
      <w:tr w:rsidR="00F02FC8" w14:paraId="1B14765A" w14:textId="77777777" w:rsidTr="00E9302D">
        <w:tc>
          <w:tcPr>
            <w:tcW w:w="4509" w:type="dxa"/>
            <w:tcBorders>
              <w:top w:val="single" w:sz="4" w:space="0" w:color="auto"/>
              <w:left w:val="single" w:sz="4" w:space="0" w:color="auto"/>
              <w:bottom w:val="single" w:sz="4" w:space="0" w:color="auto"/>
              <w:right w:val="nil"/>
            </w:tcBorders>
          </w:tcPr>
          <w:p w14:paraId="110FF288" w14:textId="77777777" w:rsidR="00F02FC8" w:rsidRPr="00FB4D55" w:rsidRDefault="00F02FC8" w:rsidP="00E9302D">
            <w:pPr>
              <w:pStyle w:val="Tabletext0"/>
              <w:rPr>
                <w:b/>
              </w:rPr>
            </w:pPr>
            <w:r>
              <w:rPr>
                <w:b/>
              </w:rPr>
              <w:t xml:space="preserve">Specific </w:t>
            </w:r>
            <w:r w:rsidRPr="00202763">
              <w:rPr>
                <w:b/>
              </w:rPr>
              <w:t>i</w:t>
            </w:r>
            <w:r w:rsidRPr="00FB4D55">
              <w:rPr>
                <w:b/>
              </w:rPr>
              <w:t>ssues related to previous main comparator: IORT with Intrabeam device</w:t>
            </w:r>
          </w:p>
        </w:tc>
        <w:tc>
          <w:tcPr>
            <w:tcW w:w="4510" w:type="dxa"/>
            <w:tcBorders>
              <w:top w:val="single" w:sz="4" w:space="0" w:color="auto"/>
              <w:left w:val="nil"/>
              <w:bottom w:val="single" w:sz="4" w:space="0" w:color="auto"/>
              <w:right w:val="single" w:sz="4" w:space="0" w:color="auto"/>
            </w:tcBorders>
          </w:tcPr>
          <w:p w14:paraId="2BD81117" w14:textId="77777777" w:rsidR="00F02FC8" w:rsidRPr="00202763" w:rsidRDefault="00F02FC8" w:rsidP="00E9302D">
            <w:pPr>
              <w:pStyle w:val="Tabletext0"/>
            </w:pPr>
          </w:p>
        </w:tc>
      </w:tr>
      <w:tr w:rsidR="00F02FC8" w14:paraId="1B24C1F3" w14:textId="77777777" w:rsidTr="00E9302D">
        <w:tc>
          <w:tcPr>
            <w:tcW w:w="4509" w:type="dxa"/>
            <w:tcBorders>
              <w:top w:val="single" w:sz="4" w:space="0" w:color="auto"/>
            </w:tcBorders>
          </w:tcPr>
          <w:p w14:paraId="7B0D09BF" w14:textId="77777777" w:rsidR="00F02FC8" w:rsidRPr="00D863FD" w:rsidRDefault="00F02FC8" w:rsidP="00E9302D">
            <w:pPr>
              <w:pStyle w:val="Tabletext0"/>
            </w:pPr>
            <w:r w:rsidRPr="00560982">
              <w:t xml:space="preserve">MSAC considered that no acceptable direct or indirect evidence of comparative safety, clinical effectiveness or cost-effectiveness was presented and as such no conclusion could be made regarding the relative safety or effectiveness of Axxent compared to Intrabeam. </w:t>
            </w:r>
            <w:r>
              <w:t>[PSD, p2].</w:t>
            </w:r>
          </w:p>
        </w:tc>
        <w:tc>
          <w:tcPr>
            <w:tcW w:w="4510" w:type="dxa"/>
            <w:tcBorders>
              <w:top w:val="single" w:sz="4" w:space="0" w:color="auto"/>
            </w:tcBorders>
          </w:tcPr>
          <w:p w14:paraId="3E3BE749" w14:textId="77777777" w:rsidR="00F02FC8" w:rsidRPr="0073337E" w:rsidRDefault="00F02FC8" w:rsidP="00E9302D">
            <w:pPr>
              <w:pStyle w:val="Tabletext0"/>
            </w:pPr>
            <w:r>
              <w:t>An updated literature search identified one</w:t>
            </w:r>
            <w:r w:rsidRPr="0073337E">
              <w:t xml:space="preserve"> new study reporting on longer follow</w:t>
            </w:r>
            <w:r>
              <w:t>-</w:t>
            </w:r>
            <w:r w:rsidRPr="0073337E">
              <w:t>up data for Axxent</w:t>
            </w:r>
            <w:r w:rsidRPr="00FB4D55">
              <w:rPr>
                <w:vertAlign w:val="superscript"/>
              </w:rPr>
              <w:t>®</w:t>
            </w:r>
            <w:r w:rsidRPr="0073337E">
              <w:t xml:space="preserve"> with a median follow-up of three years (Silverstein et al 2018).</w:t>
            </w:r>
            <w:r>
              <w:t xml:space="preserve"> O</w:t>
            </w:r>
            <w:r w:rsidRPr="00BA2819">
              <w:t>ne</w:t>
            </w:r>
            <w:r w:rsidRPr="0046652D">
              <w:t xml:space="preserve"> new RCT on Intrabeam</w:t>
            </w:r>
            <w:r w:rsidRPr="00BA2819">
              <w:rPr>
                <w:vertAlign w:val="superscript"/>
              </w:rPr>
              <w:t>®</w:t>
            </w:r>
            <w:r w:rsidRPr="0046652D">
              <w:t xml:space="preserve"> that</w:t>
            </w:r>
            <w:r>
              <w:t xml:space="preserve"> reported safety outcomes from </w:t>
            </w:r>
            <w:r w:rsidRPr="0046652D">
              <w:t>41 patients</w:t>
            </w:r>
            <w:r>
              <w:t xml:space="preserve"> after a median follow-up of 3.2 years (Key </w:t>
            </w:r>
            <w:r>
              <w:rPr>
                <w:i/>
                <w:iCs/>
              </w:rPr>
              <w:t>et al</w:t>
            </w:r>
            <w:r>
              <w:t xml:space="preserve"> 2017) was also identified</w:t>
            </w:r>
            <w:r w:rsidRPr="0046652D">
              <w:t>.</w:t>
            </w:r>
            <w:r>
              <w:t xml:space="preserve"> A naïve indirect comparison of the safety and effectiveness of Axxent</w:t>
            </w:r>
            <w:r w:rsidRPr="00FB4D55">
              <w:rPr>
                <w:vertAlign w:val="superscript"/>
              </w:rPr>
              <w:t>®</w:t>
            </w:r>
            <w:r>
              <w:t xml:space="preserve"> and Intrabeam</w:t>
            </w:r>
            <w:r w:rsidRPr="00FB4D55">
              <w:rPr>
                <w:vertAlign w:val="superscript"/>
              </w:rPr>
              <w:t>®</w:t>
            </w:r>
            <w:r>
              <w:t xml:space="preserve"> is presented in this submission.</w:t>
            </w:r>
          </w:p>
        </w:tc>
      </w:tr>
      <w:tr w:rsidR="00F02FC8" w14:paraId="007D488A" w14:textId="77777777" w:rsidTr="00E9302D">
        <w:tc>
          <w:tcPr>
            <w:tcW w:w="4509" w:type="dxa"/>
          </w:tcPr>
          <w:p w14:paraId="6C31465D" w14:textId="77777777" w:rsidR="00F02FC8" w:rsidRDefault="00F02FC8" w:rsidP="00E9302D">
            <w:pPr>
              <w:pStyle w:val="Tabletext0"/>
            </w:pPr>
            <w:r w:rsidRPr="00D863FD">
              <w:t>MSAC agreed that the level, quality and duration of follow-up of the Axxent evidence base was lower, poorer and shorter t</w:t>
            </w:r>
            <w:r>
              <w:t>han the Intrabeam evidence base [PSD, p2].</w:t>
            </w:r>
          </w:p>
        </w:tc>
        <w:tc>
          <w:tcPr>
            <w:tcW w:w="4510" w:type="dxa"/>
          </w:tcPr>
          <w:p w14:paraId="39655BBE" w14:textId="77777777" w:rsidR="00F02FC8" w:rsidRPr="00640642" w:rsidRDefault="00F02FC8" w:rsidP="00E9302D">
            <w:pPr>
              <w:pStyle w:val="Tabletext0"/>
            </w:pPr>
            <w:r>
              <w:t>This submission presents data from a new study reporting longer follow-up data for Axxent</w:t>
            </w:r>
            <w:r w:rsidRPr="00FB4D55">
              <w:rPr>
                <w:vertAlign w:val="superscript"/>
              </w:rPr>
              <w:t>®</w:t>
            </w:r>
            <w:r>
              <w:t xml:space="preserve"> with a median follow-up of three years (Silverstein </w:t>
            </w:r>
            <w:r>
              <w:rPr>
                <w:i/>
                <w:iCs/>
              </w:rPr>
              <w:t>et al</w:t>
            </w:r>
            <w:r>
              <w:t xml:space="preserve"> 2018). Vaidya </w:t>
            </w:r>
            <w:r>
              <w:rPr>
                <w:i/>
                <w:iCs/>
              </w:rPr>
              <w:t>et al</w:t>
            </w:r>
            <w:r>
              <w:t xml:space="preserve"> 2010 and 2014 reported data for Intrabeam</w:t>
            </w:r>
            <w:r w:rsidRPr="00FB4D55">
              <w:rPr>
                <w:vertAlign w:val="superscript"/>
              </w:rPr>
              <w:t>®</w:t>
            </w:r>
            <w:r>
              <w:t xml:space="preserve"> with a median follow-up of 5.8 years.</w:t>
            </w:r>
          </w:p>
        </w:tc>
      </w:tr>
      <w:tr w:rsidR="00F02FC8" w14:paraId="7779F3D8" w14:textId="77777777" w:rsidTr="00E9302D">
        <w:tc>
          <w:tcPr>
            <w:tcW w:w="4509" w:type="dxa"/>
          </w:tcPr>
          <w:p w14:paraId="615498AB" w14:textId="77777777" w:rsidR="00F02FC8" w:rsidRPr="00D863FD" w:rsidRDefault="00F02FC8" w:rsidP="00E9302D">
            <w:pPr>
              <w:pStyle w:val="Tabletext0"/>
            </w:pPr>
            <w:r w:rsidRPr="00247DA1">
              <w:lastRenderedPageBreak/>
              <w:t xml:space="preserve">MSAC queried the relevance of the Ivanov O et al 2011 study due to low quality, small sample size (n = 11) and the inclusion of a large proportion (45%) of patients with </w:t>
            </w:r>
            <w:r>
              <w:t>ductal carcinoma in situ (DCIS)</w:t>
            </w:r>
            <w:r w:rsidRPr="00247DA1">
              <w:t xml:space="preserve"> rather than the proposed population of invasive ductal carcinoma. MSAC noted that the Epstein M et al 2016 study reported results as simple rates with no information on time to events or confidence intervals and follow-up was too short to make any conclusions about recurrence rates. MSAC observed that the included studies reported only breast cancer</w:t>
            </w:r>
            <w:r>
              <w:t xml:space="preserve"> </w:t>
            </w:r>
            <w:r w:rsidRPr="00247DA1">
              <w:t>related mortality as</w:t>
            </w:r>
            <w:r>
              <w:t xml:space="preserve"> opposed to all-cause mortality [PSD, p2].</w:t>
            </w:r>
          </w:p>
        </w:tc>
        <w:tc>
          <w:tcPr>
            <w:tcW w:w="4510" w:type="dxa"/>
          </w:tcPr>
          <w:p w14:paraId="0571BD5B" w14:textId="77777777" w:rsidR="00F02FC8" w:rsidRDefault="00F02FC8" w:rsidP="00E9302D">
            <w:pPr>
              <w:pStyle w:val="Tabletext0"/>
            </w:pPr>
            <w:r>
              <w:t>An updated literature search identified one</w:t>
            </w:r>
            <w:r w:rsidRPr="0073337E">
              <w:t xml:space="preserve"> new study reporting on longer follow</w:t>
            </w:r>
            <w:r>
              <w:t>-</w:t>
            </w:r>
            <w:r w:rsidRPr="0073337E">
              <w:t>up data for Axxent</w:t>
            </w:r>
            <w:r w:rsidRPr="00BA2819">
              <w:rPr>
                <w:vertAlign w:val="superscript"/>
              </w:rPr>
              <w:t>®</w:t>
            </w:r>
            <w:r w:rsidRPr="0073337E">
              <w:t xml:space="preserve"> with a median follow-up of three years (Silverstein et al 2018).</w:t>
            </w:r>
            <w:r>
              <w:t xml:space="preserve"> This data is presented in this submission.</w:t>
            </w:r>
          </w:p>
        </w:tc>
      </w:tr>
    </w:tbl>
    <w:p w14:paraId="1C8C909E" w14:textId="77777777" w:rsidR="00F02FC8" w:rsidRPr="00B54A17" w:rsidRDefault="00F02FC8" w:rsidP="00F02FC8">
      <w:pPr>
        <w:rPr>
          <w:rFonts w:ascii="Arial Narrow" w:hAnsi="Arial Narrow"/>
          <w:sz w:val="18"/>
        </w:rPr>
      </w:pPr>
      <w:r>
        <w:rPr>
          <w:rFonts w:ascii="Arial Narrow" w:hAnsi="Arial Narrow"/>
          <w:sz w:val="18"/>
        </w:rPr>
        <w:t>Source: Table 13, pp 28-29 of DCAR</w:t>
      </w:r>
    </w:p>
    <w:p w14:paraId="5794CDA5" w14:textId="77777777" w:rsidR="00BA3279" w:rsidRPr="00F715D1" w:rsidRDefault="00BA3279" w:rsidP="00BA3279">
      <w:pPr>
        <w:pStyle w:val="Heading1"/>
      </w:pPr>
      <w:r w:rsidRPr="00F715D1">
        <w:t>Prerequisites to implementation of any funding advice</w:t>
      </w:r>
    </w:p>
    <w:p w14:paraId="02A22164" w14:textId="77777777" w:rsidR="00F02FC8" w:rsidRDefault="00F02FC8" w:rsidP="00F02FC8">
      <w:r w:rsidRPr="001160BC">
        <w:rPr>
          <w:rFonts w:eastAsiaTheme="minorHAnsi"/>
          <w:szCs w:val="24"/>
          <w:lang w:eastAsia="en-US"/>
        </w:rPr>
        <w:t>The Xoft</w:t>
      </w:r>
      <w:r w:rsidRPr="007C0195">
        <w:rPr>
          <w:rFonts w:eastAsiaTheme="minorHAnsi"/>
          <w:szCs w:val="24"/>
          <w:vertAlign w:val="superscript"/>
          <w:lang w:eastAsia="en-US"/>
        </w:rPr>
        <w:t>®</w:t>
      </w:r>
      <w:r w:rsidRPr="001160BC">
        <w:rPr>
          <w:rFonts w:eastAsiaTheme="minorHAnsi"/>
          <w:szCs w:val="24"/>
          <w:lang w:eastAsia="en-US"/>
        </w:rPr>
        <w:t xml:space="preserve"> Axxent</w:t>
      </w:r>
      <w:r w:rsidRPr="007C0195">
        <w:rPr>
          <w:rFonts w:eastAsiaTheme="minorHAnsi"/>
          <w:szCs w:val="24"/>
          <w:vertAlign w:val="superscript"/>
          <w:lang w:eastAsia="en-US"/>
        </w:rPr>
        <w:t>®</w:t>
      </w:r>
      <w:r w:rsidRPr="001160BC">
        <w:rPr>
          <w:rFonts w:eastAsiaTheme="minorHAnsi"/>
          <w:szCs w:val="24"/>
          <w:lang w:eastAsia="en-US"/>
        </w:rPr>
        <w:t xml:space="preserve"> Electronic Brachytherapy (eBx</w:t>
      </w:r>
      <w:r w:rsidRPr="007C0195">
        <w:rPr>
          <w:rFonts w:eastAsiaTheme="minorHAnsi"/>
          <w:szCs w:val="24"/>
          <w:vertAlign w:val="superscript"/>
          <w:lang w:eastAsia="en-US"/>
        </w:rPr>
        <w:t>®</w:t>
      </w:r>
      <w:r w:rsidRPr="001160BC">
        <w:rPr>
          <w:rFonts w:eastAsiaTheme="minorHAnsi"/>
          <w:szCs w:val="24"/>
          <w:lang w:eastAsia="en-US"/>
        </w:rPr>
        <w:t xml:space="preserve">) System is registered </w:t>
      </w:r>
      <w:r>
        <w:rPr>
          <w:rFonts w:eastAsiaTheme="minorHAnsi"/>
          <w:szCs w:val="24"/>
          <w:lang w:eastAsia="en-US"/>
        </w:rPr>
        <w:t>on</w:t>
      </w:r>
      <w:r w:rsidRPr="001160BC">
        <w:rPr>
          <w:rFonts w:eastAsiaTheme="minorHAnsi"/>
          <w:szCs w:val="24"/>
          <w:lang w:eastAsia="en-US"/>
        </w:rPr>
        <w:t xml:space="preserve"> </w:t>
      </w:r>
      <w:r>
        <w:rPr>
          <w:rFonts w:eastAsiaTheme="minorHAnsi"/>
          <w:szCs w:val="24"/>
          <w:lang w:eastAsia="en-US"/>
        </w:rPr>
        <w:t xml:space="preserve">the </w:t>
      </w:r>
      <w:r w:rsidRPr="001160BC">
        <w:rPr>
          <w:rFonts w:eastAsiaTheme="minorHAnsi"/>
          <w:szCs w:val="24"/>
          <w:lang w:eastAsia="en-US"/>
        </w:rPr>
        <w:t>A</w:t>
      </w:r>
      <w:r>
        <w:rPr>
          <w:rFonts w:eastAsiaTheme="minorHAnsi"/>
          <w:szCs w:val="24"/>
          <w:lang w:eastAsia="en-US"/>
        </w:rPr>
        <w:t xml:space="preserve">ustralian </w:t>
      </w:r>
      <w:r w:rsidRPr="001160BC">
        <w:rPr>
          <w:rFonts w:eastAsiaTheme="minorHAnsi"/>
          <w:szCs w:val="24"/>
          <w:lang w:eastAsia="en-US"/>
        </w:rPr>
        <w:t>R</w:t>
      </w:r>
      <w:r>
        <w:rPr>
          <w:rFonts w:eastAsiaTheme="minorHAnsi"/>
          <w:szCs w:val="24"/>
          <w:lang w:eastAsia="en-US"/>
        </w:rPr>
        <w:t xml:space="preserve">egister of </w:t>
      </w:r>
      <w:r w:rsidRPr="001160BC">
        <w:rPr>
          <w:rFonts w:eastAsiaTheme="minorHAnsi"/>
          <w:szCs w:val="24"/>
          <w:lang w:eastAsia="en-US"/>
        </w:rPr>
        <w:t>T</w:t>
      </w:r>
      <w:r>
        <w:rPr>
          <w:rFonts w:eastAsiaTheme="minorHAnsi"/>
          <w:szCs w:val="24"/>
          <w:lang w:eastAsia="en-US"/>
        </w:rPr>
        <w:t xml:space="preserve">herapeutic </w:t>
      </w:r>
      <w:r w:rsidRPr="001160BC">
        <w:rPr>
          <w:rFonts w:eastAsiaTheme="minorHAnsi"/>
          <w:szCs w:val="24"/>
          <w:lang w:eastAsia="en-US"/>
        </w:rPr>
        <w:t>G</w:t>
      </w:r>
      <w:r>
        <w:rPr>
          <w:rFonts w:eastAsiaTheme="minorHAnsi"/>
          <w:szCs w:val="24"/>
          <w:lang w:eastAsia="en-US"/>
        </w:rPr>
        <w:t>oods</w:t>
      </w:r>
      <w:r>
        <w:t xml:space="preserve">; refer to </w:t>
      </w:r>
      <w:r w:rsidRPr="007C0195">
        <w:t xml:space="preserve">Public Summary Document [PSD] Application 1429, </w:t>
      </w:r>
      <w:r>
        <w:t>April 2017, pp3-4.</w:t>
      </w:r>
    </w:p>
    <w:p w14:paraId="20E7A2C4" w14:textId="77777777" w:rsidR="00BA3279" w:rsidRPr="00F715D1" w:rsidRDefault="00BA3279" w:rsidP="00BA3279">
      <w:pPr>
        <w:pStyle w:val="Heading1"/>
      </w:pPr>
      <w:r w:rsidRPr="00F715D1">
        <w:t>Proposal for public funding</w:t>
      </w:r>
    </w:p>
    <w:p w14:paraId="7125FA44" w14:textId="6589C4FA" w:rsidR="00F02FC8" w:rsidRDefault="00F02FC8" w:rsidP="00E9302D">
      <w:pPr>
        <w:spacing w:after="240"/>
      </w:pPr>
      <w:r>
        <w:t xml:space="preserve">This was unchanged </w:t>
      </w:r>
      <w:r w:rsidR="00E9302D">
        <w:t xml:space="preserve">from the previous submission </w:t>
      </w:r>
      <w:r>
        <w:t>(Table 2).</w:t>
      </w:r>
      <w:bookmarkStart w:id="2" w:name="_Ref468950288"/>
      <w:bookmarkStart w:id="3" w:name="_Toc464133425"/>
      <w:bookmarkStart w:id="4" w:name="_Ref465777093"/>
      <w:bookmarkStart w:id="5" w:name="_Toc465854741"/>
      <w:bookmarkStart w:id="6" w:name="_Toc29554537"/>
    </w:p>
    <w:p w14:paraId="58FF08E6" w14:textId="77777777" w:rsidR="00F02FC8" w:rsidRPr="00ED7C46" w:rsidRDefault="00F02FC8" w:rsidP="00ED7C46">
      <w:pPr>
        <w:rPr>
          <w:rFonts w:ascii="Arial Narrow" w:hAnsi="Arial Narrow"/>
          <w:b/>
          <w:sz w:val="20"/>
        </w:rPr>
      </w:pPr>
      <w:r w:rsidRPr="00ED7C46">
        <w:rPr>
          <w:rFonts w:ascii="Arial Narrow" w:hAnsi="Arial Narrow"/>
          <w:b/>
          <w:sz w:val="20"/>
        </w:rPr>
        <w:t xml:space="preserve">Table </w:t>
      </w:r>
      <w:bookmarkEnd w:id="2"/>
      <w:r w:rsidRPr="00ED7C46">
        <w:rPr>
          <w:rFonts w:ascii="Arial Narrow" w:hAnsi="Arial Narrow"/>
          <w:b/>
          <w:sz w:val="20"/>
        </w:rPr>
        <w:t>2</w:t>
      </w:r>
      <w:r w:rsidRPr="00ED7C46">
        <w:rPr>
          <w:rFonts w:ascii="Arial Narrow" w:hAnsi="Arial Narrow"/>
          <w:b/>
          <w:sz w:val="20"/>
        </w:rPr>
        <w:tab/>
        <w:t>Proposed MBS item descriptor</w:t>
      </w:r>
      <w:bookmarkEnd w:id="3"/>
      <w:bookmarkEnd w:id="4"/>
      <w:bookmarkEnd w:id="5"/>
      <w:bookmarkEnd w:id="6"/>
    </w:p>
    <w:tbl>
      <w:tblPr>
        <w:tblStyle w:val="TableGrid"/>
        <w:tblW w:w="5000" w:type="pct"/>
        <w:tblLook w:val="04A0" w:firstRow="1" w:lastRow="0" w:firstColumn="1" w:lastColumn="0" w:noHBand="0" w:noVBand="1"/>
        <w:tblCaption w:val="Table 2 Proposed MBS item descriptor"/>
        <w:tblDescription w:val="Summary of proposed MBS item descriptor"/>
      </w:tblPr>
      <w:tblGrid>
        <w:gridCol w:w="9016"/>
      </w:tblGrid>
      <w:tr w:rsidR="00F02FC8" w:rsidRPr="003A49F0" w14:paraId="0B1365FC" w14:textId="77777777" w:rsidTr="00ED7C46">
        <w:trPr>
          <w:tblHeader/>
        </w:trPr>
        <w:tc>
          <w:tcPr>
            <w:tcW w:w="5000" w:type="pct"/>
          </w:tcPr>
          <w:p w14:paraId="4B0545AE" w14:textId="77777777" w:rsidR="00F02FC8" w:rsidRPr="00E9302D" w:rsidRDefault="00F02FC8" w:rsidP="00E9302D">
            <w:pPr>
              <w:pStyle w:val="TableText1"/>
              <w:rPr>
                <w:szCs w:val="20"/>
              </w:rPr>
            </w:pPr>
            <w:r w:rsidRPr="00E9302D">
              <w:rPr>
                <w:szCs w:val="20"/>
              </w:rPr>
              <w:t>15900 – version 2</w:t>
            </w:r>
          </w:p>
          <w:p w14:paraId="244F1428" w14:textId="77777777" w:rsidR="00F02FC8" w:rsidRPr="00E9302D" w:rsidRDefault="00F02FC8" w:rsidP="00E9302D">
            <w:pPr>
              <w:pStyle w:val="TableText1"/>
              <w:rPr>
                <w:szCs w:val="20"/>
              </w:rPr>
            </w:pPr>
            <w:r w:rsidRPr="00E9302D">
              <w:rPr>
                <w:szCs w:val="20"/>
              </w:rPr>
              <w:t>BREAST, MALIGNANT TUMOUR, targeted intraoperative radiotherapy, delivered at the time of breast conserving surgery (partial mastectomy or lumpectomy) for a patient who:</w:t>
            </w:r>
          </w:p>
          <w:p w14:paraId="08C5043F" w14:textId="77777777" w:rsidR="00F02FC8" w:rsidRPr="00E9302D" w:rsidRDefault="00F02FC8" w:rsidP="00E9302D">
            <w:pPr>
              <w:pStyle w:val="TableText1"/>
              <w:rPr>
                <w:szCs w:val="20"/>
              </w:rPr>
            </w:pPr>
            <w:r w:rsidRPr="00E9302D">
              <w:rPr>
                <w:szCs w:val="20"/>
              </w:rPr>
              <w:t>a) is 45 years of age or more; and</w:t>
            </w:r>
          </w:p>
          <w:p w14:paraId="0940A3D5" w14:textId="77777777" w:rsidR="00F02FC8" w:rsidRPr="00E9302D" w:rsidRDefault="00F02FC8" w:rsidP="00E9302D">
            <w:pPr>
              <w:pStyle w:val="TableText1"/>
              <w:rPr>
                <w:szCs w:val="20"/>
              </w:rPr>
            </w:pPr>
            <w:r w:rsidRPr="00E9302D">
              <w:rPr>
                <w:szCs w:val="20"/>
              </w:rPr>
              <w:t>b) has a T1 or small T2 (less than or equal to 3cm in diameter) primary tumour; and</w:t>
            </w:r>
          </w:p>
          <w:p w14:paraId="0FD9C5AC" w14:textId="77777777" w:rsidR="00F02FC8" w:rsidRPr="00E9302D" w:rsidRDefault="00F02FC8" w:rsidP="00E9302D">
            <w:pPr>
              <w:pStyle w:val="TableText1"/>
              <w:rPr>
                <w:szCs w:val="20"/>
              </w:rPr>
            </w:pPr>
            <w:r w:rsidRPr="00E9302D">
              <w:rPr>
                <w:szCs w:val="20"/>
              </w:rPr>
              <w:t>c) has a histologic Grade 1 or 2 tumour; and</w:t>
            </w:r>
          </w:p>
          <w:p w14:paraId="3081202B" w14:textId="77777777" w:rsidR="00F02FC8" w:rsidRPr="00E9302D" w:rsidRDefault="00F02FC8" w:rsidP="00E9302D">
            <w:pPr>
              <w:pStyle w:val="TableText1"/>
              <w:rPr>
                <w:szCs w:val="20"/>
              </w:rPr>
            </w:pPr>
            <w:r w:rsidRPr="00E9302D">
              <w:rPr>
                <w:szCs w:val="20"/>
              </w:rPr>
              <w:t>d) has an oestrogen-receptor positive tumour; and</w:t>
            </w:r>
          </w:p>
          <w:p w14:paraId="64BBCC70" w14:textId="77777777" w:rsidR="00F02FC8" w:rsidRPr="00E9302D" w:rsidRDefault="00F02FC8" w:rsidP="00E9302D">
            <w:pPr>
              <w:pStyle w:val="TableText1"/>
              <w:rPr>
                <w:szCs w:val="20"/>
              </w:rPr>
            </w:pPr>
            <w:r w:rsidRPr="00E9302D">
              <w:rPr>
                <w:szCs w:val="20"/>
              </w:rPr>
              <w:t>e) has a node negative malignancy; and</w:t>
            </w:r>
          </w:p>
          <w:p w14:paraId="139ED515" w14:textId="77777777" w:rsidR="00F02FC8" w:rsidRPr="00E9302D" w:rsidRDefault="00F02FC8" w:rsidP="00E9302D">
            <w:pPr>
              <w:pStyle w:val="TableText1"/>
              <w:rPr>
                <w:szCs w:val="20"/>
              </w:rPr>
            </w:pPr>
            <w:r w:rsidRPr="00E9302D">
              <w:rPr>
                <w:szCs w:val="20"/>
              </w:rPr>
              <w:t>f) is suitable for wide local excision of a primary invasive ductal carcinoma that was</w:t>
            </w:r>
          </w:p>
          <w:p w14:paraId="4F614BC9" w14:textId="77777777" w:rsidR="00F02FC8" w:rsidRPr="00E9302D" w:rsidRDefault="00F02FC8" w:rsidP="00E9302D">
            <w:pPr>
              <w:pStyle w:val="TableText1"/>
              <w:rPr>
                <w:szCs w:val="20"/>
              </w:rPr>
            </w:pPr>
            <w:r w:rsidRPr="00E9302D">
              <w:rPr>
                <w:szCs w:val="20"/>
              </w:rPr>
              <w:t>diagnosed as unifocal on conventional examination and imaging; and</w:t>
            </w:r>
          </w:p>
          <w:p w14:paraId="62A550F5" w14:textId="77777777" w:rsidR="00F02FC8" w:rsidRPr="00E9302D" w:rsidRDefault="00F02FC8" w:rsidP="00E9302D">
            <w:pPr>
              <w:pStyle w:val="TableText1"/>
              <w:rPr>
                <w:szCs w:val="20"/>
              </w:rPr>
            </w:pPr>
            <w:r w:rsidRPr="00E9302D">
              <w:rPr>
                <w:szCs w:val="20"/>
              </w:rPr>
              <w:t>g) has no contraindications to breast irradiation</w:t>
            </w:r>
          </w:p>
          <w:p w14:paraId="7B1FB944" w14:textId="77777777" w:rsidR="00F02FC8" w:rsidRPr="00E9302D" w:rsidRDefault="00F02FC8" w:rsidP="00E9302D">
            <w:pPr>
              <w:pStyle w:val="TableText1"/>
              <w:rPr>
                <w:szCs w:val="20"/>
              </w:rPr>
            </w:pPr>
            <w:r w:rsidRPr="00E9302D">
              <w:rPr>
                <w:szCs w:val="20"/>
              </w:rPr>
              <w:t>MBS Fee: $250.00 Benefit: 75% = $187.50</w:t>
            </w:r>
          </w:p>
        </w:tc>
      </w:tr>
      <w:tr w:rsidR="00F02FC8" w:rsidRPr="003A49F0" w14:paraId="54B067FD" w14:textId="77777777" w:rsidTr="00ED7C46">
        <w:tc>
          <w:tcPr>
            <w:tcW w:w="5000" w:type="pct"/>
          </w:tcPr>
          <w:p w14:paraId="023C26D4" w14:textId="77777777" w:rsidR="00F02FC8" w:rsidRPr="00E9302D" w:rsidRDefault="00F02FC8" w:rsidP="00E9302D">
            <w:pPr>
              <w:pStyle w:val="TableText1"/>
              <w:rPr>
                <w:szCs w:val="20"/>
              </w:rPr>
            </w:pPr>
            <w:r w:rsidRPr="00E9302D">
              <w:rPr>
                <w:szCs w:val="20"/>
              </w:rPr>
              <w:t>31516 – version 2</w:t>
            </w:r>
          </w:p>
          <w:p w14:paraId="58AA41EB" w14:textId="77777777" w:rsidR="00F02FC8" w:rsidRPr="00E9302D" w:rsidRDefault="00F02FC8" w:rsidP="00E9302D">
            <w:pPr>
              <w:pStyle w:val="TableText1"/>
              <w:rPr>
                <w:szCs w:val="20"/>
              </w:rPr>
            </w:pPr>
            <w:r w:rsidRPr="00E9302D">
              <w:rPr>
                <w:szCs w:val="20"/>
              </w:rPr>
              <w:t>BREAST, MALIGNANT TUMOUR, complete local excision of, with or without frozen section histology when targeted intraoperative radiotherapy is performed concurrently, if the requirements of item 15900 are met for the patient (Anaes.)</w:t>
            </w:r>
          </w:p>
          <w:p w14:paraId="16AFC957" w14:textId="77777777" w:rsidR="00F02FC8" w:rsidRPr="00E9302D" w:rsidRDefault="00F02FC8" w:rsidP="00E9302D">
            <w:pPr>
              <w:pStyle w:val="TableText1"/>
              <w:rPr>
                <w:szCs w:val="20"/>
              </w:rPr>
            </w:pPr>
            <w:r w:rsidRPr="00E9302D">
              <w:rPr>
                <w:szCs w:val="20"/>
              </w:rPr>
              <w:t>(Assist.)</w:t>
            </w:r>
          </w:p>
          <w:p w14:paraId="70CBC779" w14:textId="77777777" w:rsidR="00F02FC8" w:rsidRPr="00E9302D" w:rsidRDefault="00F02FC8" w:rsidP="00E9302D">
            <w:pPr>
              <w:pStyle w:val="TableText1"/>
              <w:rPr>
                <w:szCs w:val="20"/>
              </w:rPr>
            </w:pPr>
            <w:r w:rsidRPr="00E9302D">
              <w:rPr>
                <w:szCs w:val="20"/>
              </w:rPr>
              <w:t>MBS Fee: $867.00 Benefit: 75% = $650.25</w:t>
            </w:r>
          </w:p>
        </w:tc>
      </w:tr>
    </w:tbl>
    <w:p w14:paraId="0E9238A5" w14:textId="77777777" w:rsidR="00F02FC8" w:rsidRPr="007C0195" w:rsidRDefault="00F02FC8" w:rsidP="00F02FC8">
      <w:pPr>
        <w:rPr>
          <w:rFonts w:ascii="Arial Narrow" w:hAnsi="Arial Narrow"/>
          <w:sz w:val="18"/>
        </w:rPr>
      </w:pPr>
      <w:r w:rsidRPr="007C0195">
        <w:rPr>
          <w:rFonts w:ascii="Arial Narrow" w:hAnsi="Arial Narrow"/>
          <w:sz w:val="18"/>
        </w:rPr>
        <w:t xml:space="preserve">Source: </w:t>
      </w:r>
      <w:r>
        <w:rPr>
          <w:rFonts w:ascii="Arial Narrow" w:hAnsi="Arial Narrow"/>
          <w:sz w:val="18"/>
        </w:rPr>
        <w:t>Table 1, p7 of DCAR</w:t>
      </w:r>
    </w:p>
    <w:p w14:paraId="1A93BC5A" w14:textId="77777777" w:rsidR="00BA3279" w:rsidRPr="00F715D1" w:rsidRDefault="00BA3279" w:rsidP="00BA3279">
      <w:pPr>
        <w:pStyle w:val="Heading1"/>
      </w:pPr>
      <w:r w:rsidRPr="00F715D1">
        <w:t xml:space="preserve">Summary of </w:t>
      </w:r>
      <w:r>
        <w:t>public c</w:t>
      </w:r>
      <w:r w:rsidRPr="00F715D1">
        <w:t>onsultation</w:t>
      </w:r>
      <w:r>
        <w:t xml:space="preserve"> f</w:t>
      </w:r>
      <w:r w:rsidRPr="00F715D1">
        <w:t>eedback</w:t>
      </w:r>
      <w:r>
        <w:t>/c</w:t>
      </w:r>
      <w:r w:rsidRPr="00F715D1">
        <w:t>onsumer Issues</w:t>
      </w:r>
    </w:p>
    <w:p w14:paraId="30AD9B31" w14:textId="77777777" w:rsidR="00F02FC8" w:rsidRDefault="00F02FC8" w:rsidP="00F02FC8">
      <w:r>
        <w:t xml:space="preserve">This was unchanged; refer to </w:t>
      </w:r>
      <w:r w:rsidRPr="007C0195">
        <w:t xml:space="preserve">Public Summary Document [PSD] Application 1429, </w:t>
      </w:r>
      <w:r>
        <w:t>April 2017, p4.</w:t>
      </w:r>
    </w:p>
    <w:p w14:paraId="0F27801E" w14:textId="77777777" w:rsidR="00BA3279" w:rsidRPr="00F715D1" w:rsidRDefault="00BA3279" w:rsidP="00BA3279">
      <w:pPr>
        <w:pStyle w:val="Heading1"/>
      </w:pPr>
      <w:r w:rsidRPr="00F715D1">
        <w:t>Proposed intervention’s place in clinical management</w:t>
      </w:r>
    </w:p>
    <w:p w14:paraId="796AC627" w14:textId="77777777" w:rsidR="00F02FC8" w:rsidRDefault="00F02FC8" w:rsidP="00F02FC8">
      <w:r w:rsidRPr="00AD2749">
        <w:t>MSAC considered that the clinical place for IORT has not yet been fully established</w:t>
      </w:r>
      <w:r>
        <w:t xml:space="preserve"> (PSD Application No. 1429, 2017 p1).</w:t>
      </w:r>
    </w:p>
    <w:p w14:paraId="11706560" w14:textId="138A917B" w:rsidR="002C2931" w:rsidRDefault="00F02FC8" w:rsidP="00E9302D">
      <w:pPr>
        <w:spacing w:before="240" w:after="240"/>
      </w:pPr>
      <w:r>
        <w:lastRenderedPageBreak/>
        <w:t xml:space="preserve">The DCAR stated that </w:t>
      </w:r>
      <w:r w:rsidRPr="00C61B9D">
        <w:t>RANZCR agreed with the clinical algorithm proposed in the previous submission [Consolidated Consultations Feedback]. Increased utilisation of Intrabeam</w:t>
      </w:r>
      <w:r w:rsidRPr="00C61B9D">
        <w:rPr>
          <w:vertAlign w:val="superscript"/>
        </w:rPr>
        <w:t>®</w:t>
      </w:r>
      <w:r w:rsidRPr="00C61B9D">
        <w:t xml:space="preserve"> suggests IORT has a place in clinical practice (Medicare statistics, 2019).</w:t>
      </w:r>
    </w:p>
    <w:p w14:paraId="4953B712" w14:textId="66C4A4EC" w:rsidR="002C2931" w:rsidRDefault="002C2931" w:rsidP="00F02FC8">
      <w:r>
        <w:t>In their pre-MSAC response, the applicant indicated that almost 20,000 patients have been treated with the Axxent</w:t>
      </w:r>
      <w:r w:rsidRPr="00B54A17">
        <w:rPr>
          <w:vertAlign w:val="superscript"/>
        </w:rPr>
        <w:t>®</w:t>
      </w:r>
      <w:r>
        <w:t xml:space="preserve"> System as of March 2020, including 5,000 patients treated with breast IORT.</w:t>
      </w:r>
    </w:p>
    <w:p w14:paraId="7C762CBE" w14:textId="77777777" w:rsidR="00BA3279" w:rsidRPr="00F715D1" w:rsidRDefault="00BA3279" w:rsidP="00BA3279">
      <w:pPr>
        <w:pStyle w:val="Heading1"/>
      </w:pPr>
      <w:r w:rsidRPr="00F715D1">
        <w:t xml:space="preserve">Comparator </w:t>
      </w:r>
    </w:p>
    <w:p w14:paraId="6D6F37A8" w14:textId="25A09628" w:rsidR="00F02FC8" w:rsidRDefault="00F02FC8" w:rsidP="00E9302D">
      <w:pPr>
        <w:spacing w:after="240"/>
      </w:pPr>
      <w:r>
        <w:t>The primary comparator for the resubmission is WB-EBRT, the secondary comparator is IORT with the Intrabeam</w:t>
      </w:r>
      <w:r w:rsidRPr="00B54A17">
        <w:rPr>
          <w:vertAlign w:val="superscript"/>
        </w:rPr>
        <w:t>®</w:t>
      </w:r>
      <w:r>
        <w:t xml:space="preserve"> device.</w:t>
      </w:r>
    </w:p>
    <w:p w14:paraId="33F9B2AF" w14:textId="616E4FD9" w:rsidR="00F02FC8" w:rsidRPr="00E9302D" w:rsidRDefault="00F02FC8" w:rsidP="00E9302D">
      <w:r>
        <w:t>The DCAR noted that the primary comparator for the previous assessment was IORT with the Intrabeam device, the secondary comparator was WB-EBRT. However, MSAC agreed that WB-EBRT is the appropriate comparator for Axxent</w:t>
      </w:r>
      <w:r w:rsidRPr="00B54A17">
        <w:rPr>
          <w:vertAlign w:val="superscript"/>
        </w:rPr>
        <w:t>®</w:t>
      </w:r>
      <w:r>
        <w:t>, given that there has been virtually no utilisation of the existing MBS items for IORT (PSD Application No. 1429, 2017 p1).</w:t>
      </w:r>
    </w:p>
    <w:p w14:paraId="0D48BDF1" w14:textId="77777777" w:rsidR="00BA3279" w:rsidRPr="00F715D1" w:rsidRDefault="00BA3279" w:rsidP="00BA3279">
      <w:pPr>
        <w:pStyle w:val="Heading1"/>
      </w:pPr>
      <w:r w:rsidRPr="00F715D1">
        <w:t>Comparative safety</w:t>
      </w:r>
    </w:p>
    <w:p w14:paraId="3AAB7C46" w14:textId="77777777" w:rsidR="00F02FC8" w:rsidRDefault="00F02FC8" w:rsidP="00F02FC8">
      <w:pPr>
        <w:pStyle w:val="Heading2"/>
      </w:pPr>
      <w:r>
        <w:t>Vs. WB-EBRT</w:t>
      </w:r>
    </w:p>
    <w:p w14:paraId="1A07F018" w14:textId="76AFE299" w:rsidR="00F02FC8" w:rsidRDefault="00F02FC8" w:rsidP="00E9302D">
      <w:pPr>
        <w:spacing w:after="240"/>
      </w:pPr>
      <w:r w:rsidRPr="00DA6621">
        <w:t>Two new studies</w:t>
      </w:r>
      <w:r>
        <w:t xml:space="preserve"> (Lai et al. 2016; Silverstein et al. 2018)</w:t>
      </w:r>
      <w:r w:rsidRPr="00DA6621">
        <w:t xml:space="preserve"> were identified for Axxent</w:t>
      </w:r>
      <w:r w:rsidRPr="00B54A17">
        <w:rPr>
          <w:vertAlign w:val="superscript"/>
        </w:rPr>
        <w:t>®</w:t>
      </w:r>
      <w:r w:rsidRPr="00DA6621">
        <w:t>, giving a total of three studies on Axxent</w:t>
      </w:r>
      <w:r w:rsidRPr="00DA6621">
        <w:rPr>
          <w:vertAlign w:val="superscript"/>
        </w:rPr>
        <w:t xml:space="preserve">® </w:t>
      </w:r>
      <w:r w:rsidRPr="00DA6621">
        <w:t xml:space="preserve">involving 1,256 patients. In addition, nine </w:t>
      </w:r>
      <w:r>
        <w:t>randomised controlled trials (</w:t>
      </w:r>
      <w:r w:rsidRPr="00DA6621">
        <w:t>RCTs</w:t>
      </w:r>
      <w:r>
        <w:t>)</w:t>
      </w:r>
      <w:r w:rsidRPr="00DA6621">
        <w:t xml:space="preserve"> that included WB-EBRT in the comparator arm with 5,205 patients in total were identified</w:t>
      </w:r>
      <w:r>
        <w:t xml:space="preserve"> (Table 3)</w:t>
      </w:r>
      <w:r w:rsidRPr="00DA6621">
        <w:t>.</w:t>
      </w:r>
    </w:p>
    <w:p w14:paraId="3D927BD2" w14:textId="77777777" w:rsidR="00F02FC8" w:rsidRPr="00ED7C46" w:rsidRDefault="00F02FC8" w:rsidP="00ED7C46">
      <w:pPr>
        <w:rPr>
          <w:rFonts w:ascii="Arial Narrow" w:hAnsi="Arial Narrow"/>
          <w:b/>
          <w:sz w:val="20"/>
        </w:rPr>
      </w:pPr>
      <w:bookmarkStart w:id="7" w:name="_Ref27561660"/>
      <w:bookmarkStart w:id="8" w:name="_Toc29554538"/>
      <w:r w:rsidRPr="00ED7C46">
        <w:rPr>
          <w:rFonts w:ascii="Arial Narrow" w:hAnsi="Arial Narrow"/>
          <w:b/>
          <w:sz w:val="20"/>
        </w:rPr>
        <w:t xml:space="preserve">Table </w:t>
      </w:r>
      <w:bookmarkEnd w:id="7"/>
      <w:r w:rsidRPr="00ED7C46">
        <w:rPr>
          <w:rFonts w:ascii="Arial Narrow" w:hAnsi="Arial Narrow"/>
          <w:b/>
          <w:sz w:val="20"/>
        </w:rPr>
        <w:t>3</w:t>
      </w:r>
      <w:r w:rsidRPr="00ED7C46">
        <w:rPr>
          <w:rFonts w:ascii="Arial Narrow" w:hAnsi="Arial Narrow"/>
          <w:b/>
          <w:sz w:val="20"/>
        </w:rPr>
        <w:tab/>
        <w:t>Key features of the included evidence comparing Axxent® to WB-EBRT</w:t>
      </w:r>
      <w:bookmarkEnd w:id="8"/>
      <w:r w:rsidRPr="00ED7C46">
        <w:rPr>
          <w:rFonts w:ascii="Arial Narrow" w:hAnsi="Arial Narrow"/>
          <w:b/>
          <w:sz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comparing Axxent® to WB-EBRT "/>
        <w:tblDescription w:val="Summary of included studies for comparison with WB-EBRT"/>
      </w:tblPr>
      <w:tblGrid>
        <w:gridCol w:w="1272"/>
        <w:gridCol w:w="710"/>
        <w:gridCol w:w="849"/>
        <w:gridCol w:w="1134"/>
        <w:gridCol w:w="1417"/>
        <w:gridCol w:w="2552"/>
        <w:gridCol w:w="1082"/>
      </w:tblGrid>
      <w:tr w:rsidR="00F02FC8" w:rsidRPr="00156424" w14:paraId="612EA725" w14:textId="77777777" w:rsidTr="00E9302D">
        <w:trPr>
          <w:tblHeader/>
        </w:trPr>
        <w:tc>
          <w:tcPr>
            <w:tcW w:w="705" w:type="pct"/>
            <w:shd w:val="clear" w:color="auto" w:fill="auto"/>
          </w:tcPr>
          <w:p w14:paraId="37A4FC7C" w14:textId="77777777" w:rsidR="00F02FC8" w:rsidRPr="00156424" w:rsidRDefault="00F02FC8" w:rsidP="00E9302D">
            <w:pPr>
              <w:pStyle w:val="TableHeading"/>
              <w:rPr>
                <w:snapToGrid w:val="0"/>
                <w:lang w:eastAsia="en-US"/>
              </w:rPr>
            </w:pPr>
            <w:r w:rsidRPr="00156424">
              <w:rPr>
                <w:snapToGrid w:val="0"/>
                <w:lang w:eastAsia="en-US"/>
              </w:rPr>
              <w:t>Study</w:t>
            </w:r>
          </w:p>
        </w:tc>
        <w:tc>
          <w:tcPr>
            <w:tcW w:w="393" w:type="pct"/>
            <w:shd w:val="clear" w:color="auto" w:fill="auto"/>
          </w:tcPr>
          <w:p w14:paraId="4F76E8AD" w14:textId="77777777" w:rsidR="00F02FC8" w:rsidRPr="00156424" w:rsidRDefault="00F02FC8" w:rsidP="00E9302D">
            <w:pPr>
              <w:pStyle w:val="TableHeading"/>
              <w:rPr>
                <w:snapToGrid w:val="0"/>
                <w:lang w:eastAsia="en-US"/>
              </w:rPr>
            </w:pPr>
            <w:r w:rsidRPr="00156424">
              <w:rPr>
                <w:snapToGrid w:val="0"/>
                <w:lang w:eastAsia="en-US"/>
              </w:rPr>
              <w:t>n using device</w:t>
            </w:r>
          </w:p>
        </w:tc>
        <w:tc>
          <w:tcPr>
            <w:tcW w:w="471" w:type="pct"/>
          </w:tcPr>
          <w:p w14:paraId="1FC92791" w14:textId="77777777" w:rsidR="00F02FC8" w:rsidRPr="00156424" w:rsidRDefault="00F02FC8" w:rsidP="00E9302D">
            <w:pPr>
              <w:pStyle w:val="TableHeading"/>
              <w:rPr>
                <w:snapToGrid w:val="0"/>
                <w:lang w:eastAsia="en-US"/>
              </w:rPr>
            </w:pPr>
            <w:r w:rsidRPr="00156424">
              <w:rPr>
                <w:snapToGrid w:val="0"/>
                <w:lang w:eastAsia="en-US"/>
              </w:rPr>
              <w:t>IORT device</w:t>
            </w:r>
          </w:p>
        </w:tc>
        <w:tc>
          <w:tcPr>
            <w:tcW w:w="629" w:type="pct"/>
            <w:shd w:val="clear" w:color="auto" w:fill="auto"/>
          </w:tcPr>
          <w:p w14:paraId="02FF9CAD" w14:textId="77777777" w:rsidR="00F02FC8" w:rsidRPr="00156424" w:rsidRDefault="00F02FC8" w:rsidP="00E9302D">
            <w:pPr>
              <w:pStyle w:val="TableHeading"/>
              <w:rPr>
                <w:snapToGrid w:val="0"/>
                <w:lang w:eastAsia="en-US"/>
              </w:rPr>
            </w:pPr>
            <w:r w:rsidRPr="00156424">
              <w:rPr>
                <w:snapToGrid w:val="0"/>
                <w:lang w:eastAsia="en-US"/>
              </w:rPr>
              <w:t>Study design</w:t>
            </w:r>
          </w:p>
          <w:p w14:paraId="232A58C3" w14:textId="77777777" w:rsidR="00F02FC8" w:rsidRPr="00156424" w:rsidRDefault="00F02FC8" w:rsidP="00E9302D">
            <w:pPr>
              <w:pStyle w:val="TableHeading"/>
              <w:rPr>
                <w:snapToGrid w:val="0"/>
                <w:lang w:eastAsia="en-US"/>
              </w:rPr>
            </w:pPr>
            <w:r w:rsidRPr="00156424">
              <w:rPr>
                <w:snapToGrid w:val="0"/>
                <w:lang w:eastAsia="en-US"/>
              </w:rPr>
              <w:t>Setting</w:t>
            </w:r>
          </w:p>
        </w:tc>
        <w:tc>
          <w:tcPr>
            <w:tcW w:w="786" w:type="pct"/>
          </w:tcPr>
          <w:p w14:paraId="2A9C085C" w14:textId="77777777" w:rsidR="00F02FC8" w:rsidRPr="00156424" w:rsidRDefault="00F02FC8" w:rsidP="00E9302D">
            <w:pPr>
              <w:pStyle w:val="TableHeading"/>
              <w:rPr>
                <w:snapToGrid w:val="0"/>
                <w:lang w:eastAsia="en-US"/>
              </w:rPr>
            </w:pPr>
            <w:r>
              <w:rPr>
                <w:snapToGrid w:val="0"/>
                <w:lang w:eastAsia="en-US"/>
              </w:rPr>
              <w:t>Follow-up time</w:t>
            </w:r>
          </w:p>
        </w:tc>
        <w:tc>
          <w:tcPr>
            <w:tcW w:w="1415" w:type="pct"/>
            <w:shd w:val="clear" w:color="auto" w:fill="auto"/>
          </w:tcPr>
          <w:p w14:paraId="3EF981E5" w14:textId="77777777" w:rsidR="00F02FC8" w:rsidRPr="00927CD8" w:rsidRDefault="00F02FC8" w:rsidP="00E9302D">
            <w:pPr>
              <w:pStyle w:val="TableHeading"/>
              <w:rPr>
                <w:snapToGrid w:val="0"/>
                <w:vertAlign w:val="superscript"/>
                <w:lang w:eastAsia="en-US"/>
              </w:rPr>
            </w:pPr>
            <w:r w:rsidRPr="00156424">
              <w:rPr>
                <w:snapToGrid w:val="0"/>
                <w:lang w:eastAsia="en-US"/>
              </w:rPr>
              <w:t>Patient disease profile</w:t>
            </w:r>
            <w:r>
              <w:rPr>
                <w:snapToGrid w:val="0"/>
                <w:lang w:eastAsia="en-US"/>
              </w:rPr>
              <w:t xml:space="preserve"> </w:t>
            </w:r>
            <w:r>
              <w:rPr>
                <w:snapToGrid w:val="0"/>
                <w:vertAlign w:val="superscript"/>
                <w:lang w:eastAsia="en-US"/>
              </w:rPr>
              <w:t>b</w:t>
            </w:r>
          </w:p>
        </w:tc>
        <w:tc>
          <w:tcPr>
            <w:tcW w:w="600" w:type="pct"/>
            <w:shd w:val="clear" w:color="auto" w:fill="auto"/>
          </w:tcPr>
          <w:p w14:paraId="04F90B2E" w14:textId="77777777" w:rsidR="00F02FC8" w:rsidRPr="00156424" w:rsidRDefault="00F02FC8" w:rsidP="00E9302D">
            <w:pPr>
              <w:pStyle w:val="TableHeading"/>
              <w:rPr>
                <w:snapToGrid w:val="0"/>
                <w:lang w:eastAsia="en-US"/>
              </w:rPr>
            </w:pPr>
            <w:r w:rsidRPr="00156424">
              <w:rPr>
                <w:snapToGrid w:val="0"/>
                <w:lang w:eastAsia="en-US"/>
              </w:rPr>
              <w:t>Key outcome(s)</w:t>
            </w:r>
          </w:p>
        </w:tc>
      </w:tr>
      <w:tr w:rsidR="00F02FC8" w:rsidRPr="00156424" w14:paraId="5A90C351" w14:textId="77777777" w:rsidTr="00E9302D">
        <w:tc>
          <w:tcPr>
            <w:tcW w:w="705" w:type="pct"/>
            <w:shd w:val="clear" w:color="auto" w:fill="auto"/>
          </w:tcPr>
          <w:p w14:paraId="55CF2290" w14:textId="77777777" w:rsidR="00F02FC8" w:rsidRPr="00236145" w:rsidRDefault="00F02FC8" w:rsidP="00E9302D">
            <w:pPr>
              <w:pStyle w:val="Tabletext0"/>
              <w:rPr>
                <w:color w:val="A6A6A6" w:themeColor="background1" w:themeShade="A6"/>
              </w:rPr>
            </w:pPr>
            <w:r w:rsidRPr="00236145">
              <w:rPr>
                <w:color w:val="A6A6A6" w:themeColor="background1" w:themeShade="A6"/>
              </w:rPr>
              <w:t>Ivanov et al. (2011)</w:t>
            </w:r>
          </w:p>
          <w:p w14:paraId="066DCC47" w14:textId="77777777" w:rsidR="00F02FC8" w:rsidRPr="00FB4D55" w:rsidRDefault="00F02FC8" w:rsidP="00E9302D">
            <w:pPr>
              <w:pStyle w:val="Tabletext0"/>
              <w:rPr>
                <w:color w:val="A6A6A6" w:themeColor="background1" w:themeShade="A6"/>
              </w:rPr>
            </w:pPr>
          </w:p>
        </w:tc>
        <w:tc>
          <w:tcPr>
            <w:tcW w:w="393" w:type="pct"/>
            <w:shd w:val="clear" w:color="auto" w:fill="auto"/>
          </w:tcPr>
          <w:p w14:paraId="3D426ABA" w14:textId="77777777" w:rsidR="00F02FC8" w:rsidRPr="00FB4D55" w:rsidRDefault="00F02FC8" w:rsidP="00E9302D">
            <w:pPr>
              <w:pStyle w:val="Tabletext0"/>
              <w:rPr>
                <w:snapToGrid w:val="0"/>
                <w:color w:val="A6A6A6" w:themeColor="background1" w:themeShade="A6"/>
              </w:rPr>
            </w:pPr>
            <w:r w:rsidRPr="00236145">
              <w:rPr>
                <w:snapToGrid w:val="0"/>
                <w:color w:val="A6A6A6" w:themeColor="background1" w:themeShade="A6"/>
              </w:rPr>
              <w:t>11</w:t>
            </w:r>
          </w:p>
        </w:tc>
        <w:tc>
          <w:tcPr>
            <w:tcW w:w="471" w:type="pct"/>
            <w:shd w:val="clear" w:color="auto" w:fill="DEEAF6" w:themeFill="accent1" w:themeFillTint="33"/>
          </w:tcPr>
          <w:p w14:paraId="38053E7B" w14:textId="77777777" w:rsidR="00F02FC8" w:rsidRPr="00FB4D55" w:rsidRDefault="00F02FC8" w:rsidP="00E9302D">
            <w:pPr>
              <w:pStyle w:val="Tabletext0"/>
              <w:rPr>
                <w:snapToGrid w:val="0"/>
                <w:color w:val="A6A6A6" w:themeColor="background1" w:themeShade="A6"/>
              </w:rPr>
            </w:pPr>
            <w:r w:rsidRPr="00236145">
              <w:rPr>
                <w:snapToGrid w:val="0"/>
                <w:color w:val="A6A6A6" w:themeColor="background1" w:themeShade="A6"/>
              </w:rPr>
              <w:t>Axxent</w:t>
            </w:r>
          </w:p>
        </w:tc>
        <w:tc>
          <w:tcPr>
            <w:tcW w:w="629" w:type="pct"/>
            <w:shd w:val="clear" w:color="auto" w:fill="auto"/>
          </w:tcPr>
          <w:p w14:paraId="3C3AD784" w14:textId="77777777" w:rsidR="00F02FC8" w:rsidRPr="00236145" w:rsidRDefault="00F02FC8" w:rsidP="00E9302D">
            <w:pPr>
              <w:pStyle w:val="Tabletext0"/>
              <w:rPr>
                <w:color w:val="A6A6A6" w:themeColor="background1" w:themeShade="A6"/>
              </w:rPr>
            </w:pPr>
            <w:r w:rsidRPr="00236145">
              <w:rPr>
                <w:color w:val="A6A6A6" w:themeColor="background1" w:themeShade="A6"/>
              </w:rPr>
              <w:t>Case series</w:t>
            </w:r>
          </w:p>
          <w:p w14:paraId="386AACD5" w14:textId="77777777" w:rsidR="00F02FC8" w:rsidRPr="00FB4D55" w:rsidRDefault="00F02FC8" w:rsidP="00E9302D">
            <w:pPr>
              <w:pStyle w:val="Tabletext0"/>
              <w:rPr>
                <w:color w:val="A6A6A6" w:themeColor="background1" w:themeShade="A6"/>
              </w:rPr>
            </w:pPr>
            <w:r w:rsidRPr="00236145">
              <w:rPr>
                <w:color w:val="A6A6A6" w:themeColor="background1" w:themeShade="A6"/>
              </w:rPr>
              <w:t>NR</w:t>
            </w:r>
          </w:p>
        </w:tc>
        <w:tc>
          <w:tcPr>
            <w:tcW w:w="786" w:type="pct"/>
          </w:tcPr>
          <w:p w14:paraId="6F7544F6" w14:textId="77777777" w:rsidR="00F02FC8" w:rsidRPr="00FD5578" w:rsidRDefault="00F02FC8" w:rsidP="00E9302D">
            <w:pPr>
              <w:pStyle w:val="Tabletext0"/>
              <w:rPr>
                <w:color w:val="A6A6A6" w:themeColor="background1" w:themeShade="A6"/>
              </w:rPr>
            </w:pPr>
            <w:r>
              <w:rPr>
                <w:color w:val="A6A6A6" w:themeColor="background1" w:themeShade="A6"/>
              </w:rPr>
              <w:t>1 year</w:t>
            </w:r>
          </w:p>
        </w:tc>
        <w:tc>
          <w:tcPr>
            <w:tcW w:w="1415" w:type="pct"/>
            <w:shd w:val="clear" w:color="auto" w:fill="auto"/>
          </w:tcPr>
          <w:p w14:paraId="00E38C8E" w14:textId="77777777" w:rsidR="00F02FC8" w:rsidRPr="00236145" w:rsidRDefault="00F02FC8" w:rsidP="00E9302D">
            <w:pPr>
              <w:pStyle w:val="Tabletext0"/>
              <w:rPr>
                <w:color w:val="A6A6A6" w:themeColor="background1" w:themeShade="A6"/>
              </w:rPr>
            </w:pPr>
            <w:r w:rsidRPr="00236145">
              <w:rPr>
                <w:color w:val="A6A6A6" w:themeColor="background1" w:themeShade="A6"/>
              </w:rPr>
              <w:t>Invasive ductal carcinoma - 55%</w:t>
            </w:r>
          </w:p>
          <w:p w14:paraId="3493C860" w14:textId="77777777" w:rsidR="00F02FC8" w:rsidRPr="00FB4D55" w:rsidRDefault="00F02FC8" w:rsidP="00E9302D">
            <w:pPr>
              <w:pStyle w:val="Tabletext0"/>
              <w:rPr>
                <w:color w:val="A6A6A6" w:themeColor="background1" w:themeShade="A6"/>
              </w:rPr>
            </w:pPr>
            <w:r w:rsidRPr="00236145">
              <w:rPr>
                <w:color w:val="A6A6A6" w:themeColor="background1" w:themeShade="A6"/>
              </w:rPr>
              <w:t xml:space="preserve">Ductal carcinoma </w:t>
            </w:r>
            <w:r w:rsidRPr="00236145">
              <w:rPr>
                <w:i/>
                <w:color w:val="A6A6A6" w:themeColor="background1" w:themeShade="A6"/>
              </w:rPr>
              <w:t>in situ</w:t>
            </w:r>
            <w:r w:rsidRPr="00236145">
              <w:rPr>
                <w:color w:val="A6A6A6" w:themeColor="background1" w:themeShade="A6"/>
              </w:rPr>
              <w:t xml:space="preserve"> - 45%</w:t>
            </w:r>
          </w:p>
        </w:tc>
        <w:tc>
          <w:tcPr>
            <w:tcW w:w="600" w:type="pct"/>
            <w:shd w:val="clear" w:color="auto" w:fill="auto"/>
          </w:tcPr>
          <w:p w14:paraId="247AEBD6" w14:textId="77777777" w:rsidR="00F02FC8" w:rsidRPr="00236145" w:rsidRDefault="00F02FC8" w:rsidP="00E9302D">
            <w:pPr>
              <w:pStyle w:val="Tabletext0"/>
              <w:rPr>
                <w:color w:val="A6A6A6" w:themeColor="background1" w:themeShade="A6"/>
              </w:rPr>
            </w:pPr>
            <w:r w:rsidRPr="00236145">
              <w:rPr>
                <w:color w:val="A6A6A6" w:themeColor="background1" w:themeShade="A6"/>
              </w:rPr>
              <w:t>Recurrence</w:t>
            </w:r>
          </w:p>
          <w:p w14:paraId="1AB6315F" w14:textId="77777777" w:rsidR="00F02FC8" w:rsidRPr="00FB4D55" w:rsidRDefault="00F02FC8" w:rsidP="00E9302D">
            <w:pPr>
              <w:pStyle w:val="Tabletext0"/>
              <w:rPr>
                <w:color w:val="A6A6A6" w:themeColor="background1" w:themeShade="A6"/>
              </w:rPr>
            </w:pPr>
            <w:r w:rsidRPr="00236145">
              <w:rPr>
                <w:color w:val="A6A6A6" w:themeColor="background1" w:themeShade="A6"/>
              </w:rPr>
              <w:t>Adverse events</w:t>
            </w:r>
          </w:p>
        </w:tc>
      </w:tr>
      <w:tr w:rsidR="00F02FC8" w:rsidRPr="00156424" w14:paraId="132B596C" w14:textId="77777777" w:rsidTr="00E9302D">
        <w:tc>
          <w:tcPr>
            <w:tcW w:w="705" w:type="pct"/>
            <w:shd w:val="clear" w:color="auto" w:fill="auto"/>
          </w:tcPr>
          <w:p w14:paraId="7EA1ECA7" w14:textId="77777777" w:rsidR="00F02FC8" w:rsidRPr="00156424" w:rsidRDefault="00F02FC8" w:rsidP="00E9302D">
            <w:pPr>
              <w:pStyle w:val="Tabletext0"/>
            </w:pPr>
            <w:r>
              <w:t>Lai et al.</w:t>
            </w:r>
            <w:r w:rsidRPr="00156424">
              <w:t xml:space="preserve"> (2016)</w:t>
            </w:r>
          </w:p>
          <w:p w14:paraId="2500AC52" w14:textId="77777777" w:rsidR="00F02FC8" w:rsidRPr="00156424" w:rsidRDefault="00F02FC8" w:rsidP="00E9302D">
            <w:pPr>
              <w:pStyle w:val="Tabletext0"/>
            </w:pPr>
          </w:p>
        </w:tc>
        <w:tc>
          <w:tcPr>
            <w:tcW w:w="393" w:type="pct"/>
            <w:shd w:val="clear" w:color="auto" w:fill="auto"/>
          </w:tcPr>
          <w:p w14:paraId="25DF7DC3" w14:textId="77777777" w:rsidR="00F02FC8" w:rsidRPr="00156424" w:rsidRDefault="00F02FC8" w:rsidP="00E9302D">
            <w:pPr>
              <w:pStyle w:val="Tabletext0"/>
              <w:rPr>
                <w:snapToGrid w:val="0"/>
              </w:rPr>
            </w:pPr>
            <w:r>
              <w:rPr>
                <w:snapToGrid w:val="0"/>
              </w:rPr>
              <w:t>261</w:t>
            </w:r>
          </w:p>
        </w:tc>
        <w:tc>
          <w:tcPr>
            <w:tcW w:w="471" w:type="pct"/>
            <w:shd w:val="clear" w:color="auto" w:fill="DEEAF6" w:themeFill="accent1" w:themeFillTint="33"/>
          </w:tcPr>
          <w:p w14:paraId="09E86F9E" w14:textId="77777777" w:rsidR="00F02FC8" w:rsidRPr="00156424" w:rsidRDefault="00F02FC8" w:rsidP="00E9302D">
            <w:pPr>
              <w:pStyle w:val="Tabletext0"/>
              <w:rPr>
                <w:snapToGrid w:val="0"/>
              </w:rPr>
            </w:pPr>
            <w:r w:rsidRPr="00156424">
              <w:rPr>
                <w:snapToGrid w:val="0"/>
              </w:rPr>
              <w:t>Axxent</w:t>
            </w:r>
            <w:r w:rsidRPr="000E163F">
              <w:rPr>
                <w:snapToGrid w:val="0"/>
                <w:vertAlign w:val="superscript"/>
              </w:rPr>
              <w:t>®</w:t>
            </w:r>
          </w:p>
        </w:tc>
        <w:tc>
          <w:tcPr>
            <w:tcW w:w="629" w:type="pct"/>
            <w:shd w:val="clear" w:color="auto" w:fill="auto"/>
          </w:tcPr>
          <w:p w14:paraId="350EC8B5" w14:textId="77777777" w:rsidR="00F02FC8" w:rsidRPr="00156424" w:rsidRDefault="00F02FC8" w:rsidP="00E9302D">
            <w:pPr>
              <w:pStyle w:val="Tabletext0"/>
            </w:pPr>
            <w:r w:rsidRPr="00156424">
              <w:t>Case series</w:t>
            </w:r>
          </w:p>
          <w:p w14:paraId="13368619" w14:textId="77777777" w:rsidR="00F02FC8" w:rsidRPr="00156424" w:rsidRDefault="00F02FC8" w:rsidP="00E9302D">
            <w:pPr>
              <w:pStyle w:val="Tabletext0"/>
            </w:pPr>
            <w:r>
              <w:t>Multicentre</w:t>
            </w:r>
          </w:p>
        </w:tc>
        <w:tc>
          <w:tcPr>
            <w:tcW w:w="786" w:type="pct"/>
          </w:tcPr>
          <w:p w14:paraId="2DC3255B" w14:textId="77777777" w:rsidR="00F02FC8" w:rsidRPr="00156424" w:rsidRDefault="00F02FC8" w:rsidP="00E9302D">
            <w:pPr>
              <w:pStyle w:val="Tabletext0"/>
            </w:pPr>
            <w:r>
              <w:t>Median 1.3 years</w:t>
            </w:r>
          </w:p>
        </w:tc>
        <w:tc>
          <w:tcPr>
            <w:tcW w:w="1415" w:type="pct"/>
            <w:shd w:val="clear" w:color="auto" w:fill="auto"/>
          </w:tcPr>
          <w:p w14:paraId="327CD758" w14:textId="77777777" w:rsidR="00F02FC8" w:rsidRDefault="00F02FC8" w:rsidP="00E9302D">
            <w:pPr>
              <w:pStyle w:val="Tabletext0"/>
            </w:pPr>
            <w:r w:rsidRPr="00156424">
              <w:t>Invasive ductal carcinoma</w:t>
            </w:r>
            <w:r>
              <w:t xml:space="preserve"> and ductal carcinoma </w:t>
            </w:r>
            <w:r>
              <w:rPr>
                <w:i/>
                <w:iCs/>
              </w:rPr>
              <w:t>in situ</w:t>
            </w:r>
            <w:r w:rsidRPr="00156424">
              <w:t xml:space="preserve"> - 73%</w:t>
            </w:r>
          </w:p>
          <w:p w14:paraId="7A5E2926" w14:textId="77777777" w:rsidR="00F02FC8" w:rsidRPr="00156424" w:rsidRDefault="00F02FC8" w:rsidP="00E9302D">
            <w:pPr>
              <w:pStyle w:val="Tabletext0"/>
            </w:pPr>
            <w:r>
              <w:t xml:space="preserve">Invasive lobular carcinoma and lobular carcinoma </w:t>
            </w:r>
            <w:r>
              <w:rPr>
                <w:i/>
                <w:iCs/>
              </w:rPr>
              <w:t xml:space="preserve">in situ - </w:t>
            </w:r>
            <w:r>
              <w:t xml:space="preserve">1.9% </w:t>
            </w:r>
          </w:p>
          <w:p w14:paraId="095DA360" w14:textId="77777777" w:rsidR="00F02FC8" w:rsidRDefault="00F02FC8" w:rsidP="00E9302D">
            <w:pPr>
              <w:pStyle w:val="Tabletext0"/>
            </w:pPr>
            <w:r w:rsidRPr="00156424">
              <w:t xml:space="preserve">Ductal carcinoma </w:t>
            </w:r>
            <w:r w:rsidRPr="00156424">
              <w:rPr>
                <w:i/>
              </w:rPr>
              <w:t>in situ</w:t>
            </w:r>
            <w:r w:rsidRPr="00156424">
              <w:t xml:space="preserve"> </w:t>
            </w:r>
            <w:r>
              <w:t>- 16.1</w:t>
            </w:r>
            <w:r w:rsidRPr="00156424">
              <w:t>%</w:t>
            </w:r>
          </w:p>
          <w:p w14:paraId="6851440F" w14:textId="77777777" w:rsidR="00F02FC8" w:rsidRPr="00156424" w:rsidRDefault="00F02FC8" w:rsidP="00E9302D">
            <w:pPr>
              <w:pStyle w:val="Tabletext0"/>
            </w:pPr>
            <w:r>
              <w:t>Mucinous or papillary carcinoma - 3.4%</w:t>
            </w:r>
            <w:r w:rsidRPr="00156424">
              <w:br/>
            </w:r>
            <w:r>
              <w:t>Unknown</w:t>
            </w:r>
            <w:r w:rsidRPr="00156424">
              <w:t xml:space="preserve"> </w:t>
            </w:r>
            <w:r>
              <w:t>-</w:t>
            </w:r>
            <w:r w:rsidRPr="00156424">
              <w:t xml:space="preserve"> </w:t>
            </w:r>
            <w:r>
              <w:t>4.2</w:t>
            </w:r>
            <w:r w:rsidRPr="00156424">
              <w:t>%</w:t>
            </w:r>
          </w:p>
        </w:tc>
        <w:tc>
          <w:tcPr>
            <w:tcW w:w="600" w:type="pct"/>
            <w:shd w:val="clear" w:color="auto" w:fill="auto"/>
          </w:tcPr>
          <w:p w14:paraId="10ACD768" w14:textId="77777777" w:rsidR="00F02FC8" w:rsidRPr="00156424" w:rsidRDefault="00F02FC8" w:rsidP="00E9302D">
            <w:pPr>
              <w:pStyle w:val="Tabletext0"/>
            </w:pPr>
            <w:r w:rsidRPr="00156424">
              <w:t>Recurrence</w:t>
            </w:r>
          </w:p>
          <w:p w14:paraId="51D07018" w14:textId="77777777" w:rsidR="00F02FC8" w:rsidRPr="00156424" w:rsidRDefault="00F02FC8" w:rsidP="00E9302D">
            <w:pPr>
              <w:pStyle w:val="Tabletext0"/>
            </w:pPr>
            <w:r w:rsidRPr="00156424">
              <w:t xml:space="preserve">Mortality </w:t>
            </w:r>
          </w:p>
          <w:p w14:paraId="44693537" w14:textId="77777777" w:rsidR="00F02FC8" w:rsidRPr="00156424" w:rsidRDefault="00F02FC8" w:rsidP="00E9302D">
            <w:pPr>
              <w:pStyle w:val="Tabletext0"/>
            </w:pPr>
          </w:p>
        </w:tc>
      </w:tr>
      <w:tr w:rsidR="00F02FC8" w:rsidRPr="00156424" w14:paraId="03A237D1" w14:textId="77777777" w:rsidTr="00E9302D">
        <w:tc>
          <w:tcPr>
            <w:tcW w:w="705" w:type="pct"/>
            <w:shd w:val="clear" w:color="auto" w:fill="auto"/>
          </w:tcPr>
          <w:p w14:paraId="011240EE" w14:textId="77777777" w:rsidR="00F02FC8" w:rsidRPr="00420D29" w:rsidRDefault="00F02FC8" w:rsidP="00E9302D">
            <w:pPr>
              <w:pStyle w:val="Tabletext0"/>
              <w:rPr>
                <w:vertAlign w:val="superscript"/>
              </w:rPr>
            </w:pPr>
            <w:r>
              <w:t xml:space="preserve">Silverstein et al. (2018) </w:t>
            </w:r>
            <w:r>
              <w:rPr>
                <w:vertAlign w:val="superscript"/>
              </w:rPr>
              <w:t>c</w:t>
            </w:r>
          </w:p>
        </w:tc>
        <w:tc>
          <w:tcPr>
            <w:tcW w:w="393" w:type="pct"/>
            <w:shd w:val="clear" w:color="auto" w:fill="auto"/>
          </w:tcPr>
          <w:p w14:paraId="3451A2E2" w14:textId="77777777" w:rsidR="00F02FC8" w:rsidRPr="00156424" w:rsidRDefault="00F02FC8" w:rsidP="00E9302D">
            <w:pPr>
              <w:pStyle w:val="Tabletext0"/>
              <w:rPr>
                <w:snapToGrid w:val="0"/>
              </w:rPr>
            </w:pPr>
            <w:r>
              <w:rPr>
                <w:snapToGrid w:val="0"/>
              </w:rPr>
              <w:t>984</w:t>
            </w:r>
          </w:p>
        </w:tc>
        <w:tc>
          <w:tcPr>
            <w:tcW w:w="471" w:type="pct"/>
            <w:shd w:val="clear" w:color="auto" w:fill="DEEAF6" w:themeFill="accent1" w:themeFillTint="33"/>
          </w:tcPr>
          <w:p w14:paraId="3AE28953" w14:textId="77777777" w:rsidR="00F02FC8" w:rsidRPr="00156424" w:rsidRDefault="00F02FC8" w:rsidP="00E9302D">
            <w:pPr>
              <w:pStyle w:val="Tabletext0"/>
              <w:rPr>
                <w:snapToGrid w:val="0"/>
              </w:rPr>
            </w:pPr>
            <w:r>
              <w:rPr>
                <w:snapToGrid w:val="0"/>
              </w:rPr>
              <w:t>Axxent</w:t>
            </w:r>
            <w:r w:rsidRPr="000E163F">
              <w:rPr>
                <w:snapToGrid w:val="0"/>
                <w:vertAlign w:val="superscript"/>
              </w:rPr>
              <w:t>®</w:t>
            </w:r>
            <w:r>
              <w:rPr>
                <w:snapToGrid w:val="0"/>
              </w:rPr>
              <w:t xml:space="preserve"> </w:t>
            </w:r>
          </w:p>
        </w:tc>
        <w:tc>
          <w:tcPr>
            <w:tcW w:w="629" w:type="pct"/>
            <w:shd w:val="clear" w:color="auto" w:fill="auto"/>
          </w:tcPr>
          <w:p w14:paraId="1FBB1699" w14:textId="77777777" w:rsidR="00F02FC8" w:rsidRDefault="00F02FC8" w:rsidP="00E9302D">
            <w:pPr>
              <w:pStyle w:val="Tabletext0"/>
            </w:pPr>
            <w:r>
              <w:t>Case series</w:t>
            </w:r>
          </w:p>
          <w:p w14:paraId="675EBADB" w14:textId="77777777" w:rsidR="00F02FC8" w:rsidRPr="00156424" w:rsidRDefault="00F02FC8" w:rsidP="00E9302D">
            <w:pPr>
              <w:pStyle w:val="Tabletext0"/>
            </w:pPr>
            <w:r>
              <w:t>Single centre</w:t>
            </w:r>
          </w:p>
        </w:tc>
        <w:tc>
          <w:tcPr>
            <w:tcW w:w="786" w:type="pct"/>
          </w:tcPr>
          <w:p w14:paraId="38334424" w14:textId="77777777" w:rsidR="00F02FC8" w:rsidRDefault="00F02FC8" w:rsidP="00E9302D">
            <w:pPr>
              <w:pStyle w:val="Tabletext0"/>
            </w:pPr>
            <w:r>
              <w:t>Median 3 years</w:t>
            </w:r>
          </w:p>
        </w:tc>
        <w:tc>
          <w:tcPr>
            <w:tcW w:w="1415" w:type="pct"/>
            <w:shd w:val="clear" w:color="auto" w:fill="auto"/>
          </w:tcPr>
          <w:p w14:paraId="21C9F817" w14:textId="77777777" w:rsidR="00F02FC8" w:rsidRDefault="00F02FC8" w:rsidP="00E9302D">
            <w:pPr>
              <w:pStyle w:val="Tabletext0"/>
            </w:pPr>
            <w:r>
              <w:t>Invasive ductal carcinoma - 71%</w:t>
            </w:r>
          </w:p>
          <w:p w14:paraId="5C3F4A1E" w14:textId="77777777" w:rsidR="00F02FC8" w:rsidRDefault="00F02FC8" w:rsidP="00E9302D">
            <w:pPr>
              <w:pStyle w:val="Tabletext0"/>
            </w:pPr>
            <w:r>
              <w:t xml:space="preserve">Ductal carcinoma </w:t>
            </w:r>
            <w:r>
              <w:rPr>
                <w:i/>
                <w:iCs/>
              </w:rPr>
              <w:t>in situ</w:t>
            </w:r>
            <w:r>
              <w:t xml:space="preserve"> - 21%</w:t>
            </w:r>
          </w:p>
          <w:p w14:paraId="030B50D8" w14:textId="77777777" w:rsidR="00F02FC8" w:rsidRPr="007A3ACE" w:rsidRDefault="00F02FC8" w:rsidP="00E9302D">
            <w:pPr>
              <w:pStyle w:val="Tabletext0"/>
            </w:pPr>
            <w:r>
              <w:t xml:space="preserve">Invasive lobular carcinoma - 8% </w:t>
            </w:r>
          </w:p>
        </w:tc>
        <w:tc>
          <w:tcPr>
            <w:tcW w:w="600" w:type="pct"/>
            <w:shd w:val="clear" w:color="auto" w:fill="auto"/>
          </w:tcPr>
          <w:p w14:paraId="6429302E" w14:textId="77777777" w:rsidR="00F02FC8" w:rsidRDefault="00F02FC8" w:rsidP="00E9302D">
            <w:pPr>
              <w:pStyle w:val="Tabletext0"/>
            </w:pPr>
            <w:r>
              <w:t xml:space="preserve">Recurrence </w:t>
            </w:r>
          </w:p>
          <w:p w14:paraId="1B2A3A05" w14:textId="77777777" w:rsidR="00F02FC8" w:rsidRDefault="00F02FC8" w:rsidP="00E9302D">
            <w:pPr>
              <w:pStyle w:val="Tabletext0"/>
            </w:pPr>
            <w:r>
              <w:t xml:space="preserve">Mortality </w:t>
            </w:r>
          </w:p>
          <w:p w14:paraId="3E008C1C" w14:textId="77777777" w:rsidR="00F02FC8" w:rsidRDefault="00F02FC8" w:rsidP="00E9302D">
            <w:pPr>
              <w:pStyle w:val="Tabletext0"/>
            </w:pPr>
            <w:r>
              <w:t xml:space="preserve">Adverse events </w:t>
            </w:r>
          </w:p>
          <w:p w14:paraId="360BF426" w14:textId="77777777" w:rsidR="00F02FC8" w:rsidRPr="00156424" w:rsidRDefault="00F02FC8" w:rsidP="00E9302D">
            <w:pPr>
              <w:pStyle w:val="Tabletext0"/>
            </w:pPr>
          </w:p>
        </w:tc>
      </w:tr>
      <w:tr w:rsidR="00F02FC8" w:rsidRPr="00156424" w14:paraId="3DAFEA05" w14:textId="77777777" w:rsidTr="00E9302D">
        <w:tc>
          <w:tcPr>
            <w:tcW w:w="705" w:type="pct"/>
            <w:shd w:val="clear" w:color="auto" w:fill="auto"/>
          </w:tcPr>
          <w:p w14:paraId="0143F085" w14:textId="77777777" w:rsidR="00F02FC8" w:rsidRPr="00DF7A43" w:rsidRDefault="00F02FC8" w:rsidP="00E9302D">
            <w:pPr>
              <w:pStyle w:val="Tabletext0"/>
              <w:rPr>
                <w:vertAlign w:val="superscript"/>
              </w:rPr>
            </w:pPr>
            <w:r>
              <w:t xml:space="preserve">Coles et al. (2018) </w:t>
            </w:r>
            <w:r>
              <w:rPr>
                <w:vertAlign w:val="superscript"/>
              </w:rPr>
              <w:t>a</w:t>
            </w:r>
          </w:p>
        </w:tc>
        <w:tc>
          <w:tcPr>
            <w:tcW w:w="393" w:type="pct"/>
            <w:shd w:val="clear" w:color="auto" w:fill="auto"/>
          </w:tcPr>
          <w:p w14:paraId="266EDC82" w14:textId="77777777" w:rsidR="00F02FC8" w:rsidRPr="00156424" w:rsidRDefault="00F02FC8" w:rsidP="00E9302D">
            <w:pPr>
              <w:pStyle w:val="Tabletext0"/>
              <w:rPr>
                <w:snapToGrid w:val="0"/>
              </w:rPr>
            </w:pPr>
            <w:r>
              <w:rPr>
                <w:snapToGrid w:val="0"/>
              </w:rPr>
              <w:t>674</w:t>
            </w:r>
          </w:p>
        </w:tc>
        <w:tc>
          <w:tcPr>
            <w:tcW w:w="471" w:type="pct"/>
            <w:shd w:val="clear" w:color="auto" w:fill="FFFFCC"/>
          </w:tcPr>
          <w:p w14:paraId="060E37EE" w14:textId="77777777" w:rsidR="00F02FC8" w:rsidRPr="00156424" w:rsidRDefault="00F02FC8" w:rsidP="00E9302D">
            <w:pPr>
              <w:pStyle w:val="Tabletext0"/>
            </w:pPr>
            <w:r>
              <w:t>WB-EBRT</w:t>
            </w:r>
          </w:p>
        </w:tc>
        <w:tc>
          <w:tcPr>
            <w:tcW w:w="629" w:type="pct"/>
            <w:shd w:val="clear" w:color="auto" w:fill="auto"/>
          </w:tcPr>
          <w:p w14:paraId="6A845620" w14:textId="77777777" w:rsidR="00F02FC8" w:rsidRDefault="00F02FC8" w:rsidP="00E9302D">
            <w:pPr>
              <w:pStyle w:val="Tabletext0"/>
              <w:ind w:left="0"/>
              <w:rPr>
                <w:snapToGrid w:val="0"/>
              </w:rPr>
            </w:pPr>
            <w:r>
              <w:rPr>
                <w:snapToGrid w:val="0"/>
              </w:rPr>
              <w:t>RCT</w:t>
            </w:r>
          </w:p>
          <w:p w14:paraId="71E8F5B5" w14:textId="77777777" w:rsidR="00F02FC8" w:rsidRPr="00156424" w:rsidRDefault="00F02FC8" w:rsidP="00E9302D">
            <w:pPr>
              <w:pStyle w:val="Tabletext0"/>
              <w:ind w:left="0"/>
              <w:rPr>
                <w:snapToGrid w:val="0"/>
              </w:rPr>
            </w:pPr>
            <w:r>
              <w:rPr>
                <w:snapToGrid w:val="0"/>
              </w:rPr>
              <w:t>Multicentre</w:t>
            </w:r>
          </w:p>
        </w:tc>
        <w:tc>
          <w:tcPr>
            <w:tcW w:w="786" w:type="pct"/>
          </w:tcPr>
          <w:p w14:paraId="11270E74" w14:textId="77777777" w:rsidR="00F02FC8" w:rsidRDefault="00F02FC8" w:rsidP="00E9302D">
            <w:pPr>
              <w:pStyle w:val="Tabletext0"/>
            </w:pPr>
            <w:r>
              <w:t>Median 6 years</w:t>
            </w:r>
          </w:p>
        </w:tc>
        <w:tc>
          <w:tcPr>
            <w:tcW w:w="1415" w:type="pct"/>
            <w:shd w:val="clear" w:color="auto" w:fill="auto"/>
          </w:tcPr>
          <w:p w14:paraId="2262289F" w14:textId="77777777" w:rsidR="00F02FC8" w:rsidRDefault="00F02FC8" w:rsidP="00E9302D">
            <w:pPr>
              <w:pStyle w:val="Tabletext0"/>
            </w:pPr>
            <w:r>
              <w:t>Invasive ductal carcinoma - 86%</w:t>
            </w:r>
          </w:p>
          <w:p w14:paraId="2ABD233F" w14:textId="77777777" w:rsidR="00F02FC8" w:rsidRDefault="00F02FC8" w:rsidP="00E9302D">
            <w:pPr>
              <w:pStyle w:val="Tabletext0"/>
            </w:pPr>
            <w:r>
              <w:t>Mixed - 2%</w:t>
            </w:r>
          </w:p>
          <w:p w14:paraId="34FDE64E" w14:textId="77777777" w:rsidR="00F02FC8" w:rsidRPr="00156424" w:rsidRDefault="00F02FC8" w:rsidP="00E9302D">
            <w:pPr>
              <w:pStyle w:val="Tabletext0"/>
            </w:pPr>
            <w:r>
              <w:t>Other - 12%</w:t>
            </w:r>
          </w:p>
        </w:tc>
        <w:tc>
          <w:tcPr>
            <w:tcW w:w="600" w:type="pct"/>
            <w:shd w:val="clear" w:color="auto" w:fill="auto"/>
          </w:tcPr>
          <w:p w14:paraId="0B78FD94" w14:textId="77777777" w:rsidR="00F02FC8" w:rsidRDefault="00F02FC8" w:rsidP="00E9302D">
            <w:pPr>
              <w:pStyle w:val="Tabletext0"/>
            </w:pPr>
            <w:r>
              <w:t xml:space="preserve">Recurrence </w:t>
            </w:r>
          </w:p>
          <w:p w14:paraId="3BA4D5EE" w14:textId="77777777" w:rsidR="00F02FC8" w:rsidRPr="00156424" w:rsidRDefault="00F02FC8" w:rsidP="00E9302D">
            <w:pPr>
              <w:pStyle w:val="Tabletext0"/>
            </w:pPr>
            <w:r>
              <w:t xml:space="preserve">Mortality </w:t>
            </w:r>
          </w:p>
        </w:tc>
      </w:tr>
      <w:tr w:rsidR="00F02FC8" w:rsidRPr="00156424" w14:paraId="7250AADC" w14:textId="77777777" w:rsidTr="00E9302D">
        <w:tc>
          <w:tcPr>
            <w:tcW w:w="705" w:type="pct"/>
            <w:shd w:val="clear" w:color="auto" w:fill="auto"/>
          </w:tcPr>
          <w:p w14:paraId="20B1A480" w14:textId="77777777" w:rsidR="00F02FC8" w:rsidRPr="00156424" w:rsidRDefault="00F02FC8" w:rsidP="00E9302D">
            <w:pPr>
              <w:pStyle w:val="Tabletext0"/>
            </w:pPr>
            <w:r>
              <w:t>Strnad et al. (2016) &amp; Polgar et al. (2017)</w:t>
            </w:r>
            <w:r>
              <w:rPr>
                <w:vertAlign w:val="superscript"/>
              </w:rPr>
              <w:t xml:space="preserve"> a</w:t>
            </w:r>
          </w:p>
        </w:tc>
        <w:tc>
          <w:tcPr>
            <w:tcW w:w="393" w:type="pct"/>
            <w:shd w:val="clear" w:color="auto" w:fill="auto"/>
          </w:tcPr>
          <w:p w14:paraId="5A007E71" w14:textId="77777777" w:rsidR="00F02FC8" w:rsidRPr="00156424" w:rsidRDefault="00F02FC8" w:rsidP="00E9302D">
            <w:pPr>
              <w:pStyle w:val="Tabletext0"/>
              <w:rPr>
                <w:snapToGrid w:val="0"/>
              </w:rPr>
            </w:pPr>
            <w:r>
              <w:rPr>
                <w:snapToGrid w:val="0"/>
              </w:rPr>
              <w:t>551</w:t>
            </w:r>
          </w:p>
        </w:tc>
        <w:tc>
          <w:tcPr>
            <w:tcW w:w="471" w:type="pct"/>
            <w:shd w:val="clear" w:color="auto" w:fill="FFFFCC"/>
          </w:tcPr>
          <w:p w14:paraId="5FFF9AE0" w14:textId="77777777" w:rsidR="00F02FC8" w:rsidRPr="00156424" w:rsidRDefault="00F02FC8" w:rsidP="00E9302D">
            <w:pPr>
              <w:pStyle w:val="Tabletext0"/>
            </w:pPr>
            <w:r>
              <w:t>WB-EBRT</w:t>
            </w:r>
          </w:p>
        </w:tc>
        <w:tc>
          <w:tcPr>
            <w:tcW w:w="629" w:type="pct"/>
            <w:shd w:val="clear" w:color="auto" w:fill="auto"/>
          </w:tcPr>
          <w:p w14:paraId="6BE57DCE" w14:textId="77777777" w:rsidR="00F02FC8" w:rsidRDefault="00F02FC8" w:rsidP="00E9302D">
            <w:pPr>
              <w:pStyle w:val="Tabletext0"/>
            </w:pPr>
            <w:r>
              <w:t>RCT</w:t>
            </w:r>
          </w:p>
          <w:p w14:paraId="5E184065" w14:textId="77777777" w:rsidR="00F02FC8" w:rsidRPr="00156424" w:rsidRDefault="00F02FC8" w:rsidP="00E9302D">
            <w:pPr>
              <w:pStyle w:val="Tabletext0"/>
            </w:pPr>
            <w:r>
              <w:t>Multicentre</w:t>
            </w:r>
          </w:p>
        </w:tc>
        <w:tc>
          <w:tcPr>
            <w:tcW w:w="786" w:type="pct"/>
          </w:tcPr>
          <w:p w14:paraId="636B4692" w14:textId="77777777" w:rsidR="00F02FC8" w:rsidRDefault="00F02FC8" w:rsidP="00E9302D">
            <w:pPr>
              <w:pStyle w:val="Tabletext0"/>
              <w:rPr>
                <w:color w:val="000000" w:themeColor="text1"/>
              </w:rPr>
            </w:pPr>
            <w:r>
              <w:rPr>
                <w:color w:val="000000" w:themeColor="text1"/>
              </w:rPr>
              <w:t>5 years</w:t>
            </w:r>
          </w:p>
        </w:tc>
        <w:tc>
          <w:tcPr>
            <w:tcW w:w="1415" w:type="pct"/>
            <w:shd w:val="clear" w:color="auto" w:fill="auto"/>
          </w:tcPr>
          <w:p w14:paraId="257F2DC0" w14:textId="77777777" w:rsidR="00F02FC8" w:rsidRDefault="00F02FC8" w:rsidP="00E9302D">
            <w:pPr>
              <w:pStyle w:val="Tabletext0"/>
              <w:rPr>
                <w:color w:val="000000" w:themeColor="text1"/>
              </w:rPr>
            </w:pPr>
            <w:r>
              <w:rPr>
                <w:color w:val="000000" w:themeColor="text1"/>
              </w:rPr>
              <w:t>Invasive ductal carcinoma -77%</w:t>
            </w:r>
          </w:p>
          <w:p w14:paraId="1B0AE902" w14:textId="77777777" w:rsidR="00F02FC8" w:rsidRDefault="00F02FC8" w:rsidP="00E9302D">
            <w:pPr>
              <w:pStyle w:val="Tabletext0"/>
              <w:rPr>
                <w:color w:val="000000" w:themeColor="text1"/>
              </w:rPr>
            </w:pPr>
            <w:r>
              <w:rPr>
                <w:color w:val="000000" w:themeColor="text1"/>
              </w:rPr>
              <w:t>Invasive lobular carcinoma - 9%</w:t>
            </w:r>
          </w:p>
          <w:p w14:paraId="0C99A56E" w14:textId="77777777" w:rsidR="00F02FC8" w:rsidRDefault="00F02FC8" w:rsidP="00E9302D">
            <w:pPr>
              <w:pStyle w:val="Tabletext0"/>
              <w:rPr>
                <w:color w:val="000000" w:themeColor="text1"/>
              </w:rPr>
            </w:pPr>
            <w:r>
              <w:rPr>
                <w:color w:val="000000" w:themeColor="text1"/>
              </w:rPr>
              <w:t>Mixed - 11%</w:t>
            </w:r>
          </w:p>
          <w:p w14:paraId="7D6C2D2C" w14:textId="77777777" w:rsidR="00F02FC8" w:rsidRPr="00156424" w:rsidRDefault="00F02FC8" w:rsidP="00E9302D">
            <w:pPr>
              <w:pStyle w:val="Tabletext0"/>
            </w:pPr>
            <w:r>
              <w:rPr>
                <w:color w:val="000000" w:themeColor="text1"/>
              </w:rPr>
              <w:t>Unknown - 4%</w:t>
            </w:r>
          </w:p>
        </w:tc>
        <w:tc>
          <w:tcPr>
            <w:tcW w:w="600" w:type="pct"/>
            <w:shd w:val="clear" w:color="auto" w:fill="auto"/>
          </w:tcPr>
          <w:p w14:paraId="3A0DE460" w14:textId="77777777" w:rsidR="00F02FC8" w:rsidRDefault="00F02FC8" w:rsidP="00E9302D">
            <w:pPr>
              <w:pStyle w:val="Tabletext0"/>
            </w:pPr>
            <w:r>
              <w:t>Recurrence</w:t>
            </w:r>
          </w:p>
          <w:p w14:paraId="41FF0639" w14:textId="77777777" w:rsidR="00F02FC8" w:rsidRDefault="00F02FC8" w:rsidP="00E9302D">
            <w:pPr>
              <w:pStyle w:val="Tabletext0"/>
            </w:pPr>
            <w:r>
              <w:t xml:space="preserve">Mortality </w:t>
            </w:r>
          </w:p>
          <w:p w14:paraId="3376DEDE" w14:textId="4D272EEE" w:rsidR="00F02FC8" w:rsidRPr="00156424" w:rsidRDefault="00F02FC8" w:rsidP="00ED7C46">
            <w:pPr>
              <w:pStyle w:val="Tabletext0"/>
            </w:pPr>
            <w:r>
              <w:t xml:space="preserve">Adverse events </w:t>
            </w:r>
          </w:p>
        </w:tc>
      </w:tr>
      <w:tr w:rsidR="00F02FC8" w:rsidRPr="00156424" w14:paraId="2AD48B96" w14:textId="77777777" w:rsidTr="00E9302D">
        <w:tc>
          <w:tcPr>
            <w:tcW w:w="705" w:type="pct"/>
            <w:shd w:val="clear" w:color="auto" w:fill="auto"/>
          </w:tcPr>
          <w:p w14:paraId="1BB7AD50" w14:textId="77777777" w:rsidR="00F02FC8" w:rsidRPr="00156424" w:rsidRDefault="00F02FC8" w:rsidP="00E9302D">
            <w:pPr>
              <w:pStyle w:val="Tabletext0"/>
            </w:pPr>
            <w:r>
              <w:lastRenderedPageBreak/>
              <w:t xml:space="preserve">Livi et al. (2014) </w:t>
            </w:r>
            <w:r>
              <w:rPr>
                <w:vertAlign w:val="superscript"/>
              </w:rPr>
              <w:t>a</w:t>
            </w:r>
          </w:p>
        </w:tc>
        <w:tc>
          <w:tcPr>
            <w:tcW w:w="393" w:type="pct"/>
            <w:shd w:val="clear" w:color="auto" w:fill="auto"/>
          </w:tcPr>
          <w:p w14:paraId="7080A569" w14:textId="77777777" w:rsidR="00F02FC8" w:rsidRPr="00156424" w:rsidRDefault="00F02FC8" w:rsidP="00E9302D">
            <w:pPr>
              <w:pStyle w:val="Tabletext0"/>
              <w:rPr>
                <w:snapToGrid w:val="0"/>
              </w:rPr>
            </w:pPr>
            <w:r>
              <w:rPr>
                <w:snapToGrid w:val="0"/>
              </w:rPr>
              <w:t>260</w:t>
            </w:r>
          </w:p>
        </w:tc>
        <w:tc>
          <w:tcPr>
            <w:tcW w:w="471" w:type="pct"/>
            <w:shd w:val="clear" w:color="auto" w:fill="FFFFCC"/>
          </w:tcPr>
          <w:p w14:paraId="125694B3" w14:textId="77777777" w:rsidR="00F02FC8" w:rsidRPr="00156424" w:rsidRDefault="00F02FC8" w:rsidP="00E9302D">
            <w:pPr>
              <w:pStyle w:val="Tabletext0"/>
            </w:pPr>
            <w:r>
              <w:t>WB-EBRT</w:t>
            </w:r>
          </w:p>
        </w:tc>
        <w:tc>
          <w:tcPr>
            <w:tcW w:w="629" w:type="pct"/>
            <w:shd w:val="clear" w:color="auto" w:fill="auto"/>
          </w:tcPr>
          <w:p w14:paraId="1E934BB4" w14:textId="77777777" w:rsidR="00F02FC8" w:rsidRDefault="00F02FC8" w:rsidP="00E9302D">
            <w:pPr>
              <w:pStyle w:val="Tabletext0"/>
              <w:rPr>
                <w:snapToGrid w:val="0"/>
              </w:rPr>
            </w:pPr>
            <w:r>
              <w:rPr>
                <w:snapToGrid w:val="0"/>
              </w:rPr>
              <w:t>RCT</w:t>
            </w:r>
          </w:p>
          <w:p w14:paraId="13CC0678" w14:textId="77777777" w:rsidR="00F02FC8" w:rsidRPr="00156424" w:rsidRDefault="00F02FC8" w:rsidP="00E9302D">
            <w:pPr>
              <w:pStyle w:val="Tabletext0"/>
              <w:rPr>
                <w:snapToGrid w:val="0"/>
              </w:rPr>
            </w:pPr>
            <w:r>
              <w:rPr>
                <w:snapToGrid w:val="0"/>
              </w:rPr>
              <w:t>Single centre</w:t>
            </w:r>
          </w:p>
        </w:tc>
        <w:tc>
          <w:tcPr>
            <w:tcW w:w="786" w:type="pct"/>
          </w:tcPr>
          <w:p w14:paraId="1520E76A" w14:textId="77777777" w:rsidR="00F02FC8" w:rsidRPr="00156424" w:rsidRDefault="00F02FC8" w:rsidP="00E9302D">
            <w:pPr>
              <w:pStyle w:val="Tabletext0"/>
            </w:pPr>
            <w:r>
              <w:t>Median 5.3 years</w:t>
            </w:r>
          </w:p>
        </w:tc>
        <w:tc>
          <w:tcPr>
            <w:tcW w:w="1415" w:type="pct"/>
            <w:shd w:val="clear" w:color="auto" w:fill="auto"/>
          </w:tcPr>
          <w:p w14:paraId="2A5A7B5E" w14:textId="77777777" w:rsidR="00F02FC8" w:rsidRDefault="00F02FC8" w:rsidP="00E9302D">
            <w:pPr>
              <w:pStyle w:val="Tabletext0"/>
            </w:pPr>
            <w:r w:rsidRPr="00156424">
              <w:t>Invasive ductal carcinoma</w:t>
            </w:r>
            <w:r>
              <w:t xml:space="preserve"> - 58.8%</w:t>
            </w:r>
          </w:p>
          <w:p w14:paraId="6C3B7EEA" w14:textId="77777777" w:rsidR="00F02FC8" w:rsidRDefault="00F02FC8" w:rsidP="00E9302D">
            <w:pPr>
              <w:pStyle w:val="Tabletext0"/>
            </w:pPr>
            <w:r>
              <w:t xml:space="preserve">Ductal carcinoma </w:t>
            </w:r>
            <w:r>
              <w:rPr>
                <w:i/>
                <w:iCs/>
              </w:rPr>
              <w:t>in situ -</w:t>
            </w:r>
            <w:r>
              <w:t xml:space="preserve"> 12.3%</w:t>
            </w:r>
          </w:p>
          <w:p w14:paraId="4180D8EF" w14:textId="77777777" w:rsidR="00F02FC8" w:rsidRDefault="00F02FC8" w:rsidP="00E9302D">
            <w:pPr>
              <w:pStyle w:val="Tabletext0"/>
            </w:pPr>
            <w:r>
              <w:t>Invasive lobular carcinoma - 11.2%</w:t>
            </w:r>
          </w:p>
          <w:p w14:paraId="070F2178" w14:textId="77777777" w:rsidR="00F02FC8" w:rsidRDefault="00F02FC8" w:rsidP="00E9302D">
            <w:pPr>
              <w:pStyle w:val="Tabletext0"/>
            </w:pPr>
            <w:r>
              <w:t>Invasive ductal and lobular carcinoma - 6.9%</w:t>
            </w:r>
          </w:p>
          <w:p w14:paraId="6A83A77F" w14:textId="77777777" w:rsidR="00F02FC8" w:rsidRPr="00156424" w:rsidRDefault="00F02FC8" w:rsidP="00E9302D">
            <w:pPr>
              <w:pStyle w:val="Tabletext0"/>
            </w:pPr>
            <w:r>
              <w:t>Other - 10.8%</w:t>
            </w:r>
          </w:p>
        </w:tc>
        <w:tc>
          <w:tcPr>
            <w:tcW w:w="600" w:type="pct"/>
            <w:shd w:val="clear" w:color="auto" w:fill="auto"/>
          </w:tcPr>
          <w:p w14:paraId="57BDA819" w14:textId="77777777" w:rsidR="00F02FC8" w:rsidRDefault="00F02FC8" w:rsidP="00E9302D">
            <w:pPr>
              <w:pStyle w:val="Tabletext0"/>
            </w:pPr>
            <w:r>
              <w:t>Recurrence</w:t>
            </w:r>
          </w:p>
          <w:p w14:paraId="21E6B5AE" w14:textId="77777777" w:rsidR="00F02FC8" w:rsidRPr="00156424" w:rsidRDefault="00F02FC8" w:rsidP="00E9302D">
            <w:pPr>
              <w:pStyle w:val="Tabletext0"/>
            </w:pPr>
            <w:r>
              <w:t xml:space="preserve">Mortality </w:t>
            </w:r>
          </w:p>
        </w:tc>
      </w:tr>
      <w:tr w:rsidR="00F02FC8" w:rsidRPr="00156424" w14:paraId="7E76DD4B" w14:textId="77777777" w:rsidTr="00E9302D">
        <w:tc>
          <w:tcPr>
            <w:tcW w:w="705" w:type="pct"/>
            <w:shd w:val="clear" w:color="auto" w:fill="auto"/>
          </w:tcPr>
          <w:p w14:paraId="36FBB5E3" w14:textId="77777777" w:rsidR="00F02FC8" w:rsidRDefault="00F02FC8" w:rsidP="00E9302D">
            <w:pPr>
              <w:pStyle w:val="Tabletext0"/>
            </w:pPr>
            <w:r>
              <w:t xml:space="preserve">Vaidya et al. (2010) &amp; (2014) </w:t>
            </w:r>
            <w:r>
              <w:rPr>
                <w:vertAlign w:val="superscript"/>
              </w:rPr>
              <w:t>a</w:t>
            </w:r>
          </w:p>
        </w:tc>
        <w:tc>
          <w:tcPr>
            <w:tcW w:w="393" w:type="pct"/>
            <w:shd w:val="clear" w:color="auto" w:fill="auto"/>
          </w:tcPr>
          <w:p w14:paraId="717D8860" w14:textId="77777777" w:rsidR="00F02FC8" w:rsidRDefault="00F02FC8" w:rsidP="00E9302D">
            <w:pPr>
              <w:pStyle w:val="Tabletext0"/>
              <w:rPr>
                <w:snapToGrid w:val="0"/>
              </w:rPr>
            </w:pPr>
            <w:r>
              <w:rPr>
                <w:snapToGrid w:val="0"/>
              </w:rPr>
              <w:t>1730</w:t>
            </w:r>
          </w:p>
        </w:tc>
        <w:tc>
          <w:tcPr>
            <w:tcW w:w="471" w:type="pct"/>
            <w:shd w:val="clear" w:color="auto" w:fill="FFFFCC"/>
          </w:tcPr>
          <w:p w14:paraId="77E5AC94" w14:textId="77777777" w:rsidR="00F02FC8" w:rsidRDefault="00F02FC8" w:rsidP="00E9302D">
            <w:pPr>
              <w:pStyle w:val="Tabletext0"/>
            </w:pPr>
            <w:r>
              <w:t>WB-EBRT</w:t>
            </w:r>
          </w:p>
        </w:tc>
        <w:tc>
          <w:tcPr>
            <w:tcW w:w="629" w:type="pct"/>
            <w:shd w:val="clear" w:color="auto" w:fill="auto"/>
          </w:tcPr>
          <w:p w14:paraId="411AA493" w14:textId="77777777" w:rsidR="00F02FC8" w:rsidRDefault="00F02FC8" w:rsidP="00E9302D">
            <w:pPr>
              <w:pStyle w:val="Tabletext0"/>
              <w:rPr>
                <w:snapToGrid w:val="0"/>
              </w:rPr>
            </w:pPr>
            <w:r>
              <w:rPr>
                <w:snapToGrid w:val="0"/>
              </w:rPr>
              <w:t>RCT</w:t>
            </w:r>
          </w:p>
          <w:p w14:paraId="36286A27" w14:textId="77777777" w:rsidR="00F02FC8" w:rsidRDefault="00F02FC8" w:rsidP="00E9302D">
            <w:pPr>
              <w:pStyle w:val="Tabletext0"/>
              <w:rPr>
                <w:snapToGrid w:val="0"/>
              </w:rPr>
            </w:pPr>
            <w:r>
              <w:rPr>
                <w:snapToGrid w:val="0"/>
              </w:rPr>
              <w:t>Multicentre</w:t>
            </w:r>
          </w:p>
        </w:tc>
        <w:tc>
          <w:tcPr>
            <w:tcW w:w="786" w:type="pct"/>
          </w:tcPr>
          <w:p w14:paraId="477D3056" w14:textId="77777777" w:rsidR="00F02FC8" w:rsidRDefault="00F02FC8" w:rsidP="00E9302D">
            <w:pPr>
              <w:pStyle w:val="Tabletext0"/>
            </w:pPr>
            <w:r>
              <w:t>1 year recurrence</w:t>
            </w:r>
          </w:p>
          <w:p w14:paraId="28B428BD" w14:textId="77777777" w:rsidR="00F02FC8" w:rsidRDefault="00F02FC8" w:rsidP="00E9302D">
            <w:pPr>
              <w:pStyle w:val="Tabletext0"/>
            </w:pPr>
            <w:r>
              <w:t>Median 2.3 years</w:t>
            </w:r>
          </w:p>
          <w:p w14:paraId="228B97CE" w14:textId="77777777" w:rsidR="00F02FC8" w:rsidRDefault="00F02FC8" w:rsidP="00E9302D">
            <w:pPr>
              <w:pStyle w:val="Tabletext0"/>
            </w:pPr>
            <w:r>
              <w:t>Median 2.7 years</w:t>
            </w:r>
          </w:p>
          <w:p w14:paraId="604B75B4" w14:textId="77777777" w:rsidR="00F02FC8" w:rsidRDefault="00F02FC8" w:rsidP="00E9302D">
            <w:pPr>
              <w:pStyle w:val="Tabletext0"/>
            </w:pPr>
            <w:r>
              <w:t>Median 5 years</w:t>
            </w:r>
          </w:p>
        </w:tc>
        <w:tc>
          <w:tcPr>
            <w:tcW w:w="1415" w:type="pct"/>
            <w:shd w:val="clear" w:color="auto" w:fill="auto"/>
          </w:tcPr>
          <w:p w14:paraId="49EF5940" w14:textId="77777777" w:rsidR="00F02FC8" w:rsidRDefault="00F02FC8" w:rsidP="00E9302D">
            <w:pPr>
              <w:pStyle w:val="Tabletext0"/>
            </w:pPr>
            <w:r>
              <w:t>Invasive ductal carcinoma - 94%</w:t>
            </w:r>
          </w:p>
          <w:p w14:paraId="7E3FC470" w14:textId="77777777" w:rsidR="00F02FC8" w:rsidRDefault="00F02FC8" w:rsidP="00E9302D">
            <w:pPr>
              <w:pStyle w:val="Tabletext0"/>
            </w:pPr>
            <w:r>
              <w:t>Invasive lobular carcinoma - 4%</w:t>
            </w:r>
          </w:p>
          <w:p w14:paraId="6F5FF4DF" w14:textId="77777777" w:rsidR="00F02FC8" w:rsidRDefault="00F02FC8" w:rsidP="00E9302D">
            <w:pPr>
              <w:pStyle w:val="Tabletext0"/>
            </w:pPr>
            <w:r>
              <w:t>Mixed - 3%</w:t>
            </w:r>
          </w:p>
          <w:p w14:paraId="4F41F656" w14:textId="77777777" w:rsidR="00F02FC8" w:rsidRPr="00156424" w:rsidRDefault="00F02FC8" w:rsidP="00E9302D">
            <w:pPr>
              <w:pStyle w:val="Tabletext0"/>
            </w:pPr>
            <w:r>
              <w:t>Unknown - 4%</w:t>
            </w:r>
          </w:p>
        </w:tc>
        <w:tc>
          <w:tcPr>
            <w:tcW w:w="600" w:type="pct"/>
            <w:shd w:val="clear" w:color="auto" w:fill="auto"/>
          </w:tcPr>
          <w:p w14:paraId="30942DAA" w14:textId="77777777" w:rsidR="00F02FC8" w:rsidRDefault="00F02FC8" w:rsidP="00E9302D">
            <w:pPr>
              <w:pStyle w:val="Tabletext0"/>
            </w:pPr>
            <w:r>
              <w:t>Recurrence</w:t>
            </w:r>
          </w:p>
          <w:p w14:paraId="3FA8A63A" w14:textId="77777777" w:rsidR="00F02FC8" w:rsidRDefault="00F02FC8" w:rsidP="00E9302D">
            <w:pPr>
              <w:pStyle w:val="Tabletext0"/>
            </w:pPr>
            <w:r>
              <w:t xml:space="preserve">Mortality </w:t>
            </w:r>
          </w:p>
          <w:p w14:paraId="43FDE63F" w14:textId="77777777" w:rsidR="00F02FC8" w:rsidRDefault="00F02FC8" w:rsidP="00E9302D">
            <w:pPr>
              <w:pStyle w:val="Tabletext0"/>
            </w:pPr>
            <w:r>
              <w:t xml:space="preserve">Adverse events </w:t>
            </w:r>
          </w:p>
        </w:tc>
      </w:tr>
      <w:tr w:rsidR="00F02FC8" w:rsidRPr="00156424" w14:paraId="506D4193" w14:textId="77777777" w:rsidTr="00E9302D">
        <w:tc>
          <w:tcPr>
            <w:tcW w:w="705" w:type="pct"/>
            <w:shd w:val="clear" w:color="auto" w:fill="auto"/>
          </w:tcPr>
          <w:p w14:paraId="3114815B" w14:textId="77777777" w:rsidR="00F02FC8" w:rsidRDefault="00F02FC8" w:rsidP="00E9302D">
            <w:pPr>
              <w:pStyle w:val="Tabletext0"/>
            </w:pPr>
            <w:r>
              <w:t>Polgar et al. (2007) &amp; (2013)</w:t>
            </w:r>
            <w:r>
              <w:rPr>
                <w:vertAlign w:val="superscript"/>
              </w:rPr>
              <w:t xml:space="preserve"> a</w:t>
            </w:r>
          </w:p>
        </w:tc>
        <w:tc>
          <w:tcPr>
            <w:tcW w:w="393" w:type="pct"/>
            <w:shd w:val="clear" w:color="auto" w:fill="auto"/>
          </w:tcPr>
          <w:p w14:paraId="7AB34451" w14:textId="77777777" w:rsidR="00F02FC8" w:rsidRDefault="00F02FC8" w:rsidP="00E9302D">
            <w:pPr>
              <w:pStyle w:val="Tabletext0"/>
              <w:rPr>
                <w:snapToGrid w:val="0"/>
              </w:rPr>
            </w:pPr>
            <w:r>
              <w:rPr>
                <w:snapToGrid w:val="0"/>
              </w:rPr>
              <w:t>130</w:t>
            </w:r>
          </w:p>
        </w:tc>
        <w:tc>
          <w:tcPr>
            <w:tcW w:w="471" w:type="pct"/>
            <w:shd w:val="clear" w:color="auto" w:fill="FFFFCC"/>
          </w:tcPr>
          <w:p w14:paraId="4A50C379" w14:textId="77777777" w:rsidR="00F02FC8" w:rsidRDefault="00F02FC8" w:rsidP="00E9302D">
            <w:pPr>
              <w:pStyle w:val="Tabletext0"/>
            </w:pPr>
            <w:r>
              <w:t>WB-EBRT</w:t>
            </w:r>
          </w:p>
        </w:tc>
        <w:tc>
          <w:tcPr>
            <w:tcW w:w="629" w:type="pct"/>
            <w:shd w:val="clear" w:color="auto" w:fill="auto"/>
          </w:tcPr>
          <w:p w14:paraId="1767D01A" w14:textId="77777777" w:rsidR="00F02FC8" w:rsidRDefault="00F02FC8" w:rsidP="00E9302D">
            <w:pPr>
              <w:pStyle w:val="Tabletext0"/>
              <w:rPr>
                <w:snapToGrid w:val="0"/>
              </w:rPr>
            </w:pPr>
            <w:r>
              <w:rPr>
                <w:snapToGrid w:val="0"/>
              </w:rPr>
              <w:t>RCT</w:t>
            </w:r>
          </w:p>
          <w:p w14:paraId="04A73271" w14:textId="77777777" w:rsidR="00F02FC8" w:rsidRDefault="00F02FC8" w:rsidP="00E9302D">
            <w:pPr>
              <w:pStyle w:val="Tabletext0"/>
              <w:rPr>
                <w:snapToGrid w:val="0"/>
              </w:rPr>
            </w:pPr>
            <w:r>
              <w:rPr>
                <w:snapToGrid w:val="0"/>
              </w:rPr>
              <w:t>Single centre</w:t>
            </w:r>
          </w:p>
        </w:tc>
        <w:tc>
          <w:tcPr>
            <w:tcW w:w="786" w:type="pct"/>
          </w:tcPr>
          <w:p w14:paraId="1D46C6FC" w14:textId="77777777" w:rsidR="00F02FC8" w:rsidRDefault="00F02FC8" w:rsidP="00E9302D">
            <w:pPr>
              <w:pStyle w:val="Tabletext0"/>
            </w:pPr>
            <w:r>
              <w:t>5 years</w:t>
            </w:r>
          </w:p>
          <w:p w14:paraId="3F4C7249" w14:textId="77777777" w:rsidR="00F02FC8" w:rsidRDefault="00F02FC8" w:rsidP="00E9302D">
            <w:pPr>
              <w:pStyle w:val="Tabletext0"/>
            </w:pPr>
            <w:r>
              <w:t>Median 10.2 years</w:t>
            </w:r>
          </w:p>
        </w:tc>
        <w:tc>
          <w:tcPr>
            <w:tcW w:w="1415" w:type="pct"/>
            <w:shd w:val="clear" w:color="auto" w:fill="auto"/>
          </w:tcPr>
          <w:p w14:paraId="72C931F5" w14:textId="77777777" w:rsidR="00F02FC8" w:rsidRDefault="00F02FC8" w:rsidP="00E9302D">
            <w:pPr>
              <w:pStyle w:val="Tabletext0"/>
            </w:pPr>
            <w:r>
              <w:t>Invasive ductal carcinoma - 83.1%</w:t>
            </w:r>
          </w:p>
          <w:p w14:paraId="2B8E833C" w14:textId="77777777" w:rsidR="00F02FC8" w:rsidRPr="00156424" w:rsidRDefault="00F02FC8" w:rsidP="00E9302D">
            <w:pPr>
              <w:pStyle w:val="Tabletext0"/>
            </w:pPr>
            <w:r>
              <w:t>Other - 16.9%</w:t>
            </w:r>
          </w:p>
        </w:tc>
        <w:tc>
          <w:tcPr>
            <w:tcW w:w="600" w:type="pct"/>
            <w:shd w:val="clear" w:color="auto" w:fill="auto"/>
          </w:tcPr>
          <w:p w14:paraId="154D58C3" w14:textId="77777777" w:rsidR="00F02FC8" w:rsidRDefault="00F02FC8" w:rsidP="00E9302D">
            <w:pPr>
              <w:pStyle w:val="Tabletext0"/>
            </w:pPr>
            <w:r>
              <w:t>Recurrence</w:t>
            </w:r>
          </w:p>
          <w:p w14:paraId="5352DAA6" w14:textId="77777777" w:rsidR="00F02FC8" w:rsidRDefault="00F02FC8" w:rsidP="00E9302D">
            <w:pPr>
              <w:pStyle w:val="Tabletext0"/>
            </w:pPr>
            <w:r>
              <w:t xml:space="preserve">Mortality </w:t>
            </w:r>
          </w:p>
          <w:p w14:paraId="2C9AF9C8" w14:textId="77777777" w:rsidR="00F02FC8" w:rsidRDefault="00F02FC8" w:rsidP="00E9302D">
            <w:pPr>
              <w:pStyle w:val="Tabletext0"/>
            </w:pPr>
            <w:r>
              <w:t xml:space="preserve">Adverse events </w:t>
            </w:r>
          </w:p>
        </w:tc>
      </w:tr>
      <w:tr w:rsidR="00F02FC8" w:rsidRPr="00156424" w14:paraId="0634CF0A" w14:textId="77777777" w:rsidTr="00E9302D">
        <w:tc>
          <w:tcPr>
            <w:tcW w:w="705" w:type="pct"/>
            <w:shd w:val="clear" w:color="auto" w:fill="auto"/>
          </w:tcPr>
          <w:p w14:paraId="0A798F07" w14:textId="77777777" w:rsidR="00F02FC8" w:rsidRDefault="00F02FC8" w:rsidP="00E9302D">
            <w:pPr>
              <w:pStyle w:val="Tabletext0"/>
            </w:pPr>
            <w:r>
              <w:t>Rodriquez et al. (2013)</w:t>
            </w:r>
            <w:r>
              <w:rPr>
                <w:vertAlign w:val="superscript"/>
              </w:rPr>
              <w:t xml:space="preserve"> a</w:t>
            </w:r>
          </w:p>
        </w:tc>
        <w:tc>
          <w:tcPr>
            <w:tcW w:w="393" w:type="pct"/>
            <w:shd w:val="clear" w:color="auto" w:fill="auto"/>
          </w:tcPr>
          <w:p w14:paraId="7470C539" w14:textId="77777777" w:rsidR="00F02FC8" w:rsidRDefault="00F02FC8" w:rsidP="00E9302D">
            <w:pPr>
              <w:pStyle w:val="Tabletext0"/>
              <w:rPr>
                <w:snapToGrid w:val="0"/>
              </w:rPr>
            </w:pPr>
            <w:r>
              <w:rPr>
                <w:snapToGrid w:val="0"/>
              </w:rPr>
              <w:t>51</w:t>
            </w:r>
          </w:p>
        </w:tc>
        <w:tc>
          <w:tcPr>
            <w:tcW w:w="471" w:type="pct"/>
            <w:shd w:val="clear" w:color="auto" w:fill="FFFFCC"/>
          </w:tcPr>
          <w:p w14:paraId="254B1910" w14:textId="77777777" w:rsidR="00F02FC8" w:rsidRDefault="00F02FC8" w:rsidP="00E9302D">
            <w:pPr>
              <w:pStyle w:val="Tabletext0"/>
            </w:pPr>
            <w:r>
              <w:t>WB-EBRT</w:t>
            </w:r>
          </w:p>
        </w:tc>
        <w:tc>
          <w:tcPr>
            <w:tcW w:w="629" w:type="pct"/>
            <w:shd w:val="clear" w:color="auto" w:fill="auto"/>
          </w:tcPr>
          <w:p w14:paraId="4D0D504E" w14:textId="77777777" w:rsidR="00F02FC8" w:rsidRDefault="00F02FC8" w:rsidP="00E9302D">
            <w:pPr>
              <w:pStyle w:val="Tabletext0"/>
              <w:rPr>
                <w:snapToGrid w:val="0"/>
              </w:rPr>
            </w:pPr>
            <w:r>
              <w:rPr>
                <w:snapToGrid w:val="0"/>
              </w:rPr>
              <w:t>RCT</w:t>
            </w:r>
          </w:p>
          <w:p w14:paraId="12CEA3D8" w14:textId="77777777" w:rsidR="00F02FC8" w:rsidRDefault="00F02FC8" w:rsidP="00E9302D">
            <w:pPr>
              <w:pStyle w:val="Tabletext0"/>
              <w:rPr>
                <w:snapToGrid w:val="0"/>
              </w:rPr>
            </w:pPr>
            <w:r>
              <w:rPr>
                <w:snapToGrid w:val="0"/>
              </w:rPr>
              <w:t>Single centre</w:t>
            </w:r>
          </w:p>
        </w:tc>
        <w:tc>
          <w:tcPr>
            <w:tcW w:w="786" w:type="pct"/>
          </w:tcPr>
          <w:p w14:paraId="1C705157" w14:textId="77777777" w:rsidR="00F02FC8" w:rsidRDefault="00F02FC8" w:rsidP="00E9302D">
            <w:pPr>
              <w:pStyle w:val="Tabletext0"/>
            </w:pPr>
            <w:r>
              <w:t>Median 5 years</w:t>
            </w:r>
          </w:p>
        </w:tc>
        <w:tc>
          <w:tcPr>
            <w:tcW w:w="1415" w:type="pct"/>
            <w:shd w:val="clear" w:color="auto" w:fill="auto"/>
          </w:tcPr>
          <w:p w14:paraId="1BED2F1B" w14:textId="77777777" w:rsidR="00F02FC8" w:rsidRDefault="00F02FC8" w:rsidP="00E9302D">
            <w:pPr>
              <w:pStyle w:val="Tabletext0"/>
            </w:pPr>
            <w:r>
              <w:t>Invasive ductal carcinoma - 100%</w:t>
            </w:r>
          </w:p>
        </w:tc>
        <w:tc>
          <w:tcPr>
            <w:tcW w:w="600" w:type="pct"/>
            <w:shd w:val="clear" w:color="auto" w:fill="auto"/>
          </w:tcPr>
          <w:p w14:paraId="7534D0A2" w14:textId="77777777" w:rsidR="00F02FC8" w:rsidRDefault="00F02FC8" w:rsidP="00E9302D">
            <w:pPr>
              <w:pStyle w:val="Tabletext0"/>
            </w:pPr>
            <w:r>
              <w:t>Recurrence</w:t>
            </w:r>
          </w:p>
        </w:tc>
      </w:tr>
      <w:tr w:rsidR="00F02FC8" w:rsidRPr="00156424" w14:paraId="36B11682" w14:textId="77777777" w:rsidTr="00E9302D">
        <w:tc>
          <w:tcPr>
            <w:tcW w:w="705" w:type="pct"/>
            <w:shd w:val="clear" w:color="auto" w:fill="auto"/>
          </w:tcPr>
          <w:p w14:paraId="32F77399" w14:textId="77777777" w:rsidR="00F02FC8" w:rsidRDefault="00F02FC8" w:rsidP="00E9302D">
            <w:pPr>
              <w:pStyle w:val="Tabletext0"/>
            </w:pPr>
            <w:r>
              <w:t xml:space="preserve">Olivotto et al. (2013) </w:t>
            </w:r>
            <w:r>
              <w:rPr>
                <w:vertAlign w:val="superscript"/>
              </w:rPr>
              <w:t>a</w:t>
            </w:r>
          </w:p>
        </w:tc>
        <w:tc>
          <w:tcPr>
            <w:tcW w:w="393" w:type="pct"/>
            <w:shd w:val="clear" w:color="auto" w:fill="auto"/>
          </w:tcPr>
          <w:p w14:paraId="5A1A7A90" w14:textId="77777777" w:rsidR="00F02FC8" w:rsidRDefault="00F02FC8" w:rsidP="00E9302D">
            <w:pPr>
              <w:pStyle w:val="Tabletext0"/>
              <w:rPr>
                <w:snapToGrid w:val="0"/>
              </w:rPr>
            </w:pPr>
            <w:r>
              <w:rPr>
                <w:snapToGrid w:val="0"/>
              </w:rPr>
              <w:t>1,065</w:t>
            </w:r>
          </w:p>
        </w:tc>
        <w:tc>
          <w:tcPr>
            <w:tcW w:w="471" w:type="pct"/>
            <w:shd w:val="clear" w:color="auto" w:fill="FFFFCC"/>
          </w:tcPr>
          <w:p w14:paraId="44DCD92D" w14:textId="77777777" w:rsidR="00F02FC8" w:rsidRDefault="00F02FC8" w:rsidP="00E9302D">
            <w:pPr>
              <w:pStyle w:val="Tabletext0"/>
            </w:pPr>
            <w:r>
              <w:t xml:space="preserve">WB-EBRT </w:t>
            </w:r>
          </w:p>
        </w:tc>
        <w:tc>
          <w:tcPr>
            <w:tcW w:w="629" w:type="pct"/>
            <w:shd w:val="clear" w:color="auto" w:fill="auto"/>
          </w:tcPr>
          <w:p w14:paraId="67847EA5" w14:textId="77777777" w:rsidR="00F02FC8" w:rsidRDefault="00F02FC8" w:rsidP="00E9302D">
            <w:pPr>
              <w:pStyle w:val="Tabletext0"/>
              <w:rPr>
                <w:snapToGrid w:val="0"/>
              </w:rPr>
            </w:pPr>
            <w:r>
              <w:rPr>
                <w:snapToGrid w:val="0"/>
              </w:rPr>
              <w:t>RCT</w:t>
            </w:r>
          </w:p>
          <w:p w14:paraId="60FB5DFA" w14:textId="77777777" w:rsidR="00F02FC8" w:rsidRDefault="00F02FC8" w:rsidP="00E9302D">
            <w:pPr>
              <w:pStyle w:val="Tabletext0"/>
              <w:rPr>
                <w:snapToGrid w:val="0"/>
              </w:rPr>
            </w:pPr>
            <w:r>
              <w:rPr>
                <w:snapToGrid w:val="0"/>
              </w:rPr>
              <w:t>Multicentre</w:t>
            </w:r>
          </w:p>
          <w:p w14:paraId="26511816" w14:textId="77777777" w:rsidR="00F02FC8" w:rsidRDefault="00F02FC8" w:rsidP="00E9302D">
            <w:pPr>
              <w:pStyle w:val="Tabletext0"/>
              <w:rPr>
                <w:snapToGrid w:val="0"/>
              </w:rPr>
            </w:pPr>
          </w:p>
        </w:tc>
        <w:tc>
          <w:tcPr>
            <w:tcW w:w="786" w:type="pct"/>
          </w:tcPr>
          <w:p w14:paraId="1015DCC9" w14:textId="77777777" w:rsidR="00F02FC8" w:rsidRDefault="00F02FC8" w:rsidP="00E9302D">
            <w:pPr>
              <w:pStyle w:val="Tabletext0"/>
            </w:pPr>
            <w:r>
              <w:t>Median 3 years</w:t>
            </w:r>
          </w:p>
        </w:tc>
        <w:tc>
          <w:tcPr>
            <w:tcW w:w="1415" w:type="pct"/>
            <w:shd w:val="clear" w:color="auto" w:fill="auto"/>
          </w:tcPr>
          <w:p w14:paraId="31C3C7DD" w14:textId="77777777" w:rsidR="00F02FC8" w:rsidRDefault="00F02FC8" w:rsidP="00E9302D">
            <w:pPr>
              <w:pStyle w:val="Tabletext0"/>
            </w:pPr>
            <w:r>
              <w:t>Invasive ductal carcinoma - 81%</w:t>
            </w:r>
          </w:p>
          <w:p w14:paraId="3ED72FA5" w14:textId="77777777" w:rsidR="00F02FC8" w:rsidRDefault="00F02FC8" w:rsidP="00E9302D">
            <w:pPr>
              <w:pStyle w:val="Tabletext0"/>
            </w:pPr>
            <w:r>
              <w:t xml:space="preserve">Ductal carcinoma </w:t>
            </w:r>
            <w:r w:rsidRPr="001720F6">
              <w:rPr>
                <w:i/>
                <w:iCs/>
              </w:rPr>
              <w:t>in situ</w:t>
            </w:r>
            <w:r>
              <w:t xml:space="preserve"> - 17%</w:t>
            </w:r>
          </w:p>
          <w:p w14:paraId="604B95EB" w14:textId="77777777" w:rsidR="00F02FC8" w:rsidRDefault="00F02FC8" w:rsidP="00E9302D">
            <w:pPr>
              <w:pStyle w:val="Tabletext0"/>
            </w:pPr>
            <w:r>
              <w:t>Unknown - 2%</w:t>
            </w:r>
          </w:p>
        </w:tc>
        <w:tc>
          <w:tcPr>
            <w:tcW w:w="600" w:type="pct"/>
            <w:shd w:val="clear" w:color="auto" w:fill="auto"/>
          </w:tcPr>
          <w:p w14:paraId="4EC3556D" w14:textId="77777777" w:rsidR="00F02FC8" w:rsidRDefault="00F02FC8" w:rsidP="00E9302D">
            <w:pPr>
              <w:pStyle w:val="Tabletext0"/>
            </w:pPr>
            <w:r>
              <w:t xml:space="preserve">Adverse events </w:t>
            </w:r>
          </w:p>
        </w:tc>
      </w:tr>
      <w:tr w:rsidR="00F02FC8" w:rsidRPr="00156424" w14:paraId="43D27CD2" w14:textId="77777777" w:rsidTr="00E9302D">
        <w:tc>
          <w:tcPr>
            <w:tcW w:w="705" w:type="pct"/>
            <w:shd w:val="clear" w:color="auto" w:fill="auto"/>
          </w:tcPr>
          <w:p w14:paraId="42B93FE2" w14:textId="77777777" w:rsidR="00F02FC8" w:rsidRDefault="00F02FC8" w:rsidP="00E9302D">
            <w:pPr>
              <w:pStyle w:val="Tabletext0"/>
            </w:pPr>
            <w:r>
              <w:t>Veronesi et al. (2013)</w:t>
            </w:r>
            <w:r>
              <w:rPr>
                <w:vertAlign w:val="superscript"/>
              </w:rPr>
              <w:t xml:space="preserve"> a</w:t>
            </w:r>
          </w:p>
        </w:tc>
        <w:tc>
          <w:tcPr>
            <w:tcW w:w="393" w:type="pct"/>
            <w:shd w:val="clear" w:color="auto" w:fill="auto"/>
          </w:tcPr>
          <w:p w14:paraId="57D4A5F4" w14:textId="77777777" w:rsidR="00F02FC8" w:rsidRDefault="00F02FC8" w:rsidP="00E9302D">
            <w:pPr>
              <w:pStyle w:val="Tabletext0"/>
              <w:rPr>
                <w:snapToGrid w:val="0"/>
              </w:rPr>
            </w:pPr>
            <w:r>
              <w:rPr>
                <w:snapToGrid w:val="0"/>
              </w:rPr>
              <w:t>654</w:t>
            </w:r>
          </w:p>
        </w:tc>
        <w:tc>
          <w:tcPr>
            <w:tcW w:w="471" w:type="pct"/>
            <w:shd w:val="clear" w:color="auto" w:fill="FFFFCC"/>
          </w:tcPr>
          <w:p w14:paraId="13EF6E37" w14:textId="77777777" w:rsidR="00F02FC8" w:rsidRDefault="00F02FC8" w:rsidP="00E9302D">
            <w:pPr>
              <w:pStyle w:val="Tabletext0"/>
            </w:pPr>
            <w:r>
              <w:t>WB-EBRT</w:t>
            </w:r>
          </w:p>
        </w:tc>
        <w:tc>
          <w:tcPr>
            <w:tcW w:w="629" w:type="pct"/>
            <w:shd w:val="clear" w:color="auto" w:fill="auto"/>
          </w:tcPr>
          <w:p w14:paraId="6363EF06" w14:textId="77777777" w:rsidR="00F02FC8" w:rsidRDefault="00F02FC8" w:rsidP="00E9302D">
            <w:pPr>
              <w:pStyle w:val="Tabletext0"/>
              <w:rPr>
                <w:snapToGrid w:val="0"/>
              </w:rPr>
            </w:pPr>
            <w:r>
              <w:rPr>
                <w:snapToGrid w:val="0"/>
              </w:rPr>
              <w:t>RCT</w:t>
            </w:r>
          </w:p>
          <w:p w14:paraId="0BD5981E" w14:textId="77777777" w:rsidR="00F02FC8" w:rsidRDefault="00F02FC8" w:rsidP="00E9302D">
            <w:pPr>
              <w:pStyle w:val="Tabletext0"/>
              <w:rPr>
                <w:snapToGrid w:val="0"/>
              </w:rPr>
            </w:pPr>
            <w:r>
              <w:rPr>
                <w:snapToGrid w:val="0"/>
              </w:rPr>
              <w:t>Single centre</w:t>
            </w:r>
          </w:p>
        </w:tc>
        <w:tc>
          <w:tcPr>
            <w:tcW w:w="786" w:type="pct"/>
          </w:tcPr>
          <w:p w14:paraId="1C396FB2" w14:textId="77777777" w:rsidR="00F02FC8" w:rsidRDefault="00F02FC8" w:rsidP="00E9302D">
            <w:pPr>
              <w:pStyle w:val="Tabletext0"/>
            </w:pPr>
            <w:r>
              <w:t>Median 5.9 years</w:t>
            </w:r>
          </w:p>
        </w:tc>
        <w:tc>
          <w:tcPr>
            <w:tcW w:w="1415" w:type="pct"/>
            <w:shd w:val="clear" w:color="auto" w:fill="auto"/>
          </w:tcPr>
          <w:p w14:paraId="627ECD5D" w14:textId="77777777" w:rsidR="00F02FC8" w:rsidRDefault="00F02FC8" w:rsidP="00E9302D">
            <w:pPr>
              <w:pStyle w:val="Tabletext0"/>
            </w:pPr>
            <w:r>
              <w:t xml:space="preserve">Ductal - 79% </w:t>
            </w:r>
          </w:p>
          <w:p w14:paraId="3599507D" w14:textId="77777777" w:rsidR="00F02FC8" w:rsidRDefault="00F02FC8" w:rsidP="00E9302D">
            <w:pPr>
              <w:pStyle w:val="Tabletext0"/>
            </w:pPr>
            <w:r>
              <w:t>Lobular - 9%</w:t>
            </w:r>
          </w:p>
          <w:p w14:paraId="55B18DDF" w14:textId="77777777" w:rsidR="00F02FC8" w:rsidRDefault="00F02FC8" w:rsidP="00E9302D">
            <w:pPr>
              <w:pStyle w:val="Tabletext0"/>
            </w:pPr>
            <w:r>
              <w:t>Ductal and lobular - 3%</w:t>
            </w:r>
          </w:p>
          <w:p w14:paraId="179C8246" w14:textId="77777777" w:rsidR="00F02FC8" w:rsidRDefault="00F02FC8" w:rsidP="00E9302D">
            <w:pPr>
              <w:pStyle w:val="Tabletext0"/>
            </w:pPr>
            <w:r>
              <w:t>Other - 9%</w:t>
            </w:r>
            <w:r>
              <w:rPr>
                <w:vertAlign w:val="superscript"/>
              </w:rPr>
              <w:t>e</w:t>
            </w:r>
          </w:p>
        </w:tc>
        <w:tc>
          <w:tcPr>
            <w:tcW w:w="600" w:type="pct"/>
            <w:shd w:val="clear" w:color="auto" w:fill="auto"/>
          </w:tcPr>
          <w:p w14:paraId="6A3E7E3C" w14:textId="77777777" w:rsidR="00F02FC8" w:rsidRDefault="00F02FC8" w:rsidP="00E9302D">
            <w:pPr>
              <w:pStyle w:val="Tabletext0"/>
            </w:pPr>
            <w:r>
              <w:t xml:space="preserve">Recurrence </w:t>
            </w:r>
          </w:p>
          <w:p w14:paraId="7A7DB695" w14:textId="77777777" w:rsidR="00F02FC8" w:rsidRDefault="00F02FC8" w:rsidP="00E9302D">
            <w:pPr>
              <w:pStyle w:val="Tabletext0"/>
            </w:pPr>
            <w:r>
              <w:t xml:space="preserve">Mortality </w:t>
            </w:r>
          </w:p>
        </w:tc>
      </w:tr>
      <w:tr w:rsidR="00F02FC8" w:rsidRPr="00156424" w14:paraId="00E3D8D9" w14:textId="77777777" w:rsidTr="00E9302D">
        <w:tc>
          <w:tcPr>
            <w:tcW w:w="705" w:type="pct"/>
            <w:shd w:val="clear" w:color="auto" w:fill="auto"/>
          </w:tcPr>
          <w:p w14:paraId="7D0B6684" w14:textId="77777777" w:rsidR="00F02FC8" w:rsidRDefault="00F02FC8" w:rsidP="00E9302D">
            <w:pPr>
              <w:pStyle w:val="Tabletext0"/>
            </w:pPr>
            <w:r>
              <w:t>Dodwell et al. (2005)</w:t>
            </w:r>
            <w:r>
              <w:rPr>
                <w:vertAlign w:val="superscript"/>
              </w:rPr>
              <w:t xml:space="preserve"> a</w:t>
            </w:r>
          </w:p>
        </w:tc>
        <w:tc>
          <w:tcPr>
            <w:tcW w:w="393" w:type="pct"/>
            <w:shd w:val="clear" w:color="auto" w:fill="auto"/>
          </w:tcPr>
          <w:p w14:paraId="3968DB2D" w14:textId="77777777" w:rsidR="00F02FC8" w:rsidRDefault="00F02FC8" w:rsidP="00E9302D">
            <w:pPr>
              <w:pStyle w:val="Tabletext0"/>
              <w:rPr>
                <w:snapToGrid w:val="0"/>
              </w:rPr>
            </w:pPr>
            <w:r>
              <w:rPr>
                <w:snapToGrid w:val="0"/>
              </w:rPr>
              <w:t>90</w:t>
            </w:r>
          </w:p>
        </w:tc>
        <w:tc>
          <w:tcPr>
            <w:tcW w:w="471" w:type="pct"/>
            <w:shd w:val="clear" w:color="auto" w:fill="FFFFCC"/>
          </w:tcPr>
          <w:p w14:paraId="06AD25B1" w14:textId="77777777" w:rsidR="00F02FC8" w:rsidRDefault="00F02FC8" w:rsidP="00E9302D">
            <w:pPr>
              <w:pStyle w:val="Tabletext0"/>
            </w:pPr>
            <w:r>
              <w:t>WB-EBRT</w:t>
            </w:r>
          </w:p>
        </w:tc>
        <w:tc>
          <w:tcPr>
            <w:tcW w:w="629" w:type="pct"/>
            <w:shd w:val="clear" w:color="auto" w:fill="auto"/>
          </w:tcPr>
          <w:p w14:paraId="3B8BB0B2" w14:textId="77777777" w:rsidR="00F02FC8" w:rsidRDefault="00F02FC8" w:rsidP="00E9302D">
            <w:pPr>
              <w:pStyle w:val="Tabletext0"/>
              <w:rPr>
                <w:snapToGrid w:val="0"/>
              </w:rPr>
            </w:pPr>
            <w:r>
              <w:rPr>
                <w:snapToGrid w:val="0"/>
              </w:rPr>
              <w:t>RCT</w:t>
            </w:r>
          </w:p>
          <w:p w14:paraId="79067BBF" w14:textId="77777777" w:rsidR="00F02FC8" w:rsidRDefault="00F02FC8" w:rsidP="00E9302D">
            <w:pPr>
              <w:pStyle w:val="Tabletext0"/>
              <w:rPr>
                <w:snapToGrid w:val="0"/>
              </w:rPr>
            </w:pPr>
            <w:r>
              <w:rPr>
                <w:snapToGrid w:val="0"/>
              </w:rPr>
              <w:t>Single centre</w:t>
            </w:r>
          </w:p>
        </w:tc>
        <w:tc>
          <w:tcPr>
            <w:tcW w:w="786" w:type="pct"/>
          </w:tcPr>
          <w:p w14:paraId="08C63B7C" w14:textId="77777777" w:rsidR="00F02FC8" w:rsidRDefault="00F02FC8" w:rsidP="00E9302D">
            <w:pPr>
              <w:pStyle w:val="Tabletext0"/>
            </w:pPr>
            <w:r>
              <w:t>Median 8 years</w:t>
            </w:r>
          </w:p>
        </w:tc>
        <w:tc>
          <w:tcPr>
            <w:tcW w:w="1415" w:type="pct"/>
            <w:shd w:val="clear" w:color="auto" w:fill="auto"/>
          </w:tcPr>
          <w:p w14:paraId="37E4C982" w14:textId="77777777" w:rsidR="00F02FC8" w:rsidRDefault="00F02FC8" w:rsidP="00E9302D">
            <w:pPr>
              <w:pStyle w:val="Tabletext0"/>
            </w:pPr>
            <w:r>
              <w:t>pT1/T2, pN0/N1 tumours included - NR</w:t>
            </w:r>
          </w:p>
        </w:tc>
        <w:tc>
          <w:tcPr>
            <w:tcW w:w="600" w:type="pct"/>
            <w:shd w:val="clear" w:color="auto" w:fill="auto"/>
          </w:tcPr>
          <w:p w14:paraId="5F134250" w14:textId="77777777" w:rsidR="00F02FC8" w:rsidRDefault="00F02FC8" w:rsidP="00E9302D">
            <w:pPr>
              <w:pStyle w:val="Tabletext0"/>
            </w:pPr>
            <w:r>
              <w:t xml:space="preserve">Recurrence </w:t>
            </w:r>
          </w:p>
        </w:tc>
      </w:tr>
    </w:tbl>
    <w:p w14:paraId="4002B1E2" w14:textId="77777777" w:rsidR="00F02FC8" w:rsidRPr="00881D98" w:rsidRDefault="00F02FC8" w:rsidP="00F02FC8">
      <w:pPr>
        <w:pStyle w:val="Tablenotes"/>
      </w:pPr>
      <w:r w:rsidRPr="00342FB6">
        <w:t xml:space="preserve">Source: </w:t>
      </w:r>
      <w:r>
        <w:t>Table 2, pp11-12 of DCAR</w:t>
      </w:r>
    </w:p>
    <w:p w14:paraId="426EF5A8" w14:textId="77777777" w:rsidR="00F02FC8" w:rsidRDefault="00F02FC8" w:rsidP="00F02FC8">
      <w:pPr>
        <w:pStyle w:val="Tablenotes"/>
      </w:pPr>
      <w:r w:rsidRPr="006748C5">
        <w:rPr>
          <w:vertAlign w:val="superscript"/>
        </w:rPr>
        <w:t>a</w:t>
      </w:r>
      <w:r w:rsidRPr="006748C5">
        <w:t xml:space="preserve">:Only </w:t>
      </w:r>
      <w:r>
        <w:t>WB-</w:t>
      </w:r>
      <w:r w:rsidRPr="006748C5">
        <w:t xml:space="preserve">EBRT arm has been extracted, </w:t>
      </w:r>
    </w:p>
    <w:p w14:paraId="35D30912" w14:textId="77777777" w:rsidR="00F02FC8" w:rsidRDefault="00F02FC8" w:rsidP="00F02FC8">
      <w:pPr>
        <w:pStyle w:val="Tablenotes"/>
      </w:pPr>
      <w:r w:rsidRPr="006748C5">
        <w:rPr>
          <w:vertAlign w:val="superscript"/>
        </w:rPr>
        <w:t>b</w:t>
      </w:r>
      <w:r w:rsidRPr="006748C5">
        <w:t xml:space="preserve">: Patient disease profile exceeds 100%, this table replicates what was reported in the paper, </w:t>
      </w:r>
    </w:p>
    <w:p w14:paraId="7C0FC59C" w14:textId="77777777" w:rsidR="00F02FC8" w:rsidRDefault="00F02FC8" w:rsidP="00F02FC8">
      <w:pPr>
        <w:pStyle w:val="Tablenotes"/>
      </w:pPr>
      <w:r w:rsidRPr="006748C5">
        <w:rPr>
          <w:vertAlign w:val="superscript"/>
        </w:rPr>
        <w:t>c</w:t>
      </w:r>
      <w:r w:rsidRPr="006748C5">
        <w:t xml:space="preserve">: Patient disease profile out of 1000 tumours. IORT = intraoperative radiation therapy, NR = not reported, RCT = randomised controlled trial, </w:t>
      </w:r>
      <w:r>
        <w:t>WB-</w:t>
      </w:r>
      <w:r w:rsidRPr="006748C5">
        <w:t xml:space="preserve">EBRT = </w:t>
      </w:r>
      <w:r>
        <w:t xml:space="preserve">Whole Breast - </w:t>
      </w:r>
      <w:r w:rsidRPr="006748C5">
        <w:t>External Beam Radiotherapy</w:t>
      </w:r>
    </w:p>
    <w:p w14:paraId="041CFC38" w14:textId="77777777" w:rsidR="00F02FC8" w:rsidRPr="00DA6621" w:rsidRDefault="00F02FC8" w:rsidP="00F02FC8">
      <w:pPr>
        <w:pStyle w:val="Tablenotes"/>
        <w:rPr>
          <w:i/>
        </w:rPr>
      </w:pPr>
      <w:r>
        <w:rPr>
          <w:i/>
        </w:rPr>
        <w:t xml:space="preserve">Note, </w:t>
      </w:r>
      <w:r w:rsidRPr="00CB14F8">
        <w:rPr>
          <w:b/>
          <w:color w:val="A6A6A6" w:themeColor="background1" w:themeShade="A6"/>
        </w:rPr>
        <w:t>grey text</w:t>
      </w:r>
      <w:r>
        <w:t xml:space="preserve"> is content from previous submission</w:t>
      </w:r>
    </w:p>
    <w:p w14:paraId="3738CA88" w14:textId="6518B9BF" w:rsidR="00F02FC8" w:rsidRDefault="00F02FC8" w:rsidP="00F02FC8">
      <w:r>
        <w:t>The DCAR stated that p</w:t>
      </w:r>
      <w:r w:rsidRPr="00DA6621">
        <w:t>atients’ ages were comparable between WB-EBRT and Axxent</w:t>
      </w:r>
      <w:r w:rsidRPr="00507B64">
        <w:rPr>
          <w:vertAlign w:val="superscript"/>
        </w:rPr>
        <w:t xml:space="preserve">® </w:t>
      </w:r>
      <w:r w:rsidRPr="00DA6621">
        <w:t>studies with the majority of patients aged 45–50 years and older. The proportion of patients with invasive ductal carcinoma varied across the studies (WB-EBRT: 58.8–100.0%; Axxent</w:t>
      </w:r>
      <w:r w:rsidRPr="00507B64">
        <w:rPr>
          <w:vertAlign w:val="superscript"/>
        </w:rPr>
        <w:t>®</w:t>
      </w:r>
      <w:r w:rsidRPr="00DA6621">
        <w:t xml:space="preserve">: 55.0–72.0%). The proportion of patients who were Estrogen receptor (ER) positive was comparable between WB-EBRT (88.0–96.1%) and Axxent® (83.9–94.0%). Furthermore, 95.8% of patients who received Axxent® were node negative whereas with WB-EBRT the proportion of patients who were node negative ranged from 69.0–96.0%. There were minor differences in the proportion of patients with T1 and T2 tumours between Axxent® (T1: 75.5% and T2: 21.4%) and WB-EBRT (T1: 40.0–94.1% and T2: 5.9–46.0%). For both devices (Axxent® and WB-EBRT), the included populations do not directly match the PICO confirmation. Most studies included a broader patient population, including those with ductal carcinoma in-situ (DCIS) and/or higher-stage cancer. Six of the identified studies also included patients aged under 45 years old. The impact of a broader population might result in an underestimate of the treatment effect as they may be more fragile if they have a higher-stage cancer and are therefore less likely to have a positive response. The impact of a broader population might also result in an overestimate of the treatment effect as they are younger than 45 years old and therefore may have better response rates in comparison to </w:t>
      </w:r>
      <w:r w:rsidRPr="00DA6621">
        <w:lastRenderedPageBreak/>
        <w:t>those over 45 years old. However, overall there will be a minimal impact as invasive ductal carcinoma, formed the majority of patients in each study and the median age of patients in each study exceeded 45 years old.</w:t>
      </w:r>
    </w:p>
    <w:p w14:paraId="18BE9ADA" w14:textId="77777777" w:rsidR="00F02FC8" w:rsidRDefault="00F02FC8" w:rsidP="00EA4F7E">
      <w:pPr>
        <w:spacing w:before="240"/>
      </w:pPr>
      <w:r>
        <w:t>Key safety outcomes reported in the identified studies were as follows:</w:t>
      </w:r>
    </w:p>
    <w:p w14:paraId="63474FB2" w14:textId="77777777" w:rsidR="00F02FC8" w:rsidRDefault="00F02FC8" w:rsidP="00F02FC8">
      <w:pPr>
        <w:pStyle w:val="ListParagraph"/>
        <w:numPr>
          <w:ilvl w:val="0"/>
          <w:numId w:val="6"/>
        </w:numPr>
        <w:ind w:left="714" w:hanging="357"/>
      </w:pPr>
      <w:r>
        <w:t>infection (Axxent</w:t>
      </w:r>
      <w:r w:rsidRPr="00507B64">
        <w:rPr>
          <w:vertAlign w:val="superscript"/>
        </w:rPr>
        <w:t>®</w:t>
      </w:r>
      <w:r>
        <w:t>: 0–1.2% at 1 month; WB-EBRT: 1.3% at 6 months)</w:t>
      </w:r>
    </w:p>
    <w:p w14:paraId="41C949D6" w14:textId="77777777" w:rsidR="00F02FC8" w:rsidRDefault="00F02FC8" w:rsidP="00F02FC8">
      <w:pPr>
        <w:pStyle w:val="ListParagraph"/>
        <w:numPr>
          <w:ilvl w:val="0"/>
          <w:numId w:val="6"/>
        </w:numPr>
        <w:ind w:left="714" w:hanging="357"/>
      </w:pPr>
      <w:r>
        <w:t>seroma (Axxent</w:t>
      </w:r>
      <w:r w:rsidRPr="00507B64">
        <w:rPr>
          <w:vertAlign w:val="superscript"/>
        </w:rPr>
        <w:t>®</w:t>
      </w:r>
      <w:r>
        <w:t>: 2.3% at 6 months; WB-EBRT: 0.8% at 6 months)</w:t>
      </w:r>
    </w:p>
    <w:p w14:paraId="62227F57" w14:textId="77777777" w:rsidR="00F02FC8" w:rsidRDefault="00F02FC8" w:rsidP="00F02FC8">
      <w:pPr>
        <w:pStyle w:val="ListParagraph"/>
        <w:numPr>
          <w:ilvl w:val="0"/>
          <w:numId w:val="6"/>
        </w:numPr>
        <w:ind w:left="714" w:hanging="357"/>
      </w:pPr>
      <w:r>
        <w:t>haematoma (Axxent</w:t>
      </w:r>
      <w:r w:rsidRPr="00507B64">
        <w:rPr>
          <w:vertAlign w:val="superscript"/>
        </w:rPr>
        <w:t>®</w:t>
      </w:r>
      <w:r>
        <w:t>: 1.4% at 1 month; WB-EBRT: 0.6%at 6 months and 0.1 percent beyond six months)</w:t>
      </w:r>
    </w:p>
    <w:p w14:paraId="607C1C52" w14:textId="77777777" w:rsidR="00F02FC8" w:rsidRDefault="00F02FC8" w:rsidP="00F02FC8">
      <w:pPr>
        <w:pStyle w:val="ListParagraph"/>
        <w:numPr>
          <w:ilvl w:val="0"/>
          <w:numId w:val="6"/>
        </w:numPr>
        <w:ind w:left="714" w:hanging="357"/>
      </w:pPr>
      <w:r>
        <w:t>necrosis (Axxent</w:t>
      </w:r>
      <w:r w:rsidRPr="00507B64">
        <w:rPr>
          <w:vertAlign w:val="superscript"/>
        </w:rPr>
        <w:t>®</w:t>
      </w:r>
      <w:r>
        <w:t>: 0.1% at 1 month and 0 percent at 12 months; WB-EBRT: 2.1–28.7%)</w:t>
      </w:r>
    </w:p>
    <w:p w14:paraId="14576F53" w14:textId="77777777" w:rsidR="00F02FC8" w:rsidRDefault="00F02FC8" w:rsidP="00F02FC8">
      <w:pPr>
        <w:pStyle w:val="ListParagraph"/>
        <w:numPr>
          <w:ilvl w:val="0"/>
          <w:numId w:val="6"/>
        </w:numPr>
        <w:ind w:left="714" w:hanging="357"/>
      </w:pPr>
      <w:r>
        <w:t>erythema (Axxent</w:t>
      </w:r>
      <w:r w:rsidRPr="00507B64">
        <w:rPr>
          <w:vertAlign w:val="superscript"/>
        </w:rPr>
        <w:t>®</w:t>
      </w:r>
      <w:r>
        <w:t>: 27.3% immediately post-surgery and 20.8% at 1 month; WB-EBRT: 66.5–85.0%)</w:t>
      </w:r>
    </w:p>
    <w:p w14:paraId="79568E74" w14:textId="77777777" w:rsidR="00F02FC8" w:rsidRDefault="00F02FC8" w:rsidP="00F02FC8">
      <w:pPr>
        <w:pStyle w:val="ListParagraph"/>
        <w:numPr>
          <w:ilvl w:val="0"/>
          <w:numId w:val="6"/>
        </w:numPr>
        <w:ind w:left="714" w:hanging="357"/>
      </w:pPr>
      <w:r>
        <w:t>dehiscence (Axxent</w:t>
      </w:r>
      <w:r w:rsidRPr="002756F5">
        <w:rPr>
          <w:vertAlign w:val="superscript"/>
        </w:rPr>
        <w:t>®</w:t>
      </w:r>
      <w:r>
        <w:t>: 1.3%; WB-EBRT: 1.9% at 6 months and 0.3% after 6months)</w:t>
      </w:r>
    </w:p>
    <w:p w14:paraId="08A3E70A" w14:textId="77777777" w:rsidR="00F02FC8" w:rsidRDefault="00F02FC8" w:rsidP="00F02FC8">
      <w:pPr>
        <w:pStyle w:val="ListParagraph"/>
        <w:numPr>
          <w:ilvl w:val="0"/>
          <w:numId w:val="6"/>
        </w:numPr>
        <w:ind w:left="714" w:hanging="357"/>
      </w:pPr>
      <w:r>
        <w:t>fibrosis (Axxent</w:t>
      </w:r>
      <w:r w:rsidRPr="002756F5">
        <w:rPr>
          <w:vertAlign w:val="superscript"/>
        </w:rPr>
        <w:t>®</w:t>
      </w:r>
      <w:r>
        <w:t>: 10.0% at 6months and 18.2% at 12 months; WB-EBRT: 11.2–35.2%)</w:t>
      </w:r>
    </w:p>
    <w:p w14:paraId="12E31785" w14:textId="77777777" w:rsidR="00F02FC8" w:rsidRDefault="00F02FC8" w:rsidP="00F02FC8">
      <w:pPr>
        <w:pStyle w:val="ListParagraph"/>
        <w:numPr>
          <w:ilvl w:val="0"/>
          <w:numId w:val="6"/>
        </w:numPr>
        <w:ind w:left="714" w:hanging="357"/>
      </w:pPr>
      <w:r>
        <w:t xml:space="preserve">skin hyperpigmentation (Axxent®: 7.7% at 6 months; WB-EBRT: 10.2–20.1%) </w:t>
      </w:r>
    </w:p>
    <w:p w14:paraId="2D09F53A" w14:textId="77777777" w:rsidR="00F02FC8" w:rsidRDefault="00F02FC8" w:rsidP="00F02FC8">
      <w:pPr>
        <w:pStyle w:val="ListParagraph"/>
        <w:numPr>
          <w:ilvl w:val="0"/>
          <w:numId w:val="6"/>
        </w:numPr>
        <w:ind w:left="714" w:hanging="357"/>
      </w:pPr>
      <w:r>
        <w:t>breast pain (Axxent</w:t>
      </w:r>
      <w:r w:rsidRPr="00507B64">
        <w:rPr>
          <w:vertAlign w:val="superscript"/>
        </w:rPr>
        <w:t>®</w:t>
      </w:r>
      <w:r>
        <w:t>: 27.3% immediately post-surgery; WB-EBRT: 21.4–26.2%).</w:t>
      </w:r>
    </w:p>
    <w:p w14:paraId="7211767A" w14:textId="77777777" w:rsidR="00F02FC8" w:rsidRDefault="00F02FC8" w:rsidP="00E9302D">
      <w:pPr>
        <w:spacing w:before="240"/>
      </w:pPr>
      <w:r>
        <w:t>The DCAR stated that no material differences in type and severity of the adverse events was observed for the two devices. Thus, the resubmission concluded, it is likely that Axxent</w:t>
      </w:r>
      <w:r w:rsidRPr="00507B64">
        <w:rPr>
          <w:vertAlign w:val="superscript"/>
        </w:rPr>
        <w:t>®</w:t>
      </w:r>
      <w:r>
        <w:t xml:space="preserve"> is non-inferior to WB-EBRT in terms of safety. However, due to the large disparity in the evidence base of Axxent</w:t>
      </w:r>
      <w:r w:rsidRPr="00507B64">
        <w:rPr>
          <w:vertAlign w:val="superscript"/>
        </w:rPr>
        <w:t>®</w:t>
      </w:r>
      <w:r>
        <w:t xml:space="preserve"> relative to WB-EBRT, it is difficult to make a clear conclusion. Specifically, Axxent</w:t>
      </w:r>
      <w:r w:rsidRPr="00507B64">
        <w:rPr>
          <w:vertAlign w:val="superscript"/>
        </w:rPr>
        <w:t>®</w:t>
      </w:r>
      <w:r>
        <w:t xml:space="preserve"> has only been studied in case series studies, compared to WB-EBRT which is subject to several good quality RCTs. In addition, Axxent</w:t>
      </w:r>
      <w:r w:rsidRPr="002756F5">
        <w:rPr>
          <w:vertAlign w:val="superscript"/>
        </w:rPr>
        <w:t>®</w:t>
      </w:r>
      <w:r>
        <w:t xml:space="preserve"> has shorter follow-up data of up to three years, compared to WB-EBRT that has follow-up data for up to 10.2 years.</w:t>
      </w:r>
    </w:p>
    <w:p w14:paraId="22FB204E" w14:textId="77777777" w:rsidR="00F02FC8" w:rsidRDefault="00F02FC8" w:rsidP="00F02FC8">
      <w:pPr>
        <w:pStyle w:val="Heading2"/>
      </w:pPr>
      <w:r>
        <w:t xml:space="preserve">Vs. </w:t>
      </w:r>
      <w:r w:rsidRPr="00730A81">
        <w:t>Intrabeam</w:t>
      </w:r>
      <w:r w:rsidRPr="00E7260B">
        <w:rPr>
          <w:vertAlign w:val="superscript"/>
        </w:rPr>
        <w:t>®</w:t>
      </w:r>
    </w:p>
    <w:p w14:paraId="539C6529" w14:textId="4B245CDB" w:rsidR="00F02FC8" w:rsidRPr="00ED7C46" w:rsidRDefault="00F02FC8" w:rsidP="00F02FC8">
      <w:pPr>
        <w:rPr>
          <w:color w:val="000000" w:themeColor="text1"/>
        </w:rPr>
      </w:pPr>
      <w:r>
        <w:rPr>
          <w:color w:val="000000" w:themeColor="text1"/>
        </w:rPr>
        <w:t>One new RCT (Key et al. 2017) on Intrabeam</w:t>
      </w:r>
      <w:r w:rsidRPr="00507B64">
        <w:rPr>
          <w:color w:val="000000" w:themeColor="text1"/>
          <w:vertAlign w:val="superscript"/>
        </w:rPr>
        <w:t>®</w:t>
      </w:r>
      <w:r>
        <w:rPr>
          <w:color w:val="000000" w:themeColor="text1"/>
        </w:rPr>
        <w:t xml:space="preserve"> was identified that included 41 patients. Overall, the three studies on Axxent® included 1,256 patients and the four studies on Intrabeam</w:t>
      </w:r>
      <w:r w:rsidRPr="00507B64">
        <w:rPr>
          <w:color w:val="000000" w:themeColor="text1"/>
          <w:vertAlign w:val="superscript"/>
        </w:rPr>
        <w:t>®</w:t>
      </w:r>
      <w:r>
        <w:rPr>
          <w:color w:val="000000" w:themeColor="text1"/>
        </w:rPr>
        <w:t xml:space="preserve"> included 1,784 patients. </w:t>
      </w:r>
      <w:r>
        <w:t>The DCAR stated that the updated review of the evidence base did not provide any new evidence to suggest that Axxent® is superior or inferior, relative to Intrabeam</w:t>
      </w:r>
      <w:r w:rsidRPr="00507B64">
        <w:rPr>
          <w:vertAlign w:val="superscript"/>
        </w:rPr>
        <w:t>®</w:t>
      </w:r>
      <w:r>
        <w:t xml:space="preserve"> in terms of safety. </w:t>
      </w:r>
    </w:p>
    <w:p w14:paraId="31E1AB64" w14:textId="77777777" w:rsidR="00F02FC8" w:rsidRDefault="00F02FC8" w:rsidP="00ED7C46">
      <w:pPr>
        <w:spacing w:before="240"/>
      </w:pPr>
      <w:r>
        <w:t>The safety outcomes that were reported included the following:</w:t>
      </w:r>
    </w:p>
    <w:p w14:paraId="3978D878" w14:textId="77777777" w:rsidR="00F02FC8" w:rsidRDefault="00F02FC8" w:rsidP="00F02FC8">
      <w:pPr>
        <w:pStyle w:val="ListParagraph"/>
        <w:numPr>
          <w:ilvl w:val="0"/>
          <w:numId w:val="7"/>
        </w:numPr>
      </w:pPr>
      <w:r>
        <w:t>infection (Axxent</w:t>
      </w:r>
      <w:r w:rsidRPr="00507B64">
        <w:rPr>
          <w:vertAlign w:val="superscript"/>
        </w:rPr>
        <w:t>®</w:t>
      </w:r>
      <w:r>
        <w:t>: 1.1% at one month and 1.2% at 36 months; Intrabeam</w:t>
      </w:r>
      <w:r w:rsidRPr="00507B64">
        <w:rPr>
          <w:vertAlign w:val="superscript"/>
        </w:rPr>
        <w:t>®</w:t>
      </w:r>
      <w:r>
        <w:t>: 1.8% by six months and 10.9% by 12 months)</w:t>
      </w:r>
    </w:p>
    <w:p w14:paraId="6C1555D3" w14:textId="77777777" w:rsidR="00F02FC8" w:rsidRDefault="00F02FC8" w:rsidP="00F02FC8">
      <w:pPr>
        <w:pStyle w:val="ListParagraph"/>
        <w:numPr>
          <w:ilvl w:val="0"/>
          <w:numId w:val="7"/>
        </w:numPr>
      </w:pPr>
      <w:r>
        <w:t>seroma (Axxent</w:t>
      </w:r>
      <w:r w:rsidRPr="00507B64">
        <w:rPr>
          <w:vertAlign w:val="superscript"/>
        </w:rPr>
        <w:t>®</w:t>
      </w:r>
      <w:r>
        <w:t>: 0.3% at 1 month and 2.3% at 6 months; Intrabeam</w:t>
      </w:r>
      <w:r w:rsidRPr="00507B64">
        <w:rPr>
          <w:vertAlign w:val="superscript"/>
        </w:rPr>
        <w:t>®</w:t>
      </w:r>
      <w:r>
        <w:t>: 2.0–13.4%)</w:t>
      </w:r>
    </w:p>
    <w:p w14:paraId="098A5E84" w14:textId="77777777" w:rsidR="00F02FC8" w:rsidRDefault="00F02FC8" w:rsidP="00F02FC8">
      <w:pPr>
        <w:pStyle w:val="ListParagraph"/>
        <w:numPr>
          <w:ilvl w:val="0"/>
          <w:numId w:val="7"/>
        </w:numPr>
      </w:pPr>
      <w:r>
        <w:t>haematoma (Axxent</w:t>
      </w:r>
      <w:r w:rsidRPr="00507B64">
        <w:rPr>
          <w:vertAlign w:val="superscript"/>
        </w:rPr>
        <w:t>®</w:t>
      </w:r>
      <w:r>
        <w:t>: 1.4%  at 1 month; Intrabeam</w:t>
      </w:r>
      <w:r w:rsidRPr="00507B64">
        <w:rPr>
          <w:vertAlign w:val="superscript"/>
        </w:rPr>
        <w:t>®</w:t>
      </w:r>
      <w:r>
        <w:t>: 0.1–24.0%)</w:t>
      </w:r>
    </w:p>
    <w:p w14:paraId="1C589FEF" w14:textId="77777777" w:rsidR="00F02FC8" w:rsidRDefault="00F02FC8" w:rsidP="00F02FC8">
      <w:pPr>
        <w:pStyle w:val="ListParagraph"/>
        <w:numPr>
          <w:ilvl w:val="0"/>
          <w:numId w:val="7"/>
        </w:numPr>
      </w:pPr>
      <w:r>
        <w:t>erythema (Axxent</w:t>
      </w:r>
      <w:r w:rsidRPr="00507B64">
        <w:rPr>
          <w:vertAlign w:val="superscript"/>
        </w:rPr>
        <w:t>®</w:t>
      </w:r>
      <w:r>
        <w:t>: 27.3% immediately post-surgery and 20.8% at 1 month; Intrabeam</w:t>
      </w:r>
      <w:r w:rsidRPr="00507B64">
        <w:rPr>
          <w:vertAlign w:val="superscript"/>
        </w:rPr>
        <w:t>®</w:t>
      </w:r>
      <w:r>
        <w:t>: 12.9% at 1week)</w:t>
      </w:r>
    </w:p>
    <w:p w14:paraId="0EFC4D39" w14:textId="77777777" w:rsidR="00F02FC8" w:rsidRDefault="00F02FC8" w:rsidP="00F02FC8">
      <w:pPr>
        <w:pStyle w:val="ListParagraph"/>
        <w:numPr>
          <w:ilvl w:val="0"/>
          <w:numId w:val="7"/>
        </w:numPr>
      </w:pPr>
      <w:r>
        <w:t>necrosis (Axxent</w:t>
      </w:r>
      <w:r w:rsidRPr="00507B64">
        <w:rPr>
          <w:vertAlign w:val="superscript"/>
        </w:rPr>
        <w:t>®</w:t>
      </w:r>
      <w:r>
        <w:t>: 0.1% at 1 month; Intrabeam</w:t>
      </w:r>
      <w:r w:rsidRPr="00507B64">
        <w:rPr>
          <w:vertAlign w:val="superscript"/>
        </w:rPr>
        <w:t>®</w:t>
      </w:r>
      <w:r>
        <w:t>: 0.5%)</w:t>
      </w:r>
    </w:p>
    <w:p w14:paraId="002B3C6F" w14:textId="77777777" w:rsidR="00F02FC8" w:rsidRDefault="00F02FC8" w:rsidP="00F02FC8">
      <w:pPr>
        <w:pStyle w:val="ListParagraph"/>
        <w:numPr>
          <w:ilvl w:val="0"/>
          <w:numId w:val="7"/>
        </w:numPr>
      </w:pPr>
      <w:r>
        <w:t>dehiscence (Axxent</w:t>
      </w:r>
      <w:r w:rsidRPr="00507B64">
        <w:rPr>
          <w:vertAlign w:val="superscript"/>
        </w:rPr>
        <w:t>®</w:t>
      </w:r>
      <w:r>
        <w:t>: 1.3% at 36 months; Intrabeam</w:t>
      </w:r>
      <w:r w:rsidRPr="00507B64">
        <w:rPr>
          <w:vertAlign w:val="superscript"/>
        </w:rPr>
        <w:t>®</w:t>
      </w:r>
      <w:r>
        <w:t>: 2.8% at 6 months, 0.1% after 6months, 8.1% at 12 months)</w:t>
      </w:r>
    </w:p>
    <w:p w14:paraId="15BA0EB2" w14:textId="77777777" w:rsidR="00F02FC8" w:rsidRDefault="00F02FC8" w:rsidP="00F02FC8">
      <w:pPr>
        <w:pStyle w:val="ListParagraph"/>
        <w:numPr>
          <w:ilvl w:val="0"/>
          <w:numId w:val="7"/>
        </w:numPr>
      </w:pPr>
      <w:r>
        <w:t>fibrosis (Axxent</w:t>
      </w:r>
      <w:r w:rsidRPr="00507B64">
        <w:rPr>
          <w:vertAlign w:val="superscript"/>
        </w:rPr>
        <w:t>®</w:t>
      </w:r>
      <w:r>
        <w:t>: 9.9% at 6 months; Intrabeam</w:t>
      </w:r>
      <w:r w:rsidRPr="00507B64">
        <w:rPr>
          <w:vertAlign w:val="superscript"/>
        </w:rPr>
        <w:t>®</w:t>
      </w:r>
      <w:r>
        <w:t>: 46.3% Grade 1 and 2.4% Grade 2)</w:t>
      </w:r>
    </w:p>
    <w:p w14:paraId="5CCB6EC8" w14:textId="7D3AF8FF" w:rsidR="0045381D" w:rsidRDefault="00F02FC8" w:rsidP="00F02FC8">
      <w:pPr>
        <w:pStyle w:val="ListParagraph"/>
        <w:numPr>
          <w:ilvl w:val="0"/>
          <w:numId w:val="7"/>
        </w:numPr>
      </w:pPr>
      <w:r>
        <w:t>breast pain (Axxent</w:t>
      </w:r>
      <w:r w:rsidRPr="00507B64">
        <w:rPr>
          <w:vertAlign w:val="superscript"/>
        </w:rPr>
        <w:t>®</w:t>
      </w:r>
      <w:r>
        <w:t>: 27.3% immediately post-surgery and 0% at 12 months; Intrabeam</w:t>
      </w:r>
      <w:r w:rsidRPr="00507B64">
        <w:rPr>
          <w:vertAlign w:val="superscript"/>
        </w:rPr>
        <w:t>®</w:t>
      </w:r>
      <w:r>
        <w:t xml:space="preserve">: 14.6% Grade 1 at three years). </w:t>
      </w:r>
    </w:p>
    <w:p w14:paraId="30BD0415" w14:textId="41365799" w:rsidR="00F02FC8" w:rsidRPr="00DA6621" w:rsidRDefault="00F02FC8" w:rsidP="00EA4F7E">
      <w:pPr>
        <w:spacing w:before="240"/>
      </w:pPr>
      <w:r>
        <w:t>The DCAR therefore concluded that Axxent</w:t>
      </w:r>
      <w:r w:rsidRPr="002756F5">
        <w:rPr>
          <w:vertAlign w:val="superscript"/>
        </w:rPr>
        <w:t>®</w:t>
      </w:r>
      <w:r>
        <w:t xml:space="preserve"> remains non-inferior in terms of safety.</w:t>
      </w:r>
    </w:p>
    <w:p w14:paraId="5E52581E" w14:textId="77777777" w:rsidR="00BA3279" w:rsidRPr="00F715D1" w:rsidRDefault="00BA3279" w:rsidP="00BA3279">
      <w:pPr>
        <w:pStyle w:val="Heading1"/>
      </w:pPr>
      <w:r w:rsidRPr="00F715D1">
        <w:lastRenderedPageBreak/>
        <w:t>Comparative effectiveness</w:t>
      </w:r>
    </w:p>
    <w:p w14:paraId="180B6379" w14:textId="77777777" w:rsidR="00F02FC8" w:rsidRDefault="00F02FC8" w:rsidP="00F02FC8">
      <w:pPr>
        <w:pStyle w:val="Heading2"/>
      </w:pPr>
      <w:r>
        <w:t>Vs. WB-EBRT</w:t>
      </w:r>
    </w:p>
    <w:p w14:paraId="07F3D401" w14:textId="77777777" w:rsidR="00F02FC8" w:rsidRPr="00F02FC8" w:rsidRDefault="00F02FC8" w:rsidP="00F02FC8">
      <w:pPr>
        <w:pStyle w:val="Heading3"/>
        <w:spacing w:before="240"/>
        <w:rPr>
          <w:rFonts w:ascii="Times New Roman" w:hAnsi="Times New Roman" w:cs="Times New Roman"/>
          <w:color w:val="auto"/>
          <w:u w:val="single"/>
        </w:rPr>
      </w:pPr>
      <w:r w:rsidRPr="00F02FC8">
        <w:rPr>
          <w:rFonts w:ascii="Times New Roman" w:hAnsi="Times New Roman" w:cs="Times New Roman"/>
          <w:color w:val="auto"/>
          <w:u w:val="single"/>
        </w:rPr>
        <w:t>Recurrence</w:t>
      </w:r>
    </w:p>
    <w:p w14:paraId="45C6C9FC" w14:textId="79102572" w:rsidR="00F02FC8" w:rsidRDefault="00F02FC8" w:rsidP="00F02FC8">
      <w:r>
        <w:t>Measurement of recurrence was conducted with mammogram and physical examination.</w:t>
      </w:r>
    </w:p>
    <w:p w14:paraId="35B874B2" w14:textId="46521605" w:rsidR="008C0FAA" w:rsidRPr="008F6D96" w:rsidRDefault="00F02FC8" w:rsidP="00EA4F7E">
      <w:pPr>
        <w:spacing w:before="240"/>
      </w:pPr>
      <w:r>
        <w:t>The DCAR stated that at a median follow-up of three years, the rate of any local recurrence with Axxent</w:t>
      </w:r>
      <w:r w:rsidRPr="00342FB6">
        <w:rPr>
          <w:vertAlign w:val="superscript"/>
        </w:rPr>
        <w:t>®</w:t>
      </w:r>
      <w:r>
        <w:t xml:space="preserve"> was 3.1% and the rate of local recurrence for only invasive carcinoma was 2.0%. Rate of any local recurrence for WB-EBRT ranged from 0-4 to 6% depending on follow-up period. Distant recurrence was not reported for Axxent®, however, four studies reported distant recurrence with WB-EBRT (Table 4).</w:t>
      </w:r>
    </w:p>
    <w:p w14:paraId="76FC2150" w14:textId="77777777" w:rsidR="00F02FC8" w:rsidRPr="00ED7C46" w:rsidRDefault="00F02FC8" w:rsidP="00ED7C46">
      <w:pPr>
        <w:spacing w:before="240"/>
        <w:rPr>
          <w:rFonts w:ascii="Arial Narrow" w:hAnsi="Arial Narrow"/>
          <w:b/>
          <w:sz w:val="20"/>
        </w:rPr>
      </w:pPr>
      <w:bookmarkStart w:id="9" w:name="_Ref29211383"/>
      <w:bookmarkStart w:id="10" w:name="_Toc29554540"/>
      <w:r w:rsidRPr="00ED7C46">
        <w:rPr>
          <w:rFonts w:ascii="Arial Narrow" w:hAnsi="Arial Narrow"/>
          <w:b/>
          <w:sz w:val="20"/>
        </w:rPr>
        <w:t xml:space="preserve">Table </w:t>
      </w:r>
      <w:bookmarkEnd w:id="9"/>
      <w:r w:rsidRPr="00ED7C46">
        <w:rPr>
          <w:rFonts w:ascii="Arial Narrow" w:hAnsi="Arial Narrow"/>
          <w:b/>
          <w:sz w:val="20"/>
        </w:rPr>
        <w:t>4</w:t>
      </w:r>
      <w:r w:rsidRPr="00ED7C46">
        <w:rPr>
          <w:rFonts w:ascii="Arial Narrow" w:hAnsi="Arial Narrow"/>
          <w:b/>
          <w:sz w:val="20"/>
        </w:rPr>
        <w:tab/>
        <w:t>Local and distant cancer recurrence results across the included studies</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Local and distant cancer recurrence results across the included studies"/>
        <w:tblDescription w:val="This table provides a summary of the findings in each study forocal cancer recurrence. Results for the intervention and comparator are provided."/>
      </w:tblPr>
      <w:tblGrid>
        <w:gridCol w:w="1804"/>
        <w:gridCol w:w="1168"/>
        <w:gridCol w:w="1562"/>
        <w:gridCol w:w="2407"/>
        <w:gridCol w:w="2075"/>
      </w:tblGrid>
      <w:tr w:rsidR="00F02FC8" w:rsidRPr="00AA2858" w14:paraId="13A290E3" w14:textId="77777777" w:rsidTr="00E9302D">
        <w:trPr>
          <w:tblHeader/>
        </w:trPr>
        <w:tc>
          <w:tcPr>
            <w:tcW w:w="1000" w:type="pct"/>
            <w:tcBorders>
              <w:bottom w:val="single" w:sz="4" w:space="0" w:color="auto"/>
            </w:tcBorders>
            <w:shd w:val="clear" w:color="auto" w:fill="auto"/>
          </w:tcPr>
          <w:p w14:paraId="4196FEB0" w14:textId="77777777" w:rsidR="00F02FC8" w:rsidRPr="00AA2858" w:rsidRDefault="00F02FC8" w:rsidP="00E9302D">
            <w:pPr>
              <w:pStyle w:val="TableHeading"/>
              <w:keepLines/>
            </w:pPr>
            <w:r w:rsidRPr="00AA2858">
              <w:t>Study ID</w:t>
            </w:r>
          </w:p>
        </w:tc>
        <w:tc>
          <w:tcPr>
            <w:tcW w:w="648" w:type="pct"/>
          </w:tcPr>
          <w:p w14:paraId="58B57848" w14:textId="77777777" w:rsidR="00F02FC8" w:rsidRPr="00721457" w:rsidRDefault="00F02FC8" w:rsidP="00E9302D">
            <w:pPr>
              <w:pStyle w:val="TableHeading"/>
              <w:keepLines/>
            </w:pPr>
            <w:r w:rsidRPr="00721457">
              <w:t>Device</w:t>
            </w:r>
          </w:p>
          <w:p w14:paraId="44D453E6" w14:textId="77777777" w:rsidR="00F02FC8" w:rsidRPr="00AA2858" w:rsidRDefault="00F02FC8" w:rsidP="00E9302D">
            <w:pPr>
              <w:pStyle w:val="TableHeading"/>
              <w:keepLines/>
            </w:pPr>
          </w:p>
        </w:tc>
        <w:tc>
          <w:tcPr>
            <w:tcW w:w="866" w:type="pct"/>
          </w:tcPr>
          <w:p w14:paraId="20A36E0E" w14:textId="77777777" w:rsidR="00F02FC8" w:rsidRPr="00AA2858" w:rsidRDefault="00F02FC8" w:rsidP="00E9302D">
            <w:pPr>
              <w:pStyle w:val="TableHeading"/>
              <w:keepLines/>
            </w:pPr>
            <w:r>
              <w:t>Follow-up time</w:t>
            </w:r>
          </w:p>
        </w:tc>
        <w:tc>
          <w:tcPr>
            <w:tcW w:w="1335" w:type="pct"/>
            <w:shd w:val="clear" w:color="auto" w:fill="auto"/>
          </w:tcPr>
          <w:p w14:paraId="38C1DE36" w14:textId="77777777" w:rsidR="00F02FC8" w:rsidRPr="00AA2858" w:rsidRDefault="00F02FC8" w:rsidP="00E9302D">
            <w:pPr>
              <w:pStyle w:val="TableHeading"/>
              <w:keepLines/>
            </w:pPr>
            <w:r>
              <w:t>Local recurrence rate</w:t>
            </w:r>
          </w:p>
          <w:p w14:paraId="00769044" w14:textId="77777777" w:rsidR="00F02FC8" w:rsidRPr="00AA2858" w:rsidRDefault="00F02FC8" w:rsidP="00E9302D">
            <w:pPr>
              <w:pStyle w:val="TableHeading"/>
              <w:keepLines/>
            </w:pPr>
            <w:r w:rsidRPr="00AA2858">
              <w:t>n with event/N (%)</w:t>
            </w:r>
          </w:p>
        </w:tc>
        <w:tc>
          <w:tcPr>
            <w:tcW w:w="1151" w:type="pct"/>
          </w:tcPr>
          <w:p w14:paraId="5F894197" w14:textId="77777777" w:rsidR="00F02FC8" w:rsidRDefault="00F02FC8" w:rsidP="00E9302D">
            <w:pPr>
              <w:pStyle w:val="TableHeading"/>
              <w:keepLines/>
            </w:pPr>
            <w:r>
              <w:t xml:space="preserve">Distant recurrence rate </w:t>
            </w:r>
          </w:p>
          <w:p w14:paraId="2FA6233C" w14:textId="77777777" w:rsidR="00F02FC8" w:rsidRDefault="00F02FC8" w:rsidP="00E9302D">
            <w:pPr>
              <w:pStyle w:val="TableHeading"/>
              <w:keepLines/>
            </w:pPr>
            <w:r>
              <w:t>n with event/N (%)</w:t>
            </w:r>
          </w:p>
        </w:tc>
      </w:tr>
      <w:tr w:rsidR="00F02FC8" w:rsidRPr="00AA2858" w14:paraId="1E2DEEE0" w14:textId="77777777" w:rsidTr="00E9302D">
        <w:trPr>
          <w:trHeight w:val="385"/>
        </w:trPr>
        <w:tc>
          <w:tcPr>
            <w:tcW w:w="1000" w:type="pct"/>
            <w:tcBorders>
              <w:top w:val="single" w:sz="4" w:space="0" w:color="auto"/>
              <w:left w:val="single" w:sz="4" w:space="0" w:color="auto"/>
              <w:bottom w:val="single" w:sz="4" w:space="0" w:color="auto"/>
              <w:right w:val="single" w:sz="4" w:space="0" w:color="auto"/>
            </w:tcBorders>
            <w:shd w:val="clear" w:color="auto" w:fill="auto"/>
          </w:tcPr>
          <w:p w14:paraId="5E9D1101" w14:textId="77777777" w:rsidR="00F02FC8" w:rsidRPr="00FB4D55" w:rsidRDefault="00F02FC8" w:rsidP="00E9302D">
            <w:pPr>
              <w:pStyle w:val="Tabletext0"/>
              <w:rPr>
                <w:color w:val="A6A6A6" w:themeColor="background1" w:themeShade="A6"/>
              </w:rPr>
            </w:pPr>
            <w:r w:rsidRPr="00FB4D55">
              <w:rPr>
                <w:color w:val="A6A6A6" w:themeColor="background1" w:themeShade="A6"/>
              </w:rPr>
              <w:t>Ivanov et al. (2011)</w:t>
            </w:r>
          </w:p>
          <w:p w14:paraId="4AA24A93" w14:textId="77777777" w:rsidR="00F02FC8" w:rsidRPr="00FB4D55" w:rsidRDefault="00F02FC8" w:rsidP="00E9302D">
            <w:pPr>
              <w:pStyle w:val="Tabletext0"/>
              <w:rPr>
                <w:color w:val="A6A6A6" w:themeColor="background1" w:themeShade="A6"/>
              </w:rPr>
            </w:pPr>
          </w:p>
        </w:tc>
        <w:tc>
          <w:tcPr>
            <w:tcW w:w="648" w:type="pct"/>
            <w:shd w:val="clear" w:color="auto" w:fill="DEEAF6" w:themeFill="accent1" w:themeFillTint="33"/>
          </w:tcPr>
          <w:p w14:paraId="4F13C2DE" w14:textId="77777777" w:rsidR="00F02FC8" w:rsidRPr="00FB4D55" w:rsidRDefault="00F02FC8" w:rsidP="00E9302D">
            <w:pPr>
              <w:pStyle w:val="Tabletext0"/>
              <w:rPr>
                <w:color w:val="A6A6A6" w:themeColor="background1" w:themeShade="A6"/>
              </w:rPr>
            </w:pPr>
            <w:r w:rsidRPr="00FB4D55">
              <w:rPr>
                <w:color w:val="A6A6A6" w:themeColor="background1" w:themeShade="A6"/>
              </w:rPr>
              <w:t>Axxent</w:t>
            </w:r>
            <w:r w:rsidRPr="00FB4D55">
              <w:rPr>
                <w:color w:val="A6A6A6" w:themeColor="background1" w:themeShade="A6"/>
                <w:vertAlign w:val="superscript"/>
              </w:rPr>
              <w:t>®</w:t>
            </w:r>
          </w:p>
          <w:p w14:paraId="442793D8" w14:textId="77777777" w:rsidR="00F02FC8" w:rsidRPr="00FB4D55" w:rsidRDefault="00F02FC8" w:rsidP="00E9302D">
            <w:pPr>
              <w:pStyle w:val="Tabletext0"/>
              <w:rPr>
                <w:color w:val="A6A6A6" w:themeColor="background1" w:themeShade="A6"/>
              </w:rPr>
            </w:pPr>
          </w:p>
        </w:tc>
        <w:tc>
          <w:tcPr>
            <w:tcW w:w="866" w:type="pct"/>
          </w:tcPr>
          <w:p w14:paraId="3D5F8D1A" w14:textId="77777777" w:rsidR="00F02FC8" w:rsidRPr="00FB4D55" w:rsidRDefault="00F02FC8" w:rsidP="00E9302D">
            <w:pPr>
              <w:pStyle w:val="Tabletext0"/>
              <w:rPr>
                <w:color w:val="A6A6A6" w:themeColor="background1" w:themeShade="A6"/>
              </w:rPr>
            </w:pPr>
            <w:r w:rsidRPr="00FB4D55">
              <w:rPr>
                <w:color w:val="A6A6A6" w:themeColor="background1" w:themeShade="A6"/>
              </w:rPr>
              <w:t>1 year</w:t>
            </w:r>
          </w:p>
        </w:tc>
        <w:tc>
          <w:tcPr>
            <w:tcW w:w="1335" w:type="pct"/>
            <w:shd w:val="clear" w:color="auto" w:fill="auto"/>
          </w:tcPr>
          <w:p w14:paraId="15B4EACD" w14:textId="77777777" w:rsidR="00F02FC8" w:rsidRPr="00FB4D55" w:rsidRDefault="00F02FC8" w:rsidP="00E9302D">
            <w:pPr>
              <w:pStyle w:val="Tabletext0"/>
              <w:rPr>
                <w:color w:val="A6A6A6" w:themeColor="background1" w:themeShade="A6"/>
              </w:rPr>
            </w:pPr>
            <w:r w:rsidRPr="00FB4D55">
              <w:rPr>
                <w:color w:val="A6A6A6" w:themeColor="background1" w:themeShade="A6"/>
              </w:rPr>
              <w:t>0/11 (0)</w:t>
            </w:r>
          </w:p>
        </w:tc>
        <w:tc>
          <w:tcPr>
            <w:tcW w:w="1151" w:type="pct"/>
          </w:tcPr>
          <w:p w14:paraId="58A07178" w14:textId="77777777" w:rsidR="00F02FC8" w:rsidRPr="00FD5578" w:rsidRDefault="00F02FC8" w:rsidP="00E9302D">
            <w:pPr>
              <w:pStyle w:val="Tabletext0"/>
              <w:rPr>
                <w:color w:val="A6A6A6" w:themeColor="background1" w:themeShade="A6"/>
              </w:rPr>
            </w:pPr>
            <w:r>
              <w:rPr>
                <w:color w:val="A6A6A6" w:themeColor="background1" w:themeShade="A6"/>
              </w:rPr>
              <w:t>Not reported</w:t>
            </w:r>
          </w:p>
        </w:tc>
      </w:tr>
      <w:tr w:rsidR="00F02FC8" w:rsidRPr="00AA2858" w14:paraId="4D67EEBA" w14:textId="77777777" w:rsidTr="00E9302D">
        <w:trPr>
          <w:trHeight w:val="385"/>
        </w:trPr>
        <w:tc>
          <w:tcPr>
            <w:tcW w:w="1000" w:type="pct"/>
            <w:tcBorders>
              <w:top w:val="single" w:sz="4" w:space="0" w:color="auto"/>
              <w:left w:val="single" w:sz="4" w:space="0" w:color="auto"/>
              <w:bottom w:val="nil"/>
              <w:right w:val="single" w:sz="4" w:space="0" w:color="auto"/>
            </w:tcBorders>
            <w:shd w:val="clear" w:color="auto" w:fill="auto"/>
          </w:tcPr>
          <w:p w14:paraId="6331B887" w14:textId="77777777" w:rsidR="00F02FC8" w:rsidRPr="002932FB" w:rsidRDefault="00F02FC8" w:rsidP="00E9302D">
            <w:pPr>
              <w:pStyle w:val="Tabletext0"/>
              <w:keepNext/>
              <w:keepLines/>
            </w:pPr>
            <w:r>
              <w:t>Lai et al. (2006)</w:t>
            </w:r>
          </w:p>
        </w:tc>
        <w:tc>
          <w:tcPr>
            <w:tcW w:w="648" w:type="pct"/>
            <w:shd w:val="clear" w:color="auto" w:fill="DEEAF6" w:themeFill="accent1" w:themeFillTint="33"/>
          </w:tcPr>
          <w:p w14:paraId="0580F2E1" w14:textId="77777777" w:rsidR="00F02FC8" w:rsidRPr="00721457" w:rsidRDefault="00F02FC8" w:rsidP="00E9302D">
            <w:pPr>
              <w:pStyle w:val="Tabletext0"/>
              <w:keepNext/>
              <w:keepLines/>
              <w:jc w:val="both"/>
            </w:pPr>
            <w:r w:rsidRPr="00721457">
              <w:t>Axxent</w:t>
            </w:r>
            <w:r w:rsidRPr="0058310B">
              <w:rPr>
                <w:vertAlign w:val="superscript"/>
              </w:rPr>
              <w:t>®</w:t>
            </w:r>
          </w:p>
        </w:tc>
        <w:tc>
          <w:tcPr>
            <w:tcW w:w="866" w:type="pct"/>
          </w:tcPr>
          <w:p w14:paraId="3EF2616D" w14:textId="77777777" w:rsidR="00F02FC8" w:rsidRPr="0029371A" w:rsidRDefault="00F02FC8" w:rsidP="00E9302D">
            <w:pPr>
              <w:pStyle w:val="Tabletext0"/>
              <w:keepNext/>
              <w:keepLines/>
            </w:pPr>
            <w:r>
              <w:t>Median 1.3 years</w:t>
            </w:r>
          </w:p>
        </w:tc>
        <w:tc>
          <w:tcPr>
            <w:tcW w:w="1335" w:type="pct"/>
            <w:shd w:val="clear" w:color="auto" w:fill="auto"/>
          </w:tcPr>
          <w:p w14:paraId="73907B92" w14:textId="77777777" w:rsidR="00F02FC8" w:rsidRPr="00734519" w:rsidRDefault="00F02FC8" w:rsidP="00E9302D">
            <w:pPr>
              <w:pStyle w:val="Tabletext0"/>
              <w:keepNext/>
              <w:keepLines/>
              <w:rPr>
                <w:vertAlign w:val="superscript"/>
              </w:rPr>
            </w:pPr>
            <w:r>
              <w:t>2/261 (0.8)</w:t>
            </w:r>
          </w:p>
        </w:tc>
        <w:tc>
          <w:tcPr>
            <w:tcW w:w="1151" w:type="pct"/>
          </w:tcPr>
          <w:p w14:paraId="08E17C3D" w14:textId="77777777" w:rsidR="00F02FC8" w:rsidDel="00AA6991" w:rsidRDefault="00F02FC8" w:rsidP="00E9302D">
            <w:pPr>
              <w:pStyle w:val="Tabletext0"/>
              <w:keepNext/>
              <w:keepLines/>
            </w:pPr>
            <w:r>
              <w:t>Not reported</w:t>
            </w:r>
          </w:p>
        </w:tc>
      </w:tr>
      <w:tr w:rsidR="00F02FC8" w:rsidRPr="00AA2858" w14:paraId="14452ADD" w14:textId="77777777" w:rsidTr="00E9302D">
        <w:tc>
          <w:tcPr>
            <w:tcW w:w="1000" w:type="pct"/>
            <w:tcBorders>
              <w:top w:val="single" w:sz="4" w:space="0" w:color="auto"/>
              <w:left w:val="single" w:sz="4" w:space="0" w:color="auto"/>
              <w:bottom w:val="nil"/>
              <w:right w:val="single" w:sz="4" w:space="0" w:color="auto"/>
            </w:tcBorders>
            <w:shd w:val="clear" w:color="auto" w:fill="auto"/>
          </w:tcPr>
          <w:p w14:paraId="273E22C0" w14:textId="77777777" w:rsidR="00F02FC8" w:rsidRPr="002932FB" w:rsidRDefault="00F02FC8" w:rsidP="00E9302D">
            <w:pPr>
              <w:pStyle w:val="Tabletext0"/>
              <w:keepNext/>
              <w:keepLines/>
              <w:ind w:left="0" w:right="0"/>
            </w:pPr>
            <w:r>
              <w:t>Silverstein et al. (2018)</w:t>
            </w:r>
          </w:p>
        </w:tc>
        <w:tc>
          <w:tcPr>
            <w:tcW w:w="648" w:type="pct"/>
            <w:shd w:val="clear" w:color="auto" w:fill="DEEAF6" w:themeFill="accent1" w:themeFillTint="33"/>
          </w:tcPr>
          <w:p w14:paraId="15C7D6AD" w14:textId="77777777" w:rsidR="00F02FC8" w:rsidRPr="00721457" w:rsidRDefault="00F02FC8" w:rsidP="00E9302D">
            <w:pPr>
              <w:pStyle w:val="Tabletext0"/>
              <w:keepNext/>
              <w:keepLines/>
              <w:ind w:left="0" w:right="0"/>
            </w:pPr>
            <w:r>
              <w:t>Axxent</w:t>
            </w:r>
            <w:r w:rsidRPr="0058310B">
              <w:rPr>
                <w:vertAlign w:val="superscript"/>
              </w:rPr>
              <w:t>®</w:t>
            </w:r>
          </w:p>
        </w:tc>
        <w:tc>
          <w:tcPr>
            <w:tcW w:w="866" w:type="pct"/>
          </w:tcPr>
          <w:p w14:paraId="2E8363CB" w14:textId="77777777" w:rsidR="00F02FC8" w:rsidRPr="0029371A" w:rsidRDefault="00F02FC8" w:rsidP="00E9302D">
            <w:pPr>
              <w:pStyle w:val="Tabletext0"/>
              <w:keepNext/>
              <w:keepLines/>
              <w:ind w:left="0" w:right="0"/>
            </w:pPr>
            <w:r>
              <w:t xml:space="preserve">Median 3 years </w:t>
            </w:r>
          </w:p>
        </w:tc>
        <w:tc>
          <w:tcPr>
            <w:tcW w:w="1335" w:type="pct"/>
            <w:shd w:val="clear" w:color="auto" w:fill="auto"/>
          </w:tcPr>
          <w:p w14:paraId="01983E63" w14:textId="77777777" w:rsidR="00F02FC8" w:rsidRDefault="00F02FC8" w:rsidP="00E9302D">
            <w:pPr>
              <w:pStyle w:val="Tabletext0"/>
              <w:keepNext/>
              <w:keepLines/>
              <w:ind w:left="0" w:right="0"/>
              <w:rPr>
                <w:vertAlign w:val="superscript"/>
              </w:rPr>
            </w:pPr>
            <w:r>
              <w:t xml:space="preserve">Any recurrence: 26/836 (3.1) </w:t>
            </w:r>
            <w:r>
              <w:rPr>
                <w:vertAlign w:val="superscript"/>
              </w:rPr>
              <w:t>a</w:t>
            </w:r>
          </w:p>
          <w:p w14:paraId="489E150F" w14:textId="77777777" w:rsidR="00F02FC8" w:rsidRPr="003B6818" w:rsidRDefault="00F02FC8" w:rsidP="00E9302D">
            <w:pPr>
              <w:pStyle w:val="Tabletext0"/>
              <w:keepNext/>
              <w:keepLines/>
              <w:ind w:left="0" w:right="0"/>
              <w:rPr>
                <w:vertAlign w:val="superscript"/>
              </w:rPr>
            </w:pPr>
            <w:r w:rsidRPr="00D527CB">
              <w:t xml:space="preserve">For invasive carcinoma only: </w:t>
            </w:r>
            <w:r>
              <w:t>17</w:t>
            </w:r>
            <w:r w:rsidRPr="00D527CB">
              <w:t>/</w:t>
            </w:r>
            <w:r>
              <w:t>836</w:t>
            </w:r>
            <w:r w:rsidRPr="00D527CB">
              <w:t xml:space="preserve"> (</w:t>
            </w:r>
            <w:r>
              <w:t>2.0)</w:t>
            </w:r>
          </w:p>
        </w:tc>
        <w:tc>
          <w:tcPr>
            <w:tcW w:w="1151" w:type="pct"/>
          </w:tcPr>
          <w:p w14:paraId="739ACA06" w14:textId="77777777" w:rsidR="00F02FC8" w:rsidRDefault="00F02FC8" w:rsidP="00E9302D">
            <w:pPr>
              <w:pStyle w:val="Tabletext0"/>
              <w:keepNext/>
              <w:keepLines/>
              <w:ind w:left="0" w:right="0"/>
            </w:pPr>
            <w:r>
              <w:t>Not reported</w:t>
            </w:r>
          </w:p>
        </w:tc>
      </w:tr>
      <w:tr w:rsidR="00F02FC8" w:rsidRPr="00AA2858" w14:paraId="7ECCFF9B" w14:textId="77777777" w:rsidTr="00E9302D">
        <w:tc>
          <w:tcPr>
            <w:tcW w:w="1000" w:type="pct"/>
            <w:tcBorders>
              <w:top w:val="single" w:sz="4" w:space="0" w:color="auto"/>
              <w:left w:val="single" w:sz="4" w:space="0" w:color="auto"/>
              <w:bottom w:val="nil"/>
              <w:right w:val="single" w:sz="4" w:space="0" w:color="auto"/>
            </w:tcBorders>
            <w:shd w:val="clear" w:color="auto" w:fill="auto"/>
          </w:tcPr>
          <w:p w14:paraId="3C8A1C4E" w14:textId="77777777" w:rsidR="00F02FC8" w:rsidRDefault="00F02FC8" w:rsidP="00E9302D">
            <w:pPr>
              <w:pStyle w:val="Tabletext0"/>
            </w:pPr>
            <w:r>
              <w:t>Coles et al. (2017)</w:t>
            </w:r>
          </w:p>
        </w:tc>
        <w:tc>
          <w:tcPr>
            <w:tcW w:w="648" w:type="pct"/>
            <w:shd w:val="clear" w:color="auto" w:fill="FFFFCC"/>
          </w:tcPr>
          <w:p w14:paraId="196CA2C5" w14:textId="77777777" w:rsidR="00F02FC8" w:rsidRDefault="00F02FC8" w:rsidP="00E9302D">
            <w:pPr>
              <w:pStyle w:val="Tabletext0"/>
            </w:pPr>
            <w:r>
              <w:t>WB-EBRT</w:t>
            </w:r>
          </w:p>
        </w:tc>
        <w:tc>
          <w:tcPr>
            <w:tcW w:w="866" w:type="pct"/>
          </w:tcPr>
          <w:p w14:paraId="77AD2F83" w14:textId="77777777" w:rsidR="00F02FC8" w:rsidRDefault="00F02FC8" w:rsidP="00E9302D">
            <w:pPr>
              <w:pStyle w:val="Tabletext0"/>
            </w:pPr>
            <w:r>
              <w:t xml:space="preserve">Median 6 years </w:t>
            </w:r>
          </w:p>
        </w:tc>
        <w:tc>
          <w:tcPr>
            <w:tcW w:w="1335" w:type="pct"/>
            <w:shd w:val="clear" w:color="auto" w:fill="auto"/>
          </w:tcPr>
          <w:p w14:paraId="4A04AD86" w14:textId="77777777" w:rsidR="00F02FC8" w:rsidRDefault="00F02FC8" w:rsidP="00E9302D">
            <w:pPr>
              <w:pStyle w:val="Tabletext0"/>
            </w:pPr>
            <w:r>
              <w:t>9/674 (1)</w:t>
            </w:r>
          </w:p>
        </w:tc>
        <w:tc>
          <w:tcPr>
            <w:tcW w:w="1151" w:type="pct"/>
          </w:tcPr>
          <w:p w14:paraId="3081CE1D" w14:textId="77777777" w:rsidR="00F02FC8" w:rsidRDefault="00F02FC8" w:rsidP="00E9302D">
            <w:pPr>
              <w:pStyle w:val="Tabletext0"/>
            </w:pPr>
            <w:r>
              <w:t>13/674 (2)</w:t>
            </w:r>
          </w:p>
        </w:tc>
      </w:tr>
      <w:tr w:rsidR="00F02FC8" w:rsidRPr="00AA2858" w14:paraId="44ABDEEB" w14:textId="77777777" w:rsidTr="00E9302D">
        <w:tc>
          <w:tcPr>
            <w:tcW w:w="1000" w:type="pct"/>
            <w:tcBorders>
              <w:top w:val="single" w:sz="4" w:space="0" w:color="auto"/>
              <w:left w:val="single" w:sz="4" w:space="0" w:color="auto"/>
              <w:bottom w:val="nil"/>
              <w:right w:val="single" w:sz="4" w:space="0" w:color="auto"/>
            </w:tcBorders>
            <w:shd w:val="clear" w:color="auto" w:fill="auto"/>
          </w:tcPr>
          <w:p w14:paraId="1976CBAE" w14:textId="77777777" w:rsidR="00F02FC8" w:rsidRDefault="00F02FC8" w:rsidP="00E9302D">
            <w:pPr>
              <w:pStyle w:val="Tabletext0"/>
            </w:pPr>
            <w:r>
              <w:t>Strnad (2016) &amp; Polgar et al. (2017)</w:t>
            </w:r>
          </w:p>
        </w:tc>
        <w:tc>
          <w:tcPr>
            <w:tcW w:w="648" w:type="pct"/>
            <w:shd w:val="clear" w:color="auto" w:fill="FFFFCC"/>
          </w:tcPr>
          <w:p w14:paraId="7D709B1D" w14:textId="77777777" w:rsidR="00F02FC8" w:rsidRDefault="00F02FC8" w:rsidP="00E9302D">
            <w:pPr>
              <w:pStyle w:val="Tabletext0"/>
            </w:pPr>
            <w:r>
              <w:t>WB-EBRT</w:t>
            </w:r>
          </w:p>
        </w:tc>
        <w:tc>
          <w:tcPr>
            <w:tcW w:w="866" w:type="pct"/>
          </w:tcPr>
          <w:p w14:paraId="63FB9D9F" w14:textId="77777777" w:rsidR="00F02FC8" w:rsidRDefault="00F02FC8" w:rsidP="00E9302D">
            <w:pPr>
              <w:pStyle w:val="Tabletext0"/>
              <w:ind w:left="0"/>
            </w:pPr>
            <w:r>
              <w:t xml:space="preserve">5 years </w:t>
            </w:r>
          </w:p>
        </w:tc>
        <w:tc>
          <w:tcPr>
            <w:tcW w:w="1335" w:type="pct"/>
            <w:shd w:val="clear" w:color="auto" w:fill="auto"/>
          </w:tcPr>
          <w:p w14:paraId="46DAC0CA" w14:textId="77777777" w:rsidR="00F02FC8" w:rsidRDefault="00F02FC8" w:rsidP="00E9302D">
            <w:pPr>
              <w:pStyle w:val="Tabletext0"/>
            </w:pPr>
            <w:r>
              <w:t>5/551 (0.9)</w:t>
            </w:r>
          </w:p>
        </w:tc>
        <w:tc>
          <w:tcPr>
            <w:tcW w:w="1151" w:type="pct"/>
          </w:tcPr>
          <w:p w14:paraId="5122F207" w14:textId="77777777" w:rsidR="00F02FC8" w:rsidRDefault="00F02FC8" w:rsidP="00E9302D">
            <w:pPr>
              <w:pStyle w:val="Tabletext0"/>
            </w:pPr>
            <w:r>
              <w:t>5/551 (0.9)</w:t>
            </w:r>
          </w:p>
        </w:tc>
      </w:tr>
      <w:tr w:rsidR="00F02FC8" w:rsidRPr="00AA2858" w14:paraId="1A8D9FC8" w14:textId="77777777" w:rsidTr="00E9302D">
        <w:tc>
          <w:tcPr>
            <w:tcW w:w="1000" w:type="pct"/>
            <w:tcBorders>
              <w:top w:val="single" w:sz="4" w:space="0" w:color="auto"/>
              <w:left w:val="single" w:sz="4" w:space="0" w:color="auto"/>
              <w:bottom w:val="nil"/>
              <w:right w:val="single" w:sz="4" w:space="0" w:color="auto"/>
            </w:tcBorders>
            <w:shd w:val="clear" w:color="auto" w:fill="auto"/>
          </w:tcPr>
          <w:p w14:paraId="1093B830" w14:textId="77777777" w:rsidR="00F02FC8" w:rsidRDefault="00F02FC8" w:rsidP="00E9302D">
            <w:pPr>
              <w:pStyle w:val="Tabletext0"/>
            </w:pPr>
            <w:r>
              <w:t>Livi et al. (2014)</w:t>
            </w:r>
          </w:p>
        </w:tc>
        <w:tc>
          <w:tcPr>
            <w:tcW w:w="648" w:type="pct"/>
            <w:shd w:val="clear" w:color="auto" w:fill="FFFFCC"/>
          </w:tcPr>
          <w:p w14:paraId="0E0DC29C" w14:textId="77777777" w:rsidR="00F02FC8" w:rsidRDefault="00F02FC8" w:rsidP="00E9302D">
            <w:pPr>
              <w:pStyle w:val="Tabletext0"/>
            </w:pPr>
            <w:r>
              <w:t>WB-EBRT</w:t>
            </w:r>
          </w:p>
        </w:tc>
        <w:tc>
          <w:tcPr>
            <w:tcW w:w="866" w:type="pct"/>
          </w:tcPr>
          <w:p w14:paraId="40EFA4DA" w14:textId="77777777" w:rsidR="00F02FC8" w:rsidRDefault="00F02FC8" w:rsidP="00E9302D">
            <w:pPr>
              <w:pStyle w:val="Tabletext0"/>
            </w:pPr>
            <w:r>
              <w:t>Median 5.3 years</w:t>
            </w:r>
          </w:p>
        </w:tc>
        <w:tc>
          <w:tcPr>
            <w:tcW w:w="1335" w:type="pct"/>
            <w:shd w:val="clear" w:color="auto" w:fill="auto"/>
          </w:tcPr>
          <w:p w14:paraId="4494124A" w14:textId="77777777" w:rsidR="00F02FC8" w:rsidRDefault="00F02FC8" w:rsidP="00E9302D">
            <w:pPr>
              <w:pStyle w:val="Tabletext0"/>
            </w:pPr>
            <w:r>
              <w:t>3/260 (1.2)</w:t>
            </w:r>
          </w:p>
        </w:tc>
        <w:tc>
          <w:tcPr>
            <w:tcW w:w="1151" w:type="pct"/>
          </w:tcPr>
          <w:p w14:paraId="7F8E8B94" w14:textId="77777777" w:rsidR="00F02FC8" w:rsidRDefault="00F02FC8" w:rsidP="00E9302D">
            <w:pPr>
              <w:pStyle w:val="Tabletext0"/>
            </w:pPr>
            <w:r>
              <w:t>4/260 (1.8)</w:t>
            </w:r>
          </w:p>
        </w:tc>
      </w:tr>
      <w:tr w:rsidR="00F02FC8" w:rsidRPr="00AA2858" w14:paraId="78F1B284" w14:textId="77777777" w:rsidTr="00E9302D">
        <w:tc>
          <w:tcPr>
            <w:tcW w:w="1000" w:type="pct"/>
            <w:tcBorders>
              <w:top w:val="single" w:sz="4" w:space="0" w:color="auto"/>
              <w:left w:val="single" w:sz="4" w:space="0" w:color="auto"/>
              <w:bottom w:val="nil"/>
              <w:right w:val="single" w:sz="4" w:space="0" w:color="auto"/>
            </w:tcBorders>
            <w:shd w:val="clear" w:color="auto" w:fill="auto"/>
          </w:tcPr>
          <w:p w14:paraId="46378E9A" w14:textId="77777777" w:rsidR="00F02FC8" w:rsidRDefault="00F02FC8" w:rsidP="00E9302D">
            <w:pPr>
              <w:pStyle w:val="Tabletext0"/>
            </w:pPr>
            <w:r>
              <w:t>Vaidya et al. (2010) &amp; (2014)</w:t>
            </w:r>
          </w:p>
        </w:tc>
        <w:tc>
          <w:tcPr>
            <w:tcW w:w="648" w:type="pct"/>
            <w:shd w:val="clear" w:color="auto" w:fill="FFFFCC"/>
          </w:tcPr>
          <w:p w14:paraId="5C6686B5" w14:textId="77777777" w:rsidR="00F02FC8" w:rsidRDefault="00F02FC8" w:rsidP="00E9302D">
            <w:pPr>
              <w:pStyle w:val="Tabletext0"/>
            </w:pPr>
            <w:r>
              <w:t xml:space="preserve">WB-EBRT </w:t>
            </w:r>
          </w:p>
        </w:tc>
        <w:tc>
          <w:tcPr>
            <w:tcW w:w="866" w:type="pct"/>
          </w:tcPr>
          <w:p w14:paraId="644AA2A5" w14:textId="77777777" w:rsidR="00F02FC8" w:rsidRPr="00E0361E" w:rsidRDefault="00F02FC8" w:rsidP="00E9302D">
            <w:pPr>
              <w:pStyle w:val="Tabletext0"/>
            </w:pPr>
            <w:r>
              <w:t>1 year</w:t>
            </w:r>
            <w:r w:rsidRPr="00E0361E">
              <w:t xml:space="preserve"> recurrence</w:t>
            </w:r>
          </w:p>
          <w:p w14:paraId="1E4E8C6E" w14:textId="77777777" w:rsidR="00F02FC8" w:rsidRPr="00E0361E" w:rsidRDefault="00F02FC8" w:rsidP="00E9302D">
            <w:pPr>
              <w:pStyle w:val="Tabletext0"/>
            </w:pPr>
            <w:r w:rsidRPr="00E0361E">
              <w:t xml:space="preserve">Median </w:t>
            </w:r>
            <w:r>
              <w:t>2.3 years</w:t>
            </w:r>
          </w:p>
          <w:p w14:paraId="466E0E6F" w14:textId="77777777" w:rsidR="00F02FC8" w:rsidRPr="00E0361E" w:rsidRDefault="00F02FC8" w:rsidP="00E9302D">
            <w:pPr>
              <w:pStyle w:val="Tabletext0"/>
            </w:pPr>
            <w:r w:rsidRPr="00E0361E">
              <w:t xml:space="preserve">Median </w:t>
            </w:r>
            <w:r>
              <w:t>3.7 years</w:t>
            </w:r>
          </w:p>
          <w:p w14:paraId="072C9431" w14:textId="77777777" w:rsidR="00F02FC8" w:rsidRDefault="00F02FC8" w:rsidP="00E9302D">
            <w:pPr>
              <w:pStyle w:val="Tabletext0"/>
            </w:pPr>
            <w:r w:rsidRPr="00E0361E">
              <w:t>Median 5 years</w:t>
            </w:r>
          </w:p>
        </w:tc>
        <w:tc>
          <w:tcPr>
            <w:tcW w:w="1335" w:type="pct"/>
            <w:shd w:val="clear" w:color="auto" w:fill="auto"/>
          </w:tcPr>
          <w:p w14:paraId="543DC370" w14:textId="77777777" w:rsidR="00F02FC8" w:rsidRDefault="00F02FC8" w:rsidP="00E9302D">
            <w:pPr>
              <w:pStyle w:val="Tabletext0"/>
            </w:pPr>
            <w:r>
              <w:t>0/1107 (0)</w:t>
            </w:r>
          </w:p>
          <w:p w14:paraId="607F7CE6" w14:textId="77777777" w:rsidR="00F02FC8" w:rsidRDefault="00F02FC8" w:rsidP="00E9302D">
            <w:pPr>
              <w:pStyle w:val="Tabletext0"/>
            </w:pPr>
            <w:r>
              <w:t>6/1127 (0.5)</w:t>
            </w:r>
          </w:p>
          <w:p w14:paraId="15E75BE6" w14:textId="77777777" w:rsidR="00F02FC8" w:rsidRDefault="00F02FC8" w:rsidP="00E9302D">
            <w:pPr>
              <w:pStyle w:val="Tabletext0"/>
            </w:pPr>
            <w:r>
              <w:t>5/710 (0.7)</w:t>
            </w:r>
          </w:p>
          <w:p w14:paraId="67BD3FF3" w14:textId="77777777" w:rsidR="00F02FC8" w:rsidRDefault="00F02FC8" w:rsidP="00E9302D">
            <w:pPr>
              <w:pStyle w:val="Tabletext0"/>
            </w:pPr>
            <w:r>
              <w:t>3/405 (0.7)</w:t>
            </w:r>
          </w:p>
        </w:tc>
        <w:tc>
          <w:tcPr>
            <w:tcW w:w="1151" w:type="pct"/>
          </w:tcPr>
          <w:p w14:paraId="624B2C5C" w14:textId="77777777" w:rsidR="00F02FC8" w:rsidRDefault="00F02FC8" w:rsidP="00E9302D">
            <w:pPr>
              <w:pStyle w:val="Tabletext0"/>
            </w:pPr>
            <w:r>
              <w:t>Not reported</w:t>
            </w:r>
          </w:p>
        </w:tc>
      </w:tr>
      <w:tr w:rsidR="00F02FC8" w:rsidRPr="00AA2858" w14:paraId="30E2E3DA" w14:textId="77777777" w:rsidTr="00E9302D">
        <w:tc>
          <w:tcPr>
            <w:tcW w:w="1000" w:type="pct"/>
            <w:tcBorders>
              <w:top w:val="single" w:sz="4" w:space="0" w:color="auto"/>
              <w:left w:val="single" w:sz="4" w:space="0" w:color="auto"/>
              <w:bottom w:val="nil"/>
              <w:right w:val="single" w:sz="4" w:space="0" w:color="auto"/>
            </w:tcBorders>
            <w:shd w:val="clear" w:color="auto" w:fill="auto"/>
          </w:tcPr>
          <w:p w14:paraId="6B5A5DC6" w14:textId="77777777" w:rsidR="00F02FC8" w:rsidRDefault="00F02FC8" w:rsidP="00E9302D">
            <w:pPr>
              <w:pStyle w:val="Tabletext0"/>
            </w:pPr>
            <w:r>
              <w:t>Polgar et al. (2007) &amp; (2013)</w:t>
            </w:r>
          </w:p>
        </w:tc>
        <w:tc>
          <w:tcPr>
            <w:tcW w:w="648" w:type="pct"/>
            <w:shd w:val="clear" w:color="auto" w:fill="FFFFCC"/>
          </w:tcPr>
          <w:p w14:paraId="04CC5D75" w14:textId="77777777" w:rsidR="00F02FC8" w:rsidRDefault="00F02FC8" w:rsidP="00E9302D">
            <w:pPr>
              <w:pStyle w:val="Tabletext0"/>
            </w:pPr>
            <w:r>
              <w:t>WB-EBRT</w:t>
            </w:r>
          </w:p>
        </w:tc>
        <w:tc>
          <w:tcPr>
            <w:tcW w:w="866" w:type="pct"/>
          </w:tcPr>
          <w:p w14:paraId="2F2A13F7" w14:textId="77777777" w:rsidR="00F02FC8" w:rsidRDefault="00F02FC8" w:rsidP="00E9302D">
            <w:pPr>
              <w:pStyle w:val="Tabletext0"/>
            </w:pPr>
            <w:r>
              <w:t xml:space="preserve">5 years </w:t>
            </w:r>
          </w:p>
          <w:p w14:paraId="7C4CC8FD" w14:textId="77777777" w:rsidR="00F02FC8" w:rsidRPr="000656C4" w:rsidRDefault="00F02FC8" w:rsidP="00E9302D">
            <w:pPr>
              <w:pStyle w:val="Tabletext0"/>
              <w:rPr>
                <w:vertAlign w:val="superscript"/>
              </w:rPr>
            </w:pPr>
            <w:r>
              <w:t xml:space="preserve">Median 10.2 years </w:t>
            </w:r>
          </w:p>
        </w:tc>
        <w:tc>
          <w:tcPr>
            <w:tcW w:w="1335" w:type="pct"/>
            <w:shd w:val="clear" w:color="auto" w:fill="auto"/>
          </w:tcPr>
          <w:p w14:paraId="28C77F15" w14:textId="77777777" w:rsidR="00F02FC8" w:rsidRDefault="00F02FC8" w:rsidP="00E9302D">
            <w:pPr>
              <w:pStyle w:val="Tabletext0"/>
            </w:pPr>
            <w:r>
              <w:t>4/130 (3.1)</w:t>
            </w:r>
          </w:p>
          <w:p w14:paraId="08631522" w14:textId="77777777" w:rsidR="00F02FC8" w:rsidRDefault="00F02FC8" w:rsidP="00E9302D">
            <w:pPr>
              <w:pStyle w:val="Tabletext0"/>
            </w:pPr>
            <w:r>
              <w:t>6/130 (4.6)</w:t>
            </w:r>
          </w:p>
        </w:tc>
        <w:tc>
          <w:tcPr>
            <w:tcW w:w="1151" w:type="pct"/>
          </w:tcPr>
          <w:p w14:paraId="5C2E7E49" w14:textId="77777777" w:rsidR="00F02FC8" w:rsidRDefault="00F02FC8" w:rsidP="00E9302D">
            <w:pPr>
              <w:pStyle w:val="Tabletext0"/>
            </w:pPr>
          </w:p>
          <w:p w14:paraId="7EAF948D" w14:textId="77777777" w:rsidR="00F02FC8" w:rsidRDefault="00F02FC8" w:rsidP="00E9302D">
            <w:pPr>
              <w:pStyle w:val="Tabletext0"/>
            </w:pPr>
            <w:r>
              <w:t>11/130 (8.5)</w:t>
            </w:r>
          </w:p>
        </w:tc>
      </w:tr>
      <w:tr w:rsidR="00F02FC8" w:rsidRPr="00AA2858" w14:paraId="40642C5A" w14:textId="77777777" w:rsidTr="00E9302D">
        <w:tc>
          <w:tcPr>
            <w:tcW w:w="1000" w:type="pct"/>
            <w:tcBorders>
              <w:top w:val="single" w:sz="4" w:space="0" w:color="auto"/>
              <w:left w:val="single" w:sz="4" w:space="0" w:color="auto"/>
              <w:bottom w:val="nil"/>
              <w:right w:val="single" w:sz="4" w:space="0" w:color="auto"/>
            </w:tcBorders>
            <w:shd w:val="clear" w:color="auto" w:fill="auto"/>
          </w:tcPr>
          <w:p w14:paraId="0B4BFB24" w14:textId="77777777" w:rsidR="00F02FC8" w:rsidRDefault="00F02FC8" w:rsidP="00E9302D">
            <w:pPr>
              <w:pStyle w:val="Tabletext0"/>
            </w:pPr>
            <w:r>
              <w:t>Rodriquez et al. (2014)</w:t>
            </w:r>
          </w:p>
        </w:tc>
        <w:tc>
          <w:tcPr>
            <w:tcW w:w="648" w:type="pct"/>
            <w:shd w:val="clear" w:color="auto" w:fill="FFFFCC"/>
          </w:tcPr>
          <w:p w14:paraId="7CEE387D" w14:textId="77777777" w:rsidR="00F02FC8" w:rsidRDefault="00F02FC8" w:rsidP="00E9302D">
            <w:pPr>
              <w:pStyle w:val="Tabletext0"/>
            </w:pPr>
            <w:r>
              <w:t>WB-EBRT</w:t>
            </w:r>
          </w:p>
        </w:tc>
        <w:tc>
          <w:tcPr>
            <w:tcW w:w="866" w:type="pct"/>
          </w:tcPr>
          <w:p w14:paraId="59FA1E40" w14:textId="77777777" w:rsidR="00F02FC8" w:rsidRDefault="00F02FC8" w:rsidP="00E9302D">
            <w:pPr>
              <w:pStyle w:val="Tabletext0"/>
            </w:pPr>
            <w:r>
              <w:t xml:space="preserve">Median 5 years </w:t>
            </w:r>
            <w:r>
              <w:rPr>
                <w:vertAlign w:val="superscript"/>
              </w:rPr>
              <w:t>e</w:t>
            </w:r>
          </w:p>
        </w:tc>
        <w:tc>
          <w:tcPr>
            <w:tcW w:w="1335" w:type="pct"/>
            <w:shd w:val="clear" w:color="auto" w:fill="auto"/>
          </w:tcPr>
          <w:p w14:paraId="6B676D6A" w14:textId="77777777" w:rsidR="00F02FC8" w:rsidRDefault="00F02FC8" w:rsidP="00E9302D">
            <w:pPr>
              <w:pStyle w:val="Tabletext0"/>
            </w:pPr>
            <w:r>
              <w:t>0/51 (0)</w:t>
            </w:r>
          </w:p>
        </w:tc>
        <w:tc>
          <w:tcPr>
            <w:tcW w:w="1151" w:type="pct"/>
          </w:tcPr>
          <w:p w14:paraId="79DD787C" w14:textId="77777777" w:rsidR="00F02FC8" w:rsidRDefault="00F02FC8" w:rsidP="00E9302D">
            <w:pPr>
              <w:pStyle w:val="Tabletext0"/>
            </w:pPr>
            <w:r w:rsidRPr="00384836">
              <w:t>Not reported</w:t>
            </w:r>
          </w:p>
        </w:tc>
      </w:tr>
      <w:tr w:rsidR="00F02FC8" w:rsidRPr="00AA2858" w14:paraId="600CB49F" w14:textId="77777777" w:rsidTr="00E9302D">
        <w:tc>
          <w:tcPr>
            <w:tcW w:w="1000" w:type="pct"/>
            <w:tcBorders>
              <w:top w:val="single" w:sz="4" w:space="0" w:color="auto"/>
              <w:left w:val="single" w:sz="4" w:space="0" w:color="auto"/>
              <w:bottom w:val="nil"/>
              <w:right w:val="single" w:sz="4" w:space="0" w:color="auto"/>
            </w:tcBorders>
            <w:shd w:val="clear" w:color="auto" w:fill="auto"/>
          </w:tcPr>
          <w:p w14:paraId="5E06438C" w14:textId="77777777" w:rsidR="00F02FC8" w:rsidRDefault="00F02FC8" w:rsidP="00E9302D">
            <w:pPr>
              <w:pStyle w:val="Tabletext0"/>
            </w:pPr>
            <w:r>
              <w:t>Veronesi et al. (2013)</w:t>
            </w:r>
          </w:p>
        </w:tc>
        <w:tc>
          <w:tcPr>
            <w:tcW w:w="648" w:type="pct"/>
            <w:shd w:val="clear" w:color="auto" w:fill="FFFFCC"/>
          </w:tcPr>
          <w:p w14:paraId="315A3D4F" w14:textId="77777777" w:rsidR="00F02FC8" w:rsidRDefault="00F02FC8" w:rsidP="00E9302D">
            <w:pPr>
              <w:pStyle w:val="Tabletext0"/>
            </w:pPr>
            <w:r>
              <w:t>WB-EBRT</w:t>
            </w:r>
          </w:p>
        </w:tc>
        <w:tc>
          <w:tcPr>
            <w:tcW w:w="866" w:type="pct"/>
          </w:tcPr>
          <w:p w14:paraId="6DEEC54E" w14:textId="77777777" w:rsidR="00F02FC8" w:rsidRDefault="00F02FC8" w:rsidP="00E9302D">
            <w:pPr>
              <w:pStyle w:val="Tabletext0"/>
            </w:pPr>
            <w:r>
              <w:t xml:space="preserve">Median 5.9 years </w:t>
            </w:r>
          </w:p>
        </w:tc>
        <w:tc>
          <w:tcPr>
            <w:tcW w:w="1335" w:type="pct"/>
            <w:shd w:val="clear" w:color="auto" w:fill="auto"/>
          </w:tcPr>
          <w:p w14:paraId="7C1437B8" w14:textId="77777777" w:rsidR="00F02FC8" w:rsidRDefault="00F02FC8" w:rsidP="00E9302D">
            <w:pPr>
              <w:pStyle w:val="Tabletext0"/>
            </w:pPr>
            <w:r>
              <w:t>4/654 (0.6)</w:t>
            </w:r>
          </w:p>
        </w:tc>
        <w:tc>
          <w:tcPr>
            <w:tcW w:w="1151" w:type="pct"/>
          </w:tcPr>
          <w:p w14:paraId="2EAA8DBF" w14:textId="77777777" w:rsidR="00F02FC8" w:rsidRDefault="00F02FC8" w:rsidP="00E9302D">
            <w:pPr>
              <w:pStyle w:val="Tabletext0"/>
            </w:pPr>
            <w:r w:rsidRPr="00384836">
              <w:t>Not reported</w:t>
            </w:r>
          </w:p>
        </w:tc>
      </w:tr>
      <w:tr w:rsidR="00F02FC8" w:rsidRPr="00AA2858" w14:paraId="109994DB" w14:textId="77777777" w:rsidTr="00E9302D">
        <w:tc>
          <w:tcPr>
            <w:tcW w:w="1000" w:type="pct"/>
            <w:tcBorders>
              <w:top w:val="single" w:sz="4" w:space="0" w:color="auto"/>
              <w:left w:val="single" w:sz="4" w:space="0" w:color="auto"/>
              <w:bottom w:val="nil"/>
              <w:right w:val="single" w:sz="4" w:space="0" w:color="auto"/>
            </w:tcBorders>
            <w:shd w:val="clear" w:color="auto" w:fill="auto"/>
          </w:tcPr>
          <w:p w14:paraId="627A289A" w14:textId="77777777" w:rsidR="00F02FC8" w:rsidRDefault="00F02FC8" w:rsidP="00E9302D">
            <w:pPr>
              <w:pStyle w:val="Tabletext0"/>
            </w:pPr>
            <w:r>
              <w:t>Dodwell et al. (2005)</w:t>
            </w:r>
          </w:p>
        </w:tc>
        <w:tc>
          <w:tcPr>
            <w:tcW w:w="648" w:type="pct"/>
            <w:shd w:val="clear" w:color="auto" w:fill="FFFFCC"/>
          </w:tcPr>
          <w:p w14:paraId="03748AEB" w14:textId="77777777" w:rsidR="00F02FC8" w:rsidRDefault="00F02FC8" w:rsidP="00E9302D">
            <w:pPr>
              <w:pStyle w:val="Tabletext0"/>
            </w:pPr>
            <w:r>
              <w:t>WB-EBRT</w:t>
            </w:r>
          </w:p>
        </w:tc>
        <w:tc>
          <w:tcPr>
            <w:tcW w:w="866" w:type="pct"/>
          </w:tcPr>
          <w:p w14:paraId="29020D39" w14:textId="77777777" w:rsidR="00F02FC8" w:rsidRDefault="00F02FC8" w:rsidP="00E9302D">
            <w:pPr>
              <w:pStyle w:val="Tabletext0"/>
            </w:pPr>
            <w:r>
              <w:t xml:space="preserve">Median 8 years </w:t>
            </w:r>
            <w:r>
              <w:rPr>
                <w:vertAlign w:val="superscript"/>
              </w:rPr>
              <w:t>e</w:t>
            </w:r>
          </w:p>
        </w:tc>
        <w:tc>
          <w:tcPr>
            <w:tcW w:w="1335" w:type="pct"/>
            <w:shd w:val="clear" w:color="auto" w:fill="auto"/>
          </w:tcPr>
          <w:p w14:paraId="4EC211DB" w14:textId="77777777" w:rsidR="00F02FC8" w:rsidRDefault="00F02FC8" w:rsidP="00E9302D">
            <w:pPr>
              <w:pStyle w:val="Tabletext0"/>
            </w:pPr>
            <w:r>
              <w:t>4/90 (4.4)</w:t>
            </w:r>
          </w:p>
        </w:tc>
        <w:tc>
          <w:tcPr>
            <w:tcW w:w="1151" w:type="pct"/>
          </w:tcPr>
          <w:p w14:paraId="0633E9B6" w14:textId="77777777" w:rsidR="00F02FC8" w:rsidRDefault="00F02FC8" w:rsidP="00E9302D">
            <w:pPr>
              <w:pStyle w:val="Tabletext0"/>
            </w:pPr>
            <w:r>
              <w:t>24/90 (27)</w:t>
            </w:r>
          </w:p>
        </w:tc>
      </w:tr>
      <w:tr w:rsidR="00F02FC8" w:rsidRPr="00AA2858" w14:paraId="5ECFBD19" w14:textId="77777777" w:rsidTr="00E9302D">
        <w:tc>
          <w:tcPr>
            <w:tcW w:w="1000" w:type="pct"/>
            <w:vMerge w:val="restart"/>
            <w:shd w:val="clear" w:color="auto" w:fill="auto"/>
          </w:tcPr>
          <w:p w14:paraId="6EF04FB3" w14:textId="77777777" w:rsidR="00F02FC8" w:rsidRPr="002932FB" w:rsidRDefault="00F02FC8" w:rsidP="00E9302D">
            <w:pPr>
              <w:pStyle w:val="Tabletext0"/>
            </w:pPr>
            <w:r>
              <w:t>GRADE analysis</w:t>
            </w:r>
          </w:p>
        </w:tc>
        <w:tc>
          <w:tcPr>
            <w:tcW w:w="648" w:type="pct"/>
            <w:shd w:val="clear" w:color="auto" w:fill="auto"/>
          </w:tcPr>
          <w:p w14:paraId="142E846F" w14:textId="77777777" w:rsidR="00F02FC8" w:rsidRPr="001E75C1" w:rsidRDefault="00F02FC8" w:rsidP="00E9302D">
            <w:pPr>
              <w:pStyle w:val="Tabletext0"/>
              <w:jc w:val="both"/>
              <w:rPr>
                <w:vertAlign w:val="superscript"/>
              </w:rPr>
            </w:pPr>
            <w:r>
              <w:t>Summary</w:t>
            </w:r>
            <w:r>
              <w:rPr>
                <w:vertAlign w:val="superscript"/>
              </w:rPr>
              <w:t xml:space="preserve"> b</w:t>
            </w:r>
          </w:p>
        </w:tc>
        <w:tc>
          <w:tcPr>
            <w:tcW w:w="866" w:type="pct"/>
            <w:shd w:val="clear" w:color="auto" w:fill="auto"/>
          </w:tcPr>
          <w:p w14:paraId="579B5A48" w14:textId="77777777" w:rsidR="00F02FC8" w:rsidRPr="002932FB" w:rsidRDefault="00F02FC8" w:rsidP="00E9302D">
            <w:pPr>
              <w:pStyle w:val="Tabletext0"/>
            </w:pPr>
          </w:p>
        </w:tc>
        <w:tc>
          <w:tcPr>
            <w:tcW w:w="1335" w:type="pct"/>
            <w:shd w:val="clear" w:color="auto" w:fill="auto"/>
          </w:tcPr>
          <w:p w14:paraId="7DE372B0" w14:textId="77777777" w:rsidR="00F02FC8" w:rsidRPr="008171EE" w:rsidRDefault="00F02FC8" w:rsidP="00E9302D">
            <w:pPr>
              <w:pStyle w:val="Tabletext0"/>
              <w:rPr>
                <w:color w:val="00B050"/>
              </w:rPr>
            </w:pPr>
            <w:r w:rsidRPr="008171EE">
              <w:rPr>
                <w:color w:val="00B050"/>
              </w:rPr>
              <w:t>Rate of local recurrence of invasive disease in Axxent</w:t>
            </w:r>
            <w:r w:rsidRPr="009B4980">
              <w:rPr>
                <w:color w:val="00B050"/>
                <w:vertAlign w:val="superscript"/>
              </w:rPr>
              <w:t>®</w:t>
            </w:r>
            <w:r>
              <w:rPr>
                <w:color w:val="00B050"/>
                <w:vertAlign w:val="superscript"/>
              </w:rPr>
              <w:t xml:space="preserve"> </w:t>
            </w:r>
            <w:r w:rsidRPr="008171EE">
              <w:rPr>
                <w:color w:val="00B050"/>
              </w:rPr>
              <w:t xml:space="preserve">studies was 2% at </w:t>
            </w:r>
            <w:r>
              <w:rPr>
                <w:color w:val="00B050"/>
              </w:rPr>
              <w:t>3.0</w:t>
            </w:r>
            <w:r w:rsidRPr="008171EE">
              <w:rPr>
                <w:color w:val="00B050"/>
              </w:rPr>
              <w:t xml:space="preserve"> years.</w:t>
            </w:r>
          </w:p>
          <w:p w14:paraId="19B3D7C8" w14:textId="77777777" w:rsidR="00F02FC8" w:rsidRPr="008171EE" w:rsidRDefault="00F02FC8" w:rsidP="00E9302D">
            <w:pPr>
              <w:pStyle w:val="Tabletext0"/>
              <w:rPr>
                <w:color w:val="00B050"/>
              </w:rPr>
            </w:pPr>
            <w:r w:rsidRPr="008171EE">
              <w:rPr>
                <w:color w:val="00B050"/>
              </w:rPr>
              <w:t xml:space="preserve">Rate of local recurrence for </w:t>
            </w:r>
            <w:r>
              <w:rPr>
                <w:color w:val="00B050"/>
              </w:rPr>
              <w:t>WB-</w:t>
            </w:r>
            <w:r w:rsidRPr="008171EE">
              <w:rPr>
                <w:color w:val="00B050"/>
              </w:rPr>
              <w:t>EBRT ranged from 0-4</w:t>
            </w:r>
            <w:r>
              <w:rPr>
                <w:color w:val="00B050"/>
              </w:rPr>
              <w:t xml:space="preserve"> to </w:t>
            </w:r>
            <w:r w:rsidRPr="008171EE">
              <w:rPr>
                <w:color w:val="00B050"/>
              </w:rPr>
              <w:t>6% depending on follow</w:t>
            </w:r>
            <w:r>
              <w:rPr>
                <w:color w:val="00B050"/>
              </w:rPr>
              <w:t>-</w:t>
            </w:r>
            <w:r w:rsidRPr="008171EE">
              <w:rPr>
                <w:color w:val="00B050"/>
              </w:rPr>
              <w:t>up period.</w:t>
            </w:r>
          </w:p>
        </w:tc>
        <w:tc>
          <w:tcPr>
            <w:tcW w:w="1151" w:type="pct"/>
          </w:tcPr>
          <w:p w14:paraId="2369C14A" w14:textId="77777777" w:rsidR="00F02FC8" w:rsidRDefault="00F02FC8" w:rsidP="00E9302D">
            <w:pPr>
              <w:pStyle w:val="Tabletext0"/>
              <w:rPr>
                <w:color w:val="00B050"/>
              </w:rPr>
            </w:pPr>
            <w:r>
              <w:rPr>
                <w:color w:val="00B050"/>
              </w:rPr>
              <w:t>Rate of distant recurrence was not reported in Axxent</w:t>
            </w:r>
            <w:r w:rsidRPr="00FB4D55">
              <w:rPr>
                <w:color w:val="00B050"/>
                <w:vertAlign w:val="superscript"/>
              </w:rPr>
              <w:t>®</w:t>
            </w:r>
            <w:r>
              <w:rPr>
                <w:color w:val="00B050"/>
              </w:rPr>
              <w:t xml:space="preserve"> studies.</w:t>
            </w:r>
          </w:p>
          <w:p w14:paraId="2B28FF1D" w14:textId="77777777" w:rsidR="00F02FC8" w:rsidRPr="008171EE" w:rsidRDefault="00F02FC8" w:rsidP="00E9302D">
            <w:pPr>
              <w:pStyle w:val="Tabletext0"/>
              <w:rPr>
                <w:color w:val="00B050"/>
              </w:rPr>
            </w:pPr>
            <w:r>
              <w:rPr>
                <w:color w:val="00B050"/>
              </w:rPr>
              <w:t>Rate of distant recurrence for WB-EBRT ranged from 0.9 to 27% depending on follow-up period.</w:t>
            </w:r>
          </w:p>
        </w:tc>
      </w:tr>
      <w:tr w:rsidR="00F02FC8" w:rsidRPr="00AA2858" w14:paraId="6019AC93" w14:textId="77777777" w:rsidTr="00E9302D">
        <w:tc>
          <w:tcPr>
            <w:tcW w:w="1000" w:type="pct"/>
            <w:vMerge/>
            <w:shd w:val="clear" w:color="auto" w:fill="auto"/>
          </w:tcPr>
          <w:p w14:paraId="62963F72" w14:textId="77777777" w:rsidR="00F02FC8" w:rsidRDefault="00F02FC8" w:rsidP="00E9302D">
            <w:pPr>
              <w:pStyle w:val="Tabletext0"/>
            </w:pPr>
          </w:p>
        </w:tc>
        <w:tc>
          <w:tcPr>
            <w:tcW w:w="648" w:type="pct"/>
            <w:shd w:val="clear" w:color="auto" w:fill="auto"/>
          </w:tcPr>
          <w:p w14:paraId="390CF0AD" w14:textId="77777777" w:rsidR="00F02FC8" w:rsidRPr="003B6818" w:rsidRDefault="00F02FC8" w:rsidP="00E9302D">
            <w:pPr>
              <w:pStyle w:val="Tabletext0"/>
              <w:rPr>
                <w:vertAlign w:val="superscript"/>
              </w:rPr>
            </w:pPr>
            <w:r>
              <w:t xml:space="preserve">Quality </w:t>
            </w:r>
            <w:r>
              <w:rPr>
                <w:vertAlign w:val="superscript"/>
              </w:rPr>
              <w:t>c</w:t>
            </w:r>
          </w:p>
        </w:tc>
        <w:tc>
          <w:tcPr>
            <w:tcW w:w="866" w:type="pct"/>
            <w:shd w:val="clear" w:color="auto" w:fill="auto"/>
          </w:tcPr>
          <w:p w14:paraId="4079E4C7" w14:textId="77777777" w:rsidR="00F02FC8" w:rsidRPr="002932FB" w:rsidRDefault="00F02FC8" w:rsidP="00E9302D">
            <w:pPr>
              <w:pStyle w:val="Tabletext0"/>
            </w:pPr>
          </w:p>
        </w:tc>
        <w:tc>
          <w:tcPr>
            <w:tcW w:w="1335" w:type="pct"/>
            <w:shd w:val="clear" w:color="auto" w:fill="auto"/>
          </w:tcPr>
          <w:p w14:paraId="1F4A8E85" w14:textId="77777777" w:rsidR="00F02FC8" w:rsidRPr="002932FB" w:rsidRDefault="00F02FC8" w:rsidP="00E9302D">
            <w:pPr>
              <w:pStyle w:val="Tabletext0"/>
            </w:pPr>
            <w:r>
              <w:rPr>
                <w:rFonts w:ascii="Cambria Math" w:hAnsi="Cambria Math"/>
                <w:color w:val="00B050"/>
              </w:rPr>
              <w:t>⨁</w:t>
            </w:r>
            <w:r w:rsidRPr="00D4733A">
              <w:rPr>
                <w:rFonts w:ascii="Cambria Math" w:hAnsi="Cambria Math" w:cs="Cambria Math"/>
                <w:color w:val="C00000"/>
              </w:rPr>
              <w:t>⨀⨀⨀</w:t>
            </w:r>
            <w:r>
              <w:rPr>
                <w:sz w:val="16"/>
                <w:szCs w:val="16"/>
              </w:rPr>
              <w:br/>
              <w:t xml:space="preserve">VERY LOW </w:t>
            </w:r>
            <w:r>
              <w:rPr>
                <w:sz w:val="16"/>
                <w:szCs w:val="16"/>
                <w:vertAlign w:val="superscript"/>
              </w:rPr>
              <w:t>c,d</w:t>
            </w:r>
          </w:p>
        </w:tc>
        <w:tc>
          <w:tcPr>
            <w:tcW w:w="1151" w:type="pct"/>
          </w:tcPr>
          <w:p w14:paraId="0A4A5132" w14:textId="77777777" w:rsidR="00F02FC8" w:rsidRDefault="00F02FC8" w:rsidP="00E9302D">
            <w:pPr>
              <w:pStyle w:val="Tabletext0"/>
              <w:rPr>
                <w:rFonts w:ascii="Cambria Math" w:hAnsi="Cambria Math"/>
                <w:color w:val="00B050"/>
              </w:rPr>
            </w:pPr>
            <w:r>
              <w:rPr>
                <w:rFonts w:ascii="Cambria Math" w:hAnsi="Cambria Math"/>
                <w:color w:val="00B050"/>
              </w:rPr>
              <w:t>⨁</w:t>
            </w:r>
            <w:r w:rsidRPr="00D4733A">
              <w:rPr>
                <w:rFonts w:ascii="Cambria Math" w:hAnsi="Cambria Math" w:cs="Cambria Math"/>
                <w:color w:val="C00000"/>
              </w:rPr>
              <w:t>⨀⨀⨀</w:t>
            </w:r>
            <w:r>
              <w:rPr>
                <w:sz w:val="16"/>
                <w:szCs w:val="16"/>
              </w:rPr>
              <w:br/>
              <w:t xml:space="preserve">VERY LOW </w:t>
            </w:r>
            <w:r>
              <w:rPr>
                <w:sz w:val="16"/>
                <w:szCs w:val="16"/>
                <w:vertAlign w:val="superscript"/>
              </w:rPr>
              <w:t>c,d</w:t>
            </w:r>
          </w:p>
        </w:tc>
      </w:tr>
    </w:tbl>
    <w:p w14:paraId="53FE7332" w14:textId="77777777" w:rsidR="00F02FC8" w:rsidRPr="00342FB6" w:rsidRDefault="00F02FC8" w:rsidP="00F02FC8">
      <w:pPr>
        <w:pStyle w:val="Tablenotes"/>
      </w:pPr>
      <w:r w:rsidRPr="00342FB6">
        <w:t xml:space="preserve">Source: </w:t>
      </w:r>
      <w:r>
        <w:t>Table 4, pp15-16 of DCAR</w:t>
      </w:r>
    </w:p>
    <w:p w14:paraId="63961F4D" w14:textId="77777777" w:rsidR="00F02FC8" w:rsidRDefault="00F02FC8" w:rsidP="00F02FC8">
      <w:pPr>
        <w:pStyle w:val="Tablenotes"/>
      </w:pPr>
      <w:r w:rsidRPr="003B6818">
        <w:rPr>
          <w:vertAlign w:val="superscript"/>
        </w:rPr>
        <w:t>a</w:t>
      </w:r>
      <w:r w:rsidRPr="003B6818">
        <w:t>:</w:t>
      </w:r>
      <w:r>
        <w:t>Denominator is</w:t>
      </w:r>
      <w:r w:rsidRPr="003B6818">
        <w:t xml:space="preserve"> number of tumours </w:t>
      </w:r>
      <w:r w:rsidRPr="003B6818">
        <w:rPr>
          <w:vertAlign w:val="superscript"/>
        </w:rPr>
        <w:t>b</w:t>
      </w:r>
      <w:r w:rsidRPr="003B6818">
        <w:t xml:space="preserve">: </w:t>
      </w:r>
      <w:r w:rsidRPr="003B6818">
        <w:rPr>
          <w:noProof/>
        </w:rPr>
        <w:t>All summaries are limited by a lack of comparative evidence for the Axxent</w:t>
      </w:r>
      <w:r w:rsidRPr="009814B1">
        <w:rPr>
          <w:noProof/>
          <w:vertAlign w:val="superscript"/>
        </w:rPr>
        <w:t>®</w:t>
      </w:r>
      <w:r w:rsidRPr="003B6818">
        <w:rPr>
          <w:noProof/>
        </w:rPr>
        <w:t xml:space="preserve"> device, </w:t>
      </w:r>
      <w:r w:rsidRPr="003B6818">
        <w:rPr>
          <w:noProof/>
          <w:vertAlign w:val="superscript"/>
        </w:rPr>
        <w:t>c</w:t>
      </w:r>
      <w:r w:rsidRPr="003B6818">
        <w:rPr>
          <w:noProof/>
        </w:rPr>
        <w:t>:</w:t>
      </w:r>
      <w:r w:rsidRPr="003B6818">
        <w:t xml:space="preserve"> GRADE Working Group grades of evidence </w:t>
      </w:r>
      <w:r w:rsidRPr="003B6818">
        <w:rPr>
          <w:noProof/>
        </w:rPr>
        <w:fldChar w:fldCharType="begin"/>
      </w:r>
      <w:r>
        <w:rPr>
          <w:noProof/>
        </w:rPr>
        <w:instrText xml:space="preserve"> ADDIN EN.CITE &lt;EndNote&gt;&lt;Cite&gt;&lt;Author&gt;Guyatt&lt;/Author&gt;&lt;Year&gt;2013&lt;/Year&gt;&lt;RecNum&gt;4&lt;/RecNum&gt;&lt;DisplayText&gt;(Guyatt et al., 2013)&lt;/DisplayText&gt;&lt;record&gt;&lt;rec-number&gt;14&lt;/rec-number&gt;&lt;foreign-keys&gt;&lt;key app="EN" db-id="vv0vzdrs552et9ewwftpfaruaw0z2r5zwa9t" timestamp="1578536612"&gt;14&lt;/key&gt;&lt;/foreign-keys&gt;&lt;ref-type name="Journal Article"&gt;17&lt;/ref-type&gt;&lt;contributors&gt;&lt;authors&gt;&lt;author&gt;Guyatt, G,&lt;/author&gt;&lt;author&gt;Oxman, AD,&lt;/author&gt;&lt;author&gt;Sultan, S, Brozek, J, Glasziou, P, Alonso-Coello, P, Atkins, D, Kunz, R, Montori, V, Jaeschke, R, Rind, D, Dahm, P, Akl, EA, Meerpohl, J, Vist, G, Berliner, E, Norris, S, Falck-Ytter, Y &amp;amp; Schunemann, HJ&lt;/author&gt;&lt;/authors&gt;&lt;/contributors&gt;&lt;titles&gt;&lt;title&gt;GRADE guidelines: 11. Making an overall rating of confidence in effect estimates for a single outcome and for all outcomes&lt;/title&gt;&lt;secondary-title&gt;J Clin Epidemiol&lt;/secondary-title&gt;&lt;/titles&gt;&lt;periodical&gt;&lt;full-title&gt;J Clin Epidemiol&lt;/full-title&gt;&lt;/periodical&gt;&lt;pages&gt;151-157&lt;/pages&gt;&lt;volume&gt;66&lt;/volume&gt;&lt;number&gt;2&lt;/number&gt;&lt;dates&gt;&lt;year&gt;2013&lt;/year&gt;&lt;/dates&gt;&lt;urls&gt;&lt;related-urls&gt;&lt;url&gt;http://www.jclinepi.com/article/S0895-4356(12)00025-X/pdf&lt;/url&gt;&lt;/related-urls&gt;&lt;/urls&gt;&lt;/record&gt;&lt;/Cite&gt;&lt;/EndNote&gt;</w:instrText>
      </w:r>
      <w:r w:rsidRPr="003B6818">
        <w:rPr>
          <w:noProof/>
        </w:rPr>
        <w:fldChar w:fldCharType="separate"/>
      </w:r>
      <w:r>
        <w:rPr>
          <w:noProof/>
        </w:rPr>
        <w:t>(</w:t>
      </w:r>
      <w:hyperlink w:anchor="_ENREF_11" w:tooltip="Guyatt, 2013 #4" w:history="1">
        <w:r>
          <w:rPr>
            <w:noProof/>
          </w:rPr>
          <w:t>Guyatt et al., 2013</w:t>
        </w:r>
      </w:hyperlink>
      <w:r>
        <w:rPr>
          <w:noProof/>
        </w:rPr>
        <w:t>)</w:t>
      </w:r>
      <w:r w:rsidRPr="003B6818">
        <w:rPr>
          <w:noProof/>
        </w:rPr>
        <w:fldChar w:fldCharType="end"/>
      </w:r>
      <w:r w:rsidRPr="003B6818">
        <w:rPr>
          <w:noProof/>
        </w:rPr>
        <w:t xml:space="preserve">, </w:t>
      </w:r>
      <w:r w:rsidRPr="003B6818">
        <w:rPr>
          <w:noProof/>
          <w:vertAlign w:val="superscript"/>
        </w:rPr>
        <w:t>c</w:t>
      </w:r>
      <w:r w:rsidRPr="003B6818">
        <w:rPr>
          <w:noProof/>
        </w:rPr>
        <w:t>:</w:t>
      </w:r>
      <w:r w:rsidRPr="003B6818">
        <w:t xml:space="preserve"> Conclusions not based on </w:t>
      </w:r>
      <w:r w:rsidRPr="008B27CC">
        <w:t>direct</w:t>
      </w:r>
      <w:r w:rsidRPr="003B6818">
        <w:t xml:space="preserve"> comparisons, </w:t>
      </w:r>
      <w:r w:rsidRPr="003B6818">
        <w:rPr>
          <w:vertAlign w:val="superscript"/>
        </w:rPr>
        <w:t>d</w:t>
      </w:r>
      <w:r w:rsidRPr="003B6818">
        <w:t>: Few studi</w:t>
      </w:r>
      <w:r>
        <w:t>e</w:t>
      </w:r>
      <w:r w:rsidRPr="003B6818">
        <w:t>s</w:t>
      </w:r>
      <w:r>
        <w:t xml:space="preserve">, </w:t>
      </w:r>
      <w:r>
        <w:rPr>
          <w:vertAlign w:val="superscript"/>
        </w:rPr>
        <w:t>e</w:t>
      </w:r>
      <w:r>
        <w:t>: median follow-up for treatment and control arm</w:t>
      </w:r>
      <w:r w:rsidRPr="003B6818">
        <w:rPr>
          <w:noProof/>
        </w:rPr>
        <w:t>.</w:t>
      </w:r>
      <w:r w:rsidRPr="003B6818">
        <w:t xml:space="preserve"> </w:t>
      </w:r>
    </w:p>
    <w:p w14:paraId="113BBA85" w14:textId="77777777" w:rsidR="00F02FC8" w:rsidRDefault="00F02FC8" w:rsidP="00ED7C46">
      <w:pPr>
        <w:pStyle w:val="Tablenotes"/>
        <w:spacing w:after="240"/>
      </w:pPr>
      <w:r>
        <w:rPr>
          <w:rFonts w:ascii="Cambria Math" w:hAnsi="Cambria Math"/>
          <w:color w:val="00B050"/>
        </w:rPr>
        <w:t>⨁</w:t>
      </w:r>
      <w:r w:rsidRPr="00D4733A">
        <w:rPr>
          <w:rFonts w:ascii="Cambria Math" w:hAnsi="Cambria Math" w:cs="Cambria Math"/>
          <w:color w:val="C00000"/>
        </w:rPr>
        <w:t>⨀⨀⨀</w:t>
      </w:r>
      <w:r w:rsidRPr="003B6818">
        <w:rPr>
          <w:rFonts w:ascii="Cambria Math" w:hAnsi="Cambria Math" w:cs="Cambria Math"/>
          <w:color w:val="000000" w:themeColor="text1"/>
        </w:rPr>
        <w:t xml:space="preserve"> </w:t>
      </w:r>
      <w:r w:rsidRPr="003B6818">
        <w:rPr>
          <w:b/>
          <w:bCs/>
          <w:color w:val="000000" w:themeColor="text1"/>
        </w:rPr>
        <w:t>Very low quality:</w:t>
      </w:r>
      <w:r w:rsidRPr="003B6818">
        <w:rPr>
          <w:color w:val="000000" w:themeColor="text1"/>
        </w:rPr>
        <w:t xml:space="preserve"> We have very little confidence in the effect estimate: The true effect is likely to be substantially different from the estimate of effect.</w:t>
      </w:r>
    </w:p>
    <w:p w14:paraId="3B6F4939" w14:textId="77777777" w:rsidR="00F02FC8" w:rsidRPr="00F02FC8" w:rsidRDefault="00F02FC8" w:rsidP="00F02FC8">
      <w:pPr>
        <w:pStyle w:val="Heading3"/>
        <w:rPr>
          <w:rFonts w:ascii="Times New Roman" w:hAnsi="Times New Roman" w:cs="Times New Roman"/>
          <w:color w:val="auto"/>
          <w:u w:val="single"/>
        </w:rPr>
      </w:pPr>
      <w:r w:rsidRPr="00F02FC8">
        <w:rPr>
          <w:rFonts w:ascii="Times New Roman" w:hAnsi="Times New Roman" w:cs="Times New Roman"/>
          <w:color w:val="auto"/>
          <w:u w:val="single"/>
        </w:rPr>
        <w:t>Mortality</w:t>
      </w:r>
    </w:p>
    <w:p w14:paraId="678062FD" w14:textId="22626C91" w:rsidR="00F02FC8" w:rsidRDefault="00F02FC8" w:rsidP="00F02FC8">
      <w:r w:rsidRPr="00780A30">
        <w:t>Mortality was measured as death due to breast can</w:t>
      </w:r>
      <w:r>
        <w:t>cer in the included population.</w:t>
      </w:r>
    </w:p>
    <w:p w14:paraId="3284DFF6" w14:textId="182A15A3" w:rsidR="00F02FC8" w:rsidRPr="008F6D96" w:rsidRDefault="00F02FC8" w:rsidP="00EA4F7E">
      <w:pPr>
        <w:spacing w:before="240"/>
      </w:pPr>
      <w:r>
        <w:lastRenderedPageBreak/>
        <w:t>The DCAR stated that n</w:t>
      </w:r>
      <w:r w:rsidRPr="008F6D96">
        <w:t>o deaths due to breast cancer was observed with the Axxent</w:t>
      </w:r>
      <w:r w:rsidRPr="00F37FB0">
        <w:rPr>
          <w:vertAlign w:val="superscript"/>
        </w:rPr>
        <w:t>®</w:t>
      </w:r>
      <w:r w:rsidRPr="008F6D96">
        <w:t xml:space="preserve"> device at a m</w:t>
      </w:r>
      <w:r w:rsidR="00EA4F7E">
        <w:t xml:space="preserve">aximum of 3.0 years follow-up. </w:t>
      </w:r>
      <w:r w:rsidRPr="008F6D96">
        <w:t>WB-EBRT ranged from 0-2% depending on follow-up period. Axxent</w:t>
      </w:r>
      <w:r w:rsidRPr="00F37FB0">
        <w:rPr>
          <w:vertAlign w:val="superscript"/>
        </w:rPr>
        <w:t>®</w:t>
      </w:r>
      <w:r w:rsidRPr="008F6D96">
        <w:t xml:space="preserve"> does not appear to have substantially higher rates of breast cancer mortality compared to WB-EBRT</w:t>
      </w:r>
      <w:r>
        <w:t xml:space="preserve"> (Table 5).</w:t>
      </w:r>
    </w:p>
    <w:p w14:paraId="2E90BB2F" w14:textId="77777777" w:rsidR="00F02FC8" w:rsidRPr="00ED7C46" w:rsidRDefault="00F02FC8" w:rsidP="00ED7C46">
      <w:pPr>
        <w:spacing w:before="240"/>
        <w:rPr>
          <w:rFonts w:ascii="Arial Narrow" w:hAnsi="Arial Narrow"/>
          <w:b/>
          <w:sz w:val="20"/>
        </w:rPr>
      </w:pPr>
      <w:bookmarkStart w:id="11" w:name="_Ref29212692"/>
      <w:bookmarkStart w:id="12" w:name="_Toc29554541"/>
      <w:r w:rsidRPr="00ED7C46">
        <w:rPr>
          <w:rFonts w:ascii="Arial Narrow" w:hAnsi="Arial Narrow"/>
          <w:b/>
          <w:sz w:val="20"/>
        </w:rPr>
        <w:t>Table</w:t>
      </w:r>
      <w:bookmarkEnd w:id="11"/>
      <w:r w:rsidRPr="00ED7C46">
        <w:rPr>
          <w:rFonts w:ascii="Arial Narrow" w:hAnsi="Arial Narrow"/>
          <w:b/>
          <w:sz w:val="20"/>
        </w:rPr>
        <w:t xml:space="preserve"> 5</w:t>
      </w:r>
      <w:r w:rsidRPr="00ED7C46">
        <w:rPr>
          <w:rFonts w:ascii="Arial Narrow" w:hAnsi="Arial Narrow"/>
          <w:b/>
          <w:sz w:val="20"/>
        </w:rPr>
        <w:tab/>
        <w:t>Mortality results across the studies</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5 Mortality results across the studies"/>
        <w:tblDescription w:val="This table provides a summary of the findings in each study formortality. Results for the intervention and comparator are provided."/>
      </w:tblPr>
      <w:tblGrid>
        <w:gridCol w:w="2253"/>
        <w:gridCol w:w="1429"/>
        <w:gridCol w:w="1701"/>
        <w:gridCol w:w="3633"/>
      </w:tblGrid>
      <w:tr w:rsidR="00F02FC8" w:rsidRPr="009E1C2F" w14:paraId="70EF3292" w14:textId="77777777" w:rsidTr="00E9302D">
        <w:trPr>
          <w:tblHeader/>
        </w:trPr>
        <w:tc>
          <w:tcPr>
            <w:tcW w:w="1249" w:type="pct"/>
            <w:tcBorders>
              <w:bottom w:val="single" w:sz="4" w:space="0" w:color="auto"/>
            </w:tcBorders>
            <w:shd w:val="clear" w:color="auto" w:fill="auto"/>
          </w:tcPr>
          <w:p w14:paraId="0169B340" w14:textId="77777777" w:rsidR="00F02FC8" w:rsidRPr="009E1C2F" w:rsidRDefault="00F02FC8" w:rsidP="00E9302D">
            <w:pPr>
              <w:pStyle w:val="TableHeading"/>
            </w:pPr>
            <w:r w:rsidRPr="009E1C2F">
              <w:t>Study ID</w:t>
            </w:r>
          </w:p>
        </w:tc>
        <w:tc>
          <w:tcPr>
            <w:tcW w:w="792" w:type="pct"/>
          </w:tcPr>
          <w:p w14:paraId="4F0E4211" w14:textId="77777777" w:rsidR="00F02FC8" w:rsidRDefault="00F02FC8" w:rsidP="00E9302D">
            <w:pPr>
              <w:pStyle w:val="TableHeading"/>
            </w:pPr>
            <w:r>
              <w:t>Device</w:t>
            </w:r>
          </w:p>
        </w:tc>
        <w:tc>
          <w:tcPr>
            <w:tcW w:w="943" w:type="pct"/>
          </w:tcPr>
          <w:p w14:paraId="71095945" w14:textId="77777777" w:rsidR="00F02FC8" w:rsidRPr="009E1C2F" w:rsidRDefault="00F02FC8" w:rsidP="00E9302D">
            <w:pPr>
              <w:pStyle w:val="TableHeading"/>
            </w:pPr>
            <w:r>
              <w:t>Follow-up time</w:t>
            </w:r>
          </w:p>
        </w:tc>
        <w:tc>
          <w:tcPr>
            <w:tcW w:w="2015" w:type="pct"/>
            <w:shd w:val="clear" w:color="auto" w:fill="auto"/>
          </w:tcPr>
          <w:p w14:paraId="0EB2A23B" w14:textId="77777777" w:rsidR="00F02FC8" w:rsidRPr="009E1C2F" w:rsidRDefault="00F02FC8" w:rsidP="00E9302D">
            <w:pPr>
              <w:pStyle w:val="TableHeading"/>
            </w:pPr>
            <w:r>
              <w:t>Deaths due to breast cancer</w:t>
            </w:r>
          </w:p>
          <w:p w14:paraId="76067624" w14:textId="77777777" w:rsidR="00F02FC8" w:rsidRPr="009E1C2F" w:rsidRDefault="00F02FC8" w:rsidP="00E9302D">
            <w:pPr>
              <w:pStyle w:val="TableHeading"/>
            </w:pPr>
            <w:r>
              <w:t>n with event/N (%)</w:t>
            </w:r>
          </w:p>
        </w:tc>
      </w:tr>
      <w:tr w:rsidR="00F02FC8" w:rsidRPr="009E1C2F" w14:paraId="3DD36F13" w14:textId="77777777" w:rsidTr="00E9302D">
        <w:trPr>
          <w:trHeight w:val="625"/>
        </w:trPr>
        <w:tc>
          <w:tcPr>
            <w:tcW w:w="1249" w:type="pct"/>
            <w:tcBorders>
              <w:top w:val="single" w:sz="4" w:space="0" w:color="auto"/>
              <w:left w:val="single" w:sz="4" w:space="0" w:color="auto"/>
              <w:bottom w:val="nil"/>
              <w:right w:val="single" w:sz="4" w:space="0" w:color="auto"/>
            </w:tcBorders>
            <w:shd w:val="clear" w:color="auto" w:fill="auto"/>
          </w:tcPr>
          <w:p w14:paraId="2373EFAB" w14:textId="77777777" w:rsidR="00F02FC8" w:rsidRPr="0029371A" w:rsidRDefault="00F02FC8" w:rsidP="00E9302D">
            <w:pPr>
              <w:pStyle w:val="Tabletext0"/>
            </w:pPr>
            <w:r>
              <w:t>Lai et al. (2016)</w:t>
            </w:r>
          </w:p>
          <w:p w14:paraId="31BE4ADD" w14:textId="77777777" w:rsidR="00F02FC8" w:rsidRPr="0029371A" w:rsidRDefault="00F02FC8" w:rsidP="00E9302D">
            <w:pPr>
              <w:pStyle w:val="Tabletext0"/>
            </w:pPr>
          </w:p>
        </w:tc>
        <w:tc>
          <w:tcPr>
            <w:tcW w:w="792" w:type="pct"/>
            <w:tcBorders>
              <w:left w:val="single" w:sz="4" w:space="0" w:color="auto"/>
              <w:right w:val="single" w:sz="4" w:space="0" w:color="auto"/>
            </w:tcBorders>
            <w:shd w:val="clear" w:color="auto" w:fill="DEEAF6" w:themeFill="accent1" w:themeFillTint="33"/>
          </w:tcPr>
          <w:p w14:paraId="6C4ACEA8" w14:textId="77777777" w:rsidR="00F02FC8" w:rsidRDefault="00F02FC8" w:rsidP="00E9302D">
            <w:pPr>
              <w:pStyle w:val="Tabletext0"/>
            </w:pPr>
            <w:r>
              <w:t>Axxent</w:t>
            </w:r>
            <w:r w:rsidRPr="0058310B">
              <w:rPr>
                <w:vertAlign w:val="superscript"/>
              </w:rPr>
              <w:t>®</w:t>
            </w:r>
          </w:p>
        </w:tc>
        <w:tc>
          <w:tcPr>
            <w:tcW w:w="943" w:type="pct"/>
            <w:tcBorders>
              <w:left w:val="single" w:sz="4" w:space="0" w:color="auto"/>
            </w:tcBorders>
          </w:tcPr>
          <w:p w14:paraId="0CE70316" w14:textId="77777777" w:rsidR="00F02FC8" w:rsidRPr="0029371A" w:rsidRDefault="00F02FC8" w:rsidP="00E9302D">
            <w:pPr>
              <w:pStyle w:val="Tabletext0"/>
            </w:pPr>
            <w:r>
              <w:t xml:space="preserve">Median 1.3 years </w:t>
            </w:r>
          </w:p>
        </w:tc>
        <w:tc>
          <w:tcPr>
            <w:tcW w:w="2015" w:type="pct"/>
            <w:shd w:val="clear" w:color="auto" w:fill="auto"/>
          </w:tcPr>
          <w:p w14:paraId="156E26CE" w14:textId="77777777" w:rsidR="00F02FC8" w:rsidRPr="0029371A" w:rsidRDefault="00F02FC8" w:rsidP="00E9302D">
            <w:pPr>
              <w:pStyle w:val="Tabletext0"/>
            </w:pPr>
            <w:r w:rsidRPr="0029371A">
              <w:t>0</w:t>
            </w:r>
            <w:r>
              <w:t>/261 (0)</w:t>
            </w:r>
          </w:p>
        </w:tc>
      </w:tr>
      <w:tr w:rsidR="00F02FC8" w:rsidRPr="009E1C2F" w14:paraId="6F54646D" w14:textId="77777777" w:rsidTr="00E9302D">
        <w:trPr>
          <w:trHeight w:val="625"/>
        </w:trPr>
        <w:tc>
          <w:tcPr>
            <w:tcW w:w="1249" w:type="pct"/>
            <w:tcBorders>
              <w:top w:val="single" w:sz="4" w:space="0" w:color="auto"/>
              <w:left w:val="single" w:sz="4" w:space="0" w:color="auto"/>
              <w:bottom w:val="nil"/>
              <w:right w:val="single" w:sz="4" w:space="0" w:color="auto"/>
            </w:tcBorders>
            <w:shd w:val="clear" w:color="auto" w:fill="auto"/>
          </w:tcPr>
          <w:p w14:paraId="7358F541" w14:textId="77777777" w:rsidR="00F02FC8" w:rsidRDefault="00F02FC8" w:rsidP="00E9302D">
            <w:pPr>
              <w:pStyle w:val="Tabletext0"/>
            </w:pPr>
            <w:r>
              <w:t>Silverstein et al. (2018)</w:t>
            </w:r>
          </w:p>
        </w:tc>
        <w:tc>
          <w:tcPr>
            <w:tcW w:w="792" w:type="pct"/>
            <w:tcBorders>
              <w:left w:val="single" w:sz="4" w:space="0" w:color="auto"/>
              <w:right w:val="single" w:sz="4" w:space="0" w:color="auto"/>
            </w:tcBorders>
            <w:shd w:val="clear" w:color="auto" w:fill="DEEAF6" w:themeFill="accent1" w:themeFillTint="33"/>
          </w:tcPr>
          <w:p w14:paraId="36C5B826" w14:textId="77777777" w:rsidR="00F02FC8" w:rsidRDefault="00F02FC8" w:rsidP="00E9302D">
            <w:pPr>
              <w:pStyle w:val="Tabletext0"/>
            </w:pPr>
            <w:r>
              <w:t>Axxent</w:t>
            </w:r>
            <w:r w:rsidRPr="0058310B">
              <w:rPr>
                <w:vertAlign w:val="superscript"/>
              </w:rPr>
              <w:t>®</w:t>
            </w:r>
          </w:p>
        </w:tc>
        <w:tc>
          <w:tcPr>
            <w:tcW w:w="943" w:type="pct"/>
            <w:tcBorders>
              <w:left w:val="single" w:sz="4" w:space="0" w:color="auto"/>
            </w:tcBorders>
          </w:tcPr>
          <w:p w14:paraId="5A365542" w14:textId="77777777" w:rsidR="00F02FC8" w:rsidRDefault="00F02FC8" w:rsidP="00E9302D">
            <w:pPr>
              <w:pStyle w:val="Tabletext0"/>
            </w:pPr>
            <w:r>
              <w:t>Median 1.6 years</w:t>
            </w:r>
          </w:p>
          <w:p w14:paraId="71719B71" w14:textId="77777777" w:rsidR="00F02FC8" w:rsidRDefault="00F02FC8" w:rsidP="00E9302D">
            <w:pPr>
              <w:pStyle w:val="Tabletext0"/>
            </w:pPr>
            <w:r>
              <w:t xml:space="preserve">Median 3 years </w:t>
            </w:r>
          </w:p>
        </w:tc>
        <w:tc>
          <w:tcPr>
            <w:tcW w:w="2015" w:type="pct"/>
            <w:shd w:val="clear" w:color="auto" w:fill="auto"/>
          </w:tcPr>
          <w:p w14:paraId="2E652F6B" w14:textId="77777777" w:rsidR="00F02FC8" w:rsidRPr="00432935" w:rsidRDefault="00F02FC8" w:rsidP="00E9302D">
            <w:pPr>
              <w:pStyle w:val="Tabletext0"/>
            </w:pPr>
            <w:r w:rsidRPr="00432935">
              <w:t>0/702 (0)</w:t>
            </w:r>
          </w:p>
          <w:p w14:paraId="7AD8EEF7" w14:textId="77777777" w:rsidR="00F02FC8" w:rsidRPr="0029371A" w:rsidRDefault="00F02FC8" w:rsidP="00E9302D">
            <w:pPr>
              <w:pStyle w:val="Tabletext0"/>
            </w:pPr>
            <w:r>
              <w:t>0/984 (0)</w:t>
            </w:r>
          </w:p>
        </w:tc>
      </w:tr>
      <w:tr w:rsidR="00F02FC8" w:rsidRPr="009E1C2F" w14:paraId="6035A952" w14:textId="77777777" w:rsidTr="00E9302D">
        <w:trPr>
          <w:trHeight w:val="625"/>
        </w:trPr>
        <w:tc>
          <w:tcPr>
            <w:tcW w:w="1249" w:type="pct"/>
            <w:tcBorders>
              <w:top w:val="single" w:sz="4" w:space="0" w:color="auto"/>
              <w:left w:val="single" w:sz="4" w:space="0" w:color="auto"/>
              <w:bottom w:val="nil"/>
              <w:right w:val="single" w:sz="4" w:space="0" w:color="auto"/>
            </w:tcBorders>
            <w:shd w:val="clear" w:color="auto" w:fill="auto"/>
          </w:tcPr>
          <w:p w14:paraId="139D9C9E" w14:textId="77777777" w:rsidR="00F02FC8" w:rsidRPr="0029371A" w:rsidRDefault="00F02FC8" w:rsidP="00E9302D">
            <w:pPr>
              <w:pStyle w:val="Tabletext0"/>
            </w:pPr>
            <w:r>
              <w:t>Coles et al. (2017)</w:t>
            </w:r>
          </w:p>
        </w:tc>
        <w:tc>
          <w:tcPr>
            <w:tcW w:w="792" w:type="pct"/>
            <w:tcBorders>
              <w:left w:val="single" w:sz="4" w:space="0" w:color="auto"/>
              <w:right w:val="single" w:sz="4" w:space="0" w:color="auto"/>
            </w:tcBorders>
            <w:shd w:val="clear" w:color="auto" w:fill="FFFFCC"/>
          </w:tcPr>
          <w:p w14:paraId="208E05FC" w14:textId="77777777" w:rsidR="00F02FC8" w:rsidRPr="0029371A" w:rsidRDefault="00F02FC8" w:rsidP="00E9302D">
            <w:pPr>
              <w:pStyle w:val="Tabletext0"/>
            </w:pPr>
            <w:r>
              <w:t>WB-EBRT</w:t>
            </w:r>
          </w:p>
        </w:tc>
        <w:tc>
          <w:tcPr>
            <w:tcW w:w="943" w:type="pct"/>
            <w:tcBorders>
              <w:left w:val="single" w:sz="4" w:space="0" w:color="auto"/>
            </w:tcBorders>
          </w:tcPr>
          <w:p w14:paraId="03884AF3" w14:textId="77777777" w:rsidR="00F02FC8" w:rsidRPr="0029371A" w:rsidRDefault="00F02FC8" w:rsidP="00E9302D">
            <w:pPr>
              <w:pStyle w:val="Tabletext0"/>
            </w:pPr>
            <w:r>
              <w:t xml:space="preserve">Median 6 years </w:t>
            </w:r>
          </w:p>
        </w:tc>
        <w:tc>
          <w:tcPr>
            <w:tcW w:w="2015" w:type="pct"/>
            <w:shd w:val="clear" w:color="auto" w:fill="auto"/>
          </w:tcPr>
          <w:p w14:paraId="1EAFFACF" w14:textId="77777777" w:rsidR="00F02FC8" w:rsidRPr="0029371A" w:rsidRDefault="00F02FC8" w:rsidP="00E9302D">
            <w:pPr>
              <w:pStyle w:val="Tabletext0"/>
            </w:pPr>
            <w:r>
              <w:t>9/674 (1)</w:t>
            </w:r>
          </w:p>
        </w:tc>
      </w:tr>
      <w:tr w:rsidR="00F02FC8" w:rsidRPr="009E1C2F" w14:paraId="1ABE27C6" w14:textId="77777777" w:rsidTr="00E9302D">
        <w:trPr>
          <w:trHeight w:val="625"/>
        </w:trPr>
        <w:tc>
          <w:tcPr>
            <w:tcW w:w="1249" w:type="pct"/>
            <w:tcBorders>
              <w:top w:val="single" w:sz="4" w:space="0" w:color="auto"/>
              <w:left w:val="single" w:sz="4" w:space="0" w:color="auto"/>
              <w:bottom w:val="nil"/>
              <w:right w:val="single" w:sz="4" w:space="0" w:color="auto"/>
            </w:tcBorders>
            <w:shd w:val="clear" w:color="auto" w:fill="auto"/>
          </w:tcPr>
          <w:p w14:paraId="05AD8BA1" w14:textId="77777777" w:rsidR="00F02FC8" w:rsidRDefault="00F02FC8" w:rsidP="00E9302D">
            <w:pPr>
              <w:pStyle w:val="Tabletext0"/>
            </w:pPr>
            <w:r>
              <w:t>Strnad et al. (2016) &amp; Polgar et al. (2017)</w:t>
            </w:r>
          </w:p>
        </w:tc>
        <w:tc>
          <w:tcPr>
            <w:tcW w:w="792" w:type="pct"/>
            <w:tcBorders>
              <w:left w:val="single" w:sz="4" w:space="0" w:color="auto"/>
              <w:right w:val="single" w:sz="4" w:space="0" w:color="auto"/>
            </w:tcBorders>
            <w:shd w:val="clear" w:color="auto" w:fill="FFFFCC"/>
          </w:tcPr>
          <w:p w14:paraId="6DD254FC" w14:textId="77777777" w:rsidR="00F02FC8" w:rsidRDefault="00F02FC8" w:rsidP="00E9302D">
            <w:pPr>
              <w:pStyle w:val="Tabletext0"/>
            </w:pPr>
            <w:r>
              <w:t>WB-EBRT</w:t>
            </w:r>
          </w:p>
        </w:tc>
        <w:tc>
          <w:tcPr>
            <w:tcW w:w="943" w:type="pct"/>
            <w:tcBorders>
              <w:left w:val="single" w:sz="4" w:space="0" w:color="auto"/>
            </w:tcBorders>
          </w:tcPr>
          <w:p w14:paraId="39133BE9" w14:textId="77777777" w:rsidR="00F02FC8" w:rsidRDefault="00F02FC8" w:rsidP="00E9302D">
            <w:pPr>
              <w:pStyle w:val="Tabletext0"/>
            </w:pPr>
            <w:r>
              <w:t xml:space="preserve">5 years </w:t>
            </w:r>
          </w:p>
        </w:tc>
        <w:tc>
          <w:tcPr>
            <w:tcW w:w="2015" w:type="pct"/>
            <w:shd w:val="clear" w:color="auto" w:fill="auto"/>
          </w:tcPr>
          <w:p w14:paraId="31EE36EE" w14:textId="77777777" w:rsidR="00F02FC8" w:rsidRDefault="00F02FC8" w:rsidP="00E9302D">
            <w:pPr>
              <w:pStyle w:val="Tabletext0"/>
            </w:pPr>
            <w:r>
              <w:t>3/551 (0.5)</w:t>
            </w:r>
          </w:p>
        </w:tc>
      </w:tr>
      <w:tr w:rsidR="00F02FC8" w:rsidRPr="009E1C2F" w14:paraId="43115676" w14:textId="77777777" w:rsidTr="00E9302D">
        <w:trPr>
          <w:trHeight w:val="625"/>
        </w:trPr>
        <w:tc>
          <w:tcPr>
            <w:tcW w:w="1249" w:type="pct"/>
            <w:tcBorders>
              <w:top w:val="single" w:sz="4" w:space="0" w:color="auto"/>
              <w:left w:val="single" w:sz="4" w:space="0" w:color="auto"/>
              <w:bottom w:val="nil"/>
              <w:right w:val="single" w:sz="4" w:space="0" w:color="auto"/>
            </w:tcBorders>
            <w:shd w:val="clear" w:color="auto" w:fill="auto"/>
          </w:tcPr>
          <w:p w14:paraId="0C088C35" w14:textId="77777777" w:rsidR="00F02FC8" w:rsidRDefault="00F02FC8" w:rsidP="00E9302D">
            <w:pPr>
              <w:pStyle w:val="Tabletext0"/>
            </w:pPr>
            <w:r>
              <w:t>Livi et al. (2014)</w:t>
            </w:r>
          </w:p>
        </w:tc>
        <w:tc>
          <w:tcPr>
            <w:tcW w:w="792" w:type="pct"/>
            <w:tcBorders>
              <w:left w:val="single" w:sz="4" w:space="0" w:color="auto"/>
              <w:right w:val="single" w:sz="4" w:space="0" w:color="auto"/>
            </w:tcBorders>
            <w:shd w:val="clear" w:color="auto" w:fill="FFFFCC"/>
          </w:tcPr>
          <w:p w14:paraId="3EF7865A" w14:textId="77777777" w:rsidR="00F02FC8" w:rsidRDefault="00F02FC8" w:rsidP="00E9302D">
            <w:pPr>
              <w:pStyle w:val="Tabletext0"/>
            </w:pPr>
            <w:r>
              <w:t>WB-EBRT</w:t>
            </w:r>
          </w:p>
        </w:tc>
        <w:tc>
          <w:tcPr>
            <w:tcW w:w="943" w:type="pct"/>
            <w:tcBorders>
              <w:left w:val="single" w:sz="4" w:space="0" w:color="auto"/>
            </w:tcBorders>
          </w:tcPr>
          <w:p w14:paraId="38E9EDE8" w14:textId="77777777" w:rsidR="00F02FC8" w:rsidRDefault="00F02FC8" w:rsidP="00E9302D">
            <w:pPr>
              <w:pStyle w:val="Tabletext0"/>
            </w:pPr>
            <w:r>
              <w:t>Median 5.3 years</w:t>
            </w:r>
          </w:p>
        </w:tc>
        <w:tc>
          <w:tcPr>
            <w:tcW w:w="2015" w:type="pct"/>
            <w:shd w:val="clear" w:color="auto" w:fill="auto"/>
          </w:tcPr>
          <w:p w14:paraId="0158B480" w14:textId="77777777" w:rsidR="00F02FC8" w:rsidRDefault="00F02FC8" w:rsidP="00E9302D">
            <w:pPr>
              <w:pStyle w:val="Tabletext0"/>
            </w:pPr>
            <w:r>
              <w:t>3/260 (1.2)</w:t>
            </w:r>
          </w:p>
        </w:tc>
      </w:tr>
      <w:tr w:rsidR="00F02FC8" w:rsidRPr="009E1C2F" w14:paraId="6565F505" w14:textId="77777777" w:rsidTr="00E9302D">
        <w:trPr>
          <w:trHeight w:val="625"/>
        </w:trPr>
        <w:tc>
          <w:tcPr>
            <w:tcW w:w="1249" w:type="pct"/>
            <w:tcBorders>
              <w:top w:val="single" w:sz="4" w:space="0" w:color="auto"/>
              <w:left w:val="single" w:sz="4" w:space="0" w:color="auto"/>
              <w:bottom w:val="nil"/>
              <w:right w:val="single" w:sz="4" w:space="0" w:color="auto"/>
            </w:tcBorders>
            <w:shd w:val="clear" w:color="auto" w:fill="auto"/>
          </w:tcPr>
          <w:p w14:paraId="0B2EBD0C" w14:textId="77777777" w:rsidR="00F02FC8" w:rsidRDefault="00F02FC8" w:rsidP="00E9302D">
            <w:pPr>
              <w:pStyle w:val="Tabletext0"/>
              <w:keepNext/>
              <w:ind w:right="0"/>
            </w:pPr>
            <w:r>
              <w:t>Vaidya et al. (2010) &amp; (2014)</w:t>
            </w:r>
          </w:p>
        </w:tc>
        <w:tc>
          <w:tcPr>
            <w:tcW w:w="792" w:type="pct"/>
            <w:tcBorders>
              <w:left w:val="single" w:sz="4" w:space="0" w:color="auto"/>
              <w:right w:val="single" w:sz="4" w:space="0" w:color="auto"/>
            </w:tcBorders>
            <w:shd w:val="clear" w:color="auto" w:fill="FFFFCC"/>
          </w:tcPr>
          <w:p w14:paraId="1B171B93" w14:textId="77777777" w:rsidR="00F02FC8" w:rsidRDefault="00F02FC8" w:rsidP="00E9302D">
            <w:pPr>
              <w:pStyle w:val="Tabletext0"/>
              <w:keepNext/>
              <w:ind w:right="0"/>
            </w:pPr>
            <w:r>
              <w:t>WB-EBRT</w:t>
            </w:r>
          </w:p>
        </w:tc>
        <w:tc>
          <w:tcPr>
            <w:tcW w:w="943" w:type="pct"/>
            <w:tcBorders>
              <w:left w:val="single" w:sz="4" w:space="0" w:color="auto"/>
            </w:tcBorders>
          </w:tcPr>
          <w:p w14:paraId="6089A24E" w14:textId="77777777" w:rsidR="00F02FC8" w:rsidRPr="00E0361E" w:rsidRDefault="00F02FC8" w:rsidP="00E9302D">
            <w:pPr>
              <w:pStyle w:val="Tabletext0"/>
              <w:keepNext/>
              <w:ind w:right="0"/>
            </w:pPr>
            <w:r>
              <w:t>Median 1 year</w:t>
            </w:r>
          </w:p>
          <w:p w14:paraId="1B246441" w14:textId="77777777" w:rsidR="00F02FC8" w:rsidRPr="00E0361E" w:rsidRDefault="00F02FC8" w:rsidP="00E9302D">
            <w:pPr>
              <w:pStyle w:val="Tabletext0"/>
              <w:keepNext/>
              <w:ind w:right="0"/>
            </w:pPr>
            <w:r w:rsidRPr="00E0361E">
              <w:t xml:space="preserve">Median </w:t>
            </w:r>
            <w:r>
              <w:t>2.3 years</w:t>
            </w:r>
          </w:p>
          <w:p w14:paraId="5E26C3E3" w14:textId="77777777" w:rsidR="00F02FC8" w:rsidRPr="00E0361E" w:rsidRDefault="00F02FC8" w:rsidP="00E9302D">
            <w:pPr>
              <w:pStyle w:val="Tabletext0"/>
              <w:keepNext/>
              <w:ind w:right="0"/>
            </w:pPr>
            <w:r w:rsidRPr="00E0361E">
              <w:t xml:space="preserve">Median </w:t>
            </w:r>
            <w:r>
              <w:t>3.7 years</w:t>
            </w:r>
          </w:p>
          <w:p w14:paraId="1035D71A" w14:textId="77777777" w:rsidR="00F02FC8" w:rsidRDefault="00F02FC8" w:rsidP="00E9302D">
            <w:pPr>
              <w:pStyle w:val="Tabletext0"/>
              <w:keepNext/>
              <w:ind w:right="0"/>
            </w:pPr>
            <w:r w:rsidRPr="00E0361E">
              <w:t>Median 5 years</w:t>
            </w:r>
          </w:p>
        </w:tc>
        <w:tc>
          <w:tcPr>
            <w:tcW w:w="2015" w:type="pct"/>
            <w:shd w:val="clear" w:color="auto" w:fill="auto"/>
          </w:tcPr>
          <w:p w14:paraId="7C89A8AE" w14:textId="77777777" w:rsidR="00F02FC8" w:rsidRPr="0026557C" w:rsidRDefault="00F02FC8" w:rsidP="00E9302D">
            <w:pPr>
              <w:pStyle w:val="Tabletext0"/>
              <w:keepNext/>
              <w:ind w:right="0"/>
              <w:rPr>
                <w:color w:val="000000" w:themeColor="text1"/>
              </w:rPr>
            </w:pPr>
            <w:r w:rsidRPr="0026557C">
              <w:rPr>
                <w:color w:val="000000" w:themeColor="text1"/>
              </w:rPr>
              <w:t>NR</w:t>
            </w:r>
          </w:p>
          <w:p w14:paraId="481909CE" w14:textId="77777777" w:rsidR="00F02FC8" w:rsidRPr="0026557C" w:rsidRDefault="00F02FC8" w:rsidP="00E9302D">
            <w:pPr>
              <w:pStyle w:val="Tabletext0"/>
              <w:keepNext/>
              <w:ind w:left="0" w:right="0"/>
              <w:rPr>
                <w:color w:val="000000" w:themeColor="text1"/>
              </w:rPr>
            </w:pPr>
            <w:r w:rsidRPr="0026557C">
              <w:rPr>
                <w:color w:val="000000" w:themeColor="text1"/>
              </w:rPr>
              <w:t>15/1127 (1.3)</w:t>
            </w:r>
          </w:p>
          <w:p w14:paraId="039A0193" w14:textId="77777777" w:rsidR="00F02FC8" w:rsidRPr="0026557C" w:rsidRDefault="00F02FC8" w:rsidP="00E9302D">
            <w:pPr>
              <w:pStyle w:val="Tabletext0"/>
              <w:keepNext/>
              <w:ind w:right="0"/>
              <w:rPr>
                <w:color w:val="000000" w:themeColor="text1"/>
              </w:rPr>
            </w:pPr>
            <w:r w:rsidRPr="0026557C">
              <w:rPr>
                <w:color w:val="000000" w:themeColor="text1"/>
              </w:rPr>
              <w:t>NR</w:t>
            </w:r>
          </w:p>
          <w:p w14:paraId="463B20CB" w14:textId="77777777" w:rsidR="00F02FC8" w:rsidRPr="001B713E" w:rsidRDefault="00F02FC8" w:rsidP="00E9302D">
            <w:pPr>
              <w:pStyle w:val="Tabletext0"/>
              <w:keepNext/>
              <w:ind w:right="0"/>
            </w:pPr>
            <w:r w:rsidRPr="001B713E">
              <w:t>NR</w:t>
            </w:r>
          </w:p>
        </w:tc>
      </w:tr>
      <w:tr w:rsidR="00F02FC8" w:rsidRPr="009E1C2F" w14:paraId="75897F98" w14:textId="77777777" w:rsidTr="00E9302D">
        <w:trPr>
          <w:trHeight w:val="625"/>
        </w:trPr>
        <w:tc>
          <w:tcPr>
            <w:tcW w:w="1249" w:type="pct"/>
            <w:tcBorders>
              <w:top w:val="single" w:sz="4" w:space="0" w:color="auto"/>
              <w:left w:val="single" w:sz="4" w:space="0" w:color="auto"/>
              <w:bottom w:val="nil"/>
              <w:right w:val="single" w:sz="4" w:space="0" w:color="auto"/>
            </w:tcBorders>
            <w:shd w:val="clear" w:color="auto" w:fill="auto"/>
          </w:tcPr>
          <w:p w14:paraId="1375A287" w14:textId="77777777" w:rsidR="00F02FC8" w:rsidRDefault="00F02FC8" w:rsidP="00E9302D">
            <w:pPr>
              <w:pStyle w:val="Tabletext0"/>
            </w:pPr>
            <w:r>
              <w:t>Polgar et al. (2007) &amp; (2013)</w:t>
            </w:r>
          </w:p>
        </w:tc>
        <w:tc>
          <w:tcPr>
            <w:tcW w:w="792" w:type="pct"/>
            <w:tcBorders>
              <w:left w:val="single" w:sz="4" w:space="0" w:color="auto"/>
              <w:right w:val="single" w:sz="4" w:space="0" w:color="auto"/>
            </w:tcBorders>
            <w:shd w:val="clear" w:color="auto" w:fill="FFFFCC"/>
          </w:tcPr>
          <w:p w14:paraId="22E8C320" w14:textId="77777777" w:rsidR="00F02FC8" w:rsidRDefault="00F02FC8" w:rsidP="00E9302D">
            <w:pPr>
              <w:pStyle w:val="Tabletext0"/>
            </w:pPr>
            <w:r>
              <w:t>WB-EBRT</w:t>
            </w:r>
          </w:p>
        </w:tc>
        <w:tc>
          <w:tcPr>
            <w:tcW w:w="943" w:type="pct"/>
            <w:tcBorders>
              <w:left w:val="single" w:sz="4" w:space="0" w:color="auto"/>
            </w:tcBorders>
          </w:tcPr>
          <w:p w14:paraId="5692714C" w14:textId="77777777" w:rsidR="00F02FC8" w:rsidRDefault="00F02FC8" w:rsidP="00E9302D">
            <w:pPr>
              <w:pStyle w:val="Tabletext0"/>
            </w:pPr>
            <w:r>
              <w:t xml:space="preserve">Median 10.2 years </w:t>
            </w:r>
            <w:r>
              <w:rPr>
                <w:vertAlign w:val="superscript"/>
              </w:rPr>
              <w:t>e</w:t>
            </w:r>
          </w:p>
        </w:tc>
        <w:tc>
          <w:tcPr>
            <w:tcW w:w="2015" w:type="pct"/>
            <w:shd w:val="clear" w:color="auto" w:fill="auto"/>
          </w:tcPr>
          <w:p w14:paraId="4B11662C" w14:textId="77777777" w:rsidR="00F02FC8" w:rsidRPr="00DC3CB2" w:rsidRDefault="00F02FC8" w:rsidP="00E9302D">
            <w:pPr>
              <w:pStyle w:val="Tabletext0"/>
              <w:rPr>
                <w:vertAlign w:val="superscript"/>
              </w:rPr>
            </w:pPr>
            <w:r>
              <w:t xml:space="preserve">28/258 (10.9) </w:t>
            </w:r>
            <w:r>
              <w:rPr>
                <w:vertAlign w:val="superscript"/>
              </w:rPr>
              <w:t>f</w:t>
            </w:r>
          </w:p>
        </w:tc>
      </w:tr>
      <w:tr w:rsidR="00F02FC8" w:rsidRPr="009E1C2F" w14:paraId="4609C6D4" w14:textId="77777777" w:rsidTr="00E9302D">
        <w:trPr>
          <w:trHeight w:val="266"/>
        </w:trPr>
        <w:tc>
          <w:tcPr>
            <w:tcW w:w="1249" w:type="pct"/>
            <w:tcBorders>
              <w:top w:val="single" w:sz="4" w:space="0" w:color="auto"/>
              <w:left w:val="single" w:sz="4" w:space="0" w:color="auto"/>
              <w:bottom w:val="nil"/>
              <w:right w:val="single" w:sz="4" w:space="0" w:color="auto"/>
            </w:tcBorders>
            <w:shd w:val="clear" w:color="auto" w:fill="auto"/>
          </w:tcPr>
          <w:p w14:paraId="36F0F3B7" w14:textId="77777777" w:rsidR="00F02FC8" w:rsidRDefault="00F02FC8" w:rsidP="00E9302D">
            <w:pPr>
              <w:pStyle w:val="Tabletext0"/>
            </w:pPr>
            <w:r>
              <w:t>Veronesi et al. (2013)</w:t>
            </w:r>
          </w:p>
        </w:tc>
        <w:tc>
          <w:tcPr>
            <w:tcW w:w="792" w:type="pct"/>
            <w:tcBorders>
              <w:left w:val="single" w:sz="4" w:space="0" w:color="auto"/>
              <w:right w:val="single" w:sz="4" w:space="0" w:color="auto"/>
            </w:tcBorders>
            <w:shd w:val="clear" w:color="auto" w:fill="FFFFCC"/>
          </w:tcPr>
          <w:p w14:paraId="54C272F2" w14:textId="77777777" w:rsidR="00F02FC8" w:rsidRDefault="00F02FC8" w:rsidP="00E9302D">
            <w:pPr>
              <w:pStyle w:val="Tabletext0"/>
            </w:pPr>
            <w:r>
              <w:t>WB-EBRT</w:t>
            </w:r>
          </w:p>
        </w:tc>
        <w:tc>
          <w:tcPr>
            <w:tcW w:w="943" w:type="pct"/>
            <w:tcBorders>
              <w:left w:val="single" w:sz="4" w:space="0" w:color="auto"/>
            </w:tcBorders>
          </w:tcPr>
          <w:p w14:paraId="42C081FC" w14:textId="77777777" w:rsidR="00F02FC8" w:rsidRDefault="00F02FC8" w:rsidP="00E9302D">
            <w:pPr>
              <w:pStyle w:val="Tabletext0"/>
            </w:pPr>
            <w:r>
              <w:t xml:space="preserve">Median 5.9 years </w:t>
            </w:r>
          </w:p>
        </w:tc>
        <w:tc>
          <w:tcPr>
            <w:tcW w:w="2015" w:type="pct"/>
            <w:shd w:val="clear" w:color="auto" w:fill="auto"/>
          </w:tcPr>
          <w:p w14:paraId="6E4772BE" w14:textId="77777777" w:rsidR="00F02FC8" w:rsidRPr="001B713E" w:rsidRDefault="00F02FC8" w:rsidP="00E9302D">
            <w:pPr>
              <w:pStyle w:val="Tabletext0"/>
            </w:pPr>
            <w:r w:rsidRPr="001B713E">
              <w:t>20/654 (2.0)</w:t>
            </w:r>
          </w:p>
        </w:tc>
      </w:tr>
      <w:tr w:rsidR="00F02FC8" w:rsidRPr="009E1C2F" w14:paraId="75906757" w14:textId="77777777" w:rsidTr="00E9302D">
        <w:tc>
          <w:tcPr>
            <w:tcW w:w="1249" w:type="pct"/>
            <w:tcBorders>
              <w:top w:val="single" w:sz="4" w:space="0" w:color="auto"/>
              <w:bottom w:val="single" w:sz="4" w:space="0" w:color="auto"/>
            </w:tcBorders>
            <w:shd w:val="clear" w:color="auto" w:fill="auto"/>
          </w:tcPr>
          <w:p w14:paraId="001D8AC3" w14:textId="77777777" w:rsidR="00F02FC8" w:rsidRPr="0029371A" w:rsidRDefault="00F02FC8" w:rsidP="00E9302D">
            <w:pPr>
              <w:pStyle w:val="Tabletext0"/>
            </w:pPr>
            <w:r>
              <w:t>GRADE analysis</w:t>
            </w:r>
          </w:p>
        </w:tc>
        <w:tc>
          <w:tcPr>
            <w:tcW w:w="792" w:type="pct"/>
            <w:shd w:val="clear" w:color="auto" w:fill="auto"/>
          </w:tcPr>
          <w:p w14:paraId="086102DB" w14:textId="77777777" w:rsidR="00F02FC8" w:rsidRPr="001E75C1" w:rsidRDefault="00F02FC8" w:rsidP="00E9302D">
            <w:pPr>
              <w:pStyle w:val="Tabletext0"/>
              <w:jc w:val="both"/>
              <w:rPr>
                <w:vertAlign w:val="superscript"/>
              </w:rPr>
            </w:pPr>
            <w:r>
              <w:t>Summary</w:t>
            </w:r>
            <w:r>
              <w:rPr>
                <w:vertAlign w:val="superscript"/>
              </w:rPr>
              <w:t xml:space="preserve"> a</w:t>
            </w:r>
          </w:p>
        </w:tc>
        <w:tc>
          <w:tcPr>
            <w:tcW w:w="943" w:type="pct"/>
            <w:shd w:val="clear" w:color="auto" w:fill="auto"/>
          </w:tcPr>
          <w:p w14:paraId="0CB73EE4" w14:textId="77777777" w:rsidR="00F02FC8" w:rsidRDefault="00F02FC8" w:rsidP="00E9302D">
            <w:pPr>
              <w:pStyle w:val="Tabletext0"/>
            </w:pPr>
          </w:p>
        </w:tc>
        <w:tc>
          <w:tcPr>
            <w:tcW w:w="2015" w:type="pct"/>
            <w:shd w:val="clear" w:color="auto" w:fill="auto"/>
          </w:tcPr>
          <w:p w14:paraId="6CF45C93" w14:textId="77777777" w:rsidR="00F02FC8" w:rsidRPr="001E6F0A" w:rsidRDefault="00F02FC8" w:rsidP="00E9302D">
            <w:pPr>
              <w:pStyle w:val="Tabletext0"/>
              <w:rPr>
                <w:color w:val="00B050"/>
              </w:rPr>
            </w:pPr>
            <w:r w:rsidRPr="00F77DBE">
              <w:rPr>
                <w:color w:val="00B050"/>
              </w:rPr>
              <w:t>No deaths due to breast cancer was observed with the Axxent</w:t>
            </w:r>
            <w:r w:rsidRPr="009B4980">
              <w:rPr>
                <w:color w:val="00B050"/>
                <w:vertAlign w:val="superscript"/>
              </w:rPr>
              <w:t>®</w:t>
            </w:r>
            <w:r w:rsidRPr="00F77DBE">
              <w:rPr>
                <w:color w:val="00B050"/>
              </w:rPr>
              <w:t xml:space="preserve"> device at a maximum of </w:t>
            </w:r>
            <w:r>
              <w:rPr>
                <w:color w:val="00B050"/>
              </w:rPr>
              <w:t>3.0</w:t>
            </w:r>
            <w:r w:rsidRPr="00F77DBE">
              <w:rPr>
                <w:color w:val="00B050"/>
              </w:rPr>
              <w:t xml:space="preserve"> years follow</w:t>
            </w:r>
            <w:r>
              <w:rPr>
                <w:color w:val="00B050"/>
              </w:rPr>
              <w:t>-</w:t>
            </w:r>
            <w:r w:rsidRPr="00F77DBE">
              <w:rPr>
                <w:color w:val="00B050"/>
              </w:rPr>
              <w:t xml:space="preserve">up.  </w:t>
            </w:r>
            <w:r>
              <w:rPr>
                <w:color w:val="00B050"/>
              </w:rPr>
              <w:t>WB-</w:t>
            </w:r>
            <w:r w:rsidRPr="00F77DBE">
              <w:rPr>
                <w:color w:val="00B050"/>
              </w:rPr>
              <w:t>EBRT ranged from 0</w:t>
            </w:r>
            <w:r>
              <w:rPr>
                <w:color w:val="00B050"/>
              </w:rPr>
              <w:t>-</w:t>
            </w:r>
            <w:r w:rsidRPr="00F77DBE">
              <w:rPr>
                <w:color w:val="00B050"/>
              </w:rPr>
              <w:t>2% depending on follow</w:t>
            </w:r>
            <w:r>
              <w:rPr>
                <w:color w:val="00B050"/>
              </w:rPr>
              <w:t>-</w:t>
            </w:r>
            <w:r w:rsidRPr="00F77DBE">
              <w:rPr>
                <w:color w:val="00B050"/>
              </w:rPr>
              <w:t xml:space="preserve">up </w:t>
            </w:r>
            <w:r>
              <w:rPr>
                <w:color w:val="00B050"/>
              </w:rPr>
              <w:t>period</w:t>
            </w:r>
            <w:r w:rsidRPr="00F77DBE">
              <w:rPr>
                <w:color w:val="00B050"/>
              </w:rPr>
              <w:t>. Axxent</w:t>
            </w:r>
            <w:r w:rsidRPr="0058310B">
              <w:rPr>
                <w:color w:val="00B050"/>
                <w:vertAlign w:val="superscript"/>
              </w:rPr>
              <w:t xml:space="preserve">® </w:t>
            </w:r>
            <w:r w:rsidRPr="00F77DBE">
              <w:rPr>
                <w:color w:val="00B050"/>
              </w:rPr>
              <w:t xml:space="preserve">does not appear to have substantially higher rates of breast cancer mortality compared to </w:t>
            </w:r>
            <w:r>
              <w:rPr>
                <w:color w:val="00B050"/>
              </w:rPr>
              <w:t>WB-</w:t>
            </w:r>
            <w:r w:rsidRPr="00F77DBE">
              <w:rPr>
                <w:color w:val="00B050"/>
              </w:rPr>
              <w:t>EBRT</w:t>
            </w:r>
          </w:p>
        </w:tc>
      </w:tr>
      <w:tr w:rsidR="00F02FC8" w:rsidRPr="009E1C2F" w14:paraId="351AB722" w14:textId="77777777" w:rsidTr="00E9302D">
        <w:tc>
          <w:tcPr>
            <w:tcW w:w="1249" w:type="pct"/>
            <w:tcBorders>
              <w:top w:val="single" w:sz="4" w:space="0" w:color="auto"/>
            </w:tcBorders>
            <w:shd w:val="clear" w:color="auto" w:fill="auto"/>
          </w:tcPr>
          <w:p w14:paraId="3FD97C27" w14:textId="77777777" w:rsidR="00F02FC8" w:rsidRDefault="00F02FC8" w:rsidP="00E9302D">
            <w:pPr>
              <w:pStyle w:val="Tabletext0"/>
            </w:pPr>
          </w:p>
        </w:tc>
        <w:tc>
          <w:tcPr>
            <w:tcW w:w="792" w:type="pct"/>
            <w:shd w:val="clear" w:color="auto" w:fill="auto"/>
          </w:tcPr>
          <w:p w14:paraId="157CAE46" w14:textId="77777777" w:rsidR="00F02FC8" w:rsidRPr="00721457" w:rsidRDefault="00F02FC8" w:rsidP="00E9302D">
            <w:pPr>
              <w:pStyle w:val="Tabletext0"/>
            </w:pPr>
            <w:r>
              <w:t xml:space="preserve">Quality </w:t>
            </w:r>
            <w:r>
              <w:rPr>
                <w:vertAlign w:val="superscript"/>
              </w:rPr>
              <w:t>b</w:t>
            </w:r>
          </w:p>
        </w:tc>
        <w:tc>
          <w:tcPr>
            <w:tcW w:w="943" w:type="pct"/>
            <w:shd w:val="clear" w:color="auto" w:fill="auto"/>
          </w:tcPr>
          <w:p w14:paraId="6B367F8E" w14:textId="77777777" w:rsidR="00F02FC8" w:rsidRDefault="00F02FC8" w:rsidP="00E9302D">
            <w:pPr>
              <w:pStyle w:val="Tabletext0"/>
            </w:pPr>
          </w:p>
        </w:tc>
        <w:tc>
          <w:tcPr>
            <w:tcW w:w="2015" w:type="pct"/>
            <w:shd w:val="clear" w:color="auto" w:fill="auto"/>
          </w:tcPr>
          <w:p w14:paraId="24C85968" w14:textId="77777777" w:rsidR="00F02FC8" w:rsidRPr="0029371A" w:rsidRDefault="00F02FC8" w:rsidP="00E9302D">
            <w:pPr>
              <w:pStyle w:val="Tabletext0"/>
            </w:pPr>
            <w:r>
              <w:rPr>
                <w:rFonts w:ascii="Cambria Math" w:hAnsi="Cambria Math"/>
                <w:color w:val="00B050"/>
              </w:rPr>
              <w:t>⨁</w:t>
            </w:r>
            <w:r w:rsidRPr="00D4733A">
              <w:rPr>
                <w:rFonts w:ascii="Cambria Math" w:hAnsi="Cambria Math" w:cs="Cambria Math"/>
                <w:color w:val="C00000"/>
              </w:rPr>
              <w:t>⨀⨀⨀</w:t>
            </w:r>
            <w:r>
              <w:rPr>
                <w:sz w:val="16"/>
                <w:szCs w:val="16"/>
              </w:rPr>
              <w:br/>
              <w:t xml:space="preserve">VERY LOW </w:t>
            </w:r>
            <w:r>
              <w:rPr>
                <w:sz w:val="16"/>
                <w:szCs w:val="16"/>
                <w:vertAlign w:val="superscript"/>
              </w:rPr>
              <w:t>c,d</w:t>
            </w:r>
          </w:p>
        </w:tc>
      </w:tr>
    </w:tbl>
    <w:p w14:paraId="5CF070B6" w14:textId="77777777" w:rsidR="00F02FC8" w:rsidRPr="00342FB6" w:rsidRDefault="00F02FC8" w:rsidP="00F02FC8">
      <w:pPr>
        <w:pStyle w:val="Tablenotes"/>
      </w:pPr>
      <w:r w:rsidRPr="00342FB6">
        <w:t xml:space="preserve">Source: </w:t>
      </w:r>
      <w:r>
        <w:t>Table 5, pp16-17 of DCAR</w:t>
      </w:r>
    </w:p>
    <w:p w14:paraId="0F20DC66" w14:textId="77777777" w:rsidR="00F02FC8" w:rsidRDefault="00F02FC8" w:rsidP="00F02FC8">
      <w:pPr>
        <w:pStyle w:val="Tablenotes"/>
      </w:pPr>
      <w:r w:rsidRPr="00043969">
        <w:rPr>
          <w:vertAlign w:val="superscript"/>
        </w:rPr>
        <w:t>a</w:t>
      </w:r>
      <w:r>
        <w:t xml:space="preserve">: </w:t>
      </w:r>
      <w:r>
        <w:rPr>
          <w:noProof/>
        </w:rPr>
        <w:t>All summaries are limited by a lack of comparative evidence for the Axxent</w:t>
      </w:r>
      <w:r w:rsidRPr="009814B1">
        <w:rPr>
          <w:noProof/>
          <w:vertAlign w:val="superscript"/>
        </w:rPr>
        <w:t>®</w:t>
      </w:r>
      <w:r>
        <w:rPr>
          <w:noProof/>
        </w:rPr>
        <w:t xml:space="preserve"> device,</w:t>
      </w:r>
      <w:r>
        <w:t xml:space="preserve"> </w:t>
      </w:r>
      <w:r w:rsidRPr="001E75C1">
        <w:rPr>
          <w:vertAlign w:val="superscript"/>
        </w:rPr>
        <w:t>b</w:t>
      </w:r>
      <w:r>
        <w:t xml:space="preserve">: </w:t>
      </w:r>
      <w:r w:rsidRPr="00E10B76">
        <w:t>GRADE Working Group grades of evidence</w:t>
      </w:r>
      <w:r>
        <w:t xml:space="preserve"> </w:t>
      </w:r>
      <w:r>
        <w:rPr>
          <w:noProof/>
        </w:rPr>
        <w:fldChar w:fldCharType="begin"/>
      </w:r>
      <w:r>
        <w:rPr>
          <w:noProof/>
        </w:rPr>
        <w:instrText xml:space="preserve"> ADDIN EN.CITE &lt;EndNote&gt;&lt;Cite&gt;&lt;Author&gt;Guyatt&lt;/Author&gt;&lt;Year&gt;2013&lt;/Year&gt;&lt;RecNum&gt;4&lt;/RecNum&gt;&lt;DisplayText&gt;(Guyatt et al., 2013)&lt;/DisplayText&gt;&lt;record&gt;&lt;rec-number&gt;14&lt;/rec-number&gt;&lt;foreign-keys&gt;&lt;key app="EN" db-id="vv0vzdrs552et9ewwftpfaruaw0z2r5zwa9t" timestamp="1578536612"&gt;14&lt;/key&gt;&lt;/foreign-keys&gt;&lt;ref-type name="Journal Article"&gt;17&lt;/ref-type&gt;&lt;contributors&gt;&lt;authors&gt;&lt;author&gt;Guyatt, G,&lt;/author&gt;&lt;author&gt;Oxman, AD,&lt;/author&gt;&lt;author&gt;Sultan, S, Brozek, J, Glasziou, P, Alonso-Coello, P, Atkins, D, Kunz, R, Montori, V, Jaeschke, R, Rind, D, Dahm, P, Akl, EA, Meerpohl, J, Vist, G, Berliner, E, Norris, S, Falck-Ytter, Y &amp;amp; Schunemann, HJ&lt;/author&gt;&lt;/authors&gt;&lt;/contributors&gt;&lt;titles&gt;&lt;title&gt;GRADE guidelines: 11. Making an overall rating of confidence in effect estimates for a single outcome and for all outcomes&lt;/title&gt;&lt;secondary-title&gt;J Clin Epidemiol&lt;/secondary-title&gt;&lt;/titles&gt;&lt;periodical&gt;&lt;full-title&gt;J Clin Epidemiol&lt;/full-title&gt;&lt;/periodical&gt;&lt;pages&gt;151-157&lt;/pages&gt;&lt;volume&gt;66&lt;/volume&gt;&lt;number&gt;2&lt;/number&gt;&lt;dates&gt;&lt;year&gt;2013&lt;/year&gt;&lt;/dates&gt;&lt;urls&gt;&lt;related-urls&gt;&lt;url&gt;http://www.jclinepi.com/article/S0895-4356(12)00025-X/pdf&lt;/url&gt;&lt;/related-urls&gt;&lt;/urls&gt;&lt;/record&gt;&lt;/Cite&gt;&lt;/EndNote&gt;</w:instrText>
      </w:r>
      <w:r>
        <w:rPr>
          <w:noProof/>
        </w:rPr>
        <w:fldChar w:fldCharType="separate"/>
      </w:r>
      <w:r>
        <w:rPr>
          <w:noProof/>
        </w:rPr>
        <w:t>(</w:t>
      </w:r>
      <w:hyperlink w:anchor="_ENREF_11" w:tooltip="Guyatt, 2013 #4" w:history="1">
        <w:r>
          <w:rPr>
            <w:noProof/>
          </w:rPr>
          <w:t>Guyatt et al., 2013</w:t>
        </w:r>
      </w:hyperlink>
      <w:r>
        <w:rPr>
          <w:noProof/>
        </w:rPr>
        <w:t>)</w:t>
      </w:r>
      <w:r>
        <w:rPr>
          <w:noProof/>
        </w:rPr>
        <w:fldChar w:fldCharType="end"/>
      </w:r>
      <w:r>
        <w:rPr>
          <w:noProof/>
        </w:rPr>
        <w:t xml:space="preserve">, </w:t>
      </w:r>
      <w:r w:rsidRPr="008342B2">
        <w:rPr>
          <w:noProof/>
          <w:vertAlign w:val="superscript"/>
        </w:rPr>
        <w:t>c</w:t>
      </w:r>
      <w:r>
        <w:rPr>
          <w:noProof/>
        </w:rPr>
        <w:t xml:space="preserve">: </w:t>
      </w:r>
      <w:r>
        <w:t xml:space="preserve">Conclusions not based on direct comparisons, </w:t>
      </w:r>
      <w:r>
        <w:rPr>
          <w:vertAlign w:val="superscript"/>
        </w:rPr>
        <w:t>d</w:t>
      </w:r>
      <w:r>
        <w:t xml:space="preserve">: Few studies, </w:t>
      </w:r>
      <w:r>
        <w:rPr>
          <w:color w:val="000000" w:themeColor="text1"/>
          <w:vertAlign w:val="superscript"/>
        </w:rPr>
        <w:t>e</w:t>
      </w:r>
      <w:r>
        <w:rPr>
          <w:color w:val="000000" w:themeColor="text1"/>
        </w:rPr>
        <w:t xml:space="preserve">: median follow-up for both RCT arms, </w:t>
      </w:r>
      <w:r>
        <w:rPr>
          <w:color w:val="000000" w:themeColor="text1"/>
          <w:vertAlign w:val="superscript"/>
        </w:rPr>
        <w:t>f</w:t>
      </w:r>
      <w:r>
        <w:rPr>
          <w:color w:val="000000" w:themeColor="text1"/>
        </w:rPr>
        <w:t>: 28 breast cancer deaths in both arms of RCT. Unclear how many deaths in only WB-EBRT arm</w:t>
      </w:r>
      <w:r w:rsidRPr="003B6818">
        <w:rPr>
          <w:noProof/>
          <w:color w:val="000000" w:themeColor="text1"/>
        </w:rPr>
        <w:t>.</w:t>
      </w:r>
      <w:r>
        <w:t xml:space="preserve"> </w:t>
      </w:r>
    </w:p>
    <w:p w14:paraId="7AB3E634" w14:textId="77777777" w:rsidR="00F02FC8" w:rsidRPr="0064397F" w:rsidRDefault="00F02FC8" w:rsidP="00F02FC8">
      <w:pPr>
        <w:pStyle w:val="Tablenotes"/>
      </w:pPr>
      <w:r>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b/>
          <w:bCs/>
        </w:rPr>
        <w:t>Very low quality:</w:t>
      </w:r>
      <w:r w:rsidRPr="00E10B76">
        <w:t xml:space="preserve"> </w:t>
      </w:r>
      <w:r>
        <w:t>We have very little confidence in the effect estimate: The true effect is likely to be substantially different from the estimate of effect.</w:t>
      </w:r>
    </w:p>
    <w:p w14:paraId="62935F16" w14:textId="5B1EF0CA" w:rsidR="00F02FC8" w:rsidRDefault="00F02FC8" w:rsidP="00F02FC8">
      <w:r>
        <w:t>Following a complete naïve indirect comparison of the literature for Axxent</w:t>
      </w:r>
      <w:r w:rsidRPr="00A83669">
        <w:rPr>
          <w:vertAlign w:val="superscript"/>
        </w:rPr>
        <w:t>®</w:t>
      </w:r>
      <w:r>
        <w:t xml:space="preserve"> and WB-EBRT, the DCAR stated that it is likely that Axxent is non-inferior to WB-EBRT. However, there is a degree of uncertainty due to the large disparity in the body of evidence available for Axxent</w:t>
      </w:r>
      <w:r w:rsidRPr="00F37FB0">
        <w:rPr>
          <w:vertAlign w:val="superscript"/>
        </w:rPr>
        <w:t>®</w:t>
      </w:r>
      <w:r>
        <w:t xml:space="preserve"> relative to WB-EBRT. Specifically, Axxent</w:t>
      </w:r>
      <w:r w:rsidRPr="00F37FB0">
        <w:rPr>
          <w:vertAlign w:val="superscript"/>
        </w:rPr>
        <w:t>®</w:t>
      </w:r>
      <w:r>
        <w:t xml:space="preserve"> has only been studied in case series studies, compared to WB-EBRT which is subject to several good quality RCTs. In addition, Axxent</w:t>
      </w:r>
      <w:r w:rsidRPr="00F37FB0">
        <w:rPr>
          <w:vertAlign w:val="superscript"/>
        </w:rPr>
        <w:t>®</w:t>
      </w:r>
      <w:r>
        <w:t xml:space="preserve"> has shorter follow-up data of up to three years, compared to WB-EBRT that has follow-up data for up to 10.2 years. Therefore, although it is likely that Axxent</w:t>
      </w:r>
      <w:r w:rsidRPr="00F37FB0">
        <w:rPr>
          <w:vertAlign w:val="superscript"/>
        </w:rPr>
        <w:t>®</w:t>
      </w:r>
      <w:r>
        <w:t xml:space="preserve"> is non-inferior to WB-EBRT, it remains difficult to conclude the relative effectiveness of the two techniques.</w:t>
      </w:r>
    </w:p>
    <w:p w14:paraId="76F0E3F8" w14:textId="502B4AF9" w:rsidR="002C2931" w:rsidRDefault="00E9302D" w:rsidP="00ED7C46">
      <w:pPr>
        <w:spacing w:before="240"/>
      </w:pPr>
      <w:r>
        <w:t>In the</w:t>
      </w:r>
      <w:r w:rsidR="002C2931">
        <w:t xml:space="preserve"> pre-MSAC response, the applicant stated that Monash Health/Peter MacCallum Cancer Centre, Clayton, Victoria, Australia was one of the 28 worldwide clinical sites participating </w:t>
      </w:r>
      <w:r w:rsidR="002C2931">
        <w:lastRenderedPageBreak/>
        <w:t>in the 1,200 patient Xoft Sponsored Clinical Trial which reached full enrollment July 2018, with a median 4 year follow-up (</w:t>
      </w:r>
      <w:hyperlink r:id="rId13" w:tooltip="Link to Clinical Trials website" w:history="1">
        <w:r w:rsidR="002C2931" w:rsidRPr="00BC2392">
          <w:rPr>
            <w:rStyle w:val="Hyperlink"/>
          </w:rPr>
          <w:t>NCT01644669</w:t>
        </w:r>
      </w:hyperlink>
      <w:r w:rsidR="002C2931">
        <w:t>). The applicant also stated pre-publication ipsilateral recurrence data appear non-inferior to WB-EBRT and appear comparable to the predicate device.</w:t>
      </w:r>
      <w:r w:rsidR="002C2931" w:rsidRPr="003058E5">
        <w:t xml:space="preserve"> </w:t>
      </w:r>
      <w:r w:rsidR="002C2931">
        <w:t xml:space="preserve">The estimated primary completion date and study completion date for the global randomised trial is </w:t>
      </w:r>
      <w:r w:rsidR="009E4982">
        <w:t>July</w:t>
      </w:r>
      <w:r w:rsidR="002C2931">
        <w:t xml:space="preserve"> 2023 and December 202</w:t>
      </w:r>
      <w:r w:rsidR="00722AF9">
        <w:t>9</w:t>
      </w:r>
      <w:r w:rsidR="002C2931">
        <w:t xml:space="preserve">, respectively. The primary outcome is </w:t>
      </w:r>
      <w:r w:rsidR="002C2931" w:rsidRPr="007D0CA9">
        <w:t>rate of ipsilateral breast tumo</w:t>
      </w:r>
      <w:r w:rsidR="002C2931">
        <w:t>u</w:t>
      </w:r>
      <w:r w:rsidR="002C2931" w:rsidRPr="007D0CA9">
        <w:t>r recurrence (IBTR) at 5 years</w:t>
      </w:r>
      <w:r w:rsidR="002C2931">
        <w:t>, and a non-inferiority comparison with WB-EBRT will be provided at 5 years. IBRT (and other secondary outcomes such as survival, quality of life) will also be assessed at 5 and 10-year follow-up.</w:t>
      </w:r>
    </w:p>
    <w:p w14:paraId="7AA982E7" w14:textId="1B09900D" w:rsidR="0045381D" w:rsidRDefault="0045381D" w:rsidP="00EA4F7E">
      <w:pPr>
        <w:spacing w:before="240" w:after="240"/>
      </w:pPr>
      <w:r>
        <w:t>I</w:t>
      </w:r>
      <w:r w:rsidR="00E9302D">
        <w:t>n the</w:t>
      </w:r>
      <w:r w:rsidR="002C2931">
        <w:t xml:space="preserve"> pre-MSAC response, the applicant</w:t>
      </w:r>
      <w:r w:rsidR="00987454">
        <w:t xml:space="preserve"> also</w:t>
      </w:r>
      <w:r w:rsidR="002C2931">
        <w:t xml:space="preserve"> highlighted the position paper from RANZCR on IORT for</w:t>
      </w:r>
      <w:r>
        <w:t xml:space="preserve"> early stage</w:t>
      </w:r>
      <w:r w:rsidR="002C2931">
        <w:t xml:space="preserve"> breast cancer:</w:t>
      </w:r>
    </w:p>
    <w:p w14:paraId="26E6EDCE" w14:textId="2956DB01" w:rsidR="0045381D" w:rsidRDefault="002C2931" w:rsidP="00EA4F7E">
      <w:pPr>
        <w:ind w:left="720"/>
      </w:pPr>
      <w:r>
        <w:t xml:space="preserve">‘The Faculty of Radiation Oncology of the Royal Australian and New Zealand College of Radiologists does not currently support intraoperative radiotherapy (IORT) as an established method for treatment of early breast cancer outside of ongoing clinical trials… It is the Faculty’s view that currently available evidence is too limited to make definitive conclusions and that minimum patient follow-up data of 10 years would be required to establish an appropriate evidence base.’ </w:t>
      </w:r>
    </w:p>
    <w:p w14:paraId="4EDDCC88" w14:textId="0C9B60E2" w:rsidR="002C2931" w:rsidRDefault="002C2931" w:rsidP="00EA4F7E">
      <w:pPr>
        <w:spacing w:before="240"/>
      </w:pPr>
      <w:r>
        <w:t>The applicant acknowledged that the data for Axxent</w:t>
      </w:r>
      <w:r w:rsidRPr="003B157C">
        <w:rPr>
          <w:vertAlign w:val="superscript"/>
        </w:rPr>
        <w:t>®</w:t>
      </w:r>
      <w:r>
        <w:t xml:space="preserve"> is not as mature as the existing standard of care, and Monash Health has set up an IORT Trial Registry in order to further monitor the development of the therapy.</w:t>
      </w:r>
    </w:p>
    <w:p w14:paraId="4AB3B51E" w14:textId="77777777" w:rsidR="00F02FC8" w:rsidRDefault="00F02FC8" w:rsidP="00F02FC8">
      <w:pPr>
        <w:pStyle w:val="Heading2"/>
      </w:pPr>
      <w:r>
        <w:t xml:space="preserve">Vs. </w:t>
      </w:r>
      <w:r w:rsidRPr="00730A81">
        <w:t>Intrabeam</w:t>
      </w:r>
      <w:r w:rsidRPr="00E7260B">
        <w:rPr>
          <w:vertAlign w:val="superscript"/>
        </w:rPr>
        <w:t>®</w:t>
      </w:r>
    </w:p>
    <w:p w14:paraId="6B382FD7" w14:textId="77777777" w:rsidR="00F02FC8" w:rsidRPr="00F02FC8" w:rsidRDefault="00F02FC8" w:rsidP="00F02FC8">
      <w:pPr>
        <w:pStyle w:val="Heading3"/>
        <w:spacing w:before="240"/>
        <w:rPr>
          <w:rFonts w:ascii="Times New Roman" w:hAnsi="Times New Roman" w:cs="Times New Roman"/>
          <w:color w:val="auto"/>
          <w:u w:val="single"/>
        </w:rPr>
      </w:pPr>
      <w:r w:rsidRPr="00F02FC8">
        <w:rPr>
          <w:rFonts w:ascii="Times New Roman" w:hAnsi="Times New Roman" w:cs="Times New Roman"/>
          <w:color w:val="auto"/>
          <w:u w:val="single"/>
        </w:rPr>
        <w:t>Recurrence</w:t>
      </w:r>
    </w:p>
    <w:p w14:paraId="0CED3D4D" w14:textId="4F47CD1A" w:rsidR="00916548" w:rsidRPr="00EA4F7E" w:rsidRDefault="00F02FC8" w:rsidP="00EA4F7E">
      <w:r w:rsidRPr="00FD5578">
        <w:t>Axxent</w:t>
      </w:r>
      <w:r w:rsidRPr="00F37FB0">
        <w:rPr>
          <w:vertAlign w:val="superscript"/>
        </w:rPr>
        <w:t>®</w:t>
      </w:r>
      <w:r w:rsidRPr="00FD5578">
        <w:t xml:space="preserve"> does not appear to have substantially </w:t>
      </w:r>
      <w:r w:rsidRPr="00BA426D">
        <w:t>higher</w:t>
      </w:r>
      <w:r w:rsidRPr="00FD5578">
        <w:t xml:space="preserve"> rates of local recurrence of ductal ca</w:t>
      </w:r>
      <w:r>
        <w:t>rcinoma in situ than Intrabeam</w:t>
      </w:r>
      <w:r w:rsidRPr="00342FB6">
        <w:rPr>
          <w:vertAlign w:val="superscript"/>
        </w:rPr>
        <w:t>®</w:t>
      </w:r>
      <w:r>
        <w:t>. (Table 6) Distant recurrence was not reported for Axxent</w:t>
      </w:r>
      <w:r w:rsidRPr="00342FB6">
        <w:rPr>
          <w:vertAlign w:val="superscript"/>
        </w:rPr>
        <w:t xml:space="preserve">®, </w:t>
      </w:r>
      <w:r>
        <w:t xml:space="preserve">however, one study from </w:t>
      </w:r>
      <w:r w:rsidR="00916548">
        <w:t xml:space="preserve">the </w:t>
      </w:r>
      <w:r>
        <w:t>previous submission reported 3.9% of patients had a distant recurrence with Intrabeam</w:t>
      </w:r>
      <w:r w:rsidRPr="00342FB6">
        <w:rPr>
          <w:vertAlign w:val="superscript"/>
        </w:rPr>
        <w:t>®</w:t>
      </w:r>
      <w:r>
        <w:t xml:space="preserve"> (Vaidya </w:t>
      </w:r>
      <w:r>
        <w:rPr>
          <w:i/>
          <w:iCs/>
        </w:rPr>
        <w:t>et al</w:t>
      </w:r>
      <w:r>
        <w:t xml:space="preserve"> 2014) (Table 5).</w:t>
      </w:r>
      <w:bookmarkStart w:id="13" w:name="_Ref29212738"/>
      <w:bookmarkStart w:id="14" w:name="_Toc29554542"/>
      <w:r w:rsidR="00916548">
        <w:br w:type="page"/>
      </w:r>
    </w:p>
    <w:p w14:paraId="221BAFFB" w14:textId="79A0125C" w:rsidR="00F02FC8" w:rsidRPr="00ED7C46" w:rsidRDefault="00F02FC8" w:rsidP="00ED7C46">
      <w:pPr>
        <w:rPr>
          <w:rFonts w:ascii="Arial Narrow" w:hAnsi="Arial Narrow"/>
          <w:b/>
          <w:sz w:val="20"/>
        </w:rPr>
      </w:pPr>
      <w:r w:rsidRPr="00ED7C46">
        <w:rPr>
          <w:rFonts w:ascii="Arial Narrow" w:hAnsi="Arial Narrow"/>
          <w:b/>
          <w:sz w:val="20"/>
        </w:rPr>
        <w:lastRenderedPageBreak/>
        <w:t xml:space="preserve">Table </w:t>
      </w:r>
      <w:bookmarkEnd w:id="13"/>
      <w:r w:rsidRPr="00ED7C46">
        <w:rPr>
          <w:rFonts w:ascii="Arial Narrow" w:hAnsi="Arial Narrow"/>
          <w:b/>
          <w:sz w:val="20"/>
        </w:rPr>
        <w:t>6</w:t>
      </w:r>
      <w:r w:rsidRPr="00ED7C46">
        <w:rPr>
          <w:rFonts w:ascii="Arial Narrow" w:hAnsi="Arial Narrow"/>
          <w:b/>
          <w:sz w:val="20"/>
        </w:rPr>
        <w:tab/>
        <w:t>Local and distant cancer recurrence results across the included studies</w:t>
      </w:r>
      <w:bookmarkEnd w:id="14"/>
      <w:r w:rsidRPr="00ED7C46">
        <w:rPr>
          <w:rFonts w:ascii="Arial Narrow" w:hAnsi="Arial Narrow"/>
          <w:b/>
          <w:sz w:val="20"/>
        </w:rPr>
        <w:t xml:space="preserve"> (abridged; new studies only)</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6 Local and distant cancer recurrence results across the included studies (abridged; new studies only)"/>
        <w:tblDescription w:val="This table provides a summary of the findings in each study forocal cancer recurrence. Results for the intervention and comparator are provided."/>
      </w:tblPr>
      <w:tblGrid>
        <w:gridCol w:w="1886"/>
        <w:gridCol w:w="1225"/>
        <w:gridCol w:w="1459"/>
        <w:gridCol w:w="2372"/>
        <w:gridCol w:w="2076"/>
      </w:tblGrid>
      <w:tr w:rsidR="00F02FC8" w:rsidRPr="00322E10" w14:paraId="0DAB137D" w14:textId="77777777" w:rsidTr="00E9302D">
        <w:trPr>
          <w:tblHeader/>
        </w:trPr>
        <w:tc>
          <w:tcPr>
            <w:tcW w:w="1046" w:type="pct"/>
            <w:tcBorders>
              <w:bottom w:val="single" w:sz="4" w:space="0" w:color="auto"/>
            </w:tcBorders>
            <w:shd w:val="clear" w:color="auto" w:fill="auto"/>
          </w:tcPr>
          <w:p w14:paraId="1B3AF4BF" w14:textId="77777777" w:rsidR="00F02FC8" w:rsidRPr="00AF35D1" w:rsidRDefault="00F02FC8" w:rsidP="00E9302D">
            <w:pPr>
              <w:pStyle w:val="TableHeading"/>
            </w:pPr>
            <w:r w:rsidRPr="00AF35D1">
              <w:t>Study ID</w:t>
            </w:r>
          </w:p>
        </w:tc>
        <w:tc>
          <w:tcPr>
            <w:tcW w:w="679" w:type="pct"/>
          </w:tcPr>
          <w:p w14:paraId="3FCBFE95" w14:textId="77777777" w:rsidR="00F02FC8" w:rsidRPr="00AF35D1" w:rsidRDefault="00F02FC8" w:rsidP="00E9302D">
            <w:pPr>
              <w:pStyle w:val="TableHeading"/>
            </w:pPr>
            <w:r w:rsidRPr="00AF35D1">
              <w:t>Device</w:t>
            </w:r>
          </w:p>
          <w:p w14:paraId="0FF260A4" w14:textId="77777777" w:rsidR="00F02FC8" w:rsidRPr="00AF35D1" w:rsidRDefault="00F02FC8" w:rsidP="00E9302D">
            <w:pPr>
              <w:pStyle w:val="TableHeading"/>
            </w:pPr>
          </w:p>
        </w:tc>
        <w:tc>
          <w:tcPr>
            <w:tcW w:w="809" w:type="pct"/>
          </w:tcPr>
          <w:p w14:paraId="60722421" w14:textId="77777777" w:rsidR="00F02FC8" w:rsidRPr="00AF35D1" w:rsidRDefault="00F02FC8" w:rsidP="00E9302D">
            <w:pPr>
              <w:pStyle w:val="TableHeading"/>
            </w:pPr>
            <w:r w:rsidRPr="00AF35D1">
              <w:t>Follow-up time</w:t>
            </w:r>
          </w:p>
        </w:tc>
        <w:tc>
          <w:tcPr>
            <w:tcW w:w="1315" w:type="pct"/>
          </w:tcPr>
          <w:p w14:paraId="15E0FACE" w14:textId="77777777" w:rsidR="00F02FC8" w:rsidRPr="00AF35D1" w:rsidRDefault="00F02FC8" w:rsidP="00E9302D">
            <w:pPr>
              <w:pStyle w:val="TableHeading"/>
            </w:pPr>
            <w:r w:rsidRPr="00AF35D1">
              <w:t>Local recurrence rate</w:t>
            </w:r>
          </w:p>
          <w:p w14:paraId="73026B21" w14:textId="77777777" w:rsidR="00F02FC8" w:rsidRPr="00AF35D1" w:rsidRDefault="00F02FC8" w:rsidP="00E9302D">
            <w:pPr>
              <w:pStyle w:val="TableHeading"/>
            </w:pPr>
            <w:r w:rsidRPr="00AF35D1">
              <w:t>n with event/N (%)</w:t>
            </w:r>
          </w:p>
        </w:tc>
        <w:tc>
          <w:tcPr>
            <w:tcW w:w="1151" w:type="pct"/>
          </w:tcPr>
          <w:p w14:paraId="3ED4B6F7" w14:textId="77777777" w:rsidR="00F02FC8" w:rsidRPr="00AF35D1" w:rsidRDefault="00F02FC8" w:rsidP="00E9302D">
            <w:pPr>
              <w:pStyle w:val="TableHeading"/>
            </w:pPr>
            <w:r w:rsidRPr="00AF35D1">
              <w:t>Distant recurrence rate</w:t>
            </w:r>
          </w:p>
          <w:p w14:paraId="017C03D1" w14:textId="77777777" w:rsidR="00F02FC8" w:rsidRPr="00AF35D1" w:rsidRDefault="00F02FC8" w:rsidP="00E9302D">
            <w:pPr>
              <w:pStyle w:val="TableHeading"/>
            </w:pPr>
            <w:r w:rsidRPr="00AF35D1">
              <w:t>n with event/N (%)</w:t>
            </w:r>
          </w:p>
        </w:tc>
      </w:tr>
      <w:tr w:rsidR="00F02FC8" w:rsidRPr="00322E10" w14:paraId="6291772A" w14:textId="77777777" w:rsidTr="00E9302D">
        <w:tc>
          <w:tcPr>
            <w:tcW w:w="1046" w:type="pct"/>
            <w:tcBorders>
              <w:top w:val="single" w:sz="4" w:space="0" w:color="auto"/>
              <w:left w:val="single" w:sz="4" w:space="0" w:color="auto"/>
              <w:bottom w:val="nil"/>
              <w:right w:val="single" w:sz="4" w:space="0" w:color="auto"/>
            </w:tcBorders>
            <w:shd w:val="clear" w:color="auto" w:fill="auto"/>
          </w:tcPr>
          <w:p w14:paraId="77175C7A" w14:textId="77777777" w:rsidR="00F02FC8" w:rsidRDefault="00F02FC8" w:rsidP="00E9302D">
            <w:pPr>
              <w:pStyle w:val="Tabletext0"/>
              <w:rPr>
                <w:color w:val="000000" w:themeColor="text1"/>
              </w:rPr>
            </w:pPr>
            <w:r>
              <w:t>Lai et al. (2006)</w:t>
            </w:r>
          </w:p>
        </w:tc>
        <w:tc>
          <w:tcPr>
            <w:tcW w:w="679" w:type="pct"/>
            <w:shd w:val="clear" w:color="auto" w:fill="DEEAF6" w:themeFill="accent1" w:themeFillTint="33"/>
          </w:tcPr>
          <w:p w14:paraId="5643B742" w14:textId="77777777" w:rsidR="00F02FC8" w:rsidRPr="00D51A91" w:rsidRDefault="00F02FC8" w:rsidP="00E9302D">
            <w:pPr>
              <w:pStyle w:val="Tabletext0"/>
              <w:jc w:val="both"/>
              <w:rPr>
                <w:strike/>
                <w:color w:val="A6A6A6" w:themeColor="background1" w:themeShade="A6"/>
              </w:rPr>
            </w:pPr>
            <w:r w:rsidRPr="00721457">
              <w:t>Axxent</w:t>
            </w:r>
            <w:r w:rsidRPr="00BD1CAA">
              <w:rPr>
                <w:vertAlign w:val="superscript"/>
              </w:rPr>
              <w:t>®</w:t>
            </w:r>
          </w:p>
        </w:tc>
        <w:tc>
          <w:tcPr>
            <w:tcW w:w="809" w:type="pct"/>
          </w:tcPr>
          <w:p w14:paraId="7EDA35AA" w14:textId="77777777" w:rsidR="00F02FC8" w:rsidRPr="00D51A91" w:rsidRDefault="00F02FC8" w:rsidP="00E9302D">
            <w:pPr>
              <w:pStyle w:val="Tabletext0"/>
              <w:rPr>
                <w:strike/>
                <w:color w:val="A6A6A6" w:themeColor="background1" w:themeShade="A6"/>
              </w:rPr>
            </w:pPr>
            <w:r>
              <w:t>Median 1.3 years</w:t>
            </w:r>
          </w:p>
        </w:tc>
        <w:tc>
          <w:tcPr>
            <w:tcW w:w="1315" w:type="pct"/>
          </w:tcPr>
          <w:p w14:paraId="1449C108" w14:textId="77777777" w:rsidR="00F02FC8" w:rsidRDefault="00F02FC8" w:rsidP="00E9302D">
            <w:pPr>
              <w:pStyle w:val="Tabletext0"/>
            </w:pPr>
            <w:r>
              <w:t>1/261 (0.4)</w:t>
            </w:r>
          </w:p>
        </w:tc>
        <w:tc>
          <w:tcPr>
            <w:tcW w:w="1151" w:type="pct"/>
          </w:tcPr>
          <w:p w14:paraId="6C7F1690" w14:textId="77777777" w:rsidR="00F02FC8" w:rsidRDefault="00F02FC8" w:rsidP="00E9302D">
            <w:pPr>
              <w:pStyle w:val="Tabletext0"/>
            </w:pPr>
            <w:r>
              <w:t>Not reported</w:t>
            </w:r>
          </w:p>
        </w:tc>
      </w:tr>
      <w:tr w:rsidR="00F02FC8" w:rsidRPr="00322E10" w14:paraId="2B83D0B6" w14:textId="77777777" w:rsidTr="00E9302D">
        <w:tc>
          <w:tcPr>
            <w:tcW w:w="1046" w:type="pct"/>
            <w:tcBorders>
              <w:top w:val="single" w:sz="4" w:space="0" w:color="auto"/>
              <w:left w:val="single" w:sz="4" w:space="0" w:color="auto"/>
              <w:bottom w:val="nil"/>
              <w:right w:val="single" w:sz="4" w:space="0" w:color="auto"/>
            </w:tcBorders>
            <w:shd w:val="clear" w:color="auto" w:fill="auto"/>
          </w:tcPr>
          <w:p w14:paraId="019572FC" w14:textId="77777777" w:rsidR="00F02FC8" w:rsidRDefault="00F02FC8" w:rsidP="00E9302D">
            <w:pPr>
              <w:pStyle w:val="Tabletext0"/>
              <w:rPr>
                <w:color w:val="000000" w:themeColor="text1"/>
              </w:rPr>
            </w:pPr>
            <w:r>
              <w:t>Silverstein et al. (2018)</w:t>
            </w:r>
          </w:p>
        </w:tc>
        <w:tc>
          <w:tcPr>
            <w:tcW w:w="679" w:type="pct"/>
            <w:shd w:val="clear" w:color="auto" w:fill="DEEAF6" w:themeFill="accent1" w:themeFillTint="33"/>
          </w:tcPr>
          <w:p w14:paraId="5D68D02A" w14:textId="77777777" w:rsidR="00F02FC8" w:rsidRPr="00D51A91" w:rsidRDefault="00F02FC8" w:rsidP="00E9302D">
            <w:pPr>
              <w:pStyle w:val="Tabletext0"/>
              <w:jc w:val="both"/>
              <w:rPr>
                <w:strike/>
                <w:color w:val="A6A6A6" w:themeColor="background1" w:themeShade="A6"/>
              </w:rPr>
            </w:pPr>
            <w:r>
              <w:t>Axxent</w:t>
            </w:r>
            <w:r w:rsidRPr="00BD1CAA">
              <w:rPr>
                <w:vertAlign w:val="superscript"/>
              </w:rPr>
              <w:t>®</w:t>
            </w:r>
            <w:r>
              <w:t xml:space="preserve"> </w:t>
            </w:r>
          </w:p>
        </w:tc>
        <w:tc>
          <w:tcPr>
            <w:tcW w:w="809" w:type="pct"/>
          </w:tcPr>
          <w:p w14:paraId="1906B1F4" w14:textId="77777777" w:rsidR="00F02FC8" w:rsidRPr="00D51A91" w:rsidRDefault="00F02FC8" w:rsidP="00E9302D">
            <w:pPr>
              <w:pStyle w:val="Tabletext0"/>
              <w:rPr>
                <w:strike/>
                <w:color w:val="A6A6A6" w:themeColor="background1" w:themeShade="A6"/>
              </w:rPr>
            </w:pPr>
            <w:r>
              <w:t xml:space="preserve">Median 3.0 years </w:t>
            </w:r>
          </w:p>
        </w:tc>
        <w:tc>
          <w:tcPr>
            <w:tcW w:w="1315" w:type="pct"/>
          </w:tcPr>
          <w:p w14:paraId="30E5A2A7" w14:textId="77777777" w:rsidR="00F02FC8" w:rsidRDefault="00F02FC8" w:rsidP="00E9302D">
            <w:pPr>
              <w:pStyle w:val="Tabletext0"/>
              <w:rPr>
                <w:vertAlign w:val="superscript"/>
              </w:rPr>
            </w:pPr>
            <w:r>
              <w:t xml:space="preserve">Any recurrence: 26/836 (3.1) </w:t>
            </w:r>
            <w:r>
              <w:rPr>
                <w:vertAlign w:val="superscript"/>
              </w:rPr>
              <w:t>a</w:t>
            </w:r>
          </w:p>
          <w:p w14:paraId="749D9F4E" w14:textId="77777777" w:rsidR="00F02FC8" w:rsidRDefault="00F02FC8" w:rsidP="00E9302D">
            <w:pPr>
              <w:pStyle w:val="Tabletext0"/>
            </w:pPr>
            <w:r w:rsidRPr="00D527CB">
              <w:t xml:space="preserve">For invasive carcinoma only: </w:t>
            </w:r>
            <w:r>
              <w:t>17</w:t>
            </w:r>
            <w:r w:rsidRPr="00D527CB">
              <w:t>/</w:t>
            </w:r>
            <w:r>
              <w:t>836</w:t>
            </w:r>
            <w:r w:rsidRPr="00D527CB">
              <w:t xml:space="preserve"> (</w:t>
            </w:r>
            <w:r>
              <w:t>2.0)</w:t>
            </w:r>
          </w:p>
        </w:tc>
        <w:tc>
          <w:tcPr>
            <w:tcW w:w="1151" w:type="pct"/>
          </w:tcPr>
          <w:p w14:paraId="5DF56DD8" w14:textId="77777777" w:rsidR="00F02FC8" w:rsidRDefault="00F02FC8" w:rsidP="00E9302D">
            <w:pPr>
              <w:pStyle w:val="Tabletext0"/>
            </w:pPr>
            <w:r>
              <w:t>Not reported</w:t>
            </w:r>
          </w:p>
        </w:tc>
      </w:tr>
      <w:tr w:rsidR="00F02FC8" w:rsidRPr="00322E10" w14:paraId="6273F7ED" w14:textId="77777777" w:rsidTr="00E9302D">
        <w:tc>
          <w:tcPr>
            <w:tcW w:w="1046" w:type="pct"/>
            <w:tcBorders>
              <w:top w:val="nil"/>
              <w:left w:val="single" w:sz="4" w:space="0" w:color="auto"/>
              <w:bottom w:val="single" w:sz="4" w:space="0" w:color="auto"/>
              <w:right w:val="single" w:sz="4" w:space="0" w:color="auto"/>
            </w:tcBorders>
            <w:shd w:val="clear" w:color="auto" w:fill="auto"/>
          </w:tcPr>
          <w:p w14:paraId="7AEA9667" w14:textId="77777777" w:rsidR="00F02FC8" w:rsidRPr="009A0B6C" w:rsidRDefault="00F02FC8" w:rsidP="00E9302D">
            <w:pPr>
              <w:pStyle w:val="Tabletext0"/>
            </w:pPr>
            <w:r w:rsidRPr="009A0B6C">
              <w:t>Key et al. (2017)</w:t>
            </w:r>
          </w:p>
        </w:tc>
        <w:tc>
          <w:tcPr>
            <w:tcW w:w="679" w:type="pct"/>
            <w:shd w:val="clear" w:color="auto" w:fill="FFFFCC"/>
          </w:tcPr>
          <w:p w14:paraId="1498E7C7" w14:textId="77777777" w:rsidR="00F02FC8" w:rsidRPr="009A0B6C" w:rsidRDefault="00F02FC8" w:rsidP="00E9302D">
            <w:pPr>
              <w:pStyle w:val="Tabletext0"/>
            </w:pPr>
            <w:r w:rsidRPr="009A0B6C">
              <w:t>Intrabeam</w:t>
            </w:r>
            <w:r w:rsidRPr="00BD1CAA">
              <w:rPr>
                <w:vertAlign w:val="superscript"/>
              </w:rPr>
              <w:t>®</w:t>
            </w:r>
          </w:p>
        </w:tc>
        <w:tc>
          <w:tcPr>
            <w:tcW w:w="809" w:type="pct"/>
          </w:tcPr>
          <w:p w14:paraId="49008898" w14:textId="77777777" w:rsidR="00F02FC8" w:rsidRPr="009A0B6C" w:rsidRDefault="00F02FC8" w:rsidP="00E9302D">
            <w:pPr>
              <w:pStyle w:val="Tabletext0"/>
            </w:pPr>
            <w:r>
              <w:t>Median 3.2 years</w:t>
            </w:r>
          </w:p>
        </w:tc>
        <w:tc>
          <w:tcPr>
            <w:tcW w:w="1315" w:type="pct"/>
          </w:tcPr>
          <w:p w14:paraId="34851E1D" w14:textId="77777777" w:rsidR="00F02FC8" w:rsidRDefault="00F02FC8" w:rsidP="00E9302D">
            <w:pPr>
              <w:pStyle w:val="Tabletext0"/>
            </w:pPr>
            <w:r>
              <w:t>0/41 (0)</w:t>
            </w:r>
          </w:p>
        </w:tc>
        <w:tc>
          <w:tcPr>
            <w:tcW w:w="1151" w:type="pct"/>
          </w:tcPr>
          <w:p w14:paraId="71E111C7" w14:textId="77777777" w:rsidR="00F02FC8" w:rsidRDefault="00F02FC8" w:rsidP="00E9302D">
            <w:pPr>
              <w:pStyle w:val="Tabletext0"/>
            </w:pPr>
            <w:r>
              <w:t>Not reported</w:t>
            </w:r>
          </w:p>
        </w:tc>
      </w:tr>
      <w:tr w:rsidR="00F02FC8" w:rsidRPr="00322E10" w14:paraId="7B55E1DB" w14:textId="77777777" w:rsidTr="00E9302D">
        <w:tc>
          <w:tcPr>
            <w:tcW w:w="1046" w:type="pct"/>
            <w:vMerge w:val="restart"/>
            <w:shd w:val="clear" w:color="auto" w:fill="auto"/>
          </w:tcPr>
          <w:p w14:paraId="15FB2A06" w14:textId="77777777" w:rsidR="00F02FC8" w:rsidRPr="009303F9" w:rsidRDefault="00F02FC8" w:rsidP="00E9302D">
            <w:pPr>
              <w:pStyle w:val="Tabletext0"/>
            </w:pPr>
            <w:r w:rsidRPr="009303F9">
              <w:t>GRADE analysis</w:t>
            </w:r>
          </w:p>
        </w:tc>
        <w:tc>
          <w:tcPr>
            <w:tcW w:w="679" w:type="pct"/>
            <w:shd w:val="clear" w:color="auto" w:fill="auto"/>
          </w:tcPr>
          <w:p w14:paraId="5F87E35F" w14:textId="77777777" w:rsidR="00F02FC8" w:rsidRPr="009303F9" w:rsidRDefault="00F02FC8" w:rsidP="00E9302D">
            <w:pPr>
              <w:pStyle w:val="Tabletext0"/>
              <w:jc w:val="both"/>
              <w:rPr>
                <w:vertAlign w:val="superscript"/>
              </w:rPr>
            </w:pPr>
            <w:r w:rsidRPr="009303F9">
              <w:t>Summary</w:t>
            </w:r>
            <w:r w:rsidRPr="009303F9">
              <w:rPr>
                <w:vertAlign w:val="superscript"/>
              </w:rPr>
              <w:t xml:space="preserve"> a</w:t>
            </w:r>
          </w:p>
        </w:tc>
        <w:tc>
          <w:tcPr>
            <w:tcW w:w="809" w:type="pct"/>
            <w:shd w:val="clear" w:color="auto" w:fill="auto"/>
          </w:tcPr>
          <w:p w14:paraId="7B2AA061" w14:textId="77777777" w:rsidR="00F02FC8" w:rsidRPr="009303F9" w:rsidRDefault="00F02FC8" w:rsidP="00E9302D">
            <w:pPr>
              <w:pStyle w:val="Tabletext0"/>
            </w:pPr>
          </w:p>
        </w:tc>
        <w:tc>
          <w:tcPr>
            <w:tcW w:w="1315" w:type="pct"/>
          </w:tcPr>
          <w:p w14:paraId="2D57A685" w14:textId="77777777" w:rsidR="00F02FC8" w:rsidRPr="009303F9" w:rsidRDefault="00F02FC8" w:rsidP="00E9302D">
            <w:pPr>
              <w:pStyle w:val="Tabletext0"/>
              <w:rPr>
                <w:color w:val="00B050"/>
              </w:rPr>
            </w:pPr>
            <w:r w:rsidRPr="009303F9">
              <w:rPr>
                <w:color w:val="00B050"/>
              </w:rPr>
              <w:t>Axxent</w:t>
            </w:r>
            <w:r w:rsidRPr="009B4980">
              <w:rPr>
                <w:color w:val="00B050"/>
                <w:vertAlign w:val="superscript"/>
              </w:rPr>
              <w:t>®</w:t>
            </w:r>
            <w:r w:rsidRPr="009303F9">
              <w:rPr>
                <w:color w:val="00B050"/>
              </w:rPr>
              <w:t xml:space="preserve"> does not appear to have substantially higher rates of local recurrence of ductal carcinoma in situ than Intrabeam</w:t>
            </w:r>
            <w:r>
              <w:rPr>
                <w:color w:val="00B050"/>
                <w:vertAlign w:val="superscript"/>
              </w:rPr>
              <w:t>®</w:t>
            </w:r>
          </w:p>
        </w:tc>
        <w:tc>
          <w:tcPr>
            <w:tcW w:w="1151" w:type="pct"/>
          </w:tcPr>
          <w:p w14:paraId="169C0AC5" w14:textId="77777777" w:rsidR="00F02FC8" w:rsidRPr="009303F9" w:rsidRDefault="00F02FC8" w:rsidP="00E9302D">
            <w:pPr>
              <w:pStyle w:val="Tabletext0"/>
              <w:rPr>
                <w:color w:val="00B050"/>
              </w:rPr>
            </w:pPr>
            <w:r>
              <w:rPr>
                <w:color w:val="00B050"/>
              </w:rPr>
              <w:t>Rate of distant recurrence was not reported in Axxent</w:t>
            </w:r>
            <w:r w:rsidRPr="00BA2819">
              <w:rPr>
                <w:color w:val="00B050"/>
                <w:vertAlign w:val="superscript"/>
              </w:rPr>
              <w:t>®</w:t>
            </w:r>
            <w:r>
              <w:rPr>
                <w:color w:val="00B050"/>
              </w:rPr>
              <w:t xml:space="preserve"> studies. Rate of distant recurrence for Intrabeam was reported in one study as 3.9 percent</w:t>
            </w:r>
          </w:p>
        </w:tc>
      </w:tr>
      <w:tr w:rsidR="00F02FC8" w:rsidRPr="00322E10" w14:paraId="50E681BE" w14:textId="77777777" w:rsidTr="00E9302D">
        <w:tc>
          <w:tcPr>
            <w:tcW w:w="1046" w:type="pct"/>
            <w:vMerge/>
            <w:shd w:val="clear" w:color="auto" w:fill="auto"/>
          </w:tcPr>
          <w:p w14:paraId="28C69AE7" w14:textId="77777777" w:rsidR="00F02FC8" w:rsidRPr="009303F9" w:rsidRDefault="00F02FC8" w:rsidP="00E9302D">
            <w:pPr>
              <w:pStyle w:val="Tabletext0"/>
            </w:pPr>
          </w:p>
        </w:tc>
        <w:tc>
          <w:tcPr>
            <w:tcW w:w="679" w:type="pct"/>
            <w:shd w:val="clear" w:color="auto" w:fill="auto"/>
          </w:tcPr>
          <w:p w14:paraId="66314BA2" w14:textId="77777777" w:rsidR="00F02FC8" w:rsidRPr="009303F9" w:rsidRDefault="00F02FC8" w:rsidP="00E9302D">
            <w:pPr>
              <w:pStyle w:val="Tabletext0"/>
            </w:pPr>
            <w:r w:rsidRPr="009303F9">
              <w:t xml:space="preserve">Quality </w:t>
            </w:r>
            <w:r w:rsidRPr="009303F9">
              <w:rPr>
                <w:vertAlign w:val="superscript"/>
              </w:rPr>
              <w:t>b</w:t>
            </w:r>
            <w:r w:rsidRPr="009303F9">
              <w:t xml:space="preserve"> </w:t>
            </w:r>
          </w:p>
        </w:tc>
        <w:tc>
          <w:tcPr>
            <w:tcW w:w="809" w:type="pct"/>
            <w:shd w:val="clear" w:color="auto" w:fill="auto"/>
          </w:tcPr>
          <w:p w14:paraId="0C2F7D24" w14:textId="77777777" w:rsidR="00F02FC8" w:rsidRPr="009303F9" w:rsidRDefault="00F02FC8" w:rsidP="00E9302D">
            <w:pPr>
              <w:pStyle w:val="Tabletext0"/>
            </w:pPr>
          </w:p>
        </w:tc>
        <w:tc>
          <w:tcPr>
            <w:tcW w:w="1315" w:type="pct"/>
          </w:tcPr>
          <w:p w14:paraId="14E08827" w14:textId="77777777" w:rsidR="00F02FC8" w:rsidRDefault="00F02FC8" w:rsidP="00E9302D">
            <w:pPr>
              <w:pStyle w:val="Tabletext0"/>
              <w:rPr>
                <w:rFonts w:ascii="Cambria Math" w:hAnsi="Cambria Math"/>
                <w:color w:val="00B050"/>
              </w:rPr>
            </w:pPr>
            <w:r>
              <w:rPr>
                <w:rFonts w:ascii="Cambria Math" w:hAnsi="Cambria Math"/>
                <w:color w:val="00B050"/>
              </w:rPr>
              <w:t>⨁</w:t>
            </w:r>
            <w:r w:rsidRPr="00D4733A">
              <w:rPr>
                <w:rFonts w:ascii="Cambria Math" w:hAnsi="Cambria Math" w:cs="Cambria Math"/>
                <w:color w:val="C00000"/>
              </w:rPr>
              <w:t>⨀⨀⨀</w:t>
            </w:r>
            <w:r>
              <w:rPr>
                <w:sz w:val="16"/>
                <w:szCs w:val="16"/>
              </w:rPr>
              <w:br/>
              <w:t xml:space="preserve">VERY LOW </w:t>
            </w:r>
            <w:r>
              <w:rPr>
                <w:sz w:val="16"/>
                <w:szCs w:val="16"/>
                <w:vertAlign w:val="superscript"/>
              </w:rPr>
              <w:t>c,d</w:t>
            </w:r>
          </w:p>
        </w:tc>
        <w:tc>
          <w:tcPr>
            <w:tcW w:w="1151" w:type="pct"/>
          </w:tcPr>
          <w:p w14:paraId="04D3EAE2" w14:textId="77777777" w:rsidR="00F02FC8" w:rsidRDefault="00F02FC8" w:rsidP="00E9302D">
            <w:pPr>
              <w:pStyle w:val="Tabletext0"/>
              <w:rPr>
                <w:rFonts w:ascii="Cambria Math" w:hAnsi="Cambria Math"/>
                <w:color w:val="00B050"/>
              </w:rPr>
            </w:pPr>
            <w:r>
              <w:rPr>
                <w:rFonts w:ascii="Cambria Math" w:hAnsi="Cambria Math"/>
                <w:color w:val="00B050"/>
              </w:rPr>
              <w:t>⨁</w:t>
            </w:r>
            <w:r w:rsidRPr="00D4733A">
              <w:rPr>
                <w:rFonts w:ascii="Cambria Math" w:hAnsi="Cambria Math" w:cs="Cambria Math"/>
                <w:color w:val="C00000"/>
              </w:rPr>
              <w:t>⨀⨀⨀</w:t>
            </w:r>
            <w:r>
              <w:rPr>
                <w:sz w:val="16"/>
                <w:szCs w:val="16"/>
              </w:rPr>
              <w:br/>
              <w:t xml:space="preserve">VERY LOW </w:t>
            </w:r>
            <w:r>
              <w:rPr>
                <w:sz w:val="16"/>
                <w:szCs w:val="16"/>
                <w:vertAlign w:val="superscript"/>
              </w:rPr>
              <w:t>c,d</w:t>
            </w:r>
          </w:p>
        </w:tc>
      </w:tr>
    </w:tbl>
    <w:p w14:paraId="360C4538" w14:textId="77777777" w:rsidR="00F02FC8" w:rsidRPr="00342FB6" w:rsidRDefault="00F02FC8" w:rsidP="00F02FC8">
      <w:pPr>
        <w:pStyle w:val="Tablenotes"/>
      </w:pPr>
      <w:r w:rsidRPr="00342FB6">
        <w:t xml:space="preserve">Source: </w:t>
      </w:r>
      <w:r>
        <w:t>Table 6, pp17-18 of DCAR</w:t>
      </w:r>
    </w:p>
    <w:p w14:paraId="0FC83E1A" w14:textId="77777777" w:rsidR="00F02FC8" w:rsidRDefault="00F02FC8" w:rsidP="00EA4F7E">
      <w:pPr>
        <w:pStyle w:val="Tablenotes"/>
        <w:spacing w:after="240"/>
      </w:pPr>
      <w:r w:rsidRPr="00403956">
        <w:rPr>
          <w:vertAlign w:val="superscript"/>
        </w:rPr>
        <w:t>a</w:t>
      </w:r>
      <w:r w:rsidRPr="00403956">
        <w:t xml:space="preserve">: </w:t>
      </w:r>
      <w:r w:rsidRPr="00403956">
        <w:rPr>
          <w:noProof/>
        </w:rPr>
        <w:t xml:space="preserve">All summaries are limited by a lack of comparative evidence for the Axxent device, </w:t>
      </w:r>
      <w:r w:rsidRPr="00403956">
        <w:rPr>
          <w:noProof/>
          <w:vertAlign w:val="superscript"/>
        </w:rPr>
        <w:t>b</w:t>
      </w:r>
      <w:r w:rsidRPr="00403956">
        <w:rPr>
          <w:noProof/>
        </w:rPr>
        <w:t>:</w:t>
      </w:r>
      <w:r w:rsidRPr="00403956">
        <w:t xml:space="preserve"> GRADE Working Group grades of evidence </w:t>
      </w:r>
      <w:r w:rsidRPr="00403956">
        <w:rPr>
          <w:noProof/>
        </w:rPr>
        <w:fldChar w:fldCharType="begin"/>
      </w:r>
      <w:r>
        <w:rPr>
          <w:noProof/>
        </w:rPr>
        <w:instrText xml:space="preserve"> ADDIN EN.CITE &lt;EndNote&gt;&lt;Cite&gt;&lt;Author&gt;Guyatt&lt;/Author&gt;&lt;Year&gt;2013&lt;/Year&gt;&lt;RecNum&gt;4&lt;/RecNum&gt;&lt;DisplayText&gt;(Guyatt et al., 2013)&lt;/DisplayText&gt;&lt;record&gt;&lt;rec-number&gt;14&lt;/rec-number&gt;&lt;foreign-keys&gt;&lt;key app="EN" db-id="vv0vzdrs552et9ewwftpfaruaw0z2r5zwa9t" timestamp="1578536612"&gt;14&lt;/key&gt;&lt;/foreign-keys&gt;&lt;ref-type name="Journal Article"&gt;17&lt;/ref-type&gt;&lt;contributors&gt;&lt;authors&gt;&lt;author&gt;Guyatt, G,&lt;/author&gt;&lt;author&gt;Oxman, AD,&lt;/author&gt;&lt;author&gt;Sultan, S, Brozek, J, Glasziou, P, Alonso-Coello, P, Atkins, D, Kunz, R, Montori, V, Jaeschke, R, Rind, D, Dahm, P, Akl, EA, Meerpohl, J, Vist, G, Berliner, E, Norris, S, Falck-Ytter, Y &amp;amp; Schunemann, HJ&lt;/author&gt;&lt;/authors&gt;&lt;/contributors&gt;&lt;titles&gt;&lt;title&gt;GRADE guidelines: 11. Making an overall rating of confidence in effect estimates for a single outcome and for all outcomes&lt;/title&gt;&lt;secondary-title&gt;J Clin Epidemiol&lt;/secondary-title&gt;&lt;/titles&gt;&lt;periodical&gt;&lt;full-title&gt;J Clin Epidemiol&lt;/full-title&gt;&lt;/periodical&gt;&lt;pages&gt;151-157&lt;/pages&gt;&lt;volume&gt;66&lt;/volume&gt;&lt;number&gt;2&lt;/number&gt;&lt;dates&gt;&lt;year&gt;2013&lt;/year&gt;&lt;/dates&gt;&lt;urls&gt;&lt;related-urls&gt;&lt;url&gt;http://www.jclinepi.com/article/S0895-4356(12)00025-X/pdf&lt;/url&gt;&lt;/related-urls&gt;&lt;/urls&gt;&lt;/record&gt;&lt;/Cite&gt;&lt;/EndNote&gt;</w:instrText>
      </w:r>
      <w:r w:rsidRPr="00403956">
        <w:rPr>
          <w:noProof/>
        </w:rPr>
        <w:fldChar w:fldCharType="separate"/>
      </w:r>
      <w:r>
        <w:rPr>
          <w:noProof/>
        </w:rPr>
        <w:t>(</w:t>
      </w:r>
      <w:hyperlink w:anchor="_ENREF_11" w:tooltip="Guyatt, 2013 #4" w:history="1">
        <w:r>
          <w:rPr>
            <w:noProof/>
          </w:rPr>
          <w:t>Guyatt et al., 2013</w:t>
        </w:r>
      </w:hyperlink>
      <w:r>
        <w:rPr>
          <w:noProof/>
        </w:rPr>
        <w:t>)</w:t>
      </w:r>
      <w:r w:rsidRPr="00403956">
        <w:rPr>
          <w:noProof/>
        </w:rPr>
        <w:fldChar w:fldCharType="end"/>
      </w:r>
      <w:r w:rsidRPr="00403956">
        <w:rPr>
          <w:noProof/>
        </w:rPr>
        <w:t xml:space="preserve">, </w:t>
      </w:r>
      <w:r w:rsidRPr="00403956">
        <w:rPr>
          <w:noProof/>
          <w:vertAlign w:val="superscript"/>
        </w:rPr>
        <w:t>c</w:t>
      </w:r>
      <w:r w:rsidRPr="00403956">
        <w:rPr>
          <w:noProof/>
        </w:rPr>
        <w:t>:</w:t>
      </w:r>
      <w:r w:rsidRPr="00403956">
        <w:t xml:space="preserve"> Conclusions not based on direct comparisons, </w:t>
      </w:r>
      <w:r w:rsidRPr="00403956">
        <w:rPr>
          <w:vertAlign w:val="superscript"/>
        </w:rPr>
        <w:t>d</w:t>
      </w:r>
      <w:r w:rsidRPr="00403956">
        <w:t>: Few studies</w:t>
      </w:r>
      <w:r w:rsidRPr="00403956">
        <w:rPr>
          <w:noProof/>
        </w:rPr>
        <w:t>.</w:t>
      </w:r>
      <w:r w:rsidRPr="00403956">
        <w:t xml:space="preserve"> </w:t>
      </w:r>
      <w:r w:rsidRPr="00403956">
        <w:rPr>
          <w:rFonts w:ascii="Cambria Math" w:hAnsi="Cambria Math" w:cs="Tahoma"/>
          <w:snapToGrid/>
          <w:color w:val="00B050"/>
          <w:szCs w:val="18"/>
          <w:lang w:eastAsia="en-AU"/>
        </w:rPr>
        <w:t>⨁</w:t>
      </w:r>
      <w:r w:rsidRPr="00403956">
        <w:rPr>
          <w:rFonts w:ascii="Cambria Math" w:hAnsi="Cambria Math" w:cs="Tahoma"/>
          <w:snapToGrid/>
          <w:color w:val="C00000"/>
          <w:szCs w:val="18"/>
          <w:lang w:eastAsia="en-AU"/>
        </w:rPr>
        <w:t>⨀⨀⨀</w:t>
      </w:r>
      <w:r w:rsidRPr="00403956">
        <w:rPr>
          <w:rFonts w:ascii="Cambria Math" w:hAnsi="Cambria Math" w:cs="Cambria Math"/>
          <w:color w:val="C00000"/>
        </w:rPr>
        <w:t xml:space="preserve"> </w:t>
      </w:r>
      <w:r w:rsidRPr="00403956">
        <w:rPr>
          <w:b/>
          <w:bCs/>
        </w:rPr>
        <w:t>Very low quality:</w:t>
      </w:r>
      <w:r w:rsidRPr="00403956">
        <w:t xml:space="preserve"> We have very little confidence in the effect estimate: The true effect is likely to be substantially different from the estimate of effect.</w:t>
      </w:r>
    </w:p>
    <w:p w14:paraId="10032D3C" w14:textId="77777777" w:rsidR="00F02FC8" w:rsidRPr="00F02FC8" w:rsidRDefault="00F02FC8" w:rsidP="00F02FC8">
      <w:pPr>
        <w:pStyle w:val="Heading3"/>
        <w:rPr>
          <w:rFonts w:ascii="Times New Roman" w:hAnsi="Times New Roman" w:cs="Times New Roman"/>
          <w:color w:val="auto"/>
          <w:u w:val="single"/>
        </w:rPr>
      </w:pPr>
      <w:r w:rsidRPr="00F02FC8">
        <w:rPr>
          <w:rFonts w:ascii="Times New Roman" w:hAnsi="Times New Roman" w:cs="Times New Roman"/>
          <w:color w:val="auto"/>
          <w:u w:val="single"/>
        </w:rPr>
        <w:t>Mortality</w:t>
      </w:r>
    </w:p>
    <w:p w14:paraId="2AB9114A" w14:textId="2B4E61B6" w:rsidR="00F02FC8" w:rsidRPr="008F6D96" w:rsidRDefault="00F02FC8" w:rsidP="00F02FC8">
      <w:r w:rsidRPr="008F6D96">
        <w:t>There were no deaths associated with the Axxent</w:t>
      </w:r>
      <w:r w:rsidRPr="00F37FB0">
        <w:rPr>
          <w:vertAlign w:val="superscript"/>
        </w:rPr>
        <w:t>®</w:t>
      </w:r>
      <w:r w:rsidRPr="008F6D96">
        <w:t xml:space="preserve"> device. </w:t>
      </w:r>
      <w:r>
        <w:t xml:space="preserve">The DCAR stated that </w:t>
      </w:r>
      <w:r w:rsidRPr="008F6D96">
        <w:t>Axxent</w:t>
      </w:r>
      <w:r w:rsidRPr="00AF35D1">
        <w:rPr>
          <w:vertAlign w:val="superscript"/>
        </w:rPr>
        <w:t xml:space="preserve">® </w:t>
      </w:r>
      <w:r w:rsidRPr="008F6D96">
        <w:t>does not appear to have substantially higher rates</w:t>
      </w:r>
      <w:r w:rsidR="0045381D">
        <w:t xml:space="preserve"> of</w:t>
      </w:r>
      <w:r w:rsidRPr="008F6D96">
        <w:t xml:space="preserve"> breast cancer mortality than Intrabeam</w:t>
      </w:r>
      <w:r w:rsidRPr="00AF35D1">
        <w:rPr>
          <w:vertAlign w:val="superscript"/>
        </w:rPr>
        <w:t xml:space="preserve">® </w:t>
      </w:r>
      <w:r>
        <w:t>(Table 7)</w:t>
      </w:r>
      <w:r w:rsidRPr="008F6D96">
        <w:t>.</w:t>
      </w:r>
    </w:p>
    <w:p w14:paraId="18D90CF1" w14:textId="77777777" w:rsidR="00F02FC8" w:rsidRPr="00ED7C46" w:rsidRDefault="00F02FC8" w:rsidP="00ED7C46">
      <w:pPr>
        <w:spacing w:before="240"/>
        <w:rPr>
          <w:rFonts w:ascii="Arial Narrow" w:hAnsi="Arial Narrow"/>
          <w:b/>
          <w:sz w:val="20"/>
        </w:rPr>
      </w:pPr>
      <w:bookmarkStart w:id="15" w:name="_Ref29212759"/>
      <w:bookmarkStart w:id="16" w:name="_Toc29554543"/>
      <w:r w:rsidRPr="00ED7C46">
        <w:rPr>
          <w:rFonts w:ascii="Arial Narrow" w:hAnsi="Arial Narrow"/>
          <w:b/>
          <w:sz w:val="20"/>
        </w:rPr>
        <w:t xml:space="preserve">Table </w:t>
      </w:r>
      <w:bookmarkEnd w:id="15"/>
      <w:r w:rsidRPr="00ED7C46">
        <w:rPr>
          <w:rFonts w:ascii="Arial Narrow" w:hAnsi="Arial Narrow"/>
          <w:b/>
          <w:sz w:val="20"/>
        </w:rPr>
        <w:t>7</w:t>
      </w:r>
      <w:r w:rsidRPr="00ED7C46">
        <w:rPr>
          <w:rFonts w:ascii="Arial Narrow" w:hAnsi="Arial Narrow"/>
          <w:b/>
          <w:sz w:val="20"/>
        </w:rPr>
        <w:tab/>
        <w:t>Mortality results across the studies</w:t>
      </w:r>
      <w:bookmarkEnd w:id="16"/>
      <w:r w:rsidRPr="00ED7C46">
        <w:rPr>
          <w:rFonts w:ascii="Arial Narrow" w:hAnsi="Arial Narrow"/>
          <w:b/>
          <w:sz w:val="20"/>
        </w:rPr>
        <w:t xml:space="preserve"> (abridged; new studies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6 Results of patient mortality across the studies"/>
        <w:tblDescription w:val="This table provides a summary of the findings in each study formortality. Results for the intervention and comparator are provided."/>
      </w:tblPr>
      <w:tblGrid>
        <w:gridCol w:w="2252"/>
        <w:gridCol w:w="2256"/>
        <w:gridCol w:w="2256"/>
        <w:gridCol w:w="2252"/>
      </w:tblGrid>
      <w:tr w:rsidR="00F02FC8" w:rsidRPr="003912F1" w14:paraId="2C221CB7" w14:textId="77777777" w:rsidTr="00E9302D">
        <w:trPr>
          <w:tblHeader/>
        </w:trPr>
        <w:tc>
          <w:tcPr>
            <w:tcW w:w="1249" w:type="pct"/>
            <w:tcBorders>
              <w:bottom w:val="single" w:sz="4" w:space="0" w:color="auto"/>
            </w:tcBorders>
            <w:shd w:val="clear" w:color="auto" w:fill="auto"/>
          </w:tcPr>
          <w:p w14:paraId="59D230D9" w14:textId="77777777" w:rsidR="00F02FC8" w:rsidRPr="00FB4D55" w:rsidRDefault="00F02FC8" w:rsidP="00E9302D">
            <w:pPr>
              <w:pStyle w:val="TableHeading"/>
            </w:pPr>
            <w:r w:rsidRPr="00FB4D55">
              <w:t>Study ID</w:t>
            </w:r>
          </w:p>
        </w:tc>
        <w:tc>
          <w:tcPr>
            <w:tcW w:w="1251" w:type="pct"/>
          </w:tcPr>
          <w:p w14:paraId="6FA8D09E" w14:textId="77777777" w:rsidR="00F02FC8" w:rsidRPr="00FB4D55" w:rsidRDefault="00F02FC8" w:rsidP="00E9302D">
            <w:pPr>
              <w:pStyle w:val="TableHeading"/>
            </w:pPr>
            <w:r w:rsidRPr="00FB4D55">
              <w:t>Device</w:t>
            </w:r>
          </w:p>
        </w:tc>
        <w:tc>
          <w:tcPr>
            <w:tcW w:w="1251" w:type="pct"/>
          </w:tcPr>
          <w:p w14:paraId="3A582ACB" w14:textId="77777777" w:rsidR="00F02FC8" w:rsidRPr="00FB4D55" w:rsidRDefault="00F02FC8" w:rsidP="00E9302D">
            <w:pPr>
              <w:pStyle w:val="TableHeading"/>
            </w:pPr>
            <w:r w:rsidRPr="00FB4D55">
              <w:t>Follow-up time</w:t>
            </w:r>
          </w:p>
        </w:tc>
        <w:tc>
          <w:tcPr>
            <w:tcW w:w="1249" w:type="pct"/>
            <w:shd w:val="clear" w:color="auto" w:fill="auto"/>
          </w:tcPr>
          <w:p w14:paraId="636E8F13" w14:textId="77777777" w:rsidR="00F02FC8" w:rsidRPr="00FB4D55" w:rsidRDefault="00F02FC8" w:rsidP="00E9302D">
            <w:pPr>
              <w:pStyle w:val="TableHeading"/>
            </w:pPr>
            <w:r w:rsidRPr="00FB4D55">
              <w:t>Deaths due to breast cancer</w:t>
            </w:r>
          </w:p>
          <w:p w14:paraId="2373CA3C" w14:textId="77777777" w:rsidR="00F02FC8" w:rsidRPr="00FB4D55" w:rsidRDefault="00F02FC8" w:rsidP="00E9302D">
            <w:pPr>
              <w:pStyle w:val="TableHeading"/>
            </w:pPr>
            <w:r w:rsidRPr="00FB4D55">
              <w:t>n with event/N (%)</w:t>
            </w:r>
          </w:p>
        </w:tc>
      </w:tr>
      <w:tr w:rsidR="00F02FC8" w:rsidRPr="003912F1" w14:paraId="40F82305" w14:textId="77777777" w:rsidTr="00E9302D">
        <w:trPr>
          <w:trHeight w:val="625"/>
          <w:tblHeader/>
        </w:trPr>
        <w:tc>
          <w:tcPr>
            <w:tcW w:w="1249" w:type="pct"/>
            <w:tcBorders>
              <w:top w:val="single" w:sz="4" w:space="0" w:color="auto"/>
              <w:left w:val="single" w:sz="4" w:space="0" w:color="auto"/>
              <w:bottom w:val="nil"/>
              <w:right w:val="single" w:sz="4" w:space="0" w:color="auto"/>
            </w:tcBorders>
            <w:shd w:val="clear" w:color="auto" w:fill="auto"/>
          </w:tcPr>
          <w:p w14:paraId="33B465CF" w14:textId="77777777" w:rsidR="00F02FC8" w:rsidRPr="003912F1" w:rsidRDefault="00F02FC8" w:rsidP="00E9302D">
            <w:pPr>
              <w:pStyle w:val="Tabletext0"/>
              <w:rPr>
                <w:color w:val="A6A6A6" w:themeColor="background1" w:themeShade="A6"/>
              </w:rPr>
            </w:pPr>
            <w:r>
              <w:t>Silverstein et al. (2018)</w:t>
            </w:r>
          </w:p>
        </w:tc>
        <w:tc>
          <w:tcPr>
            <w:tcW w:w="1251" w:type="pct"/>
            <w:tcBorders>
              <w:left w:val="single" w:sz="4" w:space="0" w:color="auto"/>
              <w:right w:val="single" w:sz="4" w:space="0" w:color="auto"/>
            </w:tcBorders>
            <w:shd w:val="clear" w:color="auto" w:fill="DEEAF6" w:themeFill="accent1" w:themeFillTint="33"/>
          </w:tcPr>
          <w:p w14:paraId="2AB27B0F" w14:textId="77777777" w:rsidR="00F02FC8" w:rsidRPr="003912F1" w:rsidRDefault="00F02FC8" w:rsidP="00E9302D">
            <w:pPr>
              <w:pStyle w:val="Tabletext0"/>
              <w:rPr>
                <w:color w:val="A6A6A6" w:themeColor="background1" w:themeShade="A6"/>
              </w:rPr>
            </w:pPr>
            <w:r>
              <w:t>Axxent</w:t>
            </w:r>
            <w:r w:rsidRPr="00BD1CAA">
              <w:rPr>
                <w:vertAlign w:val="superscript"/>
              </w:rPr>
              <w:t>®</w:t>
            </w:r>
          </w:p>
        </w:tc>
        <w:tc>
          <w:tcPr>
            <w:tcW w:w="1251" w:type="pct"/>
            <w:tcBorders>
              <w:left w:val="single" w:sz="4" w:space="0" w:color="auto"/>
            </w:tcBorders>
          </w:tcPr>
          <w:p w14:paraId="1C27C585" w14:textId="77777777" w:rsidR="00F02FC8" w:rsidRPr="003912F1" w:rsidRDefault="00F02FC8" w:rsidP="00E9302D">
            <w:pPr>
              <w:pStyle w:val="Tabletext0"/>
              <w:rPr>
                <w:color w:val="A6A6A6" w:themeColor="background1" w:themeShade="A6"/>
              </w:rPr>
            </w:pPr>
            <w:r>
              <w:t xml:space="preserve">Median 3 years </w:t>
            </w:r>
          </w:p>
        </w:tc>
        <w:tc>
          <w:tcPr>
            <w:tcW w:w="1249" w:type="pct"/>
            <w:shd w:val="clear" w:color="auto" w:fill="auto"/>
          </w:tcPr>
          <w:p w14:paraId="3CD13557" w14:textId="77777777" w:rsidR="00F02FC8" w:rsidRPr="003912F1" w:rsidRDefault="00F02FC8" w:rsidP="00E9302D">
            <w:pPr>
              <w:pStyle w:val="Tabletext0"/>
              <w:rPr>
                <w:color w:val="A6A6A6" w:themeColor="background1" w:themeShade="A6"/>
              </w:rPr>
            </w:pPr>
            <w:r>
              <w:t>0/984 (0)</w:t>
            </w:r>
          </w:p>
        </w:tc>
      </w:tr>
      <w:tr w:rsidR="00F02FC8" w:rsidRPr="003912F1" w14:paraId="15BE7353" w14:textId="77777777" w:rsidTr="00E9302D">
        <w:trPr>
          <w:trHeight w:val="625"/>
          <w:tblHeader/>
        </w:trPr>
        <w:tc>
          <w:tcPr>
            <w:tcW w:w="1249" w:type="pct"/>
            <w:tcBorders>
              <w:top w:val="single" w:sz="4" w:space="0" w:color="auto"/>
              <w:left w:val="single" w:sz="4" w:space="0" w:color="auto"/>
              <w:bottom w:val="nil"/>
              <w:right w:val="single" w:sz="4" w:space="0" w:color="auto"/>
            </w:tcBorders>
            <w:shd w:val="clear" w:color="auto" w:fill="auto"/>
          </w:tcPr>
          <w:p w14:paraId="0A645D8C" w14:textId="77777777" w:rsidR="00F02FC8" w:rsidRPr="00A73D87" w:rsidRDefault="00F02FC8" w:rsidP="00E9302D">
            <w:pPr>
              <w:pStyle w:val="Tabletext0"/>
            </w:pPr>
            <w:r w:rsidRPr="00A73D87">
              <w:t>Key et al. (2017)</w:t>
            </w:r>
          </w:p>
        </w:tc>
        <w:tc>
          <w:tcPr>
            <w:tcW w:w="1251" w:type="pct"/>
            <w:tcBorders>
              <w:left w:val="single" w:sz="4" w:space="0" w:color="auto"/>
              <w:right w:val="single" w:sz="4" w:space="0" w:color="auto"/>
            </w:tcBorders>
            <w:shd w:val="clear" w:color="auto" w:fill="FFFFCC"/>
          </w:tcPr>
          <w:p w14:paraId="47657875" w14:textId="77777777" w:rsidR="00F02FC8" w:rsidRPr="00A73D87" w:rsidRDefault="00F02FC8" w:rsidP="00E9302D">
            <w:pPr>
              <w:pStyle w:val="Tabletext0"/>
            </w:pPr>
            <w:r w:rsidRPr="00A73D87">
              <w:t>Intrabeam</w:t>
            </w:r>
            <w:r w:rsidRPr="00BD1CAA">
              <w:rPr>
                <w:vertAlign w:val="superscript"/>
              </w:rPr>
              <w:t>®</w:t>
            </w:r>
          </w:p>
        </w:tc>
        <w:tc>
          <w:tcPr>
            <w:tcW w:w="1251" w:type="pct"/>
            <w:tcBorders>
              <w:left w:val="single" w:sz="4" w:space="0" w:color="auto"/>
            </w:tcBorders>
          </w:tcPr>
          <w:p w14:paraId="1ACB0DFA" w14:textId="77777777" w:rsidR="00F02FC8" w:rsidRPr="00A73D87" w:rsidRDefault="00F02FC8" w:rsidP="00E9302D">
            <w:pPr>
              <w:pStyle w:val="Tabletext0"/>
            </w:pPr>
            <w:r w:rsidRPr="00A73D87">
              <w:t xml:space="preserve">Median 3.2 years </w:t>
            </w:r>
          </w:p>
        </w:tc>
        <w:tc>
          <w:tcPr>
            <w:tcW w:w="1249" w:type="pct"/>
            <w:shd w:val="clear" w:color="auto" w:fill="auto"/>
          </w:tcPr>
          <w:p w14:paraId="7AE3F1C1" w14:textId="77777777" w:rsidR="00F02FC8" w:rsidRPr="00A73D87" w:rsidRDefault="00F02FC8" w:rsidP="00E9302D">
            <w:pPr>
              <w:pStyle w:val="Tabletext0"/>
            </w:pPr>
            <w:r>
              <w:t>0/41 (0)</w:t>
            </w:r>
          </w:p>
        </w:tc>
      </w:tr>
      <w:tr w:rsidR="00F02FC8" w:rsidRPr="003912F1" w14:paraId="4C83AFD9" w14:textId="77777777" w:rsidTr="00E9302D">
        <w:trPr>
          <w:tblHeader/>
        </w:trPr>
        <w:tc>
          <w:tcPr>
            <w:tcW w:w="1249" w:type="pct"/>
            <w:tcBorders>
              <w:top w:val="single" w:sz="4" w:space="0" w:color="auto"/>
              <w:bottom w:val="single" w:sz="4" w:space="0" w:color="auto"/>
            </w:tcBorders>
            <w:shd w:val="clear" w:color="auto" w:fill="auto"/>
          </w:tcPr>
          <w:p w14:paraId="465AF485" w14:textId="77777777" w:rsidR="00F02FC8" w:rsidRPr="009303F9" w:rsidRDefault="00F02FC8" w:rsidP="00E9302D">
            <w:pPr>
              <w:pStyle w:val="Tabletext0"/>
            </w:pPr>
            <w:r w:rsidRPr="009303F9">
              <w:t>GRADE analysis</w:t>
            </w:r>
          </w:p>
        </w:tc>
        <w:tc>
          <w:tcPr>
            <w:tcW w:w="1251" w:type="pct"/>
            <w:shd w:val="clear" w:color="auto" w:fill="auto"/>
          </w:tcPr>
          <w:p w14:paraId="2A636317" w14:textId="77777777" w:rsidR="00F02FC8" w:rsidRPr="009303F9" w:rsidRDefault="00F02FC8" w:rsidP="00E9302D">
            <w:pPr>
              <w:pStyle w:val="Tabletext0"/>
              <w:jc w:val="both"/>
              <w:rPr>
                <w:vertAlign w:val="superscript"/>
              </w:rPr>
            </w:pPr>
            <w:r w:rsidRPr="009303F9">
              <w:t>Summary</w:t>
            </w:r>
            <w:r w:rsidRPr="009303F9">
              <w:rPr>
                <w:vertAlign w:val="superscript"/>
              </w:rPr>
              <w:t xml:space="preserve"> a</w:t>
            </w:r>
          </w:p>
        </w:tc>
        <w:tc>
          <w:tcPr>
            <w:tcW w:w="1251" w:type="pct"/>
            <w:shd w:val="clear" w:color="auto" w:fill="auto"/>
          </w:tcPr>
          <w:p w14:paraId="41DD3BDA" w14:textId="77777777" w:rsidR="00F02FC8" w:rsidRPr="003912F1" w:rsidRDefault="00F02FC8" w:rsidP="00E9302D">
            <w:pPr>
              <w:pStyle w:val="Tabletext0"/>
              <w:rPr>
                <w:color w:val="A6A6A6" w:themeColor="background1" w:themeShade="A6"/>
              </w:rPr>
            </w:pPr>
          </w:p>
        </w:tc>
        <w:tc>
          <w:tcPr>
            <w:tcW w:w="1249" w:type="pct"/>
            <w:shd w:val="clear" w:color="auto" w:fill="auto"/>
          </w:tcPr>
          <w:p w14:paraId="5F4DF382" w14:textId="77777777" w:rsidR="00F02FC8" w:rsidRPr="003912F1" w:rsidRDefault="00F02FC8" w:rsidP="00E9302D">
            <w:pPr>
              <w:pStyle w:val="Tabletext0"/>
              <w:rPr>
                <w:color w:val="A6A6A6" w:themeColor="background1" w:themeShade="A6"/>
              </w:rPr>
            </w:pPr>
            <w:r w:rsidRPr="004F6D56">
              <w:rPr>
                <w:color w:val="00B050"/>
              </w:rPr>
              <w:t>There were no deaths associated with the Axxent</w:t>
            </w:r>
            <w:r w:rsidRPr="009B4980">
              <w:rPr>
                <w:color w:val="00B050"/>
                <w:vertAlign w:val="superscript"/>
              </w:rPr>
              <w:t>®</w:t>
            </w:r>
            <w:r w:rsidRPr="004F6D56">
              <w:rPr>
                <w:color w:val="00B050"/>
              </w:rPr>
              <w:t xml:space="preserve"> device. Axxent</w:t>
            </w:r>
            <w:r w:rsidRPr="009B4980">
              <w:rPr>
                <w:color w:val="00B050"/>
                <w:vertAlign w:val="superscript"/>
              </w:rPr>
              <w:t>®</w:t>
            </w:r>
            <w:r w:rsidRPr="004F6D56">
              <w:rPr>
                <w:color w:val="00B050"/>
              </w:rPr>
              <w:t xml:space="preserve"> does not appear to have substantially higher rates breast cancer mortality than Intrabeam</w:t>
            </w:r>
            <w:r w:rsidRPr="009B4980">
              <w:rPr>
                <w:color w:val="00B050"/>
                <w:vertAlign w:val="superscript"/>
              </w:rPr>
              <w:t>®</w:t>
            </w:r>
            <w:r w:rsidRPr="009B4980">
              <w:rPr>
                <w:color w:val="00B050"/>
              </w:rPr>
              <w:t>.</w:t>
            </w:r>
            <w:r w:rsidRPr="004F6D56">
              <w:rPr>
                <w:color w:val="00B050"/>
              </w:rPr>
              <w:t>.</w:t>
            </w:r>
          </w:p>
        </w:tc>
      </w:tr>
      <w:tr w:rsidR="00F02FC8" w:rsidRPr="003912F1" w14:paraId="561955EF" w14:textId="77777777" w:rsidTr="00E9302D">
        <w:trPr>
          <w:tblHeader/>
        </w:trPr>
        <w:tc>
          <w:tcPr>
            <w:tcW w:w="1249" w:type="pct"/>
            <w:tcBorders>
              <w:top w:val="single" w:sz="4" w:space="0" w:color="auto"/>
            </w:tcBorders>
            <w:shd w:val="clear" w:color="auto" w:fill="auto"/>
          </w:tcPr>
          <w:p w14:paraId="72FDE7B4" w14:textId="77777777" w:rsidR="00F02FC8" w:rsidRPr="009303F9" w:rsidRDefault="00F02FC8" w:rsidP="00E9302D">
            <w:pPr>
              <w:pStyle w:val="Tabletext0"/>
            </w:pPr>
          </w:p>
        </w:tc>
        <w:tc>
          <w:tcPr>
            <w:tcW w:w="1251" w:type="pct"/>
            <w:shd w:val="clear" w:color="auto" w:fill="auto"/>
          </w:tcPr>
          <w:p w14:paraId="11AED65C" w14:textId="77777777" w:rsidR="00F02FC8" w:rsidRPr="009303F9" w:rsidRDefault="00F02FC8" w:rsidP="00E9302D">
            <w:pPr>
              <w:pStyle w:val="Tabletext0"/>
            </w:pPr>
            <w:r w:rsidRPr="009303F9">
              <w:t xml:space="preserve">Quality </w:t>
            </w:r>
            <w:r w:rsidRPr="009303F9">
              <w:rPr>
                <w:vertAlign w:val="superscript"/>
              </w:rPr>
              <w:t>b</w:t>
            </w:r>
          </w:p>
        </w:tc>
        <w:tc>
          <w:tcPr>
            <w:tcW w:w="1251" w:type="pct"/>
            <w:shd w:val="clear" w:color="auto" w:fill="auto"/>
          </w:tcPr>
          <w:p w14:paraId="7B624589" w14:textId="77777777" w:rsidR="00F02FC8" w:rsidRPr="003912F1" w:rsidRDefault="00F02FC8" w:rsidP="00E9302D">
            <w:pPr>
              <w:pStyle w:val="Tabletext0"/>
              <w:rPr>
                <w:color w:val="A6A6A6" w:themeColor="background1" w:themeShade="A6"/>
              </w:rPr>
            </w:pPr>
          </w:p>
        </w:tc>
        <w:tc>
          <w:tcPr>
            <w:tcW w:w="1249" w:type="pct"/>
            <w:shd w:val="clear" w:color="auto" w:fill="auto"/>
          </w:tcPr>
          <w:p w14:paraId="041288DE" w14:textId="77777777" w:rsidR="00F02FC8" w:rsidRPr="003912F1" w:rsidRDefault="00F02FC8" w:rsidP="00E9302D">
            <w:pPr>
              <w:pStyle w:val="Tabletext0"/>
              <w:rPr>
                <w:color w:val="A6A6A6" w:themeColor="background1" w:themeShade="A6"/>
              </w:rPr>
            </w:pPr>
            <w:r>
              <w:rPr>
                <w:rFonts w:ascii="Cambria Math" w:hAnsi="Cambria Math"/>
                <w:color w:val="00B050"/>
              </w:rPr>
              <w:t>⨁</w:t>
            </w:r>
            <w:r w:rsidRPr="00D4733A">
              <w:rPr>
                <w:rFonts w:ascii="Cambria Math" w:hAnsi="Cambria Math" w:cs="Cambria Math"/>
                <w:color w:val="C00000"/>
              </w:rPr>
              <w:t>⨀⨀⨀</w:t>
            </w:r>
            <w:r>
              <w:rPr>
                <w:sz w:val="16"/>
                <w:szCs w:val="16"/>
              </w:rPr>
              <w:br/>
              <w:t xml:space="preserve">VERY LOW </w:t>
            </w:r>
            <w:r>
              <w:rPr>
                <w:sz w:val="16"/>
                <w:szCs w:val="16"/>
                <w:vertAlign w:val="superscript"/>
              </w:rPr>
              <w:t>c,d</w:t>
            </w:r>
          </w:p>
        </w:tc>
      </w:tr>
    </w:tbl>
    <w:p w14:paraId="25028EE3" w14:textId="77777777" w:rsidR="00F02FC8" w:rsidRPr="008B5255" w:rsidRDefault="00F02FC8" w:rsidP="00F02FC8">
      <w:pPr>
        <w:pStyle w:val="Tablenotes"/>
      </w:pPr>
      <w:r w:rsidRPr="008B5255">
        <w:rPr>
          <w:vertAlign w:val="superscript"/>
        </w:rPr>
        <w:t>a</w:t>
      </w:r>
      <w:r w:rsidRPr="008B5255">
        <w:t xml:space="preserve">: </w:t>
      </w:r>
      <w:r w:rsidRPr="008B5255">
        <w:rPr>
          <w:noProof/>
        </w:rPr>
        <w:t>All summaries are limited by a lack of comparative evidence for the Axxent device,</w:t>
      </w:r>
      <w:r w:rsidRPr="008B5255">
        <w:t xml:space="preserve"> </w:t>
      </w:r>
      <w:r w:rsidRPr="008B5255">
        <w:rPr>
          <w:vertAlign w:val="superscript"/>
        </w:rPr>
        <w:t>b</w:t>
      </w:r>
      <w:r w:rsidRPr="008B5255">
        <w:t xml:space="preserve">: GRADE Working Group grades of evidence </w:t>
      </w:r>
      <w:r w:rsidRPr="008B5255">
        <w:rPr>
          <w:noProof/>
        </w:rPr>
        <w:fldChar w:fldCharType="begin"/>
      </w:r>
      <w:r>
        <w:rPr>
          <w:noProof/>
        </w:rPr>
        <w:instrText xml:space="preserve"> ADDIN EN.CITE &lt;EndNote&gt;&lt;Cite&gt;&lt;Author&gt;Guyatt&lt;/Author&gt;&lt;Year&gt;2013&lt;/Year&gt;&lt;RecNum&gt;4&lt;/RecNum&gt;&lt;DisplayText&gt;(Guyatt et al., 2013)&lt;/DisplayText&gt;&lt;record&gt;&lt;rec-number&gt;14&lt;/rec-number&gt;&lt;foreign-keys&gt;&lt;key app="EN" db-id="vv0vzdrs552et9ewwftpfaruaw0z2r5zwa9t" timestamp="1578536612"&gt;14&lt;/key&gt;&lt;/foreign-keys&gt;&lt;ref-type name="Journal Article"&gt;17&lt;/ref-type&gt;&lt;contributors&gt;&lt;authors&gt;&lt;author&gt;Guyatt, G,&lt;/author&gt;&lt;author&gt;Oxman, AD,&lt;/author&gt;&lt;author&gt;Sultan, S, Brozek, J, Glasziou, P, Alonso-Coello, P, Atkins, D, Kunz, R, Montori, V, Jaeschke, R, Rind, D, Dahm, P, Akl, EA, Meerpohl, J, Vist, G, Berliner, E, Norris, S, Falck-Ytter, Y &amp;amp; Schunemann, HJ&lt;/author&gt;&lt;/authors&gt;&lt;/contributors&gt;&lt;titles&gt;&lt;title&gt;GRADE guidelines: 11. Making an overall rating of confidence in effect estimates for a single outcome and for all outcomes&lt;/title&gt;&lt;secondary-title&gt;J Clin Epidemiol&lt;/secondary-title&gt;&lt;/titles&gt;&lt;periodical&gt;&lt;full-title&gt;J Clin Epidemiol&lt;/full-title&gt;&lt;/periodical&gt;&lt;pages&gt;151-157&lt;/pages&gt;&lt;volume&gt;66&lt;/volume&gt;&lt;number&gt;2&lt;/number&gt;&lt;dates&gt;&lt;year&gt;2013&lt;/year&gt;&lt;/dates&gt;&lt;urls&gt;&lt;related-urls&gt;&lt;url&gt;http://www.jclinepi.com/article/S0895-4356(12)00025-X/pdf&lt;/url&gt;&lt;/related-urls&gt;&lt;/urls&gt;&lt;/record&gt;&lt;/Cite&gt;&lt;/EndNote&gt;</w:instrText>
      </w:r>
      <w:r w:rsidRPr="008B5255">
        <w:rPr>
          <w:noProof/>
        </w:rPr>
        <w:fldChar w:fldCharType="separate"/>
      </w:r>
      <w:r>
        <w:rPr>
          <w:noProof/>
        </w:rPr>
        <w:t>(</w:t>
      </w:r>
      <w:hyperlink w:anchor="_ENREF_11" w:tooltip="Guyatt, 2013 #4" w:history="1">
        <w:r>
          <w:rPr>
            <w:noProof/>
          </w:rPr>
          <w:t>Guyatt et al., 2013</w:t>
        </w:r>
      </w:hyperlink>
      <w:r>
        <w:rPr>
          <w:noProof/>
        </w:rPr>
        <w:t>)</w:t>
      </w:r>
      <w:r w:rsidRPr="008B5255">
        <w:rPr>
          <w:noProof/>
        </w:rPr>
        <w:fldChar w:fldCharType="end"/>
      </w:r>
      <w:r w:rsidRPr="008B5255">
        <w:rPr>
          <w:noProof/>
        </w:rPr>
        <w:t xml:space="preserve">, </w:t>
      </w:r>
      <w:r w:rsidRPr="008B5255">
        <w:rPr>
          <w:noProof/>
          <w:vertAlign w:val="superscript"/>
        </w:rPr>
        <w:t>c</w:t>
      </w:r>
      <w:r w:rsidRPr="008B5255">
        <w:rPr>
          <w:noProof/>
        </w:rPr>
        <w:t xml:space="preserve">: </w:t>
      </w:r>
      <w:r w:rsidRPr="008B5255">
        <w:t xml:space="preserve">Conclusions not based on direct comparisons, </w:t>
      </w:r>
      <w:r w:rsidRPr="008B5255">
        <w:rPr>
          <w:vertAlign w:val="superscript"/>
        </w:rPr>
        <w:t>d</w:t>
      </w:r>
      <w:r w:rsidRPr="008B5255">
        <w:t>: Few studies</w:t>
      </w:r>
      <w:r w:rsidRPr="008B5255">
        <w:rPr>
          <w:noProof/>
        </w:rPr>
        <w:t>.</w:t>
      </w:r>
      <w:r w:rsidRPr="008B5255">
        <w:t xml:space="preserve"> </w:t>
      </w:r>
      <w:r w:rsidRPr="008B5255">
        <w:rPr>
          <w:rFonts w:ascii="Cambria Math" w:hAnsi="Cambria Math"/>
          <w:color w:val="00B050"/>
        </w:rPr>
        <w:t>⨁</w:t>
      </w:r>
      <w:r w:rsidRPr="008B5255">
        <w:rPr>
          <w:rFonts w:ascii="Cambria Math" w:hAnsi="Cambria Math" w:cs="Cambria Math"/>
          <w:color w:val="C00000"/>
        </w:rPr>
        <w:t>⨀⨀⨀</w:t>
      </w:r>
      <w:r w:rsidRPr="008B5255">
        <w:rPr>
          <w:rFonts w:ascii="Cambria Math" w:hAnsi="Cambria Math" w:cs="Cambria Math"/>
        </w:rPr>
        <w:t xml:space="preserve"> </w:t>
      </w:r>
      <w:r w:rsidRPr="008B5255">
        <w:rPr>
          <w:b/>
          <w:bCs/>
        </w:rPr>
        <w:t>Very low quality:</w:t>
      </w:r>
      <w:r w:rsidRPr="008B5255">
        <w:t xml:space="preserve"> We have very little confidence in the effect estimate: The true effect is likely to be substantially different from the estimate of effect.</w:t>
      </w:r>
    </w:p>
    <w:p w14:paraId="519A80A6" w14:textId="40AF1467" w:rsidR="00BA3279" w:rsidRPr="00E9302D" w:rsidRDefault="00F02FC8" w:rsidP="00E9302D">
      <w:pPr>
        <w:spacing w:after="240"/>
      </w:pPr>
      <w:r>
        <w:t>The DCAR stated that an updated review of the evidence base did not provide any new evidence to change the conclusion of the previous assessment report. The same limitations remain as the original search as no new studies were identified that provided follow-up times longer than three years for the Axxent</w:t>
      </w:r>
      <w:r w:rsidRPr="00AF35D1">
        <w:rPr>
          <w:vertAlign w:val="superscript"/>
        </w:rPr>
        <w:t>®</w:t>
      </w:r>
      <w:r>
        <w:t xml:space="preserve"> device and five years for the Intrabeam</w:t>
      </w:r>
      <w:r w:rsidRPr="00F37FB0">
        <w:rPr>
          <w:vertAlign w:val="superscript"/>
        </w:rPr>
        <w:t xml:space="preserve">® </w:t>
      </w:r>
      <w:r>
        <w:t>device. The lack of ten-year data means only preliminary effectiveness evidence has been reported. Despite this limitation, the evidence available indicates the effectiveness outcomes are similar for the two devices. The Axxent</w:t>
      </w:r>
      <w:r w:rsidRPr="00AF35D1">
        <w:rPr>
          <w:vertAlign w:val="superscript"/>
        </w:rPr>
        <w:t xml:space="preserve">® </w:t>
      </w:r>
      <w:r>
        <w:t>device therefore remains non-inferior to Intrabeam</w:t>
      </w:r>
      <w:r w:rsidRPr="00F37FB0">
        <w:rPr>
          <w:vertAlign w:val="superscript"/>
        </w:rPr>
        <w:t>®</w:t>
      </w:r>
      <w:r>
        <w:t xml:space="preserve"> in both effectiveness and safety.</w:t>
      </w:r>
    </w:p>
    <w:p w14:paraId="2F463EA4" w14:textId="2522C1EE" w:rsidR="00BA3279" w:rsidRDefault="00BA3279" w:rsidP="00BA3279">
      <w:pPr>
        <w:tabs>
          <w:tab w:val="left" w:pos="720"/>
          <w:tab w:val="left" w:pos="1140"/>
        </w:tabs>
        <w:spacing w:after="120"/>
        <w:rPr>
          <w:b/>
          <w:szCs w:val="24"/>
        </w:rPr>
      </w:pPr>
      <w:r>
        <w:rPr>
          <w:b/>
          <w:szCs w:val="24"/>
        </w:rPr>
        <w:lastRenderedPageBreak/>
        <w:t>Clinical c</w:t>
      </w:r>
      <w:r w:rsidRPr="00F37B9C">
        <w:rPr>
          <w:b/>
          <w:szCs w:val="24"/>
        </w:rPr>
        <w:t>laim</w:t>
      </w:r>
    </w:p>
    <w:p w14:paraId="41768DF8" w14:textId="0744C6D6" w:rsidR="00AD0F25" w:rsidRPr="00AD0F25" w:rsidRDefault="00AD0F25" w:rsidP="00BA3279">
      <w:pPr>
        <w:tabs>
          <w:tab w:val="left" w:pos="720"/>
          <w:tab w:val="left" w:pos="1140"/>
        </w:tabs>
        <w:spacing w:after="120"/>
        <w:rPr>
          <w:szCs w:val="24"/>
        </w:rPr>
      </w:pPr>
      <w:r w:rsidRPr="00AD0F25">
        <w:rPr>
          <w:szCs w:val="24"/>
        </w:rPr>
        <w:t xml:space="preserve">The primary clinical claim </w:t>
      </w:r>
      <w:r>
        <w:rPr>
          <w:szCs w:val="24"/>
        </w:rPr>
        <w:t xml:space="preserve">for the resubmission </w:t>
      </w:r>
      <w:r w:rsidRPr="00AD0F25">
        <w:rPr>
          <w:szCs w:val="24"/>
        </w:rPr>
        <w:t>is that the relative biological effectiveness and health outcomes of the Axxent</w:t>
      </w:r>
      <w:r w:rsidRPr="007E2988">
        <w:rPr>
          <w:szCs w:val="24"/>
          <w:vertAlign w:val="superscript"/>
        </w:rPr>
        <w:t>®</w:t>
      </w:r>
      <w:r w:rsidRPr="00AD0F25">
        <w:rPr>
          <w:szCs w:val="24"/>
        </w:rPr>
        <w:t xml:space="preserve"> device are equivalent to those of WB-EBRT. The primary health outcome is local recurrence of breast cancer. Secondary health outcomes are mortality rates, adverse events and toxicity.</w:t>
      </w:r>
    </w:p>
    <w:p w14:paraId="34DDE75B" w14:textId="77777777" w:rsidR="00BA3279" w:rsidRPr="00F715D1" w:rsidRDefault="00BA3279" w:rsidP="00BA3279">
      <w:pPr>
        <w:pStyle w:val="Heading1"/>
      </w:pPr>
      <w:r w:rsidRPr="00F715D1">
        <w:t>Economic evaluation</w:t>
      </w:r>
    </w:p>
    <w:p w14:paraId="0E5B127E" w14:textId="653973CA" w:rsidR="00F02FC8" w:rsidRDefault="00F02FC8" w:rsidP="00F02FC8">
      <w:r>
        <w:t>The DCAR stated that c</w:t>
      </w:r>
      <w:r w:rsidRPr="00C96DD5">
        <w:t>onsistent with the previous submission, no pre</w:t>
      </w:r>
      <w:r>
        <w:t>-modelling</w:t>
      </w:r>
      <w:r w:rsidRPr="00C96DD5">
        <w:t xml:space="preserve"> studies or economic evaluation were provided in the resubmission.</w:t>
      </w:r>
      <w:r>
        <w:t xml:space="preserve"> </w:t>
      </w:r>
      <w:r w:rsidRPr="00C96DD5">
        <w:t>MSAC recommended MBS listing of Intrabeam</w:t>
      </w:r>
      <w:r w:rsidRPr="00AF35D1">
        <w:rPr>
          <w:vertAlign w:val="superscript"/>
        </w:rPr>
        <w:t>®</w:t>
      </w:r>
      <w:r w:rsidRPr="00C96DD5">
        <w:t xml:space="preserve"> on a cost-minimisation basis given the claim of non-inferiority in terms of safety and effectiveness compared to WB-EBRT (PSD Application 1189 p1). Given the evidence presented in this resubmission (summarised above) and MSAC recommendations for Intrabeam</w:t>
      </w:r>
      <w:r w:rsidRPr="00AF35D1">
        <w:rPr>
          <w:vertAlign w:val="superscript"/>
        </w:rPr>
        <w:t>®</w:t>
      </w:r>
      <w:r w:rsidRPr="00C96DD5">
        <w:t xml:space="preserve">, </w:t>
      </w:r>
      <w:r>
        <w:t xml:space="preserve">the DCAR </w:t>
      </w:r>
      <w:r w:rsidRPr="00C96DD5">
        <w:t>assumed that Axxent</w:t>
      </w:r>
      <w:r w:rsidRPr="00F37FB0">
        <w:rPr>
          <w:vertAlign w:val="superscript"/>
        </w:rPr>
        <w:t>®</w:t>
      </w:r>
      <w:r w:rsidRPr="00C96DD5">
        <w:t xml:space="preserve"> can</w:t>
      </w:r>
      <w:r>
        <w:t xml:space="preserve"> also</w:t>
      </w:r>
      <w:r w:rsidRPr="00C96DD5">
        <w:t xml:space="preserve"> be </w:t>
      </w:r>
      <w:r w:rsidR="00EA4F7E">
        <w:t>cost-minimised against WB-EBRT.</w:t>
      </w:r>
    </w:p>
    <w:p w14:paraId="56E1240B" w14:textId="77777777" w:rsidR="00F02FC8" w:rsidRDefault="00F02FC8" w:rsidP="00EA4F7E">
      <w:pPr>
        <w:spacing w:before="240"/>
      </w:pPr>
      <w:r>
        <w:t xml:space="preserve">The DCAR stated this would result </w:t>
      </w:r>
      <w:r w:rsidRPr="00F3375F">
        <w:t xml:space="preserve">in cost savings </w:t>
      </w:r>
      <w:r>
        <w:t xml:space="preserve">equivalent to that </w:t>
      </w:r>
      <w:r w:rsidRPr="00F3375F">
        <w:t>calculated by the budget impact analysi</w:t>
      </w:r>
      <w:r>
        <w:t>s</w:t>
      </w:r>
      <w:r w:rsidRPr="00F3375F">
        <w:t xml:space="preserve"> </w:t>
      </w:r>
      <w:r>
        <w:t xml:space="preserve">as presented in </w:t>
      </w:r>
      <w:r w:rsidRPr="00850AAF">
        <w:t>Scenario 1</w:t>
      </w:r>
      <w:r>
        <w:t xml:space="preserve"> for </w:t>
      </w:r>
      <w:r w:rsidRPr="00F3375F">
        <w:t xml:space="preserve">Application 1189 </w:t>
      </w:r>
      <w:r>
        <w:t>(i.e., p</w:t>
      </w:r>
      <w:r w:rsidRPr="00850AAF">
        <w:t xml:space="preserve">atients treated with </w:t>
      </w:r>
      <w:r>
        <w:t>Axxent</w:t>
      </w:r>
      <w:r w:rsidRPr="00850AAF">
        <w:t xml:space="preserve"> concurrent with BCS plus 15% having three weeks of WB-EBRT as a </w:t>
      </w:r>
      <w:r>
        <w:t xml:space="preserve">tumour </w:t>
      </w:r>
      <w:r w:rsidRPr="00850AAF">
        <w:t>boost</w:t>
      </w:r>
      <w:r>
        <w:t xml:space="preserve"> dose</w:t>
      </w:r>
      <w:r w:rsidRPr="00850AAF">
        <w:t xml:space="preserve"> based on pathology taken at the time of surgery versus patients treated with BCS followed by six weeks of WB-EBRT</w:t>
      </w:r>
      <w:r>
        <w:t xml:space="preserve">). This is based on the assumption that </w:t>
      </w:r>
      <w:r w:rsidRPr="00503231">
        <w:t>the costs of treatment with Axxe</w:t>
      </w:r>
      <w:r>
        <w:t>nt and the market share and uptake of Axxent would mirror that modelled for Intrabeam</w:t>
      </w:r>
      <w:r w:rsidRPr="009A0987">
        <w:rPr>
          <w:vertAlign w:val="superscript"/>
        </w:rPr>
        <w:t>®</w:t>
      </w:r>
      <w:r>
        <w:t>.</w:t>
      </w:r>
    </w:p>
    <w:p w14:paraId="1630A3A6" w14:textId="77777777" w:rsidR="00BA3279" w:rsidRPr="00F715D1" w:rsidRDefault="00BA3279" w:rsidP="00BA3279">
      <w:pPr>
        <w:pStyle w:val="Heading1"/>
      </w:pPr>
      <w:r w:rsidRPr="00F715D1">
        <w:t>Financial/budgetary impacts</w:t>
      </w:r>
    </w:p>
    <w:p w14:paraId="7DD0E4D3" w14:textId="64046BFE" w:rsidR="00F02FC8" w:rsidRDefault="00F02FC8" w:rsidP="00F02FC8">
      <w:r>
        <w:t>The DCAR stated the previous application (1429) did not provide any budget impact model. However, the DCAR presented the estimated cost savings per patient that could be achieved when using the proposed IORT as opposed to WB-EBRT, with the Applicant’s assumption that 15% of patients will require a tumour boost dose (Table 8).</w:t>
      </w:r>
    </w:p>
    <w:p w14:paraId="51E76990" w14:textId="340F4FAE" w:rsidR="00F02FC8" w:rsidRPr="00ED7C46" w:rsidRDefault="00F02FC8" w:rsidP="00ED7C46">
      <w:pPr>
        <w:spacing w:before="240"/>
        <w:rPr>
          <w:rFonts w:ascii="Arial Narrow" w:hAnsi="Arial Narrow"/>
          <w:b/>
          <w:sz w:val="20"/>
        </w:rPr>
      </w:pPr>
      <w:r w:rsidRPr="00ED7C46">
        <w:rPr>
          <w:rFonts w:ascii="Arial Narrow" w:hAnsi="Arial Narrow"/>
          <w:b/>
          <w:sz w:val="20"/>
        </w:rPr>
        <w:t>Table 8</w:t>
      </w:r>
      <w:r w:rsidRPr="00ED7C46">
        <w:rPr>
          <w:rFonts w:ascii="Arial Narrow" w:hAnsi="Arial Narrow"/>
          <w:b/>
          <w:sz w:val="20"/>
        </w:rPr>
        <w:tab/>
        <w:t>Estimated costs of IORT with the Axxent® device and cost savings per patient compared to WB-EBRT</w:t>
      </w:r>
      <w:r w:rsidR="00C02C9B" w:rsidRPr="00ED7C46">
        <w:rPr>
          <w:rFonts w:ascii="Arial Narrow" w:hAnsi="Arial Narrow"/>
          <w:b/>
          <w:sz w:val="20"/>
        </w:rPr>
        <w:t xml:space="preserve">, and hypofractionated WB-EBRT </w:t>
      </w:r>
      <w:r w:rsidR="00987454" w:rsidRPr="00ED7C46">
        <w:rPr>
          <w:rFonts w:ascii="Arial Narrow" w:hAnsi="Arial Narrow"/>
          <w:b/>
          <w:sz w:val="20"/>
        </w:rPr>
        <w:t xml:space="preserve">calculated </w:t>
      </w:r>
      <w:r w:rsidR="00C02C9B" w:rsidRPr="00ED7C46">
        <w:rPr>
          <w:rFonts w:ascii="Arial Narrow" w:hAnsi="Arial Narrow"/>
          <w:b/>
          <w:sz w:val="20"/>
        </w:rPr>
        <w:t>for MSAC</w:t>
      </w:r>
    </w:p>
    <w:tbl>
      <w:tblPr>
        <w:tblStyle w:val="TableGrid"/>
        <w:tblW w:w="0" w:type="auto"/>
        <w:tblLook w:val="04A0" w:firstRow="1" w:lastRow="0" w:firstColumn="1" w:lastColumn="0" w:noHBand="0" w:noVBand="1"/>
        <w:tblCaption w:val="Table 8 Estimated costs of IORT with the Axxent® device and cost savings per patient compared to WB-EBRT "/>
        <w:tblDescription w:val="Summary of Applicant's economic evaluation"/>
      </w:tblPr>
      <w:tblGrid>
        <w:gridCol w:w="4957"/>
        <w:gridCol w:w="1353"/>
        <w:gridCol w:w="1353"/>
        <w:gridCol w:w="1353"/>
      </w:tblGrid>
      <w:tr w:rsidR="00F02FC8" w14:paraId="49EC8CB9" w14:textId="77777777" w:rsidTr="00F02FC8">
        <w:trPr>
          <w:trHeight w:val="502"/>
          <w:tblHeader/>
        </w:trPr>
        <w:tc>
          <w:tcPr>
            <w:tcW w:w="4957" w:type="dxa"/>
          </w:tcPr>
          <w:p w14:paraId="35C99D58" w14:textId="77777777" w:rsidR="00F02FC8" w:rsidRDefault="00F02FC8" w:rsidP="00E9302D">
            <w:pPr>
              <w:pStyle w:val="TableHeading0"/>
              <w:jc w:val="left"/>
            </w:pPr>
            <w:r>
              <w:t xml:space="preserve">Treatment </w:t>
            </w:r>
          </w:p>
        </w:tc>
        <w:tc>
          <w:tcPr>
            <w:tcW w:w="1353" w:type="dxa"/>
          </w:tcPr>
          <w:p w14:paraId="12A5FF41" w14:textId="77777777" w:rsidR="00F02FC8" w:rsidRDefault="00F02FC8" w:rsidP="00E9302D">
            <w:pPr>
              <w:pStyle w:val="TableHeading"/>
            </w:pPr>
            <w:r>
              <w:t>IORT</w:t>
            </w:r>
          </w:p>
        </w:tc>
        <w:tc>
          <w:tcPr>
            <w:tcW w:w="1353" w:type="dxa"/>
          </w:tcPr>
          <w:p w14:paraId="053E22A1" w14:textId="77777777" w:rsidR="00F02FC8" w:rsidRDefault="00F02FC8" w:rsidP="00E9302D">
            <w:pPr>
              <w:pStyle w:val="TableHeading"/>
            </w:pPr>
            <w:r>
              <w:t>WB-EBRT</w:t>
            </w:r>
          </w:p>
        </w:tc>
        <w:tc>
          <w:tcPr>
            <w:tcW w:w="1353" w:type="dxa"/>
          </w:tcPr>
          <w:p w14:paraId="3BC32EF0" w14:textId="77777777" w:rsidR="00F02FC8" w:rsidRDefault="00F02FC8" w:rsidP="00E9302D">
            <w:pPr>
              <w:pStyle w:val="TableHeading"/>
            </w:pPr>
            <w:r>
              <w:t xml:space="preserve">Incremental </w:t>
            </w:r>
          </w:p>
        </w:tc>
      </w:tr>
      <w:tr w:rsidR="00F02FC8" w14:paraId="0C9BF761" w14:textId="77777777" w:rsidTr="00E9302D">
        <w:trPr>
          <w:trHeight w:val="279"/>
        </w:trPr>
        <w:tc>
          <w:tcPr>
            <w:tcW w:w="4957" w:type="dxa"/>
          </w:tcPr>
          <w:p w14:paraId="12DF5F64" w14:textId="77777777" w:rsidR="00F02FC8" w:rsidRDefault="00F02FC8" w:rsidP="00E9302D">
            <w:pPr>
              <w:pStyle w:val="Tabletext0"/>
            </w:pPr>
            <w:r>
              <w:t xml:space="preserve">IORT in conjunction with BCS </w:t>
            </w:r>
          </w:p>
        </w:tc>
        <w:tc>
          <w:tcPr>
            <w:tcW w:w="1353" w:type="dxa"/>
          </w:tcPr>
          <w:p w14:paraId="1E5B2C10" w14:textId="77777777" w:rsidR="00F02FC8" w:rsidRDefault="00F02FC8" w:rsidP="00E9302D">
            <w:pPr>
              <w:pStyle w:val="Tabletext0"/>
            </w:pPr>
            <w:r>
              <w:t>$1,117</w:t>
            </w:r>
          </w:p>
        </w:tc>
        <w:tc>
          <w:tcPr>
            <w:tcW w:w="1353" w:type="dxa"/>
          </w:tcPr>
          <w:p w14:paraId="2AB62626" w14:textId="77777777" w:rsidR="00F02FC8" w:rsidRDefault="00F02FC8" w:rsidP="00E9302D">
            <w:pPr>
              <w:pStyle w:val="Tabletext0"/>
            </w:pPr>
            <w:r>
              <w:t>$0</w:t>
            </w:r>
          </w:p>
        </w:tc>
        <w:tc>
          <w:tcPr>
            <w:tcW w:w="1353" w:type="dxa"/>
          </w:tcPr>
          <w:p w14:paraId="28E24C75" w14:textId="77777777" w:rsidR="00F02FC8" w:rsidRDefault="00F02FC8" w:rsidP="00E9302D">
            <w:pPr>
              <w:pStyle w:val="Tabletext0"/>
            </w:pPr>
            <w:r>
              <w:t>+$1,117</w:t>
            </w:r>
          </w:p>
        </w:tc>
      </w:tr>
      <w:tr w:rsidR="00F02FC8" w14:paraId="0338BE2E" w14:textId="77777777" w:rsidTr="00E9302D">
        <w:trPr>
          <w:trHeight w:val="279"/>
        </w:trPr>
        <w:tc>
          <w:tcPr>
            <w:tcW w:w="4957" w:type="dxa"/>
          </w:tcPr>
          <w:p w14:paraId="566DF3AB" w14:textId="77777777" w:rsidR="00F02FC8" w:rsidRDefault="00F02FC8" w:rsidP="00E9302D">
            <w:pPr>
              <w:pStyle w:val="Tabletext0"/>
            </w:pPr>
            <w:r>
              <w:t xml:space="preserve">Additional OR and physicist time – 30 minutes </w:t>
            </w:r>
          </w:p>
        </w:tc>
        <w:tc>
          <w:tcPr>
            <w:tcW w:w="1353" w:type="dxa"/>
          </w:tcPr>
          <w:p w14:paraId="5329C023" w14:textId="77777777" w:rsidR="00F02FC8" w:rsidRDefault="00F02FC8" w:rsidP="00E9302D">
            <w:pPr>
              <w:pStyle w:val="Tabletext0"/>
            </w:pPr>
            <w:r>
              <w:t xml:space="preserve">$1,500 </w:t>
            </w:r>
          </w:p>
        </w:tc>
        <w:tc>
          <w:tcPr>
            <w:tcW w:w="1353" w:type="dxa"/>
          </w:tcPr>
          <w:p w14:paraId="03BCD077" w14:textId="77777777" w:rsidR="00F02FC8" w:rsidRDefault="00F02FC8" w:rsidP="00E9302D">
            <w:pPr>
              <w:pStyle w:val="Tabletext0"/>
            </w:pPr>
            <w:r>
              <w:t>$0</w:t>
            </w:r>
          </w:p>
        </w:tc>
        <w:tc>
          <w:tcPr>
            <w:tcW w:w="1353" w:type="dxa"/>
          </w:tcPr>
          <w:p w14:paraId="7D961F39" w14:textId="77777777" w:rsidR="00F02FC8" w:rsidRDefault="00F02FC8" w:rsidP="00E9302D">
            <w:pPr>
              <w:pStyle w:val="Tabletext0"/>
            </w:pPr>
            <w:r>
              <w:t>+$1,500</w:t>
            </w:r>
          </w:p>
        </w:tc>
      </w:tr>
      <w:tr w:rsidR="00F02FC8" w14:paraId="0EB6A32A" w14:textId="77777777" w:rsidTr="00E9302D">
        <w:trPr>
          <w:trHeight w:val="279"/>
        </w:trPr>
        <w:tc>
          <w:tcPr>
            <w:tcW w:w="4957" w:type="dxa"/>
          </w:tcPr>
          <w:p w14:paraId="32E4908D" w14:textId="77777777" w:rsidR="00F02FC8" w:rsidRDefault="00F02FC8" w:rsidP="00E9302D">
            <w:pPr>
              <w:pStyle w:val="Tabletext0"/>
            </w:pPr>
            <w:r>
              <w:t xml:space="preserve">Supplemental WB-EBRT following pathology for 15% of patients </w:t>
            </w:r>
          </w:p>
        </w:tc>
        <w:tc>
          <w:tcPr>
            <w:tcW w:w="1353" w:type="dxa"/>
          </w:tcPr>
          <w:p w14:paraId="058A40A7" w14:textId="77777777" w:rsidR="00F02FC8" w:rsidRDefault="00F02FC8" w:rsidP="00E9302D">
            <w:pPr>
              <w:pStyle w:val="Tabletext0"/>
            </w:pPr>
            <w:r>
              <w:t>$1,280</w:t>
            </w:r>
          </w:p>
        </w:tc>
        <w:tc>
          <w:tcPr>
            <w:tcW w:w="1353" w:type="dxa"/>
          </w:tcPr>
          <w:p w14:paraId="23DEFF77" w14:textId="77777777" w:rsidR="00F02FC8" w:rsidRDefault="00F02FC8" w:rsidP="00E9302D">
            <w:pPr>
              <w:pStyle w:val="Tabletext0"/>
            </w:pPr>
            <w:r>
              <w:t>$0</w:t>
            </w:r>
          </w:p>
        </w:tc>
        <w:tc>
          <w:tcPr>
            <w:tcW w:w="1353" w:type="dxa"/>
          </w:tcPr>
          <w:p w14:paraId="3CFB45EE" w14:textId="77777777" w:rsidR="00F02FC8" w:rsidRDefault="00F02FC8" w:rsidP="00E9302D">
            <w:pPr>
              <w:pStyle w:val="Tabletext0"/>
            </w:pPr>
            <w:r>
              <w:t>+$1,280</w:t>
            </w:r>
          </w:p>
        </w:tc>
      </w:tr>
      <w:tr w:rsidR="00F02FC8" w14:paraId="6B4512FB" w14:textId="77777777" w:rsidTr="00E9302D">
        <w:trPr>
          <w:trHeight w:val="299"/>
        </w:trPr>
        <w:tc>
          <w:tcPr>
            <w:tcW w:w="4957" w:type="dxa"/>
          </w:tcPr>
          <w:p w14:paraId="0F9E44B9" w14:textId="77777777" w:rsidR="00F02FC8" w:rsidRDefault="00F02FC8" w:rsidP="00E9302D">
            <w:pPr>
              <w:pStyle w:val="Tabletext0"/>
            </w:pPr>
            <w:r>
              <w:t xml:space="preserve">WB-EBRT </w:t>
            </w:r>
            <w:r w:rsidRPr="00987454">
              <w:t>(25 treatment attendances)</w:t>
            </w:r>
          </w:p>
        </w:tc>
        <w:tc>
          <w:tcPr>
            <w:tcW w:w="1353" w:type="dxa"/>
          </w:tcPr>
          <w:p w14:paraId="45BF251B" w14:textId="77777777" w:rsidR="00F02FC8" w:rsidRDefault="00F02FC8" w:rsidP="00E9302D">
            <w:pPr>
              <w:pStyle w:val="Tabletext0"/>
            </w:pPr>
            <w:r>
              <w:t>$0</w:t>
            </w:r>
          </w:p>
        </w:tc>
        <w:tc>
          <w:tcPr>
            <w:tcW w:w="1353" w:type="dxa"/>
          </w:tcPr>
          <w:p w14:paraId="50FF439D" w14:textId="77777777" w:rsidR="00F02FC8" w:rsidRDefault="00F02FC8" w:rsidP="00E9302D">
            <w:pPr>
              <w:pStyle w:val="Tabletext0"/>
            </w:pPr>
            <w:r>
              <w:t>$9,830</w:t>
            </w:r>
          </w:p>
        </w:tc>
        <w:tc>
          <w:tcPr>
            <w:tcW w:w="1353" w:type="dxa"/>
          </w:tcPr>
          <w:p w14:paraId="6BD1D0D3" w14:textId="76B13E9F" w:rsidR="00F02FC8" w:rsidRDefault="008E727C" w:rsidP="00E9302D">
            <w:pPr>
              <w:pStyle w:val="Tabletext0"/>
            </w:pPr>
            <w:r>
              <w:t>-$9,830</w:t>
            </w:r>
          </w:p>
        </w:tc>
      </w:tr>
      <w:tr w:rsidR="008E727C" w14:paraId="54C76674" w14:textId="77777777" w:rsidTr="00E9302D">
        <w:trPr>
          <w:trHeight w:val="299"/>
        </w:trPr>
        <w:tc>
          <w:tcPr>
            <w:tcW w:w="4957" w:type="dxa"/>
          </w:tcPr>
          <w:p w14:paraId="2D3FB3DF" w14:textId="65DA80A6" w:rsidR="008E727C" w:rsidRPr="00987454" w:rsidRDefault="008E727C" w:rsidP="00E9302D">
            <w:pPr>
              <w:pStyle w:val="Tabletext0"/>
              <w:rPr>
                <w:i/>
              </w:rPr>
            </w:pPr>
            <w:r>
              <w:rPr>
                <w:i/>
              </w:rPr>
              <w:t xml:space="preserve">Hypofractionated </w:t>
            </w:r>
            <w:r w:rsidRPr="00987454">
              <w:rPr>
                <w:i/>
              </w:rPr>
              <w:t xml:space="preserve">WB-EBRT (15 treatment </w:t>
            </w:r>
            <w:r w:rsidRPr="00C02C9B">
              <w:rPr>
                <w:i/>
              </w:rPr>
              <w:t>attendances</w:t>
            </w:r>
            <w:r w:rsidRPr="00987454">
              <w:rPr>
                <w:i/>
              </w:rPr>
              <w:t>)</w:t>
            </w:r>
          </w:p>
        </w:tc>
        <w:tc>
          <w:tcPr>
            <w:tcW w:w="1353" w:type="dxa"/>
          </w:tcPr>
          <w:p w14:paraId="7FE43405" w14:textId="77777777" w:rsidR="008E727C" w:rsidRPr="00987454" w:rsidRDefault="008E727C" w:rsidP="00E9302D">
            <w:pPr>
              <w:pStyle w:val="Tabletext0"/>
              <w:rPr>
                <w:i/>
              </w:rPr>
            </w:pPr>
          </w:p>
        </w:tc>
        <w:tc>
          <w:tcPr>
            <w:tcW w:w="1353" w:type="dxa"/>
          </w:tcPr>
          <w:p w14:paraId="70ACA4FD" w14:textId="69D5B4FE" w:rsidR="008E727C" w:rsidRPr="00987454" w:rsidRDefault="008E727C" w:rsidP="00E9302D">
            <w:pPr>
              <w:pStyle w:val="Tabletext0"/>
              <w:rPr>
                <w:i/>
                <w:vertAlign w:val="superscript"/>
              </w:rPr>
            </w:pPr>
            <w:r w:rsidRPr="00987454">
              <w:rPr>
                <w:i/>
              </w:rPr>
              <w:t>$6,398</w:t>
            </w:r>
            <w:r w:rsidRPr="00987454">
              <w:rPr>
                <w:i/>
                <w:vertAlign w:val="superscript"/>
              </w:rPr>
              <w:t>a</w:t>
            </w:r>
          </w:p>
        </w:tc>
        <w:tc>
          <w:tcPr>
            <w:tcW w:w="1353" w:type="dxa"/>
          </w:tcPr>
          <w:p w14:paraId="2A4283CF" w14:textId="4498697B" w:rsidR="008E727C" w:rsidRPr="00987454" w:rsidRDefault="008E727C" w:rsidP="00E9302D">
            <w:pPr>
              <w:pStyle w:val="Tabletext0"/>
              <w:rPr>
                <w:i/>
              </w:rPr>
            </w:pPr>
            <w:r w:rsidRPr="00987454">
              <w:rPr>
                <w:i/>
              </w:rPr>
              <w:t>-$6,830</w:t>
            </w:r>
          </w:p>
        </w:tc>
      </w:tr>
      <w:tr w:rsidR="00F02FC8" w14:paraId="43FF1821" w14:textId="77777777" w:rsidTr="00E9302D">
        <w:trPr>
          <w:trHeight w:val="279"/>
        </w:trPr>
        <w:tc>
          <w:tcPr>
            <w:tcW w:w="4957" w:type="dxa"/>
          </w:tcPr>
          <w:p w14:paraId="53F6096A" w14:textId="77777777" w:rsidR="00F02FC8" w:rsidRPr="00F60356" w:rsidRDefault="00F02FC8" w:rsidP="00E9302D">
            <w:pPr>
              <w:pStyle w:val="Tabletext0"/>
              <w:rPr>
                <w:b/>
                <w:bCs/>
              </w:rPr>
            </w:pPr>
            <w:r>
              <w:rPr>
                <w:b/>
                <w:bCs/>
              </w:rPr>
              <w:t xml:space="preserve">Total </w:t>
            </w:r>
          </w:p>
        </w:tc>
        <w:tc>
          <w:tcPr>
            <w:tcW w:w="1353" w:type="dxa"/>
          </w:tcPr>
          <w:p w14:paraId="20D40672" w14:textId="77777777" w:rsidR="00F02FC8" w:rsidRPr="00987454" w:rsidRDefault="00F02FC8" w:rsidP="00E9302D">
            <w:pPr>
              <w:pStyle w:val="Tabletext0"/>
              <w:rPr>
                <w:b/>
              </w:rPr>
            </w:pPr>
            <w:r w:rsidRPr="00987454">
              <w:rPr>
                <w:b/>
              </w:rPr>
              <w:t>$3,897</w:t>
            </w:r>
          </w:p>
        </w:tc>
        <w:tc>
          <w:tcPr>
            <w:tcW w:w="1353" w:type="dxa"/>
          </w:tcPr>
          <w:p w14:paraId="0107FC37" w14:textId="77777777" w:rsidR="00F02FC8" w:rsidRPr="00987454" w:rsidRDefault="00F02FC8" w:rsidP="00E9302D">
            <w:pPr>
              <w:pStyle w:val="Tabletext0"/>
              <w:rPr>
                <w:b/>
              </w:rPr>
            </w:pPr>
            <w:r w:rsidRPr="00987454">
              <w:rPr>
                <w:b/>
              </w:rPr>
              <w:t>$9,830</w:t>
            </w:r>
          </w:p>
        </w:tc>
        <w:tc>
          <w:tcPr>
            <w:tcW w:w="1353" w:type="dxa"/>
          </w:tcPr>
          <w:p w14:paraId="2A637152" w14:textId="77777777" w:rsidR="00F02FC8" w:rsidRPr="00987454" w:rsidRDefault="00F02FC8" w:rsidP="00E9302D">
            <w:pPr>
              <w:pStyle w:val="Tabletext0"/>
              <w:rPr>
                <w:b/>
              </w:rPr>
            </w:pPr>
            <w:r w:rsidRPr="00987454">
              <w:rPr>
                <w:b/>
              </w:rPr>
              <w:t>-$5,933</w:t>
            </w:r>
          </w:p>
        </w:tc>
      </w:tr>
      <w:tr w:rsidR="008E727C" w14:paraId="3D37F710" w14:textId="77777777" w:rsidTr="00E9302D">
        <w:trPr>
          <w:trHeight w:val="279"/>
        </w:trPr>
        <w:tc>
          <w:tcPr>
            <w:tcW w:w="4957" w:type="dxa"/>
          </w:tcPr>
          <w:p w14:paraId="4855D236" w14:textId="4650EBD8" w:rsidR="008E727C" w:rsidRPr="00987454" w:rsidRDefault="008E727C" w:rsidP="00E9302D">
            <w:pPr>
              <w:pStyle w:val="Tabletext0"/>
              <w:rPr>
                <w:b/>
                <w:bCs/>
                <w:i/>
              </w:rPr>
            </w:pPr>
            <w:r w:rsidRPr="00987454">
              <w:rPr>
                <w:b/>
                <w:bCs/>
                <w:i/>
              </w:rPr>
              <w:t>Total- using hypofractionated WB-EBRT</w:t>
            </w:r>
          </w:p>
        </w:tc>
        <w:tc>
          <w:tcPr>
            <w:tcW w:w="1353" w:type="dxa"/>
          </w:tcPr>
          <w:p w14:paraId="1F6E4B0B" w14:textId="25F88D1A" w:rsidR="008E727C" w:rsidRPr="00987454" w:rsidRDefault="008E727C" w:rsidP="00E9302D">
            <w:pPr>
              <w:pStyle w:val="Tabletext0"/>
              <w:rPr>
                <w:b/>
                <w:i/>
              </w:rPr>
            </w:pPr>
            <w:r w:rsidRPr="00987454">
              <w:rPr>
                <w:b/>
                <w:i/>
              </w:rPr>
              <w:t>$3,897</w:t>
            </w:r>
          </w:p>
        </w:tc>
        <w:tc>
          <w:tcPr>
            <w:tcW w:w="1353" w:type="dxa"/>
          </w:tcPr>
          <w:p w14:paraId="6541AE46" w14:textId="3E3365B1" w:rsidR="008E727C" w:rsidRPr="00987454" w:rsidRDefault="008E727C" w:rsidP="00E9302D">
            <w:pPr>
              <w:pStyle w:val="Tabletext0"/>
              <w:rPr>
                <w:b/>
                <w:i/>
                <w:vertAlign w:val="superscript"/>
              </w:rPr>
            </w:pPr>
            <w:r w:rsidRPr="00987454">
              <w:rPr>
                <w:b/>
                <w:i/>
              </w:rPr>
              <w:t>$6,398</w:t>
            </w:r>
            <w:r w:rsidRPr="00987454">
              <w:rPr>
                <w:b/>
                <w:i/>
                <w:vertAlign w:val="superscript"/>
              </w:rPr>
              <w:t>a</w:t>
            </w:r>
          </w:p>
        </w:tc>
        <w:tc>
          <w:tcPr>
            <w:tcW w:w="1353" w:type="dxa"/>
          </w:tcPr>
          <w:p w14:paraId="23C7A5FF" w14:textId="7CBA05A5" w:rsidR="008E727C" w:rsidRPr="00987454" w:rsidRDefault="008E727C" w:rsidP="00E9302D">
            <w:pPr>
              <w:pStyle w:val="Tabletext0"/>
              <w:rPr>
                <w:b/>
                <w:i/>
              </w:rPr>
            </w:pPr>
            <w:r w:rsidRPr="00987454">
              <w:rPr>
                <w:b/>
                <w:i/>
              </w:rPr>
              <w:t>-$3,041</w:t>
            </w:r>
          </w:p>
        </w:tc>
      </w:tr>
    </w:tbl>
    <w:p w14:paraId="2C4D77F4" w14:textId="29ACFBD0" w:rsidR="00F02FC8" w:rsidRPr="00987454" w:rsidRDefault="00F02FC8" w:rsidP="00F02FC8">
      <w:pPr>
        <w:pStyle w:val="Tablenotes"/>
        <w:rPr>
          <w:i/>
        </w:rPr>
      </w:pPr>
      <w:r>
        <w:t>Source: Table 1</w:t>
      </w:r>
      <w:r w:rsidR="008E727C">
        <w:t>2</w:t>
      </w:r>
      <w:r>
        <w:t>, p23 of the DCAR</w:t>
      </w:r>
      <w:r w:rsidR="008E727C">
        <w:rPr>
          <w:i/>
        </w:rPr>
        <w:t>, and calculated by Department for MSAC</w:t>
      </w:r>
    </w:p>
    <w:p w14:paraId="32FF9239" w14:textId="6983B854" w:rsidR="00F02FC8" w:rsidRDefault="00F02FC8" w:rsidP="00F02FC8">
      <w:pPr>
        <w:pStyle w:val="Tablenotes"/>
      </w:pPr>
      <w:r>
        <w:t>IORT = intraoperative radiotherapy, BCS = breast conserving surgery, OR = operation room</w:t>
      </w:r>
    </w:p>
    <w:p w14:paraId="7D434FC5" w14:textId="159F34D4" w:rsidR="008E727C" w:rsidRPr="00987454" w:rsidRDefault="008E727C" w:rsidP="00F02FC8">
      <w:pPr>
        <w:pStyle w:val="Tablenotes"/>
        <w:rPr>
          <w:i/>
        </w:rPr>
      </w:pPr>
      <w:r w:rsidRPr="00987454">
        <w:rPr>
          <w:i/>
          <w:vertAlign w:val="superscript"/>
        </w:rPr>
        <w:t>a</w:t>
      </w:r>
      <w:r w:rsidRPr="00987454">
        <w:rPr>
          <w:i/>
        </w:rPr>
        <w:t xml:space="preserve"> Calculated by changing number of attendances from 25 to 15 in Table 11 of DCAR</w:t>
      </w:r>
    </w:p>
    <w:p w14:paraId="753DF2A4" w14:textId="1485D216" w:rsidR="002C2931" w:rsidRDefault="00F02FC8" w:rsidP="00F02FC8">
      <w:r>
        <w:t>The DCAR stated that the cost saving yielded through the utilisation of the IORT with the Axxent</w:t>
      </w:r>
      <w:r w:rsidRPr="00F449BD">
        <w:rPr>
          <w:vertAlign w:val="superscript"/>
        </w:rPr>
        <w:t xml:space="preserve">® </w:t>
      </w:r>
      <w:r>
        <w:t>device relative to WB-EBRT is marginally higher in comparison to the IORT with Intrabeam</w:t>
      </w:r>
      <w:r w:rsidRPr="00F449BD">
        <w:rPr>
          <w:vertAlign w:val="superscript"/>
        </w:rPr>
        <w:t>®</w:t>
      </w:r>
      <w:r>
        <w:t xml:space="preserve"> relative to WB-EBRT. A</w:t>
      </w:r>
      <w:r w:rsidRPr="00682AF9">
        <w:t>pplication 1189 for IORT</w:t>
      </w:r>
      <w:r>
        <w:t xml:space="preserve"> with the Intrabeam</w:t>
      </w:r>
      <w:r w:rsidRPr="00F449BD">
        <w:rPr>
          <w:vertAlign w:val="superscript"/>
        </w:rPr>
        <w:t>®</w:t>
      </w:r>
      <w:r>
        <w:t xml:space="preserve"> device</w:t>
      </w:r>
      <w:r w:rsidRPr="00682AF9">
        <w:t xml:space="preserve"> calculated that</w:t>
      </w:r>
      <w:r>
        <w:t>, compared to BCS followed by WB-EBRT,</w:t>
      </w:r>
      <w:r w:rsidRPr="00682AF9">
        <w:t xml:space="preserve"> IORT would yield cost savings of</w:t>
      </w:r>
      <w:r>
        <w:t xml:space="preserve">: </w:t>
      </w:r>
      <w:r w:rsidRPr="00682AF9">
        <w:t xml:space="preserve">$5,130 per patient for those treated with IORT concurrent with </w:t>
      </w:r>
      <w:r>
        <w:t xml:space="preserve">BCS followed by “boost” WB-EBRT (Scenario 1) and $5,637 per patient for those treated with post-pathology IORT </w:t>
      </w:r>
      <w:r>
        <w:lastRenderedPageBreak/>
        <w:t>following BCS</w:t>
      </w:r>
      <w:r w:rsidRPr="00DA4D94">
        <w:t xml:space="preserve"> </w:t>
      </w:r>
      <w:r w:rsidRPr="00682AF9">
        <w:t>(PSD Application 1189</w:t>
      </w:r>
      <w:r>
        <w:t xml:space="preserve"> 2014,</w:t>
      </w:r>
      <w:r w:rsidRPr="00682AF9">
        <w:t xml:space="preserve"> p</w:t>
      </w:r>
      <w:r>
        <w:t>9</w:t>
      </w:r>
      <w:r w:rsidRPr="00682AF9">
        <w:t>)</w:t>
      </w:r>
      <w:r>
        <w:t xml:space="preserve">. </w:t>
      </w:r>
      <w:r w:rsidRPr="003078B1">
        <w:t xml:space="preserve">In comparison, the total average cost for six weeks of WB-EBRT was </w:t>
      </w:r>
      <w:r>
        <w:t xml:space="preserve">estimated to be </w:t>
      </w:r>
      <w:r w:rsidRPr="003078B1">
        <w:t>$15,971 ($6,025 for BCS plus $9,946 for WB-EBRT</w:t>
      </w:r>
      <w:r>
        <w:t>).</w:t>
      </w:r>
    </w:p>
    <w:p w14:paraId="46CDFB8C" w14:textId="16613A3B" w:rsidR="00F02FC8" w:rsidRDefault="00AD0F25" w:rsidP="00EA4F7E">
      <w:pPr>
        <w:spacing w:before="240"/>
      </w:pPr>
      <w:r>
        <w:t>In the</w:t>
      </w:r>
      <w:r w:rsidR="002C2931">
        <w:t xml:space="preserve"> pre-MSAC response, the applicant acknowledged that hypofractionated WB-EBRT is generally recommended for patients with early stage breast cancer shortening from five to three weeks (25 fractions down to 15 fractions). Despite </w:t>
      </w:r>
      <w:r w:rsidR="00C72DA4">
        <w:t>h</w:t>
      </w:r>
      <w:r w:rsidR="002C2931">
        <w:t>ypofractionated WB-EBRT reducing the number of attendances from 25 to 15, the overall cost reduction for treatment still favours IORT with the Axxent</w:t>
      </w:r>
      <w:r w:rsidR="002C2931" w:rsidRPr="009A0987">
        <w:rPr>
          <w:color w:val="000000" w:themeColor="text1"/>
          <w:vertAlign w:val="superscript"/>
        </w:rPr>
        <w:t>®</w:t>
      </w:r>
      <w:r w:rsidR="002C2931">
        <w:t xml:space="preserve"> or Intrabeam</w:t>
      </w:r>
      <w:r w:rsidR="002C2931" w:rsidRPr="009A0987">
        <w:rPr>
          <w:color w:val="000000" w:themeColor="text1"/>
          <w:vertAlign w:val="superscript"/>
        </w:rPr>
        <w:t>®</w:t>
      </w:r>
      <w:r w:rsidR="002C2931">
        <w:t xml:space="preserve"> devices over </w:t>
      </w:r>
      <w:r w:rsidR="00C72DA4">
        <w:t>h</w:t>
      </w:r>
      <w:r w:rsidR="00EA4F7E">
        <w:t>ypofractionated WB-EBRT.</w:t>
      </w:r>
    </w:p>
    <w:p w14:paraId="6C06AF48" w14:textId="37CC3DB5" w:rsidR="00F02FC8" w:rsidRDefault="00F02FC8" w:rsidP="00EA4F7E">
      <w:pPr>
        <w:spacing w:before="240"/>
      </w:pPr>
      <w:r>
        <w:t xml:space="preserve">The DCAR stated that </w:t>
      </w:r>
      <w:r w:rsidRPr="00BB3CE6">
        <w:t>ESC acknowledged that due to the very low uptake of the Intrabeam</w:t>
      </w:r>
      <w:r w:rsidRPr="00F449BD">
        <w:rPr>
          <w:vertAlign w:val="superscript"/>
        </w:rPr>
        <w:t>®</w:t>
      </w:r>
      <w:r w:rsidRPr="00BB3CE6">
        <w:t xml:space="preserve"> MBS items, that there would be no impact on the MBS should Axxent</w:t>
      </w:r>
      <w:r w:rsidRPr="00F449BD">
        <w:rPr>
          <w:vertAlign w:val="superscript"/>
        </w:rPr>
        <w:t>®</w:t>
      </w:r>
      <w:r w:rsidRPr="00BB3CE6">
        <w:t xml:space="preserve"> replace Intrabeam</w:t>
      </w:r>
      <w:r w:rsidRPr="00F449BD">
        <w:rPr>
          <w:vertAlign w:val="superscript"/>
        </w:rPr>
        <w:t>®</w:t>
      </w:r>
      <w:r w:rsidRPr="00BB3CE6">
        <w:t>. However, the ESC noted that, based on the budget impact analysis reported in MSAC Application 1189, that replacement of WB-EBRT by Axxent</w:t>
      </w:r>
      <w:r w:rsidRPr="00F449BD">
        <w:rPr>
          <w:vertAlign w:val="superscript"/>
        </w:rPr>
        <w:t xml:space="preserve">® </w:t>
      </w:r>
      <w:r w:rsidRPr="00BB3CE6">
        <w:t>would also likely result in cost savings.</w:t>
      </w:r>
      <w:r w:rsidRPr="002B7B49">
        <w:t xml:space="preserve"> </w:t>
      </w:r>
      <w:r w:rsidRPr="00BB3CE6">
        <w:t>Therefore, in this resubmission, based on non-inferiority compared to Intrabeam</w:t>
      </w:r>
      <w:r w:rsidRPr="00F449BD">
        <w:rPr>
          <w:vertAlign w:val="superscript"/>
        </w:rPr>
        <w:t>®</w:t>
      </w:r>
      <w:r w:rsidRPr="00BB3CE6">
        <w:t xml:space="preserve"> and WB-EBRT, </w:t>
      </w:r>
      <w:r>
        <w:t>the DCAR</w:t>
      </w:r>
      <w:r w:rsidRPr="00BB3CE6">
        <w:t xml:space="preserve"> expected that Axxent</w:t>
      </w:r>
      <w:r w:rsidRPr="00F449BD">
        <w:rPr>
          <w:vertAlign w:val="superscript"/>
        </w:rPr>
        <w:t>®</w:t>
      </w:r>
      <w:r w:rsidRPr="00BB3CE6">
        <w:t xml:space="preserve"> will also yield in cost</w:t>
      </w:r>
      <w:r>
        <w:t xml:space="preserve"> </w:t>
      </w:r>
      <w:r w:rsidRPr="00BB3CE6">
        <w:t xml:space="preserve">savings to the </w:t>
      </w:r>
      <w:r>
        <w:t xml:space="preserve">MBS and </w:t>
      </w:r>
      <w:r w:rsidRPr="00BB3CE6">
        <w:t>health budget</w:t>
      </w:r>
      <w:r>
        <w:t>s</w:t>
      </w:r>
      <w:r w:rsidRPr="00BB3CE6">
        <w:t>.</w:t>
      </w:r>
    </w:p>
    <w:p w14:paraId="4A11B746" w14:textId="0F9469BD" w:rsidR="002C2931" w:rsidRDefault="00F02FC8" w:rsidP="00EA4F7E">
      <w:pPr>
        <w:spacing w:before="240"/>
        <w:rPr>
          <w:color w:val="000000" w:themeColor="text1"/>
        </w:rPr>
      </w:pPr>
      <w:r>
        <w:t>The DCAR stated MSAC also acknowledges the clinical need for an IORT device to negate the excessive travel required to undertake a WB-EBRT regimen, especially for patients in rural and remote areas (PSD Application 1189). MSAC therefore accepted, that equity of access to radiotherapy for these patients is improved (PSD Application 1189). The lack of utilisation of the current IORT device, Intrabeam</w:t>
      </w:r>
      <w:r w:rsidRPr="009A0987">
        <w:rPr>
          <w:color w:val="000000" w:themeColor="text1"/>
          <w:vertAlign w:val="superscript"/>
        </w:rPr>
        <w:t>®</w:t>
      </w:r>
      <w:r>
        <w:rPr>
          <w:color w:val="000000" w:themeColor="text1"/>
        </w:rPr>
        <w:t xml:space="preserve"> means that having an additional option of the Axxent</w:t>
      </w:r>
      <w:r w:rsidRPr="009A0987">
        <w:rPr>
          <w:color w:val="000000" w:themeColor="text1"/>
          <w:vertAlign w:val="superscript"/>
        </w:rPr>
        <w:t xml:space="preserve">® </w:t>
      </w:r>
      <w:r>
        <w:rPr>
          <w:color w:val="000000" w:themeColor="text1"/>
        </w:rPr>
        <w:t>device is going to be beneficial to improve equity of access.</w:t>
      </w:r>
    </w:p>
    <w:p w14:paraId="5A3D44EE" w14:textId="01814C3C" w:rsidR="002C2931" w:rsidRPr="002C2931" w:rsidRDefault="00AD0F25" w:rsidP="00EA4F7E">
      <w:pPr>
        <w:spacing w:before="240"/>
        <w:rPr>
          <w:color w:val="000000" w:themeColor="text1"/>
        </w:rPr>
      </w:pPr>
      <w:r>
        <w:rPr>
          <w:color w:val="000000" w:themeColor="text1"/>
        </w:rPr>
        <w:t>In the</w:t>
      </w:r>
      <w:r w:rsidR="002C2931">
        <w:rPr>
          <w:color w:val="000000" w:themeColor="text1"/>
        </w:rPr>
        <w:t xml:space="preserve"> pre-MSAC response, the applicant stated that the </w:t>
      </w:r>
      <w:r w:rsidR="002C2931" w:rsidRPr="00B454B7">
        <w:rPr>
          <w:color w:val="000000" w:themeColor="text1"/>
        </w:rPr>
        <w:t>low number of Medicare claims for IORT is largely attributable to the fact that the two operational systems are</w:t>
      </w:r>
      <w:r w:rsidR="002C2931">
        <w:rPr>
          <w:color w:val="000000" w:themeColor="text1"/>
        </w:rPr>
        <w:t xml:space="preserve"> </w:t>
      </w:r>
      <w:r w:rsidR="002C2931" w:rsidRPr="00B454B7">
        <w:rPr>
          <w:color w:val="000000" w:themeColor="text1"/>
        </w:rPr>
        <w:t>performing IORT</w:t>
      </w:r>
      <w:r w:rsidR="002C2931">
        <w:rPr>
          <w:color w:val="000000" w:themeColor="text1"/>
        </w:rPr>
        <w:t xml:space="preserve"> </w:t>
      </w:r>
      <w:r w:rsidR="002C2931" w:rsidRPr="00B454B7">
        <w:rPr>
          <w:color w:val="000000" w:themeColor="text1"/>
        </w:rPr>
        <w:t xml:space="preserve">on public patients in a public hospital environment </w:t>
      </w:r>
      <w:r w:rsidR="00342DCE">
        <w:rPr>
          <w:color w:val="000000" w:themeColor="text1"/>
        </w:rPr>
        <w:t>and</w:t>
      </w:r>
      <w:r w:rsidR="00342DCE" w:rsidRPr="00B454B7">
        <w:rPr>
          <w:color w:val="000000" w:themeColor="text1"/>
        </w:rPr>
        <w:t xml:space="preserve"> </w:t>
      </w:r>
      <w:r w:rsidR="002C2931" w:rsidRPr="00B454B7">
        <w:rPr>
          <w:color w:val="000000" w:themeColor="text1"/>
        </w:rPr>
        <w:t>are therefore funded differently.</w:t>
      </w:r>
    </w:p>
    <w:p w14:paraId="4A5039A3" w14:textId="77777777" w:rsidR="00BA3279" w:rsidRDefault="00BA3279" w:rsidP="00BA3279">
      <w:pPr>
        <w:pStyle w:val="Heading1"/>
      </w:pPr>
      <w:r w:rsidRPr="00F715D1">
        <w:t>Key issues from ESC for MSAC</w:t>
      </w:r>
    </w:p>
    <w:p w14:paraId="02BFFC22" w14:textId="77777777" w:rsidR="00F02FC8" w:rsidRPr="00ED7C46" w:rsidRDefault="00F02FC8" w:rsidP="00ED7C46">
      <w:pPr>
        <w:spacing w:before="240"/>
        <w:rPr>
          <w:rFonts w:ascii="Arial Narrow" w:hAnsi="Arial Narrow"/>
          <w:b/>
          <w:sz w:val="20"/>
        </w:rPr>
      </w:pPr>
      <w:r w:rsidRPr="00ED7C46">
        <w:rPr>
          <w:rFonts w:ascii="Arial Narrow" w:hAnsi="Arial Narrow"/>
          <w:b/>
          <w:sz w:val="20"/>
        </w:rPr>
        <w:t>Table 9</w:t>
      </w:r>
      <w:r w:rsidRPr="00ED7C46">
        <w:rPr>
          <w:rFonts w:ascii="Arial Narrow" w:hAnsi="Arial Narrow"/>
          <w:b/>
          <w:sz w:val="20"/>
        </w:rPr>
        <w:tab/>
        <w:t>Summary of key issues from ESC for MSAC</w:t>
      </w:r>
    </w:p>
    <w:tbl>
      <w:tblPr>
        <w:tblStyle w:val="TableGrid"/>
        <w:tblW w:w="0" w:type="auto"/>
        <w:tblCellMar>
          <w:left w:w="28" w:type="dxa"/>
          <w:right w:w="28" w:type="dxa"/>
        </w:tblCellMar>
        <w:tblLook w:val="04A0" w:firstRow="1" w:lastRow="0" w:firstColumn="1" w:lastColumn="0" w:noHBand="0" w:noVBand="1"/>
        <w:tblCaption w:val="Table 9 Summary of key issues from ESC for MSAC"/>
        <w:tblDescription w:val="ESC issues"/>
      </w:tblPr>
      <w:tblGrid>
        <w:gridCol w:w="3369"/>
        <w:gridCol w:w="5647"/>
      </w:tblGrid>
      <w:tr w:rsidR="006A3866" w14:paraId="4BAE7F14" w14:textId="77777777" w:rsidTr="00F02FC8">
        <w:trPr>
          <w:tblHeader/>
        </w:trPr>
        <w:tc>
          <w:tcPr>
            <w:tcW w:w="3369" w:type="dxa"/>
          </w:tcPr>
          <w:p w14:paraId="1A3856A2" w14:textId="77777777" w:rsidR="006A3866" w:rsidRDefault="006A3866" w:rsidP="00E9302D">
            <w:pPr>
              <w:pStyle w:val="TableHeading"/>
              <w:keepNext w:val="0"/>
              <w:widowControl w:val="0"/>
            </w:pPr>
            <w:r>
              <w:t>ESC key issue</w:t>
            </w:r>
          </w:p>
        </w:tc>
        <w:tc>
          <w:tcPr>
            <w:tcW w:w="5647" w:type="dxa"/>
          </w:tcPr>
          <w:p w14:paraId="7E6033C1" w14:textId="77777777" w:rsidR="006A3866" w:rsidRDefault="006A3866" w:rsidP="00E9302D">
            <w:pPr>
              <w:pStyle w:val="TableHeading"/>
              <w:keepNext w:val="0"/>
              <w:widowControl w:val="0"/>
            </w:pPr>
            <w:r>
              <w:t>ESC advice to MSAC</w:t>
            </w:r>
          </w:p>
        </w:tc>
      </w:tr>
      <w:tr w:rsidR="006A3866" w14:paraId="783CF404" w14:textId="77777777" w:rsidTr="00E9302D">
        <w:tc>
          <w:tcPr>
            <w:tcW w:w="3369" w:type="dxa"/>
          </w:tcPr>
          <w:p w14:paraId="004E07CC" w14:textId="77777777" w:rsidR="006A3866" w:rsidRDefault="006A3866" w:rsidP="00E9302D">
            <w:pPr>
              <w:pStyle w:val="TableText"/>
              <w:keepNext w:val="0"/>
              <w:widowControl w:val="0"/>
            </w:pPr>
            <w:r>
              <w:t>The device is not associated with</w:t>
            </w:r>
            <w:r w:rsidRPr="00641443">
              <w:t xml:space="preserve"> high</w:t>
            </w:r>
            <w:r>
              <w:t>-</w:t>
            </w:r>
            <w:r w:rsidRPr="00641443">
              <w:t xml:space="preserve"> level 1 evidence compared to Intrabeam</w:t>
            </w:r>
            <w:r w:rsidRPr="00F449BD">
              <w:rPr>
                <w:vertAlign w:val="superscript"/>
              </w:rPr>
              <w:t>®</w:t>
            </w:r>
            <w:r w:rsidRPr="00641443">
              <w:t xml:space="preserve"> or WB</w:t>
            </w:r>
            <w:r>
              <w:t>-EB</w:t>
            </w:r>
            <w:r w:rsidRPr="00641443">
              <w:t>RT</w:t>
            </w:r>
          </w:p>
        </w:tc>
        <w:tc>
          <w:tcPr>
            <w:tcW w:w="5647" w:type="dxa"/>
          </w:tcPr>
          <w:p w14:paraId="4C8DD54E" w14:textId="77777777" w:rsidR="006A3866" w:rsidRDefault="006A3866" w:rsidP="00E9302D">
            <w:pPr>
              <w:pStyle w:val="TableText"/>
              <w:keepNext w:val="0"/>
              <w:widowControl w:val="0"/>
            </w:pPr>
            <w:r>
              <w:t>MSAC may wish to check with the applicant if there is likely to be any higher level evidence available in the future. ESC considers it not unreasonable to request NHMRC level II (randomised controlled trial) evidence to support the application for public funding.</w:t>
            </w:r>
          </w:p>
        </w:tc>
      </w:tr>
      <w:tr w:rsidR="006A3866" w:rsidRPr="00641443" w14:paraId="732C5E69" w14:textId="77777777" w:rsidTr="00E9302D">
        <w:tc>
          <w:tcPr>
            <w:tcW w:w="3369" w:type="dxa"/>
          </w:tcPr>
          <w:p w14:paraId="556A2E25" w14:textId="77777777" w:rsidR="006A3866" w:rsidRDefault="006A3866" w:rsidP="00E9302D">
            <w:pPr>
              <w:pStyle w:val="TableText"/>
              <w:keepNext w:val="0"/>
              <w:widowControl w:val="0"/>
            </w:pPr>
            <w:r>
              <w:t>Approval of application</w:t>
            </w:r>
            <w:r w:rsidRPr="00641443">
              <w:t xml:space="preserve"> 1189</w:t>
            </w:r>
            <w:r>
              <w:t xml:space="preserve"> (Intrabeam</w:t>
            </w:r>
            <w:r>
              <w:rPr>
                <w:vertAlign w:val="superscript"/>
              </w:rPr>
              <w:t>®</w:t>
            </w:r>
            <w:r>
              <w:t>)</w:t>
            </w:r>
            <w:r w:rsidRPr="00641443">
              <w:t xml:space="preserve"> was </w:t>
            </w:r>
            <w:r>
              <w:t xml:space="preserve">primarily </w:t>
            </w:r>
            <w:r w:rsidRPr="00641443">
              <w:t xml:space="preserve">based on RCT </w:t>
            </w:r>
            <w:r>
              <w:t xml:space="preserve">data (TARGIT-A) </w:t>
            </w:r>
            <w:r w:rsidRPr="00641443">
              <w:t xml:space="preserve">with </w:t>
            </w:r>
            <w:r>
              <w:t xml:space="preserve">a </w:t>
            </w:r>
            <w:r w:rsidRPr="00641443">
              <w:t>median</w:t>
            </w:r>
            <w:r>
              <w:t xml:space="preserve"> 2.5 years of</w:t>
            </w:r>
            <w:r w:rsidRPr="00641443">
              <w:t xml:space="preserve"> </w:t>
            </w:r>
            <w:r>
              <w:t>follow-up</w:t>
            </w:r>
            <w:r w:rsidRPr="00641443">
              <w:t>. Axxent</w:t>
            </w:r>
            <w:r w:rsidRPr="00F449BD">
              <w:rPr>
                <w:vertAlign w:val="superscript"/>
              </w:rPr>
              <w:t>®</w:t>
            </w:r>
            <w:r w:rsidRPr="00641443">
              <w:t xml:space="preserve"> </w:t>
            </w:r>
            <w:r>
              <w:t xml:space="preserve">has lower level </w:t>
            </w:r>
            <w:r w:rsidRPr="00641443">
              <w:t xml:space="preserve">evidence </w:t>
            </w:r>
            <w:r>
              <w:t>and 3-year follow-up.</w:t>
            </w:r>
            <w:r w:rsidRPr="00641443">
              <w:t xml:space="preserve"> </w:t>
            </w:r>
            <w:r>
              <w:t>The short follow-up results in uncertainty regarding the comparative safety and effectiveness of Axxent versus Intrabeam or WB-EBRT.</w:t>
            </w:r>
          </w:p>
        </w:tc>
        <w:tc>
          <w:tcPr>
            <w:tcW w:w="5647" w:type="dxa"/>
            <w:shd w:val="clear" w:color="auto" w:fill="auto"/>
          </w:tcPr>
          <w:p w14:paraId="65792279" w14:textId="478187FA" w:rsidR="006A3866" w:rsidRPr="00CC5233" w:rsidRDefault="006A3866" w:rsidP="00E9302D">
            <w:pPr>
              <w:pStyle w:val="TableText"/>
              <w:keepNext w:val="0"/>
              <w:widowControl w:val="0"/>
            </w:pPr>
            <w:r w:rsidRPr="00CC5233">
              <w:t>Consideration should be given to the duration of follow-up data that would be informative for MSAC in considering the comparative safety of Axxent versus Intrabeam or WB-EBRT, noting the potential value in reviewing the extended safety data for Intrabeam when the TARGIT-A trial is completed in 2023 (</w:t>
            </w:r>
            <w:hyperlink r:id="rId14" w:tooltip="Link to Clinical Trials website" w:history="1">
              <w:r w:rsidRPr="00CC5233">
                <w:rPr>
                  <w:rStyle w:val="Hyperlink"/>
                </w:rPr>
                <w:t>NCT03501121</w:t>
              </w:r>
            </w:hyperlink>
            <w:r w:rsidRPr="00CC5233">
              <w:t xml:space="preserve">). </w:t>
            </w:r>
          </w:p>
        </w:tc>
      </w:tr>
      <w:tr w:rsidR="006A3866" w:rsidRPr="00641443" w14:paraId="7B812FC5" w14:textId="77777777" w:rsidTr="00E9302D">
        <w:tc>
          <w:tcPr>
            <w:tcW w:w="3369" w:type="dxa"/>
          </w:tcPr>
          <w:p w14:paraId="082ED5EA" w14:textId="77777777" w:rsidR="006A3866" w:rsidRPr="00641443" w:rsidRDefault="006A3866" w:rsidP="00E9302D">
            <w:pPr>
              <w:pStyle w:val="TableText"/>
              <w:keepNext w:val="0"/>
              <w:widowControl w:val="0"/>
            </w:pPr>
            <w:r w:rsidRPr="00641443">
              <w:t xml:space="preserve">MBS </w:t>
            </w:r>
            <w:r>
              <w:t>i</w:t>
            </w:r>
            <w:r w:rsidRPr="00641443">
              <w:t xml:space="preserve">tem descriptors </w:t>
            </w:r>
            <w:r>
              <w:t>–</w:t>
            </w:r>
            <w:r w:rsidRPr="00641443">
              <w:t xml:space="preserve"> limits</w:t>
            </w:r>
          </w:p>
        </w:tc>
        <w:tc>
          <w:tcPr>
            <w:tcW w:w="5647" w:type="dxa"/>
            <w:shd w:val="clear" w:color="auto" w:fill="auto"/>
          </w:tcPr>
          <w:p w14:paraId="07D1178D" w14:textId="77777777" w:rsidR="006A3866" w:rsidRPr="00CC5233" w:rsidRDefault="006A3866" w:rsidP="00E9302D">
            <w:pPr>
              <w:pStyle w:val="TableText"/>
              <w:keepNext w:val="0"/>
              <w:widowControl w:val="0"/>
            </w:pPr>
            <w:r w:rsidRPr="00CC5233">
              <w:t>ESC considered it reasonable to restrict the item to once per lifetime, as there are no data on repeated use. However, this was not raised at the time of application 1189 and subsequent MBS listing for Intrabeam</w:t>
            </w:r>
            <w:r w:rsidRPr="00CC5233">
              <w:rPr>
                <w:vertAlign w:val="superscript"/>
              </w:rPr>
              <w:t>®</w:t>
            </w:r>
            <w:r w:rsidRPr="00CC5233">
              <w:t>.</w:t>
            </w:r>
          </w:p>
        </w:tc>
      </w:tr>
      <w:tr w:rsidR="006A3866" w:rsidRPr="00641443" w14:paraId="1FE6B840" w14:textId="77777777" w:rsidTr="00E9302D">
        <w:trPr>
          <w:trHeight w:val="983"/>
        </w:trPr>
        <w:tc>
          <w:tcPr>
            <w:tcW w:w="3369" w:type="dxa"/>
          </w:tcPr>
          <w:p w14:paraId="26129792" w14:textId="77777777" w:rsidR="006A3866" w:rsidRPr="00641443" w:rsidRDefault="006A3866" w:rsidP="00E9302D">
            <w:pPr>
              <w:pStyle w:val="TableText"/>
              <w:keepNext w:val="0"/>
              <w:widowControl w:val="0"/>
            </w:pPr>
            <w:r>
              <w:lastRenderedPageBreak/>
              <w:t>Economic evaluation and financial impact</w:t>
            </w:r>
          </w:p>
        </w:tc>
        <w:tc>
          <w:tcPr>
            <w:tcW w:w="5647" w:type="dxa"/>
            <w:shd w:val="clear" w:color="auto" w:fill="auto"/>
          </w:tcPr>
          <w:p w14:paraId="324D9162" w14:textId="77777777" w:rsidR="006A3866" w:rsidRPr="00CC5233" w:rsidRDefault="006A3866" w:rsidP="00E9302D">
            <w:pPr>
              <w:pStyle w:val="TableText"/>
              <w:keepNext w:val="0"/>
              <w:widowControl w:val="0"/>
            </w:pPr>
            <w:r w:rsidRPr="00CC5233">
              <w:t>DCAR’s financial estimates rely on the treatment costs for WB-EBRT in MSAC application 1189, and the assumption that the costs of treatment with Axxent</w:t>
            </w:r>
            <w:r w:rsidRPr="00CC5233">
              <w:rPr>
                <w:vertAlign w:val="superscript"/>
              </w:rPr>
              <w:t>®</w:t>
            </w:r>
            <w:r w:rsidRPr="00CC5233">
              <w:t xml:space="preserve"> and the market share and uptake of Axxent would mirror that modelled for Intrabeam</w:t>
            </w:r>
            <w:r w:rsidRPr="00CC5233">
              <w:rPr>
                <w:vertAlign w:val="superscript"/>
              </w:rPr>
              <w:t>®</w:t>
            </w:r>
            <w:r w:rsidRPr="00CC5233">
              <w:t>. However, several uncertainties were identified:</w:t>
            </w:r>
          </w:p>
          <w:p w14:paraId="64CF322B" w14:textId="11BE9E12" w:rsidR="006A3866" w:rsidRPr="00CC5233" w:rsidRDefault="006A3866" w:rsidP="006A3866">
            <w:pPr>
              <w:pStyle w:val="TableText"/>
              <w:keepNext w:val="0"/>
              <w:widowControl w:val="0"/>
              <w:numPr>
                <w:ilvl w:val="0"/>
                <w:numId w:val="4"/>
              </w:numPr>
              <w:ind w:left="215" w:hanging="215"/>
            </w:pPr>
            <w:r w:rsidRPr="00CC5233">
              <w:t>Since Intrabeam</w:t>
            </w:r>
            <w:r w:rsidRPr="00CC5233">
              <w:rPr>
                <w:vertAlign w:val="superscript"/>
              </w:rPr>
              <w:t>®</w:t>
            </w:r>
            <w:r w:rsidRPr="00CC5233">
              <w:t xml:space="preserve"> was considered by MSAC hypofractionated radiation therapy (HFRT)</w:t>
            </w:r>
            <w:r w:rsidR="00E9030B">
              <w:t xml:space="preserve"> regimens for WB-EBRT</w:t>
            </w:r>
            <w:r w:rsidRPr="00CC5233">
              <w:t xml:space="preserve"> is now recommended for the majority of patients with early breast cancer, and this translates to lower treatment costs due to the use of fewer fractions; the DCARs ‘cost savings’ are therefore overestimated</w:t>
            </w:r>
          </w:p>
          <w:p w14:paraId="7BC48617" w14:textId="77777777" w:rsidR="006A3866" w:rsidRPr="00CC5233" w:rsidRDefault="006A3866" w:rsidP="006A3866">
            <w:pPr>
              <w:pStyle w:val="TableText"/>
              <w:keepNext w:val="0"/>
              <w:widowControl w:val="0"/>
              <w:numPr>
                <w:ilvl w:val="0"/>
                <w:numId w:val="4"/>
              </w:numPr>
              <w:ind w:left="215" w:hanging="215"/>
            </w:pPr>
            <w:r w:rsidRPr="00CC5233">
              <w:t>The costs associated with Axxent</w:t>
            </w:r>
            <w:r w:rsidRPr="00CC5233">
              <w:rPr>
                <w:vertAlign w:val="superscript"/>
              </w:rPr>
              <w:t>®</w:t>
            </w:r>
            <w:r w:rsidRPr="00CC5233">
              <w:t xml:space="preserve"> were not explained and the device cost remains unknown.</w:t>
            </w:r>
          </w:p>
          <w:p w14:paraId="3D5924D4" w14:textId="77777777" w:rsidR="006A3866" w:rsidRPr="00CC5233" w:rsidRDefault="006A3866" w:rsidP="00E9302D">
            <w:pPr>
              <w:pStyle w:val="TableText"/>
              <w:keepNext w:val="0"/>
              <w:widowControl w:val="0"/>
            </w:pPr>
            <w:r w:rsidRPr="00CC5233">
              <w:t>However, ESC also noted the continued low uptake of Intrabeam</w:t>
            </w:r>
            <w:r w:rsidRPr="00CC5233">
              <w:rPr>
                <w:vertAlign w:val="superscript"/>
              </w:rPr>
              <w:t>®</w:t>
            </w:r>
            <w:r w:rsidRPr="00CC5233">
              <w:t xml:space="preserve"> on the MBS and recalled previously it considered that there should be no impact on the MBS should Axxent</w:t>
            </w:r>
            <w:r w:rsidRPr="00CC5233">
              <w:rPr>
                <w:vertAlign w:val="superscript"/>
              </w:rPr>
              <w:t>®</w:t>
            </w:r>
            <w:r w:rsidRPr="00CC5233">
              <w:t xml:space="preserve"> replace Intrabeam</w:t>
            </w:r>
            <w:r w:rsidRPr="00CC5233">
              <w:rPr>
                <w:vertAlign w:val="superscript"/>
              </w:rPr>
              <w:t>®</w:t>
            </w:r>
            <w:r w:rsidRPr="00CC5233">
              <w:t xml:space="preserve"> in clinical practice.</w:t>
            </w:r>
          </w:p>
        </w:tc>
      </w:tr>
      <w:tr w:rsidR="006A3866" w:rsidRPr="00641443" w14:paraId="4D61608D" w14:textId="77777777" w:rsidTr="00E9302D">
        <w:tc>
          <w:tcPr>
            <w:tcW w:w="3369" w:type="dxa"/>
          </w:tcPr>
          <w:p w14:paraId="713743EB" w14:textId="77777777" w:rsidR="006A3866" w:rsidRDefault="006A3866" w:rsidP="00E9302D">
            <w:pPr>
              <w:pStyle w:val="TableText"/>
              <w:keepNext w:val="0"/>
              <w:widowControl w:val="0"/>
            </w:pPr>
            <w:r>
              <w:t>RANZCR support</w:t>
            </w:r>
          </w:p>
        </w:tc>
        <w:tc>
          <w:tcPr>
            <w:tcW w:w="5647" w:type="dxa"/>
          </w:tcPr>
          <w:p w14:paraId="703571F3" w14:textId="77777777" w:rsidR="006A3866" w:rsidRPr="00641443" w:rsidRDefault="006A3866" w:rsidP="00E9302D">
            <w:pPr>
              <w:pStyle w:val="TableText"/>
              <w:keepNext w:val="0"/>
              <w:widowControl w:val="0"/>
            </w:pPr>
            <w:r>
              <w:t>ESC noted that RANZCR is not currently supportive of IORT technology.</w:t>
            </w:r>
          </w:p>
        </w:tc>
      </w:tr>
    </w:tbl>
    <w:p w14:paraId="482E78C7" w14:textId="77777777" w:rsidR="00BA3279" w:rsidRDefault="00BA3279" w:rsidP="00AD0F25">
      <w:pPr>
        <w:spacing w:before="240" w:after="120"/>
        <w:rPr>
          <w:b/>
        </w:rPr>
      </w:pPr>
      <w:r w:rsidRPr="00F56D7F">
        <w:rPr>
          <w:b/>
        </w:rPr>
        <w:t>ESC discussion</w:t>
      </w:r>
    </w:p>
    <w:p w14:paraId="4FE43868" w14:textId="550547CD" w:rsidR="006A3866" w:rsidRDefault="006A3866" w:rsidP="006A3866">
      <w:r>
        <w:t>ESC recalled that MSAC previously did not support an application for this device in this indication on the basis of uncertain clinical effectiveness and safety. MSAC previously accepted that the Axxent</w:t>
      </w:r>
      <w:r w:rsidRPr="00F449BD">
        <w:rPr>
          <w:vertAlign w:val="superscript"/>
        </w:rPr>
        <w:t>®</w:t>
      </w:r>
      <w:r>
        <w:t xml:space="preserve"> device was technically equivalent to Intrabeam</w:t>
      </w:r>
      <w:r w:rsidRPr="00F449BD">
        <w:rPr>
          <w:vertAlign w:val="superscript"/>
        </w:rPr>
        <w:t>®</w:t>
      </w:r>
      <w:r>
        <w:t xml:space="preserve"> based on </w:t>
      </w:r>
      <w:r w:rsidRPr="001A54F9">
        <w:rPr>
          <w:i/>
        </w:rPr>
        <w:t>ex vivo</w:t>
      </w:r>
      <w:r>
        <w:t xml:space="preserve"> simulations. ESC noted existing</w:t>
      </w:r>
      <w:r w:rsidR="00AD0F25">
        <w:t xml:space="preserve"> MBS items 31516 and 15900 for </w:t>
      </w:r>
      <w:r>
        <w:t>IORT, approved in 2015 for Intrabeam</w:t>
      </w:r>
      <w:r w:rsidRPr="00F449BD">
        <w:rPr>
          <w:vertAlign w:val="superscript"/>
        </w:rPr>
        <w:t>®</w:t>
      </w:r>
      <w:r>
        <w:t>.</w:t>
      </w:r>
    </w:p>
    <w:p w14:paraId="2BEB36E7" w14:textId="0F27E58B" w:rsidR="006A3866" w:rsidRDefault="006A3866" w:rsidP="00EA4F7E">
      <w:pPr>
        <w:spacing w:before="240"/>
      </w:pPr>
      <w:r>
        <w:t>ESC noted that at the time Intrabeam</w:t>
      </w:r>
      <w:r w:rsidRPr="00F449BD">
        <w:rPr>
          <w:vertAlign w:val="superscript"/>
        </w:rPr>
        <w:t>®</w:t>
      </w:r>
      <w:r>
        <w:t xml:space="preserve"> was supported for public funding it was scheduled for review (of utilisation and additional outcomes data) in September 2018. The </w:t>
      </w:r>
      <w:r w:rsidR="00957D07">
        <w:t>d</w:t>
      </w:r>
      <w:r>
        <w:t>epartment had decided to defer the predicted versus actual review because of the limited availability of the service, the TARGIT-A trial follow-up data [</w:t>
      </w:r>
      <w:hyperlink r:id="rId15" w:tooltip="Link to Clinical Trials website" w:history="1">
        <w:r w:rsidRPr="00783A56">
          <w:rPr>
            <w:rStyle w:val="Hyperlink"/>
          </w:rPr>
          <w:t>NCT03501121</w:t>
        </w:r>
      </w:hyperlink>
      <w:r>
        <w:t>] that should be available in 2023 (which will provide longer follow-up data for recurrence rates) and the lack of information regarding why IORT is not being used as a treatment option. ESC considered a review for Intrabeam</w:t>
      </w:r>
      <w:r w:rsidRPr="00F449BD">
        <w:rPr>
          <w:vertAlign w:val="superscript"/>
        </w:rPr>
        <w:t>®</w:t>
      </w:r>
      <w:r>
        <w:rPr>
          <w:vertAlign w:val="superscript"/>
        </w:rPr>
        <w:t xml:space="preserve"> </w:t>
      </w:r>
      <w:r w:rsidRPr="00EE5901">
        <w:t>to be important</w:t>
      </w:r>
      <w:r>
        <w:t xml:space="preserve"> before Axxent</w:t>
      </w:r>
      <w:r w:rsidRPr="00F449BD">
        <w:rPr>
          <w:vertAlign w:val="superscript"/>
        </w:rPr>
        <w:t>®</w:t>
      </w:r>
      <w:r>
        <w:t xml:space="preserve"> could be supported for MBS listing.</w:t>
      </w:r>
    </w:p>
    <w:p w14:paraId="6FEEBB11" w14:textId="5574A2EC" w:rsidR="006A3866" w:rsidRDefault="006A3866" w:rsidP="00EA4F7E">
      <w:pPr>
        <w:spacing w:before="240"/>
      </w:pPr>
      <w:r>
        <w:t>ESC considered it appropriate to limit the proposed service to once per lifetime, as there are no data to support re-irradiation.</w:t>
      </w:r>
    </w:p>
    <w:p w14:paraId="63C4641B" w14:textId="265A6619" w:rsidR="006A3866" w:rsidRDefault="006A3866" w:rsidP="00EA4F7E">
      <w:pPr>
        <w:spacing w:before="240"/>
      </w:pPr>
      <w:r>
        <w:t>ESC noted the updated evidence in the DCAR is primarily from two case series, which provide follow-up of 3.0 years. However, there is no direct comparative evidence for Axxent</w:t>
      </w:r>
      <w:r w:rsidRPr="00F449BD">
        <w:rPr>
          <w:vertAlign w:val="superscript"/>
        </w:rPr>
        <w:t>®</w:t>
      </w:r>
      <w:r>
        <w:t xml:space="preserve"> compared with whole-breast external beam radiotherapy (WB-EBRT) or Intrabeam</w:t>
      </w:r>
      <w:r w:rsidRPr="00F449BD">
        <w:rPr>
          <w:vertAlign w:val="superscript"/>
        </w:rPr>
        <w:t>®</w:t>
      </w:r>
      <w:r>
        <w:t>. ESC noted the pre-ESC response stating that</w:t>
      </w:r>
      <w:r w:rsidRPr="00723E3F">
        <w:t xml:space="preserve"> </w:t>
      </w:r>
      <w:r>
        <w:t>Intrabeam</w:t>
      </w:r>
      <w:r w:rsidRPr="00F449BD">
        <w:rPr>
          <w:vertAlign w:val="superscript"/>
        </w:rPr>
        <w:t>®</w:t>
      </w:r>
      <w:r>
        <w:t xml:space="preserve"> was approved on follow-up of 3.2 years, but also noted that the Intrabeam</w:t>
      </w:r>
      <w:r w:rsidRPr="00F449BD">
        <w:rPr>
          <w:vertAlign w:val="superscript"/>
        </w:rPr>
        <w:t>®</w:t>
      </w:r>
      <w:r>
        <w:t xml:space="preserve"> application was based on a large randomised controlled trial (RCT) (</w:t>
      </w:r>
      <w:r w:rsidRPr="00460E0C">
        <w:rPr>
          <w:i/>
          <w:iCs/>
        </w:rPr>
        <w:t>n</w:t>
      </w:r>
      <w:r>
        <w:t> = 3,451).</w:t>
      </w:r>
    </w:p>
    <w:p w14:paraId="664C8D6D" w14:textId="68C4D961" w:rsidR="006A3866" w:rsidRDefault="006A3866" w:rsidP="00EA4F7E">
      <w:pPr>
        <w:spacing w:before="240"/>
      </w:pPr>
      <w:r>
        <w:t xml:space="preserve">ESC considered the </w:t>
      </w:r>
      <w:r w:rsidRPr="001A54F9">
        <w:rPr>
          <w:i/>
        </w:rPr>
        <w:t>naive</w:t>
      </w:r>
      <w:r>
        <w:t xml:space="preserve"> comparisons between Axxent</w:t>
      </w:r>
      <w:r w:rsidRPr="00F449BD">
        <w:rPr>
          <w:vertAlign w:val="superscript"/>
        </w:rPr>
        <w:t>®</w:t>
      </w:r>
      <w:r>
        <w:t xml:space="preserve"> (case studies) and WB-EBRT (high-level RCTs), and noted the non-matched cohorts (the WB-EBRT studies included a much broader population). Although the studies might suggest non-inferior effectiveness and safety, the disparities in the evidence and shorter follow-up for Axxent</w:t>
      </w:r>
      <w:r w:rsidRPr="00F449BD">
        <w:rPr>
          <w:vertAlign w:val="superscript"/>
        </w:rPr>
        <w:t>®</w:t>
      </w:r>
      <w:r>
        <w:t xml:space="preserve"> </w:t>
      </w:r>
      <w:r w:rsidRPr="001A54F9">
        <w:rPr>
          <w:i/>
        </w:rPr>
        <w:t>vs.</w:t>
      </w:r>
      <w:r>
        <w:t xml:space="preserve"> WB-EBRT (3.0 </w:t>
      </w:r>
      <w:r w:rsidRPr="001A54F9">
        <w:rPr>
          <w:i/>
        </w:rPr>
        <w:t>vs.</w:t>
      </w:r>
      <w:r>
        <w:t xml:space="preserve"> 10.2 years, respectively), make it difficult to draw conclusions regarding comparative effectiveness. Compared with Intrabeam</w:t>
      </w:r>
      <w:r w:rsidRPr="00F449BD">
        <w:rPr>
          <w:vertAlign w:val="superscript"/>
        </w:rPr>
        <w:t>®</w:t>
      </w:r>
      <w:r>
        <w:t>, Axxent</w:t>
      </w:r>
      <w:r w:rsidRPr="00F449BD">
        <w:rPr>
          <w:vertAlign w:val="superscript"/>
        </w:rPr>
        <w:t>®</w:t>
      </w:r>
      <w:r>
        <w:t xml:space="preserve"> might be non-inferior in terms of </w:t>
      </w:r>
      <w:r>
        <w:lastRenderedPageBreak/>
        <w:t>effectiveness and safety, but this conclusion is again uncertain due to the short follow-up times for Axxent</w:t>
      </w:r>
      <w:r w:rsidRPr="00F449BD">
        <w:rPr>
          <w:vertAlign w:val="superscript"/>
        </w:rPr>
        <w:t>®</w:t>
      </w:r>
      <w:r>
        <w:t>.</w:t>
      </w:r>
    </w:p>
    <w:p w14:paraId="53F68475" w14:textId="4E7236E5" w:rsidR="006A3866" w:rsidRDefault="006A3866" w:rsidP="00EA4F7E">
      <w:pPr>
        <w:spacing w:before="240"/>
      </w:pPr>
      <w:r>
        <w:t>Overall, ESC expressed concern about the lack of RCTs for Axxent</w:t>
      </w:r>
      <w:r w:rsidRPr="00F449BD">
        <w:rPr>
          <w:vertAlign w:val="superscript"/>
        </w:rPr>
        <w:t>®</w:t>
      </w:r>
      <w:r>
        <w:t>, and the precedent it may set if Axxent</w:t>
      </w:r>
      <w:r w:rsidRPr="00F449BD">
        <w:rPr>
          <w:vertAlign w:val="superscript"/>
        </w:rPr>
        <w:t>®</w:t>
      </w:r>
      <w:r>
        <w:t xml:space="preserve"> is listed without such evidence.</w:t>
      </w:r>
    </w:p>
    <w:p w14:paraId="6379F40E" w14:textId="03C72950" w:rsidR="006A3866" w:rsidRDefault="006A3866" w:rsidP="00035200">
      <w:pPr>
        <w:spacing w:before="240"/>
      </w:pPr>
      <w:r>
        <w:t>ESC noted the claim by the sponsor in their pre-ESC response that, because MSAC accepted Axxent</w:t>
      </w:r>
      <w:r w:rsidRPr="00F449BD">
        <w:rPr>
          <w:vertAlign w:val="superscript"/>
        </w:rPr>
        <w:t>®</w:t>
      </w:r>
      <w:r>
        <w:t xml:space="preserve"> as technically equivalent to Intrabeam</w:t>
      </w:r>
      <w:r w:rsidRPr="00F449BD">
        <w:rPr>
          <w:vertAlign w:val="superscript"/>
        </w:rPr>
        <w:t>®</w:t>
      </w:r>
      <w:r>
        <w:t>, the clinical evidence for Intrabeam</w:t>
      </w:r>
      <w:r w:rsidRPr="00F449BD">
        <w:rPr>
          <w:vertAlign w:val="superscript"/>
        </w:rPr>
        <w:t>®</w:t>
      </w:r>
      <w:r>
        <w:t xml:space="preserve"> should be considered as directly applicable to Axxent</w:t>
      </w:r>
      <w:r w:rsidRPr="00F449BD">
        <w:rPr>
          <w:vertAlign w:val="superscript"/>
        </w:rPr>
        <w:t>®</w:t>
      </w:r>
      <w:r>
        <w:t>. However, ESC considered that there are technical differences between the two devices, and was uncertain that the clinical evidence for Intrabeam</w:t>
      </w:r>
      <w:r w:rsidRPr="00DF52F6">
        <w:rPr>
          <w:vertAlign w:val="superscript"/>
        </w:rPr>
        <w:t>®</w:t>
      </w:r>
      <w:r>
        <w:t xml:space="preserve"> could be assumed to apply to Axxent</w:t>
      </w:r>
      <w:r w:rsidRPr="0065156B">
        <w:rPr>
          <w:vertAlign w:val="superscript"/>
        </w:rPr>
        <w:t>®</w:t>
      </w:r>
      <w:r>
        <w:t xml:space="preserve">. ESC recalled that the technical equivalence that MSAC determined for the two devices was based on dosimetry performance, and that no determination of equivalence in terms of safety or </w:t>
      </w:r>
      <w:r w:rsidR="00035200">
        <w:t>effectiveness was made by MSAC.</w:t>
      </w:r>
    </w:p>
    <w:p w14:paraId="5BF53FA6" w14:textId="5F686505" w:rsidR="006A3866" w:rsidRPr="00035200" w:rsidRDefault="006A3866" w:rsidP="00035200">
      <w:pPr>
        <w:spacing w:before="240"/>
        <w:rPr>
          <w:rFonts w:eastAsia="Calibri"/>
          <w:lang w:eastAsia="en-US"/>
        </w:rPr>
      </w:pPr>
      <w:r w:rsidRPr="00AD3220">
        <w:t xml:space="preserve">ESC </w:t>
      </w:r>
      <w:r>
        <w:t xml:space="preserve">noted the DCAR did not include any pre-modelling studies: the DCAR relied upon the </w:t>
      </w:r>
      <w:r w:rsidRPr="00C96DD5">
        <w:t>MSAC recommendation for Intrabeam</w:t>
      </w:r>
      <w:r w:rsidRPr="00AF35D1">
        <w:rPr>
          <w:vertAlign w:val="superscript"/>
        </w:rPr>
        <w:t>®</w:t>
      </w:r>
      <w:r>
        <w:t xml:space="preserve"> (in MSAC Application 1189) and assumed that Axxent</w:t>
      </w:r>
      <w:r w:rsidRPr="00F449BD">
        <w:rPr>
          <w:vertAlign w:val="superscript"/>
        </w:rPr>
        <w:t>®</w:t>
      </w:r>
      <w:r w:rsidRPr="00C96DD5">
        <w:t xml:space="preserve"> can</w:t>
      </w:r>
      <w:r>
        <w:t xml:space="preserve"> also</w:t>
      </w:r>
      <w:r w:rsidRPr="00C96DD5">
        <w:t xml:space="preserve"> be </w:t>
      </w:r>
      <w:r>
        <w:t>cost-minimised against WB-EBRT.</w:t>
      </w:r>
      <w:r w:rsidRPr="00C43EA2">
        <w:t xml:space="preserve"> </w:t>
      </w:r>
      <w:r>
        <w:t>This assumption was on the basis that Axxent</w:t>
      </w:r>
      <w:r w:rsidRPr="00F449BD">
        <w:rPr>
          <w:vertAlign w:val="superscript"/>
        </w:rPr>
        <w:t>®</w:t>
      </w:r>
      <w:r w:rsidRPr="00C96DD5">
        <w:t xml:space="preserve"> </w:t>
      </w:r>
      <w:r>
        <w:t xml:space="preserve">and </w:t>
      </w:r>
      <w:r w:rsidRPr="00C96DD5">
        <w:t>Intrabeam</w:t>
      </w:r>
      <w:r w:rsidRPr="00AF35D1">
        <w:rPr>
          <w:vertAlign w:val="superscript"/>
        </w:rPr>
        <w:t>®</w:t>
      </w:r>
      <w:r>
        <w:t xml:space="preserve"> are interchangeable, and </w:t>
      </w:r>
      <w:r w:rsidRPr="00503231">
        <w:t>the costs of treatment with Axxe</w:t>
      </w:r>
      <w:r>
        <w:t>nt</w:t>
      </w:r>
      <w:r w:rsidRPr="00AF35D1">
        <w:rPr>
          <w:vertAlign w:val="superscript"/>
        </w:rPr>
        <w:t>®</w:t>
      </w:r>
      <w:r>
        <w:t xml:space="preserve"> would mirror that modelled for Intrabeam</w:t>
      </w:r>
      <w:r w:rsidRPr="001A54F9">
        <w:rPr>
          <w:vertAlign w:val="superscript"/>
        </w:rPr>
        <w:t>®</w:t>
      </w:r>
      <w:r>
        <w:t xml:space="preserve">. However, ESC queried if technical differences between the two devices would lead to cost differences. </w:t>
      </w:r>
      <w:r>
        <w:rPr>
          <w:rFonts w:eastAsia="Calibri"/>
          <w:lang w:eastAsia="en-US"/>
        </w:rPr>
        <w:t>ESC also noted that Axxent</w:t>
      </w:r>
      <w:r w:rsidRPr="00F449BD">
        <w:rPr>
          <w:vertAlign w:val="superscript"/>
        </w:rPr>
        <w:t>®</w:t>
      </w:r>
      <w:r>
        <w:rPr>
          <w:rFonts w:eastAsia="Calibri"/>
          <w:lang w:eastAsia="en-US"/>
        </w:rPr>
        <w:t xml:space="preserve"> services would require specialist training, which did not appear to be taken in</w:t>
      </w:r>
      <w:r w:rsidR="00035200">
        <w:rPr>
          <w:rFonts w:eastAsia="Calibri"/>
          <w:lang w:eastAsia="en-US"/>
        </w:rPr>
        <w:t>to account in the resubmission.</w:t>
      </w:r>
    </w:p>
    <w:p w14:paraId="6A97B7E4" w14:textId="77777777" w:rsidR="006A3866" w:rsidRDefault="006A3866" w:rsidP="00035200">
      <w:pPr>
        <w:spacing w:before="240"/>
      </w:pPr>
      <w:r w:rsidRPr="00BB3CE6">
        <w:t xml:space="preserve">ESC </w:t>
      </w:r>
      <w:r>
        <w:t xml:space="preserve">also </w:t>
      </w:r>
      <w:r w:rsidRPr="00BB3CE6">
        <w:t>noted that</w:t>
      </w:r>
      <w:r>
        <w:t xml:space="preserve"> the DCAR relied on the costing of WB-EBRT as presented in Scenario 1 for MSAC A</w:t>
      </w:r>
      <w:r w:rsidRPr="00BB3CE6">
        <w:t>pplication 1189, that replacement of WB-EBRT by Axxent</w:t>
      </w:r>
      <w:r w:rsidRPr="00F449BD">
        <w:rPr>
          <w:vertAlign w:val="superscript"/>
        </w:rPr>
        <w:t xml:space="preserve">® </w:t>
      </w:r>
      <w:r w:rsidRPr="00BB3CE6">
        <w:t>would also likely result in cost savings.</w:t>
      </w:r>
      <w:r>
        <w:t xml:space="preserve"> This assumption was on the basis that </w:t>
      </w:r>
      <w:r w:rsidRPr="00503231">
        <w:t xml:space="preserve">the </w:t>
      </w:r>
      <w:r>
        <w:t>market share of</w:t>
      </w:r>
      <w:r w:rsidRPr="00503231">
        <w:t xml:space="preserve"> Axxe</w:t>
      </w:r>
      <w:r>
        <w:t>nt</w:t>
      </w:r>
      <w:r w:rsidRPr="00F449BD">
        <w:rPr>
          <w:vertAlign w:val="superscript"/>
        </w:rPr>
        <w:t>®</w:t>
      </w:r>
      <w:r>
        <w:t xml:space="preserve"> would mirror that modelled for Intrabeam</w:t>
      </w:r>
      <w:r w:rsidRPr="00E1741D">
        <w:rPr>
          <w:vertAlign w:val="superscript"/>
        </w:rPr>
        <w:t>®</w:t>
      </w:r>
      <w:r>
        <w:t>. However, ESC noted several uncertainties:</w:t>
      </w:r>
    </w:p>
    <w:p w14:paraId="597697F1" w14:textId="77777777" w:rsidR="006A3866" w:rsidRPr="001A54F9" w:rsidRDefault="006A3866" w:rsidP="006A3866">
      <w:pPr>
        <w:pStyle w:val="ListParagraph"/>
        <w:numPr>
          <w:ilvl w:val="0"/>
          <w:numId w:val="5"/>
        </w:numPr>
        <w:rPr>
          <w:rFonts w:eastAsia="Calibri"/>
          <w:lang w:eastAsia="en-US"/>
        </w:rPr>
      </w:pPr>
      <w:r>
        <w:t>Hypofractionated radiation therapy (HFRT) regimens for WB-EBRT are now recommended in Australian national guidelines This means that the number of fractions per course of treatment has reduced from 25 attendances over 5 weeks to 15 attendances over 3 weeks. As MBS payments for WB-EBRT are paid per fraction, reliance on a conventional fractionation regimen for costing the comparator favours Axxent</w:t>
      </w:r>
      <w:r w:rsidRPr="00DF52F6">
        <w:rPr>
          <w:vertAlign w:val="superscript"/>
        </w:rPr>
        <w:t>®</w:t>
      </w:r>
      <w:r>
        <w:t xml:space="preserve">. </w:t>
      </w:r>
    </w:p>
    <w:p w14:paraId="38D30DB6" w14:textId="179FBC21" w:rsidR="006A3866" w:rsidRPr="00035200" w:rsidRDefault="006A3866" w:rsidP="006A3866">
      <w:pPr>
        <w:pStyle w:val="ListParagraph"/>
        <w:numPr>
          <w:ilvl w:val="0"/>
          <w:numId w:val="5"/>
        </w:numPr>
        <w:rPr>
          <w:rFonts w:eastAsia="Calibri"/>
          <w:lang w:eastAsia="en-US"/>
        </w:rPr>
      </w:pPr>
      <w:r>
        <w:t>The cost for IORT with</w:t>
      </w:r>
      <w:r w:rsidRPr="006207E8">
        <w:t xml:space="preserve"> </w:t>
      </w:r>
      <w:r>
        <w:t>Axxent</w:t>
      </w:r>
      <w:r w:rsidRPr="00105C92">
        <w:rPr>
          <w:vertAlign w:val="superscript"/>
        </w:rPr>
        <w:t>®</w:t>
      </w:r>
      <w:r>
        <w:t xml:space="preserve"> ($1,117) was also not sufficiently explained; ESC recalled from the previous application that the cost </w:t>
      </w:r>
      <w:r w:rsidRPr="00D863FD">
        <w:t>for the Axxent devi</w:t>
      </w:r>
      <w:r>
        <w:t>ce was also unknown.</w:t>
      </w:r>
    </w:p>
    <w:p w14:paraId="0DE0E9DC" w14:textId="7129C145" w:rsidR="006A3866" w:rsidRDefault="006A3866" w:rsidP="00035200">
      <w:pPr>
        <w:spacing w:before="240"/>
        <w:rPr>
          <w:rFonts w:eastAsia="Calibri"/>
          <w:lang w:eastAsia="en-US"/>
        </w:rPr>
      </w:pPr>
      <w:r w:rsidRPr="00105C92">
        <w:rPr>
          <w:rFonts w:eastAsia="Calibri"/>
          <w:lang w:eastAsia="en-US"/>
        </w:rPr>
        <w:t xml:space="preserve">Overall, ESC considered the DCARs </w:t>
      </w:r>
      <w:r>
        <w:rPr>
          <w:rFonts w:eastAsia="Calibri"/>
          <w:lang w:eastAsia="en-US"/>
        </w:rPr>
        <w:t xml:space="preserve">claim that </w:t>
      </w:r>
      <w:r w:rsidRPr="00105C92">
        <w:rPr>
          <w:rFonts w:eastAsia="Calibri"/>
          <w:lang w:eastAsia="en-US"/>
        </w:rPr>
        <w:t>Axxent</w:t>
      </w:r>
      <w:r w:rsidRPr="00105C92">
        <w:rPr>
          <w:vertAlign w:val="superscript"/>
        </w:rPr>
        <w:t>®</w:t>
      </w:r>
      <w:r>
        <w:t xml:space="preserve"> </w:t>
      </w:r>
      <w:r w:rsidRPr="001A54F9">
        <w:rPr>
          <w:i/>
        </w:rPr>
        <w:t>vs.</w:t>
      </w:r>
      <w:r>
        <w:t xml:space="preserve"> WB-EBRT would provide greater cost savings (relative to Intrabeam </w:t>
      </w:r>
      <w:r w:rsidRPr="001A54F9">
        <w:rPr>
          <w:i/>
        </w:rPr>
        <w:t>vs</w:t>
      </w:r>
      <w:r>
        <w:t>. WB-EBRT) is misleading</w:t>
      </w:r>
      <w:r w:rsidRPr="00105C92">
        <w:rPr>
          <w:rFonts w:eastAsia="Calibri"/>
          <w:lang w:eastAsia="en-US"/>
        </w:rPr>
        <w:t xml:space="preserve">. </w:t>
      </w:r>
      <w:r>
        <w:t xml:space="preserve">In addition, ESC considered that the DCAR did not discuss if there would be a change to the net budget impact to the MBS and other Government budgets with the addition of </w:t>
      </w:r>
      <w:r w:rsidRPr="00BB3CE6">
        <w:t>Axxent</w:t>
      </w:r>
      <w:r w:rsidRPr="00F449BD">
        <w:rPr>
          <w:vertAlign w:val="superscript"/>
        </w:rPr>
        <w:t>®</w:t>
      </w:r>
      <w:r w:rsidRPr="00BB3CE6">
        <w:t xml:space="preserve"> </w:t>
      </w:r>
      <w:r>
        <w:t>to the current IORT market (with Intrabeam</w:t>
      </w:r>
      <w:r w:rsidRPr="00F449BD">
        <w:rPr>
          <w:vertAlign w:val="superscript"/>
        </w:rPr>
        <w:t>®</w:t>
      </w:r>
      <w:r>
        <w:t>). However, ESC noted the continued low uptake of Intrabeam</w:t>
      </w:r>
      <w:r>
        <w:rPr>
          <w:vertAlign w:val="superscript"/>
        </w:rPr>
        <w:t>®</w:t>
      </w:r>
      <w:r>
        <w:t xml:space="preserve"> on the MBS and recalled previously it considered that there would be no impact on the MBS </w:t>
      </w:r>
      <w:r w:rsidRPr="00BB3CE6">
        <w:t>should Axxent</w:t>
      </w:r>
      <w:r w:rsidRPr="001A54F9">
        <w:rPr>
          <w:vertAlign w:val="superscript"/>
        </w:rPr>
        <w:t>®</w:t>
      </w:r>
      <w:r w:rsidRPr="00BB3CE6">
        <w:t xml:space="preserve"> replace Intrabeam</w:t>
      </w:r>
      <w:r w:rsidRPr="001A54F9">
        <w:rPr>
          <w:vertAlign w:val="superscript"/>
        </w:rPr>
        <w:t>®</w:t>
      </w:r>
      <w:r>
        <w:t xml:space="preserve"> (i.e. Axxent</w:t>
      </w:r>
      <w:r w:rsidRPr="001A54F9">
        <w:rPr>
          <w:vertAlign w:val="superscript"/>
        </w:rPr>
        <w:t>®</w:t>
      </w:r>
      <w:r>
        <w:t xml:space="preserve"> becomes an alternative to </w:t>
      </w:r>
      <w:r w:rsidRPr="00BB3CE6">
        <w:t>Intrabeam</w:t>
      </w:r>
      <w:r w:rsidRPr="001A54F9">
        <w:rPr>
          <w:vertAlign w:val="superscript"/>
        </w:rPr>
        <w:t>®</w:t>
      </w:r>
      <w:r>
        <w:t>).</w:t>
      </w:r>
    </w:p>
    <w:p w14:paraId="0E3AA1FE" w14:textId="3AE6EE5D" w:rsidR="006A3866" w:rsidRDefault="006A3866" w:rsidP="00035200">
      <w:pPr>
        <w:spacing w:before="240"/>
        <w:rPr>
          <w:rFonts w:eastAsia="Calibri"/>
          <w:lang w:eastAsia="en-US"/>
        </w:rPr>
      </w:pPr>
      <w:r>
        <w:rPr>
          <w:rFonts w:eastAsia="Calibri"/>
          <w:lang w:eastAsia="en-US"/>
        </w:rPr>
        <w:t>ESC further discussed the low uptake of Intrabeam</w:t>
      </w:r>
      <w:r w:rsidRPr="00F449BD">
        <w:rPr>
          <w:vertAlign w:val="superscript"/>
        </w:rPr>
        <w:t>®</w:t>
      </w:r>
      <w:r>
        <w:rPr>
          <w:rFonts w:eastAsia="Calibri"/>
          <w:lang w:eastAsia="en-US"/>
        </w:rPr>
        <w:t xml:space="preserve">, based on MBS claim data. They noted the possibility that surgeons feel that using IORT (with any device) during a breast conserving surgery (BCS) disrupts and extends theatre time, which has implications for the patient (extra anaesthesia time) and impacts on service delivery and costs. ESC also </w:t>
      </w:r>
      <w:r w:rsidR="00916548">
        <w:rPr>
          <w:rFonts w:eastAsia="Calibri"/>
          <w:lang w:eastAsia="en-US"/>
        </w:rPr>
        <w:t xml:space="preserve">noted the lack of support from </w:t>
      </w:r>
      <w:r w:rsidR="001E6C1A">
        <w:rPr>
          <w:rFonts w:eastAsia="Calibri"/>
          <w:lang w:eastAsia="en-US"/>
        </w:rPr>
        <w:t>RANZCR</w:t>
      </w:r>
      <w:r w:rsidR="00035200">
        <w:rPr>
          <w:rFonts w:eastAsia="Calibri"/>
          <w:lang w:eastAsia="en-US"/>
        </w:rPr>
        <w:t xml:space="preserve"> for IORT.</w:t>
      </w:r>
    </w:p>
    <w:p w14:paraId="1A4F2D77" w14:textId="3DB459E9" w:rsidR="006A3866" w:rsidRPr="006A3866" w:rsidRDefault="006A3866" w:rsidP="00035200">
      <w:pPr>
        <w:spacing w:before="240"/>
        <w:rPr>
          <w:rFonts w:eastAsia="Calibri"/>
          <w:lang w:eastAsia="en-US"/>
        </w:rPr>
      </w:pPr>
      <w:r>
        <w:rPr>
          <w:rFonts w:eastAsia="Calibri"/>
          <w:lang w:eastAsia="en-US"/>
        </w:rPr>
        <w:lastRenderedPageBreak/>
        <w:t>ESC noted the pre-ESC response stating the recent sale of another IORT unit along with a strong likelihood of a further two IORT units entering service in 2020, which the applicant claimed will further drive the uptake of IORT.</w:t>
      </w:r>
    </w:p>
    <w:p w14:paraId="6A8FFD47" w14:textId="77777777" w:rsidR="00BA3279" w:rsidRPr="00F715D1" w:rsidRDefault="00BA3279" w:rsidP="00BA3279">
      <w:pPr>
        <w:pStyle w:val="Heading1"/>
      </w:pPr>
      <w:r w:rsidRPr="00F715D1">
        <w:t>Other significant factors</w:t>
      </w:r>
    </w:p>
    <w:p w14:paraId="30F47ED6" w14:textId="7D2C74DF" w:rsidR="00BA3279" w:rsidRPr="00ED7C46" w:rsidRDefault="00AD0F25" w:rsidP="00BA3279">
      <w:pPr>
        <w:spacing w:after="240"/>
        <w:rPr>
          <w:szCs w:val="24"/>
        </w:rPr>
      </w:pPr>
      <w:r w:rsidRPr="00ED7C46">
        <w:rPr>
          <w:szCs w:val="24"/>
        </w:rPr>
        <w:t>Nil</w:t>
      </w:r>
    </w:p>
    <w:p w14:paraId="2EB29CC1" w14:textId="77777777" w:rsidR="00BA3279" w:rsidRPr="00F715D1" w:rsidRDefault="00BA3279" w:rsidP="00BA3279">
      <w:pPr>
        <w:pStyle w:val="Heading1"/>
      </w:pPr>
      <w:r>
        <w:t>Applicant</w:t>
      </w:r>
      <w:r w:rsidRPr="00F715D1">
        <w:t xml:space="preserve"> comments on MSAC’s Public Summary Document</w:t>
      </w:r>
    </w:p>
    <w:p w14:paraId="153456C2" w14:textId="4B970579" w:rsidR="00BA3279" w:rsidRPr="001E37FA" w:rsidRDefault="001E37FA" w:rsidP="00BA3279">
      <w:pPr>
        <w:spacing w:after="240"/>
        <w:rPr>
          <w:szCs w:val="24"/>
        </w:rPr>
      </w:pPr>
      <w:r w:rsidRPr="001E37FA">
        <w:rPr>
          <w:szCs w:val="24"/>
        </w:rPr>
        <w:t>The applicant had no comment.</w:t>
      </w:r>
    </w:p>
    <w:p w14:paraId="13F0FE43" w14:textId="77777777" w:rsidR="00BA3279" w:rsidRPr="00F715D1" w:rsidRDefault="00BA3279" w:rsidP="00BA3279">
      <w:pPr>
        <w:pStyle w:val="Heading1"/>
      </w:pPr>
      <w:r w:rsidRPr="00F715D1">
        <w:t>Further information on MSAC</w:t>
      </w:r>
    </w:p>
    <w:p w14:paraId="68205BC2" w14:textId="55EFD7D2" w:rsidR="00280050" w:rsidRPr="00035200" w:rsidRDefault="00BA3279" w:rsidP="00035200">
      <w:pPr>
        <w:spacing w:after="240"/>
        <w:rPr>
          <w:szCs w:val="24"/>
        </w:rPr>
      </w:pPr>
      <w:r w:rsidRPr="00F715D1">
        <w:rPr>
          <w:szCs w:val="24"/>
        </w:rPr>
        <w:t xml:space="preserve">MSAC Terms of Reference and other information are available on the MSAC Website: </w:t>
      </w:r>
      <w:r>
        <w:rPr>
          <w:szCs w:val="24"/>
        </w:rPr>
        <w:br/>
      </w:r>
      <w:hyperlink r:id="rId16" w:tooltip="Link to Medical Services Advisory Committee website" w:history="1">
        <w:r w:rsidRPr="00F715D1">
          <w:rPr>
            <w:rStyle w:val="Hyperlink"/>
            <w:szCs w:val="24"/>
          </w:rPr>
          <w:t>visit the MSAC website</w:t>
        </w:r>
      </w:hyperlink>
    </w:p>
    <w:sectPr w:rsidR="00280050" w:rsidRPr="00035200" w:rsidSect="00E9302D">
      <w:headerReference w:type="even" r:id="rId17"/>
      <w:headerReference w:type="default" r:id="rId18"/>
      <w:footerReference w:type="even" r:id="rId19"/>
      <w:footerReference w:type="default" r:id="rId20"/>
      <w:headerReference w:type="first" r:id="rId21"/>
      <w:footerReference w:type="first" r:id="rId22"/>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DD28F" w14:textId="77777777" w:rsidR="00EA4F7E" w:rsidRDefault="00EA4F7E">
      <w:r>
        <w:separator/>
      </w:r>
    </w:p>
  </w:endnote>
  <w:endnote w:type="continuationSeparator" w:id="0">
    <w:p w14:paraId="6916353D" w14:textId="77777777" w:rsidR="00EA4F7E" w:rsidRDefault="00EA4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737B4" w14:textId="77777777" w:rsidR="00EA4F7E" w:rsidRDefault="00EA4F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6B3000C6" w14:textId="2973DFE9" w:rsidR="00EA4F7E" w:rsidRDefault="00EA4F7E">
        <w:pPr>
          <w:pStyle w:val="Footer"/>
          <w:jc w:val="right"/>
        </w:pPr>
        <w:r>
          <w:fldChar w:fldCharType="begin"/>
        </w:r>
        <w:r>
          <w:instrText xml:space="preserve"> PAGE   \* MERGEFORMAT </w:instrText>
        </w:r>
        <w:r>
          <w:fldChar w:fldCharType="separate"/>
        </w:r>
        <w:r w:rsidR="00545CCF">
          <w:rPr>
            <w:noProof/>
          </w:rPr>
          <w:t>1</w:t>
        </w:r>
        <w:r>
          <w:rPr>
            <w:noProof/>
          </w:rPr>
          <w:fldChar w:fldCharType="end"/>
        </w:r>
      </w:p>
    </w:sdtContent>
  </w:sdt>
  <w:p w14:paraId="2B9A91FC" w14:textId="77777777" w:rsidR="00EA4F7E" w:rsidRDefault="00EA4F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A0BD4" w14:textId="77777777" w:rsidR="00EA4F7E" w:rsidRDefault="00EA4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A1059" w14:textId="77777777" w:rsidR="00EA4F7E" w:rsidRDefault="00EA4F7E">
      <w:r>
        <w:separator/>
      </w:r>
    </w:p>
  </w:footnote>
  <w:footnote w:type="continuationSeparator" w:id="0">
    <w:p w14:paraId="60C2FE09" w14:textId="77777777" w:rsidR="00EA4F7E" w:rsidRDefault="00EA4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FAA10" w14:textId="77777777" w:rsidR="00EA4F7E" w:rsidRDefault="00EA4F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7ACBB" w14:textId="77777777" w:rsidR="00EA4F7E" w:rsidRDefault="00EA4F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1D98C" w14:textId="77777777" w:rsidR="00EA4F7E" w:rsidRDefault="00EA4F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1450EB"/>
    <w:multiLevelType w:val="hybridMultilevel"/>
    <w:tmpl w:val="0A001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7993EDE"/>
    <w:multiLevelType w:val="hybridMultilevel"/>
    <w:tmpl w:val="1BA85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FBA0B51"/>
    <w:multiLevelType w:val="hybridMultilevel"/>
    <w:tmpl w:val="F4F281A6"/>
    <w:lvl w:ilvl="0" w:tplc="0C090001">
      <w:start w:val="1"/>
      <w:numFmt w:val="bullet"/>
      <w:lvlText w:val=""/>
      <w:lvlJc w:val="left"/>
      <w:pPr>
        <w:tabs>
          <w:tab w:val="num" w:pos="1080"/>
        </w:tabs>
        <w:ind w:left="1080" w:hanging="720"/>
      </w:pPr>
      <w:rPr>
        <w:rFonts w:ascii="Symbol" w:hAnsi="Symbol"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A80799"/>
    <w:multiLevelType w:val="hybridMultilevel"/>
    <w:tmpl w:val="5EA8B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279"/>
    <w:rsid w:val="00002909"/>
    <w:rsid w:val="00035200"/>
    <w:rsid w:val="00044122"/>
    <w:rsid w:val="000549E0"/>
    <w:rsid w:val="00082EE5"/>
    <w:rsid w:val="000E1FF6"/>
    <w:rsid w:val="0014723B"/>
    <w:rsid w:val="00163B09"/>
    <w:rsid w:val="00171E2D"/>
    <w:rsid w:val="00181049"/>
    <w:rsid w:val="00182CD2"/>
    <w:rsid w:val="0019002A"/>
    <w:rsid w:val="001E37FA"/>
    <w:rsid w:val="001E6C1A"/>
    <w:rsid w:val="00255390"/>
    <w:rsid w:val="002624B2"/>
    <w:rsid w:val="0027061C"/>
    <w:rsid w:val="002751EA"/>
    <w:rsid w:val="00280050"/>
    <w:rsid w:val="002871B0"/>
    <w:rsid w:val="002A57A7"/>
    <w:rsid w:val="002B6F42"/>
    <w:rsid w:val="002C2931"/>
    <w:rsid w:val="003129B2"/>
    <w:rsid w:val="00342DCE"/>
    <w:rsid w:val="003635CD"/>
    <w:rsid w:val="003B0693"/>
    <w:rsid w:val="003B15F1"/>
    <w:rsid w:val="003B3C33"/>
    <w:rsid w:val="003D1F30"/>
    <w:rsid w:val="003D380F"/>
    <w:rsid w:val="003F52D1"/>
    <w:rsid w:val="0044331E"/>
    <w:rsid w:val="0045381D"/>
    <w:rsid w:val="004671FE"/>
    <w:rsid w:val="004B5C94"/>
    <w:rsid w:val="004C6711"/>
    <w:rsid w:val="0050127B"/>
    <w:rsid w:val="00502258"/>
    <w:rsid w:val="00524E54"/>
    <w:rsid w:val="00545CCF"/>
    <w:rsid w:val="005475BC"/>
    <w:rsid w:val="0056589F"/>
    <w:rsid w:val="00572786"/>
    <w:rsid w:val="00582531"/>
    <w:rsid w:val="005F22C1"/>
    <w:rsid w:val="005F77A1"/>
    <w:rsid w:val="006162A7"/>
    <w:rsid w:val="00624FAD"/>
    <w:rsid w:val="00640344"/>
    <w:rsid w:val="006859BA"/>
    <w:rsid w:val="00686485"/>
    <w:rsid w:val="006A3866"/>
    <w:rsid w:val="006A434F"/>
    <w:rsid w:val="006B279B"/>
    <w:rsid w:val="006D4C79"/>
    <w:rsid w:val="006F1AB7"/>
    <w:rsid w:val="006F2FC3"/>
    <w:rsid w:val="006F4536"/>
    <w:rsid w:val="00722AF9"/>
    <w:rsid w:val="00732A99"/>
    <w:rsid w:val="00751747"/>
    <w:rsid w:val="007B0D9E"/>
    <w:rsid w:val="007E1A21"/>
    <w:rsid w:val="007E2988"/>
    <w:rsid w:val="007E6A64"/>
    <w:rsid w:val="00817B5E"/>
    <w:rsid w:val="008235C9"/>
    <w:rsid w:val="00825803"/>
    <w:rsid w:val="00857998"/>
    <w:rsid w:val="008B5D22"/>
    <w:rsid w:val="008C0FAA"/>
    <w:rsid w:val="008C6552"/>
    <w:rsid w:val="008E727C"/>
    <w:rsid w:val="008F7056"/>
    <w:rsid w:val="00916548"/>
    <w:rsid w:val="0093280A"/>
    <w:rsid w:val="00957D07"/>
    <w:rsid w:val="00987454"/>
    <w:rsid w:val="0099397D"/>
    <w:rsid w:val="00994E3B"/>
    <w:rsid w:val="009D17DE"/>
    <w:rsid w:val="009E4982"/>
    <w:rsid w:val="009F2563"/>
    <w:rsid w:val="009F378C"/>
    <w:rsid w:val="00A04F8B"/>
    <w:rsid w:val="00A34225"/>
    <w:rsid w:val="00A72CB0"/>
    <w:rsid w:val="00A81BA3"/>
    <w:rsid w:val="00A861AA"/>
    <w:rsid w:val="00A9311E"/>
    <w:rsid w:val="00AB188F"/>
    <w:rsid w:val="00AD0F25"/>
    <w:rsid w:val="00AD375F"/>
    <w:rsid w:val="00B02D4F"/>
    <w:rsid w:val="00B222B4"/>
    <w:rsid w:val="00B5354D"/>
    <w:rsid w:val="00B95B42"/>
    <w:rsid w:val="00BA3279"/>
    <w:rsid w:val="00BC2AA9"/>
    <w:rsid w:val="00BD1927"/>
    <w:rsid w:val="00BE0EFA"/>
    <w:rsid w:val="00BF3910"/>
    <w:rsid w:val="00C0131D"/>
    <w:rsid w:val="00C02C9B"/>
    <w:rsid w:val="00C13A0B"/>
    <w:rsid w:val="00C560A8"/>
    <w:rsid w:val="00C703C0"/>
    <w:rsid w:val="00C72DA4"/>
    <w:rsid w:val="00C842F6"/>
    <w:rsid w:val="00C846A0"/>
    <w:rsid w:val="00C96835"/>
    <w:rsid w:val="00CE40A0"/>
    <w:rsid w:val="00D0496B"/>
    <w:rsid w:val="00D57FAD"/>
    <w:rsid w:val="00D82527"/>
    <w:rsid w:val="00E2464C"/>
    <w:rsid w:val="00E72B14"/>
    <w:rsid w:val="00E9030B"/>
    <w:rsid w:val="00E9302D"/>
    <w:rsid w:val="00EA4F7E"/>
    <w:rsid w:val="00ED7C46"/>
    <w:rsid w:val="00EE06E3"/>
    <w:rsid w:val="00EE3557"/>
    <w:rsid w:val="00F02FC8"/>
    <w:rsid w:val="00F14D6C"/>
    <w:rsid w:val="00F33F36"/>
    <w:rsid w:val="00F36827"/>
    <w:rsid w:val="00F5461B"/>
    <w:rsid w:val="00F62A75"/>
    <w:rsid w:val="00F636DE"/>
    <w:rsid w:val="00F67851"/>
    <w:rsid w:val="00FA36FD"/>
    <w:rsid w:val="00FC32D7"/>
    <w:rsid w:val="00FC7CD1"/>
    <w:rsid w:val="00FF0B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6F89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279"/>
    <w:pPr>
      <w:spacing w:after="0" w:line="240" w:lineRule="auto"/>
    </w:pPr>
    <w:rPr>
      <w:rFonts w:eastAsia="Times New Roman"/>
      <w:szCs w:val="20"/>
      <w:lang w:eastAsia="en-AU"/>
    </w:rPr>
  </w:style>
  <w:style w:type="paragraph" w:styleId="Heading1">
    <w:name w:val="heading 1"/>
    <w:basedOn w:val="Normal"/>
    <w:next w:val="Normal"/>
    <w:link w:val="Heading1Char"/>
    <w:uiPriority w:val="99"/>
    <w:qFormat/>
    <w:rsid w:val="00BA3279"/>
    <w:pPr>
      <w:keepNext/>
      <w:keepLines/>
      <w:numPr>
        <w:numId w:val="2"/>
      </w:numPr>
      <w:spacing w:before="240" w:after="240"/>
      <w:ind w:hanging="720"/>
      <w:outlineLvl w:val="0"/>
    </w:pPr>
    <w:rPr>
      <w:rFonts w:ascii="Arial" w:hAnsi="Arial"/>
      <w:b/>
      <w:bCs/>
      <w:szCs w:val="28"/>
    </w:rPr>
  </w:style>
  <w:style w:type="paragraph" w:styleId="Heading2">
    <w:name w:val="heading 2"/>
    <w:basedOn w:val="Normal"/>
    <w:next w:val="Normal"/>
    <w:link w:val="Heading2Char"/>
    <w:uiPriority w:val="9"/>
    <w:semiHidden/>
    <w:unhideWhenUsed/>
    <w:qFormat/>
    <w:rsid w:val="00F02FC8"/>
    <w:pPr>
      <w:keepNext/>
      <w:keepLines/>
      <w:spacing w:before="240"/>
      <w:outlineLvl w:val="1"/>
    </w:pPr>
    <w:rPr>
      <w:rFonts w:eastAsiaTheme="majorEastAsia" w:cstheme="majorBidi"/>
      <w:i/>
      <w:szCs w:val="26"/>
    </w:rPr>
  </w:style>
  <w:style w:type="paragraph" w:styleId="Heading3">
    <w:name w:val="heading 3"/>
    <w:basedOn w:val="Normal"/>
    <w:next w:val="Normal"/>
    <w:link w:val="Heading3Char"/>
    <w:uiPriority w:val="9"/>
    <w:semiHidden/>
    <w:unhideWhenUsed/>
    <w:qFormat/>
    <w:rsid w:val="00F02FC8"/>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A3279"/>
    <w:rPr>
      <w:rFonts w:ascii="Arial" w:eastAsia="Times New Roman" w:hAnsi="Arial"/>
      <w:b/>
      <w:bCs/>
      <w:szCs w:val="28"/>
      <w:lang w:eastAsia="en-AU"/>
    </w:rPr>
  </w:style>
  <w:style w:type="character" w:styleId="Hyperlink">
    <w:name w:val="Hyperlink"/>
    <w:basedOn w:val="DefaultParagraphFont"/>
    <w:uiPriority w:val="99"/>
    <w:rsid w:val="00BA3279"/>
    <w:rPr>
      <w:rFonts w:cs="Times New Roman"/>
      <w:color w:val="0000FF"/>
      <w:u w:val="single"/>
    </w:rPr>
  </w:style>
  <w:style w:type="paragraph" w:styleId="ListParagraph">
    <w:name w:val="List Paragraph"/>
    <w:aliases w:val="Styl moj,Akapit z listą1,Akapit z listą11"/>
    <w:basedOn w:val="Normal"/>
    <w:link w:val="ListParagraphChar"/>
    <w:uiPriority w:val="34"/>
    <w:qFormat/>
    <w:rsid w:val="00BA3279"/>
    <w:pPr>
      <w:ind w:left="720"/>
      <w:contextualSpacing/>
    </w:pPr>
  </w:style>
  <w:style w:type="paragraph" w:styleId="Footer">
    <w:name w:val="footer"/>
    <w:basedOn w:val="Normal"/>
    <w:link w:val="FooterChar"/>
    <w:uiPriority w:val="99"/>
    <w:rsid w:val="00BA3279"/>
    <w:pPr>
      <w:tabs>
        <w:tab w:val="center" w:pos="4513"/>
        <w:tab w:val="right" w:pos="9026"/>
      </w:tabs>
    </w:pPr>
  </w:style>
  <w:style w:type="character" w:customStyle="1" w:styleId="FooterChar">
    <w:name w:val="Footer Char"/>
    <w:basedOn w:val="DefaultParagraphFont"/>
    <w:link w:val="Footer"/>
    <w:uiPriority w:val="99"/>
    <w:rsid w:val="00BA3279"/>
    <w:rPr>
      <w:rFonts w:eastAsia="Times New Roman"/>
      <w:szCs w:val="20"/>
      <w:lang w:eastAsia="en-AU"/>
    </w:rPr>
  </w:style>
  <w:style w:type="paragraph" w:customStyle="1" w:styleId="Default">
    <w:name w:val="Default"/>
    <w:rsid w:val="00BA3279"/>
    <w:pPr>
      <w:autoSpaceDE w:val="0"/>
      <w:autoSpaceDN w:val="0"/>
      <w:adjustRightInd w:val="0"/>
      <w:spacing w:after="0" w:line="240" w:lineRule="auto"/>
    </w:pPr>
    <w:rPr>
      <w:rFonts w:eastAsia="Calibri"/>
      <w:color w:val="000000"/>
    </w:rPr>
  </w:style>
  <w:style w:type="paragraph" w:styleId="Title">
    <w:name w:val="Title"/>
    <w:basedOn w:val="Normal"/>
    <w:next w:val="Normal"/>
    <w:link w:val="TitleChar"/>
    <w:qFormat/>
    <w:rsid w:val="00BA3279"/>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BA327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BA3279"/>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BA3279"/>
    <w:rPr>
      <w:rFonts w:ascii="Arial" w:eastAsia="Times New Roman" w:hAnsi="Arial" w:cs="Arial"/>
      <w:b/>
      <w:bCs/>
      <w:i/>
      <w:color w:val="000080"/>
      <w:sz w:val="28"/>
      <w:szCs w:val="28"/>
      <w:lang w:eastAsia="en-AU"/>
    </w:rPr>
  </w:style>
  <w:style w:type="table" w:styleId="TableGrid">
    <w:name w:val="Table Grid"/>
    <w:basedOn w:val="TableNormal"/>
    <w:rsid w:val="00BA3279"/>
    <w:pPr>
      <w:spacing w:after="0" w:line="240" w:lineRule="auto"/>
    </w:pPr>
    <w:rPr>
      <w:rFonts w:eastAsia="Calibri"/>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link w:val="TableHeadingChar"/>
    <w:qFormat/>
    <w:rsid w:val="006A3866"/>
    <w:pPr>
      <w:keepNext/>
      <w:spacing w:before="40" w:after="40"/>
      <w:ind w:left="1" w:right="1"/>
    </w:pPr>
    <w:rPr>
      <w:rFonts w:ascii="Arial Narrow" w:hAnsi="Arial Narrow" w:cs="Tahoma"/>
      <w:b/>
      <w:sz w:val="20"/>
    </w:rPr>
  </w:style>
  <w:style w:type="character" w:customStyle="1" w:styleId="TableHeadingChar">
    <w:name w:val="TableHeading Char"/>
    <w:link w:val="TableHeading"/>
    <w:rsid w:val="006A3866"/>
    <w:rPr>
      <w:rFonts w:ascii="Arial Narrow" w:eastAsia="Times New Roman" w:hAnsi="Arial Narrow" w:cs="Tahoma"/>
      <w:b/>
      <w:sz w:val="20"/>
      <w:szCs w:val="20"/>
      <w:lang w:eastAsia="en-AU"/>
    </w:rPr>
  </w:style>
  <w:style w:type="paragraph" w:customStyle="1" w:styleId="TableText">
    <w:name w:val="TableText"/>
    <w:basedOn w:val="Normal"/>
    <w:rsid w:val="006A3866"/>
    <w:pPr>
      <w:keepNext/>
      <w:spacing w:before="60" w:after="60"/>
    </w:pPr>
    <w:rPr>
      <w:color w:val="000000"/>
      <w:sz w:val="21"/>
      <w:szCs w:val="21"/>
    </w:rPr>
  </w:style>
  <w:style w:type="character" w:customStyle="1" w:styleId="ListParagraphChar">
    <w:name w:val="List Paragraph Char"/>
    <w:aliases w:val="Styl moj Char,Akapit z listą1 Char,Akapit z listą11 Char"/>
    <w:link w:val="ListParagraph"/>
    <w:uiPriority w:val="34"/>
    <w:rsid w:val="006A3866"/>
    <w:rPr>
      <w:rFonts w:eastAsia="Times New Roman"/>
      <w:szCs w:val="20"/>
      <w:lang w:eastAsia="en-AU"/>
    </w:rPr>
  </w:style>
  <w:style w:type="paragraph" w:styleId="Caption">
    <w:name w:val="caption"/>
    <w:aliases w:val="Captions (table,figure)"/>
    <w:basedOn w:val="Normal"/>
    <w:next w:val="Normal"/>
    <w:qFormat/>
    <w:rsid w:val="00F02FC8"/>
    <w:pPr>
      <w:keepNext/>
      <w:spacing w:after="120"/>
      <w:jc w:val="both"/>
      <w:outlineLvl w:val="4"/>
    </w:pPr>
    <w:rPr>
      <w:rFonts w:ascii="Arial Narrow" w:hAnsi="Arial Narrow" w:cs="Tahoma"/>
      <w:b/>
      <w:bCs/>
      <w:sz w:val="20"/>
      <w:szCs w:val="22"/>
    </w:rPr>
  </w:style>
  <w:style w:type="paragraph" w:customStyle="1" w:styleId="Tabletext0">
    <w:name w:val="Table text"/>
    <w:basedOn w:val="Normal"/>
    <w:link w:val="TabletextChar"/>
    <w:qFormat/>
    <w:rsid w:val="00F02FC8"/>
    <w:pPr>
      <w:spacing w:before="40" w:after="40"/>
      <w:ind w:left="1" w:right="1"/>
    </w:pPr>
    <w:rPr>
      <w:rFonts w:ascii="Arial Narrow" w:hAnsi="Arial Narrow" w:cs="Tahoma"/>
      <w:sz w:val="20"/>
    </w:rPr>
  </w:style>
  <w:style w:type="character" w:customStyle="1" w:styleId="TabletextChar">
    <w:name w:val="Table text Char"/>
    <w:link w:val="Tabletext0"/>
    <w:rsid w:val="00F02FC8"/>
    <w:rPr>
      <w:rFonts w:ascii="Arial Narrow" w:eastAsia="Times New Roman" w:hAnsi="Arial Narrow" w:cs="Tahoma"/>
      <w:sz w:val="20"/>
      <w:szCs w:val="20"/>
      <w:lang w:eastAsia="en-AU"/>
    </w:rPr>
  </w:style>
  <w:style w:type="paragraph" w:customStyle="1" w:styleId="TableText1">
    <w:name w:val="Table Text"/>
    <w:basedOn w:val="Normal"/>
    <w:link w:val="TableTextChar0"/>
    <w:rsid w:val="00F02FC8"/>
    <w:pPr>
      <w:keepNext/>
      <w:spacing w:before="40" w:after="40"/>
      <w:jc w:val="both"/>
    </w:pPr>
    <w:rPr>
      <w:rFonts w:ascii="Arial Narrow" w:hAnsi="Arial Narrow" w:cs="Tahoma"/>
      <w:sz w:val="20"/>
      <w:szCs w:val="22"/>
      <w:lang w:eastAsia="en-US"/>
    </w:rPr>
  </w:style>
  <w:style w:type="character" w:customStyle="1" w:styleId="TableTextChar0">
    <w:name w:val="Table Text Char"/>
    <w:link w:val="TableText1"/>
    <w:rsid w:val="00F02FC8"/>
    <w:rPr>
      <w:rFonts w:ascii="Arial Narrow" w:eastAsia="Times New Roman" w:hAnsi="Arial Narrow" w:cs="Tahoma"/>
      <w:sz w:val="20"/>
      <w:szCs w:val="22"/>
    </w:rPr>
  </w:style>
  <w:style w:type="character" w:customStyle="1" w:styleId="Heading2Char">
    <w:name w:val="Heading 2 Char"/>
    <w:basedOn w:val="DefaultParagraphFont"/>
    <w:link w:val="Heading2"/>
    <w:uiPriority w:val="9"/>
    <w:semiHidden/>
    <w:rsid w:val="00F02FC8"/>
    <w:rPr>
      <w:rFonts w:eastAsiaTheme="majorEastAsia" w:cstheme="majorBidi"/>
      <w:i/>
      <w:szCs w:val="26"/>
      <w:lang w:eastAsia="en-AU"/>
    </w:rPr>
  </w:style>
  <w:style w:type="paragraph" w:customStyle="1" w:styleId="Tablenotes">
    <w:name w:val="Tablenotes"/>
    <w:basedOn w:val="Normal"/>
    <w:link w:val="TablenotesChar"/>
    <w:qFormat/>
    <w:rsid w:val="00F02FC8"/>
    <w:pPr>
      <w:widowControl w:val="0"/>
      <w:spacing w:after="36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F02FC8"/>
    <w:rPr>
      <w:rFonts w:ascii="Arial Narrow" w:eastAsia="Times New Roman" w:hAnsi="Arial Narrow" w:cs="Arial"/>
      <w:snapToGrid w:val="0"/>
      <w:sz w:val="18"/>
      <w:szCs w:val="20"/>
    </w:rPr>
  </w:style>
  <w:style w:type="character" w:customStyle="1" w:styleId="Heading3Char">
    <w:name w:val="Heading 3 Char"/>
    <w:basedOn w:val="DefaultParagraphFont"/>
    <w:link w:val="Heading3"/>
    <w:uiPriority w:val="9"/>
    <w:semiHidden/>
    <w:rsid w:val="00F02FC8"/>
    <w:rPr>
      <w:rFonts w:asciiTheme="majorHAnsi" w:eastAsiaTheme="majorEastAsia" w:hAnsiTheme="majorHAnsi" w:cstheme="majorBidi"/>
      <w:color w:val="1F4D78" w:themeColor="accent1" w:themeShade="7F"/>
      <w:lang w:eastAsia="en-AU"/>
    </w:rPr>
  </w:style>
  <w:style w:type="paragraph" w:customStyle="1" w:styleId="TableHeading0">
    <w:name w:val="Table Heading"/>
    <w:basedOn w:val="Normal"/>
    <w:next w:val="Normal"/>
    <w:rsid w:val="00F02FC8"/>
    <w:pPr>
      <w:keepNext/>
      <w:spacing w:before="40" w:after="40" w:line="312" w:lineRule="auto"/>
      <w:jc w:val="both"/>
    </w:pPr>
    <w:rPr>
      <w:rFonts w:ascii="Arial" w:hAnsi="Arial" w:cs="Tahoma"/>
      <w:b/>
      <w:sz w:val="18"/>
      <w:szCs w:val="22"/>
      <w:lang w:val="en-GB" w:eastAsia="en-US"/>
    </w:rPr>
  </w:style>
  <w:style w:type="character" w:styleId="CommentReference">
    <w:name w:val="annotation reference"/>
    <w:basedOn w:val="DefaultParagraphFont"/>
    <w:uiPriority w:val="99"/>
    <w:semiHidden/>
    <w:unhideWhenUsed/>
    <w:rsid w:val="00F02FC8"/>
    <w:rPr>
      <w:sz w:val="16"/>
      <w:szCs w:val="16"/>
    </w:rPr>
  </w:style>
  <w:style w:type="paragraph" w:styleId="CommentText">
    <w:name w:val="annotation text"/>
    <w:basedOn w:val="Normal"/>
    <w:link w:val="CommentTextChar"/>
    <w:uiPriority w:val="99"/>
    <w:unhideWhenUsed/>
    <w:rsid w:val="00F02FC8"/>
    <w:rPr>
      <w:sz w:val="20"/>
    </w:rPr>
  </w:style>
  <w:style w:type="character" w:customStyle="1" w:styleId="CommentTextChar">
    <w:name w:val="Comment Text Char"/>
    <w:basedOn w:val="DefaultParagraphFont"/>
    <w:link w:val="CommentText"/>
    <w:uiPriority w:val="99"/>
    <w:rsid w:val="00F02FC8"/>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02FC8"/>
    <w:rPr>
      <w:b/>
      <w:bCs/>
    </w:rPr>
  </w:style>
  <w:style w:type="character" w:customStyle="1" w:styleId="CommentSubjectChar">
    <w:name w:val="Comment Subject Char"/>
    <w:basedOn w:val="CommentTextChar"/>
    <w:link w:val="CommentSubject"/>
    <w:uiPriority w:val="99"/>
    <w:semiHidden/>
    <w:rsid w:val="00F02FC8"/>
    <w:rPr>
      <w:rFonts w:eastAsia="Times New Roman"/>
      <w:b/>
      <w:bCs/>
      <w:sz w:val="20"/>
      <w:szCs w:val="20"/>
      <w:lang w:eastAsia="en-AU"/>
    </w:rPr>
  </w:style>
  <w:style w:type="paragraph" w:styleId="BalloonText">
    <w:name w:val="Balloon Text"/>
    <w:basedOn w:val="Normal"/>
    <w:link w:val="BalloonTextChar"/>
    <w:uiPriority w:val="99"/>
    <w:semiHidden/>
    <w:unhideWhenUsed/>
    <w:rsid w:val="00F02F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FC8"/>
    <w:rPr>
      <w:rFonts w:ascii="Segoe UI" w:eastAsia="Times New Roman" w:hAnsi="Segoe UI" w:cs="Segoe UI"/>
      <w:sz w:val="18"/>
      <w:szCs w:val="18"/>
      <w:lang w:eastAsia="en-AU"/>
    </w:rPr>
  </w:style>
  <w:style w:type="paragraph" w:customStyle="1" w:styleId="TFListNotes">
    <w:name w:val="TFListNotes"/>
    <w:basedOn w:val="Normal"/>
    <w:rsid w:val="00E9302D"/>
    <w:pPr>
      <w:keepNext/>
      <w:keepLines/>
      <w:ind w:left="170" w:hanging="170"/>
    </w:pPr>
    <w:rPr>
      <w:color w:val="000000"/>
      <w:sz w:val="18"/>
      <w:szCs w:val="18"/>
    </w:rPr>
  </w:style>
  <w:style w:type="character" w:styleId="FollowedHyperlink">
    <w:name w:val="FollowedHyperlink"/>
    <w:basedOn w:val="DefaultParagraphFont"/>
    <w:uiPriority w:val="99"/>
    <w:semiHidden/>
    <w:unhideWhenUsed/>
    <w:rsid w:val="00722AF9"/>
    <w:rPr>
      <w:color w:val="954F72" w:themeColor="followedHyperlink"/>
      <w:u w:val="single"/>
    </w:rPr>
  </w:style>
  <w:style w:type="paragraph" w:styleId="Header">
    <w:name w:val="header"/>
    <w:basedOn w:val="Normal"/>
    <w:link w:val="HeaderChar"/>
    <w:uiPriority w:val="99"/>
    <w:unhideWhenUsed/>
    <w:rsid w:val="00255390"/>
    <w:pPr>
      <w:tabs>
        <w:tab w:val="center" w:pos="4513"/>
        <w:tab w:val="right" w:pos="9026"/>
      </w:tabs>
    </w:pPr>
  </w:style>
  <w:style w:type="character" w:customStyle="1" w:styleId="HeaderChar">
    <w:name w:val="Header Char"/>
    <w:basedOn w:val="DefaultParagraphFont"/>
    <w:link w:val="Header"/>
    <w:uiPriority w:val="99"/>
    <w:rsid w:val="00255390"/>
    <w:rPr>
      <w:rFonts w:eastAsia="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yperlink" Target="https://clinicaltrials.gov/ct2/show/record/NCT01644669"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www.msac.gov.au/internet/msac/publishing.nsf/Content/1189-public"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sac.gov.a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ac.gov.au/internet/msac/publishing.nsf/Content/8BF14EC964E94E35CA25801000123C17/$File/1429-FinalPSD-accessible.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linicaltrials.gov/ct2/show/record/NCT03501121" TargetMode="External"/><Relationship Id="rId23" Type="http://schemas.openxmlformats.org/officeDocument/2006/relationships/fontTable" Target="fontTable.xml"/><Relationship Id="rId10" Type="http://schemas.openxmlformats.org/officeDocument/2006/relationships/hyperlink" Target="https://clinicaltrials.gov/ct2/show/record/NCT03501121"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linicaltrials.gov/ct2/show/record/NCT01644669" TargetMode="External"/><Relationship Id="rId14" Type="http://schemas.openxmlformats.org/officeDocument/2006/relationships/hyperlink" Target="https://clinicaltrials.gov/ct2/show/record/NCT03501121"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8592</Words>
  <Characters>48976</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1429.1 Final PSD_Apr20</dc:title>
  <dc:subject/>
  <dc:creator/>
  <cp:keywords/>
  <dc:description/>
  <cp:lastModifiedBy/>
  <cp:revision>1</cp:revision>
  <dcterms:created xsi:type="dcterms:W3CDTF">2020-05-21T03:27:00Z</dcterms:created>
  <dcterms:modified xsi:type="dcterms:W3CDTF">2020-06-10T22:17:00Z</dcterms:modified>
</cp:coreProperties>
</file>