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19455" w14:textId="77777777" w:rsidR="0071773E" w:rsidRDefault="0071773E" w:rsidP="0071773E">
      <w:pPr>
        <w:jc w:val="center"/>
      </w:pPr>
      <w:bookmarkStart w:id="0" w:name="_GoBack"/>
      <w:bookmarkEnd w:id="0"/>
      <w:r>
        <w:rPr>
          <w:b/>
          <w:noProof/>
          <w:lang w:eastAsia="en-AU"/>
        </w:rPr>
        <w:drawing>
          <wp:inline distT="0" distB="0" distL="0" distR="0" wp14:anchorId="0607EDE8" wp14:editId="793E90AE">
            <wp:extent cx="1897077" cy="1257300"/>
            <wp:effectExtent l="0" t="0" r="8255" b="0"/>
            <wp:docPr id="2" name="Picture 2" descr="\\central.health\dfsuserenv\Users\User_18\dunjan\Desktop\DH_stacked_black.jpg"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2194697B" w14:textId="77777777" w:rsidR="0071773E" w:rsidRPr="000C4286" w:rsidRDefault="0071773E" w:rsidP="0071773E">
      <w:pPr>
        <w:jc w:val="center"/>
        <w:rPr>
          <w:sz w:val="144"/>
          <w:szCs w:val="144"/>
        </w:rPr>
      </w:pPr>
    </w:p>
    <w:p w14:paraId="27502AE9" w14:textId="77777777" w:rsidR="0071773E" w:rsidRDefault="001E2DAD" w:rsidP="0071773E">
      <w:pPr>
        <w:spacing w:before="180"/>
        <w:jc w:val="center"/>
        <w:rPr>
          <w:rFonts w:ascii="Arial" w:hAnsi="Arial" w:cs="Arial"/>
          <w:b/>
          <w:sz w:val="36"/>
          <w:szCs w:val="36"/>
        </w:rPr>
      </w:pPr>
      <w:hyperlink r:id="rId10" w:history="1">
        <w:r w:rsidR="0071773E" w:rsidRPr="00FC7AB9">
          <w:rPr>
            <w:rStyle w:val="Hyperlink"/>
            <w:rFonts w:ascii="Arial" w:hAnsi="Arial" w:cs="Arial"/>
            <w:b/>
            <w:sz w:val="36"/>
            <w:szCs w:val="36"/>
          </w:rPr>
          <w:t>MEDICAL SERVICES ADVISORY COMMITTEE</w:t>
        </w:r>
      </w:hyperlink>
      <w:r w:rsidR="0071773E" w:rsidRPr="00FC7AB9">
        <w:rPr>
          <w:rFonts w:ascii="Arial" w:hAnsi="Arial" w:cs="Arial"/>
          <w:b/>
          <w:sz w:val="36"/>
          <w:szCs w:val="36"/>
        </w:rPr>
        <w:t xml:space="preserve"> </w:t>
      </w:r>
    </w:p>
    <w:p w14:paraId="498AFE3E" w14:textId="77777777" w:rsidR="0071773E" w:rsidRPr="000C4286" w:rsidRDefault="0071773E" w:rsidP="0071773E">
      <w:pPr>
        <w:spacing w:before="180"/>
        <w:jc w:val="center"/>
        <w:rPr>
          <w:rFonts w:ascii="Arial" w:hAnsi="Arial" w:cs="Arial"/>
          <w:b/>
          <w:sz w:val="144"/>
          <w:szCs w:val="144"/>
        </w:rPr>
      </w:pPr>
    </w:p>
    <w:p w14:paraId="1E0BC03A" w14:textId="5FC19BF4" w:rsidR="0071773E" w:rsidRDefault="0071773E" w:rsidP="0071773E">
      <w:pPr>
        <w:spacing w:before="180"/>
        <w:jc w:val="center"/>
        <w:rPr>
          <w:rFonts w:ascii="Arial" w:hAnsi="Arial" w:cs="Arial"/>
          <w:b/>
          <w:sz w:val="36"/>
          <w:szCs w:val="36"/>
        </w:rPr>
      </w:pPr>
      <w:r w:rsidRPr="0071773E">
        <w:rPr>
          <w:rFonts w:ascii="Arial" w:hAnsi="Arial" w:cs="Arial"/>
          <w:b/>
          <w:sz w:val="36"/>
          <w:szCs w:val="36"/>
        </w:rPr>
        <w:t>MSAC 1443 - Implantable loop recorders for diagnosis</w:t>
      </w:r>
      <w:r w:rsidR="001954AE">
        <w:rPr>
          <w:rFonts w:ascii="Arial" w:hAnsi="Arial" w:cs="Arial"/>
          <w:b/>
          <w:sz w:val="36"/>
          <w:szCs w:val="36"/>
        </w:rPr>
        <w:t xml:space="preserve"> </w:t>
      </w:r>
      <w:r w:rsidRPr="0071773E">
        <w:rPr>
          <w:rFonts w:ascii="Arial" w:hAnsi="Arial" w:cs="Arial"/>
          <w:b/>
          <w:sz w:val="36"/>
          <w:szCs w:val="36"/>
        </w:rPr>
        <w:t>of atrial fibrillation in cryptogenic stroke</w:t>
      </w:r>
    </w:p>
    <w:p w14:paraId="2290A258" w14:textId="21349C6D" w:rsidR="0071773E" w:rsidRPr="0071773E" w:rsidRDefault="009C04D5" w:rsidP="0071773E">
      <w:pPr>
        <w:spacing w:before="180"/>
        <w:jc w:val="center"/>
        <w:rPr>
          <w:rFonts w:ascii="Arial" w:hAnsi="Arial" w:cs="Arial"/>
          <w:b/>
          <w:sz w:val="144"/>
          <w:szCs w:val="144"/>
        </w:rPr>
      </w:pPr>
      <w:r>
        <w:rPr>
          <w:rFonts w:ascii="Arial" w:hAnsi="Arial" w:cs="Arial"/>
          <w:b/>
          <w:sz w:val="144"/>
          <w:szCs w:val="144"/>
        </w:rPr>
        <w:lastRenderedPageBreak/>
        <w:t xml:space="preserve"> </w:t>
      </w:r>
    </w:p>
    <w:p w14:paraId="205EC5CB" w14:textId="058FF48A" w:rsidR="0071773E" w:rsidRPr="00FC7AB9" w:rsidRDefault="0071773E" w:rsidP="0071773E">
      <w:pPr>
        <w:spacing w:before="180"/>
        <w:jc w:val="center"/>
        <w:rPr>
          <w:rFonts w:ascii="Arial" w:hAnsi="Arial" w:cs="Arial"/>
          <w:b/>
          <w:sz w:val="36"/>
          <w:szCs w:val="36"/>
        </w:rPr>
      </w:pPr>
      <w:r>
        <w:rPr>
          <w:rFonts w:ascii="Arial" w:hAnsi="Arial" w:cs="Arial"/>
          <w:b/>
          <w:sz w:val="36"/>
          <w:szCs w:val="36"/>
        </w:rPr>
        <w:t>Applicant s</w:t>
      </w:r>
      <w:r w:rsidR="00AA4090">
        <w:rPr>
          <w:rFonts w:ascii="Arial" w:hAnsi="Arial" w:cs="Arial"/>
          <w:b/>
          <w:sz w:val="36"/>
          <w:szCs w:val="36"/>
        </w:rPr>
        <w:t>ubmitted</w:t>
      </w:r>
      <w:r>
        <w:rPr>
          <w:rFonts w:ascii="Arial" w:hAnsi="Arial" w:cs="Arial"/>
          <w:b/>
          <w:sz w:val="36"/>
          <w:szCs w:val="36"/>
        </w:rPr>
        <w:t xml:space="preserve"> protocol</w:t>
      </w:r>
    </w:p>
    <w:p w14:paraId="759542A4" w14:textId="77777777" w:rsidR="0071773E" w:rsidRPr="00125D2E" w:rsidRDefault="0071773E" w:rsidP="0071773E">
      <w:pPr>
        <w:rPr>
          <w:sz w:val="56"/>
          <w:szCs w:val="144"/>
        </w:rPr>
      </w:pPr>
    </w:p>
    <w:p w14:paraId="7A2A787F" w14:textId="121C8404" w:rsidR="0071773E" w:rsidRPr="00732394" w:rsidRDefault="001B473A" w:rsidP="0071773E">
      <w:pPr>
        <w:jc w:val="right"/>
        <w:rPr>
          <w:sz w:val="36"/>
          <w:szCs w:val="36"/>
        </w:rPr>
      </w:pPr>
      <w:r>
        <w:rPr>
          <w:sz w:val="36"/>
          <w:szCs w:val="36"/>
        </w:rPr>
        <w:t>December</w:t>
      </w:r>
      <w:r w:rsidR="0071773E">
        <w:rPr>
          <w:sz w:val="36"/>
          <w:szCs w:val="36"/>
        </w:rPr>
        <w:t xml:space="preserve"> 2016</w:t>
      </w:r>
    </w:p>
    <w:p w14:paraId="6F1A1C17" w14:textId="641E4E2C" w:rsidR="00711298" w:rsidRPr="0071773E" w:rsidRDefault="0071773E" w:rsidP="00D37436">
      <w:pPr>
        <w:rPr>
          <w:rFonts w:ascii="Arial" w:hAnsi="Arial" w:cs="Arial"/>
          <w:sz w:val="20"/>
          <w:szCs w:val="20"/>
        </w:rPr>
      </w:pPr>
      <w:r>
        <w:rPr>
          <w:rFonts w:ascii="Arial" w:hAnsi="Arial" w:cs="Arial"/>
          <w:sz w:val="20"/>
          <w:szCs w:val="20"/>
        </w:rPr>
        <w:br w:type="page"/>
      </w:r>
    </w:p>
    <w:p w14:paraId="75E8800D" w14:textId="77777777" w:rsidR="00BC4EFE" w:rsidRPr="00DF26D4" w:rsidRDefault="00BC4EFE" w:rsidP="00DF26D4">
      <w:pPr>
        <w:pStyle w:val="Heading1"/>
      </w:pPr>
      <w:r w:rsidRPr="00DF26D4">
        <w:lastRenderedPageBreak/>
        <w:t>Title of Application</w:t>
      </w:r>
    </w:p>
    <w:p w14:paraId="23AE6423" w14:textId="5C07F32E" w:rsidR="0079290E" w:rsidRPr="0079290E" w:rsidRDefault="00E7192F" w:rsidP="0079290E">
      <w:pPr>
        <w:rPr>
          <w:rFonts w:eastAsiaTheme="majorEastAsia" w:cstheme="majorBidi"/>
          <w:b/>
          <w:bCs/>
        </w:rPr>
      </w:pPr>
      <w:proofErr w:type="gramStart"/>
      <w:r>
        <w:t>I</w:t>
      </w:r>
      <w:r w:rsidRPr="00E7192F">
        <w:t>mplantable loop recorders</w:t>
      </w:r>
      <w:r>
        <w:t xml:space="preserve"> (ILR)</w:t>
      </w:r>
      <w:r w:rsidRPr="00E7192F">
        <w:t xml:space="preserve"> for diagnosis</w:t>
      </w:r>
      <w:r w:rsidR="008373EC">
        <w:t xml:space="preserve"> </w:t>
      </w:r>
      <w:r w:rsidRPr="00E7192F">
        <w:t>of atrial fibrillation</w:t>
      </w:r>
      <w:r>
        <w:t xml:space="preserve"> (AF)</w:t>
      </w:r>
      <w:r w:rsidRPr="00E7192F">
        <w:t xml:space="preserve"> in cryptogenic stroke</w:t>
      </w:r>
      <w:r w:rsidR="00104D6B">
        <w:t xml:space="preserve"> (CS)</w:t>
      </w:r>
      <w:r>
        <w:t>.</w:t>
      </w:r>
      <w:proofErr w:type="gramEnd"/>
    </w:p>
    <w:p w14:paraId="5FED52FC" w14:textId="74445D31" w:rsidR="00BC4EFE" w:rsidRPr="00BC4EFE" w:rsidRDefault="00BC4EFE" w:rsidP="0079290E">
      <w:pPr>
        <w:pStyle w:val="Heading1"/>
      </w:pPr>
      <w:r w:rsidRPr="00BC4EFE">
        <w:t>Purpose of application</w:t>
      </w:r>
    </w:p>
    <w:p w14:paraId="740E2FA9" w14:textId="7757EA5D" w:rsidR="0029480C" w:rsidRDefault="00BC4EFE" w:rsidP="00D27BD8">
      <w:pPr>
        <w:pStyle w:val="Quote"/>
      </w:pPr>
      <w:r w:rsidRPr="00DF26D4">
        <w:t>Please indicate the rationale for the application and provide one abstract or systematic review that will provide background.</w:t>
      </w:r>
    </w:p>
    <w:p w14:paraId="2D807B8A" w14:textId="7CAFA9AC" w:rsidR="009E6D4C" w:rsidRDefault="009F15BB" w:rsidP="009F15BB">
      <w:r>
        <w:t xml:space="preserve">This application requests </w:t>
      </w:r>
      <w:r w:rsidR="00D760F3">
        <w:t>two</w:t>
      </w:r>
      <w:r>
        <w:t xml:space="preserve"> new MBS item</w:t>
      </w:r>
      <w:r w:rsidR="009E6D4C">
        <w:t>s</w:t>
      </w:r>
      <w:r>
        <w:t xml:space="preserve"> for ILRs for use in patien</w:t>
      </w:r>
      <w:r w:rsidRPr="00DD3D86">
        <w:t>ts</w:t>
      </w:r>
      <w:r w:rsidR="00165BE2">
        <w:t xml:space="preserve"> with CS and </w:t>
      </w:r>
      <w:r w:rsidRPr="00DD3D86">
        <w:t xml:space="preserve">suspected </w:t>
      </w:r>
      <w:r>
        <w:t>AF</w:t>
      </w:r>
      <w:r w:rsidR="009E6D4C">
        <w:t>:</w:t>
      </w:r>
    </w:p>
    <w:p w14:paraId="1DC11F2B" w14:textId="161BD0FF" w:rsidR="009E6D4C" w:rsidRDefault="009E6D4C" w:rsidP="009E6D4C">
      <w:pPr>
        <w:pStyle w:val="ListParagraph"/>
        <w:numPr>
          <w:ilvl w:val="0"/>
          <w:numId w:val="16"/>
        </w:numPr>
      </w:pPr>
      <w:r>
        <w:t>Insertion of ILR device (equivalent to MBS item 38285 for the existing syncope indication)</w:t>
      </w:r>
      <w:r w:rsidRPr="00DD3D86">
        <w:t xml:space="preserve"> </w:t>
      </w:r>
      <w:r>
        <w:t xml:space="preserve"> </w:t>
      </w:r>
    </w:p>
    <w:p w14:paraId="0645A715" w14:textId="7A0D3101" w:rsidR="009F15BB" w:rsidRDefault="009E6D4C" w:rsidP="00235DA8">
      <w:pPr>
        <w:pStyle w:val="ListParagraph"/>
        <w:numPr>
          <w:ilvl w:val="0"/>
          <w:numId w:val="16"/>
        </w:numPr>
        <w:ind w:left="714" w:hanging="357"/>
      </w:pPr>
      <w:r>
        <w:t>Follow-up consultation (equivalent to MBS item 11722 for the existing syncope indication)</w:t>
      </w:r>
      <w:r w:rsidR="009F15BB" w:rsidRPr="00DD3D86">
        <w:t xml:space="preserve"> </w:t>
      </w:r>
      <w:r w:rsidR="00D760F3">
        <w:t xml:space="preserve"> </w:t>
      </w:r>
    </w:p>
    <w:p w14:paraId="50545E8F" w14:textId="77777777" w:rsidR="00D50812" w:rsidRPr="00D50812" w:rsidRDefault="00D50812" w:rsidP="00D50812">
      <w:pPr>
        <w:spacing w:before="200"/>
        <w:rPr>
          <w:i/>
        </w:rPr>
      </w:pPr>
      <w:r w:rsidRPr="00D50812">
        <w:rPr>
          <w:i/>
        </w:rPr>
        <w:t>Summary of application rationale</w:t>
      </w:r>
    </w:p>
    <w:p w14:paraId="4FBC6B64" w14:textId="77777777" w:rsidR="00D50812" w:rsidRDefault="00D50812" w:rsidP="00D50812">
      <w:r>
        <w:t>Ischemic stroke is a major cause of prolonged disability in adults with significant cost burdens. Understanding the underlying cause of these strokes is important to optimise patient management, and in particular, to minimise the risk of further strokes. However, in approximately one third of this patient population, the underlying cause of stroke remains undetermined, despite multiple investigations. These patients are diagnosed with cryptogenic stroke (CS), i.e. ischaemic stroke of obscure or unknown origin.</w:t>
      </w:r>
    </w:p>
    <w:p w14:paraId="0A70B432" w14:textId="77777777" w:rsidR="00D50812" w:rsidRDefault="00D50812" w:rsidP="00D50812">
      <w:r>
        <w:t xml:space="preserve">Atrial fibrillation (AF) is a common cardiac arrhythmia which significantly increases a person’s risk of stroke. Studies show that between 15-38% of patients with ischaemic stroke will have AF. The true proportion may be even higher because of difficulties in detecting asymptomatic and intermittent AF. Under-detected AF therefore remains problematic. </w:t>
      </w:r>
    </w:p>
    <w:p w14:paraId="20BDA5FA" w14:textId="77777777" w:rsidR="00D50812" w:rsidRDefault="00D50812" w:rsidP="00D50812">
      <w:r>
        <w:t>The implications of detecting AF in CS are significant because it alters the treatment strategy. The superiority of anticoagulation compared to antiplatelet therapy in reducing stroke recurrence in patients with AF is well established.</w:t>
      </w:r>
    </w:p>
    <w:p w14:paraId="2CE3ED1C" w14:textId="77777777" w:rsidR="00D50812" w:rsidRDefault="00D50812">
      <w:pPr>
        <w:jc w:val="left"/>
      </w:pPr>
      <w:r>
        <w:br w:type="page"/>
      </w:r>
    </w:p>
    <w:p w14:paraId="26952A0F" w14:textId="308D041F" w:rsidR="00D50812" w:rsidRDefault="00D50812" w:rsidP="00D50812">
      <w:r>
        <w:lastRenderedPageBreak/>
        <w:t xml:space="preserve">Several short-term and mid- to long-term monitoring strategies exist for detection of AF in patients. Because of the difficulty in detecting asymptomatic and intermittent AF by conventional tests (e.g. telemetry, 24-hour ambulatory </w:t>
      </w:r>
      <w:proofErr w:type="spellStart"/>
      <w:r>
        <w:t>Holter</w:t>
      </w:r>
      <w:proofErr w:type="spellEnd"/>
      <w:r>
        <w:t xml:space="preserve"> monitoring), and compliance issues of longer external monitoring, long-term continuous monitoring with an implantable loop recorder (ILR) is proposed to optimise AF detection and consequently improve stroke secondary prevention and patient outcomes.</w:t>
      </w:r>
    </w:p>
    <w:p w14:paraId="437B4ACE" w14:textId="77777777" w:rsidR="00D50812" w:rsidRDefault="00D50812" w:rsidP="00D50812">
      <w:r>
        <w:t>Therefore, this application will propose that ILRs will detect AF as the underlying cause of stroke and thereby improve outcomes via improved management.</w:t>
      </w:r>
    </w:p>
    <w:p w14:paraId="6BF19401" w14:textId="5C68A4EB" w:rsidR="00D50812" w:rsidRDefault="00D50812" w:rsidP="00D50812">
      <w:r>
        <w:t xml:space="preserve">It should be noted that in alignment with feedback from the PASC, the term “cryptogenic” is considered an </w:t>
      </w:r>
      <w:proofErr w:type="spellStart"/>
      <w:r>
        <w:t>outdated</w:t>
      </w:r>
      <w:proofErr w:type="spellEnd"/>
      <w:r>
        <w:t xml:space="preserve"> term, the current accepted term is ESUS – Embolic Stroke of Undetermined Source. This new term, ESUS, will be used in place of cryptogenic stroke in the final submission.</w:t>
      </w:r>
    </w:p>
    <w:p w14:paraId="36AEBB7D" w14:textId="2DC7DC08" w:rsidR="00D50812" w:rsidRDefault="00D50812" w:rsidP="00D50812">
      <w:r>
        <w:t>Moreover, the DRAFT Clinical Guidelines for Stroke Management (2017)</w:t>
      </w:r>
      <w:r>
        <w:rPr>
          <w:rStyle w:val="FootnoteReference"/>
        </w:rPr>
        <w:footnoteReference w:id="1"/>
      </w:r>
      <w:r>
        <w:t>, under 6.3 – Cardiac investigations, makes a Strong Recommendation – For patients with embolic stroke of uncertain source, longer term ECG monitoring (external or implantable) should be used (</w:t>
      </w:r>
      <w:proofErr w:type="spellStart"/>
      <w:r>
        <w:t>Afzal</w:t>
      </w:r>
      <w:proofErr w:type="spellEnd"/>
      <w:r>
        <w:t xml:space="preserve"> et al 2015[76]; </w:t>
      </w:r>
      <w:proofErr w:type="spellStart"/>
      <w:r>
        <w:t>Kamel</w:t>
      </w:r>
      <w:proofErr w:type="spellEnd"/>
      <w:r>
        <w:t xml:space="preserve"> et al 2013[82]).</w:t>
      </w:r>
    </w:p>
    <w:p w14:paraId="12D84A28" w14:textId="77777777" w:rsidR="00235DA8" w:rsidRDefault="00235DA8" w:rsidP="00235DA8">
      <w:pPr>
        <w:spacing w:before="200"/>
        <w:rPr>
          <w:i/>
        </w:rPr>
      </w:pPr>
    </w:p>
    <w:p w14:paraId="68BD76A1" w14:textId="77777777" w:rsidR="00235DA8" w:rsidRDefault="00235DA8">
      <w:pPr>
        <w:jc w:val="left"/>
        <w:rPr>
          <w:i/>
        </w:rPr>
      </w:pPr>
      <w:r>
        <w:rPr>
          <w:i/>
        </w:rPr>
        <w:br w:type="page"/>
      </w:r>
    </w:p>
    <w:p w14:paraId="392783BB" w14:textId="40E99F06" w:rsidR="009F15BB" w:rsidRPr="00DD5FDD" w:rsidRDefault="009F15BB" w:rsidP="00235DA8">
      <w:pPr>
        <w:spacing w:before="200"/>
        <w:rPr>
          <w:i/>
        </w:rPr>
      </w:pPr>
      <w:r w:rsidRPr="00DD5FDD">
        <w:rPr>
          <w:i/>
        </w:rPr>
        <w:lastRenderedPageBreak/>
        <w:t>What is cryptogenic stroke</w:t>
      </w:r>
      <w:r>
        <w:rPr>
          <w:i/>
        </w:rPr>
        <w:t xml:space="preserve">? </w:t>
      </w:r>
    </w:p>
    <w:p w14:paraId="3BF57221" w14:textId="5680A860" w:rsidR="009F15BB" w:rsidRDefault="009F15BB" w:rsidP="009F15BB">
      <w:r>
        <w:t>Identifying an underlying stroke mechanism is crucial in secondary prevention of ischaemic stroke (</w:t>
      </w:r>
      <w:proofErr w:type="spellStart"/>
      <w:r>
        <w:t>Yaghi</w:t>
      </w:r>
      <w:proofErr w:type="spellEnd"/>
      <w:r>
        <w:t xml:space="preserve"> &amp; </w:t>
      </w:r>
      <w:proofErr w:type="spellStart"/>
      <w:r>
        <w:t>Elkind</w:t>
      </w:r>
      <w:proofErr w:type="spellEnd"/>
      <w:r>
        <w:t>, 2014). However, in 25-40% of ischaemic strokes no stroke aetiology is id</w:t>
      </w:r>
      <w:r w:rsidR="00BF7B43">
        <w:t>entified (</w:t>
      </w:r>
      <w:r>
        <w:t xml:space="preserve">Andrade, Field &amp; </w:t>
      </w:r>
      <w:proofErr w:type="spellStart"/>
      <w:r>
        <w:t>Khairy</w:t>
      </w:r>
      <w:proofErr w:type="spellEnd"/>
      <w:r>
        <w:t>, 2015;</w:t>
      </w:r>
      <w:r w:rsidR="00BF7B43">
        <w:t xml:space="preserve"> Sacco et al., 1989; Petty et al., 1999; </w:t>
      </w:r>
      <w:proofErr w:type="spellStart"/>
      <w:r w:rsidR="00BF7B43">
        <w:t>Kolominsky-Rabas</w:t>
      </w:r>
      <w:proofErr w:type="spellEnd"/>
      <w:r w:rsidR="00BF7B43">
        <w:t xml:space="preserve"> et al., 2001; Lee et </w:t>
      </w:r>
      <w:r w:rsidR="00E97A85">
        <w:t>al., 2001; Liao et al., 2007; Li et al. 2015</w:t>
      </w:r>
      <w:r>
        <w:t xml:space="preserve">). The term used to describe these ischaemic strokes of unknown or obscure mechanism is cryptogenic stroke (CS) (Andrade, Field &amp; </w:t>
      </w:r>
      <w:proofErr w:type="spellStart"/>
      <w:r>
        <w:t>Khairy</w:t>
      </w:r>
      <w:proofErr w:type="spellEnd"/>
      <w:r>
        <w:t xml:space="preserve">, 2015). More specifically, CS is defined as cerebral infarction that, despite extensive evaluation, is not attributable to a definite source of </w:t>
      </w:r>
      <w:proofErr w:type="spellStart"/>
      <w:r>
        <w:t>cardioembolism</w:t>
      </w:r>
      <w:proofErr w:type="spellEnd"/>
      <w:r>
        <w:t xml:space="preserve">, large artery atherosclerosis, or small vessel disease (lacunar infarct) (Andrade, Field &amp; </w:t>
      </w:r>
      <w:proofErr w:type="spellStart"/>
      <w:r>
        <w:t>Khairy</w:t>
      </w:r>
      <w:proofErr w:type="spellEnd"/>
      <w:r>
        <w:t>, 2015; Adams et al., 1993). The diagnosis of CS is therefore a diagnosis of exclusion based on thorough investigation for other potential aetiologies (</w:t>
      </w:r>
      <w:proofErr w:type="spellStart"/>
      <w:r w:rsidR="00744D11">
        <w:t>Prabhakaran</w:t>
      </w:r>
      <w:proofErr w:type="spellEnd"/>
      <w:r w:rsidR="00744D11">
        <w:t xml:space="preserve"> and </w:t>
      </w:r>
      <w:proofErr w:type="spellStart"/>
      <w:r w:rsidR="00744D11">
        <w:t>Elkind</w:t>
      </w:r>
      <w:proofErr w:type="spellEnd"/>
      <w:r w:rsidR="00744D11">
        <w:t>, 2015</w:t>
      </w:r>
      <w:r>
        <w:t>). Other terms used in the lite</w:t>
      </w:r>
      <w:r w:rsidR="00744D11">
        <w:t xml:space="preserve">rature to describe CS include </w:t>
      </w:r>
      <w:proofErr w:type="spellStart"/>
      <w:r w:rsidR="00744D11">
        <w:t>c</w:t>
      </w:r>
      <w:r>
        <w:t>r</w:t>
      </w:r>
      <w:r w:rsidR="00744D11">
        <w:t>y</w:t>
      </w:r>
      <w:r>
        <w:t>ptogenous</w:t>
      </w:r>
      <w:proofErr w:type="spellEnd"/>
      <w:r>
        <w:t xml:space="preserve"> stroke and infarcts of unknown, uncertain, or undetermined cause. Embolic stroke of undetermined source (ESUS) is also a related term which describes a subset of CS.</w:t>
      </w:r>
    </w:p>
    <w:p w14:paraId="5228239E" w14:textId="00E3DEDE" w:rsidR="009F15BB" w:rsidRDefault="009F15BB" w:rsidP="009F15BB">
      <w:pPr>
        <w:rPr>
          <w:i/>
        </w:rPr>
      </w:pPr>
      <w:r w:rsidRPr="00DD5FDD">
        <w:rPr>
          <w:i/>
        </w:rPr>
        <w:t>What is the underlying mechanism of cryptogenic stroke?</w:t>
      </w:r>
    </w:p>
    <w:p w14:paraId="68EB571D" w14:textId="48C4BC34" w:rsidR="009F15BB" w:rsidRDefault="009F15BB" w:rsidP="009F15BB">
      <w:r>
        <w:t xml:space="preserve">Why the underlying mechanism of CS is not determined could be due to one of three reasons: the inciting mechanism for </w:t>
      </w:r>
      <w:proofErr w:type="spellStart"/>
      <w:r>
        <w:t>ischaemia</w:t>
      </w:r>
      <w:proofErr w:type="spellEnd"/>
      <w:r>
        <w:t xml:space="preserve"> is transitory or reversible; the investigations performed did not explore all possible aetiologies; or the cause remains truly unknown (Andrade, Field &amp; </w:t>
      </w:r>
      <w:proofErr w:type="spellStart"/>
      <w:r>
        <w:t>Khairy</w:t>
      </w:r>
      <w:proofErr w:type="spellEnd"/>
      <w:r>
        <w:t xml:space="preserve">, 2015). The Cryptogenic Stroke/ESUS International Working Group propose that CS may be caused by occult arterial sources of thromboembolism, paroxysmal atrial fibrillation (PAF), patent foramen </w:t>
      </w:r>
      <w:proofErr w:type="spellStart"/>
      <w:r>
        <w:t>ovale</w:t>
      </w:r>
      <w:proofErr w:type="spellEnd"/>
      <w:r>
        <w:t xml:space="preserve"> (PFO), or minor-risk cardiac structural abnormalities (Li et al.</w:t>
      </w:r>
      <w:r w:rsidR="0091498F">
        <w:t>,</w:t>
      </w:r>
      <w:r>
        <w:t xml:space="preserve"> 2015</w:t>
      </w:r>
      <w:r w:rsidR="008D6CB8">
        <w:t>, Hart et al.</w:t>
      </w:r>
      <w:r w:rsidR="0091498F">
        <w:t>,</w:t>
      </w:r>
      <w:r w:rsidR="008D6CB8">
        <w:t xml:space="preserve"> </w:t>
      </w:r>
      <w:r w:rsidR="0091498F">
        <w:t xml:space="preserve">2014; </w:t>
      </w:r>
      <w:proofErr w:type="spellStart"/>
      <w:r w:rsidR="0091498F">
        <w:t>Ntaios</w:t>
      </w:r>
      <w:proofErr w:type="spellEnd"/>
      <w:r w:rsidR="0091498F">
        <w:t xml:space="preserve"> et al., 2015; </w:t>
      </w:r>
      <w:proofErr w:type="spellStart"/>
      <w:r w:rsidR="0091498F">
        <w:t>Amarenco</w:t>
      </w:r>
      <w:proofErr w:type="spellEnd"/>
      <w:r w:rsidR="0091498F">
        <w:t xml:space="preserve"> et al., 2009</w:t>
      </w:r>
      <w:r>
        <w:t xml:space="preserve">). </w:t>
      </w:r>
    </w:p>
    <w:p w14:paraId="2779D0E6" w14:textId="77777777" w:rsidR="009F15BB" w:rsidRDefault="009F15BB" w:rsidP="009F15BB">
      <w:pPr>
        <w:rPr>
          <w:i/>
        </w:rPr>
      </w:pPr>
      <w:r>
        <w:rPr>
          <w:i/>
        </w:rPr>
        <w:t>Atrial fibrillation</w:t>
      </w:r>
      <w:r w:rsidRPr="00DD5FDD">
        <w:rPr>
          <w:i/>
        </w:rPr>
        <w:t xml:space="preserve"> and stroke</w:t>
      </w:r>
    </w:p>
    <w:p w14:paraId="074FC779" w14:textId="5BE2586E" w:rsidR="009F15BB" w:rsidRPr="00CD4EF9" w:rsidRDefault="009F15BB" w:rsidP="009F15BB">
      <w:r>
        <w:t xml:space="preserve">Atrial fibrillation (AF) is a common cardiac arrhythmia, and independent of other risk factors, confers a 5- to 6- </w:t>
      </w:r>
      <w:r w:rsidR="00CE607B">
        <w:t>fold increased risk of ischaemic</w:t>
      </w:r>
      <w:r>
        <w:t xml:space="preserve"> stroke (</w:t>
      </w:r>
      <w:proofErr w:type="spellStart"/>
      <w:r>
        <w:t>Friberg</w:t>
      </w:r>
      <w:proofErr w:type="spellEnd"/>
      <w:r>
        <w:t xml:space="preserve"> et al.</w:t>
      </w:r>
      <w:r w:rsidR="0057504D">
        <w:t>,</w:t>
      </w:r>
      <w:r>
        <w:t xml:space="preserve"> 2014</w:t>
      </w:r>
      <w:r w:rsidR="0057504D">
        <w:t>; Romero &amp; Wolf, 2013;</w:t>
      </w:r>
      <w:r>
        <w:t xml:space="preserve"> Coppens</w:t>
      </w:r>
      <w:r w:rsidR="0057504D">
        <w:t xml:space="preserve"> et al., 2013; Wolf, Abbott &amp; </w:t>
      </w:r>
      <w:proofErr w:type="spellStart"/>
      <w:r w:rsidR="0057504D">
        <w:t>Kannel</w:t>
      </w:r>
      <w:proofErr w:type="spellEnd"/>
      <w:r w:rsidR="0057504D">
        <w:t>, 1991</w:t>
      </w:r>
      <w:r>
        <w:t>). A prevalence of 15-38% has been reported among patients with ischaemic stroke (</w:t>
      </w:r>
      <w:proofErr w:type="spellStart"/>
      <w:r w:rsidR="00C1716C">
        <w:t>Friberg</w:t>
      </w:r>
      <w:proofErr w:type="spellEnd"/>
      <w:r w:rsidR="00C1716C">
        <w:t xml:space="preserve"> et al., 2014; </w:t>
      </w:r>
      <w:proofErr w:type="spellStart"/>
      <w:r w:rsidR="00C1716C" w:rsidRPr="00C1716C">
        <w:t>Asberg</w:t>
      </w:r>
      <w:proofErr w:type="spellEnd"/>
      <w:r w:rsidR="00C1716C">
        <w:t xml:space="preserve"> et al., 2010; </w:t>
      </w:r>
      <w:r w:rsidR="00260A5B">
        <w:t xml:space="preserve">Wolf, Abbott &amp; </w:t>
      </w:r>
      <w:proofErr w:type="spellStart"/>
      <w:r w:rsidR="00260A5B">
        <w:t>Kannel</w:t>
      </w:r>
      <w:proofErr w:type="spellEnd"/>
      <w:r w:rsidR="00260A5B">
        <w:t>, 1987</w:t>
      </w:r>
      <w:r w:rsidR="00C1716C">
        <w:t xml:space="preserve">; </w:t>
      </w:r>
      <w:proofErr w:type="spellStart"/>
      <w:r w:rsidR="00C1716C" w:rsidRPr="00C1716C">
        <w:t>Thygesen</w:t>
      </w:r>
      <w:proofErr w:type="spellEnd"/>
      <w:r w:rsidR="00C1716C">
        <w:t xml:space="preserve"> et al., 2009; </w:t>
      </w:r>
      <w:r w:rsidR="00C1716C" w:rsidRPr="00C1716C">
        <w:t>Hannon</w:t>
      </w:r>
      <w:r w:rsidR="00C1716C">
        <w:t xml:space="preserve"> et al. 2010; </w:t>
      </w:r>
      <w:proofErr w:type="spellStart"/>
      <w:r w:rsidR="00C1716C" w:rsidRPr="00C1716C">
        <w:t>Björck</w:t>
      </w:r>
      <w:proofErr w:type="spellEnd"/>
      <w:r w:rsidR="00C1716C">
        <w:t xml:space="preserve"> et al., 2013</w:t>
      </w:r>
      <w:r>
        <w:t>) however the true proportion may be even higher because of difficulties detecting intermittent, silent AF (</w:t>
      </w:r>
      <w:proofErr w:type="spellStart"/>
      <w:r w:rsidR="00662F41">
        <w:t>Friberg</w:t>
      </w:r>
      <w:proofErr w:type="spellEnd"/>
      <w:r w:rsidR="00662F41">
        <w:t xml:space="preserve"> et al., 2014; </w:t>
      </w:r>
      <w:proofErr w:type="spellStart"/>
      <w:r w:rsidR="00662F41" w:rsidRPr="00662F41">
        <w:t>Engdahl</w:t>
      </w:r>
      <w:proofErr w:type="spellEnd"/>
      <w:r w:rsidR="00662F41">
        <w:t xml:space="preserve"> et al., 2013; </w:t>
      </w:r>
      <w:proofErr w:type="spellStart"/>
      <w:r w:rsidR="00662F41" w:rsidRPr="00662F41">
        <w:t>Doliwa</w:t>
      </w:r>
      <w:proofErr w:type="spellEnd"/>
      <w:r w:rsidR="00662F41" w:rsidRPr="00662F41">
        <w:t xml:space="preserve"> </w:t>
      </w:r>
      <w:proofErr w:type="spellStart"/>
      <w:r w:rsidR="00662F41" w:rsidRPr="00662F41">
        <w:t>Sobocinski</w:t>
      </w:r>
      <w:proofErr w:type="spellEnd"/>
      <w:r w:rsidR="00662F41">
        <w:t xml:space="preserve"> et al., 2012; </w:t>
      </w:r>
      <w:proofErr w:type="spellStart"/>
      <w:r w:rsidR="00662F41">
        <w:t>Shintani</w:t>
      </w:r>
      <w:proofErr w:type="spellEnd"/>
      <w:r w:rsidR="00662F41">
        <w:t xml:space="preserve">, </w:t>
      </w:r>
      <w:proofErr w:type="spellStart"/>
      <w:r w:rsidR="00662F41">
        <w:t>Shiigai</w:t>
      </w:r>
      <w:proofErr w:type="spellEnd"/>
      <w:r w:rsidR="00662F41">
        <w:t xml:space="preserve"> &amp; </w:t>
      </w:r>
      <w:proofErr w:type="spellStart"/>
      <w:r w:rsidR="00662F41" w:rsidRPr="00662F41">
        <w:t>Arinami</w:t>
      </w:r>
      <w:proofErr w:type="spellEnd"/>
      <w:r w:rsidR="00662F41">
        <w:t>, 1998)</w:t>
      </w:r>
      <w:r>
        <w:t>. These intermittent episodes (PAF is defined as a disease of episodic clusters) combined with an unreliable symptom profile (there is poor correlation between symptoms and AF episodes) means under-detection remains problematic (</w:t>
      </w:r>
      <w:r w:rsidR="00581A8E">
        <w:t xml:space="preserve">Andrade, Field &amp; </w:t>
      </w:r>
      <w:proofErr w:type="spellStart"/>
      <w:r w:rsidR="00581A8E">
        <w:t>Khairy</w:t>
      </w:r>
      <w:proofErr w:type="spellEnd"/>
      <w:r w:rsidR="00581A8E">
        <w:t xml:space="preserve">, 2015; Page et al., </w:t>
      </w:r>
      <w:r w:rsidR="00581A8E" w:rsidRPr="00581A8E">
        <w:t xml:space="preserve">1994; </w:t>
      </w:r>
      <w:proofErr w:type="spellStart"/>
      <w:r w:rsidR="00581A8E" w:rsidRPr="00581A8E">
        <w:t>Kottkamp</w:t>
      </w:r>
      <w:proofErr w:type="spellEnd"/>
      <w:r w:rsidR="00581A8E" w:rsidRPr="00581A8E">
        <w:t xml:space="preserve"> et al., 2004; </w:t>
      </w:r>
      <w:proofErr w:type="spellStart"/>
      <w:r w:rsidR="00581A8E" w:rsidRPr="00581A8E">
        <w:t>Piorkowski</w:t>
      </w:r>
      <w:proofErr w:type="spellEnd"/>
      <w:r w:rsidR="00581A8E" w:rsidRPr="00581A8E">
        <w:t xml:space="preserve"> et al., 2005; </w:t>
      </w:r>
      <w:proofErr w:type="spellStart"/>
      <w:r w:rsidR="00581A8E" w:rsidRPr="00581A8E">
        <w:t>Strickberg</w:t>
      </w:r>
      <w:r w:rsidR="00581A8E">
        <w:t>er</w:t>
      </w:r>
      <w:proofErr w:type="spellEnd"/>
      <w:r w:rsidR="00581A8E">
        <w:t xml:space="preserve"> et al., 2005; Ziegler, Koehler &amp; </w:t>
      </w:r>
      <w:proofErr w:type="spellStart"/>
      <w:r w:rsidR="00581A8E">
        <w:t>Mehra</w:t>
      </w:r>
      <w:proofErr w:type="spellEnd"/>
      <w:r w:rsidR="00581A8E" w:rsidRPr="00581A8E">
        <w:t xml:space="preserve"> 2006; Cotter et al., 2013; </w:t>
      </w:r>
      <w:proofErr w:type="spellStart"/>
      <w:r w:rsidR="00581A8E" w:rsidRPr="00581A8E">
        <w:t>Verma</w:t>
      </w:r>
      <w:proofErr w:type="spellEnd"/>
      <w:r w:rsidR="00581A8E" w:rsidRPr="00581A8E">
        <w:t xml:space="preserve"> et al., 2013</w:t>
      </w:r>
      <w:r>
        <w:t>).</w:t>
      </w:r>
    </w:p>
    <w:p w14:paraId="5F04E3C1" w14:textId="77777777" w:rsidR="006A407A" w:rsidRDefault="006A407A">
      <w:pPr>
        <w:jc w:val="left"/>
        <w:rPr>
          <w:i/>
        </w:rPr>
      </w:pPr>
      <w:r>
        <w:rPr>
          <w:i/>
        </w:rPr>
        <w:br w:type="page"/>
      </w:r>
    </w:p>
    <w:p w14:paraId="1AA41E1D" w14:textId="6D1523A2" w:rsidR="009F15BB" w:rsidRDefault="009F15BB" w:rsidP="009F15BB">
      <w:pPr>
        <w:rPr>
          <w:i/>
        </w:rPr>
      </w:pPr>
      <w:r w:rsidRPr="00DD5FDD">
        <w:rPr>
          <w:i/>
        </w:rPr>
        <w:lastRenderedPageBreak/>
        <w:t>What is</w:t>
      </w:r>
      <w:r>
        <w:rPr>
          <w:i/>
        </w:rPr>
        <w:t xml:space="preserve"> the implication of detecting atrial fibrillation</w:t>
      </w:r>
      <w:r w:rsidRPr="00DD5FDD">
        <w:rPr>
          <w:i/>
        </w:rPr>
        <w:t xml:space="preserve"> in cryptogenic stroke?</w:t>
      </w:r>
    </w:p>
    <w:p w14:paraId="2523F802" w14:textId="02501DB2" w:rsidR="009F15BB" w:rsidRDefault="009F15BB" w:rsidP="009F15BB">
      <w:r>
        <w:t>The implications of detecting AF in CS are significant because it alters the treatment strategy. In the absence of AF, the standard treatment for secondary prevention of stroke is antiplatelet therapy. When AF is present, antiplatelet therapy is only minimally effective (22% reduction in risk vs. placebo), and anticoagulation is strongly recommended (39-63% reduction in risk of stroke vs. antiplatelet therapy) (Gladstone</w:t>
      </w:r>
      <w:r w:rsidR="00262D1E">
        <w:t xml:space="preserve"> et al.,</w:t>
      </w:r>
      <w:r>
        <w:t xml:space="preserve"> 2014). </w:t>
      </w:r>
    </w:p>
    <w:p w14:paraId="3EAD8595" w14:textId="5F75317F" w:rsidR="00680E95" w:rsidRDefault="009F15BB" w:rsidP="00235DA8">
      <w:pPr>
        <w:keepNext/>
        <w:keepLines/>
      </w:pPr>
      <w:r>
        <w:t>The CHA</w:t>
      </w:r>
      <w:r w:rsidRPr="00F17CCB">
        <w:rPr>
          <w:vertAlign w:val="subscript"/>
        </w:rPr>
        <w:t>2</w:t>
      </w:r>
      <w:r>
        <w:t>DS</w:t>
      </w:r>
      <w:r w:rsidRPr="00F17CCB">
        <w:rPr>
          <w:vertAlign w:val="subscript"/>
        </w:rPr>
        <w:t>2</w:t>
      </w:r>
      <w:r>
        <w:t>-VAS</w:t>
      </w:r>
      <w:r w:rsidRPr="00F17CCB">
        <w:rPr>
          <w:vertAlign w:val="subscript"/>
        </w:rPr>
        <w:t>c</w:t>
      </w:r>
      <w:r>
        <w:rPr>
          <w:vertAlign w:val="subscript"/>
        </w:rPr>
        <w:t xml:space="preserve"> </w:t>
      </w:r>
      <w:r w:rsidR="00C45539">
        <w:t xml:space="preserve">scoring system </w:t>
      </w:r>
      <w:r>
        <w:t>(</w:t>
      </w:r>
      <w:r w:rsidR="00262D1E">
        <w:t>see Appendix 1</w:t>
      </w:r>
      <w:r w:rsidR="00F87673">
        <w:t>, Table 11</w:t>
      </w:r>
      <w:r>
        <w:t xml:space="preserve">), which </w:t>
      </w:r>
      <w:r w:rsidR="00C45539">
        <w:t xml:space="preserve">predicts </w:t>
      </w:r>
      <w:r>
        <w:t>stroke</w:t>
      </w:r>
      <w:r w:rsidR="00C45539">
        <w:t xml:space="preserve"> risk</w:t>
      </w:r>
      <w:r>
        <w:t xml:space="preserve"> in patients with AF</w:t>
      </w:r>
      <w:r w:rsidR="00C45539">
        <w:t xml:space="preserve"> and guides use of oral anticoagulant treatments</w:t>
      </w:r>
      <w:r>
        <w:t>, is widely used and has been recommended in key European and US guidelines (</w:t>
      </w:r>
      <w:proofErr w:type="spellStart"/>
      <w:r w:rsidR="00262D1E">
        <w:t>Camm</w:t>
      </w:r>
      <w:proofErr w:type="spellEnd"/>
      <w:r w:rsidR="00262D1E">
        <w:t xml:space="preserve"> et al., </w:t>
      </w:r>
      <w:r w:rsidRPr="00115C39">
        <w:t>2012</w:t>
      </w:r>
      <w:r>
        <w:t xml:space="preserve">; </w:t>
      </w:r>
      <w:r w:rsidRPr="00115C39">
        <w:t>January</w:t>
      </w:r>
      <w:r>
        <w:t xml:space="preserve"> et al.</w:t>
      </w:r>
      <w:r w:rsidR="00262D1E">
        <w:t>,</w:t>
      </w:r>
      <w:r>
        <w:t xml:space="preserve"> 2014; NICE</w:t>
      </w:r>
      <w:r w:rsidR="00262D1E">
        <w:t>,</w:t>
      </w:r>
      <w:r>
        <w:t xml:space="preserve"> 2014). According to CHA</w:t>
      </w:r>
      <w:r w:rsidRPr="00F17CCB">
        <w:rPr>
          <w:vertAlign w:val="subscript"/>
        </w:rPr>
        <w:t>2</w:t>
      </w:r>
      <w:r>
        <w:t>DS</w:t>
      </w:r>
      <w:r w:rsidRPr="00F17CCB">
        <w:rPr>
          <w:vertAlign w:val="subscript"/>
        </w:rPr>
        <w:t>2</w:t>
      </w:r>
      <w:r>
        <w:t>-VAS</w:t>
      </w:r>
      <w:r w:rsidRPr="00F17CCB">
        <w:rPr>
          <w:vertAlign w:val="subscript"/>
        </w:rPr>
        <w:t>c</w:t>
      </w:r>
      <w:r w:rsidRPr="000C375C">
        <w:t>,</w:t>
      </w:r>
      <w:r>
        <w:rPr>
          <w:vertAlign w:val="subscript"/>
        </w:rPr>
        <w:t xml:space="preserve"> </w:t>
      </w:r>
      <w:r>
        <w:t xml:space="preserve">a </w:t>
      </w:r>
      <w:r w:rsidRPr="000C375C">
        <w:t>patient who has AF and has experienced a prior stroke or TIA receives a score of 2. This score could be higher once the other risk factors in the tool are considered, however regardless</w:t>
      </w:r>
      <w:r>
        <w:t>,</w:t>
      </w:r>
      <w:r w:rsidRPr="000C375C">
        <w:t xml:space="preserve"> this score places the patient </w:t>
      </w:r>
      <w:r>
        <w:t>in the 2 and above group who are</w:t>
      </w:r>
      <w:r w:rsidRPr="000C375C">
        <w:t xml:space="preserve"> recommended</w:t>
      </w:r>
      <w:r>
        <w:t xml:space="preserve"> </w:t>
      </w:r>
      <w:r w:rsidRPr="000C375C">
        <w:t>to receive oral anticoagulation therapy (OAC) by The European Society of Cardiology (ESC), the National Institute for Health and Care Excellence (NICE), and the American Heart Association/American College of Cardiology/</w:t>
      </w:r>
      <w:r w:rsidRPr="000C375C">
        <w:rPr>
          <w:rFonts w:cs="Arial"/>
          <w:color w:val="252525"/>
          <w:shd w:val="clear" w:color="auto" w:fill="FFFFFF"/>
        </w:rPr>
        <w:t>Heart Rhythm Society (AHA/ACC/HRS)</w:t>
      </w:r>
      <w:r>
        <w:t xml:space="preserve"> </w:t>
      </w:r>
      <w:r w:rsidRPr="000C375C">
        <w:t>(</w:t>
      </w:r>
      <w:proofErr w:type="spellStart"/>
      <w:r w:rsidRPr="000C375C">
        <w:t>Camm</w:t>
      </w:r>
      <w:proofErr w:type="spellEnd"/>
      <w:r w:rsidRPr="000C375C">
        <w:t xml:space="preserve"> et al.</w:t>
      </w:r>
      <w:r w:rsidR="004E457C">
        <w:t>,</w:t>
      </w:r>
      <w:r w:rsidRPr="000C375C">
        <w:t xml:space="preserve"> 2012; January et al.</w:t>
      </w:r>
      <w:r w:rsidR="004E457C">
        <w:t>,</w:t>
      </w:r>
      <w:r w:rsidRPr="000C375C">
        <w:t xml:space="preserve"> 2014; NICE</w:t>
      </w:r>
      <w:r w:rsidR="004E457C">
        <w:t>,</w:t>
      </w:r>
      <w:r w:rsidRPr="000C375C">
        <w:t xml:space="preserve"> 2014). </w:t>
      </w:r>
      <w:r w:rsidR="00680E95" w:rsidRPr="00F2728B">
        <w:t>Notably, anticoagulation is strongly recommended regardless of whether the AF is paroxysmal or sustained, because the stroke risks are similar (</w:t>
      </w:r>
      <w:r w:rsidR="004E457C">
        <w:t xml:space="preserve">Gladstone et al., 2014; </w:t>
      </w:r>
      <w:proofErr w:type="spellStart"/>
      <w:r w:rsidR="004E457C">
        <w:t>Hohnloser</w:t>
      </w:r>
      <w:proofErr w:type="spellEnd"/>
      <w:r w:rsidR="004E457C">
        <w:t xml:space="preserve"> et al., 2007; Hart et al., 2000; The Boston Area Anticoagulation Trial for Atrial Fibrillation Investigators, 1990</w:t>
      </w:r>
      <w:r w:rsidR="00680E95" w:rsidRPr="00F2728B">
        <w:t>), and patients with either type of atrial fibrillation benefit from anticoagulation (</w:t>
      </w:r>
      <w:r w:rsidR="004E457C">
        <w:t xml:space="preserve">Gladstone et al., 2014; </w:t>
      </w:r>
      <w:proofErr w:type="spellStart"/>
      <w:r w:rsidR="004E457C">
        <w:t>Hohnloser</w:t>
      </w:r>
      <w:proofErr w:type="spellEnd"/>
      <w:r w:rsidR="004E457C">
        <w:t xml:space="preserve"> et al., 2007; Al-</w:t>
      </w:r>
      <w:proofErr w:type="spellStart"/>
      <w:r w:rsidR="004E457C">
        <w:t>Khatib</w:t>
      </w:r>
      <w:proofErr w:type="spellEnd"/>
      <w:r w:rsidR="004E457C">
        <w:t xml:space="preserve"> et al., 2013; Flaker et al., 2012).</w:t>
      </w:r>
    </w:p>
    <w:p w14:paraId="1DF7DF7C" w14:textId="4F7EBB89" w:rsidR="009F15BB" w:rsidRDefault="009F15BB" w:rsidP="0071773E">
      <w:r>
        <w:t>Consequently, if AF remains undetected in patients who have had CS, secondary prevention therapy is often suboptimal (</w:t>
      </w:r>
      <w:r w:rsidR="00AC5EFA" w:rsidRPr="00AC5EFA">
        <w:t xml:space="preserve">Andrade, Field &amp; </w:t>
      </w:r>
      <w:proofErr w:type="spellStart"/>
      <w:r w:rsidR="00AC5EFA" w:rsidRPr="00AC5EFA">
        <w:t>Khairy</w:t>
      </w:r>
      <w:proofErr w:type="spellEnd"/>
      <w:r w:rsidR="00AC5EFA" w:rsidRPr="00AC5EFA">
        <w:t>, 2015</w:t>
      </w:r>
      <w:r>
        <w:t>).</w:t>
      </w:r>
    </w:p>
    <w:p w14:paraId="49455DF4" w14:textId="4BED600B" w:rsidR="009F15BB" w:rsidRDefault="00F2728B" w:rsidP="0071773E">
      <w:r>
        <w:t xml:space="preserve">Regarding outcomes of patients with </w:t>
      </w:r>
      <w:r w:rsidR="00680E95">
        <w:t>CS</w:t>
      </w:r>
      <w:r>
        <w:t xml:space="preserve">, </w:t>
      </w:r>
      <w:r w:rsidR="005F6DE4">
        <w:t xml:space="preserve">Li </w:t>
      </w:r>
      <w:r w:rsidR="00680E95">
        <w:t>et al. (2015)</w:t>
      </w:r>
      <w:r w:rsidR="00D8787B">
        <w:t xml:space="preserve"> </w:t>
      </w:r>
      <w:r w:rsidR="00680E95">
        <w:t>in their large population-based study found that compared with non-</w:t>
      </w:r>
      <w:proofErr w:type="spellStart"/>
      <w:r w:rsidR="00680E95">
        <w:t>cardioembolic</w:t>
      </w:r>
      <w:proofErr w:type="spellEnd"/>
      <w:r w:rsidR="00680E95">
        <w:t xml:space="preserve"> ischaemic stroke, a similar proportion of those with CS died or were dependent at 6 months (CS 23% vs. 27%; p=0.26). In addition, between CS and non-</w:t>
      </w:r>
      <w:proofErr w:type="spellStart"/>
      <w:r w:rsidR="00680E95">
        <w:t>cardioembolic</w:t>
      </w:r>
      <w:proofErr w:type="spellEnd"/>
      <w:r w:rsidR="00680E95">
        <w:t xml:space="preserve"> ischaemic stroke the 10-year risks of death, vascular death, or any recurrent stroke were also comparable. </w:t>
      </w:r>
      <w:r w:rsidR="00D8787B">
        <w:t>Finally, t</w:t>
      </w:r>
      <w:r w:rsidR="00680E95">
        <w:t>he</w:t>
      </w:r>
      <w:r w:rsidR="00D8787B">
        <w:t xml:space="preserve"> risks</w:t>
      </w:r>
      <w:r w:rsidR="00680E95">
        <w:t xml:space="preserve"> of recurrent ischaemic stroke did not differ between stroke subtype (CS, small vessel disease, large vessel disease, and </w:t>
      </w:r>
      <w:proofErr w:type="spellStart"/>
      <w:r w:rsidR="00680E95">
        <w:t>cardioembolic</w:t>
      </w:r>
      <w:proofErr w:type="spellEnd"/>
      <w:r w:rsidR="00680E95">
        <w:t>)</w:t>
      </w:r>
      <w:r w:rsidR="00AC5EFA">
        <w:t xml:space="preserve"> (Li et al., 2015)</w:t>
      </w:r>
      <w:r w:rsidR="00680E95">
        <w:t xml:space="preserve">. </w:t>
      </w:r>
    </w:p>
    <w:p w14:paraId="0532458B" w14:textId="0AFE869A" w:rsidR="009F15BB" w:rsidRDefault="00C521B5" w:rsidP="009F15BB">
      <w:pPr>
        <w:rPr>
          <w:i/>
        </w:rPr>
      </w:pPr>
      <w:r>
        <w:rPr>
          <w:i/>
        </w:rPr>
        <w:t>What options are there to detect</w:t>
      </w:r>
      <w:r w:rsidR="00B96CDC">
        <w:rPr>
          <w:i/>
        </w:rPr>
        <w:t xml:space="preserve"> </w:t>
      </w:r>
      <w:r>
        <w:rPr>
          <w:i/>
        </w:rPr>
        <w:t>atrial fibrillation in patients with cryptogenic stroke</w:t>
      </w:r>
      <w:r w:rsidR="009F15BB" w:rsidRPr="00DD5FDD">
        <w:rPr>
          <w:i/>
        </w:rPr>
        <w:t>? How do these compare?</w:t>
      </w:r>
    </w:p>
    <w:p w14:paraId="1AA054F8" w14:textId="5BDFAAA7" w:rsidR="00DA12BB" w:rsidRDefault="00B000EB" w:rsidP="00DA12BB">
      <w:r>
        <w:t>Options currently available in Australia for detecting AF in patients with</w:t>
      </w:r>
      <w:r w:rsidR="00D30208">
        <w:t xml:space="preserve"> CS</w:t>
      </w:r>
      <w:r>
        <w:t xml:space="preserve"> </w:t>
      </w:r>
      <w:r w:rsidR="009F15BB">
        <w:t>include</w:t>
      </w:r>
      <w:r>
        <w:t xml:space="preserve"> the short-term monitoring strategies </w:t>
      </w:r>
      <w:r w:rsidR="00CC0701">
        <w:t>of</w:t>
      </w:r>
      <w:r w:rsidR="009F15BB">
        <w:t xml:space="preserve"> standard 12-lead </w:t>
      </w:r>
      <w:r w:rsidR="00CC0701">
        <w:t xml:space="preserve">electrocardiography </w:t>
      </w:r>
      <w:r w:rsidR="009F15BB">
        <w:t>(ECG), continuous cardiac rhythm monitoring</w:t>
      </w:r>
      <w:r>
        <w:t xml:space="preserve"> with inpatient telemetry</w:t>
      </w:r>
      <w:r w:rsidR="009F15BB">
        <w:t>,</w:t>
      </w:r>
      <w:r w:rsidR="00B80FEE">
        <w:t xml:space="preserve"> </w:t>
      </w:r>
      <w:r w:rsidR="009F15BB">
        <w:t>and 24-hour ambulatory ECG (</w:t>
      </w:r>
      <w:proofErr w:type="spellStart"/>
      <w:r w:rsidR="009F15BB">
        <w:t>Holter</w:t>
      </w:r>
      <w:proofErr w:type="spellEnd"/>
      <w:r w:rsidR="009F15BB">
        <w:t>) monitoring.</w:t>
      </w:r>
      <w:r>
        <w:t xml:space="preserve"> A mid-term</w:t>
      </w:r>
      <w:r w:rsidR="009F15BB">
        <w:t xml:space="preserve"> monitoring </w:t>
      </w:r>
      <w:r>
        <w:t xml:space="preserve">strategy which is available, but not publically funded, is use of </w:t>
      </w:r>
      <w:r w:rsidR="009F15BB">
        <w:t>event loop recorders (ELRs), which are external devices allow</w:t>
      </w:r>
      <w:r>
        <w:t>ing</w:t>
      </w:r>
      <w:r w:rsidR="009F15BB">
        <w:t xml:space="preserve"> up to 30 days of cardiac rhythm monitoring</w:t>
      </w:r>
      <w:r>
        <w:t xml:space="preserve">. A </w:t>
      </w:r>
      <w:r w:rsidR="009F15BB">
        <w:t>long-term monitoring strategy</w:t>
      </w:r>
      <w:r w:rsidR="00CC0701">
        <w:t>, and the subject of this application,</w:t>
      </w:r>
      <w:r w:rsidR="009F15BB">
        <w:t xml:space="preserve"> is</w:t>
      </w:r>
      <w:r>
        <w:t xml:space="preserve"> use of</w:t>
      </w:r>
      <w:r w:rsidR="009F15BB">
        <w:t xml:space="preserve"> i</w:t>
      </w:r>
      <w:r w:rsidR="009F15BB" w:rsidRPr="00E7192F">
        <w:t>mplantable loop recorders</w:t>
      </w:r>
      <w:r w:rsidR="009F15BB">
        <w:t xml:space="preserve"> (ILR). The ILR is a subcutaneous device implanted in the left pectoral region that is capable of continuous uninterrupted arrhythmia monitoring (</w:t>
      </w:r>
      <w:r w:rsidR="00C56F71" w:rsidRPr="00AC5EFA">
        <w:t xml:space="preserve">Andrade, Field &amp; </w:t>
      </w:r>
      <w:proofErr w:type="spellStart"/>
      <w:r w:rsidR="00C56F71" w:rsidRPr="00AC5EFA">
        <w:t>Khairy</w:t>
      </w:r>
      <w:proofErr w:type="spellEnd"/>
      <w:r w:rsidR="00C56F71" w:rsidRPr="00AC5EFA">
        <w:t>, 2015</w:t>
      </w:r>
      <w:r w:rsidR="009F15BB">
        <w:t>).</w:t>
      </w:r>
    </w:p>
    <w:p w14:paraId="2791DF70" w14:textId="40A8AB4E" w:rsidR="00B000EB" w:rsidRDefault="00652C52" w:rsidP="0071773E">
      <w:r>
        <w:lastRenderedPageBreak/>
        <w:t>Table 1</w:t>
      </w:r>
      <w:r w:rsidR="00B000EB">
        <w:t xml:space="preserve"> lists these monitoring strategies and summarises their duration</w:t>
      </w:r>
      <w:r w:rsidR="00D5001D">
        <w:t xml:space="preserve"> of monitoring. Figure 3 (page 13</w:t>
      </w:r>
      <w:r w:rsidR="00B000EB">
        <w:t>) further illustrates the monitoring duration for one-time and repetitive periodic external monitoring.</w:t>
      </w:r>
    </w:p>
    <w:p w14:paraId="51F43981" w14:textId="77777777" w:rsidR="00B000EB" w:rsidRDefault="00B000EB" w:rsidP="0071773E">
      <w:pPr>
        <w:pStyle w:val="Caption"/>
      </w:pPr>
      <w:r>
        <w:t xml:space="preserve">Table </w:t>
      </w:r>
      <w:r>
        <w:fldChar w:fldCharType="begin"/>
      </w:r>
      <w:r>
        <w:instrText xml:space="preserve"> SEQ Table \* ARABIC </w:instrText>
      </w:r>
      <w:r>
        <w:fldChar w:fldCharType="separate"/>
      </w:r>
      <w:r w:rsidR="00DC65DD">
        <w:rPr>
          <w:noProof/>
        </w:rPr>
        <w:t>1</w:t>
      </w:r>
      <w:r>
        <w:fldChar w:fldCharType="end"/>
      </w:r>
      <w:r>
        <w:tab/>
        <w:t>Type of monitoring of atrial fibrillation in patients with cryptogenic stroke</w:t>
      </w:r>
    </w:p>
    <w:tbl>
      <w:tblPr>
        <w:tblStyle w:val="TableGrid"/>
        <w:tblW w:w="0" w:type="auto"/>
        <w:tblLook w:val="04A0" w:firstRow="1" w:lastRow="0" w:firstColumn="1" w:lastColumn="0" w:noHBand="0" w:noVBand="1"/>
        <w:tblDescription w:val="Table 1 Type of monitoring of atrial fibrillation in patients with cryptogenic stroke"/>
      </w:tblPr>
      <w:tblGrid>
        <w:gridCol w:w="3085"/>
        <w:gridCol w:w="2552"/>
      </w:tblGrid>
      <w:tr w:rsidR="00B000EB" w14:paraId="74BB243C" w14:textId="77777777" w:rsidTr="002A5D07">
        <w:trPr>
          <w:tblHeader/>
        </w:trPr>
        <w:tc>
          <w:tcPr>
            <w:tcW w:w="3085" w:type="dxa"/>
            <w:shd w:val="clear" w:color="auto" w:fill="F2F2F2" w:themeFill="background1" w:themeFillShade="F2"/>
          </w:tcPr>
          <w:p w14:paraId="214EE9D9" w14:textId="77777777" w:rsidR="00B000EB" w:rsidRPr="00D5001D" w:rsidRDefault="00B000EB" w:rsidP="00B000EB">
            <w:pPr>
              <w:rPr>
                <w:b/>
                <w:lang w:val="en-GB" w:eastAsia="ja-JP"/>
              </w:rPr>
            </w:pPr>
            <w:r w:rsidRPr="00D5001D">
              <w:rPr>
                <w:b/>
                <w:lang w:val="en-GB" w:eastAsia="ja-JP"/>
              </w:rPr>
              <w:t>Type of monitoring</w:t>
            </w:r>
          </w:p>
        </w:tc>
        <w:tc>
          <w:tcPr>
            <w:tcW w:w="2552" w:type="dxa"/>
            <w:shd w:val="clear" w:color="auto" w:fill="F2F2F2" w:themeFill="background1" w:themeFillShade="F2"/>
          </w:tcPr>
          <w:p w14:paraId="6B6DF775" w14:textId="77777777" w:rsidR="00B000EB" w:rsidRPr="00D5001D" w:rsidRDefault="00B000EB" w:rsidP="00B000EB">
            <w:pPr>
              <w:rPr>
                <w:b/>
                <w:lang w:val="en-GB" w:eastAsia="ja-JP"/>
              </w:rPr>
            </w:pPr>
            <w:r w:rsidRPr="00D5001D">
              <w:rPr>
                <w:b/>
                <w:lang w:val="en-GB" w:eastAsia="ja-JP"/>
              </w:rPr>
              <w:t>Duration of monitoring</w:t>
            </w:r>
          </w:p>
        </w:tc>
      </w:tr>
      <w:tr w:rsidR="00B000EB" w14:paraId="39FFAABC" w14:textId="77777777" w:rsidTr="00B000EB">
        <w:tc>
          <w:tcPr>
            <w:tcW w:w="3085" w:type="dxa"/>
            <w:shd w:val="clear" w:color="auto" w:fill="FFFFFF" w:themeFill="background1"/>
          </w:tcPr>
          <w:p w14:paraId="4A69FED1" w14:textId="77777777" w:rsidR="00B000EB" w:rsidRDefault="00B000EB" w:rsidP="00B000EB">
            <w:pPr>
              <w:rPr>
                <w:lang w:val="en-GB" w:eastAsia="ja-JP"/>
              </w:rPr>
            </w:pPr>
            <w:r>
              <w:rPr>
                <w:lang w:val="en-GB" w:eastAsia="ja-JP"/>
              </w:rPr>
              <w:t>12-lead ECG</w:t>
            </w:r>
          </w:p>
        </w:tc>
        <w:tc>
          <w:tcPr>
            <w:tcW w:w="2552" w:type="dxa"/>
            <w:shd w:val="clear" w:color="auto" w:fill="FFFFFF" w:themeFill="background1"/>
          </w:tcPr>
          <w:p w14:paraId="5F617CDA" w14:textId="77777777" w:rsidR="00B000EB" w:rsidRDefault="00B000EB" w:rsidP="00B000EB">
            <w:pPr>
              <w:rPr>
                <w:lang w:val="en-GB" w:eastAsia="ja-JP"/>
              </w:rPr>
            </w:pPr>
            <w:r>
              <w:rPr>
                <w:lang w:val="en-GB" w:eastAsia="ja-JP"/>
              </w:rPr>
              <w:t>NA</w:t>
            </w:r>
          </w:p>
        </w:tc>
      </w:tr>
      <w:tr w:rsidR="00B000EB" w14:paraId="03248E54" w14:textId="77777777" w:rsidTr="00B000EB">
        <w:tc>
          <w:tcPr>
            <w:tcW w:w="3085" w:type="dxa"/>
            <w:shd w:val="clear" w:color="auto" w:fill="FFFFFF" w:themeFill="background1"/>
          </w:tcPr>
          <w:p w14:paraId="2045CB96" w14:textId="77777777" w:rsidR="00B000EB" w:rsidRDefault="00B000EB" w:rsidP="00B000EB">
            <w:pPr>
              <w:rPr>
                <w:lang w:val="en-GB" w:eastAsia="ja-JP"/>
              </w:rPr>
            </w:pPr>
            <w:r>
              <w:rPr>
                <w:lang w:val="en-GB" w:eastAsia="ja-JP"/>
              </w:rPr>
              <w:t>Inpatient continuous telemetry</w:t>
            </w:r>
          </w:p>
        </w:tc>
        <w:tc>
          <w:tcPr>
            <w:tcW w:w="2552" w:type="dxa"/>
            <w:shd w:val="clear" w:color="auto" w:fill="FFFFFF" w:themeFill="background1"/>
          </w:tcPr>
          <w:p w14:paraId="309FF270" w14:textId="77777777" w:rsidR="00B000EB" w:rsidRDefault="00B000EB" w:rsidP="00B000EB">
            <w:pPr>
              <w:rPr>
                <w:lang w:val="en-GB" w:eastAsia="ja-JP"/>
              </w:rPr>
            </w:pPr>
            <w:r>
              <w:rPr>
                <w:lang w:val="en-GB" w:eastAsia="ja-JP"/>
              </w:rPr>
              <w:t>3-5 d</w:t>
            </w:r>
          </w:p>
        </w:tc>
      </w:tr>
      <w:tr w:rsidR="00B000EB" w14:paraId="6A1A0E1B" w14:textId="77777777" w:rsidTr="00B000EB">
        <w:tc>
          <w:tcPr>
            <w:tcW w:w="3085" w:type="dxa"/>
            <w:shd w:val="clear" w:color="auto" w:fill="FFFFFF" w:themeFill="background1"/>
          </w:tcPr>
          <w:p w14:paraId="2C74E59D" w14:textId="77777777" w:rsidR="00B000EB" w:rsidRDefault="00B000EB" w:rsidP="00B000EB">
            <w:pPr>
              <w:rPr>
                <w:lang w:val="en-GB" w:eastAsia="ja-JP"/>
              </w:rPr>
            </w:pPr>
            <w:proofErr w:type="spellStart"/>
            <w:r>
              <w:rPr>
                <w:lang w:val="en-GB" w:eastAsia="ja-JP"/>
              </w:rPr>
              <w:t>Holter</w:t>
            </w:r>
            <w:proofErr w:type="spellEnd"/>
            <w:r>
              <w:rPr>
                <w:lang w:val="en-GB" w:eastAsia="ja-JP"/>
              </w:rPr>
              <w:t xml:space="preserve"> monitor</w:t>
            </w:r>
          </w:p>
        </w:tc>
        <w:tc>
          <w:tcPr>
            <w:tcW w:w="2552" w:type="dxa"/>
            <w:shd w:val="clear" w:color="auto" w:fill="FFFFFF" w:themeFill="background1"/>
          </w:tcPr>
          <w:p w14:paraId="1B997B40" w14:textId="77777777" w:rsidR="00B000EB" w:rsidRDefault="00B000EB" w:rsidP="00B000EB">
            <w:pPr>
              <w:rPr>
                <w:lang w:val="en-GB" w:eastAsia="ja-JP"/>
              </w:rPr>
            </w:pPr>
            <w:r>
              <w:rPr>
                <w:lang w:val="en-GB" w:eastAsia="ja-JP"/>
              </w:rPr>
              <w:t>24 h - 7 d</w:t>
            </w:r>
          </w:p>
        </w:tc>
      </w:tr>
      <w:tr w:rsidR="00B000EB" w14:paraId="412BA363" w14:textId="77777777" w:rsidTr="00B000EB">
        <w:tc>
          <w:tcPr>
            <w:tcW w:w="3085" w:type="dxa"/>
            <w:shd w:val="clear" w:color="auto" w:fill="FFFFFF" w:themeFill="background1"/>
          </w:tcPr>
          <w:p w14:paraId="049C0312" w14:textId="77777777" w:rsidR="00B000EB" w:rsidRDefault="00B000EB" w:rsidP="00B000EB">
            <w:pPr>
              <w:rPr>
                <w:lang w:val="en-GB" w:eastAsia="ja-JP"/>
              </w:rPr>
            </w:pPr>
            <w:r>
              <w:rPr>
                <w:lang w:val="en-GB" w:eastAsia="ja-JP"/>
              </w:rPr>
              <w:t>ELR</w:t>
            </w:r>
          </w:p>
        </w:tc>
        <w:tc>
          <w:tcPr>
            <w:tcW w:w="2552" w:type="dxa"/>
            <w:shd w:val="clear" w:color="auto" w:fill="FFFFFF" w:themeFill="background1"/>
          </w:tcPr>
          <w:p w14:paraId="702E742C" w14:textId="77777777" w:rsidR="00B000EB" w:rsidRDefault="00B000EB" w:rsidP="00B000EB">
            <w:pPr>
              <w:rPr>
                <w:lang w:val="en-GB" w:eastAsia="ja-JP"/>
              </w:rPr>
            </w:pPr>
            <w:r>
              <w:rPr>
                <w:lang w:val="en-GB" w:eastAsia="ja-JP"/>
              </w:rPr>
              <w:t>30 d</w:t>
            </w:r>
          </w:p>
        </w:tc>
      </w:tr>
      <w:tr w:rsidR="00B000EB" w14:paraId="5EF1B56C" w14:textId="77777777" w:rsidTr="00B000EB">
        <w:tc>
          <w:tcPr>
            <w:tcW w:w="3085" w:type="dxa"/>
            <w:shd w:val="clear" w:color="auto" w:fill="FFFFFF" w:themeFill="background1"/>
          </w:tcPr>
          <w:p w14:paraId="4227D9EB" w14:textId="77777777" w:rsidR="00B000EB" w:rsidRDefault="00B000EB" w:rsidP="00B000EB">
            <w:pPr>
              <w:rPr>
                <w:lang w:val="en-GB" w:eastAsia="ja-JP"/>
              </w:rPr>
            </w:pPr>
            <w:r>
              <w:rPr>
                <w:lang w:val="en-GB" w:eastAsia="ja-JP"/>
              </w:rPr>
              <w:t>ILR</w:t>
            </w:r>
          </w:p>
        </w:tc>
        <w:tc>
          <w:tcPr>
            <w:tcW w:w="2552" w:type="dxa"/>
            <w:shd w:val="clear" w:color="auto" w:fill="FFFFFF" w:themeFill="background1"/>
          </w:tcPr>
          <w:p w14:paraId="0DDFD4C1" w14:textId="77777777" w:rsidR="00B000EB" w:rsidRDefault="00B000EB" w:rsidP="00B000EB">
            <w:pPr>
              <w:rPr>
                <w:lang w:val="en-GB" w:eastAsia="ja-JP"/>
              </w:rPr>
            </w:pPr>
            <w:r>
              <w:rPr>
                <w:lang w:val="en-GB" w:eastAsia="ja-JP"/>
              </w:rPr>
              <w:t>36 mo</w:t>
            </w:r>
          </w:p>
        </w:tc>
      </w:tr>
    </w:tbl>
    <w:p w14:paraId="79C9CABF" w14:textId="77777777" w:rsidR="00B000EB" w:rsidRDefault="00B000EB" w:rsidP="00B000EB">
      <w:pPr>
        <w:spacing w:after="0" w:line="240" w:lineRule="auto"/>
        <w:rPr>
          <w:sz w:val="18"/>
          <w:szCs w:val="18"/>
        </w:rPr>
      </w:pPr>
      <w:r w:rsidRPr="007D587A">
        <w:rPr>
          <w:sz w:val="18"/>
          <w:szCs w:val="18"/>
          <w:lang w:val="en-GB" w:eastAsia="ja-JP"/>
        </w:rPr>
        <w:t xml:space="preserve">Source: adapted from </w:t>
      </w:r>
      <w:proofErr w:type="spellStart"/>
      <w:r w:rsidRPr="007D587A">
        <w:rPr>
          <w:sz w:val="18"/>
          <w:szCs w:val="18"/>
        </w:rPr>
        <w:t>Yaghi</w:t>
      </w:r>
      <w:proofErr w:type="spellEnd"/>
      <w:r w:rsidRPr="007D587A">
        <w:rPr>
          <w:sz w:val="18"/>
          <w:szCs w:val="18"/>
        </w:rPr>
        <w:t xml:space="preserve"> &amp; </w:t>
      </w:r>
      <w:proofErr w:type="spellStart"/>
      <w:r w:rsidRPr="007D587A">
        <w:rPr>
          <w:sz w:val="18"/>
          <w:szCs w:val="18"/>
        </w:rPr>
        <w:t>Elkind</w:t>
      </w:r>
      <w:proofErr w:type="spellEnd"/>
      <w:r w:rsidRPr="007D587A">
        <w:rPr>
          <w:sz w:val="18"/>
          <w:szCs w:val="18"/>
        </w:rPr>
        <w:t xml:space="preserve"> (2014)</w:t>
      </w:r>
    </w:p>
    <w:p w14:paraId="38D83859" w14:textId="21C0A4FB" w:rsidR="00270BC9" w:rsidRPr="00B80FEE" w:rsidRDefault="00B000EB" w:rsidP="0071773E">
      <w:pPr>
        <w:tabs>
          <w:tab w:val="left" w:pos="4725"/>
        </w:tabs>
        <w:spacing w:line="240" w:lineRule="auto"/>
        <w:rPr>
          <w:sz w:val="18"/>
          <w:szCs w:val="18"/>
          <w:lang w:val="en-GB" w:eastAsia="ja-JP"/>
        </w:rPr>
      </w:pPr>
      <w:r>
        <w:rPr>
          <w:sz w:val="18"/>
          <w:szCs w:val="18"/>
        </w:rPr>
        <w:t xml:space="preserve">Abbreviations: ECG, </w:t>
      </w:r>
      <w:r w:rsidRPr="007D587A">
        <w:rPr>
          <w:sz w:val="18"/>
          <w:szCs w:val="18"/>
        </w:rPr>
        <w:t>electrocardiogram</w:t>
      </w:r>
      <w:r>
        <w:rPr>
          <w:sz w:val="18"/>
          <w:szCs w:val="18"/>
        </w:rPr>
        <w:t>; NA, not applicable; ELR, external loop recorders; ILR, implantable loop recorders; d, days; mo, months; h, hours</w:t>
      </w:r>
    </w:p>
    <w:p w14:paraId="617E89A6" w14:textId="77777777" w:rsidR="00B96CDC" w:rsidRDefault="009F15BB" w:rsidP="0071773E">
      <w:r>
        <w:t xml:space="preserve">The </w:t>
      </w:r>
      <w:r w:rsidR="00274232">
        <w:t>various</w:t>
      </w:r>
      <w:r>
        <w:t xml:space="preserve"> monitoring strategies above all differ in effectiveness. In their systematic review and meta-analysis, Afzal et al. (2015) have compared the effectiveness of ILR versus wearable devices in identifying AF in patients with CS. </w:t>
      </w:r>
      <w:r w:rsidR="00B000EB">
        <w:t>A summary of the results of this systematic review is presented in Section 7 of this document.</w:t>
      </w:r>
    </w:p>
    <w:p w14:paraId="1D1FEDA2" w14:textId="77777777" w:rsidR="008B26E4" w:rsidRPr="000E1086" w:rsidRDefault="008B26E4" w:rsidP="008B26E4">
      <w:pPr>
        <w:rPr>
          <w:i/>
        </w:rPr>
      </w:pPr>
      <w:r w:rsidRPr="000E1086">
        <w:rPr>
          <w:i/>
        </w:rPr>
        <w:t>What happens if and when AF is detected in a patient with ILR?</w:t>
      </w:r>
    </w:p>
    <w:p w14:paraId="7F1ACA01" w14:textId="622E85C7" w:rsidR="00BA3CAA" w:rsidRDefault="008B26E4" w:rsidP="008B26E4">
      <w:r>
        <w:t>The ILR is used to provide the initial diagnosis of AF in patients, who can the</w:t>
      </w:r>
      <w:r w:rsidR="0097762F">
        <w:t>n</w:t>
      </w:r>
      <w:r>
        <w:t xml:space="preserve"> move onto appropriate treatment management of their AF with OAC. </w:t>
      </w:r>
      <w:r w:rsidRPr="00D00542">
        <w:t>After the diagnosis of AF the ILR no longer has a</w:t>
      </w:r>
      <w:r>
        <w:t>n explicit</w:t>
      </w:r>
      <w:r w:rsidRPr="00D00542">
        <w:t xml:space="preserve"> role to play in the management of the patient. After AF diagnosis, the ILR device itself </w:t>
      </w:r>
      <w:r>
        <w:t xml:space="preserve">will </w:t>
      </w:r>
      <w:r w:rsidRPr="00D00542">
        <w:t xml:space="preserve">remain in the patient </w:t>
      </w:r>
      <w:r>
        <w:t xml:space="preserve">for the 3 year lifespan of the device because it is safe and because it </w:t>
      </w:r>
      <w:r w:rsidRPr="00D00542">
        <w:t xml:space="preserve">may provide some incidental information.  </w:t>
      </w:r>
    </w:p>
    <w:p w14:paraId="50E01A8C" w14:textId="77777777" w:rsidR="00BA3CAA" w:rsidRDefault="00BA3CAA" w:rsidP="00BA3CAA">
      <w:r>
        <w:t>Following the documentation of an AF episode, the ILR continues to provide ongoing heart rhythm information that enables:</w:t>
      </w:r>
    </w:p>
    <w:p w14:paraId="40675B87" w14:textId="77777777" w:rsidR="00BA3CAA" w:rsidRDefault="00BA3CAA" w:rsidP="006A407A">
      <w:pPr>
        <w:ind w:left="720" w:hanging="720"/>
      </w:pPr>
      <w:r>
        <w:t>1)</w:t>
      </w:r>
      <w:r>
        <w:tab/>
        <w:t xml:space="preserve">The physician (Cardiologist) to implement AF rate and rhythm control strategies as per clinical guidelines without the need for additional </w:t>
      </w:r>
      <w:proofErr w:type="spellStart"/>
      <w:r>
        <w:t>holter</w:t>
      </w:r>
      <w:proofErr w:type="spellEnd"/>
      <w:r>
        <w:t xml:space="preserve"> monitoring.</w:t>
      </w:r>
    </w:p>
    <w:p w14:paraId="2BAC74F1" w14:textId="582F2EBF" w:rsidR="00BA3CAA" w:rsidRDefault="00BA3CAA" w:rsidP="006A407A">
      <w:pPr>
        <w:ind w:left="720" w:hanging="720"/>
      </w:pPr>
      <w:r>
        <w:t>2)</w:t>
      </w:r>
      <w:r>
        <w:tab/>
        <w:t>The identification of other cardiac arrhythmias which may require intervention (e.g. bradycardia, tachycardia, pauses)</w:t>
      </w:r>
    </w:p>
    <w:p w14:paraId="6CEC2D2D" w14:textId="41C48844" w:rsidR="008B26E4" w:rsidRDefault="008B26E4" w:rsidP="008B26E4">
      <w:r w:rsidRPr="00D00542">
        <w:t>Nonetheless, the subject of this assessment is the diagnosis of the first AF event</w:t>
      </w:r>
      <w:r>
        <w:t>. S</w:t>
      </w:r>
      <w:r w:rsidRPr="00D00542">
        <w:t xml:space="preserve">ubsequent treatment </w:t>
      </w:r>
      <w:r>
        <w:t xml:space="preserve">and </w:t>
      </w:r>
      <w:r w:rsidRPr="00D00542">
        <w:t xml:space="preserve">management </w:t>
      </w:r>
      <w:r>
        <w:t xml:space="preserve">of the </w:t>
      </w:r>
      <w:r w:rsidRPr="00D00542">
        <w:t>AF</w:t>
      </w:r>
      <w:r>
        <w:t xml:space="preserve"> will be conducted independent the ILR</w:t>
      </w:r>
      <w:r w:rsidRPr="00D00542">
        <w:t xml:space="preserve">. </w:t>
      </w:r>
    </w:p>
    <w:p w14:paraId="3B8E0292" w14:textId="77777777" w:rsidR="008B26E4" w:rsidRDefault="008B26E4" w:rsidP="008B26E4">
      <w:r>
        <w:lastRenderedPageBreak/>
        <w:t>The device will also be removed after three years in patients without an AF finding.</w:t>
      </w:r>
    </w:p>
    <w:p w14:paraId="7598D604" w14:textId="4E739EFD" w:rsidR="009F15BB" w:rsidRPr="00DD5FDD" w:rsidRDefault="00AE5B5A" w:rsidP="009F15BB">
      <w:pPr>
        <w:rPr>
          <w:i/>
        </w:rPr>
      </w:pPr>
      <w:r>
        <w:rPr>
          <w:i/>
        </w:rPr>
        <w:t xml:space="preserve">Implantable </w:t>
      </w:r>
      <w:r w:rsidR="00C521B5">
        <w:rPr>
          <w:i/>
        </w:rPr>
        <w:t>loop recorder</w:t>
      </w:r>
      <w:r w:rsidR="009F15BB" w:rsidRPr="00DD5FDD">
        <w:rPr>
          <w:i/>
        </w:rPr>
        <w:t xml:space="preserve"> </w:t>
      </w:r>
      <w:r w:rsidR="009F15BB">
        <w:rPr>
          <w:i/>
        </w:rPr>
        <w:t>use in other indications</w:t>
      </w:r>
    </w:p>
    <w:p w14:paraId="035752CA" w14:textId="77777777" w:rsidR="009F15BB" w:rsidRDefault="009F15BB" w:rsidP="009F15BB">
      <w:r>
        <w:t>ILRs are already listed on the MBS for the diagnosis of primary disorder in patients with recurrent unexplained syncope (item 38285).</w:t>
      </w:r>
    </w:p>
    <w:p w14:paraId="5104FF12" w14:textId="47BA4927" w:rsidR="004C71B1" w:rsidRDefault="004C71B1" w:rsidP="009F15BB">
      <w:pPr>
        <w:rPr>
          <w:i/>
        </w:rPr>
      </w:pPr>
      <w:r w:rsidRPr="004C71B1">
        <w:rPr>
          <w:i/>
        </w:rPr>
        <w:t>A note on terminology</w:t>
      </w:r>
    </w:p>
    <w:p w14:paraId="5095416C" w14:textId="35266AD3" w:rsidR="004C71B1" w:rsidRDefault="004C71B1" w:rsidP="004C71B1">
      <w:pPr>
        <w:spacing w:after="0"/>
      </w:pPr>
      <w:r>
        <w:t>ILRs have several names in practice and in the literature which include:</w:t>
      </w:r>
    </w:p>
    <w:p w14:paraId="3952B63F" w14:textId="2B5B9D11" w:rsidR="004C71B1" w:rsidRDefault="004C71B1" w:rsidP="004C71B1">
      <w:pPr>
        <w:pStyle w:val="ListParagraph"/>
        <w:numPr>
          <w:ilvl w:val="0"/>
          <w:numId w:val="21"/>
        </w:numPr>
      </w:pPr>
      <w:proofErr w:type="spellStart"/>
      <w:r>
        <w:t>Insertable</w:t>
      </w:r>
      <w:proofErr w:type="spellEnd"/>
      <w:r>
        <w:t xml:space="preserve"> loop recorder (also abbreviated to ILR)</w:t>
      </w:r>
    </w:p>
    <w:p w14:paraId="79A43394" w14:textId="779DBA68" w:rsidR="004C71B1" w:rsidRDefault="00B6368B" w:rsidP="004C71B1">
      <w:pPr>
        <w:pStyle w:val="ListParagraph"/>
        <w:numPr>
          <w:ilvl w:val="0"/>
          <w:numId w:val="21"/>
        </w:numPr>
      </w:pPr>
      <w:proofErr w:type="spellStart"/>
      <w:r>
        <w:t>I</w:t>
      </w:r>
      <w:r w:rsidR="004C71B1">
        <w:t>nsertable</w:t>
      </w:r>
      <w:proofErr w:type="spellEnd"/>
      <w:r w:rsidR="004C71B1">
        <w:t xml:space="preserve"> cardiac monitor (ICM)</w:t>
      </w:r>
    </w:p>
    <w:p w14:paraId="41C9F9A0" w14:textId="3545666E" w:rsidR="004C71B1" w:rsidRDefault="003024C9" w:rsidP="004C71B1">
      <w:pPr>
        <w:pStyle w:val="ListParagraph"/>
        <w:numPr>
          <w:ilvl w:val="0"/>
          <w:numId w:val="21"/>
        </w:numPr>
      </w:pPr>
      <w:r>
        <w:t>I</w:t>
      </w:r>
      <w:r w:rsidR="004C71B1" w:rsidRPr="004C71B1">
        <w:t>mplantable cardiac event recorders</w:t>
      </w:r>
    </w:p>
    <w:p w14:paraId="71114B64" w14:textId="7BDED0C8" w:rsidR="003024C9" w:rsidRDefault="003024C9" w:rsidP="003024C9">
      <w:pPr>
        <w:pStyle w:val="ListParagraph"/>
        <w:numPr>
          <w:ilvl w:val="0"/>
          <w:numId w:val="21"/>
        </w:numPr>
      </w:pPr>
      <w:r>
        <w:t>Cardiac implantable electronic d</w:t>
      </w:r>
      <w:r w:rsidRPr="003024C9">
        <w:t>evice (CIED)</w:t>
      </w:r>
      <w:r>
        <w:t xml:space="preserve"> (this term is not exclusively applied to ILRs) </w:t>
      </w:r>
    </w:p>
    <w:p w14:paraId="2DFC8FE7" w14:textId="2BE9C867" w:rsidR="003024C9" w:rsidRPr="004C71B1" w:rsidRDefault="003024C9" w:rsidP="003024C9">
      <w:r>
        <w:t>In order to ensure clarity, the same term, implantable loop recorder (ILR) will be used throughout this document.</w:t>
      </w:r>
    </w:p>
    <w:p w14:paraId="480FC242" w14:textId="7110522A" w:rsidR="009F15BB" w:rsidRPr="00BC4EFE" w:rsidRDefault="009F15BB" w:rsidP="009F15BB">
      <w:pPr>
        <w:pStyle w:val="Heading1"/>
      </w:pPr>
      <w:r w:rsidRPr="00BC4EFE">
        <w:t>Po</w:t>
      </w:r>
      <w:r>
        <w:t xml:space="preserve">pulation and medical condition </w:t>
      </w:r>
      <w:r w:rsidRPr="00BC4EFE">
        <w:t>eligible for the proposed medical services</w:t>
      </w:r>
    </w:p>
    <w:p w14:paraId="1F9C44A1" w14:textId="77777777" w:rsidR="009F15BB" w:rsidRDefault="009F15BB" w:rsidP="009F15BB">
      <w:pPr>
        <w:pStyle w:val="Quote"/>
      </w:pPr>
      <w:r w:rsidRPr="00DF26D4">
        <w:t>Provide a description of the medical condition (or disease) relevant to the service.</w:t>
      </w:r>
    </w:p>
    <w:p w14:paraId="4901A87C" w14:textId="76A96F8E" w:rsidR="009F15BB" w:rsidRDefault="002C6A02" w:rsidP="009F15BB">
      <w:r>
        <w:t>There are two medical conditions that are relevant to this service</w:t>
      </w:r>
      <w:r w:rsidR="005930EC">
        <w:t xml:space="preserve"> (ILR)</w:t>
      </w:r>
      <w:r>
        <w:t>: CS</w:t>
      </w:r>
      <w:r w:rsidR="005930EC">
        <w:t>, the medical condition required by patients to be eligible for this service, and</w:t>
      </w:r>
      <w:r>
        <w:t xml:space="preserve"> AF</w:t>
      </w:r>
      <w:r w:rsidR="005930EC">
        <w:t>, the medical condition diagnosed by this service</w:t>
      </w:r>
      <w:r>
        <w:t>.</w:t>
      </w:r>
    </w:p>
    <w:p w14:paraId="597ED964" w14:textId="7266A9E4" w:rsidR="00C521B5" w:rsidRPr="00C521B5" w:rsidRDefault="00C521B5" w:rsidP="00C521B5">
      <w:pPr>
        <w:keepNext/>
        <w:rPr>
          <w:i/>
        </w:rPr>
      </w:pPr>
      <w:r w:rsidRPr="00C521B5">
        <w:rPr>
          <w:i/>
        </w:rPr>
        <w:lastRenderedPageBreak/>
        <w:t>Cryptogenic stroke</w:t>
      </w:r>
    </w:p>
    <w:p w14:paraId="0346B178" w14:textId="55727087" w:rsidR="0092707F" w:rsidRDefault="002C6A02" w:rsidP="00C521B5">
      <w:pPr>
        <w:keepNext/>
        <w:spacing w:after="0"/>
      </w:pPr>
      <w:r>
        <w:t>CS</w:t>
      </w:r>
      <w:r w:rsidR="005930EC">
        <w:t>, the medical condition required by patients to be eligible for this service,</w:t>
      </w:r>
      <w:r>
        <w:t xml:space="preserve"> is the term used to refer to strokes for which no definite cause can be identified (</w:t>
      </w:r>
      <w:proofErr w:type="spellStart"/>
      <w:r w:rsidR="00FD759F">
        <w:t>Yaghi</w:t>
      </w:r>
      <w:proofErr w:type="spellEnd"/>
      <w:r w:rsidR="00FD759F">
        <w:t xml:space="preserve"> &amp; </w:t>
      </w:r>
      <w:proofErr w:type="spellStart"/>
      <w:r w:rsidR="00FD759F">
        <w:t>Elkind</w:t>
      </w:r>
      <w:proofErr w:type="spellEnd"/>
      <w:r w:rsidR="00FD759F">
        <w:t>, 2014</w:t>
      </w:r>
      <w:r w:rsidR="00632893">
        <w:t xml:space="preserve">). </w:t>
      </w:r>
      <w:r w:rsidR="005930EC">
        <w:t>However, c</w:t>
      </w:r>
      <w:r>
        <w:t>learly the term cryptogenic is only as good as the testing that has been done, i.e. how thorough investigations have been performed to determine a cause (</w:t>
      </w:r>
      <w:proofErr w:type="spellStart"/>
      <w:r>
        <w:t>Yaghi</w:t>
      </w:r>
      <w:proofErr w:type="spellEnd"/>
      <w:r w:rsidR="00FD759F">
        <w:t xml:space="preserve"> &amp; </w:t>
      </w:r>
      <w:proofErr w:type="spellStart"/>
      <w:r w:rsidR="00FD759F">
        <w:t>Elkind</w:t>
      </w:r>
      <w:proofErr w:type="spellEnd"/>
      <w:r w:rsidR="00FD759F">
        <w:t>,</w:t>
      </w:r>
      <w:r>
        <w:t xml:space="preserve"> 2014). For example, a stroke may be considered cryptogenic because no cause is found after exhaustive testing, routine testing, or an incomplete evaluation (</w:t>
      </w:r>
      <w:proofErr w:type="spellStart"/>
      <w:r w:rsidR="00FD759F">
        <w:t>Yaghi</w:t>
      </w:r>
      <w:proofErr w:type="spellEnd"/>
      <w:r w:rsidR="00FD759F">
        <w:t xml:space="preserve"> &amp; </w:t>
      </w:r>
      <w:proofErr w:type="spellStart"/>
      <w:r w:rsidR="00FD759F">
        <w:t>Elkind</w:t>
      </w:r>
      <w:proofErr w:type="spellEnd"/>
      <w:r w:rsidR="00FD759F">
        <w:t>, 2014</w:t>
      </w:r>
      <w:r>
        <w:t xml:space="preserve">). Therefore, in defining the population with CS who would be eligible for this service, the minimal work-up required </w:t>
      </w:r>
      <w:r w:rsidR="00BE0981">
        <w:t xml:space="preserve">to make the diagnosis of CS </w:t>
      </w:r>
      <w:r w:rsidR="00C47245">
        <w:t>should be well</w:t>
      </w:r>
      <w:r w:rsidR="00BE0981">
        <w:t xml:space="preserve"> defined. </w:t>
      </w:r>
      <w:r>
        <w:t xml:space="preserve"> </w:t>
      </w:r>
      <w:r w:rsidR="00632893">
        <w:t xml:space="preserve">Currently </w:t>
      </w:r>
      <w:r w:rsidR="00F3052E">
        <w:t>in Australia the following investigations would usually have been performed, with no cause for the stroke found, for a diagnosis of CS to be made</w:t>
      </w:r>
      <w:r w:rsidR="00FD759F">
        <w:t xml:space="preserve"> (</w:t>
      </w:r>
      <w:r w:rsidR="0092707F">
        <w:t xml:space="preserve">National Stroke </w:t>
      </w:r>
      <w:r w:rsidR="00FD759F">
        <w:t>Foundation,</w:t>
      </w:r>
      <w:r w:rsidR="0092707F">
        <w:t xml:space="preserve"> 2010</w:t>
      </w:r>
      <w:r w:rsidR="0004580D">
        <w:t>;</w:t>
      </w:r>
      <w:r w:rsidR="0008005C">
        <w:t xml:space="preserve"> Campbell</w:t>
      </w:r>
      <w:r w:rsidR="0004580D">
        <w:t>, 2015</w:t>
      </w:r>
      <w:r w:rsidR="0092707F">
        <w:t>)</w:t>
      </w:r>
      <w:r w:rsidR="00F3052E">
        <w:t xml:space="preserve">: </w:t>
      </w:r>
    </w:p>
    <w:p w14:paraId="1525E94D" w14:textId="67CB9A03" w:rsidR="003E505E" w:rsidRDefault="003E505E" w:rsidP="00B80FEE">
      <w:pPr>
        <w:pStyle w:val="ListParagraph"/>
        <w:keepNext/>
        <w:keepLines/>
        <w:numPr>
          <w:ilvl w:val="0"/>
          <w:numId w:val="8"/>
        </w:numPr>
        <w:ind w:left="714" w:hanging="357"/>
      </w:pPr>
      <w:r>
        <w:t xml:space="preserve">Blood testing (which may include a </w:t>
      </w:r>
      <w:proofErr w:type="spellStart"/>
      <w:r>
        <w:t>prothrombotic</w:t>
      </w:r>
      <w:proofErr w:type="spellEnd"/>
      <w:r>
        <w:t xml:space="preserve"> screen)</w:t>
      </w:r>
    </w:p>
    <w:p w14:paraId="677C964B" w14:textId="77777777" w:rsidR="0092707F" w:rsidRDefault="0092707F" w:rsidP="00B80FEE">
      <w:pPr>
        <w:pStyle w:val="ListParagraph"/>
        <w:keepNext/>
        <w:keepLines/>
        <w:numPr>
          <w:ilvl w:val="0"/>
          <w:numId w:val="8"/>
        </w:numPr>
        <w:ind w:left="714" w:hanging="357"/>
      </w:pPr>
      <w:r>
        <w:t>B</w:t>
      </w:r>
      <w:r w:rsidR="006D7F98">
        <w:t>rain</w:t>
      </w:r>
      <w:r>
        <w:t xml:space="preserve"> imaging (MRI or CT)</w:t>
      </w:r>
    </w:p>
    <w:p w14:paraId="7F827C0F" w14:textId="77777777" w:rsidR="0092707F" w:rsidRDefault="0092707F" w:rsidP="00B80FEE">
      <w:pPr>
        <w:pStyle w:val="ListParagraph"/>
        <w:keepNext/>
        <w:keepLines/>
        <w:numPr>
          <w:ilvl w:val="0"/>
          <w:numId w:val="8"/>
        </w:numPr>
        <w:ind w:left="714" w:hanging="357"/>
      </w:pPr>
      <w:r>
        <w:t>C</w:t>
      </w:r>
      <w:r w:rsidR="006D7F98">
        <w:t>arotid artery imaging</w:t>
      </w:r>
      <w:r w:rsidR="00632893">
        <w:t xml:space="preserve"> (e.g. with contrast-enhanced magnetic resonance angiography [CE-MRA], </w:t>
      </w:r>
      <w:proofErr w:type="spellStart"/>
      <w:r w:rsidR="00632893">
        <w:t>doppler</w:t>
      </w:r>
      <w:proofErr w:type="spellEnd"/>
      <w:r w:rsidR="00632893">
        <w:t xml:space="preserve"> ultrasound, MRA, or CT angiography [CTA])</w:t>
      </w:r>
    </w:p>
    <w:p w14:paraId="67936369" w14:textId="77777777" w:rsidR="00B80FEE" w:rsidRDefault="0092707F" w:rsidP="00632893">
      <w:pPr>
        <w:pStyle w:val="ListParagraph"/>
        <w:numPr>
          <w:ilvl w:val="0"/>
          <w:numId w:val="8"/>
        </w:numPr>
      </w:pPr>
      <w:r>
        <w:t>C</w:t>
      </w:r>
      <w:r w:rsidR="00632893">
        <w:t xml:space="preserve">ardiac imaging (e.g. with </w:t>
      </w:r>
      <w:r w:rsidR="00632893" w:rsidRPr="00632893">
        <w:t>echocardiography</w:t>
      </w:r>
      <w:r w:rsidR="00632893">
        <w:t>, t</w:t>
      </w:r>
      <w:r w:rsidR="00632893" w:rsidRPr="00632893">
        <w:t xml:space="preserve">ransthoracic echocardiography </w:t>
      </w:r>
      <w:r w:rsidR="00632893">
        <w:t xml:space="preserve">[TTE], or </w:t>
      </w:r>
      <w:proofErr w:type="spellStart"/>
      <w:r w:rsidR="00632893" w:rsidRPr="00632893">
        <w:t>transoesophageal</w:t>
      </w:r>
      <w:proofErr w:type="spellEnd"/>
      <w:r w:rsidR="00632893" w:rsidRPr="00632893">
        <w:t xml:space="preserve"> echocardiography</w:t>
      </w:r>
      <w:r>
        <w:t xml:space="preserve"> [TE</w:t>
      </w:r>
      <w:r w:rsidR="009A1068">
        <w:t>O</w:t>
      </w:r>
      <w:r>
        <w:t>])</w:t>
      </w:r>
    </w:p>
    <w:p w14:paraId="55AB1474" w14:textId="1C59942E" w:rsidR="00B80FEE" w:rsidRDefault="003E505E" w:rsidP="00632893">
      <w:pPr>
        <w:pStyle w:val="ListParagraph"/>
        <w:numPr>
          <w:ilvl w:val="0"/>
          <w:numId w:val="8"/>
        </w:numPr>
      </w:pPr>
      <w:r>
        <w:t>Cardiac monitoring (e.g. 12-lead ECG, i</w:t>
      </w:r>
      <w:r w:rsidR="00F3052E">
        <w:t xml:space="preserve">n-patient monitoring </w:t>
      </w:r>
      <w:r w:rsidR="0092707F">
        <w:t>with telemetry for 24-48 hours</w:t>
      </w:r>
      <w:r w:rsidR="0008005C">
        <w:t xml:space="preserve">, +/- </w:t>
      </w:r>
      <w:r>
        <w:t xml:space="preserve">an in-patient 24-hour </w:t>
      </w:r>
      <w:proofErr w:type="spellStart"/>
      <w:r>
        <w:t>Holter</w:t>
      </w:r>
      <w:proofErr w:type="spellEnd"/>
      <w:r>
        <w:t xml:space="preserve"> monitor)</w:t>
      </w:r>
    </w:p>
    <w:p w14:paraId="22D7DE9C" w14:textId="1F3C7857" w:rsidR="00C521B5" w:rsidRPr="00C521B5" w:rsidRDefault="00C521B5" w:rsidP="00632893">
      <w:pPr>
        <w:rPr>
          <w:i/>
        </w:rPr>
      </w:pPr>
      <w:r w:rsidRPr="00C521B5">
        <w:rPr>
          <w:i/>
        </w:rPr>
        <w:t>Atrial fibrillation</w:t>
      </w:r>
    </w:p>
    <w:p w14:paraId="64D8176F" w14:textId="386585F0" w:rsidR="00003E90" w:rsidRDefault="003E2141" w:rsidP="00632893">
      <w:r>
        <w:t>AF</w:t>
      </w:r>
      <w:r w:rsidR="005930EC">
        <w:t xml:space="preserve"> is the medical condition</w:t>
      </w:r>
      <w:r w:rsidR="008D3DB6">
        <w:t xml:space="preserve"> diagnosed by this service. AF </w:t>
      </w:r>
      <w:r w:rsidR="00107BF3">
        <w:t xml:space="preserve">increases with age occurring in </w:t>
      </w:r>
      <w:r w:rsidR="00B04433">
        <w:t xml:space="preserve">0.12 to </w:t>
      </w:r>
      <w:r w:rsidR="00107BF3" w:rsidRPr="003E2141">
        <w:t xml:space="preserve">0.16% </w:t>
      </w:r>
      <w:r w:rsidR="00107BF3">
        <w:t xml:space="preserve">of those &lt;49 years, </w:t>
      </w:r>
      <w:r w:rsidR="00B04433">
        <w:t xml:space="preserve">3.7 to </w:t>
      </w:r>
      <w:r w:rsidR="00107BF3">
        <w:t xml:space="preserve">4.2% of those 60–70 years, and </w:t>
      </w:r>
      <w:r w:rsidR="00B04433">
        <w:t xml:space="preserve">10 to </w:t>
      </w:r>
      <w:r w:rsidR="00107BF3" w:rsidRPr="003E2141">
        <w:t xml:space="preserve">17% of those </w:t>
      </w:r>
      <w:r w:rsidR="00107BF3">
        <w:rPr>
          <w:rFonts w:cstheme="minorHAnsi"/>
        </w:rPr>
        <w:t>≥</w:t>
      </w:r>
      <w:r w:rsidR="00107BF3">
        <w:t>80 years (</w:t>
      </w:r>
      <w:proofErr w:type="spellStart"/>
      <w:r w:rsidR="00107BF3" w:rsidRPr="003E2141">
        <w:t>Zoni-Berisso</w:t>
      </w:r>
      <w:proofErr w:type="spellEnd"/>
      <w:r w:rsidR="00FD759F">
        <w:t xml:space="preserve"> et al., 2014</w:t>
      </w:r>
      <w:r w:rsidR="00107BF3">
        <w:t xml:space="preserve">). </w:t>
      </w:r>
      <w:r w:rsidR="00B04433">
        <w:t>D</w:t>
      </w:r>
      <w:r w:rsidR="00107BF3">
        <w:t>ue to a</w:t>
      </w:r>
      <w:r w:rsidR="00107BF3" w:rsidRPr="003E2141">
        <w:t xml:space="preserve"> greater ability to treat chronic cardiac and </w:t>
      </w:r>
      <w:proofErr w:type="spellStart"/>
      <w:r w:rsidR="00107BF3" w:rsidRPr="003E2141">
        <w:t>noncardiac</w:t>
      </w:r>
      <w:proofErr w:type="spellEnd"/>
      <w:r w:rsidR="00107BF3" w:rsidRPr="003E2141">
        <w:t xml:space="preserve"> diseases, and the improved ability to suspect and diagnose AF</w:t>
      </w:r>
      <w:r w:rsidR="00B04433">
        <w:t>, the overall prevalence of AF is also increasing, with the currently prevalence (2%) double that reported in the last decade</w:t>
      </w:r>
      <w:r w:rsidR="00107BF3">
        <w:t xml:space="preserve"> (</w:t>
      </w:r>
      <w:proofErr w:type="spellStart"/>
      <w:r w:rsidR="00FD759F" w:rsidRPr="003E2141">
        <w:t>Zoni-Berisso</w:t>
      </w:r>
      <w:proofErr w:type="spellEnd"/>
      <w:r w:rsidR="00FD759F">
        <w:t xml:space="preserve"> et al., 2014</w:t>
      </w:r>
      <w:r w:rsidR="00107BF3">
        <w:t>). It is a heterogeneous disease in terms of its aetiology, pathophysiology, clinical presentation, natural history, and outcomes (</w:t>
      </w:r>
      <w:proofErr w:type="spellStart"/>
      <w:r w:rsidR="00FD759F" w:rsidRPr="00FD759F">
        <w:t>Kirchhof</w:t>
      </w:r>
      <w:proofErr w:type="spellEnd"/>
      <w:r w:rsidR="00FD759F">
        <w:t xml:space="preserve"> et al., 2015; de </w:t>
      </w:r>
      <w:proofErr w:type="spellStart"/>
      <w:r w:rsidR="00FD759F">
        <w:t>Vos</w:t>
      </w:r>
      <w:proofErr w:type="spellEnd"/>
      <w:r w:rsidR="00FD759F">
        <w:t xml:space="preserve"> et al., 2010; de </w:t>
      </w:r>
      <w:proofErr w:type="spellStart"/>
      <w:r w:rsidR="00FD759F">
        <w:t>Vos</w:t>
      </w:r>
      <w:proofErr w:type="spellEnd"/>
      <w:r w:rsidR="00FD759F">
        <w:t xml:space="preserve"> et al., 2012)</w:t>
      </w:r>
      <w:r w:rsidR="00826B35">
        <w:t xml:space="preserve">. </w:t>
      </w:r>
      <w:r w:rsidR="00B04433">
        <w:t>However, despite this heterogeneity, studies have consistently shown that a prior thromboembolic event is the single strongest risk factor for recurrent st</w:t>
      </w:r>
      <w:r w:rsidR="00B6610B">
        <w:t>roke in patients with AF (</w:t>
      </w:r>
      <w:proofErr w:type="spellStart"/>
      <w:r w:rsidR="00B04433">
        <w:t>Sanna</w:t>
      </w:r>
      <w:proofErr w:type="spellEnd"/>
      <w:r w:rsidR="00B6610B">
        <w:t xml:space="preserve">, </w:t>
      </w:r>
      <w:proofErr w:type="spellStart"/>
      <w:r w:rsidR="00B6610B">
        <w:t>Diener</w:t>
      </w:r>
      <w:proofErr w:type="spellEnd"/>
      <w:r w:rsidR="00B6610B">
        <w:t xml:space="preserve"> &amp; </w:t>
      </w:r>
      <w:proofErr w:type="spellStart"/>
      <w:r w:rsidR="00B6610B">
        <w:t>Passman</w:t>
      </w:r>
      <w:proofErr w:type="spellEnd"/>
      <w:r w:rsidR="00B6610B">
        <w:t xml:space="preserve">, 2014; </w:t>
      </w:r>
      <w:r w:rsidR="009C0761">
        <w:t>“</w:t>
      </w:r>
      <w:r w:rsidR="009C0761" w:rsidRPr="009C0761">
        <w:t>Risk factors for stroke and efficacy of antithrombotic therapy in atrial fibrillation</w:t>
      </w:r>
      <w:r w:rsidR="009C0761">
        <w:t>”, 1994; Gage et al., 2001)</w:t>
      </w:r>
      <w:r w:rsidR="00B04433">
        <w:t>. In addition, the superiority of anticoagulation compared to</w:t>
      </w:r>
      <w:r w:rsidR="00506C14">
        <w:t xml:space="preserve"> antiplatelet therapy for secondary stroke prevention in patients with AF has been clearly demonstrated (</w:t>
      </w:r>
      <w:proofErr w:type="spellStart"/>
      <w:r w:rsidR="009C0761">
        <w:t>Sanna</w:t>
      </w:r>
      <w:proofErr w:type="spellEnd"/>
      <w:r w:rsidR="009C0761">
        <w:t xml:space="preserve">, </w:t>
      </w:r>
      <w:proofErr w:type="spellStart"/>
      <w:r w:rsidR="009C0761">
        <w:t>Diener</w:t>
      </w:r>
      <w:proofErr w:type="spellEnd"/>
      <w:r w:rsidR="009C0761">
        <w:t xml:space="preserve"> &amp; </w:t>
      </w:r>
      <w:proofErr w:type="spellStart"/>
      <w:r w:rsidR="009C0761">
        <w:t>Passman</w:t>
      </w:r>
      <w:proofErr w:type="spellEnd"/>
      <w:r w:rsidR="009C0761">
        <w:t>, 2014; “</w:t>
      </w:r>
      <w:r w:rsidR="009C0761" w:rsidRPr="009C0761">
        <w:t>Risk factors for stroke and efficacy of antithrombotic therapy in atrial fibrillation</w:t>
      </w:r>
      <w:r w:rsidR="009C0761">
        <w:t>”, 1994)</w:t>
      </w:r>
      <w:r w:rsidR="00506C14">
        <w:t>.</w:t>
      </w:r>
      <w:r w:rsidR="00FD759F">
        <w:t xml:space="preserve"> </w:t>
      </w:r>
    </w:p>
    <w:p w14:paraId="04094832" w14:textId="77777777" w:rsidR="006A407A" w:rsidRDefault="006A407A">
      <w:pPr>
        <w:jc w:val="left"/>
        <w:rPr>
          <w:b/>
          <w:i/>
          <w:color w:val="548DD4" w:themeColor="text2" w:themeTint="99"/>
          <w:szCs w:val="20"/>
        </w:rPr>
      </w:pPr>
      <w:r>
        <w:br w:type="page"/>
      </w:r>
    </w:p>
    <w:p w14:paraId="5FA96846" w14:textId="0A413E8C" w:rsidR="009F15BB" w:rsidRDefault="009F15BB" w:rsidP="009F15BB">
      <w:pPr>
        <w:pStyle w:val="Quote"/>
      </w:pPr>
      <w:r w:rsidRPr="00215B74">
        <w:lastRenderedPageBreak/>
        <w:t>Define the proposed patient population that would benefit from the use of this service. This could include issues such as patient characteristics and /or specific circumstances that patients would have to satisfy in order to access the service.</w:t>
      </w:r>
    </w:p>
    <w:p w14:paraId="4D15C3F1" w14:textId="20055191" w:rsidR="002E47D1" w:rsidRDefault="009F15BB" w:rsidP="009F15BB">
      <w:pPr>
        <w:spacing w:after="0"/>
      </w:pPr>
      <w:r>
        <w:t xml:space="preserve">The proposed patient population that would </w:t>
      </w:r>
      <w:r w:rsidR="00A45373">
        <w:t>benefit from the use of ILRs is as follows:</w:t>
      </w:r>
    </w:p>
    <w:p w14:paraId="01122D5C" w14:textId="3D3E746D" w:rsidR="009F15BB" w:rsidRDefault="002E47D1" w:rsidP="00A45373">
      <w:pPr>
        <w:pStyle w:val="ListParagraph"/>
        <w:numPr>
          <w:ilvl w:val="0"/>
          <w:numId w:val="10"/>
        </w:numPr>
        <w:spacing w:after="0"/>
      </w:pPr>
      <w:r>
        <w:t xml:space="preserve">For diagnosis of atrial fibrillation in patients </w:t>
      </w:r>
      <w:r w:rsidR="009F15BB">
        <w:t xml:space="preserve">with </w:t>
      </w:r>
      <w:r w:rsidR="00A45373">
        <w:t>cryptogenic stroke where:</w:t>
      </w:r>
    </w:p>
    <w:p w14:paraId="3162D36D" w14:textId="46FD2B16" w:rsidR="009F15BB" w:rsidRDefault="00A45373" w:rsidP="00A45373">
      <w:pPr>
        <w:pStyle w:val="ListParagraph"/>
        <w:numPr>
          <w:ilvl w:val="0"/>
          <w:numId w:val="2"/>
        </w:numPr>
      </w:pPr>
      <w:r>
        <w:t>a diagnosis of cryptogenic stroke</w:t>
      </w:r>
      <w:r w:rsidR="009F15BB">
        <w:t xml:space="preserve"> has been made based on results of the </w:t>
      </w:r>
      <w:r w:rsidR="009F15BB" w:rsidRPr="001F2132">
        <w:t xml:space="preserve">medical history, physical examination, </w:t>
      </w:r>
      <w:r>
        <w:t xml:space="preserve">brain and carotid imaging, cardiac imaging, surface ECG testing including 24-hour </w:t>
      </w:r>
      <w:proofErr w:type="spellStart"/>
      <w:r>
        <w:t>Holter</w:t>
      </w:r>
      <w:proofErr w:type="spellEnd"/>
      <w:r>
        <w:t xml:space="preserve"> monitoring</w:t>
      </w:r>
      <w:r w:rsidR="009F15BB" w:rsidRPr="001F2132">
        <w:t>, and other tests as indicated</w:t>
      </w:r>
      <w:r w:rsidR="00D5001D">
        <w:t>, and</w:t>
      </w:r>
      <w:r w:rsidR="009F15BB" w:rsidRPr="001F2132">
        <w:t xml:space="preserve"> </w:t>
      </w:r>
    </w:p>
    <w:p w14:paraId="1FAA1B94" w14:textId="2A39AF29" w:rsidR="004A5E3D" w:rsidRDefault="009F15BB" w:rsidP="004A5E3D">
      <w:pPr>
        <w:pStyle w:val="ListParagraph"/>
        <w:numPr>
          <w:ilvl w:val="0"/>
          <w:numId w:val="2"/>
        </w:numPr>
      </w:pPr>
      <w:r>
        <w:t>atrial fibrillation is suspected</w:t>
      </w:r>
    </w:p>
    <w:p w14:paraId="02017138" w14:textId="794331A4" w:rsidR="004A5E3D" w:rsidRDefault="002F7A19" w:rsidP="004A5E3D">
      <w:r>
        <w:t xml:space="preserve">Expert clinician advice </w:t>
      </w:r>
      <w:r w:rsidR="004A5E3D">
        <w:t xml:space="preserve">  </w:t>
      </w:r>
      <w:r w:rsidR="001D3B88">
        <w:t>was</w:t>
      </w:r>
      <w:r w:rsidR="004A5E3D">
        <w:t xml:space="preserve"> sought</w:t>
      </w:r>
      <w:r>
        <w:t xml:space="preserve"> (</w:t>
      </w:r>
      <w:r w:rsidRPr="002F7A19">
        <w:t>ANZ SFG, 2015</w:t>
      </w:r>
      <w:r>
        <w:t>)</w:t>
      </w:r>
      <w:r w:rsidR="001D3B88">
        <w:t xml:space="preserve"> and </w:t>
      </w:r>
      <w:r w:rsidR="004A5E3D">
        <w:t>inform</w:t>
      </w:r>
      <w:r w:rsidR="001D3B88">
        <w:t>ed</w:t>
      </w:r>
      <w:r w:rsidR="004A5E3D">
        <w:t xml:space="preserve"> the assessment on the minimum tests required for a patient with ischemic stroke in Australia to receive a diagnosis of cryptogenic stoke and be eligible for this intervention. </w:t>
      </w:r>
    </w:p>
    <w:p w14:paraId="2DABFE83" w14:textId="71182440" w:rsidR="009F15BB" w:rsidRDefault="009F15BB" w:rsidP="009F15BB">
      <w:r>
        <w:t>This proposed patient population is consistent with the pivotal trial evidence base from the CRYSTAL AF trial (</w:t>
      </w:r>
      <w:proofErr w:type="spellStart"/>
      <w:r w:rsidR="00D4314F">
        <w:t>Sanna</w:t>
      </w:r>
      <w:proofErr w:type="spellEnd"/>
      <w:r w:rsidR="00D4314F">
        <w:t xml:space="preserve"> et al</w:t>
      </w:r>
      <w:r w:rsidR="00C13E36">
        <w:t>.</w:t>
      </w:r>
      <w:r w:rsidR="009C0761">
        <w:t>,</w:t>
      </w:r>
      <w:r w:rsidR="00C13E36">
        <w:t xml:space="preserve"> </w:t>
      </w:r>
      <w:r w:rsidR="00D4314F">
        <w:t>2014</w:t>
      </w:r>
      <w:r>
        <w:t xml:space="preserve">). A framework for developing </w:t>
      </w:r>
      <w:r w:rsidR="00036B20">
        <w:t xml:space="preserve">the item descriptor for </w:t>
      </w:r>
      <w:r>
        <w:t>this indication is provided by MBS item number 38285, ILR for the diagnosis of primary disorder in patients with recurrent unexplained syncop</w:t>
      </w:r>
      <w:r w:rsidR="005930EC">
        <w:t>e, which is detailed in Figure 1</w:t>
      </w:r>
      <w:r>
        <w:t>.</w:t>
      </w:r>
    </w:p>
    <w:p w14:paraId="3A4FC4BA" w14:textId="38CCEA5E" w:rsidR="009F15BB" w:rsidRDefault="009F15BB" w:rsidP="009F15BB">
      <w:pPr>
        <w:pStyle w:val="Caption"/>
        <w:spacing w:after="120"/>
      </w:pPr>
      <w:r>
        <w:lastRenderedPageBreak/>
        <w:t xml:space="preserve">Figure </w:t>
      </w:r>
      <w:r>
        <w:fldChar w:fldCharType="begin"/>
      </w:r>
      <w:r>
        <w:instrText xml:space="preserve"> SEQ Figure \* ARABIC </w:instrText>
      </w:r>
      <w:r>
        <w:fldChar w:fldCharType="separate"/>
      </w:r>
      <w:r w:rsidR="00F3250E">
        <w:rPr>
          <w:noProof/>
        </w:rPr>
        <w:t>1</w:t>
      </w:r>
      <w:r>
        <w:fldChar w:fldCharType="end"/>
      </w:r>
      <w:r>
        <w:tab/>
        <w:t xml:space="preserve">MBS item 38285 - ILR in </w:t>
      </w:r>
      <w:r w:rsidRPr="00746819">
        <w:t>patients with recurrent unexplained syncope</w:t>
      </w:r>
    </w:p>
    <w:p w14:paraId="4CF26C5F" w14:textId="50201267" w:rsidR="00F374A4" w:rsidRDefault="00F3250E" w:rsidP="00235DA8">
      <w:pPr>
        <w:spacing w:after="240" w:line="240" w:lineRule="auto"/>
        <w:rPr>
          <w:b/>
          <w:i/>
          <w:sz w:val="18"/>
          <w:szCs w:val="18"/>
          <w:lang w:val="en-GB" w:eastAsia="ja-JP"/>
        </w:rPr>
      </w:pPr>
      <w:r>
        <w:rPr>
          <w:lang w:val="en-GB" w:eastAsia="ja-JP"/>
        </w:rPr>
        <w:object w:dxaOrig="17505" w:dyaOrig="8265" w14:anchorId="1930F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1 MBS item 38285 - ILR in patients with recurrent unexplained syncope" style="width:459pt;height:216.75pt;mso-position-vertical:absolute" o:ole="">
            <v:imagedata r:id="rId11" o:title=""/>
          </v:shape>
          <o:OLEObject Type="Embed" ProgID="PBrush" ShapeID="_x0000_i1025" DrawAspect="Content" ObjectID="_1545208201" r:id="rId12"/>
        </w:object>
      </w:r>
      <w:r w:rsidR="009C0761" w:rsidRPr="009C0761">
        <w:rPr>
          <w:sz w:val="18"/>
          <w:szCs w:val="18"/>
          <w:lang w:val="en-GB" w:eastAsia="ja-JP"/>
        </w:rPr>
        <w:t xml:space="preserve"> </w:t>
      </w:r>
      <w:r w:rsidR="00F374A4" w:rsidRPr="00235DA8">
        <w:rPr>
          <w:sz w:val="18"/>
          <w:szCs w:val="18"/>
          <w:lang w:val="en-GB" w:eastAsia="ja-JP"/>
        </w:rPr>
        <w:t xml:space="preserve">Source: </w:t>
      </w:r>
      <w:r w:rsidR="001E3936" w:rsidRPr="00235DA8">
        <w:rPr>
          <w:sz w:val="18"/>
          <w:szCs w:val="18"/>
          <w:lang w:val="en-GB" w:eastAsia="ja-JP"/>
        </w:rPr>
        <w:t>http://www.mbsonline.gov.au/</w:t>
      </w:r>
    </w:p>
    <w:p w14:paraId="74E04C39" w14:textId="1C99C001" w:rsidR="00846F5D" w:rsidRDefault="00BC4EFE" w:rsidP="00D27BD8">
      <w:pPr>
        <w:pStyle w:val="Quote"/>
      </w:pPr>
      <w:r w:rsidRPr="00BC4EFE">
        <w:t>Indicate if there is evidence for the population who would benefit from this service i.e. international evidence including inclusion / exclusion criteria.  If appropriate provide a table summarising the population considered in the evidence.</w:t>
      </w:r>
    </w:p>
    <w:p w14:paraId="035C00DD" w14:textId="77777777" w:rsidR="008B26E4" w:rsidRDefault="0038116E" w:rsidP="0038116E">
      <w:r>
        <w:t>The proposed population for ILR use in cryptogenic stroke is based on evidence from the CRYSTAL AF trial (</w:t>
      </w:r>
      <w:proofErr w:type="spellStart"/>
      <w:r w:rsidR="00D4314F">
        <w:t>Sanna</w:t>
      </w:r>
      <w:proofErr w:type="spellEnd"/>
      <w:r w:rsidR="00D4314F">
        <w:t xml:space="preserve"> et al</w:t>
      </w:r>
      <w:r w:rsidR="00C13E36">
        <w:t>.</w:t>
      </w:r>
      <w:r w:rsidR="00A95248">
        <w:t xml:space="preserve">, </w:t>
      </w:r>
      <w:r w:rsidR="00D4314F">
        <w:t>2014</w:t>
      </w:r>
      <w:r w:rsidR="00A95248">
        <w:t>; Sinha et al., 2010</w:t>
      </w:r>
      <w:r>
        <w:t xml:space="preserve">). This randomized, controlled study of 441 patients assessed whether long-term monitoring with an </w:t>
      </w:r>
      <w:r w:rsidR="00F36212">
        <w:t>ILR</w:t>
      </w:r>
      <w:r>
        <w:t xml:space="preserve"> is more effective than conventional follow-up (control) for detecting AF in patients with cryptogenic stroke.</w:t>
      </w:r>
    </w:p>
    <w:p w14:paraId="1B7125CB" w14:textId="77777777" w:rsidR="008B26E4" w:rsidRDefault="008B26E4" w:rsidP="008B26E4">
      <w:r>
        <w:t xml:space="preserve">In the CRYSTAL AF trial, 90.9% of patients randomised had a recent episode of cryptogenic ischemic stroke, and 9.1% of patients had a recent episode of cryptogenic symptomatic transient ischemic attack. However, the proposed patient population for this assessment does not include cryptogenic TIA. </w:t>
      </w:r>
    </w:p>
    <w:p w14:paraId="2D1726AE" w14:textId="7369251D" w:rsidR="0038116E" w:rsidRDefault="0038116E" w:rsidP="0038116E">
      <w:r>
        <w:t xml:space="preserve">The inclusion and exclusion criteria are detailed in Table </w:t>
      </w:r>
      <w:r w:rsidR="00652C52">
        <w:t>2</w:t>
      </w:r>
      <w:r>
        <w:t xml:space="preserve"> below.</w:t>
      </w:r>
    </w:p>
    <w:p w14:paraId="6C33B474" w14:textId="6FDF98A8" w:rsidR="0038116E" w:rsidRPr="00A961FB" w:rsidRDefault="0038116E" w:rsidP="00B80FEE">
      <w:pPr>
        <w:pStyle w:val="Caption"/>
        <w:spacing w:after="120"/>
        <w:rPr>
          <w:rFonts w:asciiTheme="minorHAnsi" w:hAnsiTheme="minorHAnsi" w:cstheme="minorHAnsi"/>
          <w:sz w:val="22"/>
        </w:rPr>
      </w:pPr>
      <w:r w:rsidRPr="00A961FB">
        <w:rPr>
          <w:rFonts w:asciiTheme="minorHAnsi" w:hAnsiTheme="minorHAnsi" w:cstheme="minorHAnsi"/>
          <w:sz w:val="22"/>
        </w:rPr>
        <w:lastRenderedPageBreak/>
        <w:t xml:space="preserve">Table </w:t>
      </w:r>
      <w:r w:rsidRPr="00A961FB">
        <w:rPr>
          <w:rFonts w:asciiTheme="minorHAnsi" w:hAnsiTheme="minorHAnsi" w:cstheme="minorHAnsi"/>
          <w:sz w:val="22"/>
        </w:rPr>
        <w:fldChar w:fldCharType="begin"/>
      </w:r>
      <w:r w:rsidRPr="00A961FB">
        <w:rPr>
          <w:rFonts w:asciiTheme="minorHAnsi" w:hAnsiTheme="minorHAnsi" w:cstheme="minorHAnsi"/>
          <w:sz w:val="22"/>
        </w:rPr>
        <w:instrText xml:space="preserve"> SEQ Table \* ARABIC </w:instrText>
      </w:r>
      <w:r w:rsidRPr="00A961FB">
        <w:rPr>
          <w:rFonts w:asciiTheme="minorHAnsi" w:hAnsiTheme="minorHAnsi" w:cstheme="minorHAnsi"/>
          <w:sz w:val="22"/>
        </w:rPr>
        <w:fldChar w:fldCharType="separate"/>
      </w:r>
      <w:r w:rsidR="00DC65DD">
        <w:rPr>
          <w:rFonts w:asciiTheme="minorHAnsi" w:hAnsiTheme="minorHAnsi" w:cstheme="minorHAnsi"/>
          <w:noProof/>
          <w:sz w:val="22"/>
        </w:rPr>
        <w:t>2</w:t>
      </w:r>
      <w:r w:rsidRPr="00A961FB">
        <w:rPr>
          <w:rFonts w:asciiTheme="minorHAnsi" w:hAnsiTheme="minorHAnsi" w:cstheme="minorHAnsi"/>
          <w:sz w:val="22"/>
        </w:rPr>
        <w:fldChar w:fldCharType="end"/>
      </w:r>
      <w:r w:rsidRPr="00A961FB">
        <w:rPr>
          <w:rFonts w:asciiTheme="minorHAnsi" w:hAnsiTheme="minorHAnsi" w:cstheme="minorHAnsi"/>
          <w:sz w:val="22"/>
        </w:rPr>
        <w:tab/>
        <w:t>CRYSTAL AF trial: inclusion and exclusion criteria</w:t>
      </w:r>
    </w:p>
    <w:tbl>
      <w:tblPr>
        <w:tblStyle w:val="TableGrid"/>
        <w:tblW w:w="9067" w:type="dxa"/>
        <w:tblLook w:val="04A0" w:firstRow="1" w:lastRow="0" w:firstColumn="1" w:lastColumn="0" w:noHBand="0" w:noVBand="1"/>
        <w:tblDescription w:val="Table 2 CRYSTAL AF trial: inclusion and exclusion criteria"/>
      </w:tblPr>
      <w:tblGrid>
        <w:gridCol w:w="9067"/>
      </w:tblGrid>
      <w:tr w:rsidR="0038116E" w14:paraId="548F7222" w14:textId="77777777" w:rsidTr="0035619F">
        <w:trPr>
          <w:tblHeader/>
        </w:trPr>
        <w:tc>
          <w:tcPr>
            <w:tcW w:w="9067" w:type="dxa"/>
            <w:shd w:val="clear" w:color="auto" w:fill="F2F2F2" w:themeFill="background1" w:themeFillShade="F2"/>
          </w:tcPr>
          <w:p w14:paraId="3473ABB8" w14:textId="37B19FEE" w:rsidR="0038116E" w:rsidRPr="002C3FCB" w:rsidRDefault="0038116E" w:rsidP="00B80FEE">
            <w:pPr>
              <w:keepNext/>
              <w:rPr>
                <w:b/>
                <w:lang w:val="en-GB" w:eastAsia="ja-JP"/>
              </w:rPr>
            </w:pPr>
            <w:r w:rsidRPr="002C3FCB">
              <w:rPr>
                <w:b/>
                <w:lang w:val="en-GB" w:eastAsia="ja-JP"/>
              </w:rPr>
              <w:t xml:space="preserve">Inclusion </w:t>
            </w:r>
            <w:r w:rsidR="0035619F">
              <w:rPr>
                <w:b/>
                <w:lang w:val="en-GB" w:eastAsia="ja-JP"/>
              </w:rPr>
              <w:t xml:space="preserve">and Exclusion </w:t>
            </w:r>
            <w:r w:rsidRPr="002C3FCB">
              <w:rPr>
                <w:b/>
                <w:lang w:val="en-GB" w:eastAsia="ja-JP"/>
              </w:rPr>
              <w:t>criteria</w:t>
            </w:r>
          </w:p>
        </w:tc>
      </w:tr>
      <w:tr w:rsidR="0038116E" w14:paraId="3823E27D" w14:textId="77777777" w:rsidTr="004C5FA2">
        <w:tc>
          <w:tcPr>
            <w:tcW w:w="9067" w:type="dxa"/>
          </w:tcPr>
          <w:p w14:paraId="1E1A5659" w14:textId="77777777" w:rsidR="0038116E" w:rsidRPr="00814A79" w:rsidRDefault="0038116E" w:rsidP="00B80FEE">
            <w:pPr>
              <w:pStyle w:val="ListParagraph"/>
              <w:keepNext/>
              <w:numPr>
                <w:ilvl w:val="0"/>
                <w:numId w:val="3"/>
              </w:numPr>
              <w:rPr>
                <w:lang w:val="en-GB" w:eastAsia="ja-JP"/>
              </w:rPr>
            </w:pPr>
            <w:r>
              <w:rPr>
                <w:lang w:val="en-GB" w:eastAsia="ja-JP"/>
              </w:rPr>
              <w:t xml:space="preserve">Recent episode (&lt;60 </w:t>
            </w:r>
            <w:r w:rsidRPr="00814A79">
              <w:rPr>
                <w:lang w:val="en-GB" w:eastAsia="ja-JP"/>
              </w:rPr>
              <w:t>d</w:t>
            </w:r>
            <w:r>
              <w:rPr>
                <w:lang w:val="en-GB" w:eastAsia="ja-JP"/>
              </w:rPr>
              <w:t>ays</w:t>
            </w:r>
            <w:r w:rsidRPr="00814A79">
              <w:rPr>
                <w:lang w:val="en-GB" w:eastAsia="ja-JP"/>
              </w:rPr>
              <w:t>) of cryptogenic symptomatic TIA</w:t>
            </w:r>
            <w:r w:rsidRPr="00814A79">
              <w:rPr>
                <w:rFonts w:ascii="Calibri" w:hAnsi="Calibri" w:cs="Calibri"/>
                <w:vertAlign w:val="superscript"/>
                <w:lang w:val="en-GB" w:eastAsia="ja-JP"/>
              </w:rPr>
              <w:t>*</w:t>
            </w:r>
            <w:r>
              <w:rPr>
                <w:lang w:val="en-GB" w:eastAsia="ja-JP"/>
              </w:rPr>
              <w:t xml:space="preserve"> </w:t>
            </w:r>
            <w:r w:rsidRPr="00814A79">
              <w:rPr>
                <w:lang w:val="en-GB" w:eastAsia="ja-JP"/>
              </w:rPr>
              <w:t>or recent episode of cryptogenic ischemic stroke.</w:t>
            </w:r>
          </w:p>
          <w:p w14:paraId="736F5F8F" w14:textId="77777777" w:rsidR="0038116E" w:rsidRPr="00814A79" w:rsidRDefault="0038116E" w:rsidP="00B80FEE">
            <w:pPr>
              <w:pStyle w:val="ListParagraph"/>
              <w:keepNext/>
              <w:numPr>
                <w:ilvl w:val="0"/>
                <w:numId w:val="5"/>
              </w:numPr>
              <w:rPr>
                <w:lang w:val="en-GB" w:eastAsia="ja-JP"/>
              </w:rPr>
            </w:pPr>
            <w:r w:rsidRPr="00814A79">
              <w:rPr>
                <w:lang w:val="en-GB" w:eastAsia="ja-JP"/>
              </w:rPr>
              <w:t>A stroke/TIA is considered to be cryptogenic if no possible cause can be determined despite extensive workup according to the standard protocol of the participating centre.</w:t>
            </w:r>
          </w:p>
          <w:p w14:paraId="12B1D8E1" w14:textId="77777777" w:rsidR="0038116E" w:rsidRPr="00814A79" w:rsidRDefault="0038116E" w:rsidP="00B80FEE">
            <w:pPr>
              <w:pStyle w:val="ListParagraph"/>
              <w:keepNext/>
              <w:numPr>
                <w:ilvl w:val="0"/>
                <w:numId w:val="5"/>
              </w:numPr>
              <w:rPr>
                <w:lang w:val="en-GB" w:eastAsia="ja-JP"/>
              </w:rPr>
            </w:pPr>
            <w:r w:rsidRPr="00814A79">
              <w:rPr>
                <w:lang w:val="en-GB" w:eastAsia="ja-JP"/>
              </w:rPr>
              <w:t>Before randomization, the following tests are minimally required as standard tests to establish the diagnosis of cryptogenic stroke:</w:t>
            </w:r>
          </w:p>
          <w:p w14:paraId="4BD9E0D1" w14:textId="77777777" w:rsidR="0038116E" w:rsidRDefault="0038116E" w:rsidP="00B80FEE">
            <w:pPr>
              <w:pStyle w:val="ListParagraph"/>
              <w:keepNext/>
              <w:numPr>
                <w:ilvl w:val="0"/>
                <w:numId w:val="4"/>
              </w:numPr>
              <w:rPr>
                <w:lang w:val="en-GB" w:eastAsia="ja-JP"/>
              </w:rPr>
            </w:pPr>
            <w:r w:rsidRPr="00814A79">
              <w:rPr>
                <w:lang w:val="en-GB" w:eastAsia="ja-JP"/>
              </w:rPr>
              <w:t>MRI or CT</w:t>
            </w:r>
          </w:p>
          <w:p w14:paraId="00928ACC" w14:textId="77777777" w:rsidR="0038116E" w:rsidRDefault="0038116E" w:rsidP="00B80FEE">
            <w:pPr>
              <w:pStyle w:val="ListParagraph"/>
              <w:keepNext/>
              <w:numPr>
                <w:ilvl w:val="0"/>
                <w:numId w:val="4"/>
              </w:numPr>
              <w:rPr>
                <w:lang w:val="en-GB" w:eastAsia="ja-JP"/>
              </w:rPr>
            </w:pPr>
            <w:r w:rsidRPr="00814A79">
              <w:rPr>
                <w:lang w:val="en-GB" w:eastAsia="ja-JP"/>
              </w:rPr>
              <w:t>12-lead ECG for AF detection</w:t>
            </w:r>
          </w:p>
          <w:p w14:paraId="10E3518F" w14:textId="77777777" w:rsidR="0038116E" w:rsidRDefault="0038116E" w:rsidP="00B80FEE">
            <w:pPr>
              <w:pStyle w:val="ListParagraph"/>
              <w:keepNext/>
              <w:numPr>
                <w:ilvl w:val="0"/>
                <w:numId w:val="4"/>
              </w:numPr>
              <w:rPr>
                <w:lang w:val="en-GB" w:eastAsia="ja-JP"/>
              </w:rPr>
            </w:pPr>
            <w:r w:rsidRPr="00814A79">
              <w:rPr>
                <w:lang w:val="en-GB" w:eastAsia="ja-JP"/>
              </w:rPr>
              <w:t>24-h ECG monitoring for AF detection and PAC analysis (</w:t>
            </w:r>
            <w:proofErr w:type="spellStart"/>
            <w:r w:rsidRPr="00814A79">
              <w:rPr>
                <w:lang w:val="en-GB" w:eastAsia="ja-JP"/>
              </w:rPr>
              <w:t>eg</w:t>
            </w:r>
            <w:proofErr w:type="spellEnd"/>
            <w:r w:rsidRPr="00814A79">
              <w:rPr>
                <w:lang w:val="en-GB" w:eastAsia="ja-JP"/>
              </w:rPr>
              <w:t xml:space="preserve">, </w:t>
            </w:r>
            <w:proofErr w:type="spellStart"/>
            <w:r w:rsidRPr="00814A79">
              <w:rPr>
                <w:lang w:val="en-GB" w:eastAsia="ja-JP"/>
              </w:rPr>
              <w:t>Holter</w:t>
            </w:r>
            <w:proofErr w:type="spellEnd"/>
            <w:r w:rsidRPr="00814A79">
              <w:rPr>
                <w:lang w:val="en-GB" w:eastAsia="ja-JP"/>
              </w:rPr>
              <w:t>)</w:t>
            </w:r>
          </w:p>
          <w:p w14:paraId="7BBC9D2F" w14:textId="77777777" w:rsidR="0038116E" w:rsidRDefault="0038116E" w:rsidP="00B80FEE">
            <w:pPr>
              <w:pStyle w:val="ListParagraph"/>
              <w:keepNext/>
              <w:numPr>
                <w:ilvl w:val="0"/>
                <w:numId w:val="4"/>
              </w:numPr>
              <w:rPr>
                <w:lang w:val="en-GB" w:eastAsia="ja-JP"/>
              </w:rPr>
            </w:pPr>
            <w:r w:rsidRPr="00814A79">
              <w:rPr>
                <w:lang w:val="en-GB" w:eastAsia="ja-JP"/>
              </w:rPr>
              <w:t>TEE</w:t>
            </w:r>
          </w:p>
          <w:p w14:paraId="0DE70F4C" w14:textId="77777777" w:rsidR="0038116E" w:rsidRPr="00814A79" w:rsidRDefault="0038116E" w:rsidP="00B80FEE">
            <w:pPr>
              <w:pStyle w:val="ListParagraph"/>
              <w:keepNext/>
              <w:numPr>
                <w:ilvl w:val="0"/>
                <w:numId w:val="4"/>
              </w:numPr>
              <w:rPr>
                <w:lang w:val="en-GB" w:eastAsia="ja-JP"/>
              </w:rPr>
            </w:pPr>
            <w:r w:rsidRPr="00814A79">
              <w:rPr>
                <w:lang w:val="en-GB" w:eastAsia="ja-JP"/>
              </w:rPr>
              <w:t>CTA or MRA of head and neck to rule out other causes of stroke pathologies</w:t>
            </w:r>
          </w:p>
          <w:p w14:paraId="7442922D" w14:textId="77777777" w:rsidR="0038116E" w:rsidRPr="00814A79" w:rsidRDefault="0038116E" w:rsidP="00B80FEE">
            <w:pPr>
              <w:keepNext/>
              <w:rPr>
                <w:lang w:val="en-GB" w:eastAsia="ja-JP"/>
              </w:rPr>
            </w:pPr>
            <w:r w:rsidRPr="00814A79">
              <w:rPr>
                <w:lang w:val="en-GB" w:eastAsia="ja-JP"/>
              </w:rPr>
              <w:t>2. Patient or legally authorized representative is willing to sign patient consent form</w:t>
            </w:r>
          </w:p>
          <w:p w14:paraId="38EEB1B3" w14:textId="77777777" w:rsidR="0038116E" w:rsidRDefault="0038116E" w:rsidP="00B80FEE">
            <w:pPr>
              <w:keepNext/>
              <w:rPr>
                <w:lang w:val="en-GB" w:eastAsia="ja-JP"/>
              </w:rPr>
            </w:pPr>
            <w:r w:rsidRPr="00814A79">
              <w:rPr>
                <w:lang w:val="en-GB" w:eastAsia="ja-JP"/>
              </w:rPr>
              <w:t>3. Patient is ≥40 y</w:t>
            </w:r>
            <w:r>
              <w:rPr>
                <w:lang w:val="en-GB" w:eastAsia="ja-JP"/>
              </w:rPr>
              <w:t>ears</w:t>
            </w:r>
            <w:r w:rsidRPr="00814A79">
              <w:rPr>
                <w:lang w:val="en-GB" w:eastAsia="ja-JP"/>
              </w:rPr>
              <w:t xml:space="preserve"> old</w:t>
            </w:r>
          </w:p>
        </w:tc>
      </w:tr>
      <w:tr w:rsidR="0038116E" w14:paraId="565D944A" w14:textId="77777777" w:rsidTr="004C5FA2">
        <w:tc>
          <w:tcPr>
            <w:tcW w:w="9067" w:type="dxa"/>
            <w:shd w:val="clear" w:color="auto" w:fill="F2F2F2" w:themeFill="background1" w:themeFillShade="F2"/>
          </w:tcPr>
          <w:p w14:paraId="53B4B3AB" w14:textId="77777777" w:rsidR="0038116E" w:rsidRPr="00814A79" w:rsidRDefault="0038116E" w:rsidP="00B80FEE">
            <w:pPr>
              <w:keepNext/>
              <w:rPr>
                <w:b/>
                <w:lang w:val="en-GB" w:eastAsia="ja-JP"/>
              </w:rPr>
            </w:pPr>
            <w:r w:rsidRPr="00814A79">
              <w:rPr>
                <w:b/>
                <w:lang w:val="en-GB" w:eastAsia="ja-JP"/>
              </w:rPr>
              <w:t>Exclusion criteria</w:t>
            </w:r>
          </w:p>
        </w:tc>
      </w:tr>
      <w:tr w:rsidR="0038116E" w14:paraId="5744FD2B" w14:textId="77777777" w:rsidTr="004C5FA2">
        <w:tc>
          <w:tcPr>
            <w:tcW w:w="9067" w:type="dxa"/>
          </w:tcPr>
          <w:p w14:paraId="5F0ECDAC" w14:textId="77777777" w:rsidR="0038116E" w:rsidRDefault="0038116E" w:rsidP="00B80FEE">
            <w:pPr>
              <w:pStyle w:val="ListParagraph"/>
              <w:keepNext/>
              <w:numPr>
                <w:ilvl w:val="0"/>
                <w:numId w:val="6"/>
              </w:numPr>
              <w:rPr>
                <w:lang w:val="en-GB" w:eastAsia="ja-JP"/>
              </w:rPr>
            </w:pPr>
            <w:r w:rsidRPr="00814A79">
              <w:rPr>
                <w:lang w:val="en-GB" w:eastAsia="ja-JP"/>
              </w:rPr>
              <w:t xml:space="preserve">Patient has known aetiology of the TIA or stroke (based on </w:t>
            </w:r>
            <w:proofErr w:type="spellStart"/>
            <w:r w:rsidRPr="00814A79">
              <w:rPr>
                <w:lang w:val="en-GB" w:eastAsia="ja-JP"/>
              </w:rPr>
              <w:t>neuro</w:t>
            </w:r>
            <w:proofErr w:type="spellEnd"/>
            <w:r w:rsidRPr="00814A79">
              <w:rPr>
                <w:lang w:val="en-GB" w:eastAsia="ja-JP"/>
              </w:rPr>
              <w:t>-/cardiac/vascular imaging), such as:</w:t>
            </w:r>
          </w:p>
          <w:p w14:paraId="55F523D0" w14:textId="77777777" w:rsidR="0038116E" w:rsidRDefault="0038116E" w:rsidP="00B80FEE">
            <w:pPr>
              <w:pStyle w:val="ListParagraph"/>
              <w:keepNext/>
              <w:numPr>
                <w:ilvl w:val="0"/>
                <w:numId w:val="5"/>
              </w:numPr>
              <w:rPr>
                <w:lang w:val="en-GB" w:eastAsia="ja-JP"/>
              </w:rPr>
            </w:pPr>
            <w:r w:rsidRPr="00814A79">
              <w:rPr>
                <w:lang w:val="en-GB" w:eastAsia="ja-JP"/>
              </w:rPr>
              <w:t>Angiographic signs of large-artery atherosclerosis (MRA, CTA, or digital subtraction angiography) in the artery feeding the acute ischemic territory</w:t>
            </w:r>
          </w:p>
          <w:p w14:paraId="386BC4B8" w14:textId="77777777" w:rsidR="0038116E" w:rsidRDefault="0038116E" w:rsidP="00B80FEE">
            <w:pPr>
              <w:pStyle w:val="ListParagraph"/>
              <w:keepNext/>
              <w:numPr>
                <w:ilvl w:val="0"/>
                <w:numId w:val="5"/>
              </w:numPr>
              <w:rPr>
                <w:lang w:val="en-GB" w:eastAsia="ja-JP"/>
              </w:rPr>
            </w:pPr>
            <w:r w:rsidRPr="00814A79">
              <w:rPr>
                <w:lang w:val="en-GB" w:eastAsia="ja-JP"/>
              </w:rPr>
              <w:t>Radiographic appearance consistent with acute small-artery occlusion, with lesion b1 cm in diameter (DWI or CT).</w:t>
            </w:r>
          </w:p>
          <w:p w14:paraId="19669EBD" w14:textId="77777777" w:rsidR="0038116E" w:rsidRDefault="0038116E" w:rsidP="00B80FEE">
            <w:pPr>
              <w:pStyle w:val="ListParagraph"/>
              <w:keepNext/>
              <w:numPr>
                <w:ilvl w:val="0"/>
                <w:numId w:val="5"/>
              </w:numPr>
              <w:rPr>
                <w:lang w:val="en-GB" w:eastAsia="ja-JP"/>
              </w:rPr>
            </w:pPr>
            <w:r w:rsidRPr="00814A79">
              <w:rPr>
                <w:lang w:val="en-GB" w:eastAsia="ja-JP"/>
              </w:rPr>
              <w:t xml:space="preserve">Evidence of a high-risk cardiac or aortic arch source of embolism (LV or LA thrombus or “smoke,” </w:t>
            </w:r>
            <w:proofErr w:type="spellStart"/>
            <w:r w:rsidRPr="00814A79">
              <w:rPr>
                <w:lang w:val="en-GB" w:eastAsia="ja-JP"/>
              </w:rPr>
              <w:t>emboligenic</w:t>
            </w:r>
            <w:proofErr w:type="spellEnd"/>
            <w:r w:rsidRPr="00814A79">
              <w:rPr>
                <w:lang w:val="en-GB" w:eastAsia="ja-JP"/>
              </w:rPr>
              <w:t xml:space="preserve"> </w:t>
            </w:r>
            <w:proofErr w:type="spellStart"/>
            <w:r w:rsidRPr="00814A79">
              <w:rPr>
                <w:lang w:val="en-GB" w:eastAsia="ja-JP"/>
              </w:rPr>
              <w:t>valvular</w:t>
            </w:r>
            <w:proofErr w:type="spellEnd"/>
            <w:r w:rsidRPr="00814A79">
              <w:rPr>
                <w:lang w:val="en-GB" w:eastAsia="ja-JP"/>
              </w:rPr>
              <w:t xml:space="preserve"> lesion or tumour, PFO with extant</w:t>
            </w:r>
            <w:r>
              <w:rPr>
                <w:lang w:val="en-GB" w:eastAsia="ja-JP"/>
              </w:rPr>
              <w:t xml:space="preserve"> </w:t>
            </w:r>
            <w:r w:rsidRPr="00814A79">
              <w:rPr>
                <w:lang w:val="en-GB" w:eastAsia="ja-JP"/>
              </w:rPr>
              <w:t>source of venous thromboembolism, aortic arch plaque N3 mm thick or with mobile components or any other high-risk lesion)</w:t>
            </w:r>
          </w:p>
          <w:p w14:paraId="10E46E9D" w14:textId="77777777" w:rsidR="0038116E" w:rsidRDefault="0038116E" w:rsidP="00B80FEE">
            <w:pPr>
              <w:pStyle w:val="ListParagraph"/>
              <w:keepNext/>
              <w:numPr>
                <w:ilvl w:val="0"/>
                <w:numId w:val="5"/>
              </w:numPr>
              <w:rPr>
                <w:lang w:val="en-GB" w:eastAsia="ja-JP"/>
              </w:rPr>
            </w:pPr>
            <w:r w:rsidRPr="00814A79">
              <w:rPr>
                <w:lang w:val="en-GB" w:eastAsia="ja-JP"/>
              </w:rPr>
              <w:t xml:space="preserve">History of spontaneous </w:t>
            </w:r>
            <w:r>
              <w:rPr>
                <w:lang w:val="en-GB" w:eastAsia="ja-JP"/>
              </w:rPr>
              <w:t>DVT</w:t>
            </w:r>
          </w:p>
          <w:p w14:paraId="2674281F" w14:textId="77777777" w:rsidR="0038116E" w:rsidRPr="00137D43" w:rsidRDefault="0038116E" w:rsidP="00B80FEE">
            <w:pPr>
              <w:pStyle w:val="ListParagraph"/>
              <w:keepNext/>
              <w:numPr>
                <w:ilvl w:val="0"/>
                <w:numId w:val="5"/>
              </w:numPr>
              <w:rPr>
                <w:lang w:val="en-GB" w:eastAsia="ja-JP"/>
              </w:rPr>
            </w:pPr>
            <w:r w:rsidRPr="00814A79">
              <w:rPr>
                <w:lang w:val="en-GB" w:eastAsia="ja-JP"/>
              </w:rPr>
              <w:t xml:space="preserve">Stroke of other determined cause such as presence of </w:t>
            </w:r>
            <w:proofErr w:type="spellStart"/>
            <w:r w:rsidRPr="00814A79">
              <w:rPr>
                <w:lang w:val="en-GB" w:eastAsia="ja-JP"/>
              </w:rPr>
              <w:t>nonatherosclerotic</w:t>
            </w:r>
            <w:proofErr w:type="spellEnd"/>
            <w:r w:rsidRPr="00814A79">
              <w:rPr>
                <w:lang w:val="en-GB" w:eastAsia="ja-JP"/>
              </w:rPr>
              <w:t xml:space="preserve"> </w:t>
            </w:r>
            <w:proofErr w:type="spellStart"/>
            <w:r w:rsidRPr="00814A79">
              <w:rPr>
                <w:lang w:val="en-GB" w:eastAsia="ja-JP"/>
              </w:rPr>
              <w:t>vasculopathies</w:t>
            </w:r>
            <w:proofErr w:type="spellEnd"/>
            <w:r w:rsidRPr="00814A79">
              <w:rPr>
                <w:lang w:val="en-GB" w:eastAsia="ja-JP"/>
              </w:rPr>
              <w:t xml:space="preserve">, </w:t>
            </w:r>
            <w:proofErr w:type="spellStart"/>
            <w:r w:rsidRPr="00814A79">
              <w:rPr>
                <w:lang w:val="en-GB" w:eastAsia="ja-JP"/>
              </w:rPr>
              <w:t>hypercoagulable</w:t>
            </w:r>
            <w:proofErr w:type="spellEnd"/>
            <w:r w:rsidRPr="00814A79">
              <w:rPr>
                <w:lang w:val="en-GB" w:eastAsia="ja-JP"/>
              </w:rPr>
              <w:t xml:space="preserve"> states (must be tested in</w:t>
            </w:r>
            <w:r>
              <w:rPr>
                <w:lang w:val="en-GB" w:eastAsia="ja-JP"/>
              </w:rPr>
              <w:t xml:space="preserve"> patients &lt;</w:t>
            </w:r>
            <w:r w:rsidRPr="00814A79">
              <w:rPr>
                <w:lang w:val="en-GB" w:eastAsia="ja-JP"/>
              </w:rPr>
              <w:t>55 y</w:t>
            </w:r>
            <w:r>
              <w:rPr>
                <w:lang w:val="en-GB" w:eastAsia="ja-JP"/>
              </w:rPr>
              <w:t>ears</w:t>
            </w:r>
            <w:r w:rsidRPr="00814A79">
              <w:rPr>
                <w:lang w:val="en-GB" w:eastAsia="ja-JP"/>
              </w:rPr>
              <w:t xml:space="preserve"> old) and</w:t>
            </w:r>
            <w:r>
              <w:rPr>
                <w:lang w:val="en-GB" w:eastAsia="ja-JP"/>
              </w:rPr>
              <w:t xml:space="preserve"> </w:t>
            </w:r>
            <w:r w:rsidRPr="00137D43">
              <w:rPr>
                <w:lang w:val="en-GB" w:eastAsia="ja-JP"/>
              </w:rPr>
              <w:t>h</w:t>
            </w:r>
            <w:r>
              <w:rPr>
                <w:lang w:val="en-GB" w:eastAsia="ja-JP"/>
              </w:rPr>
              <w:t>a</w:t>
            </w:r>
            <w:r w:rsidRPr="00137D43">
              <w:rPr>
                <w:lang w:val="en-GB" w:eastAsia="ja-JP"/>
              </w:rPr>
              <w:t>ematological disorders</w:t>
            </w:r>
          </w:p>
          <w:p w14:paraId="5133F1BF" w14:textId="77777777" w:rsidR="0038116E" w:rsidRPr="00814A79" w:rsidRDefault="0038116E" w:rsidP="00B80FEE">
            <w:pPr>
              <w:pStyle w:val="ListParagraph"/>
              <w:keepNext/>
              <w:numPr>
                <w:ilvl w:val="0"/>
                <w:numId w:val="6"/>
              </w:numPr>
              <w:rPr>
                <w:lang w:val="en-GB" w:eastAsia="ja-JP"/>
              </w:rPr>
            </w:pPr>
            <w:r w:rsidRPr="00814A79">
              <w:rPr>
                <w:lang w:val="en-GB" w:eastAsia="ja-JP"/>
              </w:rPr>
              <w:t>Patient has untreated hyperthyroidism.</w:t>
            </w:r>
          </w:p>
          <w:p w14:paraId="50CE06F9" w14:textId="77777777" w:rsidR="0038116E" w:rsidRPr="00814A79" w:rsidRDefault="0038116E" w:rsidP="00B80FEE">
            <w:pPr>
              <w:pStyle w:val="ListParagraph"/>
              <w:keepNext/>
              <w:numPr>
                <w:ilvl w:val="0"/>
                <w:numId w:val="6"/>
              </w:numPr>
              <w:rPr>
                <w:lang w:val="en-GB" w:eastAsia="ja-JP"/>
              </w:rPr>
            </w:pPr>
            <w:r w:rsidRPr="00814A79">
              <w:rPr>
                <w:lang w:val="en-GB" w:eastAsia="ja-JP"/>
              </w:rPr>
              <w:t>Pati</w:t>
            </w:r>
            <w:r>
              <w:rPr>
                <w:lang w:val="en-GB" w:eastAsia="ja-JP"/>
              </w:rPr>
              <w:t>ents had myocardial infarction &lt;</w:t>
            </w:r>
            <w:r w:rsidRPr="00814A79">
              <w:rPr>
                <w:lang w:val="en-GB" w:eastAsia="ja-JP"/>
              </w:rPr>
              <w:t>1 m</w:t>
            </w:r>
            <w:r>
              <w:rPr>
                <w:lang w:val="en-GB" w:eastAsia="ja-JP"/>
              </w:rPr>
              <w:t>onth</w:t>
            </w:r>
            <w:r w:rsidRPr="00814A79">
              <w:rPr>
                <w:lang w:val="en-GB" w:eastAsia="ja-JP"/>
              </w:rPr>
              <w:t xml:space="preserve"> before stroke/TIA.</w:t>
            </w:r>
          </w:p>
          <w:p w14:paraId="0AEE6F74" w14:textId="77777777" w:rsidR="0038116E" w:rsidRPr="00814A79" w:rsidRDefault="0038116E" w:rsidP="00B80FEE">
            <w:pPr>
              <w:pStyle w:val="ListParagraph"/>
              <w:keepNext/>
              <w:numPr>
                <w:ilvl w:val="0"/>
                <w:numId w:val="6"/>
              </w:numPr>
              <w:rPr>
                <w:lang w:val="en-GB" w:eastAsia="ja-JP"/>
              </w:rPr>
            </w:pPr>
            <w:r w:rsidRPr="00814A79">
              <w:rPr>
                <w:lang w:val="en-GB" w:eastAsia="ja-JP"/>
              </w:rPr>
              <w:lastRenderedPageBreak/>
              <w:t>Patien</w:t>
            </w:r>
            <w:r>
              <w:rPr>
                <w:lang w:val="en-GB" w:eastAsia="ja-JP"/>
              </w:rPr>
              <w:t>t had coronary bypass grafting &lt;</w:t>
            </w:r>
            <w:r w:rsidRPr="00814A79">
              <w:rPr>
                <w:lang w:val="en-GB" w:eastAsia="ja-JP"/>
              </w:rPr>
              <w:t>1 m</w:t>
            </w:r>
            <w:r>
              <w:rPr>
                <w:lang w:val="en-GB" w:eastAsia="ja-JP"/>
              </w:rPr>
              <w:t>onth</w:t>
            </w:r>
            <w:r w:rsidRPr="00814A79">
              <w:rPr>
                <w:lang w:val="en-GB" w:eastAsia="ja-JP"/>
              </w:rPr>
              <w:t xml:space="preserve"> before stroke/TIA.</w:t>
            </w:r>
          </w:p>
          <w:p w14:paraId="78366551" w14:textId="77777777" w:rsidR="0038116E" w:rsidRPr="00814A79" w:rsidRDefault="0038116E" w:rsidP="00B80FEE">
            <w:pPr>
              <w:pStyle w:val="ListParagraph"/>
              <w:keepNext/>
              <w:numPr>
                <w:ilvl w:val="0"/>
                <w:numId w:val="6"/>
              </w:numPr>
              <w:rPr>
                <w:lang w:val="en-GB" w:eastAsia="ja-JP"/>
              </w:rPr>
            </w:pPr>
            <w:r w:rsidRPr="00814A79">
              <w:rPr>
                <w:lang w:val="en-GB" w:eastAsia="ja-JP"/>
              </w:rPr>
              <w:t xml:space="preserve">Patient has </w:t>
            </w:r>
            <w:proofErr w:type="spellStart"/>
            <w:r w:rsidRPr="00814A79">
              <w:rPr>
                <w:lang w:val="en-GB" w:eastAsia="ja-JP"/>
              </w:rPr>
              <w:t>valvular</w:t>
            </w:r>
            <w:proofErr w:type="spellEnd"/>
            <w:r w:rsidRPr="00814A79">
              <w:rPr>
                <w:lang w:val="en-GB" w:eastAsia="ja-JP"/>
              </w:rPr>
              <w:t xml:space="preserve"> disease requiring immediate surgical intervention.</w:t>
            </w:r>
          </w:p>
          <w:p w14:paraId="59D9CCC2" w14:textId="77777777" w:rsidR="0038116E" w:rsidRPr="00814A79" w:rsidRDefault="0038116E" w:rsidP="00B80FEE">
            <w:pPr>
              <w:pStyle w:val="ListParagraph"/>
              <w:keepNext/>
              <w:numPr>
                <w:ilvl w:val="0"/>
                <w:numId w:val="6"/>
              </w:numPr>
              <w:rPr>
                <w:lang w:val="en-GB" w:eastAsia="ja-JP"/>
              </w:rPr>
            </w:pPr>
            <w:r w:rsidRPr="00814A79">
              <w:rPr>
                <w:lang w:val="en-GB" w:eastAsia="ja-JP"/>
              </w:rPr>
              <w:t>Patient has documented history of AF or atrial flutter.</w:t>
            </w:r>
          </w:p>
          <w:p w14:paraId="139123E4" w14:textId="77777777" w:rsidR="0038116E" w:rsidRPr="00814A79" w:rsidRDefault="0038116E" w:rsidP="00B80FEE">
            <w:pPr>
              <w:pStyle w:val="ListParagraph"/>
              <w:keepNext/>
              <w:numPr>
                <w:ilvl w:val="0"/>
                <w:numId w:val="6"/>
              </w:numPr>
              <w:rPr>
                <w:lang w:val="en-GB" w:eastAsia="ja-JP"/>
              </w:rPr>
            </w:pPr>
            <w:r w:rsidRPr="00814A79">
              <w:rPr>
                <w:lang w:val="en-GB" w:eastAsia="ja-JP"/>
              </w:rPr>
              <w:t>Patient has presence of a PFO, and PFO is/was an indication to start OAC in the patient according to the ESO guidelines.5</w:t>
            </w:r>
          </w:p>
          <w:p w14:paraId="421AAD82" w14:textId="77777777" w:rsidR="0038116E" w:rsidRPr="00814A79" w:rsidRDefault="0038116E" w:rsidP="00B80FEE">
            <w:pPr>
              <w:pStyle w:val="ListParagraph"/>
              <w:keepNext/>
              <w:numPr>
                <w:ilvl w:val="0"/>
                <w:numId w:val="6"/>
              </w:numPr>
              <w:rPr>
                <w:lang w:val="en-GB" w:eastAsia="ja-JP"/>
              </w:rPr>
            </w:pPr>
            <w:r w:rsidRPr="00814A79">
              <w:rPr>
                <w:lang w:val="en-GB" w:eastAsia="ja-JP"/>
              </w:rPr>
              <w:t>Patient has permanent indication for anticoagulation at enrolment.</w:t>
            </w:r>
          </w:p>
          <w:p w14:paraId="147F193D" w14:textId="77777777" w:rsidR="0038116E" w:rsidRPr="00814A79" w:rsidRDefault="0038116E" w:rsidP="00B80FEE">
            <w:pPr>
              <w:pStyle w:val="ListParagraph"/>
              <w:keepNext/>
              <w:numPr>
                <w:ilvl w:val="0"/>
                <w:numId w:val="6"/>
              </w:numPr>
              <w:rPr>
                <w:lang w:val="en-GB" w:eastAsia="ja-JP"/>
              </w:rPr>
            </w:pPr>
            <w:r w:rsidRPr="00814A79">
              <w:rPr>
                <w:lang w:val="en-GB" w:eastAsia="ja-JP"/>
              </w:rPr>
              <w:t>Patient has permanent OAC contraindication.</w:t>
            </w:r>
          </w:p>
          <w:p w14:paraId="6AF7F7CC" w14:textId="77777777" w:rsidR="0038116E" w:rsidRPr="00814A79" w:rsidRDefault="0038116E" w:rsidP="00B80FEE">
            <w:pPr>
              <w:pStyle w:val="ListParagraph"/>
              <w:keepNext/>
              <w:numPr>
                <w:ilvl w:val="0"/>
                <w:numId w:val="6"/>
              </w:numPr>
              <w:rPr>
                <w:lang w:val="en-GB" w:eastAsia="ja-JP"/>
              </w:rPr>
            </w:pPr>
            <w:r w:rsidRPr="00814A79">
              <w:rPr>
                <w:lang w:val="en-GB" w:eastAsia="ja-JP"/>
              </w:rPr>
              <w:t>Patient is already included in another clinical trial that will affect the objectives of this study.</w:t>
            </w:r>
          </w:p>
          <w:p w14:paraId="45EA479E" w14:textId="77777777" w:rsidR="0038116E" w:rsidRPr="00814A79" w:rsidRDefault="0038116E" w:rsidP="00B80FEE">
            <w:pPr>
              <w:pStyle w:val="ListParagraph"/>
              <w:keepNext/>
              <w:numPr>
                <w:ilvl w:val="0"/>
                <w:numId w:val="6"/>
              </w:numPr>
              <w:rPr>
                <w:lang w:val="en-GB" w:eastAsia="ja-JP"/>
              </w:rPr>
            </w:pPr>
            <w:r w:rsidRPr="00814A79">
              <w:rPr>
                <w:lang w:val="en-GB" w:eastAsia="ja-JP"/>
              </w:rPr>
              <w:t xml:space="preserve">Patient's life expectancy </w:t>
            </w:r>
            <w:r>
              <w:rPr>
                <w:lang w:val="en-GB" w:eastAsia="ja-JP"/>
              </w:rPr>
              <w:t>is &lt;</w:t>
            </w:r>
            <w:r w:rsidRPr="00814A79">
              <w:rPr>
                <w:lang w:val="en-GB" w:eastAsia="ja-JP"/>
              </w:rPr>
              <w:t>1 y</w:t>
            </w:r>
            <w:r>
              <w:rPr>
                <w:lang w:val="en-GB" w:eastAsia="ja-JP"/>
              </w:rPr>
              <w:t>ear</w:t>
            </w:r>
            <w:r w:rsidRPr="00814A79">
              <w:rPr>
                <w:lang w:val="en-GB" w:eastAsia="ja-JP"/>
              </w:rPr>
              <w:t>.</w:t>
            </w:r>
          </w:p>
          <w:p w14:paraId="47CA51A3" w14:textId="77777777" w:rsidR="0038116E" w:rsidRPr="00814A79" w:rsidRDefault="0038116E" w:rsidP="00B80FEE">
            <w:pPr>
              <w:pStyle w:val="ListParagraph"/>
              <w:keepNext/>
              <w:numPr>
                <w:ilvl w:val="0"/>
                <w:numId w:val="6"/>
              </w:numPr>
              <w:rPr>
                <w:lang w:val="en-GB" w:eastAsia="ja-JP"/>
              </w:rPr>
            </w:pPr>
            <w:r w:rsidRPr="00814A79">
              <w:rPr>
                <w:lang w:val="en-GB" w:eastAsia="ja-JP"/>
              </w:rPr>
              <w:t>Patient is pregnant.</w:t>
            </w:r>
          </w:p>
          <w:p w14:paraId="37AAC0DE" w14:textId="77777777" w:rsidR="0038116E" w:rsidRPr="00814A79" w:rsidRDefault="0038116E" w:rsidP="00B80FEE">
            <w:pPr>
              <w:pStyle w:val="ListParagraph"/>
              <w:keepNext/>
              <w:numPr>
                <w:ilvl w:val="0"/>
                <w:numId w:val="6"/>
              </w:numPr>
              <w:rPr>
                <w:lang w:val="en-GB" w:eastAsia="ja-JP"/>
              </w:rPr>
            </w:pPr>
            <w:r w:rsidRPr="00814A79">
              <w:rPr>
                <w:lang w:val="en-GB" w:eastAsia="ja-JP"/>
              </w:rPr>
              <w:t>Patient is indicated for implant with a pacemaker, ICD, CRT device, or an implantable hemodynamic monitoring system</w:t>
            </w:r>
          </w:p>
          <w:p w14:paraId="2CB5D8A5" w14:textId="77777777" w:rsidR="0038116E" w:rsidRPr="00814A79" w:rsidRDefault="0038116E" w:rsidP="00B80FEE">
            <w:pPr>
              <w:pStyle w:val="ListParagraph"/>
              <w:keepNext/>
              <w:numPr>
                <w:ilvl w:val="0"/>
                <w:numId w:val="6"/>
              </w:numPr>
              <w:rPr>
                <w:lang w:val="en-GB" w:eastAsia="ja-JP"/>
              </w:rPr>
            </w:pPr>
            <w:r w:rsidRPr="00814A79">
              <w:rPr>
                <w:lang w:val="en-GB" w:eastAsia="ja-JP"/>
              </w:rPr>
              <w:t>Patient is not fit, or is unable or unwilling to follow the required procedures of the Clinical Investigation Plan.</w:t>
            </w:r>
          </w:p>
        </w:tc>
      </w:tr>
    </w:tbl>
    <w:p w14:paraId="29FD1E55" w14:textId="4DA15B08" w:rsidR="00AE1C80" w:rsidRDefault="00AE1C80" w:rsidP="00AE1C80">
      <w:pPr>
        <w:spacing w:after="0" w:line="240" w:lineRule="auto"/>
        <w:rPr>
          <w:sz w:val="18"/>
          <w:szCs w:val="18"/>
          <w:lang w:val="en-GB" w:eastAsia="ja-JP"/>
        </w:rPr>
      </w:pPr>
      <w:r w:rsidRPr="00A95248">
        <w:rPr>
          <w:sz w:val="18"/>
          <w:szCs w:val="18"/>
          <w:lang w:val="en-GB" w:eastAsia="ja-JP"/>
        </w:rPr>
        <w:lastRenderedPageBreak/>
        <w:t xml:space="preserve">Source: </w:t>
      </w:r>
      <w:proofErr w:type="spellStart"/>
      <w:r w:rsidR="00A95248" w:rsidRPr="00A95248">
        <w:rPr>
          <w:sz w:val="18"/>
          <w:szCs w:val="18"/>
          <w:lang w:val="en-GB" w:eastAsia="ja-JP"/>
        </w:rPr>
        <w:t>Sinha</w:t>
      </w:r>
      <w:proofErr w:type="spellEnd"/>
      <w:r w:rsidR="00A95248" w:rsidRPr="00A95248">
        <w:rPr>
          <w:sz w:val="18"/>
          <w:szCs w:val="18"/>
          <w:lang w:val="en-GB" w:eastAsia="ja-JP"/>
        </w:rPr>
        <w:t xml:space="preserve"> et al. 2010</w:t>
      </w:r>
    </w:p>
    <w:p w14:paraId="6E815B72" w14:textId="77777777" w:rsidR="00AE1C80" w:rsidRPr="00814A79" w:rsidRDefault="00AE1C80" w:rsidP="00AE1C80">
      <w:pPr>
        <w:spacing w:after="0" w:line="240" w:lineRule="auto"/>
        <w:rPr>
          <w:sz w:val="18"/>
          <w:szCs w:val="18"/>
          <w:lang w:val="en-GB" w:eastAsia="ja-JP"/>
        </w:rPr>
      </w:pPr>
      <w:r>
        <w:rPr>
          <w:sz w:val="18"/>
          <w:szCs w:val="18"/>
          <w:lang w:val="en-GB" w:eastAsia="ja-JP"/>
        </w:rPr>
        <w:t xml:space="preserve">Abbreviations: </w:t>
      </w:r>
      <w:r w:rsidRPr="00814A79">
        <w:rPr>
          <w:sz w:val="18"/>
          <w:szCs w:val="18"/>
          <w:lang w:val="en-GB" w:eastAsia="ja-JP"/>
        </w:rPr>
        <w:t xml:space="preserve">PAC, Premature atrial complex; TEE, </w:t>
      </w:r>
      <w:proofErr w:type="spellStart"/>
      <w:r w:rsidRPr="00814A79">
        <w:rPr>
          <w:sz w:val="18"/>
          <w:szCs w:val="18"/>
          <w:lang w:val="en-GB" w:eastAsia="ja-JP"/>
        </w:rPr>
        <w:t>transesophageal</w:t>
      </w:r>
      <w:proofErr w:type="spellEnd"/>
      <w:r w:rsidRPr="00814A79">
        <w:rPr>
          <w:sz w:val="18"/>
          <w:szCs w:val="18"/>
          <w:lang w:val="en-GB" w:eastAsia="ja-JP"/>
        </w:rPr>
        <w:t xml:space="preserve"> echocardiography; DWI, diffusion-weighted imaging; LV, left ventricular; LA, left atrial; OAC, oral anticoagulation; ESO, European Stroke Organisation; ICD, implantable </w:t>
      </w:r>
      <w:proofErr w:type="spellStart"/>
      <w:r w:rsidRPr="00814A79">
        <w:rPr>
          <w:sz w:val="18"/>
          <w:szCs w:val="18"/>
          <w:lang w:val="en-GB" w:eastAsia="ja-JP"/>
        </w:rPr>
        <w:t>cardioverter</w:t>
      </w:r>
      <w:proofErr w:type="spellEnd"/>
      <w:r w:rsidRPr="00814A79">
        <w:rPr>
          <w:sz w:val="18"/>
          <w:szCs w:val="18"/>
          <w:lang w:val="en-GB" w:eastAsia="ja-JP"/>
        </w:rPr>
        <w:t xml:space="preserve"> defibrillator; CRT, ca</w:t>
      </w:r>
      <w:r>
        <w:rPr>
          <w:sz w:val="18"/>
          <w:szCs w:val="18"/>
          <w:lang w:val="en-GB" w:eastAsia="ja-JP"/>
        </w:rPr>
        <w:t xml:space="preserve">rdiac resynchronization therapy; DVT, </w:t>
      </w:r>
      <w:r w:rsidRPr="00814A79">
        <w:rPr>
          <w:sz w:val="18"/>
          <w:szCs w:val="18"/>
          <w:lang w:val="en-GB" w:eastAsia="ja-JP"/>
        </w:rPr>
        <w:t>deep vein thrombosis</w:t>
      </w:r>
    </w:p>
    <w:p w14:paraId="24130B3E" w14:textId="304B75E1" w:rsidR="007F2D18" w:rsidRPr="002C6A02" w:rsidRDefault="00AE1C80" w:rsidP="002C6A02">
      <w:pPr>
        <w:spacing w:after="240" w:line="240" w:lineRule="auto"/>
        <w:rPr>
          <w:sz w:val="18"/>
          <w:szCs w:val="18"/>
          <w:lang w:val="en-GB" w:eastAsia="ja-JP"/>
        </w:rPr>
      </w:pPr>
      <w:r w:rsidRPr="00814A79">
        <w:rPr>
          <w:rFonts w:ascii="Calibri" w:hAnsi="Calibri" w:cs="Calibri"/>
          <w:sz w:val="18"/>
          <w:szCs w:val="18"/>
          <w:lang w:val="en-GB" w:eastAsia="ja-JP"/>
        </w:rPr>
        <w:t>*</w:t>
      </w:r>
      <w:r w:rsidRPr="00814A79">
        <w:rPr>
          <w:sz w:val="18"/>
          <w:szCs w:val="18"/>
          <w:lang w:val="en-GB" w:eastAsia="ja-JP"/>
        </w:rPr>
        <w:t xml:space="preserve"> Only TIAs with the following documented characteristics can be included: visible lesion on MRI or CT that fits the symptoms of the TIA and at least one of the following symptoms - speech problems, weakness of arm or leg, or </w:t>
      </w:r>
      <w:proofErr w:type="spellStart"/>
      <w:r w:rsidRPr="00814A79">
        <w:rPr>
          <w:sz w:val="18"/>
          <w:szCs w:val="18"/>
          <w:lang w:val="en-GB" w:eastAsia="ja-JP"/>
        </w:rPr>
        <w:t>hemianopsia</w:t>
      </w:r>
      <w:proofErr w:type="spellEnd"/>
      <w:r w:rsidRPr="00814A79">
        <w:rPr>
          <w:sz w:val="18"/>
          <w:szCs w:val="18"/>
          <w:lang w:val="en-GB" w:eastAsia="ja-JP"/>
        </w:rPr>
        <w:t>.</w:t>
      </w:r>
    </w:p>
    <w:p w14:paraId="266DF485" w14:textId="407DD320" w:rsidR="002E26D0" w:rsidRDefault="00BC4EFE" w:rsidP="00C13E36">
      <w:pPr>
        <w:pStyle w:val="Quote"/>
        <w:keepNext/>
      </w:pPr>
      <w:r w:rsidRPr="009F15BB">
        <w:lastRenderedPageBreak/>
        <w:t>Provide details on the expected utilisation, if the service is to be publicly funded.</w:t>
      </w:r>
    </w:p>
    <w:p w14:paraId="30232B69" w14:textId="6ABD2CAD" w:rsidR="004C76C8" w:rsidRDefault="00C415F2" w:rsidP="00C13E36">
      <w:pPr>
        <w:keepNext/>
        <w:rPr>
          <w:lang w:eastAsia="ja-JP"/>
        </w:rPr>
      </w:pPr>
      <w:r>
        <w:rPr>
          <w:rFonts w:hint="eastAsia"/>
          <w:lang w:eastAsia="ja-JP"/>
        </w:rPr>
        <w:t xml:space="preserve">The age-standardised stoke </w:t>
      </w:r>
      <w:r>
        <w:rPr>
          <w:lang w:eastAsia="ja-JP"/>
        </w:rPr>
        <w:t>incidence</w:t>
      </w:r>
      <w:r>
        <w:rPr>
          <w:rFonts w:hint="eastAsia"/>
          <w:lang w:eastAsia="ja-JP"/>
        </w:rPr>
        <w:t xml:space="preserve"> is 157 per 10</w:t>
      </w:r>
      <w:r w:rsidR="0017723E">
        <w:rPr>
          <w:rFonts w:hint="eastAsia"/>
          <w:lang w:eastAsia="ja-JP"/>
        </w:rPr>
        <w:t>0</w:t>
      </w:r>
      <w:r>
        <w:rPr>
          <w:rFonts w:hint="eastAsia"/>
          <w:lang w:eastAsia="ja-JP"/>
        </w:rPr>
        <w:t xml:space="preserve">,000 among male </w:t>
      </w:r>
      <w:r>
        <w:rPr>
          <w:lang w:eastAsia="ja-JP"/>
        </w:rPr>
        <w:t>Australians</w:t>
      </w:r>
      <w:r>
        <w:rPr>
          <w:rFonts w:hint="eastAsia"/>
          <w:lang w:eastAsia="ja-JP"/>
        </w:rPr>
        <w:t xml:space="preserve">, while this is </w:t>
      </w:r>
      <w:r w:rsidRPr="00C415F2">
        <w:rPr>
          <w:lang w:eastAsia="ja-JP"/>
        </w:rPr>
        <w:t>123 per 100,000</w:t>
      </w:r>
      <w:r>
        <w:rPr>
          <w:rFonts w:hint="eastAsia"/>
          <w:lang w:eastAsia="ja-JP"/>
        </w:rPr>
        <w:t xml:space="preserve"> among female </w:t>
      </w:r>
      <w:r>
        <w:rPr>
          <w:lang w:eastAsia="ja-JP"/>
        </w:rPr>
        <w:t>Australians</w:t>
      </w:r>
      <w:r>
        <w:rPr>
          <w:rFonts w:hint="eastAsia"/>
          <w:lang w:eastAsia="ja-JP"/>
        </w:rPr>
        <w:t xml:space="preserve"> (Thrift et al</w:t>
      </w:r>
      <w:r w:rsidR="00A95248">
        <w:rPr>
          <w:lang w:eastAsia="ja-JP"/>
        </w:rPr>
        <w:t>.,</w:t>
      </w:r>
      <w:r>
        <w:rPr>
          <w:rFonts w:hint="eastAsia"/>
          <w:lang w:eastAsia="ja-JP"/>
        </w:rPr>
        <w:t xml:space="preserve"> 2009; taken from AIHW</w:t>
      </w:r>
      <w:r w:rsidR="00A95248">
        <w:rPr>
          <w:lang w:eastAsia="ja-JP"/>
        </w:rPr>
        <w:t>,</w:t>
      </w:r>
      <w:r>
        <w:rPr>
          <w:rFonts w:hint="eastAsia"/>
          <w:lang w:eastAsia="ja-JP"/>
        </w:rPr>
        <w:t xml:space="preserve"> 2013). These incidence rates translate to an estimated total national incidence of </w:t>
      </w:r>
      <w:r w:rsidR="0017723E">
        <w:rPr>
          <w:rFonts w:hint="eastAsia"/>
          <w:lang w:eastAsia="ja-JP"/>
        </w:rPr>
        <w:t>34,068 in 2016 (ABS</w:t>
      </w:r>
      <w:r w:rsidR="00A95248">
        <w:rPr>
          <w:lang w:eastAsia="ja-JP"/>
        </w:rPr>
        <w:t>,</w:t>
      </w:r>
      <w:r w:rsidR="0017723E">
        <w:rPr>
          <w:rFonts w:hint="eastAsia"/>
          <w:lang w:eastAsia="ja-JP"/>
        </w:rPr>
        <w:t xml:space="preserve"> 2012). It has been also reported that </w:t>
      </w:r>
      <w:r w:rsidR="00A80386">
        <w:rPr>
          <w:rFonts w:hint="eastAsia"/>
          <w:lang w:eastAsia="ja-JP"/>
        </w:rPr>
        <w:t>79</w:t>
      </w:r>
      <w:r w:rsidR="0017723E">
        <w:rPr>
          <w:rFonts w:hint="eastAsia"/>
          <w:lang w:eastAsia="ja-JP"/>
        </w:rPr>
        <w:t>% of all stroke cases are ischaemic</w:t>
      </w:r>
      <w:r w:rsidR="007D42A2">
        <w:rPr>
          <w:rFonts w:hint="eastAsia"/>
          <w:lang w:eastAsia="ja-JP"/>
        </w:rPr>
        <w:t xml:space="preserve"> (National Stroke Foundation</w:t>
      </w:r>
      <w:r w:rsidR="00A95248">
        <w:rPr>
          <w:lang w:eastAsia="ja-JP"/>
        </w:rPr>
        <w:t>,</w:t>
      </w:r>
      <w:r w:rsidR="007D42A2">
        <w:rPr>
          <w:rFonts w:hint="eastAsia"/>
          <w:lang w:eastAsia="ja-JP"/>
        </w:rPr>
        <w:t xml:space="preserve"> 2014). The incidence to </w:t>
      </w:r>
      <w:r w:rsidR="007D42A2">
        <w:rPr>
          <w:lang w:eastAsia="ja-JP"/>
        </w:rPr>
        <w:t>ischemic</w:t>
      </w:r>
      <w:r w:rsidR="007D42A2">
        <w:rPr>
          <w:rFonts w:hint="eastAsia"/>
          <w:lang w:eastAsia="ja-JP"/>
        </w:rPr>
        <w:t xml:space="preserve"> stroke is hence </w:t>
      </w:r>
      <w:r w:rsidR="007D42A2">
        <w:rPr>
          <w:lang w:eastAsia="ja-JP"/>
        </w:rPr>
        <w:t>estimated</w:t>
      </w:r>
      <w:r w:rsidR="007D42A2">
        <w:rPr>
          <w:rFonts w:hint="eastAsia"/>
          <w:lang w:eastAsia="ja-JP"/>
        </w:rPr>
        <w:t xml:space="preserve"> to be </w:t>
      </w:r>
      <w:r w:rsidR="007D42A2">
        <w:rPr>
          <w:lang w:eastAsia="ja-JP"/>
        </w:rPr>
        <w:t>26,928</w:t>
      </w:r>
      <w:r w:rsidR="007D42A2">
        <w:rPr>
          <w:rFonts w:hint="eastAsia"/>
          <w:lang w:eastAsia="ja-JP"/>
        </w:rPr>
        <w:t xml:space="preserve"> in 2016.  </w:t>
      </w:r>
      <w:r w:rsidR="00652C52">
        <w:rPr>
          <w:lang w:eastAsia="ja-JP"/>
        </w:rPr>
        <w:t>Table 3 summarises the estimated incidence of CS in Australia for 2016.</w:t>
      </w:r>
    </w:p>
    <w:p w14:paraId="05874D03" w14:textId="70692E95" w:rsidR="007D42A2" w:rsidRPr="00A961FB" w:rsidRDefault="007D42A2" w:rsidP="00A961FB">
      <w:pPr>
        <w:pStyle w:val="Caption"/>
        <w:spacing w:after="120"/>
        <w:rPr>
          <w:rFonts w:asciiTheme="minorHAnsi" w:hAnsiTheme="minorHAnsi" w:cstheme="minorHAnsi"/>
          <w:sz w:val="22"/>
        </w:rPr>
      </w:pPr>
      <w:r w:rsidRPr="00A961FB">
        <w:rPr>
          <w:rFonts w:asciiTheme="minorHAnsi" w:hAnsiTheme="minorHAnsi" w:cstheme="minorHAnsi"/>
          <w:sz w:val="22"/>
        </w:rPr>
        <w:t xml:space="preserve">Table </w:t>
      </w:r>
      <w:r w:rsidRPr="00A961FB">
        <w:rPr>
          <w:rFonts w:asciiTheme="minorHAnsi" w:hAnsiTheme="minorHAnsi" w:cstheme="minorHAnsi"/>
          <w:sz w:val="22"/>
        </w:rPr>
        <w:fldChar w:fldCharType="begin"/>
      </w:r>
      <w:r w:rsidRPr="00A961FB">
        <w:rPr>
          <w:rFonts w:asciiTheme="minorHAnsi" w:hAnsiTheme="minorHAnsi" w:cstheme="minorHAnsi"/>
          <w:sz w:val="22"/>
        </w:rPr>
        <w:instrText xml:space="preserve"> SEQ Table \* ARABIC </w:instrText>
      </w:r>
      <w:r w:rsidRPr="00A961FB">
        <w:rPr>
          <w:rFonts w:asciiTheme="minorHAnsi" w:hAnsiTheme="minorHAnsi" w:cstheme="minorHAnsi"/>
          <w:sz w:val="22"/>
        </w:rPr>
        <w:fldChar w:fldCharType="separate"/>
      </w:r>
      <w:r w:rsidR="00DC65DD">
        <w:rPr>
          <w:rFonts w:asciiTheme="minorHAnsi" w:hAnsiTheme="minorHAnsi" w:cstheme="minorHAnsi"/>
          <w:noProof/>
          <w:sz w:val="22"/>
        </w:rPr>
        <w:t>3</w:t>
      </w:r>
      <w:r w:rsidRPr="00A961FB">
        <w:rPr>
          <w:rFonts w:asciiTheme="minorHAnsi" w:hAnsiTheme="minorHAnsi" w:cstheme="minorHAnsi"/>
          <w:sz w:val="22"/>
        </w:rPr>
        <w:fldChar w:fldCharType="end"/>
      </w:r>
      <w:r w:rsidRPr="00A961FB">
        <w:rPr>
          <w:rFonts w:asciiTheme="minorHAnsi" w:eastAsiaTheme="minorEastAsia" w:hAnsiTheme="minorHAnsi" w:cstheme="minorHAnsi"/>
          <w:sz w:val="22"/>
        </w:rPr>
        <w:tab/>
      </w:r>
      <w:r w:rsidRPr="00A961FB">
        <w:rPr>
          <w:rFonts w:asciiTheme="minorHAnsi" w:hAnsiTheme="minorHAnsi" w:cstheme="minorHAnsi"/>
          <w:sz w:val="22"/>
        </w:rPr>
        <w:t>Estimated incidence of cryptogenic stroke in Australia, 2016</w:t>
      </w:r>
    </w:p>
    <w:tbl>
      <w:tblPr>
        <w:tblStyle w:val="TableGrid"/>
        <w:tblW w:w="9209" w:type="dxa"/>
        <w:tblLook w:val="04A0" w:firstRow="1" w:lastRow="0" w:firstColumn="1" w:lastColumn="0" w:noHBand="0" w:noVBand="1"/>
        <w:tblDescription w:val="Table 3 Estimated incidence of cryptogenic stroke in Australia, 2016"/>
      </w:tblPr>
      <w:tblGrid>
        <w:gridCol w:w="3539"/>
        <w:gridCol w:w="2126"/>
        <w:gridCol w:w="3544"/>
      </w:tblGrid>
      <w:tr w:rsidR="002C0952" w14:paraId="103CE3E0" w14:textId="6542B22A" w:rsidTr="002A5D07">
        <w:trPr>
          <w:tblHeader/>
        </w:trPr>
        <w:tc>
          <w:tcPr>
            <w:tcW w:w="3539" w:type="dxa"/>
            <w:shd w:val="clear" w:color="auto" w:fill="F2F2F2" w:themeFill="background1" w:themeFillShade="F2"/>
          </w:tcPr>
          <w:p w14:paraId="325AFF7B" w14:textId="17EAD34F" w:rsidR="002C0952" w:rsidRPr="0038116E" w:rsidRDefault="002C0952" w:rsidP="0038116E">
            <w:pPr>
              <w:pStyle w:val="TableText0"/>
              <w:spacing w:before="0" w:after="0" w:line="240" w:lineRule="auto"/>
              <w:rPr>
                <w:rFonts w:asciiTheme="minorHAnsi" w:hAnsiTheme="minorHAnsi" w:cstheme="minorHAnsi"/>
                <w:b/>
                <w:sz w:val="22"/>
                <w:lang w:eastAsia="ja-JP"/>
              </w:rPr>
            </w:pPr>
            <w:r w:rsidRPr="0038116E">
              <w:rPr>
                <w:rFonts w:asciiTheme="minorHAnsi" w:hAnsiTheme="minorHAnsi" w:cstheme="minorHAnsi"/>
                <w:b/>
                <w:sz w:val="22"/>
                <w:lang w:eastAsia="ja-JP"/>
              </w:rPr>
              <w:t>Parameter</w:t>
            </w:r>
          </w:p>
        </w:tc>
        <w:tc>
          <w:tcPr>
            <w:tcW w:w="2126" w:type="dxa"/>
            <w:shd w:val="clear" w:color="auto" w:fill="F2F2F2" w:themeFill="background1" w:themeFillShade="F2"/>
          </w:tcPr>
          <w:p w14:paraId="6807D9D6" w14:textId="677894A1" w:rsidR="002C0952" w:rsidRPr="0038116E" w:rsidRDefault="002C0952" w:rsidP="0038116E">
            <w:pPr>
              <w:pStyle w:val="TableText0"/>
              <w:spacing w:before="0" w:after="0" w:line="240" w:lineRule="auto"/>
              <w:rPr>
                <w:rFonts w:asciiTheme="minorHAnsi" w:hAnsiTheme="minorHAnsi" w:cstheme="minorHAnsi"/>
                <w:b/>
                <w:sz w:val="22"/>
                <w:lang w:eastAsia="ja-JP"/>
              </w:rPr>
            </w:pPr>
            <w:r w:rsidRPr="0038116E">
              <w:rPr>
                <w:rFonts w:asciiTheme="minorHAnsi" w:hAnsiTheme="minorHAnsi" w:cstheme="minorHAnsi"/>
                <w:b/>
                <w:sz w:val="22"/>
                <w:lang w:eastAsia="ja-JP"/>
              </w:rPr>
              <w:t>Estimate</w:t>
            </w:r>
          </w:p>
        </w:tc>
        <w:tc>
          <w:tcPr>
            <w:tcW w:w="3544" w:type="dxa"/>
            <w:shd w:val="clear" w:color="auto" w:fill="F2F2F2" w:themeFill="background1" w:themeFillShade="F2"/>
          </w:tcPr>
          <w:p w14:paraId="4AB9D9A9" w14:textId="426E8221" w:rsidR="002C0952" w:rsidRPr="0038116E" w:rsidRDefault="00A95248" w:rsidP="0038116E">
            <w:pPr>
              <w:pStyle w:val="TableText0"/>
              <w:spacing w:before="0" w:after="0" w:line="240" w:lineRule="auto"/>
              <w:rPr>
                <w:rFonts w:asciiTheme="minorHAnsi" w:hAnsiTheme="minorHAnsi" w:cstheme="minorHAnsi"/>
                <w:b/>
                <w:sz w:val="22"/>
                <w:lang w:eastAsia="ja-JP"/>
              </w:rPr>
            </w:pPr>
            <w:r>
              <w:rPr>
                <w:rFonts w:asciiTheme="minorHAnsi" w:hAnsiTheme="minorHAnsi" w:cstheme="minorHAnsi"/>
                <w:b/>
                <w:sz w:val="22"/>
                <w:lang w:eastAsia="ja-JP"/>
              </w:rPr>
              <w:t>Source</w:t>
            </w:r>
          </w:p>
        </w:tc>
      </w:tr>
      <w:tr w:rsidR="002C0952" w14:paraId="6607F603" w14:textId="56E01185" w:rsidTr="00A95248">
        <w:tc>
          <w:tcPr>
            <w:tcW w:w="3539" w:type="dxa"/>
          </w:tcPr>
          <w:p w14:paraId="0AFEC8E4" w14:textId="26B949FA" w:rsidR="002C0952" w:rsidRPr="0038116E" w:rsidRDefault="002C0952" w:rsidP="0038116E">
            <w:pPr>
              <w:pStyle w:val="TableText0"/>
              <w:spacing w:before="0" w:after="0" w:line="240" w:lineRule="auto"/>
              <w:rPr>
                <w:rFonts w:asciiTheme="minorHAnsi" w:hAnsiTheme="minorHAnsi" w:cstheme="minorHAnsi"/>
                <w:sz w:val="22"/>
                <w:lang w:eastAsia="ja-JP"/>
              </w:rPr>
            </w:pPr>
            <w:r w:rsidRPr="0038116E">
              <w:rPr>
                <w:rFonts w:asciiTheme="minorHAnsi" w:hAnsiTheme="minorHAnsi" w:cstheme="minorHAnsi"/>
                <w:sz w:val="22"/>
                <w:lang w:eastAsia="ja-JP"/>
              </w:rPr>
              <w:t>Australian population, 2016</w:t>
            </w:r>
          </w:p>
        </w:tc>
        <w:tc>
          <w:tcPr>
            <w:tcW w:w="2126" w:type="dxa"/>
          </w:tcPr>
          <w:p w14:paraId="6B6D955D" w14:textId="2E695604" w:rsidR="002C0952" w:rsidRPr="0038116E" w:rsidRDefault="002C0952" w:rsidP="0038116E">
            <w:pPr>
              <w:pStyle w:val="TableText0"/>
              <w:spacing w:before="0" w:after="0" w:line="240" w:lineRule="auto"/>
              <w:rPr>
                <w:rFonts w:asciiTheme="minorHAnsi" w:hAnsiTheme="minorHAnsi" w:cstheme="minorHAnsi"/>
                <w:sz w:val="22"/>
                <w:lang w:eastAsia="ja-JP"/>
              </w:rPr>
            </w:pPr>
            <w:r w:rsidRPr="0038116E">
              <w:rPr>
                <w:rFonts w:asciiTheme="minorHAnsi" w:hAnsiTheme="minorHAnsi" w:cstheme="minorHAnsi"/>
                <w:sz w:val="22"/>
                <w:lang w:eastAsia="ja-JP"/>
              </w:rPr>
              <w:t>24,359,761</w:t>
            </w:r>
          </w:p>
        </w:tc>
        <w:tc>
          <w:tcPr>
            <w:tcW w:w="3544" w:type="dxa"/>
          </w:tcPr>
          <w:p w14:paraId="6D0CEF15" w14:textId="7D9EDFEB" w:rsidR="002C0952" w:rsidRPr="0038116E" w:rsidRDefault="006C09AE" w:rsidP="006C09AE">
            <w:pPr>
              <w:pStyle w:val="TableText0"/>
              <w:spacing w:before="0" w:after="0" w:line="240" w:lineRule="auto"/>
              <w:rPr>
                <w:rFonts w:asciiTheme="minorHAnsi" w:hAnsiTheme="minorHAnsi" w:cstheme="minorHAnsi"/>
                <w:sz w:val="22"/>
                <w:lang w:eastAsia="ja-JP"/>
              </w:rPr>
            </w:pPr>
            <w:r>
              <w:rPr>
                <w:rFonts w:asciiTheme="minorHAnsi" w:hAnsiTheme="minorHAnsi" w:cstheme="minorHAnsi"/>
                <w:sz w:val="22"/>
                <w:lang w:eastAsia="ja-JP"/>
              </w:rPr>
              <w:t>ABS, Population Projections, Series B</w:t>
            </w:r>
          </w:p>
        </w:tc>
      </w:tr>
      <w:tr w:rsidR="002C0952" w14:paraId="4917D970" w14:textId="243CFBAE" w:rsidTr="00A95248">
        <w:tc>
          <w:tcPr>
            <w:tcW w:w="3539" w:type="dxa"/>
          </w:tcPr>
          <w:p w14:paraId="5A75BA37" w14:textId="46650693" w:rsidR="002C0952" w:rsidRPr="0038116E" w:rsidRDefault="002C0952" w:rsidP="0038116E">
            <w:pPr>
              <w:pStyle w:val="TableText0"/>
              <w:spacing w:before="0" w:after="0" w:line="240" w:lineRule="auto"/>
              <w:rPr>
                <w:rFonts w:asciiTheme="minorHAnsi" w:hAnsiTheme="minorHAnsi" w:cstheme="minorHAnsi"/>
                <w:sz w:val="22"/>
                <w:lang w:eastAsia="ja-JP"/>
              </w:rPr>
            </w:pPr>
            <w:r w:rsidRPr="0038116E">
              <w:rPr>
                <w:rFonts w:asciiTheme="minorHAnsi" w:hAnsiTheme="minorHAnsi" w:cstheme="minorHAnsi"/>
                <w:sz w:val="22"/>
                <w:lang w:eastAsia="ja-JP"/>
              </w:rPr>
              <w:t>Stroke incidence (per 100,000)</w:t>
            </w:r>
          </w:p>
        </w:tc>
        <w:tc>
          <w:tcPr>
            <w:tcW w:w="2126" w:type="dxa"/>
          </w:tcPr>
          <w:p w14:paraId="7175A3BF" w14:textId="2CBA09B3" w:rsidR="002C0952" w:rsidRPr="0038116E" w:rsidRDefault="002C0952" w:rsidP="0038116E">
            <w:pPr>
              <w:pStyle w:val="TableText0"/>
              <w:spacing w:before="0" w:after="0" w:line="240" w:lineRule="auto"/>
              <w:rPr>
                <w:rFonts w:asciiTheme="minorHAnsi" w:hAnsiTheme="minorHAnsi" w:cstheme="minorHAnsi"/>
                <w:sz w:val="22"/>
                <w:lang w:eastAsia="ja-JP"/>
              </w:rPr>
            </w:pPr>
            <w:r w:rsidRPr="0038116E">
              <w:rPr>
                <w:rFonts w:asciiTheme="minorHAnsi" w:hAnsiTheme="minorHAnsi" w:cstheme="minorHAnsi"/>
                <w:sz w:val="22"/>
                <w:lang w:eastAsia="ja-JP"/>
              </w:rPr>
              <w:t>157 / 123 for males / females</w:t>
            </w:r>
          </w:p>
        </w:tc>
        <w:tc>
          <w:tcPr>
            <w:tcW w:w="3544" w:type="dxa"/>
          </w:tcPr>
          <w:p w14:paraId="52901036" w14:textId="407462F1" w:rsidR="002C0952" w:rsidRPr="0038116E" w:rsidRDefault="00D4314F" w:rsidP="0038116E">
            <w:pPr>
              <w:pStyle w:val="TableText0"/>
              <w:spacing w:before="0" w:after="0" w:line="240" w:lineRule="auto"/>
              <w:rPr>
                <w:rFonts w:asciiTheme="minorHAnsi" w:hAnsiTheme="minorHAnsi" w:cstheme="minorHAnsi"/>
                <w:sz w:val="22"/>
                <w:lang w:eastAsia="ja-JP"/>
              </w:rPr>
            </w:pPr>
            <w:r>
              <w:rPr>
                <w:rFonts w:asciiTheme="minorHAnsi" w:hAnsiTheme="minorHAnsi" w:cstheme="minorHAnsi"/>
                <w:sz w:val="22"/>
                <w:lang w:eastAsia="ja-JP"/>
              </w:rPr>
              <w:t>Thrift et al</w:t>
            </w:r>
            <w:r w:rsidR="00A95248">
              <w:rPr>
                <w:rFonts w:asciiTheme="minorHAnsi" w:hAnsiTheme="minorHAnsi" w:cstheme="minorHAnsi"/>
                <w:sz w:val="22"/>
                <w:lang w:eastAsia="ja-JP"/>
              </w:rPr>
              <w:t>.,</w:t>
            </w:r>
            <w:r>
              <w:rPr>
                <w:rFonts w:asciiTheme="minorHAnsi" w:hAnsiTheme="minorHAnsi" w:cstheme="minorHAnsi"/>
                <w:sz w:val="22"/>
                <w:lang w:eastAsia="ja-JP"/>
              </w:rPr>
              <w:t xml:space="preserve"> 2009 </w:t>
            </w:r>
          </w:p>
        </w:tc>
      </w:tr>
      <w:tr w:rsidR="002C0952" w14:paraId="4159B625" w14:textId="7BCAC4D3" w:rsidTr="00A95248">
        <w:tc>
          <w:tcPr>
            <w:tcW w:w="3539" w:type="dxa"/>
          </w:tcPr>
          <w:p w14:paraId="32FD6BB0" w14:textId="6CA150E1" w:rsidR="002C0952" w:rsidRPr="0038116E" w:rsidRDefault="002C0952" w:rsidP="0038116E">
            <w:pPr>
              <w:pStyle w:val="TableText0"/>
              <w:spacing w:before="0" w:after="0" w:line="240" w:lineRule="auto"/>
              <w:rPr>
                <w:rFonts w:asciiTheme="minorHAnsi" w:hAnsiTheme="minorHAnsi" w:cstheme="minorHAnsi"/>
                <w:sz w:val="22"/>
                <w:lang w:eastAsia="ja-JP"/>
              </w:rPr>
            </w:pPr>
            <w:r w:rsidRPr="0038116E">
              <w:rPr>
                <w:rFonts w:asciiTheme="minorHAnsi" w:hAnsiTheme="minorHAnsi" w:cstheme="minorHAnsi"/>
                <w:sz w:val="22"/>
                <w:lang w:eastAsia="ja-JP"/>
              </w:rPr>
              <w:t>Total incidence</w:t>
            </w:r>
          </w:p>
        </w:tc>
        <w:tc>
          <w:tcPr>
            <w:tcW w:w="2126" w:type="dxa"/>
          </w:tcPr>
          <w:p w14:paraId="3F191C26" w14:textId="60919D4A" w:rsidR="002C0952" w:rsidRPr="0038116E" w:rsidRDefault="002C0952" w:rsidP="0038116E">
            <w:pPr>
              <w:pStyle w:val="TableText0"/>
              <w:spacing w:before="0" w:after="0" w:line="240" w:lineRule="auto"/>
              <w:rPr>
                <w:rFonts w:asciiTheme="minorHAnsi" w:hAnsiTheme="minorHAnsi" w:cstheme="minorHAnsi"/>
                <w:sz w:val="22"/>
                <w:lang w:eastAsia="ja-JP"/>
              </w:rPr>
            </w:pPr>
            <w:r w:rsidRPr="0038116E">
              <w:rPr>
                <w:rFonts w:asciiTheme="minorHAnsi" w:hAnsiTheme="minorHAnsi" w:cstheme="minorHAnsi"/>
                <w:sz w:val="22"/>
                <w:lang w:eastAsia="ja-JP"/>
              </w:rPr>
              <w:t>34,068</w:t>
            </w:r>
          </w:p>
        </w:tc>
        <w:tc>
          <w:tcPr>
            <w:tcW w:w="3544" w:type="dxa"/>
          </w:tcPr>
          <w:p w14:paraId="2CEDD15C" w14:textId="0CBDBB88" w:rsidR="002C0952" w:rsidRPr="0038116E" w:rsidRDefault="00D4314F" w:rsidP="0038116E">
            <w:pPr>
              <w:pStyle w:val="TableText0"/>
              <w:spacing w:before="0" w:after="0" w:line="240" w:lineRule="auto"/>
              <w:rPr>
                <w:rFonts w:asciiTheme="minorHAnsi" w:hAnsiTheme="minorHAnsi" w:cstheme="minorHAnsi"/>
                <w:sz w:val="22"/>
                <w:lang w:eastAsia="ja-JP"/>
              </w:rPr>
            </w:pPr>
            <w:r>
              <w:rPr>
                <w:rFonts w:asciiTheme="minorHAnsi" w:hAnsiTheme="minorHAnsi" w:cstheme="minorHAnsi"/>
                <w:sz w:val="22"/>
                <w:lang w:eastAsia="ja-JP"/>
              </w:rPr>
              <w:t>Calculated</w:t>
            </w:r>
          </w:p>
        </w:tc>
      </w:tr>
      <w:tr w:rsidR="002C0952" w14:paraId="0B6F75C5" w14:textId="3A856FE4" w:rsidTr="00A95248">
        <w:tc>
          <w:tcPr>
            <w:tcW w:w="3539" w:type="dxa"/>
          </w:tcPr>
          <w:p w14:paraId="29AD8934" w14:textId="03A8AC39" w:rsidR="002C0952" w:rsidRPr="0038116E" w:rsidRDefault="002C0952" w:rsidP="0038116E">
            <w:pPr>
              <w:pStyle w:val="TableText0"/>
              <w:spacing w:before="0" w:after="0" w:line="240" w:lineRule="auto"/>
              <w:rPr>
                <w:rFonts w:asciiTheme="minorHAnsi" w:hAnsiTheme="minorHAnsi" w:cstheme="minorHAnsi"/>
                <w:sz w:val="22"/>
                <w:lang w:eastAsia="ja-JP"/>
              </w:rPr>
            </w:pPr>
            <w:r w:rsidRPr="0038116E">
              <w:rPr>
                <w:rFonts w:asciiTheme="minorHAnsi" w:hAnsiTheme="minorHAnsi" w:cstheme="minorHAnsi"/>
                <w:sz w:val="22"/>
                <w:lang w:eastAsia="ja-JP"/>
              </w:rPr>
              <w:t>% ischaemic</w:t>
            </w:r>
          </w:p>
        </w:tc>
        <w:tc>
          <w:tcPr>
            <w:tcW w:w="2126" w:type="dxa"/>
          </w:tcPr>
          <w:p w14:paraId="0175489E" w14:textId="78E3AA25" w:rsidR="002C0952" w:rsidRPr="0038116E" w:rsidRDefault="002C0952" w:rsidP="0038116E">
            <w:pPr>
              <w:pStyle w:val="TableText0"/>
              <w:spacing w:before="0" w:after="0" w:line="240" w:lineRule="auto"/>
              <w:rPr>
                <w:rFonts w:asciiTheme="minorHAnsi" w:hAnsiTheme="minorHAnsi" w:cstheme="minorHAnsi"/>
                <w:sz w:val="22"/>
                <w:lang w:eastAsia="ja-JP"/>
              </w:rPr>
            </w:pPr>
            <w:r w:rsidRPr="0038116E">
              <w:rPr>
                <w:rFonts w:asciiTheme="minorHAnsi" w:hAnsiTheme="minorHAnsi" w:cstheme="minorHAnsi"/>
                <w:sz w:val="22"/>
                <w:lang w:eastAsia="ja-JP"/>
              </w:rPr>
              <w:t>79%</w:t>
            </w:r>
          </w:p>
        </w:tc>
        <w:tc>
          <w:tcPr>
            <w:tcW w:w="3544" w:type="dxa"/>
          </w:tcPr>
          <w:p w14:paraId="2C2263E2" w14:textId="12BBE737" w:rsidR="002C0952" w:rsidRPr="0038116E" w:rsidRDefault="00D4314F" w:rsidP="0038116E">
            <w:pPr>
              <w:pStyle w:val="TableText0"/>
              <w:spacing w:before="0" w:after="0" w:line="240" w:lineRule="auto"/>
              <w:rPr>
                <w:rFonts w:asciiTheme="minorHAnsi" w:hAnsiTheme="minorHAnsi" w:cstheme="minorHAnsi"/>
                <w:sz w:val="22"/>
                <w:lang w:eastAsia="ja-JP"/>
              </w:rPr>
            </w:pPr>
            <w:r>
              <w:rPr>
                <w:rFonts w:asciiTheme="minorHAnsi" w:hAnsiTheme="minorHAnsi" w:cstheme="minorHAnsi"/>
                <w:sz w:val="22"/>
                <w:lang w:eastAsia="ja-JP"/>
              </w:rPr>
              <w:t>National Stroke Foundation 2014</w:t>
            </w:r>
          </w:p>
        </w:tc>
      </w:tr>
      <w:tr w:rsidR="002C0952" w14:paraId="3B9F4075" w14:textId="3E5E97B7" w:rsidTr="00A95248">
        <w:tc>
          <w:tcPr>
            <w:tcW w:w="3539" w:type="dxa"/>
          </w:tcPr>
          <w:p w14:paraId="4E05CC07" w14:textId="51034A6C" w:rsidR="002C0952" w:rsidRPr="0038116E" w:rsidRDefault="002C0952" w:rsidP="0038116E">
            <w:pPr>
              <w:pStyle w:val="TableText0"/>
              <w:spacing w:before="0" w:after="0" w:line="240" w:lineRule="auto"/>
              <w:rPr>
                <w:rFonts w:asciiTheme="minorHAnsi" w:hAnsiTheme="minorHAnsi" w:cstheme="minorHAnsi"/>
                <w:sz w:val="22"/>
                <w:lang w:eastAsia="ja-JP"/>
              </w:rPr>
            </w:pPr>
            <w:r w:rsidRPr="0038116E">
              <w:rPr>
                <w:rFonts w:asciiTheme="minorHAnsi" w:hAnsiTheme="minorHAnsi" w:cstheme="minorHAnsi"/>
                <w:sz w:val="22"/>
                <w:lang w:eastAsia="ja-JP"/>
              </w:rPr>
              <w:t>Total ischaemic stroke incidence</w:t>
            </w:r>
          </w:p>
        </w:tc>
        <w:tc>
          <w:tcPr>
            <w:tcW w:w="2126" w:type="dxa"/>
          </w:tcPr>
          <w:p w14:paraId="4F70F621" w14:textId="06861AE4" w:rsidR="002C0952" w:rsidRPr="0038116E" w:rsidRDefault="002C0952" w:rsidP="0038116E">
            <w:pPr>
              <w:pStyle w:val="TableText0"/>
              <w:spacing w:before="0" w:after="0" w:line="240" w:lineRule="auto"/>
              <w:rPr>
                <w:rFonts w:asciiTheme="minorHAnsi" w:hAnsiTheme="minorHAnsi" w:cstheme="minorHAnsi"/>
                <w:sz w:val="22"/>
                <w:lang w:eastAsia="ja-JP"/>
              </w:rPr>
            </w:pPr>
            <w:r w:rsidRPr="0038116E">
              <w:rPr>
                <w:rFonts w:asciiTheme="minorHAnsi" w:hAnsiTheme="minorHAnsi" w:cstheme="minorHAnsi"/>
                <w:sz w:val="22"/>
                <w:lang w:eastAsia="ja-JP"/>
              </w:rPr>
              <w:t>26,928</w:t>
            </w:r>
          </w:p>
        </w:tc>
        <w:tc>
          <w:tcPr>
            <w:tcW w:w="3544" w:type="dxa"/>
          </w:tcPr>
          <w:p w14:paraId="4DEF0D50" w14:textId="2B8A619C" w:rsidR="002C0952" w:rsidRPr="0038116E" w:rsidRDefault="00D4314F" w:rsidP="0038116E">
            <w:pPr>
              <w:pStyle w:val="TableText0"/>
              <w:spacing w:before="0" w:after="0" w:line="240" w:lineRule="auto"/>
              <w:rPr>
                <w:rFonts w:asciiTheme="minorHAnsi" w:hAnsiTheme="minorHAnsi" w:cstheme="minorHAnsi"/>
                <w:sz w:val="22"/>
                <w:lang w:eastAsia="ja-JP"/>
              </w:rPr>
            </w:pPr>
            <w:r>
              <w:rPr>
                <w:rFonts w:asciiTheme="minorHAnsi" w:hAnsiTheme="minorHAnsi" w:cstheme="minorHAnsi"/>
                <w:sz w:val="22"/>
                <w:lang w:eastAsia="ja-JP"/>
              </w:rPr>
              <w:t>Calculated</w:t>
            </w:r>
          </w:p>
        </w:tc>
      </w:tr>
      <w:tr w:rsidR="002C0952" w14:paraId="4C68DCC9" w14:textId="66DE9AFD" w:rsidTr="00A95248">
        <w:tc>
          <w:tcPr>
            <w:tcW w:w="3539" w:type="dxa"/>
          </w:tcPr>
          <w:p w14:paraId="2D142F1B" w14:textId="7A430D6F" w:rsidR="002C0952" w:rsidRPr="0038116E" w:rsidRDefault="002C0952" w:rsidP="0038116E">
            <w:pPr>
              <w:pStyle w:val="TableText0"/>
              <w:spacing w:before="0" w:after="0" w:line="240" w:lineRule="auto"/>
              <w:rPr>
                <w:rFonts w:asciiTheme="minorHAnsi" w:hAnsiTheme="minorHAnsi" w:cstheme="minorHAnsi"/>
                <w:sz w:val="22"/>
                <w:lang w:eastAsia="ja-JP"/>
              </w:rPr>
            </w:pPr>
            <w:r w:rsidRPr="0038116E">
              <w:rPr>
                <w:rFonts w:asciiTheme="minorHAnsi" w:hAnsiTheme="minorHAnsi" w:cstheme="minorHAnsi"/>
                <w:sz w:val="22"/>
                <w:lang w:eastAsia="ja-JP"/>
              </w:rPr>
              <w:t>% cryptogenic</w:t>
            </w:r>
          </w:p>
        </w:tc>
        <w:tc>
          <w:tcPr>
            <w:tcW w:w="2126" w:type="dxa"/>
          </w:tcPr>
          <w:p w14:paraId="7A5FE88A" w14:textId="12669506" w:rsidR="002C0952" w:rsidRPr="0038116E" w:rsidRDefault="002C0952" w:rsidP="0038116E">
            <w:pPr>
              <w:pStyle w:val="TableText0"/>
              <w:spacing w:before="0" w:after="0" w:line="240" w:lineRule="auto"/>
              <w:rPr>
                <w:rFonts w:asciiTheme="minorHAnsi" w:hAnsiTheme="minorHAnsi" w:cstheme="minorHAnsi"/>
                <w:sz w:val="22"/>
                <w:lang w:eastAsia="ja-JP"/>
              </w:rPr>
            </w:pPr>
            <w:r w:rsidRPr="0038116E">
              <w:rPr>
                <w:rFonts w:asciiTheme="minorHAnsi" w:hAnsiTheme="minorHAnsi" w:cstheme="minorHAnsi"/>
                <w:sz w:val="22"/>
                <w:lang w:eastAsia="ja-JP"/>
              </w:rPr>
              <w:t>20-40%</w:t>
            </w:r>
          </w:p>
        </w:tc>
        <w:tc>
          <w:tcPr>
            <w:tcW w:w="3544" w:type="dxa"/>
          </w:tcPr>
          <w:p w14:paraId="04ECCF74" w14:textId="4C04A014" w:rsidR="002C0952" w:rsidRPr="0038116E" w:rsidRDefault="00D4314F" w:rsidP="0038116E">
            <w:pPr>
              <w:pStyle w:val="TableText0"/>
              <w:spacing w:before="0" w:after="0" w:line="240" w:lineRule="auto"/>
              <w:rPr>
                <w:rFonts w:asciiTheme="minorHAnsi" w:hAnsiTheme="minorHAnsi" w:cstheme="minorHAnsi"/>
                <w:sz w:val="22"/>
                <w:lang w:eastAsia="ja-JP"/>
              </w:rPr>
            </w:pPr>
            <w:proofErr w:type="spellStart"/>
            <w:r w:rsidRPr="00D4314F">
              <w:rPr>
                <w:rFonts w:asciiTheme="minorHAnsi" w:hAnsiTheme="minorHAnsi" w:cstheme="minorHAnsi"/>
                <w:sz w:val="22"/>
                <w:lang w:eastAsia="ja-JP"/>
              </w:rPr>
              <w:t>Sanna</w:t>
            </w:r>
            <w:proofErr w:type="spellEnd"/>
            <w:r w:rsidRPr="00D4314F">
              <w:rPr>
                <w:rFonts w:asciiTheme="minorHAnsi" w:hAnsiTheme="minorHAnsi" w:cstheme="minorHAnsi"/>
                <w:sz w:val="22"/>
                <w:lang w:eastAsia="ja-JP"/>
              </w:rPr>
              <w:t xml:space="preserve"> et al</w:t>
            </w:r>
            <w:r w:rsidR="00A95248">
              <w:rPr>
                <w:rFonts w:asciiTheme="minorHAnsi" w:hAnsiTheme="minorHAnsi" w:cstheme="minorHAnsi"/>
                <w:sz w:val="22"/>
                <w:lang w:eastAsia="ja-JP"/>
              </w:rPr>
              <w:t>.,</w:t>
            </w:r>
            <w:r w:rsidRPr="00D4314F">
              <w:rPr>
                <w:rFonts w:asciiTheme="minorHAnsi" w:hAnsiTheme="minorHAnsi" w:cstheme="minorHAnsi"/>
                <w:sz w:val="22"/>
                <w:lang w:eastAsia="ja-JP"/>
              </w:rPr>
              <w:t xml:space="preserve"> 2014</w:t>
            </w:r>
          </w:p>
        </w:tc>
      </w:tr>
      <w:tr w:rsidR="002C0952" w14:paraId="03AC0B88" w14:textId="0BDF4C11" w:rsidTr="00A95248">
        <w:tc>
          <w:tcPr>
            <w:tcW w:w="3539" w:type="dxa"/>
          </w:tcPr>
          <w:p w14:paraId="00E86624" w14:textId="7E986A36" w:rsidR="002C0952" w:rsidRPr="0038116E" w:rsidRDefault="002C0952" w:rsidP="0038116E">
            <w:pPr>
              <w:pStyle w:val="TableText0"/>
              <w:spacing w:before="0" w:after="0" w:line="240" w:lineRule="auto"/>
              <w:rPr>
                <w:rFonts w:asciiTheme="minorHAnsi" w:hAnsiTheme="minorHAnsi" w:cstheme="minorHAnsi"/>
                <w:sz w:val="22"/>
                <w:lang w:eastAsia="ja-JP"/>
              </w:rPr>
            </w:pPr>
            <w:r w:rsidRPr="0038116E">
              <w:rPr>
                <w:rFonts w:asciiTheme="minorHAnsi" w:hAnsiTheme="minorHAnsi" w:cstheme="minorHAnsi"/>
                <w:sz w:val="22"/>
                <w:lang w:eastAsia="ja-JP"/>
              </w:rPr>
              <w:t>Total cryptogenic ischaemic stroke incidence</w:t>
            </w:r>
          </w:p>
        </w:tc>
        <w:tc>
          <w:tcPr>
            <w:tcW w:w="2126" w:type="dxa"/>
          </w:tcPr>
          <w:p w14:paraId="6EA32414" w14:textId="7B056D17" w:rsidR="002C0952" w:rsidRPr="0038116E" w:rsidRDefault="002C0952" w:rsidP="0038116E">
            <w:pPr>
              <w:pStyle w:val="TableText0"/>
              <w:spacing w:before="0" w:after="0" w:line="240" w:lineRule="auto"/>
              <w:rPr>
                <w:rFonts w:asciiTheme="minorHAnsi" w:hAnsiTheme="minorHAnsi" w:cstheme="minorHAnsi"/>
                <w:sz w:val="22"/>
                <w:lang w:eastAsia="ja-JP"/>
              </w:rPr>
            </w:pPr>
            <w:r w:rsidRPr="0038116E">
              <w:rPr>
                <w:rFonts w:asciiTheme="minorHAnsi" w:hAnsiTheme="minorHAnsi" w:cstheme="minorHAnsi"/>
                <w:sz w:val="22"/>
                <w:lang w:eastAsia="ja-JP"/>
              </w:rPr>
              <w:t>5,386-10,771</w:t>
            </w:r>
          </w:p>
        </w:tc>
        <w:tc>
          <w:tcPr>
            <w:tcW w:w="3544" w:type="dxa"/>
          </w:tcPr>
          <w:p w14:paraId="1075E120" w14:textId="2CCDEB53" w:rsidR="002C0952" w:rsidRPr="0038116E" w:rsidRDefault="00D4314F" w:rsidP="0038116E">
            <w:pPr>
              <w:pStyle w:val="TableText0"/>
              <w:spacing w:before="0" w:after="0" w:line="240" w:lineRule="auto"/>
              <w:rPr>
                <w:rFonts w:asciiTheme="minorHAnsi" w:hAnsiTheme="minorHAnsi" w:cstheme="minorHAnsi"/>
                <w:sz w:val="22"/>
                <w:lang w:eastAsia="ja-JP"/>
              </w:rPr>
            </w:pPr>
            <w:r>
              <w:rPr>
                <w:rFonts w:asciiTheme="minorHAnsi" w:hAnsiTheme="minorHAnsi" w:cstheme="minorHAnsi"/>
                <w:sz w:val="22"/>
                <w:lang w:eastAsia="ja-JP"/>
              </w:rPr>
              <w:t>Calculated</w:t>
            </w:r>
          </w:p>
        </w:tc>
      </w:tr>
    </w:tbl>
    <w:p w14:paraId="4DC7F728" w14:textId="778EC727" w:rsidR="0017723E" w:rsidRDefault="008A7599" w:rsidP="00A564B8">
      <w:pPr>
        <w:spacing w:before="240"/>
        <w:rPr>
          <w:lang w:eastAsia="ja-JP"/>
        </w:rPr>
      </w:pPr>
      <w:r>
        <w:rPr>
          <w:lang w:eastAsia="ja-JP"/>
        </w:rPr>
        <w:t>CS</w:t>
      </w:r>
      <w:r w:rsidR="007D42A2">
        <w:rPr>
          <w:rFonts w:hint="eastAsia"/>
          <w:lang w:eastAsia="ja-JP"/>
        </w:rPr>
        <w:t xml:space="preserve"> occurs in 20</w:t>
      </w:r>
      <w:r w:rsidR="0017723E">
        <w:rPr>
          <w:rFonts w:hint="eastAsia"/>
          <w:lang w:eastAsia="ja-JP"/>
        </w:rPr>
        <w:t>-40% of all ischaemic stroke cases (</w:t>
      </w:r>
      <w:proofErr w:type="spellStart"/>
      <w:r w:rsidR="007D42A2">
        <w:rPr>
          <w:rFonts w:hint="eastAsia"/>
          <w:lang w:eastAsia="ja-JP"/>
        </w:rPr>
        <w:t>Sanna</w:t>
      </w:r>
      <w:proofErr w:type="spellEnd"/>
      <w:r w:rsidR="007D42A2">
        <w:rPr>
          <w:rFonts w:hint="eastAsia"/>
          <w:lang w:eastAsia="ja-JP"/>
        </w:rPr>
        <w:t xml:space="preserve"> et al</w:t>
      </w:r>
      <w:r w:rsidR="00A95248">
        <w:rPr>
          <w:lang w:eastAsia="ja-JP"/>
        </w:rPr>
        <w:t>.,</w:t>
      </w:r>
      <w:r w:rsidR="007D42A2">
        <w:rPr>
          <w:rFonts w:hint="eastAsia"/>
          <w:lang w:eastAsia="ja-JP"/>
        </w:rPr>
        <w:t xml:space="preserve"> 2014</w:t>
      </w:r>
      <w:r w:rsidR="0017723E">
        <w:rPr>
          <w:rFonts w:hint="eastAsia"/>
          <w:lang w:eastAsia="ja-JP"/>
        </w:rPr>
        <w:t xml:space="preserve">), which means that </w:t>
      </w:r>
      <w:r w:rsidR="007D42A2" w:rsidRPr="00D4314F">
        <w:rPr>
          <w:lang w:eastAsia="ja-JP"/>
        </w:rPr>
        <w:t xml:space="preserve">5,386 </w:t>
      </w:r>
      <w:r w:rsidR="007D42A2" w:rsidRPr="00D4314F">
        <w:rPr>
          <w:lang w:val="en-US" w:eastAsia="ja-JP"/>
        </w:rPr>
        <w:t>–</w:t>
      </w:r>
      <w:r w:rsidR="007D42A2" w:rsidRPr="00D4314F">
        <w:rPr>
          <w:lang w:eastAsia="ja-JP"/>
        </w:rPr>
        <w:t xml:space="preserve"> 10,771 </w:t>
      </w:r>
      <w:r w:rsidR="0017723E" w:rsidRPr="00D4314F">
        <w:rPr>
          <w:rFonts w:hint="eastAsia"/>
          <w:lang w:eastAsia="ja-JP"/>
        </w:rPr>
        <w:t xml:space="preserve">cases can potentially become eligible for ILR under the proposed </w:t>
      </w:r>
      <w:r w:rsidR="0017723E" w:rsidRPr="00D4314F">
        <w:rPr>
          <w:lang w:eastAsia="ja-JP"/>
        </w:rPr>
        <w:t>indication</w:t>
      </w:r>
      <w:r w:rsidR="0017723E" w:rsidRPr="00D4314F">
        <w:rPr>
          <w:rFonts w:hint="eastAsia"/>
          <w:lang w:eastAsia="ja-JP"/>
        </w:rPr>
        <w:t>.</w:t>
      </w:r>
      <w:r w:rsidR="00202E8E">
        <w:rPr>
          <w:rFonts w:hint="eastAsia"/>
          <w:lang w:eastAsia="ja-JP"/>
        </w:rPr>
        <w:t xml:space="preserve">  </w:t>
      </w:r>
      <w:r w:rsidR="00202E8E">
        <w:rPr>
          <w:lang w:eastAsia="ja-JP"/>
        </w:rPr>
        <w:t>The application will examine the applicability of these data inputs to the Australian context.</w:t>
      </w:r>
    </w:p>
    <w:p w14:paraId="57E0BE60" w14:textId="2E4D0B14" w:rsidR="00BC4EFE" w:rsidRPr="00BC4EFE" w:rsidRDefault="00BC4EFE" w:rsidP="00941DC8">
      <w:pPr>
        <w:pStyle w:val="Heading1"/>
      </w:pPr>
      <w:r w:rsidRPr="00BC4EFE">
        <w:t>Intervention</w:t>
      </w:r>
      <w:r w:rsidR="001E3936">
        <w:t>/investigation</w:t>
      </w:r>
      <w:r w:rsidRPr="00BC4EFE">
        <w:t xml:space="preserve"> – proposed medical service </w:t>
      </w:r>
    </w:p>
    <w:p w14:paraId="63F4579E" w14:textId="77777777" w:rsidR="00BC4EFE" w:rsidRDefault="00BC4EFE" w:rsidP="00215B74">
      <w:pPr>
        <w:pStyle w:val="Quote"/>
      </w:pPr>
      <w:r w:rsidRPr="00BC4EFE">
        <w:t>Provide a description of the proposed medical service.</w:t>
      </w:r>
    </w:p>
    <w:p w14:paraId="7FF8177A" w14:textId="69CB2425" w:rsidR="00AE1C80" w:rsidRDefault="00AE1C80" w:rsidP="00D37529">
      <w:r w:rsidRPr="00266FFF">
        <w:t>ILRs monitor the electrical activity of the heart, continuously storing information as</w:t>
      </w:r>
      <w:r w:rsidR="00D5001D">
        <w:t xml:space="preserve"> </w:t>
      </w:r>
      <w:r w:rsidRPr="00266FFF">
        <w:t>ECGs</w:t>
      </w:r>
      <w:r>
        <w:t xml:space="preserve">, and recording abnormal activity such as arrhythmia. This makes it a very useful diagnostic tool. </w:t>
      </w:r>
      <w:r w:rsidRPr="00266FFF">
        <w:t>The ILR is implanted under local anaesthesia; a small incision is made lateral to the sternum, creating a pocket for the ILR to be placed.</w:t>
      </w:r>
    </w:p>
    <w:p w14:paraId="2DBFBF6D" w14:textId="77777777" w:rsidR="006A407A" w:rsidRDefault="006A407A">
      <w:pPr>
        <w:jc w:val="left"/>
      </w:pPr>
      <w:r>
        <w:br w:type="page"/>
      </w:r>
    </w:p>
    <w:p w14:paraId="327BAE9D" w14:textId="1CE7F492" w:rsidR="00D30535" w:rsidRDefault="00C370F2" w:rsidP="00D30535">
      <w:pPr>
        <w:autoSpaceDE w:val="0"/>
        <w:autoSpaceDN w:val="0"/>
        <w:adjustRightInd w:val="0"/>
        <w:spacing w:after="0" w:line="240" w:lineRule="auto"/>
      </w:pPr>
      <w:r>
        <w:lastRenderedPageBreak/>
        <w:t>ILR</w:t>
      </w:r>
      <w:r w:rsidR="00D30535" w:rsidRPr="0072486F">
        <w:t xml:space="preserve"> detects the occurrence of AF episodes from variations in the</w:t>
      </w:r>
      <w:r w:rsidR="00D30535">
        <w:t xml:space="preserve"> </w:t>
      </w:r>
      <w:r w:rsidR="00D30535" w:rsidRPr="0072486F">
        <w:t>ventricular rhythm. AF episodes are detected using an automatic algorithm based on the</w:t>
      </w:r>
      <w:r w:rsidR="00D30535">
        <w:t xml:space="preserve"> </w:t>
      </w:r>
      <w:r w:rsidR="00D30535" w:rsidRPr="0072486F">
        <w:t>pattern of R-wave interval variability within 2-minute periods. The differences between</w:t>
      </w:r>
      <w:r w:rsidR="00D30535">
        <w:t xml:space="preserve"> </w:t>
      </w:r>
      <w:r w:rsidR="00D30535" w:rsidRPr="0072486F">
        <w:t>consecutive R-wave intervals are plotted in a Lorenz plot</w:t>
      </w:r>
      <w:r w:rsidR="00D30535">
        <w:t>.</w:t>
      </w:r>
      <w:r w:rsidR="00D30535" w:rsidRPr="0072486F">
        <w:t xml:space="preserve"> </w:t>
      </w:r>
      <w:r w:rsidR="00D30535">
        <w:t xml:space="preserve"> </w:t>
      </w:r>
      <w:r w:rsidR="00D30535" w:rsidRPr="0072486F">
        <w:t>In the Lorenz plots the difference between 2 consecutive R-wave intervals (</w:t>
      </w:r>
      <w:r w:rsidR="00D30535" w:rsidRPr="0072486F">
        <w:rPr>
          <w:rFonts w:hint="eastAsia"/>
        </w:rPr>
        <w:t>Δ</w:t>
      </w:r>
      <w:proofErr w:type="spellStart"/>
      <w:r w:rsidR="00D30535" w:rsidRPr="0072486F">
        <w:t>RRn</w:t>
      </w:r>
      <w:proofErr w:type="spellEnd"/>
      <w:r w:rsidR="00D30535">
        <w:t xml:space="preserve">) is plotted </w:t>
      </w:r>
      <w:r w:rsidR="00D30535" w:rsidRPr="0072486F">
        <w:t>on the vertical axis</w:t>
      </w:r>
      <w:r w:rsidR="00F3250E">
        <w:t xml:space="preserve"> (Figure 2</w:t>
      </w:r>
      <w:r w:rsidR="007C542F">
        <w:t>)</w:t>
      </w:r>
      <w:r w:rsidR="00D30535" w:rsidRPr="0072486F">
        <w:t>. The preceding R-wave interval difference (</w:t>
      </w:r>
      <w:r w:rsidR="00D30535" w:rsidRPr="0072486F">
        <w:rPr>
          <w:rFonts w:hint="eastAsia"/>
        </w:rPr>
        <w:t>Δ</w:t>
      </w:r>
      <w:r w:rsidR="00D30535" w:rsidRPr="0072486F">
        <w:t>RRn-1) is plotted on the</w:t>
      </w:r>
      <w:r w:rsidR="00D30535">
        <w:t xml:space="preserve"> </w:t>
      </w:r>
      <w:r w:rsidR="00D30535" w:rsidRPr="0072486F">
        <w:t>horizontal axis</w:t>
      </w:r>
      <w:r w:rsidR="00D30535">
        <w:t xml:space="preserve">. </w:t>
      </w:r>
      <w:r w:rsidR="00D30535" w:rsidRPr="0072486F">
        <w:t>Pattern recognition is used to i</w:t>
      </w:r>
      <w:r w:rsidR="00D30535">
        <w:t xml:space="preserve">dentify AF episodes; </w:t>
      </w:r>
      <w:r w:rsidR="00D30535" w:rsidRPr="0072486F">
        <w:t>R-wave intervals during AF episodes are highly irregular</w:t>
      </w:r>
      <w:r w:rsidR="00D30535">
        <w:t xml:space="preserve"> and uncorrelated</w:t>
      </w:r>
      <w:r w:rsidR="00D30535" w:rsidRPr="0072486F">
        <w:t xml:space="preserve">. </w:t>
      </w:r>
      <w:r w:rsidR="00D30535" w:rsidRPr="001E030C">
        <w:t>Additionally, a P-wave presence algorithm looks for evidence of a P-wave between two R-waves.</w:t>
      </w:r>
    </w:p>
    <w:p w14:paraId="2DF8BFE9" w14:textId="77777777" w:rsidR="00890DBB" w:rsidRPr="001E030C" w:rsidRDefault="00890DBB" w:rsidP="00D30535">
      <w:pPr>
        <w:autoSpaceDE w:val="0"/>
        <w:autoSpaceDN w:val="0"/>
        <w:adjustRightInd w:val="0"/>
        <w:spacing w:after="0" w:line="240" w:lineRule="auto"/>
      </w:pPr>
    </w:p>
    <w:p w14:paraId="22CFD431" w14:textId="77777777" w:rsidR="00F3250E" w:rsidRDefault="00D30535" w:rsidP="00F3250E">
      <w:pPr>
        <w:keepNext/>
        <w:autoSpaceDE w:val="0"/>
        <w:autoSpaceDN w:val="0"/>
        <w:adjustRightInd w:val="0"/>
        <w:spacing w:after="0" w:line="240" w:lineRule="auto"/>
      </w:pPr>
      <w:r>
        <w:rPr>
          <w:noProof/>
          <w:lang w:eastAsia="en-AU"/>
        </w:rPr>
        <w:drawing>
          <wp:inline distT="0" distB="0" distL="0" distR="0" wp14:anchorId="095561F3" wp14:editId="4A5D5A7E">
            <wp:extent cx="2402968" cy="2035834"/>
            <wp:effectExtent l="0" t="0" r="0" b="2540"/>
            <wp:docPr id="35" name="Picture 35" descr="Figure 2 Lorenz plot of an AF episode&#10;Refer to above description of Lorenz plot of an AF epis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5159" cy="2037690"/>
                    </a:xfrm>
                    <a:prstGeom prst="rect">
                      <a:avLst/>
                    </a:prstGeom>
                    <a:noFill/>
                    <a:ln>
                      <a:noFill/>
                    </a:ln>
                  </pic:spPr>
                </pic:pic>
              </a:graphicData>
            </a:graphic>
          </wp:inline>
        </w:drawing>
      </w:r>
    </w:p>
    <w:p w14:paraId="3F1E940F" w14:textId="054D03C1" w:rsidR="00D30535" w:rsidRDefault="00F3250E" w:rsidP="00F3250E">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w:t>
      </w:r>
      <w:r w:rsidRPr="00B86A48">
        <w:t>Lorenz plot of an AF episode</w:t>
      </w:r>
    </w:p>
    <w:p w14:paraId="1322D8A5" w14:textId="77777777" w:rsidR="00D30535" w:rsidRDefault="00D30535" w:rsidP="00D30535">
      <w:pPr>
        <w:autoSpaceDE w:val="0"/>
        <w:autoSpaceDN w:val="0"/>
        <w:adjustRightInd w:val="0"/>
        <w:spacing w:after="0" w:line="240" w:lineRule="auto"/>
      </w:pPr>
    </w:p>
    <w:p w14:paraId="71EB3F2E" w14:textId="595300F4" w:rsidR="00D30535" w:rsidRPr="007C294B" w:rsidRDefault="00D30535" w:rsidP="00D30535">
      <w:pPr>
        <w:pStyle w:val="Default"/>
        <w:rPr>
          <w:rFonts w:asciiTheme="minorHAnsi" w:hAnsiTheme="minorHAnsi" w:cstheme="minorBidi"/>
          <w:color w:val="auto"/>
          <w:sz w:val="22"/>
          <w:szCs w:val="22"/>
        </w:rPr>
      </w:pPr>
      <w:r w:rsidRPr="007C294B">
        <w:rPr>
          <w:rFonts w:asciiTheme="minorHAnsi" w:hAnsiTheme="minorHAnsi" w:cstheme="minorBidi"/>
          <w:color w:val="auto"/>
          <w:sz w:val="22"/>
          <w:szCs w:val="22"/>
        </w:rPr>
        <w:t xml:space="preserve">There are no known contra-indications to the insertion of the </w:t>
      </w:r>
      <w:r w:rsidR="00C370F2">
        <w:rPr>
          <w:rFonts w:asciiTheme="minorHAnsi" w:hAnsiTheme="minorHAnsi" w:cstheme="minorBidi"/>
          <w:color w:val="auto"/>
          <w:sz w:val="22"/>
          <w:szCs w:val="22"/>
        </w:rPr>
        <w:t>ILR.</w:t>
      </w:r>
      <w:r w:rsidRPr="007C294B">
        <w:rPr>
          <w:rFonts w:asciiTheme="minorHAnsi" w:hAnsiTheme="minorHAnsi" w:cstheme="minorBidi"/>
          <w:color w:val="auto"/>
          <w:sz w:val="22"/>
          <w:szCs w:val="22"/>
        </w:rPr>
        <w:t xml:space="preserve">  Patients who </w:t>
      </w:r>
      <w:r w:rsidR="00367AD7" w:rsidRPr="007C294B">
        <w:rPr>
          <w:rFonts w:asciiTheme="minorHAnsi" w:hAnsiTheme="minorHAnsi" w:cstheme="minorBidi"/>
          <w:color w:val="auto"/>
          <w:sz w:val="22"/>
          <w:szCs w:val="22"/>
        </w:rPr>
        <w:t xml:space="preserve">receive </w:t>
      </w:r>
      <w:r w:rsidR="00367AD7">
        <w:rPr>
          <w:rFonts w:asciiTheme="minorHAnsi" w:hAnsiTheme="minorHAnsi" w:cstheme="minorBidi"/>
          <w:color w:val="auto"/>
          <w:sz w:val="22"/>
          <w:szCs w:val="22"/>
        </w:rPr>
        <w:t>ILR</w:t>
      </w:r>
      <w:r w:rsidRPr="007C294B">
        <w:rPr>
          <w:rFonts w:asciiTheme="minorHAnsi" w:hAnsiTheme="minorHAnsi" w:cstheme="minorBidi"/>
          <w:color w:val="auto"/>
          <w:sz w:val="22"/>
          <w:szCs w:val="22"/>
        </w:rPr>
        <w:t xml:space="preserve"> may safely undergo common procedures associated with atrial fibrillation and/or stroke.  These include:</w:t>
      </w:r>
    </w:p>
    <w:p w14:paraId="68E3BA33" w14:textId="77777777" w:rsidR="00D30535" w:rsidRDefault="00D30535" w:rsidP="00D30535">
      <w:pPr>
        <w:pStyle w:val="ListParagraph"/>
        <w:numPr>
          <w:ilvl w:val="0"/>
          <w:numId w:val="23"/>
        </w:numPr>
        <w:jc w:val="left"/>
      </w:pPr>
      <w:r>
        <w:t>MRI and CT scans</w:t>
      </w:r>
    </w:p>
    <w:p w14:paraId="036B255A" w14:textId="77777777" w:rsidR="00D30535" w:rsidRDefault="00D30535" w:rsidP="00D30535">
      <w:pPr>
        <w:pStyle w:val="ListParagraph"/>
        <w:numPr>
          <w:ilvl w:val="0"/>
          <w:numId w:val="23"/>
        </w:numPr>
        <w:jc w:val="left"/>
      </w:pPr>
      <w:r>
        <w:t>External cardioversion or defibrillation</w:t>
      </w:r>
    </w:p>
    <w:p w14:paraId="4084939C" w14:textId="77777777" w:rsidR="00D30535" w:rsidRDefault="00D30535" w:rsidP="00D30535">
      <w:pPr>
        <w:pStyle w:val="ListParagraph"/>
        <w:numPr>
          <w:ilvl w:val="0"/>
          <w:numId w:val="23"/>
        </w:numPr>
        <w:jc w:val="left"/>
      </w:pPr>
      <w:r>
        <w:t>Cardiac ablation</w:t>
      </w:r>
    </w:p>
    <w:p w14:paraId="391F9E11" w14:textId="77777777" w:rsidR="00D30535" w:rsidRDefault="00D30535" w:rsidP="00D30535">
      <w:pPr>
        <w:pStyle w:val="ListParagraph"/>
        <w:numPr>
          <w:ilvl w:val="0"/>
          <w:numId w:val="23"/>
        </w:numPr>
        <w:jc w:val="left"/>
      </w:pPr>
      <w:r>
        <w:t xml:space="preserve">Insertion of implantable pacemaker or </w:t>
      </w:r>
      <w:proofErr w:type="spellStart"/>
      <w:r>
        <w:t>cardioverter</w:t>
      </w:r>
      <w:proofErr w:type="spellEnd"/>
      <w:r>
        <w:t xml:space="preserve"> defibrillator</w:t>
      </w:r>
    </w:p>
    <w:p w14:paraId="553C51D5" w14:textId="6DFAA014" w:rsidR="00D30535" w:rsidRDefault="00C370F2" w:rsidP="00D30535">
      <w:r>
        <w:t>ILR</w:t>
      </w:r>
      <w:r w:rsidR="00D30535">
        <w:t xml:space="preserve"> continuously senses the patient’s subcutaneous ECG, and analyses the timing of atrial and ventricular events to detect arrhythmias.  The device stores episode data (arrhythmia type, date, start time, duration and ventricular rate)</w:t>
      </w:r>
      <w:r w:rsidR="0080774C">
        <w:t xml:space="preserve"> and ECGs for each episode type. </w:t>
      </w:r>
      <w:r w:rsidR="00D30535">
        <w:t>Episode data for a maximum of 30 AF episodes is stored within the device at any given time.  When the log is full, data from the most recent episode will overwrite the oldest st</w:t>
      </w:r>
      <w:r w:rsidR="00F21381">
        <w:t xml:space="preserve">ored episode data of that type. </w:t>
      </w:r>
      <w:r>
        <w:t>ILR</w:t>
      </w:r>
      <w:r w:rsidR="00D30535">
        <w:t xml:space="preserve"> reserves 27 min of ECG storage per day for automatically detected episodes. Two minutes of ECG is stored for each AF episode.  When the available memory is full, a new ECG recording will overwrite the oldest stored ECG recording.</w:t>
      </w:r>
    </w:p>
    <w:p w14:paraId="370C3F71" w14:textId="1010062B" w:rsidR="00D552F8" w:rsidRDefault="00C370F2" w:rsidP="00D30535">
      <w:r>
        <w:lastRenderedPageBreak/>
        <w:t>ILR</w:t>
      </w:r>
      <w:r w:rsidR="00D30535" w:rsidRPr="004F61F3">
        <w:t xml:space="preserve"> communicates with </w:t>
      </w:r>
      <w:r w:rsidR="002751BC">
        <w:t xml:space="preserve">the monitor e.g. </w:t>
      </w:r>
      <w:r w:rsidR="00D30535" w:rsidRPr="004F61F3">
        <w:t xml:space="preserve">the </w:t>
      </w:r>
      <w:r w:rsidR="002751BC">
        <w:t xml:space="preserve">Medtronic </w:t>
      </w:r>
      <w:proofErr w:type="spellStart"/>
      <w:r w:rsidR="00D30535" w:rsidRPr="004F61F3">
        <w:t>MyCareLink</w:t>
      </w:r>
      <w:proofErr w:type="spellEnd"/>
      <w:r w:rsidR="00D30535" w:rsidRPr="004F61F3">
        <w:t xml:space="preserve"> monitor every evening and automatically transfers data stored within the device to the online network</w:t>
      </w:r>
      <w:r w:rsidR="002751BC">
        <w:t xml:space="preserve"> e.g. </w:t>
      </w:r>
      <w:proofErr w:type="spellStart"/>
      <w:r w:rsidR="002751BC">
        <w:t>Carelink</w:t>
      </w:r>
      <w:proofErr w:type="spellEnd"/>
      <w:r w:rsidR="002751BC">
        <w:t xml:space="preserve"> Network</w:t>
      </w:r>
      <w:r w:rsidR="00D30535" w:rsidRPr="004F61F3">
        <w:t xml:space="preserve"> where it is stored and accessible to the patient’s physician.</w:t>
      </w:r>
      <w:r w:rsidR="00F21381">
        <w:t xml:space="preserve"> The physician receives an alert when a patient’s AF has been detected</w:t>
      </w:r>
      <w:r w:rsidR="00577743">
        <w:t>, after which the patients can be t</w:t>
      </w:r>
      <w:r w:rsidR="00F21381">
        <w:t xml:space="preserve">reated accordingly. </w:t>
      </w:r>
      <w:r w:rsidR="0080774C">
        <w:t xml:space="preserve">Once the ILR has been inserted, no further resources are expended until </w:t>
      </w:r>
      <w:r w:rsidR="007C542F">
        <w:t xml:space="preserve">such time </w:t>
      </w:r>
      <w:r w:rsidR="0080774C">
        <w:t>where an AF has been detected</w:t>
      </w:r>
      <w:r w:rsidR="00577743">
        <w:t xml:space="preserve"> and the physician has been alerted. </w:t>
      </w:r>
      <w:r w:rsidR="007C542F">
        <w:t>That is, no proactive monitoring of the output of the ILR is necessary.</w:t>
      </w:r>
    </w:p>
    <w:p w14:paraId="5D8681BF" w14:textId="60F80011" w:rsidR="00C15468" w:rsidRDefault="00C15468" w:rsidP="00D30535">
      <w:r>
        <w:t>The t</w:t>
      </w:r>
      <w:r w:rsidR="00225DC6">
        <w:t xml:space="preserve">imeframes for monitoring the </w:t>
      </w:r>
      <w:r>
        <w:t>patient is at the clinician’s discretion. Generally</w:t>
      </w:r>
      <w:r w:rsidR="00225DC6">
        <w:t>, there is no additional monitoring once the patient has been diagnosed. However, the clinician may choose to continue to receive alerts to confirm their diagnosis.</w:t>
      </w:r>
    </w:p>
    <w:p w14:paraId="35F39910" w14:textId="172173EB" w:rsidR="005876D3" w:rsidRDefault="005876D3" w:rsidP="00D37529">
      <w:r>
        <w:rPr>
          <w:rFonts w:hint="eastAsia"/>
          <w:lang w:eastAsia="ja-JP"/>
        </w:rPr>
        <w:t xml:space="preserve">Several </w:t>
      </w:r>
      <w:r w:rsidRPr="005876D3">
        <w:rPr>
          <w:lang w:eastAsia="ja-JP"/>
        </w:rPr>
        <w:t>ILR</w:t>
      </w:r>
      <w:r w:rsidR="004A5618">
        <w:rPr>
          <w:rFonts w:hint="eastAsia"/>
          <w:lang w:eastAsia="ja-JP"/>
        </w:rPr>
        <w:t>s</w:t>
      </w:r>
      <w:r w:rsidRPr="005876D3">
        <w:rPr>
          <w:lang w:eastAsia="ja-JP"/>
        </w:rPr>
        <w:t xml:space="preserve"> or implantable cardiac event recorders</w:t>
      </w:r>
      <w:r>
        <w:rPr>
          <w:rFonts w:hint="eastAsia"/>
          <w:lang w:eastAsia="ja-JP"/>
        </w:rPr>
        <w:t xml:space="preserve"> </w:t>
      </w:r>
      <w:r w:rsidRPr="005876D3">
        <w:rPr>
          <w:lang w:eastAsia="ja-JP"/>
        </w:rPr>
        <w:t xml:space="preserve">are currently </w:t>
      </w:r>
      <w:r>
        <w:rPr>
          <w:rFonts w:hint="eastAsia"/>
          <w:lang w:eastAsia="ja-JP"/>
        </w:rPr>
        <w:t>available</w:t>
      </w:r>
      <w:r w:rsidRPr="005876D3">
        <w:rPr>
          <w:lang w:eastAsia="ja-JP"/>
        </w:rPr>
        <w:t xml:space="preserve"> on Part C of the Prosthesis List with a Minimum Benefit of $3,900.00 (08.14.01 - Implantable Cardiac Event Recorders)</w:t>
      </w:r>
      <w:r w:rsidR="00652F6D">
        <w:rPr>
          <w:rFonts w:hint="eastAsia"/>
          <w:lang w:eastAsia="ja-JP"/>
        </w:rPr>
        <w:t xml:space="preserve">, as summarised in </w:t>
      </w:r>
      <w:r w:rsidR="00AE1C80">
        <w:rPr>
          <w:lang w:eastAsia="ja-JP"/>
        </w:rPr>
        <w:fldChar w:fldCharType="begin"/>
      </w:r>
      <w:r w:rsidR="00AE1C80">
        <w:rPr>
          <w:lang w:eastAsia="ja-JP"/>
        </w:rPr>
        <w:instrText xml:space="preserve"> </w:instrText>
      </w:r>
      <w:r w:rsidR="00AE1C80">
        <w:rPr>
          <w:rFonts w:hint="eastAsia"/>
          <w:lang w:eastAsia="ja-JP"/>
        </w:rPr>
        <w:instrText>REF _Ref436657636 \h</w:instrText>
      </w:r>
      <w:r w:rsidR="00AE1C80">
        <w:rPr>
          <w:lang w:eastAsia="ja-JP"/>
        </w:rPr>
        <w:instrText xml:space="preserve"> </w:instrText>
      </w:r>
      <w:r w:rsidR="00AE1C80">
        <w:rPr>
          <w:lang w:eastAsia="ja-JP"/>
        </w:rPr>
      </w:r>
      <w:r w:rsidR="00AE1C80">
        <w:rPr>
          <w:lang w:eastAsia="ja-JP"/>
        </w:rPr>
        <w:fldChar w:fldCharType="separate"/>
      </w:r>
      <w:r w:rsidR="003D08CA" w:rsidRPr="00A961FB">
        <w:rPr>
          <w:rFonts w:cstheme="minorHAnsi"/>
        </w:rPr>
        <w:t xml:space="preserve">Table </w:t>
      </w:r>
      <w:r w:rsidR="003D08CA">
        <w:rPr>
          <w:rFonts w:cstheme="minorHAnsi"/>
          <w:noProof/>
        </w:rPr>
        <w:t>4</w:t>
      </w:r>
      <w:r w:rsidR="00AE1C80">
        <w:rPr>
          <w:lang w:eastAsia="ja-JP"/>
        </w:rPr>
        <w:fldChar w:fldCharType="end"/>
      </w:r>
      <w:r w:rsidR="00652F6D">
        <w:rPr>
          <w:rFonts w:hint="eastAsia"/>
          <w:lang w:eastAsia="ja-JP"/>
        </w:rPr>
        <w:t xml:space="preserve"> below. </w:t>
      </w:r>
    </w:p>
    <w:p w14:paraId="1E5178B5" w14:textId="7968C0E7" w:rsidR="00652F6D" w:rsidRPr="00A961FB" w:rsidRDefault="00652F6D" w:rsidP="00A961FB">
      <w:pPr>
        <w:pStyle w:val="Caption"/>
        <w:spacing w:after="120"/>
        <w:rPr>
          <w:rFonts w:asciiTheme="minorHAnsi" w:hAnsiTheme="minorHAnsi" w:cstheme="minorHAnsi"/>
          <w:sz w:val="22"/>
        </w:rPr>
      </w:pPr>
      <w:bookmarkStart w:id="1" w:name="_Ref436657636"/>
      <w:r w:rsidRPr="00A961FB">
        <w:rPr>
          <w:rFonts w:asciiTheme="minorHAnsi" w:hAnsiTheme="minorHAnsi" w:cstheme="minorHAnsi"/>
          <w:sz w:val="22"/>
        </w:rPr>
        <w:t xml:space="preserve">Table </w:t>
      </w:r>
      <w:r w:rsidRPr="00A961FB">
        <w:rPr>
          <w:rFonts w:asciiTheme="minorHAnsi" w:hAnsiTheme="minorHAnsi" w:cstheme="minorHAnsi"/>
          <w:sz w:val="22"/>
        </w:rPr>
        <w:fldChar w:fldCharType="begin"/>
      </w:r>
      <w:r w:rsidRPr="00A961FB">
        <w:rPr>
          <w:rFonts w:asciiTheme="minorHAnsi" w:hAnsiTheme="minorHAnsi" w:cstheme="minorHAnsi"/>
          <w:sz w:val="22"/>
        </w:rPr>
        <w:instrText xml:space="preserve"> SEQ Table \* ARABIC </w:instrText>
      </w:r>
      <w:r w:rsidRPr="00A961FB">
        <w:rPr>
          <w:rFonts w:asciiTheme="minorHAnsi" w:hAnsiTheme="minorHAnsi" w:cstheme="minorHAnsi"/>
          <w:sz w:val="22"/>
        </w:rPr>
        <w:fldChar w:fldCharType="separate"/>
      </w:r>
      <w:r w:rsidR="00DC65DD">
        <w:rPr>
          <w:rFonts w:asciiTheme="minorHAnsi" w:hAnsiTheme="minorHAnsi" w:cstheme="minorHAnsi"/>
          <w:noProof/>
          <w:sz w:val="22"/>
        </w:rPr>
        <w:t>4</w:t>
      </w:r>
      <w:r w:rsidRPr="00A961FB">
        <w:rPr>
          <w:rFonts w:asciiTheme="minorHAnsi" w:hAnsiTheme="minorHAnsi" w:cstheme="minorHAnsi"/>
          <w:sz w:val="22"/>
        </w:rPr>
        <w:fldChar w:fldCharType="end"/>
      </w:r>
      <w:bookmarkEnd w:id="1"/>
      <w:r w:rsidRPr="00A961FB">
        <w:rPr>
          <w:rFonts w:asciiTheme="minorHAnsi" w:eastAsiaTheme="minorEastAsia" w:hAnsiTheme="minorHAnsi" w:cstheme="minorHAnsi"/>
          <w:sz w:val="22"/>
        </w:rPr>
        <w:tab/>
      </w:r>
      <w:r w:rsidRPr="00A961FB">
        <w:rPr>
          <w:rFonts w:asciiTheme="minorHAnsi" w:hAnsiTheme="minorHAnsi" w:cstheme="minorHAnsi"/>
          <w:sz w:val="22"/>
        </w:rPr>
        <w:t>Implantable cardiac event recorders currently available on the Prosthesis List</w:t>
      </w:r>
      <w:r w:rsidR="00310015" w:rsidRPr="00310015">
        <w:rPr>
          <w:rFonts w:asciiTheme="minorHAnsi" w:hAnsiTheme="minorHAnsi" w:cstheme="minorHAnsi"/>
          <w:sz w:val="22"/>
          <w:vertAlign w:val="superscript"/>
        </w:rPr>
        <w:t>*</w:t>
      </w:r>
      <w:r w:rsidRPr="00A961FB">
        <w:rPr>
          <w:rFonts w:asciiTheme="minorHAnsi" w:hAnsiTheme="minorHAnsi" w:cstheme="minorHAnsi"/>
          <w:sz w:val="22"/>
        </w:rPr>
        <w:t xml:space="preserve"> </w:t>
      </w:r>
    </w:p>
    <w:tbl>
      <w:tblPr>
        <w:tblStyle w:val="TableGrid"/>
        <w:tblW w:w="10031" w:type="dxa"/>
        <w:tblLook w:val="04A0" w:firstRow="1" w:lastRow="0" w:firstColumn="1" w:lastColumn="0" w:noHBand="0" w:noVBand="1"/>
        <w:tblDescription w:val="Table 4 Implantable cardiac event recorders currently available on the Prosthesis List"/>
      </w:tblPr>
      <w:tblGrid>
        <w:gridCol w:w="1526"/>
        <w:gridCol w:w="1984"/>
        <w:gridCol w:w="4536"/>
        <w:gridCol w:w="1985"/>
      </w:tblGrid>
      <w:tr w:rsidR="00652F6D" w14:paraId="77C09A7E" w14:textId="77777777" w:rsidTr="002A5D07">
        <w:trPr>
          <w:tblHeader/>
        </w:trPr>
        <w:tc>
          <w:tcPr>
            <w:tcW w:w="1526" w:type="dxa"/>
            <w:shd w:val="clear" w:color="auto" w:fill="F2F2F2" w:themeFill="background1" w:themeFillShade="F2"/>
          </w:tcPr>
          <w:p w14:paraId="082589C9" w14:textId="7901703F" w:rsidR="00652F6D" w:rsidRPr="00310015" w:rsidRDefault="00652F6D" w:rsidP="00AE1C80">
            <w:pPr>
              <w:pStyle w:val="TableText0"/>
              <w:spacing w:before="0" w:after="0" w:line="240" w:lineRule="auto"/>
              <w:rPr>
                <w:rFonts w:asciiTheme="minorHAnsi" w:hAnsiTheme="minorHAnsi" w:cstheme="minorHAnsi"/>
                <w:b/>
                <w:sz w:val="22"/>
                <w:lang w:eastAsia="ja-JP"/>
              </w:rPr>
            </w:pPr>
            <w:r w:rsidRPr="00310015">
              <w:rPr>
                <w:rFonts w:asciiTheme="minorHAnsi" w:hAnsiTheme="minorHAnsi" w:cstheme="minorHAnsi"/>
                <w:b/>
                <w:sz w:val="22"/>
                <w:lang w:eastAsia="ja-JP"/>
              </w:rPr>
              <w:t>Billing Code</w:t>
            </w:r>
          </w:p>
        </w:tc>
        <w:tc>
          <w:tcPr>
            <w:tcW w:w="1984" w:type="dxa"/>
            <w:shd w:val="clear" w:color="auto" w:fill="F2F2F2" w:themeFill="background1" w:themeFillShade="F2"/>
          </w:tcPr>
          <w:p w14:paraId="232387CD" w14:textId="473C1493" w:rsidR="00652F6D" w:rsidRPr="00F87673" w:rsidRDefault="00652F6D" w:rsidP="00AE1C80">
            <w:pPr>
              <w:pStyle w:val="TableText0"/>
              <w:spacing w:before="0" w:after="0" w:line="240" w:lineRule="auto"/>
              <w:rPr>
                <w:rFonts w:asciiTheme="minorHAnsi" w:hAnsiTheme="minorHAnsi" w:cstheme="minorHAnsi"/>
                <w:b/>
                <w:sz w:val="22"/>
                <w:lang w:eastAsia="ja-JP"/>
              </w:rPr>
            </w:pPr>
            <w:r w:rsidRPr="00F87673">
              <w:rPr>
                <w:rFonts w:asciiTheme="minorHAnsi" w:hAnsiTheme="minorHAnsi" w:cstheme="minorHAnsi"/>
                <w:b/>
                <w:sz w:val="22"/>
                <w:lang w:eastAsia="ja-JP"/>
              </w:rPr>
              <w:t>Product name</w:t>
            </w:r>
          </w:p>
        </w:tc>
        <w:tc>
          <w:tcPr>
            <w:tcW w:w="4536" w:type="dxa"/>
            <w:shd w:val="clear" w:color="auto" w:fill="F2F2F2" w:themeFill="background1" w:themeFillShade="F2"/>
          </w:tcPr>
          <w:p w14:paraId="11CE1DA4" w14:textId="1C24A6EB" w:rsidR="00652F6D" w:rsidRPr="00F87673" w:rsidRDefault="00652F6D" w:rsidP="00AE1C80">
            <w:pPr>
              <w:pStyle w:val="TableText0"/>
              <w:spacing w:before="0" w:after="0" w:line="240" w:lineRule="auto"/>
              <w:rPr>
                <w:rFonts w:asciiTheme="minorHAnsi" w:hAnsiTheme="minorHAnsi" w:cstheme="minorHAnsi"/>
                <w:b/>
                <w:sz w:val="22"/>
                <w:lang w:eastAsia="ja-JP"/>
              </w:rPr>
            </w:pPr>
            <w:r w:rsidRPr="00F87673">
              <w:rPr>
                <w:rFonts w:asciiTheme="minorHAnsi" w:hAnsiTheme="minorHAnsi" w:cstheme="minorHAnsi"/>
                <w:b/>
                <w:sz w:val="22"/>
                <w:lang w:eastAsia="ja-JP"/>
              </w:rPr>
              <w:t>Description</w:t>
            </w:r>
          </w:p>
        </w:tc>
        <w:tc>
          <w:tcPr>
            <w:tcW w:w="1985" w:type="dxa"/>
            <w:shd w:val="clear" w:color="auto" w:fill="F2F2F2" w:themeFill="background1" w:themeFillShade="F2"/>
          </w:tcPr>
          <w:p w14:paraId="251D7FE7" w14:textId="0B183A2D" w:rsidR="00652F6D" w:rsidRPr="00FD5259" w:rsidRDefault="00652F6D" w:rsidP="00AE1C80">
            <w:pPr>
              <w:pStyle w:val="TableText0"/>
              <w:spacing w:before="0" w:after="0" w:line="240" w:lineRule="auto"/>
              <w:rPr>
                <w:rFonts w:asciiTheme="minorHAnsi" w:hAnsiTheme="minorHAnsi" w:cstheme="minorHAnsi"/>
                <w:b/>
                <w:sz w:val="22"/>
                <w:lang w:eastAsia="ja-JP"/>
              </w:rPr>
            </w:pPr>
            <w:r w:rsidRPr="00FD5259">
              <w:rPr>
                <w:rFonts w:asciiTheme="minorHAnsi" w:hAnsiTheme="minorHAnsi" w:cstheme="minorHAnsi"/>
                <w:b/>
                <w:sz w:val="22"/>
                <w:lang w:eastAsia="ja-JP"/>
              </w:rPr>
              <w:t>Manufacturer</w:t>
            </w:r>
          </w:p>
        </w:tc>
      </w:tr>
      <w:tr w:rsidR="00652F6D" w14:paraId="7DC08E57" w14:textId="77777777" w:rsidTr="00AE1C80">
        <w:tc>
          <w:tcPr>
            <w:tcW w:w="10031" w:type="dxa"/>
            <w:gridSpan w:val="4"/>
          </w:tcPr>
          <w:p w14:paraId="003148C0" w14:textId="1322653A" w:rsidR="00652F6D" w:rsidRPr="00310015" w:rsidRDefault="00652F6D" w:rsidP="00AE1C80">
            <w:pPr>
              <w:pStyle w:val="TableText0"/>
              <w:spacing w:before="0" w:after="0" w:line="240" w:lineRule="auto"/>
              <w:rPr>
                <w:rFonts w:asciiTheme="minorHAnsi" w:hAnsiTheme="minorHAnsi" w:cstheme="minorHAnsi"/>
                <w:b/>
                <w:i/>
                <w:sz w:val="22"/>
                <w:lang w:eastAsia="ja-JP"/>
              </w:rPr>
            </w:pPr>
            <w:r w:rsidRPr="00310015">
              <w:rPr>
                <w:rFonts w:asciiTheme="minorHAnsi" w:hAnsiTheme="minorHAnsi" w:cstheme="minorHAnsi"/>
                <w:b/>
                <w:i/>
                <w:sz w:val="22"/>
                <w:lang w:eastAsia="ja-JP"/>
              </w:rPr>
              <w:t>08.14.01 - Implantable Cardiac Event Recorders</w:t>
            </w:r>
          </w:p>
        </w:tc>
      </w:tr>
      <w:tr w:rsidR="00652F6D" w14:paraId="2E31AF12" w14:textId="77777777" w:rsidTr="00AE1C80">
        <w:tc>
          <w:tcPr>
            <w:tcW w:w="1526" w:type="dxa"/>
          </w:tcPr>
          <w:p w14:paraId="5F21A055" w14:textId="525629C1" w:rsidR="00652F6D" w:rsidRPr="00310015" w:rsidRDefault="00652F6D" w:rsidP="00AE1C80">
            <w:pPr>
              <w:pStyle w:val="TableText0"/>
              <w:spacing w:before="0" w:after="0" w:line="240" w:lineRule="auto"/>
              <w:rPr>
                <w:rFonts w:asciiTheme="minorHAnsi" w:hAnsiTheme="minorHAnsi" w:cstheme="minorHAnsi"/>
                <w:sz w:val="22"/>
              </w:rPr>
            </w:pPr>
            <w:r w:rsidRPr="00310015">
              <w:rPr>
                <w:rFonts w:asciiTheme="minorHAnsi" w:hAnsiTheme="minorHAnsi" w:cstheme="minorHAnsi"/>
                <w:sz w:val="22"/>
              </w:rPr>
              <w:t>MI141</w:t>
            </w:r>
          </w:p>
        </w:tc>
        <w:tc>
          <w:tcPr>
            <w:tcW w:w="1984" w:type="dxa"/>
          </w:tcPr>
          <w:p w14:paraId="2810C75B" w14:textId="5CF91811" w:rsidR="00652F6D" w:rsidRPr="00F87673" w:rsidRDefault="00652F6D" w:rsidP="00AE1C80">
            <w:pPr>
              <w:pStyle w:val="TableText0"/>
              <w:spacing w:before="0" w:after="0" w:line="240" w:lineRule="auto"/>
              <w:rPr>
                <w:rFonts w:asciiTheme="minorHAnsi" w:hAnsiTheme="minorHAnsi" w:cstheme="minorHAnsi"/>
                <w:sz w:val="22"/>
              </w:rPr>
            </w:pPr>
            <w:r w:rsidRPr="00F87673">
              <w:rPr>
                <w:rFonts w:asciiTheme="minorHAnsi" w:hAnsiTheme="minorHAnsi" w:cstheme="minorHAnsi"/>
                <w:sz w:val="22"/>
              </w:rPr>
              <w:t>Reveal LINQ</w:t>
            </w:r>
          </w:p>
        </w:tc>
        <w:tc>
          <w:tcPr>
            <w:tcW w:w="4536" w:type="dxa"/>
          </w:tcPr>
          <w:p w14:paraId="3D7CE203" w14:textId="009C436F" w:rsidR="00652F6D" w:rsidRPr="00F87673" w:rsidRDefault="00652F6D" w:rsidP="00AE1C80">
            <w:pPr>
              <w:pStyle w:val="TableText0"/>
              <w:spacing w:before="0" w:after="0" w:line="240" w:lineRule="auto"/>
              <w:rPr>
                <w:rFonts w:asciiTheme="minorHAnsi" w:hAnsiTheme="minorHAnsi" w:cstheme="minorHAnsi"/>
                <w:sz w:val="22"/>
              </w:rPr>
            </w:pPr>
            <w:proofErr w:type="spellStart"/>
            <w:r w:rsidRPr="00F87673">
              <w:rPr>
                <w:rFonts w:asciiTheme="minorHAnsi" w:hAnsiTheme="minorHAnsi" w:cstheme="minorHAnsi"/>
                <w:sz w:val="22"/>
              </w:rPr>
              <w:t>Insertable</w:t>
            </w:r>
            <w:proofErr w:type="spellEnd"/>
            <w:r w:rsidRPr="00F87673">
              <w:rPr>
                <w:rFonts w:asciiTheme="minorHAnsi" w:hAnsiTheme="minorHAnsi" w:cstheme="minorHAnsi"/>
                <w:sz w:val="22"/>
              </w:rPr>
              <w:t xml:space="preserve"> Cardiac Monitor</w:t>
            </w:r>
          </w:p>
        </w:tc>
        <w:tc>
          <w:tcPr>
            <w:tcW w:w="1985" w:type="dxa"/>
            <w:vMerge w:val="restart"/>
          </w:tcPr>
          <w:p w14:paraId="26BCA5CF" w14:textId="675A8881" w:rsidR="00652F6D" w:rsidRPr="00FD5259" w:rsidRDefault="00652F6D" w:rsidP="00AE1C80">
            <w:pPr>
              <w:pStyle w:val="TableText0"/>
              <w:spacing w:before="0" w:after="0" w:line="240" w:lineRule="auto"/>
              <w:rPr>
                <w:rFonts w:asciiTheme="minorHAnsi" w:hAnsiTheme="minorHAnsi" w:cstheme="minorHAnsi"/>
                <w:sz w:val="22"/>
              </w:rPr>
            </w:pPr>
            <w:r w:rsidRPr="00FD5259">
              <w:rPr>
                <w:rFonts w:asciiTheme="minorHAnsi" w:hAnsiTheme="minorHAnsi" w:cstheme="minorHAnsi"/>
                <w:sz w:val="22"/>
              </w:rPr>
              <w:t>Medtronic Australasia Pty Ltd</w:t>
            </w:r>
          </w:p>
        </w:tc>
      </w:tr>
      <w:tr w:rsidR="00652F6D" w14:paraId="73810280" w14:textId="77777777" w:rsidTr="00AE1C80">
        <w:tc>
          <w:tcPr>
            <w:tcW w:w="1526" w:type="dxa"/>
          </w:tcPr>
          <w:p w14:paraId="43161A35" w14:textId="3A61AA1C" w:rsidR="00652F6D" w:rsidRPr="00310015" w:rsidRDefault="00652F6D" w:rsidP="00AE1C80">
            <w:pPr>
              <w:pStyle w:val="TableText0"/>
              <w:spacing w:before="0" w:after="0" w:line="240" w:lineRule="auto"/>
              <w:rPr>
                <w:rFonts w:asciiTheme="minorHAnsi" w:hAnsiTheme="minorHAnsi" w:cstheme="minorHAnsi"/>
                <w:sz w:val="22"/>
              </w:rPr>
            </w:pPr>
            <w:r w:rsidRPr="00310015">
              <w:rPr>
                <w:rFonts w:asciiTheme="minorHAnsi" w:hAnsiTheme="minorHAnsi" w:cstheme="minorHAnsi"/>
                <w:sz w:val="22"/>
              </w:rPr>
              <w:t>MC763</w:t>
            </w:r>
          </w:p>
        </w:tc>
        <w:tc>
          <w:tcPr>
            <w:tcW w:w="1984" w:type="dxa"/>
          </w:tcPr>
          <w:p w14:paraId="41F846D5" w14:textId="3D1821E0" w:rsidR="00652F6D" w:rsidRPr="00F87673" w:rsidRDefault="00652F6D" w:rsidP="00AE1C80">
            <w:pPr>
              <w:pStyle w:val="TableText0"/>
              <w:spacing w:before="0" w:after="0" w:line="240" w:lineRule="auto"/>
              <w:rPr>
                <w:rFonts w:asciiTheme="minorHAnsi" w:hAnsiTheme="minorHAnsi" w:cstheme="minorHAnsi"/>
                <w:sz w:val="22"/>
              </w:rPr>
            </w:pPr>
            <w:r w:rsidRPr="00F87673">
              <w:rPr>
                <w:rFonts w:asciiTheme="minorHAnsi" w:hAnsiTheme="minorHAnsi" w:cstheme="minorHAnsi"/>
                <w:sz w:val="22"/>
              </w:rPr>
              <w:t>Reveal XT</w:t>
            </w:r>
          </w:p>
        </w:tc>
        <w:tc>
          <w:tcPr>
            <w:tcW w:w="4536" w:type="dxa"/>
          </w:tcPr>
          <w:p w14:paraId="00E9A1FD" w14:textId="542CFFC8" w:rsidR="00652F6D" w:rsidRPr="00F87673" w:rsidRDefault="00652F6D" w:rsidP="00AE1C80">
            <w:pPr>
              <w:pStyle w:val="TableText0"/>
              <w:spacing w:before="0" w:after="0" w:line="240" w:lineRule="auto"/>
              <w:rPr>
                <w:rFonts w:asciiTheme="minorHAnsi" w:hAnsiTheme="minorHAnsi" w:cstheme="minorHAnsi"/>
                <w:sz w:val="22"/>
              </w:rPr>
            </w:pPr>
            <w:r w:rsidRPr="00F87673">
              <w:rPr>
                <w:rFonts w:asciiTheme="minorHAnsi" w:hAnsiTheme="minorHAnsi" w:cstheme="minorHAnsi"/>
                <w:sz w:val="22"/>
              </w:rPr>
              <w:t xml:space="preserve">Reveal XT </w:t>
            </w:r>
            <w:proofErr w:type="spellStart"/>
            <w:r w:rsidRPr="00F87673">
              <w:rPr>
                <w:rFonts w:asciiTheme="minorHAnsi" w:hAnsiTheme="minorHAnsi" w:cstheme="minorHAnsi"/>
                <w:sz w:val="22"/>
              </w:rPr>
              <w:t>Insertable</w:t>
            </w:r>
            <w:proofErr w:type="spellEnd"/>
            <w:r w:rsidRPr="00F87673">
              <w:rPr>
                <w:rFonts w:asciiTheme="minorHAnsi" w:hAnsiTheme="minorHAnsi" w:cstheme="minorHAnsi"/>
                <w:sz w:val="22"/>
              </w:rPr>
              <w:t xml:space="preserve"> Cardiac Monitor</w:t>
            </w:r>
          </w:p>
        </w:tc>
        <w:tc>
          <w:tcPr>
            <w:tcW w:w="1985" w:type="dxa"/>
            <w:vMerge/>
          </w:tcPr>
          <w:p w14:paraId="6CC24293" w14:textId="7AF76BA5" w:rsidR="00652F6D" w:rsidRPr="00310015" w:rsidRDefault="00652F6D" w:rsidP="00AE1C80">
            <w:pPr>
              <w:pStyle w:val="TableText0"/>
              <w:spacing w:before="0" w:after="0" w:line="240" w:lineRule="auto"/>
              <w:rPr>
                <w:rFonts w:asciiTheme="minorHAnsi" w:hAnsiTheme="minorHAnsi" w:cstheme="minorHAnsi"/>
                <w:sz w:val="22"/>
              </w:rPr>
            </w:pPr>
          </w:p>
        </w:tc>
      </w:tr>
      <w:tr w:rsidR="00652F6D" w14:paraId="1E48CDC4" w14:textId="77777777" w:rsidTr="00AE1C80">
        <w:tc>
          <w:tcPr>
            <w:tcW w:w="1526" w:type="dxa"/>
          </w:tcPr>
          <w:p w14:paraId="3749E781" w14:textId="1F66CAF1" w:rsidR="00652F6D" w:rsidRPr="00310015" w:rsidRDefault="00652F6D" w:rsidP="00AE1C80">
            <w:pPr>
              <w:pStyle w:val="TableText0"/>
              <w:spacing w:before="0" w:after="0" w:line="240" w:lineRule="auto"/>
              <w:rPr>
                <w:rFonts w:asciiTheme="minorHAnsi" w:hAnsiTheme="minorHAnsi" w:cstheme="minorHAnsi"/>
                <w:sz w:val="22"/>
              </w:rPr>
            </w:pPr>
            <w:r w:rsidRPr="00310015">
              <w:rPr>
                <w:rFonts w:asciiTheme="minorHAnsi" w:hAnsiTheme="minorHAnsi" w:cstheme="minorHAnsi"/>
                <w:sz w:val="22"/>
              </w:rPr>
              <w:t>MC768</w:t>
            </w:r>
          </w:p>
        </w:tc>
        <w:tc>
          <w:tcPr>
            <w:tcW w:w="1984" w:type="dxa"/>
          </w:tcPr>
          <w:p w14:paraId="29431535" w14:textId="5457F0A3" w:rsidR="00652F6D" w:rsidRPr="00F87673" w:rsidRDefault="00652F6D" w:rsidP="00AE1C80">
            <w:pPr>
              <w:pStyle w:val="TableText0"/>
              <w:spacing w:before="0" w:after="0" w:line="240" w:lineRule="auto"/>
              <w:rPr>
                <w:rFonts w:asciiTheme="minorHAnsi" w:hAnsiTheme="minorHAnsi" w:cstheme="minorHAnsi"/>
                <w:sz w:val="22"/>
              </w:rPr>
            </w:pPr>
            <w:r w:rsidRPr="00F87673">
              <w:rPr>
                <w:rFonts w:asciiTheme="minorHAnsi" w:hAnsiTheme="minorHAnsi" w:cstheme="minorHAnsi"/>
                <w:sz w:val="22"/>
              </w:rPr>
              <w:t>Reveal DX</w:t>
            </w:r>
          </w:p>
        </w:tc>
        <w:tc>
          <w:tcPr>
            <w:tcW w:w="4536" w:type="dxa"/>
          </w:tcPr>
          <w:p w14:paraId="5360CAE5" w14:textId="5BC0C240" w:rsidR="00652F6D" w:rsidRPr="00F87673" w:rsidRDefault="00652F6D" w:rsidP="00AE1C80">
            <w:pPr>
              <w:pStyle w:val="TableText0"/>
              <w:spacing w:before="0" w:after="0" w:line="240" w:lineRule="auto"/>
              <w:rPr>
                <w:rFonts w:asciiTheme="minorHAnsi" w:hAnsiTheme="minorHAnsi" w:cstheme="minorHAnsi"/>
                <w:sz w:val="22"/>
              </w:rPr>
            </w:pPr>
            <w:proofErr w:type="spellStart"/>
            <w:r w:rsidRPr="00F87673">
              <w:rPr>
                <w:rFonts w:asciiTheme="minorHAnsi" w:hAnsiTheme="minorHAnsi" w:cstheme="minorHAnsi"/>
                <w:sz w:val="22"/>
              </w:rPr>
              <w:t>Insertable</w:t>
            </w:r>
            <w:proofErr w:type="spellEnd"/>
            <w:r w:rsidRPr="00F87673">
              <w:rPr>
                <w:rFonts w:asciiTheme="minorHAnsi" w:hAnsiTheme="minorHAnsi" w:cstheme="minorHAnsi"/>
                <w:sz w:val="22"/>
              </w:rPr>
              <w:t xml:space="preserve"> Cardiac Monitor</w:t>
            </w:r>
          </w:p>
        </w:tc>
        <w:tc>
          <w:tcPr>
            <w:tcW w:w="1985" w:type="dxa"/>
            <w:vMerge/>
          </w:tcPr>
          <w:p w14:paraId="0D9167D3" w14:textId="1DF822EE" w:rsidR="00652F6D" w:rsidRPr="00310015" w:rsidRDefault="00652F6D" w:rsidP="00AE1C80">
            <w:pPr>
              <w:pStyle w:val="TableText0"/>
              <w:spacing w:before="0" w:after="0" w:line="240" w:lineRule="auto"/>
              <w:rPr>
                <w:rFonts w:asciiTheme="minorHAnsi" w:hAnsiTheme="minorHAnsi" w:cstheme="minorHAnsi"/>
                <w:sz w:val="22"/>
              </w:rPr>
            </w:pPr>
          </w:p>
        </w:tc>
      </w:tr>
      <w:tr w:rsidR="00652F6D" w14:paraId="29E9C18F" w14:textId="77777777" w:rsidTr="00AE1C80">
        <w:tc>
          <w:tcPr>
            <w:tcW w:w="1526" w:type="dxa"/>
          </w:tcPr>
          <w:p w14:paraId="6A0A8FF3" w14:textId="566ACF25" w:rsidR="00652F6D" w:rsidRPr="00310015" w:rsidRDefault="00652F6D" w:rsidP="00AE1C80">
            <w:pPr>
              <w:pStyle w:val="TableText0"/>
              <w:spacing w:before="0" w:after="0" w:line="240" w:lineRule="auto"/>
              <w:rPr>
                <w:rFonts w:asciiTheme="minorHAnsi" w:hAnsiTheme="minorHAnsi" w:cstheme="minorHAnsi"/>
                <w:sz w:val="22"/>
              </w:rPr>
            </w:pPr>
            <w:r w:rsidRPr="00310015">
              <w:rPr>
                <w:rFonts w:asciiTheme="minorHAnsi" w:hAnsiTheme="minorHAnsi" w:cstheme="minorHAnsi"/>
                <w:sz w:val="22"/>
              </w:rPr>
              <w:t>SJ152</w:t>
            </w:r>
          </w:p>
        </w:tc>
        <w:tc>
          <w:tcPr>
            <w:tcW w:w="1984" w:type="dxa"/>
          </w:tcPr>
          <w:p w14:paraId="32413C83" w14:textId="642A02FF" w:rsidR="00652F6D" w:rsidRPr="00F87673" w:rsidRDefault="00F42562" w:rsidP="00AE1C80">
            <w:pPr>
              <w:pStyle w:val="TableText0"/>
              <w:spacing w:before="0" w:after="0" w:line="240" w:lineRule="auto"/>
              <w:rPr>
                <w:rFonts w:asciiTheme="minorHAnsi" w:hAnsiTheme="minorHAnsi" w:cstheme="minorHAnsi"/>
                <w:sz w:val="22"/>
              </w:rPr>
            </w:pPr>
            <w:r w:rsidRPr="00F87673">
              <w:rPr>
                <w:rFonts w:asciiTheme="minorHAnsi" w:eastAsiaTheme="minorEastAsia" w:hAnsiTheme="minorHAnsi" w:cstheme="minorHAnsi"/>
                <w:sz w:val="22"/>
                <w:lang w:eastAsia="ja-JP"/>
              </w:rPr>
              <w:t>S</w:t>
            </w:r>
            <w:r w:rsidR="00652F6D" w:rsidRPr="00F87673">
              <w:rPr>
                <w:rFonts w:asciiTheme="minorHAnsi" w:hAnsiTheme="minorHAnsi" w:cstheme="minorHAnsi"/>
                <w:sz w:val="22"/>
              </w:rPr>
              <w:t>JM Confirm Model DM2102</w:t>
            </w:r>
          </w:p>
        </w:tc>
        <w:tc>
          <w:tcPr>
            <w:tcW w:w="4536" w:type="dxa"/>
          </w:tcPr>
          <w:p w14:paraId="1DF10AD6" w14:textId="1B747932" w:rsidR="00652F6D" w:rsidRPr="00F87673" w:rsidRDefault="00652F6D" w:rsidP="00AE1C80">
            <w:pPr>
              <w:pStyle w:val="TableText0"/>
              <w:spacing w:before="0" w:after="0" w:line="240" w:lineRule="auto"/>
              <w:rPr>
                <w:rFonts w:asciiTheme="minorHAnsi" w:hAnsiTheme="minorHAnsi" w:cstheme="minorHAnsi"/>
                <w:sz w:val="22"/>
              </w:rPr>
            </w:pPr>
            <w:r w:rsidRPr="00F87673">
              <w:rPr>
                <w:rFonts w:asciiTheme="minorHAnsi" w:hAnsiTheme="minorHAnsi" w:cstheme="minorHAnsi"/>
                <w:sz w:val="22"/>
              </w:rPr>
              <w:t>Implantable cardiac monitor with atrial fibrillation monitoring.</w:t>
            </w:r>
          </w:p>
        </w:tc>
        <w:tc>
          <w:tcPr>
            <w:tcW w:w="1985" w:type="dxa"/>
            <w:vMerge w:val="restart"/>
          </w:tcPr>
          <w:p w14:paraId="0BBB4243" w14:textId="3D34C89F" w:rsidR="00652F6D" w:rsidRPr="00FD5259" w:rsidRDefault="00652F6D" w:rsidP="00AE1C80">
            <w:pPr>
              <w:pStyle w:val="TableText0"/>
              <w:spacing w:before="0" w:after="0" w:line="240" w:lineRule="auto"/>
              <w:rPr>
                <w:rFonts w:asciiTheme="minorHAnsi" w:hAnsiTheme="minorHAnsi" w:cstheme="minorHAnsi"/>
                <w:sz w:val="22"/>
              </w:rPr>
            </w:pPr>
            <w:r w:rsidRPr="00FD5259">
              <w:rPr>
                <w:rFonts w:asciiTheme="minorHAnsi" w:hAnsiTheme="minorHAnsi" w:cstheme="minorHAnsi"/>
                <w:sz w:val="22"/>
              </w:rPr>
              <w:t>St Jude Medical Australia Pty Ltd</w:t>
            </w:r>
          </w:p>
        </w:tc>
      </w:tr>
      <w:tr w:rsidR="00652F6D" w14:paraId="3965D54C" w14:textId="77777777" w:rsidTr="00AE1C80">
        <w:tc>
          <w:tcPr>
            <w:tcW w:w="1526" w:type="dxa"/>
          </w:tcPr>
          <w:p w14:paraId="07B34DCA" w14:textId="3847FADC" w:rsidR="00652F6D" w:rsidRPr="00310015" w:rsidRDefault="00652F6D" w:rsidP="00AE1C80">
            <w:pPr>
              <w:pStyle w:val="TableText0"/>
              <w:spacing w:before="0" w:after="0" w:line="240" w:lineRule="auto"/>
              <w:rPr>
                <w:rFonts w:asciiTheme="minorHAnsi" w:hAnsiTheme="minorHAnsi" w:cstheme="minorHAnsi"/>
                <w:sz w:val="22"/>
              </w:rPr>
            </w:pPr>
            <w:r w:rsidRPr="00310015">
              <w:rPr>
                <w:rFonts w:asciiTheme="minorHAnsi" w:hAnsiTheme="minorHAnsi" w:cstheme="minorHAnsi"/>
                <w:sz w:val="22"/>
              </w:rPr>
              <w:t>SJ159</w:t>
            </w:r>
          </w:p>
        </w:tc>
        <w:tc>
          <w:tcPr>
            <w:tcW w:w="1984" w:type="dxa"/>
          </w:tcPr>
          <w:p w14:paraId="04BBF2C3" w14:textId="5AB1519B" w:rsidR="00652F6D" w:rsidRPr="00310015" w:rsidRDefault="00652F6D" w:rsidP="00AE1C80">
            <w:pPr>
              <w:pStyle w:val="TableText0"/>
              <w:spacing w:before="0" w:after="0" w:line="240" w:lineRule="auto"/>
              <w:rPr>
                <w:rFonts w:asciiTheme="minorHAnsi" w:hAnsiTheme="minorHAnsi" w:cstheme="minorHAnsi"/>
                <w:sz w:val="22"/>
              </w:rPr>
            </w:pPr>
            <w:r w:rsidRPr="00310015">
              <w:rPr>
                <w:rFonts w:asciiTheme="minorHAnsi" w:hAnsiTheme="minorHAnsi" w:cstheme="minorHAnsi"/>
                <w:sz w:val="22"/>
              </w:rPr>
              <w:t>SJM Confirm Model DM2100</w:t>
            </w:r>
          </w:p>
        </w:tc>
        <w:tc>
          <w:tcPr>
            <w:tcW w:w="4536" w:type="dxa"/>
          </w:tcPr>
          <w:p w14:paraId="10A62E10" w14:textId="56601193" w:rsidR="00652F6D" w:rsidRPr="00F87673" w:rsidRDefault="00652F6D" w:rsidP="00AE1C80">
            <w:pPr>
              <w:pStyle w:val="TableText0"/>
              <w:spacing w:before="0" w:after="0" w:line="240" w:lineRule="auto"/>
              <w:rPr>
                <w:rFonts w:asciiTheme="minorHAnsi" w:hAnsiTheme="minorHAnsi" w:cstheme="minorHAnsi"/>
                <w:sz w:val="22"/>
              </w:rPr>
            </w:pPr>
            <w:r w:rsidRPr="00F87673">
              <w:rPr>
                <w:rFonts w:asciiTheme="minorHAnsi" w:hAnsiTheme="minorHAnsi" w:cstheme="minorHAnsi"/>
                <w:sz w:val="22"/>
              </w:rPr>
              <w:t>Implantable cardiac monitor</w:t>
            </w:r>
          </w:p>
        </w:tc>
        <w:tc>
          <w:tcPr>
            <w:tcW w:w="1985" w:type="dxa"/>
            <w:vMerge/>
          </w:tcPr>
          <w:p w14:paraId="395CD50B" w14:textId="433984BD" w:rsidR="00652F6D" w:rsidRPr="00310015" w:rsidRDefault="00652F6D" w:rsidP="00AE1C80">
            <w:pPr>
              <w:pStyle w:val="TableText0"/>
              <w:spacing w:before="0" w:after="0" w:line="240" w:lineRule="auto"/>
              <w:rPr>
                <w:rFonts w:asciiTheme="minorHAnsi" w:hAnsiTheme="minorHAnsi" w:cstheme="minorHAnsi"/>
                <w:sz w:val="22"/>
              </w:rPr>
            </w:pPr>
          </w:p>
        </w:tc>
      </w:tr>
      <w:tr w:rsidR="00652F6D" w14:paraId="22D4C86A" w14:textId="77777777" w:rsidTr="00AE1C80">
        <w:tc>
          <w:tcPr>
            <w:tcW w:w="1526" w:type="dxa"/>
          </w:tcPr>
          <w:p w14:paraId="1EF5647F" w14:textId="19A9451E" w:rsidR="00652F6D" w:rsidRPr="00310015" w:rsidRDefault="00652F6D" w:rsidP="00AE1C80">
            <w:pPr>
              <w:pStyle w:val="TableText0"/>
              <w:spacing w:before="0" w:after="0" w:line="240" w:lineRule="auto"/>
              <w:rPr>
                <w:rFonts w:asciiTheme="minorHAnsi" w:hAnsiTheme="minorHAnsi" w:cstheme="minorHAnsi"/>
                <w:sz w:val="22"/>
              </w:rPr>
            </w:pPr>
            <w:r w:rsidRPr="00310015">
              <w:rPr>
                <w:rFonts w:asciiTheme="minorHAnsi" w:hAnsiTheme="minorHAnsi" w:cstheme="minorHAnsi"/>
                <w:sz w:val="22"/>
              </w:rPr>
              <w:t>BT153</w:t>
            </w:r>
          </w:p>
        </w:tc>
        <w:tc>
          <w:tcPr>
            <w:tcW w:w="1984" w:type="dxa"/>
          </w:tcPr>
          <w:p w14:paraId="471D23D8" w14:textId="65392FF1" w:rsidR="00652F6D" w:rsidRPr="00F87673" w:rsidRDefault="00652F6D" w:rsidP="00AE1C80">
            <w:pPr>
              <w:pStyle w:val="TableText0"/>
              <w:spacing w:before="0" w:after="0" w:line="240" w:lineRule="auto"/>
              <w:rPr>
                <w:rFonts w:asciiTheme="minorHAnsi" w:hAnsiTheme="minorHAnsi" w:cstheme="minorHAnsi"/>
                <w:sz w:val="22"/>
              </w:rPr>
            </w:pPr>
            <w:proofErr w:type="spellStart"/>
            <w:r w:rsidRPr="00F87673">
              <w:rPr>
                <w:rFonts w:asciiTheme="minorHAnsi" w:hAnsiTheme="minorHAnsi" w:cstheme="minorHAnsi"/>
                <w:sz w:val="22"/>
              </w:rPr>
              <w:t>BioMonitor</w:t>
            </w:r>
            <w:proofErr w:type="spellEnd"/>
          </w:p>
        </w:tc>
        <w:tc>
          <w:tcPr>
            <w:tcW w:w="4536" w:type="dxa"/>
          </w:tcPr>
          <w:p w14:paraId="43F4E8CA" w14:textId="443B4337" w:rsidR="00652F6D" w:rsidRPr="00F87673" w:rsidRDefault="00652F6D" w:rsidP="00AE1C80">
            <w:pPr>
              <w:pStyle w:val="TableText0"/>
              <w:spacing w:before="0" w:after="0" w:line="240" w:lineRule="auto"/>
              <w:rPr>
                <w:rFonts w:asciiTheme="minorHAnsi" w:hAnsiTheme="minorHAnsi" w:cstheme="minorHAnsi"/>
                <w:sz w:val="22"/>
              </w:rPr>
            </w:pPr>
            <w:r w:rsidRPr="00F87673">
              <w:rPr>
                <w:rFonts w:asciiTheme="minorHAnsi" w:hAnsiTheme="minorHAnsi" w:cstheme="minorHAnsi"/>
                <w:sz w:val="22"/>
              </w:rPr>
              <w:t>Implantable cardiac monitor for continuous remote monitoring of patients with Atrial Fibrillation (AF) or unexplained syncope</w:t>
            </w:r>
          </w:p>
        </w:tc>
        <w:tc>
          <w:tcPr>
            <w:tcW w:w="1985" w:type="dxa"/>
          </w:tcPr>
          <w:p w14:paraId="259366A0" w14:textId="3FF18151" w:rsidR="00652F6D" w:rsidRPr="00FD5259" w:rsidRDefault="00652F6D" w:rsidP="00AE1C80">
            <w:pPr>
              <w:pStyle w:val="TableText0"/>
              <w:spacing w:before="0" w:after="0" w:line="240" w:lineRule="auto"/>
              <w:rPr>
                <w:rFonts w:asciiTheme="minorHAnsi" w:hAnsiTheme="minorHAnsi" w:cstheme="minorHAnsi"/>
                <w:sz w:val="22"/>
              </w:rPr>
            </w:pPr>
            <w:proofErr w:type="spellStart"/>
            <w:r w:rsidRPr="00FD5259">
              <w:rPr>
                <w:rFonts w:asciiTheme="minorHAnsi" w:hAnsiTheme="minorHAnsi" w:cstheme="minorHAnsi"/>
                <w:sz w:val="22"/>
              </w:rPr>
              <w:t>Biotronik</w:t>
            </w:r>
            <w:proofErr w:type="spellEnd"/>
            <w:r w:rsidRPr="00FD5259">
              <w:rPr>
                <w:rFonts w:asciiTheme="minorHAnsi" w:hAnsiTheme="minorHAnsi" w:cstheme="minorHAnsi"/>
                <w:sz w:val="22"/>
              </w:rPr>
              <w:t xml:space="preserve"> Australia Pty Ltd</w:t>
            </w:r>
          </w:p>
        </w:tc>
      </w:tr>
    </w:tbl>
    <w:p w14:paraId="1B76F064" w14:textId="3DBFD09A" w:rsidR="00AE1C80" w:rsidRPr="00B80FEE" w:rsidRDefault="00652F6D" w:rsidP="00B80FEE">
      <w:pPr>
        <w:pStyle w:val="Caption"/>
        <w:spacing w:after="0"/>
        <w:rPr>
          <w:rFonts w:asciiTheme="minorHAnsi" w:hAnsiTheme="minorHAnsi" w:cstheme="minorHAnsi"/>
          <w:b w:val="0"/>
          <w:sz w:val="18"/>
          <w:szCs w:val="18"/>
        </w:rPr>
      </w:pPr>
      <w:r w:rsidRPr="00310015">
        <w:rPr>
          <w:rFonts w:asciiTheme="minorHAnsi" w:hAnsiTheme="minorHAnsi"/>
          <w:b w:val="0"/>
          <w:sz w:val="18"/>
          <w:szCs w:val="18"/>
        </w:rPr>
        <w:t xml:space="preserve">Source: </w:t>
      </w:r>
      <w:r w:rsidR="00310015" w:rsidRPr="00310015">
        <w:rPr>
          <w:rFonts w:asciiTheme="minorHAnsi" w:hAnsiTheme="minorHAnsi"/>
          <w:b w:val="0"/>
          <w:sz w:val="18"/>
          <w:szCs w:val="18"/>
        </w:rPr>
        <w:t>DOH (2015b)</w:t>
      </w:r>
    </w:p>
    <w:p w14:paraId="0EA5A210" w14:textId="06FF4C99" w:rsidR="00652F6D" w:rsidRPr="009F15BB" w:rsidRDefault="00310015" w:rsidP="00B80FEE">
      <w:pPr>
        <w:spacing w:after="360" w:line="240" w:lineRule="auto"/>
        <w:rPr>
          <w:sz w:val="18"/>
          <w:szCs w:val="18"/>
          <w:lang w:eastAsia="ja-JP"/>
        </w:rPr>
      </w:pPr>
      <w:r>
        <w:rPr>
          <w:sz w:val="18"/>
          <w:szCs w:val="18"/>
          <w:lang w:eastAsia="ja-JP"/>
        </w:rPr>
        <w:t>*</w:t>
      </w:r>
      <w:r w:rsidR="00F42562" w:rsidRPr="00AE1C80">
        <w:rPr>
          <w:rFonts w:hint="eastAsia"/>
          <w:sz w:val="18"/>
          <w:szCs w:val="18"/>
          <w:lang w:eastAsia="ja-JP"/>
        </w:rPr>
        <w:t xml:space="preserve">Note: A search, </w:t>
      </w:r>
      <w:r w:rsidR="00F42562" w:rsidRPr="00AE1C80">
        <w:rPr>
          <w:i/>
          <w:sz w:val="18"/>
          <w:szCs w:val="18"/>
          <w:lang w:eastAsia="ja-JP"/>
        </w:rPr>
        <w:t>(imped* or implant* or insert*) and (monitor* or record* or *graph)</w:t>
      </w:r>
      <w:r w:rsidR="00F42562" w:rsidRPr="00AE1C80">
        <w:rPr>
          <w:rFonts w:hint="eastAsia"/>
          <w:sz w:val="18"/>
          <w:szCs w:val="18"/>
          <w:lang w:eastAsia="ja-JP"/>
        </w:rPr>
        <w:t xml:space="preserve">, in the </w:t>
      </w:r>
      <w:r w:rsidR="00AE1C80">
        <w:rPr>
          <w:sz w:val="18"/>
          <w:szCs w:val="18"/>
          <w:lang w:eastAsia="ja-JP"/>
        </w:rPr>
        <w:t xml:space="preserve">Australian Register of </w:t>
      </w:r>
      <w:r w:rsidR="00F42562" w:rsidRPr="00AE1C80">
        <w:rPr>
          <w:sz w:val="18"/>
          <w:szCs w:val="18"/>
          <w:lang w:eastAsia="ja-JP"/>
        </w:rPr>
        <w:t>Therapeutic Goods (ARTG)</w:t>
      </w:r>
      <w:r w:rsidR="00F42562" w:rsidRPr="00AE1C80">
        <w:rPr>
          <w:rFonts w:hint="eastAsia"/>
          <w:sz w:val="18"/>
          <w:szCs w:val="18"/>
          <w:lang w:eastAsia="ja-JP"/>
        </w:rPr>
        <w:t xml:space="preserve"> did not identify any other relevant registered devices</w:t>
      </w:r>
      <w:r w:rsidR="00F42562">
        <w:rPr>
          <w:rFonts w:hint="eastAsia"/>
          <w:lang w:eastAsia="ja-JP"/>
        </w:rPr>
        <w:t xml:space="preserve">. </w:t>
      </w:r>
    </w:p>
    <w:p w14:paraId="422593B1" w14:textId="77777777" w:rsidR="006A407A" w:rsidRDefault="006A407A">
      <w:pPr>
        <w:jc w:val="left"/>
        <w:rPr>
          <w:b/>
          <w:i/>
          <w:color w:val="548DD4" w:themeColor="text2" w:themeTint="99"/>
          <w:szCs w:val="20"/>
        </w:rPr>
      </w:pPr>
      <w:r>
        <w:br w:type="page"/>
      </w:r>
    </w:p>
    <w:p w14:paraId="645F6009" w14:textId="301F7704" w:rsidR="00BC4EFE" w:rsidRDefault="00BC4EFE" w:rsidP="00215B74">
      <w:pPr>
        <w:pStyle w:val="Quote"/>
      </w:pPr>
      <w:r w:rsidRPr="00BC4EFE">
        <w:lastRenderedPageBreak/>
        <w:t>If the service is for investigative purposes, describe the technical specification of the health technology and any reference or “evidentiary” standard that has been established.</w:t>
      </w:r>
    </w:p>
    <w:p w14:paraId="723AEA3C" w14:textId="23732474" w:rsidR="008A0411" w:rsidRDefault="008A0411" w:rsidP="004C5FA2">
      <w:r>
        <w:t xml:space="preserve">ILRs are implanted subcutaneously and </w:t>
      </w:r>
      <w:r w:rsidR="004C5FA2">
        <w:t>monitor the heart continuously, registering beat-to-beat variability by measurement of the R-R intervals</w:t>
      </w:r>
      <w:r w:rsidR="00CD7748">
        <w:rPr>
          <w:rStyle w:val="FootnoteReference"/>
        </w:rPr>
        <w:footnoteReference w:id="2"/>
      </w:r>
      <w:r w:rsidR="004C5FA2">
        <w:t>, for up to 3 years (</w:t>
      </w:r>
      <w:r w:rsidR="00A95248" w:rsidRPr="00A95248">
        <w:t>Christensen</w:t>
      </w:r>
      <w:r w:rsidR="00A95248">
        <w:t xml:space="preserve"> et al., 2014;</w:t>
      </w:r>
      <w:r>
        <w:t xml:space="preserve"> </w:t>
      </w:r>
      <w:proofErr w:type="spellStart"/>
      <w:r w:rsidR="001100B6">
        <w:t>Hindricks</w:t>
      </w:r>
      <w:proofErr w:type="spellEnd"/>
      <w:r w:rsidR="001100B6">
        <w:t xml:space="preserve"> et al., 2010; </w:t>
      </w:r>
      <w:proofErr w:type="spellStart"/>
      <w:r w:rsidR="001100B6" w:rsidRPr="001100B6">
        <w:t>Eitel</w:t>
      </w:r>
      <w:proofErr w:type="spellEnd"/>
      <w:r w:rsidR="001100B6">
        <w:t xml:space="preserve"> et al., 2011</w:t>
      </w:r>
      <w:r w:rsidR="004C5FA2">
        <w:t>)</w:t>
      </w:r>
      <w:r>
        <w:t xml:space="preserve">. </w:t>
      </w:r>
      <w:r w:rsidR="004C5FA2">
        <w:t>When irregular R-R-intervals are detected, the ILRs store 2 minutes of ECG and information regarding the time occurring and amount detected (</w:t>
      </w:r>
      <w:r w:rsidR="00A95248" w:rsidRPr="00A95248">
        <w:t>Christensen</w:t>
      </w:r>
      <w:r w:rsidR="00A95248">
        <w:t xml:space="preserve"> et al., 2014</w:t>
      </w:r>
      <w:r w:rsidR="004C5FA2">
        <w:t xml:space="preserve">). </w:t>
      </w:r>
      <w:r>
        <w:t>ILRs are programmed to detect AF</w:t>
      </w:r>
      <w:r w:rsidR="004C5FA2">
        <w:t xml:space="preserve"> which is defined </w:t>
      </w:r>
      <w:r>
        <w:t xml:space="preserve">as irregular R-R intervals and no visible p-waves </w:t>
      </w:r>
      <w:r w:rsidR="004E6520">
        <w:rPr>
          <w:rStyle w:val="FootnoteReference"/>
        </w:rPr>
        <w:footnoteReference w:id="3"/>
      </w:r>
      <w:r>
        <w:t xml:space="preserve">on correlating </w:t>
      </w:r>
      <w:r w:rsidRPr="008A0411">
        <w:t>one-lead ECG transmissions</w:t>
      </w:r>
      <w:r w:rsidR="004C5FA2">
        <w:t xml:space="preserve"> (</w:t>
      </w:r>
      <w:r w:rsidR="00A95248" w:rsidRPr="00A95248">
        <w:t>Christensen</w:t>
      </w:r>
      <w:r w:rsidR="00A95248">
        <w:t xml:space="preserve"> et al., 2014</w:t>
      </w:r>
      <w:r w:rsidR="00F3250E">
        <w:t>). Figure 3</w:t>
      </w:r>
      <w:r w:rsidR="004C5FA2">
        <w:t xml:space="preserve"> shows an example of a transmission from an ILR where the regular R-R </w:t>
      </w:r>
      <w:proofErr w:type="gramStart"/>
      <w:r w:rsidR="004C5FA2">
        <w:t>intervals in sinus rhythm to the scatter in AF is</w:t>
      </w:r>
      <w:proofErr w:type="gramEnd"/>
      <w:r w:rsidR="004C5FA2">
        <w:t xml:space="preserve"> illustrated. </w:t>
      </w:r>
    </w:p>
    <w:p w14:paraId="03DB4278" w14:textId="773DE541" w:rsidR="004C5FA2" w:rsidRDefault="004C5FA2" w:rsidP="004C5FA2">
      <w:pPr>
        <w:pStyle w:val="Caption"/>
      </w:pPr>
      <w:r>
        <w:t xml:space="preserve">Figure </w:t>
      </w:r>
      <w:r>
        <w:fldChar w:fldCharType="begin"/>
      </w:r>
      <w:r>
        <w:instrText xml:space="preserve"> SEQ Figure \* ARABIC </w:instrText>
      </w:r>
      <w:r>
        <w:fldChar w:fldCharType="separate"/>
      </w:r>
      <w:r w:rsidR="00F3250E">
        <w:rPr>
          <w:noProof/>
        </w:rPr>
        <w:t>3</w:t>
      </w:r>
      <w:r>
        <w:fldChar w:fldCharType="end"/>
      </w:r>
      <w:r>
        <w:tab/>
      </w:r>
      <w:r w:rsidRPr="004C5FA2">
        <w:t>R-R intervals of a transmission</w:t>
      </w:r>
      <w:r>
        <w:t xml:space="preserve"> from an ILR</w:t>
      </w:r>
    </w:p>
    <w:p w14:paraId="21F096C6" w14:textId="11DEF6C8" w:rsidR="004C5FA2" w:rsidRPr="004C5FA2" w:rsidRDefault="004C5FA2" w:rsidP="00A95248">
      <w:pPr>
        <w:jc w:val="left"/>
        <w:rPr>
          <w:lang w:val="en-GB" w:eastAsia="ja-JP"/>
        </w:rPr>
      </w:pPr>
      <w:r>
        <w:rPr>
          <w:noProof/>
          <w:lang w:eastAsia="en-AU"/>
        </w:rPr>
        <w:drawing>
          <wp:inline distT="0" distB="0" distL="0" distR="0" wp14:anchorId="4540DB62" wp14:editId="7D12A79E">
            <wp:extent cx="5410200" cy="3019646"/>
            <wp:effectExtent l="0" t="0" r="0" b="9525"/>
            <wp:docPr id="3" name="Picture 3" descr="Figure 3 R-R intervals of a transmission from an ILR&#10;Refer to above description of the 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0007" cy="3036282"/>
                    </a:xfrm>
                    <a:prstGeom prst="rect">
                      <a:avLst/>
                    </a:prstGeom>
                    <a:noFill/>
                    <a:ln>
                      <a:noFill/>
                    </a:ln>
                  </pic:spPr>
                </pic:pic>
              </a:graphicData>
            </a:graphic>
          </wp:inline>
        </w:drawing>
      </w:r>
    </w:p>
    <w:p w14:paraId="1148B1B8" w14:textId="18329044" w:rsidR="00A95248" w:rsidRPr="00A95248" w:rsidRDefault="00A95248" w:rsidP="00A95248">
      <w:pPr>
        <w:spacing w:after="240" w:line="240" w:lineRule="auto"/>
        <w:rPr>
          <w:sz w:val="18"/>
          <w:szCs w:val="18"/>
          <w:lang w:val="en-GB" w:eastAsia="ja-JP"/>
        </w:rPr>
      </w:pPr>
      <w:r w:rsidRPr="00A95248">
        <w:rPr>
          <w:sz w:val="18"/>
          <w:szCs w:val="18"/>
          <w:lang w:val="en-GB" w:eastAsia="ja-JP"/>
        </w:rPr>
        <w:t>Source: Christensen et al., 2014</w:t>
      </w:r>
    </w:p>
    <w:p w14:paraId="35B462AA" w14:textId="04388B84" w:rsidR="00712DAB" w:rsidRPr="00DA6B53" w:rsidRDefault="0066407B" w:rsidP="00A95248">
      <w:pPr>
        <w:pStyle w:val="Quote"/>
        <w:keepNext/>
        <w:keepLines/>
        <w:spacing w:line="276" w:lineRule="auto"/>
        <w:rPr>
          <w:b w:val="0"/>
          <w:i w:val="0"/>
          <w:color w:val="auto"/>
          <w:szCs w:val="22"/>
        </w:rPr>
      </w:pPr>
      <w:r>
        <w:rPr>
          <w:b w:val="0"/>
          <w:i w:val="0"/>
          <w:color w:val="auto"/>
          <w:szCs w:val="22"/>
        </w:rPr>
        <w:lastRenderedPageBreak/>
        <w:t xml:space="preserve">In their study </w:t>
      </w:r>
      <w:r w:rsidRPr="0066407B">
        <w:rPr>
          <w:b w:val="0"/>
          <w:i w:val="0"/>
          <w:color w:val="auto"/>
          <w:szCs w:val="22"/>
        </w:rPr>
        <w:t>to quantify the performance of</w:t>
      </w:r>
      <w:r>
        <w:rPr>
          <w:b w:val="0"/>
          <w:i w:val="0"/>
          <w:color w:val="auto"/>
          <w:szCs w:val="22"/>
        </w:rPr>
        <w:t xml:space="preserve"> the first ILR</w:t>
      </w:r>
      <w:r w:rsidRPr="0066407B">
        <w:rPr>
          <w:b w:val="0"/>
          <w:i w:val="0"/>
          <w:color w:val="auto"/>
          <w:szCs w:val="22"/>
        </w:rPr>
        <w:t xml:space="preserve"> with dedicated AF detection capabilities</w:t>
      </w:r>
      <w:r>
        <w:rPr>
          <w:b w:val="0"/>
          <w:i w:val="0"/>
          <w:color w:val="auto"/>
          <w:szCs w:val="22"/>
        </w:rPr>
        <w:t>, the Reveal XT (</w:t>
      </w:r>
      <w:r w:rsidRPr="0066407B">
        <w:rPr>
          <w:b w:val="0"/>
          <w:i w:val="0"/>
          <w:color w:val="auto"/>
          <w:szCs w:val="22"/>
        </w:rPr>
        <w:t>Medtronic</w:t>
      </w:r>
      <w:r>
        <w:rPr>
          <w:b w:val="0"/>
          <w:i w:val="0"/>
          <w:color w:val="auto"/>
          <w:szCs w:val="22"/>
        </w:rPr>
        <w:t xml:space="preserve">), </w:t>
      </w:r>
      <w:proofErr w:type="spellStart"/>
      <w:r w:rsidRPr="0066407B">
        <w:rPr>
          <w:b w:val="0"/>
          <w:i w:val="0"/>
          <w:color w:val="auto"/>
          <w:szCs w:val="22"/>
        </w:rPr>
        <w:t>Hindricks</w:t>
      </w:r>
      <w:proofErr w:type="spellEnd"/>
      <w:r>
        <w:rPr>
          <w:b w:val="0"/>
          <w:i w:val="0"/>
          <w:color w:val="auto"/>
          <w:szCs w:val="22"/>
        </w:rPr>
        <w:t xml:space="preserve"> et al. (2010) selected patients with already implanted ILRs and also monitoring them with a</w:t>
      </w:r>
      <w:r w:rsidRPr="0066407B">
        <w:rPr>
          <w:b w:val="0"/>
          <w:i w:val="0"/>
          <w:color w:val="auto"/>
          <w:szCs w:val="22"/>
        </w:rPr>
        <w:t xml:space="preserve"> special </w:t>
      </w:r>
      <w:proofErr w:type="spellStart"/>
      <w:r w:rsidRPr="0066407B">
        <w:rPr>
          <w:b w:val="0"/>
          <w:i w:val="0"/>
          <w:color w:val="auto"/>
          <w:szCs w:val="22"/>
        </w:rPr>
        <w:t>Holter</w:t>
      </w:r>
      <w:proofErr w:type="spellEnd"/>
      <w:r w:rsidRPr="0066407B">
        <w:rPr>
          <w:b w:val="0"/>
          <w:i w:val="0"/>
          <w:color w:val="auto"/>
          <w:szCs w:val="22"/>
        </w:rPr>
        <w:t xml:space="preserve"> device</w:t>
      </w:r>
      <w:r>
        <w:rPr>
          <w:b w:val="0"/>
          <w:i w:val="0"/>
          <w:color w:val="auto"/>
          <w:szCs w:val="22"/>
        </w:rPr>
        <w:t xml:space="preserve">. This </w:t>
      </w:r>
      <w:proofErr w:type="spellStart"/>
      <w:r>
        <w:rPr>
          <w:b w:val="0"/>
          <w:i w:val="0"/>
          <w:color w:val="auto"/>
          <w:szCs w:val="22"/>
        </w:rPr>
        <w:t>Holter</w:t>
      </w:r>
      <w:proofErr w:type="spellEnd"/>
      <w:r>
        <w:rPr>
          <w:b w:val="0"/>
          <w:i w:val="0"/>
          <w:color w:val="auto"/>
          <w:szCs w:val="22"/>
        </w:rPr>
        <w:t xml:space="preserve"> device </w:t>
      </w:r>
      <w:r w:rsidRPr="0066407B">
        <w:rPr>
          <w:b w:val="0"/>
          <w:i w:val="0"/>
          <w:color w:val="auto"/>
          <w:szCs w:val="22"/>
        </w:rPr>
        <w:t>store</w:t>
      </w:r>
      <w:r>
        <w:rPr>
          <w:b w:val="0"/>
          <w:i w:val="0"/>
          <w:color w:val="auto"/>
          <w:szCs w:val="22"/>
        </w:rPr>
        <w:t>d</w:t>
      </w:r>
      <w:r w:rsidRPr="0066407B">
        <w:rPr>
          <w:b w:val="0"/>
          <w:i w:val="0"/>
          <w:color w:val="auto"/>
          <w:szCs w:val="22"/>
        </w:rPr>
        <w:t xml:space="preserve"> simu</w:t>
      </w:r>
      <w:r>
        <w:rPr>
          <w:b w:val="0"/>
          <w:i w:val="0"/>
          <w:color w:val="auto"/>
          <w:szCs w:val="22"/>
        </w:rPr>
        <w:t xml:space="preserve">ltaneous and continuous 46-hour </w:t>
      </w:r>
      <w:r w:rsidRPr="0066407B">
        <w:rPr>
          <w:b w:val="0"/>
          <w:i w:val="0"/>
          <w:color w:val="auto"/>
          <w:szCs w:val="22"/>
        </w:rPr>
        <w:t>recordings of the subcutaneous ECG, sensin</w:t>
      </w:r>
      <w:r>
        <w:rPr>
          <w:b w:val="0"/>
          <w:i w:val="0"/>
          <w:color w:val="auto"/>
          <w:szCs w:val="22"/>
        </w:rPr>
        <w:t xml:space="preserve">g and arrhythmia classification </w:t>
      </w:r>
      <w:r w:rsidRPr="0066407B">
        <w:rPr>
          <w:b w:val="0"/>
          <w:i w:val="0"/>
          <w:color w:val="auto"/>
          <w:szCs w:val="22"/>
        </w:rPr>
        <w:t xml:space="preserve">markers, and </w:t>
      </w:r>
      <w:r>
        <w:rPr>
          <w:b w:val="0"/>
          <w:i w:val="0"/>
          <w:color w:val="auto"/>
          <w:szCs w:val="22"/>
        </w:rPr>
        <w:t xml:space="preserve">timestamps uploaded from the ILR, as well </w:t>
      </w:r>
      <w:r w:rsidRPr="0066407B">
        <w:rPr>
          <w:b w:val="0"/>
          <w:i w:val="0"/>
          <w:color w:val="auto"/>
          <w:szCs w:val="22"/>
        </w:rPr>
        <w:t>as a 2-channel surface ECG recording</w:t>
      </w:r>
      <w:r>
        <w:rPr>
          <w:b w:val="0"/>
          <w:i w:val="0"/>
          <w:color w:val="auto"/>
          <w:szCs w:val="22"/>
        </w:rPr>
        <w:t xml:space="preserve">. </w:t>
      </w:r>
      <w:r w:rsidR="00873F71">
        <w:rPr>
          <w:b w:val="0"/>
          <w:i w:val="0"/>
          <w:color w:val="auto"/>
          <w:szCs w:val="22"/>
        </w:rPr>
        <w:t xml:space="preserve">Of </w:t>
      </w:r>
      <w:r w:rsidR="00873F71" w:rsidRPr="00873F71">
        <w:rPr>
          <w:b w:val="0"/>
          <w:i w:val="0"/>
          <w:color w:val="auto"/>
          <w:szCs w:val="22"/>
        </w:rPr>
        <w:t xml:space="preserve">206 </w:t>
      </w:r>
      <w:proofErr w:type="spellStart"/>
      <w:r w:rsidR="00873F71" w:rsidRPr="00873F71">
        <w:rPr>
          <w:b w:val="0"/>
          <w:i w:val="0"/>
          <w:color w:val="auto"/>
          <w:szCs w:val="22"/>
        </w:rPr>
        <w:t>Holter</w:t>
      </w:r>
      <w:proofErr w:type="spellEnd"/>
      <w:r w:rsidR="00873F71" w:rsidRPr="00873F71">
        <w:rPr>
          <w:b w:val="0"/>
          <w:i w:val="0"/>
          <w:color w:val="auto"/>
          <w:szCs w:val="22"/>
        </w:rPr>
        <w:t xml:space="preserve"> recordings </w:t>
      </w:r>
      <w:r w:rsidR="00873F71">
        <w:rPr>
          <w:b w:val="0"/>
          <w:i w:val="0"/>
          <w:color w:val="auto"/>
          <w:szCs w:val="22"/>
        </w:rPr>
        <w:t xml:space="preserve">suitable for analysis, 76 (37%) </w:t>
      </w:r>
      <w:r w:rsidR="00873F71" w:rsidRPr="00873F71">
        <w:rPr>
          <w:b w:val="0"/>
          <w:i w:val="0"/>
          <w:color w:val="auto"/>
          <w:szCs w:val="22"/>
        </w:rPr>
        <w:t>contained at least 1 episode of core laboratory classified AF</w:t>
      </w:r>
      <w:r w:rsidR="00873F71">
        <w:rPr>
          <w:b w:val="0"/>
          <w:i w:val="0"/>
          <w:color w:val="auto"/>
          <w:szCs w:val="22"/>
        </w:rPr>
        <w:t xml:space="preserve">. From this data, the </w:t>
      </w:r>
      <w:r w:rsidR="00873F71" w:rsidRPr="00873F71">
        <w:rPr>
          <w:b w:val="0"/>
          <w:i w:val="0"/>
          <w:color w:val="auto"/>
          <w:szCs w:val="22"/>
        </w:rPr>
        <w:t>sensitivity, specificity,</w:t>
      </w:r>
      <w:r w:rsidR="00873F71">
        <w:rPr>
          <w:b w:val="0"/>
          <w:i w:val="0"/>
          <w:color w:val="auto"/>
          <w:szCs w:val="22"/>
        </w:rPr>
        <w:t xml:space="preserve"> positive predictive value</w:t>
      </w:r>
      <w:r w:rsidR="005B1F17">
        <w:rPr>
          <w:b w:val="0"/>
          <w:i w:val="0"/>
          <w:color w:val="auto"/>
          <w:szCs w:val="22"/>
        </w:rPr>
        <w:t xml:space="preserve"> (PPV)</w:t>
      </w:r>
      <w:r w:rsidR="00873F71">
        <w:rPr>
          <w:b w:val="0"/>
          <w:i w:val="0"/>
          <w:color w:val="auto"/>
          <w:szCs w:val="22"/>
        </w:rPr>
        <w:t xml:space="preserve">, and </w:t>
      </w:r>
      <w:r w:rsidR="00873F71" w:rsidRPr="00873F71">
        <w:rPr>
          <w:b w:val="0"/>
          <w:i w:val="0"/>
          <w:color w:val="auto"/>
          <w:szCs w:val="22"/>
        </w:rPr>
        <w:t>negative predictive value</w:t>
      </w:r>
      <w:r w:rsidR="005B1F17">
        <w:rPr>
          <w:b w:val="0"/>
          <w:i w:val="0"/>
          <w:color w:val="auto"/>
          <w:szCs w:val="22"/>
        </w:rPr>
        <w:t xml:space="preserve"> (NPV)</w:t>
      </w:r>
      <w:r w:rsidR="00873F71">
        <w:rPr>
          <w:b w:val="0"/>
          <w:i w:val="0"/>
          <w:color w:val="auto"/>
          <w:szCs w:val="22"/>
        </w:rPr>
        <w:t xml:space="preserve"> of the ILR</w:t>
      </w:r>
      <w:r w:rsidR="00873F71" w:rsidRPr="00873F71">
        <w:rPr>
          <w:b w:val="0"/>
          <w:i w:val="0"/>
          <w:color w:val="auto"/>
          <w:szCs w:val="22"/>
        </w:rPr>
        <w:t xml:space="preserve"> for identifying patients with any AF were 96.1%, 85.4%, 79.3%, and 97.4%, respectivel</w:t>
      </w:r>
      <w:r w:rsidR="00873F71">
        <w:rPr>
          <w:b w:val="0"/>
          <w:i w:val="0"/>
          <w:color w:val="auto"/>
          <w:szCs w:val="22"/>
        </w:rPr>
        <w:t>y</w:t>
      </w:r>
      <w:r w:rsidR="001100B6">
        <w:rPr>
          <w:b w:val="0"/>
          <w:i w:val="0"/>
          <w:color w:val="auto"/>
          <w:szCs w:val="22"/>
        </w:rPr>
        <w:t xml:space="preserve"> (</w:t>
      </w:r>
      <w:proofErr w:type="spellStart"/>
      <w:r w:rsidR="001100B6">
        <w:rPr>
          <w:b w:val="0"/>
          <w:i w:val="0"/>
          <w:color w:val="auto"/>
          <w:szCs w:val="22"/>
        </w:rPr>
        <w:t>Hindricks</w:t>
      </w:r>
      <w:proofErr w:type="spellEnd"/>
      <w:r w:rsidR="001100B6">
        <w:rPr>
          <w:b w:val="0"/>
          <w:i w:val="0"/>
          <w:color w:val="auto"/>
          <w:szCs w:val="22"/>
        </w:rPr>
        <w:t xml:space="preserve"> et al., </w:t>
      </w:r>
      <w:r w:rsidR="001100B6" w:rsidRPr="001100B6">
        <w:rPr>
          <w:b w:val="0"/>
          <w:i w:val="0"/>
          <w:color w:val="auto"/>
          <w:szCs w:val="22"/>
        </w:rPr>
        <w:t>2010)</w:t>
      </w:r>
      <w:r w:rsidR="00873F71">
        <w:rPr>
          <w:b w:val="0"/>
          <w:i w:val="0"/>
          <w:color w:val="auto"/>
          <w:szCs w:val="22"/>
        </w:rPr>
        <w:t>.</w:t>
      </w:r>
    </w:p>
    <w:p w14:paraId="67CF59D4" w14:textId="56EF9B78" w:rsidR="00BC4EFE" w:rsidRPr="0066407B" w:rsidRDefault="00BC4EFE" w:rsidP="0066407B">
      <w:pPr>
        <w:pStyle w:val="Quote"/>
        <w:rPr>
          <w:b w:val="0"/>
          <w:i w:val="0"/>
          <w:color w:val="auto"/>
          <w:szCs w:val="22"/>
        </w:rPr>
      </w:pPr>
      <w:r w:rsidRPr="00BC4EFE">
        <w:t>Indicate whether the service includes a registered trademark with characteristics that distinguish it from any other similar health technology.</w:t>
      </w:r>
    </w:p>
    <w:p w14:paraId="79EA4CF7" w14:textId="0521A4C8" w:rsidR="00D37529" w:rsidRPr="00D37529" w:rsidRDefault="007151FD" w:rsidP="00D37529">
      <w:r>
        <w:t>Not applicable</w:t>
      </w:r>
    </w:p>
    <w:p w14:paraId="19742086" w14:textId="77777777" w:rsidR="00BC4EFE" w:rsidRDefault="00BC4EFE" w:rsidP="00215B74">
      <w:pPr>
        <w:pStyle w:val="Quote"/>
      </w:pPr>
      <w:r w:rsidRPr="00BC4EFE">
        <w:t>Indicate the proposed setting in which the proposed medical service will be delivered and include detail for each of the following as relevant: inpatient private hospital, inpatient public hospital, outpatient clinic, emergency department, consulting rooms, day surgery centre, residential aged care facilit</w:t>
      </w:r>
      <w:r w:rsidR="00597108">
        <w:t xml:space="preserve">y, patient’s home, laboratory. </w:t>
      </w:r>
      <w:r w:rsidRPr="00BC4EFE">
        <w:t xml:space="preserve">Where the proposed medical service will be provided in more than one setting, describe the rationale related to each. </w:t>
      </w:r>
    </w:p>
    <w:p w14:paraId="7CB62194" w14:textId="62DC246C" w:rsidR="00AE1C80" w:rsidRDefault="00AE1C80" w:rsidP="005121CF">
      <w:r>
        <w:t xml:space="preserve">It </w:t>
      </w:r>
      <w:r w:rsidR="00A961FB">
        <w:t>is proposed that the ILR will be administered</w:t>
      </w:r>
      <w:r w:rsidR="00274232">
        <w:t xml:space="preserve"> in settings detailed in Table </w:t>
      </w:r>
      <w:r w:rsidR="00652C52">
        <w:t>5</w:t>
      </w:r>
      <w:r w:rsidR="00A961FB">
        <w:t>. In each case, the patient would be referred by th</w:t>
      </w:r>
      <w:r w:rsidR="000A567E">
        <w:t xml:space="preserve">e neurologist looking after their </w:t>
      </w:r>
      <w:r w:rsidR="00274232">
        <w:t>CS</w:t>
      </w:r>
      <w:r w:rsidR="000A567E">
        <w:t xml:space="preserve"> </w:t>
      </w:r>
      <w:r w:rsidR="00A961FB">
        <w:t>to a cardiologist</w:t>
      </w:r>
      <w:r w:rsidR="003F205F">
        <w:t xml:space="preserve"> or other specialist trained in ILR insertion</w:t>
      </w:r>
      <w:r w:rsidR="00A961FB">
        <w:t xml:space="preserve"> </w:t>
      </w:r>
      <w:proofErr w:type="gramStart"/>
      <w:r w:rsidR="00A961FB">
        <w:t>who</w:t>
      </w:r>
      <w:proofErr w:type="gramEnd"/>
      <w:r w:rsidR="00A961FB">
        <w:t xml:space="preserve"> would be responsible for inserting the ILR, following up the results, and communicating this to the referring neurologist.</w:t>
      </w:r>
      <w:r w:rsidR="003F205F">
        <w:t xml:space="preserve"> The specialist inserting the ILR could also be the neurologist who is managing the patient’s CS. </w:t>
      </w:r>
    </w:p>
    <w:p w14:paraId="5FFF7D3E" w14:textId="326E1C53" w:rsidR="00A961FB" w:rsidRDefault="00A961FB" w:rsidP="00A961FB">
      <w:pPr>
        <w:pStyle w:val="Caption"/>
        <w:spacing w:after="120"/>
        <w:rPr>
          <w:rFonts w:asciiTheme="minorHAnsi" w:hAnsiTheme="minorHAnsi" w:cstheme="minorHAnsi"/>
          <w:sz w:val="22"/>
        </w:rPr>
      </w:pPr>
      <w:bookmarkStart w:id="2" w:name="_Ref442864220"/>
      <w:r w:rsidRPr="00A961FB">
        <w:rPr>
          <w:rFonts w:asciiTheme="minorHAnsi" w:hAnsiTheme="minorHAnsi" w:cstheme="minorHAnsi"/>
          <w:sz w:val="22"/>
        </w:rPr>
        <w:lastRenderedPageBreak/>
        <w:t xml:space="preserve">Table </w:t>
      </w:r>
      <w:r w:rsidRPr="00A961FB">
        <w:rPr>
          <w:rFonts w:asciiTheme="minorHAnsi" w:hAnsiTheme="minorHAnsi" w:cstheme="minorHAnsi"/>
          <w:sz w:val="22"/>
        </w:rPr>
        <w:fldChar w:fldCharType="begin"/>
      </w:r>
      <w:r w:rsidRPr="00A961FB">
        <w:rPr>
          <w:rFonts w:asciiTheme="minorHAnsi" w:hAnsiTheme="minorHAnsi" w:cstheme="minorHAnsi"/>
          <w:sz w:val="22"/>
        </w:rPr>
        <w:instrText xml:space="preserve"> SEQ Table \* ARABIC </w:instrText>
      </w:r>
      <w:r w:rsidRPr="00A961FB">
        <w:rPr>
          <w:rFonts w:asciiTheme="minorHAnsi" w:hAnsiTheme="minorHAnsi" w:cstheme="minorHAnsi"/>
          <w:sz w:val="22"/>
        </w:rPr>
        <w:fldChar w:fldCharType="separate"/>
      </w:r>
      <w:r w:rsidR="00DC65DD">
        <w:rPr>
          <w:rFonts w:asciiTheme="minorHAnsi" w:hAnsiTheme="minorHAnsi" w:cstheme="minorHAnsi"/>
          <w:noProof/>
          <w:sz w:val="22"/>
        </w:rPr>
        <w:t>5</w:t>
      </w:r>
      <w:r w:rsidRPr="00A961FB">
        <w:rPr>
          <w:rFonts w:asciiTheme="minorHAnsi" w:hAnsiTheme="minorHAnsi" w:cstheme="minorHAnsi"/>
          <w:sz w:val="22"/>
        </w:rPr>
        <w:fldChar w:fldCharType="end"/>
      </w:r>
      <w:bookmarkEnd w:id="2"/>
      <w:r w:rsidRPr="00A961FB">
        <w:rPr>
          <w:rFonts w:asciiTheme="minorHAnsi" w:hAnsiTheme="minorHAnsi" w:cstheme="minorHAnsi"/>
          <w:sz w:val="22"/>
        </w:rPr>
        <w:tab/>
      </w:r>
      <w:r>
        <w:rPr>
          <w:rFonts w:asciiTheme="minorHAnsi" w:hAnsiTheme="minorHAnsi" w:cstheme="minorHAnsi"/>
          <w:sz w:val="22"/>
        </w:rPr>
        <w:t>Proposed delivery setting of i</w:t>
      </w:r>
      <w:r w:rsidRPr="00A961FB">
        <w:rPr>
          <w:rFonts w:asciiTheme="minorHAnsi" w:hAnsiTheme="minorHAnsi" w:cstheme="minorHAnsi"/>
          <w:sz w:val="22"/>
        </w:rPr>
        <w:t>mplantable loop recorders</w:t>
      </w:r>
      <w:r>
        <w:rPr>
          <w:rFonts w:asciiTheme="minorHAnsi" w:hAnsiTheme="minorHAnsi" w:cstheme="minorHAnsi"/>
          <w:sz w:val="22"/>
        </w:rPr>
        <w:t xml:space="preserve"> in cryptogenic stroke</w:t>
      </w:r>
    </w:p>
    <w:tbl>
      <w:tblPr>
        <w:tblStyle w:val="TableGrid"/>
        <w:tblW w:w="9606" w:type="dxa"/>
        <w:tblLook w:val="04A0" w:firstRow="1" w:lastRow="0" w:firstColumn="1" w:lastColumn="0" w:noHBand="0" w:noVBand="1"/>
        <w:tblDescription w:val="Table 5 Proposed delivery setting of implantable loop recorders in cryptogenic stroke"/>
      </w:tblPr>
      <w:tblGrid>
        <w:gridCol w:w="2093"/>
        <w:gridCol w:w="7513"/>
      </w:tblGrid>
      <w:tr w:rsidR="000A567E" w14:paraId="35ABA381" w14:textId="50457D88" w:rsidTr="002A5D07">
        <w:trPr>
          <w:tblHeader/>
        </w:trPr>
        <w:tc>
          <w:tcPr>
            <w:tcW w:w="2093" w:type="dxa"/>
            <w:shd w:val="clear" w:color="auto" w:fill="F2F2F2" w:themeFill="background1" w:themeFillShade="F2"/>
          </w:tcPr>
          <w:p w14:paraId="14522CAF" w14:textId="5D20A3D1" w:rsidR="000A567E" w:rsidRPr="0038116E" w:rsidRDefault="000A567E" w:rsidP="004C5FA2">
            <w:pPr>
              <w:pStyle w:val="TableText0"/>
              <w:spacing w:before="0" w:after="0" w:line="240" w:lineRule="auto"/>
              <w:rPr>
                <w:rFonts w:asciiTheme="minorHAnsi" w:hAnsiTheme="minorHAnsi" w:cstheme="minorHAnsi"/>
                <w:b/>
                <w:sz w:val="22"/>
                <w:lang w:eastAsia="ja-JP"/>
              </w:rPr>
            </w:pPr>
            <w:r>
              <w:rPr>
                <w:rFonts w:asciiTheme="minorHAnsi" w:hAnsiTheme="minorHAnsi" w:cstheme="minorHAnsi"/>
                <w:b/>
                <w:sz w:val="22"/>
                <w:lang w:eastAsia="ja-JP"/>
              </w:rPr>
              <w:t>Setting</w:t>
            </w:r>
          </w:p>
        </w:tc>
        <w:tc>
          <w:tcPr>
            <w:tcW w:w="7513" w:type="dxa"/>
            <w:shd w:val="clear" w:color="auto" w:fill="F2F2F2" w:themeFill="background1" w:themeFillShade="F2"/>
          </w:tcPr>
          <w:p w14:paraId="2F88FF01" w14:textId="0D291171" w:rsidR="000A567E" w:rsidRPr="0038116E" w:rsidRDefault="000A567E" w:rsidP="004C5FA2">
            <w:pPr>
              <w:pStyle w:val="TableText0"/>
              <w:spacing w:before="0" w:after="0" w:line="240" w:lineRule="auto"/>
              <w:rPr>
                <w:rFonts w:asciiTheme="minorHAnsi" w:hAnsiTheme="minorHAnsi" w:cstheme="minorHAnsi"/>
                <w:b/>
                <w:sz w:val="22"/>
                <w:lang w:eastAsia="ja-JP"/>
              </w:rPr>
            </w:pPr>
            <w:r>
              <w:rPr>
                <w:rFonts w:asciiTheme="minorHAnsi" w:hAnsiTheme="minorHAnsi" w:cstheme="minorHAnsi"/>
                <w:b/>
                <w:sz w:val="22"/>
                <w:lang w:eastAsia="ja-JP"/>
              </w:rPr>
              <w:t>Rationale</w:t>
            </w:r>
          </w:p>
        </w:tc>
      </w:tr>
      <w:tr w:rsidR="000A567E" w14:paraId="0A666006" w14:textId="7F189025" w:rsidTr="000A567E">
        <w:tc>
          <w:tcPr>
            <w:tcW w:w="2093" w:type="dxa"/>
          </w:tcPr>
          <w:p w14:paraId="5AD3C23A" w14:textId="3FA2F3FA" w:rsidR="000A567E" w:rsidRPr="0038116E" w:rsidRDefault="000A567E" w:rsidP="00F11511">
            <w:pPr>
              <w:pStyle w:val="TableText0"/>
              <w:spacing w:before="0" w:after="0" w:line="240" w:lineRule="auto"/>
              <w:rPr>
                <w:rFonts w:asciiTheme="minorHAnsi" w:hAnsiTheme="minorHAnsi" w:cstheme="minorHAnsi"/>
                <w:sz w:val="22"/>
                <w:lang w:eastAsia="ja-JP"/>
              </w:rPr>
            </w:pPr>
            <w:r>
              <w:rPr>
                <w:rFonts w:asciiTheme="minorHAnsi" w:hAnsiTheme="minorHAnsi" w:cstheme="minorHAnsi"/>
                <w:sz w:val="22"/>
                <w:lang w:eastAsia="ja-JP"/>
              </w:rPr>
              <w:t>In-patient</w:t>
            </w:r>
            <w:r w:rsidR="00D37436">
              <w:rPr>
                <w:rFonts w:asciiTheme="minorHAnsi" w:hAnsiTheme="minorHAnsi" w:cstheme="minorHAnsi"/>
                <w:sz w:val="22"/>
                <w:lang w:eastAsia="ja-JP"/>
              </w:rPr>
              <w:t xml:space="preserve"> hospital</w:t>
            </w:r>
          </w:p>
        </w:tc>
        <w:tc>
          <w:tcPr>
            <w:tcW w:w="7513" w:type="dxa"/>
          </w:tcPr>
          <w:p w14:paraId="08CF0E5B" w14:textId="35D35134" w:rsidR="000A567E" w:rsidRPr="0038116E" w:rsidRDefault="000A567E" w:rsidP="00280F63">
            <w:pPr>
              <w:pStyle w:val="TableText0"/>
              <w:spacing w:before="0" w:after="0" w:line="240" w:lineRule="auto"/>
              <w:rPr>
                <w:rFonts w:asciiTheme="minorHAnsi" w:hAnsiTheme="minorHAnsi" w:cstheme="minorHAnsi"/>
                <w:sz w:val="22"/>
                <w:lang w:eastAsia="ja-JP"/>
              </w:rPr>
            </w:pPr>
            <w:r>
              <w:rPr>
                <w:rFonts w:asciiTheme="minorHAnsi" w:hAnsiTheme="minorHAnsi" w:cstheme="minorHAnsi"/>
                <w:sz w:val="22"/>
                <w:lang w:eastAsia="ja-JP"/>
              </w:rPr>
              <w:t xml:space="preserve">Following admission with a stroke, and the absence of a cause found on investigations including 24-hour inpatient </w:t>
            </w:r>
            <w:r w:rsidR="005121CF">
              <w:rPr>
                <w:rFonts w:asciiTheme="minorHAnsi" w:hAnsiTheme="minorHAnsi" w:cstheme="minorHAnsi"/>
                <w:sz w:val="22"/>
                <w:lang w:eastAsia="ja-JP"/>
              </w:rPr>
              <w:t>telemetry</w:t>
            </w:r>
            <w:r>
              <w:rPr>
                <w:rFonts w:asciiTheme="minorHAnsi" w:hAnsiTheme="minorHAnsi" w:cstheme="minorHAnsi"/>
                <w:sz w:val="22"/>
                <w:lang w:eastAsia="ja-JP"/>
              </w:rPr>
              <w:t>, the patient with cryptogenic stroke would have the ILR inserted before discharge.</w:t>
            </w:r>
          </w:p>
        </w:tc>
      </w:tr>
      <w:tr w:rsidR="000A567E" w14:paraId="2987871A" w14:textId="3F009A32" w:rsidTr="000A567E">
        <w:tc>
          <w:tcPr>
            <w:tcW w:w="2093" w:type="dxa"/>
          </w:tcPr>
          <w:p w14:paraId="11BC8C07" w14:textId="69769483" w:rsidR="000A567E" w:rsidRDefault="00F11511" w:rsidP="004C5FA2">
            <w:pPr>
              <w:pStyle w:val="TableText0"/>
              <w:spacing w:before="0" w:after="0" w:line="240" w:lineRule="auto"/>
              <w:rPr>
                <w:rFonts w:asciiTheme="minorHAnsi" w:hAnsiTheme="minorHAnsi" w:cstheme="minorHAnsi"/>
                <w:sz w:val="22"/>
                <w:lang w:eastAsia="ja-JP"/>
              </w:rPr>
            </w:pPr>
            <w:r>
              <w:rPr>
                <w:rFonts w:asciiTheme="minorHAnsi" w:hAnsiTheme="minorHAnsi" w:cstheme="minorHAnsi"/>
                <w:sz w:val="22"/>
                <w:lang w:eastAsia="ja-JP"/>
              </w:rPr>
              <w:t xml:space="preserve">Inpatient </w:t>
            </w:r>
            <w:r w:rsidR="00D37436">
              <w:rPr>
                <w:rFonts w:asciiTheme="minorHAnsi" w:hAnsiTheme="minorHAnsi" w:cstheme="minorHAnsi"/>
                <w:sz w:val="22"/>
                <w:lang w:eastAsia="ja-JP"/>
              </w:rPr>
              <w:t>d</w:t>
            </w:r>
            <w:r w:rsidR="000A567E">
              <w:rPr>
                <w:rFonts w:asciiTheme="minorHAnsi" w:hAnsiTheme="minorHAnsi" w:cstheme="minorHAnsi"/>
                <w:sz w:val="22"/>
                <w:lang w:eastAsia="ja-JP"/>
              </w:rPr>
              <w:t>ay surgery centre</w:t>
            </w:r>
          </w:p>
          <w:p w14:paraId="2C46522B" w14:textId="2025B684" w:rsidR="00543548" w:rsidRPr="0038116E" w:rsidRDefault="00543548" w:rsidP="004C5FA2">
            <w:pPr>
              <w:pStyle w:val="TableText0"/>
              <w:spacing w:before="0" w:after="0" w:line="240" w:lineRule="auto"/>
              <w:rPr>
                <w:rFonts w:asciiTheme="minorHAnsi" w:hAnsiTheme="minorHAnsi" w:cstheme="minorHAnsi"/>
                <w:sz w:val="22"/>
                <w:lang w:eastAsia="ja-JP"/>
              </w:rPr>
            </w:pPr>
          </w:p>
        </w:tc>
        <w:tc>
          <w:tcPr>
            <w:tcW w:w="7513" w:type="dxa"/>
          </w:tcPr>
          <w:p w14:paraId="20CB123E" w14:textId="334E2BEC" w:rsidR="000A567E" w:rsidRPr="0038116E" w:rsidRDefault="000A567E" w:rsidP="00832B70">
            <w:pPr>
              <w:pStyle w:val="TableText0"/>
              <w:spacing w:before="0" w:after="0" w:line="240" w:lineRule="auto"/>
              <w:rPr>
                <w:rFonts w:asciiTheme="minorHAnsi" w:hAnsiTheme="minorHAnsi" w:cstheme="minorHAnsi"/>
                <w:sz w:val="22"/>
                <w:lang w:eastAsia="ja-JP"/>
              </w:rPr>
            </w:pPr>
            <w:r>
              <w:rPr>
                <w:rFonts w:asciiTheme="minorHAnsi" w:hAnsiTheme="minorHAnsi" w:cstheme="minorHAnsi"/>
                <w:sz w:val="22"/>
                <w:lang w:eastAsia="ja-JP"/>
              </w:rPr>
              <w:t xml:space="preserve">After discharge from hospital with the diagnosis of cryptogenic stroke, the patient may receive further investigations as an out-patient such as a 24-hour </w:t>
            </w:r>
            <w:proofErr w:type="spellStart"/>
            <w:r w:rsidR="00832B70">
              <w:rPr>
                <w:rFonts w:asciiTheme="minorHAnsi" w:hAnsiTheme="minorHAnsi" w:cstheme="minorHAnsi"/>
                <w:sz w:val="22"/>
                <w:lang w:eastAsia="ja-JP"/>
              </w:rPr>
              <w:t>Holter</w:t>
            </w:r>
            <w:proofErr w:type="spellEnd"/>
            <w:r w:rsidR="00832B70">
              <w:rPr>
                <w:rFonts w:asciiTheme="minorHAnsi" w:hAnsiTheme="minorHAnsi" w:cstheme="minorHAnsi"/>
                <w:sz w:val="22"/>
                <w:lang w:eastAsia="ja-JP"/>
              </w:rPr>
              <w:t xml:space="preserve"> monitor</w:t>
            </w:r>
            <w:r>
              <w:rPr>
                <w:rFonts w:asciiTheme="minorHAnsi" w:hAnsiTheme="minorHAnsi" w:cstheme="minorHAnsi"/>
                <w:sz w:val="22"/>
                <w:lang w:eastAsia="ja-JP"/>
              </w:rPr>
              <w:t>. In cases where the stroke was still classified as cryptogenic after these investigations, the patient would</w:t>
            </w:r>
            <w:r w:rsidR="003F205F">
              <w:rPr>
                <w:rFonts w:asciiTheme="minorHAnsi" w:hAnsiTheme="minorHAnsi" w:cstheme="minorHAnsi"/>
                <w:sz w:val="22"/>
                <w:lang w:eastAsia="ja-JP"/>
              </w:rPr>
              <w:t xml:space="preserve"> have the ILR inserted in the day surgery setting.</w:t>
            </w:r>
            <w:r>
              <w:rPr>
                <w:rFonts w:asciiTheme="minorHAnsi" w:hAnsiTheme="minorHAnsi" w:cstheme="minorHAnsi"/>
                <w:sz w:val="22"/>
                <w:lang w:eastAsia="ja-JP"/>
              </w:rPr>
              <w:t xml:space="preserve"> </w:t>
            </w:r>
          </w:p>
        </w:tc>
      </w:tr>
    </w:tbl>
    <w:p w14:paraId="35877AB9" w14:textId="77777777" w:rsidR="00BC4EFE" w:rsidRDefault="00BC4EFE" w:rsidP="00235DA8">
      <w:pPr>
        <w:pStyle w:val="Quote"/>
        <w:spacing w:before="240"/>
      </w:pPr>
      <w:r w:rsidRPr="00BC4EFE">
        <w:t>Describe how the service is del</w:t>
      </w:r>
      <w:r w:rsidR="00597108">
        <w:t>ivered in the clinical setting.</w:t>
      </w:r>
      <w:r w:rsidRPr="00BC4EFE">
        <w:t xml:space="preserve"> This could include details such as frequency of use (per year), duration of use, limitations or restrictions on the medical service or provider, referral arrangements, professional experience required (e.g.: qualifications, training, accreditation etc.), healthcare resources, access issues (e.g.: demographics, facilities, equipment, location etc.). </w:t>
      </w:r>
    </w:p>
    <w:p w14:paraId="02986C12" w14:textId="517CC23E" w:rsidR="00C47245" w:rsidRDefault="00C47245" w:rsidP="00D37529">
      <w:r>
        <w:t>ILR</w:t>
      </w:r>
      <w:r w:rsidR="006C09AE">
        <w:t>s</w:t>
      </w:r>
      <w:r>
        <w:t xml:space="preserve"> are likely to be inserted during the index hospitalisation for the </w:t>
      </w:r>
      <w:r w:rsidR="007372A7">
        <w:t>CS</w:t>
      </w:r>
      <w:r>
        <w:t xml:space="preserve"> or upon readmission for the express purpose of inserting the device.</w:t>
      </w:r>
    </w:p>
    <w:p w14:paraId="359FA740" w14:textId="3652396B" w:rsidR="00DA4927" w:rsidRDefault="00DA4927" w:rsidP="00DA4927">
      <w:r>
        <w:t>ILRs are already being inserted for the diagnosis of primary disorder in patients with recurrent unexplained syncope (see Figure 1). Currently those inserting the de</w:t>
      </w:r>
      <w:r w:rsidR="00A47A3B">
        <w:t xml:space="preserve">vice are </w:t>
      </w:r>
      <w:proofErr w:type="spellStart"/>
      <w:r w:rsidR="00A47A3B">
        <w:t>electrophysiologists</w:t>
      </w:r>
      <w:proofErr w:type="spellEnd"/>
      <w:r w:rsidR="00A47A3B">
        <w:t>, i</w:t>
      </w:r>
      <w:r>
        <w:t>nterventional and</w:t>
      </w:r>
      <w:r w:rsidRPr="00DA4927">
        <w:t xml:space="preserve"> general cardiolog</w:t>
      </w:r>
      <w:r>
        <w:t>ists, cardiothoracic surgeons, and</w:t>
      </w:r>
      <w:r w:rsidRPr="00DA4927">
        <w:t xml:space="preserve"> general surgeons.</w:t>
      </w:r>
      <w:r>
        <w:t xml:space="preserve"> Details on training requirements in order to insert and follow-up ILRs are provided in T</w:t>
      </w:r>
      <w:r w:rsidR="00447662">
        <w:t>he</w:t>
      </w:r>
      <w:r>
        <w:t xml:space="preserve"> Cardiac  Society  of  Australia  and  New  Zealand (CSANZ) document ‘Guidelines for sub-specialty training in cardiac implantable electronic devices: selection, implan</w:t>
      </w:r>
      <w:r w:rsidR="00D5001D">
        <w:t>t</w:t>
      </w:r>
      <w:r>
        <w:t>ation and follow-up’. This do</w:t>
      </w:r>
      <w:r w:rsidR="007372A7">
        <w:t>cument is provided in Appendix 2</w:t>
      </w:r>
      <w:r>
        <w:t xml:space="preserve">. </w:t>
      </w:r>
    </w:p>
    <w:p w14:paraId="775371CC" w14:textId="7C67C92B" w:rsidR="00280F63" w:rsidRPr="00D37529" w:rsidRDefault="00FF5025" w:rsidP="00D37529">
      <w:r>
        <w:t xml:space="preserve">Insertion is performed using local anaesthetic. </w:t>
      </w:r>
      <w:r w:rsidR="00D5001D" w:rsidRPr="00D5001D">
        <w:t xml:space="preserve">A video demonstrating the insertion of the Reveal LINQ ILR can be viewed </w:t>
      </w:r>
      <w:hyperlink r:id="rId15" w:history="1">
        <w:r w:rsidR="00D5001D" w:rsidRPr="00D5001D">
          <w:rPr>
            <w:rStyle w:val="Hyperlink"/>
          </w:rPr>
          <w:t>here</w:t>
        </w:r>
      </w:hyperlink>
      <w:r w:rsidR="00DA4927">
        <w:t xml:space="preserve">. </w:t>
      </w:r>
      <w:r w:rsidR="00280F63">
        <w:t>ILRs have an implanted lifespan of 3 years. Therefore, once inserted, the device could be explanted after 3 years or earlier if required.</w:t>
      </w:r>
      <w:r w:rsidR="009434BD">
        <w:t xml:space="preserve"> There is already an MBS item (38286) for removal of ILRs which is not patient population specific therefore can be used in this setting.</w:t>
      </w:r>
    </w:p>
    <w:p w14:paraId="7B875FC1" w14:textId="77777777" w:rsidR="00BC4EFE" w:rsidRPr="00BC4EFE" w:rsidRDefault="00BC4EFE" w:rsidP="00235DA8">
      <w:pPr>
        <w:pStyle w:val="Heading1"/>
      </w:pPr>
      <w:r w:rsidRPr="00BC4EFE">
        <w:lastRenderedPageBreak/>
        <w:t>Co-dependent information (if not a co-dependent application go to Section 6)</w:t>
      </w:r>
    </w:p>
    <w:p w14:paraId="1371602F" w14:textId="77777777" w:rsidR="00BC4EFE" w:rsidRDefault="00BC4EFE" w:rsidP="00235DA8">
      <w:pPr>
        <w:pStyle w:val="Quote"/>
        <w:keepNext/>
      </w:pPr>
      <w:r w:rsidRPr="00BC4EFE">
        <w:t>Please provide detail of the co-dependent nature of this service as applicable</w:t>
      </w:r>
      <w:r w:rsidR="00D90D8F" w:rsidRPr="00D90D8F">
        <w:t>.</w:t>
      </w:r>
    </w:p>
    <w:p w14:paraId="61390F05" w14:textId="71C8FB01" w:rsidR="00D37529" w:rsidRDefault="00FF5922" w:rsidP="00235DA8">
      <w:pPr>
        <w:keepNext/>
        <w:rPr>
          <w:rFonts w:cstheme="minorHAnsi"/>
        </w:rPr>
      </w:pPr>
      <w:r w:rsidRPr="009434BD">
        <w:rPr>
          <w:rFonts w:cstheme="minorHAnsi"/>
        </w:rPr>
        <w:t>Details of the co-dependent medical device, ILRs, for this</w:t>
      </w:r>
      <w:r w:rsidR="00652C52">
        <w:rPr>
          <w:rFonts w:cstheme="minorHAnsi"/>
        </w:rPr>
        <w:t xml:space="preserve"> service are provided in Table 6</w:t>
      </w:r>
      <w:r w:rsidRPr="009434BD">
        <w:rPr>
          <w:rFonts w:cstheme="minorHAnsi"/>
        </w:rPr>
        <w:t>.</w:t>
      </w:r>
    </w:p>
    <w:p w14:paraId="43209084" w14:textId="0232296D" w:rsidR="00B80FEE" w:rsidRPr="009434BD" w:rsidRDefault="00B80FEE" w:rsidP="00235DA8">
      <w:pPr>
        <w:pStyle w:val="Caption"/>
        <w:rPr>
          <w:rFonts w:cstheme="minorHAnsi"/>
        </w:rPr>
      </w:pPr>
      <w:r>
        <w:t xml:space="preserve">Table </w:t>
      </w:r>
      <w:r>
        <w:fldChar w:fldCharType="begin"/>
      </w:r>
      <w:r>
        <w:instrText xml:space="preserve"> SEQ Table \* ARABIC </w:instrText>
      </w:r>
      <w:r>
        <w:fldChar w:fldCharType="separate"/>
      </w:r>
      <w:r w:rsidR="00DC65DD">
        <w:rPr>
          <w:noProof/>
        </w:rPr>
        <w:t>6</w:t>
      </w:r>
      <w:r>
        <w:fldChar w:fldCharType="end"/>
      </w:r>
      <w:r w:rsidRPr="009434BD">
        <w:rPr>
          <w:rFonts w:asciiTheme="minorHAnsi" w:hAnsiTheme="minorHAnsi" w:cstheme="minorHAnsi"/>
          <w:sz w:val="22"/>
        </w:rPr>
        <w:tab/>
        <w:t>Co-dependent medical device information</w:t>
      </w:r>
    </w:p>
    <w:p w14:paraId="32762E26" w14:textId="30427FEB" w:rsidR="0082110A" w:rsidRPr="00D30208" w:rsidRDefault="009434BD" w:rsidP="00235DA8">
      <w:pPr>
        <w:pStyle w:val="Caption"/>
        <w:rPr>
          <w:rFonts w:asciiTheme="minorHAnsi" w:hAnsiTheme="minorHAnsi" w:cstheme="minorHAnsi"/>
          <w:b w:val="0"/>
          <w:sz w:val="18"/>
          <w:szCs w:val="18"/>
        </w:rPr>
      </w:pPr>
      <w:r w:rsidRPr="0061321C">
        <w:rPr>
          <w:rFonts w:asciiTheme="minorHAnsi" w:hAnsiTheme="minorHAnsi" w:cstheme="minorHAnsi"/>
          <w:b w:val="0"/>
          <w:sz w:val="18"/>
          <w:szCs w:val="18"/>
        </w:rPr>
        <w:t xml:space="preserve">Source: </w:t>
      </w:r>
      <w:r w:rsidR="00310015">
        <w:rPr>
          <w:rFonts w:asciiTheme="minorHAnsi" w:hAnsiTheme="minorHAnsi" w:cstheme="minorHAnsi"/>
          <w:b w:val="0"/>
          <w:sz w:val="18"/>
          <w:szCs w:val="18"/>
        </w:rPr>
        <w:t>DO</w:t>
      </w:r>
      <w:r w:rsidR="0061321C" w:rsidRPr="0061321C">
        <w:rPr>
          <w:rFonts w:asciiTheme="minorHAnsi" w:hAnsiTheme="minorHAnsi" w:cstheme="minorHAnsi"/>
          <w:b w:val="0"/>
          <w:sz w:val="18"/>
          <w:szCs w:val="18"/>
        </w:rPr>
        <w:t>H (2015</w:t>
      </w:r>
      <w:r w:rsidR="0061321C">
        <w:rPr>
          <w:rFonts w:asciiTheme="minorHAnsi" w:hAnsiTheme="minorHAnsi" w:cstheme="minorHAnsi"/>
          <w:b w:val="0"/>
          <w:sz w:val="18"/>
          <w:szCs w:val="18"/>
        </w:rPr>
        <w:t>b</w:t>
      </w:r>
      <w:r w:rsidR="0061321C" w:rsidRPr="0061321C">
        <w:rPr>
          <w:rFonts w:asciiTheme="minorHAnsi" w:hAnsiTheme="minorHAnsi" w:cstheme="minorHAnsi"/>
          <w:b w:val="0"/>
          <w:sz w:val="18"/>
          <w:szCs w:val="18"/>
        </w:rPr>
        <w:t>)</w:t>
      </w:r>
    </w:p>
    <w:tbl>
      <w:tblPr>
        <w:tblpPr w:leftFromText="180" w:rightFromText="180" w:vertAnchor="text" w:horzAnchor="margin" w:tblpX="-187" w:tblpY="-155"/>
        <w:tblOverlap w:val="never"/>
        <w:tblW w:w="9341" w:type="dxa"/>
        <w:tblLayout w:type="fixed"/>
        <w:tblLook w:val="04A0" w:firstRow="1" w:lastRow="0" w:firstColumn="1" w:lastColumn="0" w:noHBand="0" w:noVBand="1"/>
        <w:tblDescription w:val="Table 6 Co-dependent medical device information"/>
      </w:tblPr>
      <w:tblGrid>
        <w:gridCol w:w="839"/>
        <w:gridCol w:w="990"/>
        <w:gridCol w:w="994"/>
        <w:gridCol w:w="710"/>
        <w:gridCol w:w="852"/>
        <w:gridCol w:w="990"/>
        <w:gridCol w:w="988"/>
        <w:gridCol w:w="996"/>
        <w:gridCol w:w="708"/>
        <w:gridCol w:w="706"/>
        <w:gridCol w:w="568"/>
      </w:tblGrid>
      <w:tr w:rsidR="00FF5922" w:rsidRPr="009E53C6" w14:paraId="2F2ADD0D" w14:textId="77777777" w:rsidTr="0053591A">
        <w:trPr>
          <w:trHeight w:val="1946"/>
        </w:trPr>
        <w:tc>
          <w:tcPr>
            <w:tcW w:w="449" w:type="pct"/>
            <w:tcBorders>
              <w:top w:val="single" w:sz="12" w:space="0" w:color="auto"/>
              <w:left w:val="single" w:sz="12" w:space="0" w:color="auto"/>
              <w:bottom w:val="single" w:sz="12" w:space="0" w:color="auto"/>
              <w:right w:val="single" w:sz="12" w:space="0" w:color="auto"/>
            </w:tcBorders>
            <w:shd w:val="clear" w:color="auto" w:fill="auto"/>
            <w:noWrap/>
            <w:textDirection w:val="btLr"/>
            <w:vAlign w:val="center"/>
            <w:hideMark/>
          </w:tcPr>
          <w:p w14:paraId="2E4AB9DF" w14:textId="77777777" w:rsidR="00FF5922" w:rsidRPr="009E53C6" w:rsidRDefault="00FF5922" w:rsidP="00235DA8">
            <w:pPr>
              <w:keepNext/>
              <w:keepLines/>
              <w:spacing w:after="0" w:line="240" w:lineRule="auto"/>
              <w:jc w:val="center"/>
              <w:rPr>
                <w:rFonts w:ascii="Arial" w:eastAsia="Times New Roman" w:hAnsi="Arial" w:cs="Arial"/>
                <w:b/>
                <w:bCs/>
                <w:sz w:val="20"/>
                <w:szCs w:val="20"/>
                <w:lang w:eastAsia="en-AU"/>
              </w:rPr>
            </w:pPr>
            <w:r w:rsidRPr="009E53C6">
              <w:rPr>
                <w:rFonts w:ascii="Arial" w:eastAsia="Times New Roman" w:hAnsi="Arial" w:cs="Arial"/>
                <w:b/>
                <w:bCs/>
                <w:sz w:val="20"/>
                <w:szCs w:val="20"/>
                <w:lang w:eastAsia="en-AU"/>
              </w:rPr>
              <w:lastRenderedPageBreak/>
              <w:t>Product Category</w:t>
            </w:r>
          </w:p>
        </w:tc>
        <w:tc>
          <w:tcPr>
            <w:tcW w:w="530" w:type="pct"/>
            <w:tcBorders>
              <w:top w:val="single" w:sz="12" w:space="0" w:color="auto"/>
              <w:left w:val="nil"/>
              <w:bottom w:val="single" w:sz="12" w:space="0" w:color="auto"/>
              <w:right w:val="single" w:sz="12" w:space="0" w:color="auto"/>
            </w:tcBorders>
            <w:shd w:val="clear" w:color="auto" w:fill="auto"/>
            <w:noWrap/>
            <w:textDirection w:val="btLr"/>
            <w:vAlign w:val="center"/>
            <w:hideMark/>
          </w:tcPr>
          <w:p w14:paraId="03C96FF7" w14:textId="77777777" w:rsidR="00FF5922" w:rsidRPr="009E53C6" w:rsidRDefault="00FF5922" w:rsidP="00235DA8">
            <w:pPr>
              <w:keepNext/>
              <w:keepLines/>
              <w:spacing w:after="0" w:line="240" w:lineRule="auto"/>
              <w:jc w:val="center"/>
              <w:rPr>
                <w:rFonts w:ascii="Arial" w:eastAsia="Times New Roman" w:hAnsi="Arial" w:cs="Arial"/>
                <w:b/>
                <w:bCs/>
                <w:sz w:val="20"/>
                <w:szCs w:val="20"/>
                <w:lang w:eastAsia="en-AU"/>
              </w:rPr>
            </w:pPr>
            <w:r w:rsidRPr="009E53C6">
              <w:rPr>
                <w:rFonts w:ascii="Arial" w:eastAsia="Times New Roman" w:hAnsi="Arial" w:cs="Arial"/>
                <w:b/>
                <w:bCs/>
                <w:sz w:val="20"/>
                <w:szCs w:val="20"/>
                <w:lang w:eastAsia="en-AU"/>
              </w:rPr>
              <w:t>Assessment Body</w:t>
            </w:r>
          </w:p>
        </w:tc>
        <w:tc>
          <w:tcPr>
            <w:tcW w:w="532" w:type="pct"/>
            <w:tcBorders>
              <w:top w:val="single" w:sz="12" w:space="0" w:color="auto"/>
              <w:left w:val="nil"/>
              <w:bottom w:val="single" w:sz="12" w:space="0" w:color="auto"/>
              <w:right w:val="single" w:sz="12" w:space="0" w:color="auto"/>
            </w:tcBorders>
            <w:shd w:val="clear" w:color="auto" w:fill="auto"/>
            <w:noWrap/>
            <w:textDirection w:val="btLr"/>
            <w:vAlign w:val="center"/>
            <w:hideMark/>
          </w:tcPr>
          <w:p w14:paraId="61D902F0" w14:textId="77777777" w:rsidR="00FF5922" w:rsidRPr="009E53C6" w:rsidRDefault="00FF5922" w:rsidP="00235DA8">
            <w:pPr>
              <w:keepNext/>
              <w:keepLines/>
              <w:spacing w:after="0" w:line="240" w:lineRule="auto"/>
              <w:jc w:val="center"/>
              <w:rPr>
                <w:rFonts w:ascii="Arial" w:eastAsia="Times New Roman" w:hAnsi="Arial" w:cs="Arial"/>
                <w:b/>
                <w:bCs/>
                <w:sz w:val="20"/>
                <w:szCs w:val="20"/>
                <w:lang w:eastAsia="en-AU"/>
              </w:rPr>
            </w:pPr>
            <w:r w:rsidRPr="009E53C6">
              <w:rPr>
                <w:rFonts w:ascii="Arial" w:eastAsia="Times New Roman" w:hAnsi="Arial" w:cs="Arial"/>
                <w:b/>
                <w:bCs/>
                <w:sz w:val="20"/>
                <w:szCs w:val="20"/>
                <w:lang w:eastAsia="en-AU"/>
              </w:rPr>
              <w:t>Product Group</w:t>
            </w:r>
          </w:p>
        </w:tc>
        <w:tc>
          <w:tcPr>
            <w:tcW w:w="380" w:type="pct"/>
            <w:tcBorders>
              <w:top w:val="single" w:sz="12" w:space="0" w:color="auto"/>
              <w:left w:val="nil"/>
              <w:bottom w:val="single" w:sz="12" w:space="0" w:color="auto"/>
              <w:right w:val="single" w:sz="12" w:space="0" w:color="auto"/>
            </w:tcBorders>
            <w:shd w:val="clear" w:color="auto" w:fill="auto"/>
            <w:noWrap/>
            <w:textDirection w:val="btLr"/>
            <w:vAlign w:val="center"/>
            <w:hideMark/>
          </w:tcPr>
          <w:p w14:paraId="5D529178" w14:textId="77777777" w:rsidR="00FF5922" w:rsidRPr="009E53C6" w:rsidRDefault="00FF5922" w:rsidP="00235DA8">
            <w:pPr>
              <w:keepNext/>
              <w:keepLines/>
              <w:spacing w:after="0" w:line="240" w:lineRule="auto"/>
              <w:jc w:val="center"/>
              <w:rPr>
                <w:rFonts w:ascii="Arial" w:eastAsia="Times New Roman" w:hAnsi="Arial" w:cs="Arial"/>
                <w:b/>
                <w:bCs/>
                <w:sz w:val="20"/>
                <w:szCs w:val="20"/>
                <w:lang w:eastAsia="en-AU"/>
              </w:rPr>
            </w:pPr>
            <w:r w:rsidRPr="009E53C6">
              <w:rPr>
                <w:rFonts w:ascii="Arial" w:eastAsia="Times New Roman" w:hAnsi="Arial" w:cs="Arial"/>
                <w:b/>
                <w:bCs/>
                <w:sz w:val="20"/>
                <w:szCs w:val="20"/>
                <w:lang w:eastAsia="en-AU"/>
              </w:rPr>
              <w:t>Billing Code</w:t>
            </w:r>
          </w:p>
        </w:tc>
        <w:tc>
          <w:tcPr>
            <w:tcW w:w="456" w:type="pct"/>
            <w:tcBorders>
              <w:top w:val="single" w:sz="12" w:space="0" w:color="auto"/>
              <w:left w:val="nil"/>
              <w:bottom w:val="single" w:sz="12" w:space="0" w:color="auto"/>
              <w:right w:val="single" w:sz="12" w:space="0" w:color="auto"/>
            </w:tcBorders>
            <w:shd w:val="clear" w:color="auto" w:fill="auto"/>
            <w:noWrap/>
            <w:textDirection w:val="btLr"/>
            <w:vAlign w:val="center"/>
            <w:hideMark/>
          </w:tcPr>
          <w:p w14:paraId="43A39218" w14:textId="77777777" w:rsidR="00FF5922" w:rsidRPr="009E53C6" w:rsidRDefault="00FF5922" w:rsidP="00235DA8">
            <w:pPr>
              <w:keepNext/>
              <w:keepLines/>
              <w:spacing w:after="0" w:line="240" w:lineRule="auto"/>
              <w:jc w:val="center"/>
              <w:rPr>
                <w:rFonts w:ascii="Arial" w:eastAsia="Times New Roman" w:hAnsi="Arial" w:cs="Arial"/>
                <w:b/>
                <w:bCs/>
                <w:sz w:val="20"/>
                <w:szCs w:val="20"/>
                <w:lang w:eastAsia="en-AU"/>
              </w:rPr>
            </w:pPr>
            <w:r w:rsidRPr="009E53C6">
              <w:rPr>
                <w:rFonts w:ascii="Arial" w:eastAsia="Times New Roman" w:hAnsi="Arial" w:cs="Arial"/>
                <w:b/>
                <w:bCs/>
                <w:sz w:val="20"/>
                <w:szCs w:val="20"/>
                <w:lang w:eastAsia="en-AU"/>
              </w:rPr>
              <w:t xml:space="preserve"> Min Benefit </w:t>
            </w:r>
          </w:p>
        </w:tc>
        <w:tc>
          <w:tcPr>
            <w:tcW w:w="530" w:type="pct"/>
            <w:tcBorders>
              <w:top w:val="single" w:sz="12" w:space="0" w:color="auto"/>
              <w:left w:val="nil"/>
              <w:bottom w:val="single" w:sz="12" w:space="0" w:color="auto"/>
              <w:right w:val="single" w:sz="12" w:space="0" w:color="auto"/>
            </w:tcBorders>
            <w:shd w:val="clear" w:color="auto" w:fill="auto"/>
            <w:noWrap/>
            <w:textDirection w:val="btLr"/>
            <w:vAlign w:val="center"/>
            <w:hideMark/>
          </w:tcPr>
          <w:p w14:paraId="752872F7" w14:textId="77777777" w:rsidR="00FF5922" w:rsidRPr="009E53C6" w:rsidRDefault="00FF5922" w:rsidP="00235DA8">
            <w:pPr>
              <w:keepNext/>
              <w:keepLines/>
              <w:spacing w:after="0" w:line="240" w:lineRule="auto"/>
              <w:jc w:val="center"/>
              <w:rPr>
                <w:rFonts w:ascii="Arial" w:eastAsia="Times New Roman" w:hAnsi="Arial" w:cs="Arial"/>
                <w:b/>
                <w:bCs/>
                <w:sz w:val="20"/>
                <w:szCs w:val="20"/>
                <w:lang w:eastAsia="en-AU"/>
              </w:rPr>
            </w:pPr>
            <w:r w:rsidRPr="009E53C6">
              <w:rPr>
                <w:rFonts w:ascii="Arial" w:eastAsia="Times New Roman" w:hAnsi="Arial" w:cs="Arial"/>
                <w:b/>
                <w:bCs/>
                <w:sz w:val="20"/>
                <w:szCs w:val="20"/>
                <w:lang w:eastAsia="en-AU"/>
              </w:rPr>
              <w:t>Sponsor</w:t>
            </w:r>
          </w:p>
        </w:tc>
        <w:tc>
          <w:tcPr>
            <w:tcW w:w="529" w:type="pct"/>
            <w:tcBorders>
              <w:top w:val="single" w:sz="12" w:space="0" w:color="auto"/>
              <w:left w:val="nil"/>
              <w:bottom w:val="single" w:sz="12" w:space="0" w:color="auto"/>
              <w:right w:val="single" w:sz="12" w:space="0" w:color="auto"/>
            </w:tcBorders>
            <w:shd w:val="clear" w:color="auto" w:fill="auto"/>
            <w:noWrap/>
            <w:textDirection w:val="btLr"/>
            <w:vAlign w:val="center"/>
            <w:hideMark/>
          </w:tcPr>
          <w:p w14:paraId="2BCF5C2D" w14:textId="77777777" w:rsidR="00FF5922" w:rsidRPr="009E53C6" w:rsidRDefault="00FF5922" w:rsidP="00235DA8">
            <w:pPr>
              <w:keepNext/>
              <w:keepLines/>
              <w:spacing w:after="0" w:line="240" w:lineRule="auto"/>
              <w:jc w:val="center"/>
              <w:rPr>
                <w:rFonts w:ascii="Arial" w:eastAsia="Times New Roman" w:hAnsi="Arial" w:cs="Arial"/>
                <w:b/>
                <w:bCs/>
                <w:sz w:val="20"/>
                <w:szCs w:val="20"/>
                <w:lang w:eastAsia="en-AU"/>
              </w:rPr>
            </w:pPr>
            <w:r w:rsidRPr="009E53C6">
              <w:rPr>
                <w:rFonts w:ascii="Arial" w:eastAsia="Times New Roman" w:hAnsi="Arial" w:cs="Arial"/>
                <w:b/>
                <w:bCs/>
                <w:sz w:val="20"/>
                <w:szCs w:val="20"/>
                <w:lang w:eastAsia="en-AU"/>
              </w:rPr>
              <w:t>Product Name</w:t>
            </w:r>
          </w:p>
        </w:tc>
        <w:tc>
          <w:tcPr>
            <w:tcW w:w="533" w:type="pct"/>
            <w:tcBorders>
              <w:top w:val="single" w:sz="12" w:space="0" w:color="auto"/>
              <w:left w:val="nil"/>
              <w:bottom w:val="single" w:sz="12" w:space="0" w:color="auto"/>
              <w:right w:val="single" w:sz="12" w:space="0" w:color="auto"/>
            </w:tcBorders>
            <w:shd w:val="clear" w:color="auto" w:fill="auto"/>
            <w:noWrap/>
            <w:textDirection w:val="btLr"/>
            <w:vAlign w:val="center"/>
            <w:hideMark/>
          </w:tcPr>
          <w:p w14:paraId="4D0FFA4C" w14:textId="77777777" w:rsidR="00FF5922" w:rsidRPr="009E53C6" w:rsidRDefault="00FF5922" w:rsidP="00235DA8">
            <w:pPr>
              <w:keepNext/>
              <w:keepLines/>
              <w:spacing w:after="0" w:line="240" w:lineRule="auto"/>
              <w:jc w:val="center"/>
              <w:rPr>
                <w:rFonts w:ascii="Arial" w:eastAsia="Times New Roman" w:hAnsi="Arial" w:cs="Arial"/>
                <w:b/>
                <w:bCs/>
                <w:sz w:val="20"/>
                <w:szCs w:val="20"/>
                <w:lang w:eastAsia="en-AU"/>
              </w:rPr>
            </w:pPr>
            <w:r w:rsidRPr="009E53C6">
              <w:rPr>
                <w:rFonts w:ascii="Arial" w:eastAsia="Times New Roman" w:hAnsi="Arial" w:cs="Arial"/>
                <w:b/>
                <w:bCs/>
                <w:sz w:val="20"/>
                <w:szCs w:val="20"/>
                <w:lang w:eastAsia="en-AU"/>
              </w:rPr>
              <w:t>Description</w:t>
            </w:r>
          </w:p>
        </w:tc>
        <w:tc>
          <w:tcPr>
            <w:tcW w:w="379" w:type="pct"/>
            <w:tcBorders>
              <w:top w:val="single" w:sz="12" w:space="0" w:color="auto"/>
              <w:left w:val="nil"/>
              <w:bottom w:val="single" w:sz="12" w:space="0" w:color="auto"/>
              <w:right w:val="single" w:sz="12" w:space="0" w:color="auto"/>
            </w:tcBorders>
            <w:shd w:val="clear" w:color="auto" w:fill="auto"/>
            <w:noWrap/>
            <w:textDirection w:val="btLr"/>
            <w:vAlign w:val="center"/>
            <w:hideMark/>
          </w:tcPr>
          <w:p w14:paraId="7902082D" w14:textId="77777777" w:rsidR="00FF5922" w:rsidRPr="009E53C6" w:rsidRDefault="00FF5922" w:rsidP="00235DA8">
            <w:pPr>
              <w:keepNext/>
              <w:keepLines/>
              <w:spacing w:after="0" w:line="240" w:lineRule="auto"/>
              <w:jc w:val="center"/>
              <w:rPr>
                <w:rFonts w:ascii="Arial" w:eastAsia="Times New Roman" w:hAnsi="Arial" w:cs="Arial"/>
                <w:b/>
                <w:bCs/>
                <w:sz w:val="20"/>
                <w:szCs w:val="20"/>
                <w:lang w:eastAsia="en-AU"/>
              </w:rPr>
            </w:pPr>
            <w:r w:rsidRPr="009E53C6">
              <w:rPr>
                <w:rFonts w:ascii="Arial" w:eastAsia="Times New Roman" w:hAnsi="Arial" w:cs="Arial"/>
                <w:b/>
                <w:bCs/>
                <w:sz w:val="20"/>
                <w:szCs w:val="20"/>
                <w:lang w:eastAsia="en-AU"/>
              </w:rPr>
              <w:t>Size</w:t>
            </w:r>
          </w:p>
        </w:tc>
        <w:tc>
          <w:tcPr>
            <w:tcW w:w="378" w:type="pct"/>
            <w:tcBorders>
              <w:top w:val="single" w:sz="12" w:space="0" w:color="auto"/>
              <w:left w:val="nil"/>
              <w:bottom w:val="single" w:sz="12" w:space="0" w:color="auto"/>
              <w:right w:val="single" w:sz="12" w:space="0" w:color="auto"/>
            </w:tcBorders>
            <w:shd w:val="clear" w:color="auto" w:fill="auto"/>
            <w:noWrap/>
            <w:textDirection w:val="btLr"/>
            <w:vAlign w:val="center"/>
            <w:hideMark/>
          </w:tcPr>
          <w:p w14:paraId="5E00ACFE" w14:textId="77777777" w:rsidR="00FF5922" w:rsidRPr="009E53C6" w:rsidRDefault="00FF5922" w:rsidP="00235DA8">
            <w:pPr>
              <w:keepNext/>
              <w:keepLines/>
              <w:spacing w:after="0" w:line="240" w:lineRule="auto"/>
              <w:jc w:val="center"/>
              <w:rPr>
                <w:rFonts w:ascii="Arial" w:eastAsia="Times New Roman" w:hAnsi="Arial" w:cs="Arial"/>
                <w:b/>
                <w:bCs/>
                <w:sz w:val="20"/>
                <w:szCs w:val="20"/>
                <w:lang w:eastAsia="en-AU"/>
              </w:rPr>
            </w:pPr>
            <w:r w:rsidRPr="009E53C6">
              <w:rPr>
                <w:rFonts w:ascii="Arial" w:eastAsia="Times New Roman" w:hAnsi="Arial" w:cs="Arial"/>
                <w:b/>
                <w:bCs/>
                <w:sz w:val="20"/>
                <w:szCs w:val="20"/>
                <w:lang w:eastAsia="en-AU"/>
              </w:rPr>
              <w:t>ARTG</w:t>
            </w:r>
          </w:p>
        </w:tc>
        <w:tc>
          <w:tcPr>
            <w:tcW w:w="304" w:type="pct"/>
            <w:tcBorders>
              <w:top w:val="single" w:sz="12" w:space="0" w:color="auto"/>
              <w:left w:val="nil"/>
              <w:bottom w:val="single" w:sz="12" w:space="0" w:color="auto"/>
              <w:right w:val="single" w:sz="12" w:space="0" w:color="auto"/>
            </w:tcBorders>
            <w:shd w:val="clear" w:color="auto" w:fill="auto"/>
            <w:noWrap/>
            <w:textDirection w:val="btLr"/>
            <w:vAlign w:val="center"/>
            <w:hideMark/>
          </w:tcPr>
          <w:p w14:paraId="5AF975D9" w14:textId="77777777" w:rsidR="00FF5922" w:rsidRPr="009E53C6" w:rsidRDefault="00FF5922" w:rsidP="00235DA8">
            <w:pPr>
              <w:keepNext/>
              <w:keepLines/>
              <w:spacing w:after="0" w:line="240" w:lineRule="auto"/>
              <w:jc w:val="center"/>
              <w:rPr>
                <w:rFonts w:ascii="Arial" w:eastAsia="Times New Roman" w:hAnsi="Arial" w:cs="Arial"/>
                <w:b/>
                <w:bCs/>
                <w:sz w:val="20"/>
                <w:szCs w:val="20"/>
                <w:lang w:eastAsia="en-AU"/>
              </w:rPr>
            </w:pPr>
            <w:r w:rsidRPr="009E53C6">
              <w:rPr>
                <w:rFonts w:ascii="Arial" w:eastAsia="Times New Roman" w:hAnsi="Arial" w:cs="Arial"/>
                <w:b/>
                <w:bCs/>
                <w:sz w:val="20"/>
                <w:szCs w:val="20"/>
                <w:lang w:eastAsia="en-AU"/>
              </w:rPr>
              <w:t>Last Updated</w:t>
            </w:r>
          </w:p>
        </w:tc>
      </w:tr>
      <w:tr w:rsidR="00FF5922" w:rsidRPr="009E53C6" w14:paraId="1035A044" w14:textId="77777777" w:rsidTr="0053591A">
        <w:trPr>
          <w:trHeight w:val="766"/>
        </w:trPr>
        <w:tc>
          <w:tcPr>
            <w:tcW w:w="449" w:type="pct"/>
            <w:tcBorders>
              <w:top w:val="nil"/>
              <w:left w:val="single" w:sz="4" w:space="0" w:color="auto"/>
              <w:bottom w:val="single" w:sz="4" w:space="0" w:color="auto"/>
              <w:right w:val="single" w:sz="4" w:space="0" w:color="auto"/>
            </w:tcBorders>
            <w:shd w:val="clear" w:color="auto" w:fill="auto"/>
            <w:hideMark/>
          </w:tcPr>
          <w:p w14:paraId="1A6EFFAF" w14:textId="77777777" w:rsidR="00FF5922" w:rsidRPr="009E53C6" w:rsidRDefault="00FF5922" w:rsidP="00235DA8">
            <w:pPr>
              <w:keepNext/>
              <w:keepLines/>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08 - Cardiac</w:t>
            </w:r>
          </w:p>
        </w:tc>
        <w:tc>
          <w:tcPr>
            <w:tcW w:w="530" w:type="pct"/>
            <w:tcBorders>
              <w:top w:val="nil"/>
              <w:left w:val="nil"/>
              <w:bottom w:val="single" w:sz="4" w:space="0" w:color="auto"/>
              <w:right w:val="single" w:sz="4" w:space="0" w:color="auto"/>
            </w:tcBorders>
            <w:shd w:val="clear" w:color="auto" w:fill="auto"/>
            <w:hideMark/>
          </w:tcPr>
          <w:p w14:paraId="2F53ACC0" w14:textId="77777777" w:rsidR="00FF5922" w:rsidRPr="009E53C6" w:rsidRDefault="00FF5922" w:rsidP="00235DA8">
            <w:pPr>
              <w:keepNext/>
              <w:keepLines/>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08.14 - Implantable Cardiac Event Recorders</w:t>
            </w:r>
          </w:p>
        </w:tc>
        <w:tc>
          <w:tcPr>
            <w:tcW w:w="532" w:type="pct"/>
            <w:tcBorders>
              <w:top w:val="nil"/>
              <w:left w:val="nil"/>
              <w:bottom w:val="single" w:sz="4" w:space="0" w:color="auto"/>
              <w:right w:val="single" w:sz="4" w:space="0" w:color="auto"/>
            </w:tcBorders>
            <w:shd w:val="clear" w:color="auto" w:fill="auto"/>
            <w:hideMark/>
          </w:tcPr>
          <w:p w14:paraId="381702DD" w14:textId="77777777" w:rsidR="00FF5922" w:rsidRPr="009E53C6" w:rsidRDefault="00FF5922" w:rsidP="00235DA8">
            <w:pPr>
              <w:keepNext/>
              <w:keepLines/>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08.14.01 - Implantable Cardiac Event Recorders</w:t>
            </w:r>
          </w:p>
        </w:tc>
        <w:tc>
          <w:tcPr>
            <w:tcW w:w="380" w:type="pct"/>
            <w:tcBorders>
              <w:top w:val="nil"/>
              <w:left w:val="nil"/>
              <w:bottom w:val="single" w:sz="4" w:space="0" w:color="auto"/>
              <w:right w:val="single" w:sz="4" w:space="0" w:color="auto"/>
            </w:tcBorders>
            <w:shd w:val="clear" w:color="auto" w:fill="auto"/>
            <w:hideMark/>
          </w:tcPr>
          <w:p w14:paraId="65D5AC34" w14:textId="77777777" w:rsidR="00FF5922" w:rsidRPr="009E53C6" w:rsidRDefault="00FF5922" w:rsidP="00235DA8">
            <w:pPr>
              <w:keepNext/>
              <w:keepLines/>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MC763</w:t>
            </w:r>
          </w:p>
        </w:tc>
        <w:tc>
          <w:tcPr>
            <w:tcW w:w="456" w:type="pct"/>
            <w:tcBorders>
              <w:top w:val="nil"/>
              <w:left w:val="nil"/>
              <w:bottom w:val="single" w:sz="4" w:space="0" w:color="auto"/>
              <w:right w:val="single" w:sz="4" w:space="0" w:color="auto"/>
            </w:tcBorders>
            <w:shd w:val="clear" w:color="auto" w:fill="auto"/>
            <w:hideMark/>
          </w:tcPr>
          <w:p w14:paraId="513C3183" w14:textId="4FE7552F" w:rsidR="00FF5922" w:rsidRPr="009E53C6" w:rsidRDefault="00890DBB" w:rsidP="00235DA8">
            <w:pPr>
              <w:keepNext/>
              <w:keepLines/>
              <w:spacing w:after="0" w:line="240" w:lineRule="auto"/>
              <w:rPr>
                <w:rFonts w:ascii="Arial" w:eastAsia="Times New Roman" w:hAnsi="Arial" w:cs="Arial"/>
                <w:sz w:val="14"/>
                <w:szCs w:val="20"/>
                <w:lang w:eastAsia="en-AU"/>
              </w:rPr>
            </w:pPr>
            <w:r>
              <w:rPr>
                <w:rFonts w:ascii="Arial" w:eastAsia="Times New Roman" w:hAnsi="Arial" w:cs="Arial"/>
                <w:sz w:val="14"/>
                <w:szCs w:val="20"/>
                <w:lang w:eastAsia="en-AU"/>
              </w:rPr>
              <w:t xml:space="preserve"> $ </w:t>
            </w:r>
            <w:r w:rsidR="00FF5922" w:rsidRPr="009E53C6">
              <w:rPr>
                <w:rFonts w:ascii="Arial" w:eastAsia="Times New Roman" w:hAnsi="Arial" w:cs="Arial"/>
                <w:sz w:val="14"/>
                <w:szCs w:val="20"/>
                <w:lang w:eastAsia="en-AU"/>
              </w:rPr>
              <w:t xml:space="preserve">3,900.00 </w:t>
            </w:r>
          </w:p>
        </w:tc>
        <w:tc>
          <w:tcPr>
            <w:tcW w:w="530" w:type="pct"/>
            <w:tcBorders>
              <w:top w:val="nil"/>
              <w:left w:val="nil"/>
              <w:bottom w:val="single" w:sz="4" w:space="0" w:color="auto"/>
              <w:right w:val="single" w:sz="4" w:space="0" w:color="auto"/>
            </w:tcBorders>
            <w:shd w:val="clear" w:color="auto" w:fill="auto"/>
            <w:hideMark/>
          </w:tcPr>
          <w:p w14:paraId="0D445AA4" w14:textId="77777777" w:rsidR="00FF5922" w:rsidRPr="009E53C6" w:rsidRDefault="00FF5922" w:rsidP="00235DA8">
            <w:pPr>
              <w:keepNext/>
              <w:keepLines/>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Medtronic Australasia Pty Ltd</w:t>
            </w:r>
          </w:p>
        </w:tc>
        <w:tc>
          <w:tcPr>
            <w:tcW w:w="529" w:type="pct"/>
            <w:tcBorders>
              <w:top w:val="nil"/>
              <w:left w:val="nil"/>
              <w:bottom w:val="single" w:sz="4" w:space="0" w:color="auto"/>
              <w:right w:val="single" w:sz="4" w:space="0" w:color="auto"/>
            </w:tcBorders>
            <w:shd w:val="clear" w:color="auto" w:fill="auto"/>
            <w:hideMark/>
          </w:tcPr>
          <w:p w14:paraId="1255F636" w14:textId="77777777" w:rsidR="00FF5922" w:rsidRPr="009E53C6" w:rsidRDefault="00FF5922" w:rsidP="00235DA8">
            <w:pPr>
              <w:keepNext/>
              <w:keepLines/>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Reveal XT</w:t>
            </w:r>
          </w:p>
        </w:tc>
        <w:tc>
          <w:tcPr>
            <w:tcW w:w="533" w:type="pct"/>
            <w:tcBorders>
              <w:top w:val="nil"/>
              <w:left w:val="nil"/>
              <w:bottom w:val="single" w:sz="4" w:space="0" w:color="auto"/>
              <w:right w:val="single" w:sz="4" w:space="0" w:color="auto"/>
            </w:tcBorders>
            <w:shd w:val="clear" w:color="auto" w:fill="auto"/>
            <w:hideMark/>
          </w:tcPr>
          <w:p w14:paraId="06D324AD" w14:textId="77777777" w:rsidR="00FF5922" w:rsidRPr="009E53C6" w:rsidRDefault="00FF5922" w:rsidP="00235DA8">
            <w:pPr>
              <w:keepNext/>
              <w:keepLines/>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 xml:space="preserve">Reveal XT </w:t>
            </w:r>
            <w:proofErr w:type="spellStart"/>
            <w:r w:rsidRPr="009E53C6">
              <w:rPr>
                <w:rFonts w:ascii="Arial" w:eastAsia="Times New Roman" w:hAnsi="Arial" w:cs="Arial"/>
                <w:sz w:val="14"/>
                <w:szCs w:val="20"/>
                <w:lang w:eastAsia="en-AU"/>
              </w:rPr>
              <w:t>Insertable</w:t>
            </w:r>
            <w:proofErr w:type="spellEnd"/>
            <w:r w:rsidRPr="009E53C6">
              <w:rPr>
                <w:rFonts w:ascii="Arial" w:eastAsia="Times New Roman" w:hAnsi="Arial" w:cs="Arial"/>
                <w:sz w:val="14"/>
                <w:szCs w:val="20"/>
                <w:lang w:eastAsia="en-AU"/>
              </w:rPr>
              <w:t xml:space="preserve"> Cardiac Monitor</w:t>
            </w:r>
          </w:p>
        </w:tc>
        <w:tc>
          <w:tcPr>
            <w:tcW w:w="379" w:type="pct"/>
            <w:tcBorders>
              <w:top w:val="nil"/>
              <w:left w:val="nil"/>
              <w:bottom w:val="single" w:sz="4" w:space="0" w:color="auto"/>
              <w:right w:val="single" w:sz="4" w:space="0" w:color="auto"/>
            </w:tcBorders>
            <w:shd w:val="clear" w:color="auto" w:fill="auto"/>
            <w:hideMark/>
          </w:tcPr>
          <w:p w14:paraId="6D32B705" w14:textId="77777777" w:rsidR="00FF5922" w:rsidRPr="009E53C6" w:rsidRDefault="00FF5922" w:rsidP="00235DA8">
            <w:pPr>
              <w:keepNext/>
              <w:keepLines/>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61 x 19 x 8 mm with a volume of 9cc</w:t>
            </w:r>
          </w:p>
        </w:tc>
        <w:tc>
          <w:tcPr>
            <w:tcW w:w="378" w:type="pct"/>
            <w:tcBorders>
              <w:top w:val="nil"/>
              <w:left w:val="nil"/>
              <w:bottom w:val="single" w:sz="4" w:space="0" w:color="auto"/>
              <w:right w:val="single" w:sz="4" w:space="0" w:color="auto"/>
            </w:tcBorders>
            <w:shd w:val="clear" w:color="auto" w:fill="auto"/>
            <w:hideMark/>
          </w:tcPr>
          <w:p w14:paraId="4DA4212B" w14:textId="77777777" w:rsidR="00FF5922" w:rsidRPr="009E53C6" w:rsidRDefault="00FF5922" w:rsidP="00235DA8">
            <w:pPr>
              <w:keepNext/>
              <w:keepLines/>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149903</w:t>
            </w:r>
          </w:p>
        </w:tc>
        <w:tc>
          <w:tcPr>
            <w:tcW w:w="304" w:type="pct"/>
            <w:tcBorders>
              <w:top w:val="nil"/>
              <w:left w:val="nil"/>
              <w:bottom w:val="single" w:sz="4" w:space="0" w:color="auto"/>
              <w:right w:val="single" w:sz="4" w:space="0" w:color="auto"/>
            </w:tcBorders>
            <w:shd w:val="clear" w:color="auto" w:fill="auto"/>
            <w:hideMark/>
          </w:tcPr>
          <w:p w14:paraId="2C994D42" w14:textId="77777777" w:rsidR="00FF5922" w:rsidRPr="009E53C6" w:rsidRDefault="00FF5922" w:rsidP="00235DA8">
            <w:pPr>
              <w:keepNext/>
              <w:keepLines/>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February 2012</w:t>
            </w:r>
          </w:p>
        </w:tc>
      </w:tr>
      <w:tr w:rsidR="00FF5922" w:rsidRPr="009E53C6" w14:paraId="0B90E467" w14:textId="77777777" w:rsidTr="0053591A">
        <w:trPr>
          <w:trHeight w:val="751"/>
        </w:trPr>
        <w:tc>
          <w:tcPr>
            <w:tcW w:w="449" w:type="pct"/>
            <w:tcBorders>
              <w:top w:val="nil"/>
              <w:left w:val="single" w:sz="4" w:space="0" w:color="auto"/>
              <w:bottom w:val="single" w:sz="4" w:space="0" w:color="auto"/>
              <w:right w:val="single" w:sz="4" w:space="0" w:color="auto"/>
            </w:tcBorders>
            <w:shd w:val="clear" w:color="auto" w:fill="auto"/>
            <w:hideMark/>
          </w:tcPr>
          <w:p w14:paraId="74520886" w14:textId="77777777" w:rsidR="00FF5922" w:rsidRPr="009E53C6" w:rsidRDefault="00FF5922" w:rsidP="00235DA8">
            <w:pPr>
              <w:keepNext/>
              <w:keepLines/>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08 - Cardiac</w:t>
            </w:r>
          </w:p>
        </w:tc>
        <w:tc>
          <w:tcPr>
            <w:tcW w:w="530" w:type="pct"/>
            <w:tcBorders>
              <w:top w:val="nil"/>
              <w:left w:val="nil"/>
              <w:bottom w:val="single" w:sz="4" w:space="0" w:color="auto"/>
              <w:right w:val="single" w:sz="4" w:space="0" w:color="auto"/>
            </w:tcBorders>
            <w:shd w:val="clear" w:color="auto" w:fill="auto"/>
            <w:hideMark/>
          </w:tcPr>
          <w:p w14:paraId="0A1DE2E3" w14:textId="77777777" w:rsidR="00FF5922" w:rsidRPr="009E53C6" w:rsidRDefault="00FF5922" w:rsidP="00235DA8">
            <w:pPr>
              <w:keepNext/>
              <w:keepLines/>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08.14 - Implantable Cardiac Event Recorders</w:t>
            </w:r>
          </w:p>
        </w:tc>
        <w:tc>
          <w:tcPr>
            <w:tcW w:w="532" w:type="pct"/>
            <w:tcBorders>
              <w:top w:val="nil"/>
              <w:left w:val="nil"/>
              <w:bottom w:val="single" w:sz="4" w:space="0" w:color="auto"/>
              <w:right w:val="single" w:sz="4" w:space="0" w:color="auto"/>
            </w:tcBorders>
            <w:shd w:val="clear" w:color="auto" w:fill="auto"/>
            <w:hideMark/>
          </w:tcPr>
          <w:p w14:paraId="3795C8A6" w14:textId="77777777" w:rsidR="00FF5922" w:rsidRPr="009E53C6" w:rsidRDefault="00FF5922" w:rsidP="00235DA8">
            <w:pPr>
              <w:keepNext/>
              <w:keepLines/>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08.14.01 - Implantable Cardiac Event Recorders</w:t>
            </w:r>
          </w:p>
        </w:tc>
        <w:tc>
          <w:tcPr>
            <w:tcW w:w="380" w:type="pct"/>
            <w:tcBorders>
              <w:top w:val="nil"/>
              <w:left w:val="nil"/>
              <w:bottom w:val="single" w:sz="4" w:space="0" w:color="auto"/>
              <w:right w:val="single" w:sz="4" w:space="0" w:color="auto"/>
            </w:tcBorders>
            <w:shd w:val="clear" w:color="auto" w:fill="auto"/>
            <w:hideMark/>
          </w:tcPr>
          <w:p w14:paraId="083F6C43" w14:textId="77777777" w:rsidR="00FF5922" w:rsidRPr="009E53C6" w:rsidRDefault="00FF5922" w:rsidP="00235DA8">
            <w:pPr>
              <w:keepNext/>
              <w:keepLines/>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MC768</w:t>
            </w:r>
          </w:p>
        </w:tc>
        <w:tc>
          <w:tcPr>
            <w:tcW w:w="456" w:type="pct"/>
            <w:tcBorders>
              <w:top w:val="nil"/>
              <w:left w:val="nil"/>
              <w:bottom w:val="single" w:sz="4" w:space="0" w:color="auto"/>
              <w:right w:val="single" w:sz="4" w:space="0" w:color="auto"/>
            </w:tcBorders>
            <w:shd w:val="clear" w:color="auto" w:fill="auto"/>
            <w:hideMark/>
          </w:tcPr>
          <w:p w14:paraId="042905A9" w14:textId="2E589B82" w:rsidR="00FF5922" w:rsidRPr="009E53C6" w:rsidRDefault="00890DBB" w:rsidP="00235DA8">
            <w:pPr>
              <w:keepNext/>
              <w:keepLines/>
              <w:spacing w:after="0" w:line="240" w:lineRule="auto"/>
              <w:rPr>
                <w:rFonts w:ascii="Arial" w:eastAsia="Times New Roman" w:hAnsi="Arial" w:cs="Arial"/>
                <w:sz w:val="14"/>
                <w:szCs w:val="20"/>
                <w:lang w:eastAsia="en-AU"/>
              </w:rPr>
            </w:pPr>
            <w:r>
              <w:rPr>
                <w:rFonts w:ascii="Arial" w:eastAsia="Times New Roman" w:hAnsi="Arial" w:cs="Arial"/>
                <w:sz w:val="14"/>
                <w:szCs w:val="20"/>
                <w:lang w:eastAsia="en-AU"/>
              </w:rPr>
              <w:t xml:space="preserve"> $ </w:t>
            </w:r>
            <w:r w:rsidR="00FF5922" w:rsidRPr="009E53C6">
              <w:rPr>
                <w:rFonts w:ascii="Arial" w:eastAsia="Times New Roman" w:hAnsi="Arial" w:cs="Arial"/>
                <w:sz w:val="14"/>
                <w:szCs w:val="20"/>
                <w:lang w:eastAsia="en-AU"/>
              </w:rPr>
              <w:t xml:space="preserve">3,900.00 </w:t>
            </w:r>
          </w:p>
        </w:tc>
        <w:tc>
          <w:tcPr>
            <w:tcW w:w="530" w:type="pct"/>
            <w:tcBorders>
              <w:top w:val="nil"/>
              <w:left w:val="nil"/>
              <w:bottom w:val="single" w:sz="4" w:space="0" w:color="auto"/>
              <w:right w:val="single" w:sz="4" w:space="0" w:color="auto"/>
            </w:tcBorders>
            <w:shd w:val="clear" w:color="auto" w:fill="auto"/>
            <w:hideMark/>
          </w:tcPr>
          <w:p w14:paraId="34CAC42A" w14:textId="77777777" w:rsidR="00FF5922" w:rsidRPr="009E53C6" w:rsidRDefault="00FF5922" w:rsidP="00235DA8">
            <w:pPr>
              <w:keepNext/>
              <w:keepLines/>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Medtronic Australasia Pty Ltd</w:t>
            </w:r>
          </w:p>
        </w:tc>
        <w:tc>
          <w:tcPr>
            <w:tcW w:w="529" w:type="pct"/>
            <w:tcBorders>
              <w:top w:val="nil"/>
              <w:left w:val="nil"/>
              <w:bottom w:val="single" w:sz="4" w:space="0" w:color="auto"/>
              <w:right w:val="single" w:sz="4" w:space="0" w:color="auto"/>
            </w:tcBorders>
            <w:shd w:val="clear" w:color="auto" w:fill="auto"/>
            <w:hideMark/>
          </w:tcPr>
          <w:p w14:paraId="61D459B2" w14:textId="77777777" w:rsidR="00FF5922" w:rsidRPr="009E53C6" w:rsidRDefault="00FF5922" w:rsidP="00235DA8">
            <w:pPr>
              <w:keepNext/>
              <w:keepLines/>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Reveal DX</w:t>
            </w:r>
          </w:p>
        </w:tc>
        <w:tc>
          <w:tcPr>
            <w:tcW w:w="533" w:type="pct"/>
            <w:tcBorders>
              <w:top w:val="nil"/>
              <w:left w:val="nil"/>
              <w:bottom w:val="single" w:sz="4" w:space="0" w:color="auto"/>
              <w:right w:val="single" w:sz="4" w:space="0" w:color="auto"/>
            </w:tcBorders>
            <w:shd w:val="clear" w:color="auto" w:fill="auto"/>
            <w:hideMark/>
          </w:tcPr>
          <w:p w14:paraId="2A81E4B9" w14:textId="77777777" w:rsidR="00FF5922" w:rsidRPr="009E53C6" w:rsidRDefault="00FF5922" w:rsidP="00235DA8">
            <w:pPr>
              <w:keepNext/>
              <w:keepLines/>
              <w:spacing w:after="0" w:line="240" w:lineRule="auto"/>
              <w:rPr>
                <w:rFonts w:ascii="Arial" w:eastAsia="Times New Roman" w:hAnsi="Arial" w:cs="Arial"/>
                <w:sz w:val="14"/>
                <w:szCs w:val="20"/>
                <w:lang w:eastAsia="en-AU"/>
              </w:rPr>
            </w:pPr>
            <w:proofErr w:type="spellStart"/>
            <w:r w:rsidRPr="009E53C6">
              <w:rPr>
                <w:rFonts w:ascii="Arial" w:eastAsia="Times New Roman" w:hAnsi="Arial" w:cs="Arial"/>
                <w:sz w:val="14"/>
                <w:szCs w:val="20"/>
                <w:lang w:eastAsia="en-AU"/>
              </w:rPr>
              <w:t>Insertable</w:t>
            </w:r>
            <w:proofErr w:type="spellEnd"/>
            <w:r w:rsidRPr="009E53C6">
              <w:rPr>
                <w:rFonts w:ascii="Arial" w:eastAsia="Times New Roman" w:hAnsi="Arial" w:cs="Arial"/>
                <w:sz w:val="14"/>
                <w:szCs w:val="20"/>
                <w:lang w:eastAsia="en-AU"/>
              </w:rPr>
              <w:t xml:space="preserve"> Cardiac Monitor</w:t>
            </w:r>
          </w:p>
        </w:tc>
        <w:tc>
          <w:tcPr>
            <w:tcW w:w="379" w:type="pct"/>
            <w:tcBorders>
              <w:top w:val="nil"/>
              <w:left w:val="nil"/>
              <w:bottom w:val="single" w:sz="4" w:space="0" w:color="auto"/>
              <w:right w:val="single" w:sz="4" w:space="0" w:color="auto"/>
            </w:tcBorders>
            <w:shd w:val="clear" w:color="auto" w:fill="auto"/>
            <w:hideMark/>
          </w:tcPr>
          <w:p w14:paraId="543045A1" w14:textId="77777777" w:rsidR="00FF5922" w:rsidRPr="009E53C6" w:rsidRDefault="00FF5922" w:rsidP="00235DA8">
            <w:pPr>
              <w:keepNext/>
              <w:keepLines/>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61 x 19 x 8 mm with a volume of 9cc</w:t>
            </w:r>
          </w:p>
        </w:tc>
        <w:tc>
          <w:tcPr>
            <w:tcW w:w="378" w:type="pct"/>
            <w:tcBorders>
              <w:top w:val="nil"/>
              <w:left w:val="nil"/>
              <w:bottom w:val="single" w:sz="4" w:space="0" w:color="auto"/>
              <w:right w:val="single" w:sz="4" w:space="0" w:color="auto"/>
            </w:tcBorders>
            <w:shd w:val="clear" w:color="auto" w:fill="auto"/>
            <w:hideMark/>
          </w:tcPr>
          <w:p w14:paraId="5AEC02B6" w14:textId="77777777" w:rsidR="00FF5922" w:rsidRPr="009E53C6" w:rsidRDefault="00FF5922" w:rsidP="00235DA8">
            <w:pPr>
              <w:keepNext/>
              <w:keepLines/>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149904</w:t>
            </w:r>
          </w:p>
        </w:tc>
        <w:tc>
          <w:tcPr>
            <w:tcW w:w="304" w:type="pct"/>
            <w:tcBorders>
              <w:top w:val="nil"/>
              <w:left w:val="nil"/>
              <w:bottom w:val="single" w:sz="4" w:space="0" w:color="auto"/>
              <w:right w:val="single" w:sz="4" w:space="0" w:color="auto"/>
            </w:tcBorders>
            <w:shd w:val="clear" w:color="auto" w:fill="auto"/>
            <w:hideMark/>
          </w:tcPr>
          <w:p w14:paraId="2B30D610" w14:textId="77777777" w:rsidR="00FF5922" w:rsidRPr="009E53C6" w:rsidRDefault="00FF5922" w:rsidP="00235DA8">
            <w:pPr>
              <w:keepNext/>
              <w:keepLines/>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February 2012</w:t>
            </w:r>
          </w:p>
        </w:tc>
      </w:tr>
      <w:tr w:rsidR="00FF5922" w:rsidRPr="009E53C6" w14:paraId="0080EC19" w14:textId="77777777" w:rsidTr="0053591A">
        <w:trPr>
          <w:trHeight w:val="751"/>
        </w:trPr>
        <w:tc>
          <w:tcPr>
            <w:tcW w:w="449" w:type="pct"/>
            <w:tcBorders>
              <w:top w:val="nil"/>
              <w:left w:val="single" w:sz="4" w:space="0" w:color="auto"/>
              <w:bottom w:val="single" w:sz="4" w:space="0" w:color="auto"/>
              <w:right w:val="single" w:sz="4" w:space="0" w:color="auto"/>
            </w:tcBorders>
            <w:shd w:val="clear" w:color="auto" w:fill="auto"/>
            <w:hideMark/>
          </w:tcPr>
          <w:p w14:paraId="50970CEC" w14:textId="77777777" w:rsidR="00FF5922" w:rsidRPr="009E53C6" w:rsidRDefault="00FF5922" w:rsidP="00235DA8">
            <w:pPr>
              <w:keepNext/>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08 - Cardiac</w:t>
            </w:r>
          </w:p>
        </w:tc>
        <w:tc>
          <w:tcPr>
            <w:tcW w:w="530" w:type="pct"/>
            <w:tcBorders>
              <w:top w:val="nil"/>
              <w:left w:val="nil"/>
              <w:bottom w:val="single" w:sz="4" w:space="0" w:color="auto"/>
              <w:right w:val="single" w:sz="4" w:space="0" w:color="auto"/>
            </w:tcBorders>
            <w:shd w:val="clear" w:color="auto" w:fill="auto"/>
            <w:hideMark/>
          </w:tcPr>
          <w:p w14:paraId="4DD79AD7" w14:textId="77777777" w:rsidR="00FF5922" w:rsidRPr="009E53C6" w:rsidRDefault="00FF5922" w:rsidP="00235DA8">
            <w:pPr>
              <w:keepNext/>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08.14 - Implantable Cardiac Event Recorders</w:t>
            </w:r>
          </w:p>
        </w:tc>
        <w:tc>
          <w:tcPr>
            <w:tcW w:w="532" w:type="pct"/>
            <w:tcBorders>
              <w:top w:val="nil"/>
              <w:left w:val="nil"/>
              <w:bottom w:val="single" w:sz="4" w:space="0" w:color="auto"/>
              <w:right w:val="single" w:sz="4" w:space="0" w:color="auto"/>
            </w:tcBorders>
            <w:shd w:val="clear" w:color="auto" w:fill="auto"/>
            <w:hideMark/>
          </w:tcPr>
          <w:p w14:paraId="635C1387" w14:textId="77777777" w:rsidR="00FF5922" w:rsidRPr="009E53C6" w:rsidRDefault="00FF5922" w:rsidP="00235DA8">
            <w:pPr>
              <w:keepNext/>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08.14.01 - Implantable Cardiac Event Recorders</w:t>
            </w:r>
          </w:p>
        </w:tc>
        <w:tc>
          <w:tcPr>
            <w:tcW w:w="380" w:type="pct"/>
            <w:tcBorders>
              <w:top w:val="nil"/>
              <w:left w:val="nil"/>
              <w:bottom w:val="single" w:sz="4" w:space="0" w:color="auto"/>
              <w:right w:val="single" w:sz="4" w:space="0" w:color="auto"/>
            </w:tcBorders>
            <w:shd w:val="clear" w:color="auto" w:fill="auto"/>
            <w:hideMark/>
          </w:tcPr>
          <w:p w14:paraId="5E6611AF" w14:textId="77777777" w:rsidR="00FF5922" w:rsidRPr="009E53C6" w:rsidRDefault="00FF5922" w:rsidP="00235DA8">
            <w:pPr>
              <w:keepNext/>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SJ152</w:t>
            </w:r>
          </w:p>
        </w:tc>
        <w:tc>
          <w:tcPr>
            <w:tcW w:w="456" w:type="pct"/>
            <w:tcBorders>
              <w:top w:val="nil"/>
              <w:left w:val="nil"/>
              <w:bottom w:val="single" w:sz="4" w:space="0" w:color="auto"/>
              <w:right w:val="single" w:sz="4" w:space="0" w:color="auto"/>
            </w:tcBorders>
            <w:shd w:val="clear" w:color="auto" w:fill="auto"/>
            <w:hideMark/>
          </w:tcPr>
          <w:p w14:paraId="0CC15925" w14:textId="38BA0F5A" w:rsidR="00FF5922" w:rsidRPr="009E53C6" w:rsidRDefault="00890DBB" w:rsidP="00235DA8">
            <w:pPr>
              <w:keepNext/>
              <w:spacing w:after="0" w:line="240" w:lineRule="auto"/>
              <w:rPr>
                <w:rFonts w:ascii="Arial" w:eastAsia="Times New Roman" w:hAnsi="Arial" w:cs="Arial"/>
                <w:sz w:val="14"/>
                <w:szCs w:val="20"/>
                <w:lang w:eastAsia="en-AU"/>
              </w:rPr>
            </w:pPr>
            <w:r>
              <w:rPr>
                <w:rFonts w:ascii="Arial" w:eastAsia="Times New Roman" w:hAnsi="Arial" w:cs="Arial"/>
                <w:sz w:val="14"/>
                <w:szCs w:val="20"/>
                <w:lang w:eastAsia="en-AU"/>
              </w:rPr>
              <w:t xml:space="preserve"> $ </w:t>
            </w:r>
            <w:r w:rsidR="00FF5922" w:rsidRPr="009E53C6">
              <w:rPr>
                <w:rFonts w:ascii="Arial" w:eastAsia="Times New Roman" w:hAnsi="Arial" w:cs="Arial"/>
                <w:sz w:val="14"/>
                <w:szCs w:val="20"/>
                <w:lang w:eastAsia="en-AU"/>
              </w:rPr>
              <w:t xml:space="preserve">3,900.00 </w:t>
            </w:r>
          </w:p>
        </w:tc>
        <w:tc>
          <w:tcPr>
            <w:tcW w:w="530" w:type="pct"/>
            <w:tcBorders>
              <w:top w:val="nil"/>
              <w:left w:val="nil"/>
              <w:bottom w:val="single" w:sz="4" w:space="0" w:color="auto"/>
              <w:right w:val="single" w:sz="4" w:space="0" w:color="auto"/>
            </w:tcBorders>
            <w:shd w:val="clear" w:color="auto" w:fill="auto"/>
            <w:hideMark/>
          </w:tcPr>
          <w:p w14:paraId="70858980" w14:textId="77777777" w:rsidR="00FF5922" w:rsidRPr="009E53C6" w:rsidRDefault="00FF5922" w:rsidP="00235DA8">
            <w:pPr>
              <w:keepNext/>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St Jude Medical Australia Pty Ltd</w:t>
            </w:r>
          </w:p>
        </w:tc>
        <w:tc>
          <w:tcPr>
            <w:tcW w:w="529" w:type="pct"/>
            <w:tcBorders>
              <w:top w:val="nil"/>
              <w:left w:val="nil"/>
              <w:bottom w:val="single" w:sz="4" w:space="0" w:color="auto"/>
              <w:right w:val="single" w:sz="4" w:space="0" w:color="auto"/>
            </w:tcBorders>
            <w:shd w:val="clear" w:color="auto" w:fill="auto"/>
            <w:hideMark/>
          </w:tcPr>
          <w:p w14:paraId="4DF8E205" w14:textId="77777777" w:rsidR="00FF5922" w:rsidRPr="009E53C6" w:rsidRDefault="00FF5922" w:rsidP="00235DA8">
            <w:pPr>
              <w:keepNext/>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SJM Confirm Model DM2102</w:t>
            </w:r>
          </w:p>
        </w:tc>
        <w:tc>
          <w:tcPr>
            <w:tcW w:w="533" w:type="pct"/>
            <w:tcBorders>
              <w:top w:val="nil"/>
              <w:left w:val="nil"/>
              <w:bottom w:val="single" w:sz="4" w:space="0" w:color="auto"/>
              <w:right w:val="single" w:sz="4" w:space="0" w:color="auto"/>
            </w:tcBorders>
            <w:shd w:val="clear" w:color="auto" w:fill="auto"/>
            <w:hideMark/>
          </w:tcPr>
          <w:p w14:paraId="6003B0A8" w14:textId="77777777" w:rsidR="00FF5922" w:rsidRPr="009E53C6" w:rsidRDefault="00FF5922" w:rsidP="00235DA8">
            <w:pPr>
              <w:keepNext/>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Implantable cardiac monitor with atrial fibrillation monitoring.</w:t>
            </w:r>
          </w:p>
        </w:tc>
        <w:tc>
          <w:tcPr>
            <w:tcW w:w="379" w:type="pct"/>
            <w:tcBorders>
              <w:top w:val="nil"/>
              <w:left w:val="nil"/>
              <w:bottom w:val="single" w:sz="4" w:space="0" w:color="auto"/>
              <w:right w:val="single" w:sz="4" w:space="0" w:color="auto"/>
            </w:tcBorders>
            <w:shd w:val="clear" w:color="auto" w:fill="auto"/>
            <w:hideMark/>
          </w:tcPr>
          <w:p w14:paraId="089D0AE1" w14:textId="77777777" w:rsidR="00FF5922" w:rsidRPr="009E53C6" w:rsidRDefault="00FF5922" w:rsidP="00235DA8">
            <w:pPr>
              <w:keepNext/>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6.5cc, 12g</w:t>
            </w:r>
          </w:p>
        </w:tc>
        <w:tc>
          <w:tcPr>
            <w:tcW w:w="378" w:type="pct"/>
            <w:tcBorders>
              <w:top w:val="nil"/>
              <w:left w:val="nil"/>
              <w:bottom w:val="single" w:sz="4" w:space="0" w:color="auto"/>
              <w:right w:val="single" w:sz="4" w:space="0" w:color="auto"/>
            </w:tcBorders>
            <w:shd w:val="clear" w:color="auto" w:fill="auto"/>
            <w:hideMark/>
          </w:tcPr>
          <w:p w14:paraId="0BB71828" w14:textId="77777777" w:rsidR="00FF5922" w:rsidRPr="009E53C6" w:rsidRDefault="00FF5922" w:rsidP="00235DA8">
            <w:pPr>
              <w:keepNext/>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160466, 160756</w:t>
            </w:r>
          </w:p>
        </w:tc>
        <w:tc>
          <w:tcPr>
            <w:tcW w:w="304" w:type="pct"/>
            <w:tcBorders>
              <w:top w:val="nil"/>
              <w:left w:val="nil"/>
              <w:bottom w:val="single" w:sz="4" w:space="0" w:color="auto"/>
              <w:right w:val="single" w:sz="4" w:space="0" w:color="auto"/>
            </w:tcBorders>
            <w:shd w:val="clear" w:color="auto" w:fill="auto"/>
            <w:hideMark/>
          </w:tcPr>
          <w:p w14:paraId="0A2675C6" w14:textId="77777777" w:rsidR="00FF5922" w:rsidRPr="009E53C6" w:rsidRDefault="00FF5922" w:rsidP="00235DA8">
            <w:pPr>
              <w:keepNext/>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February 2012</w:t>
            </w:r>
          </w:p>
        </w:tc>
      </w:tr>
      <w:tr w:rsidR="00FF5922" w:rsidRPr="009E53C6" w14:paraId="6D946BB8" w14:textId="77777777" w:rsidTr="0053591A">
        <w:trPr>
          <w:trHeight w:val="751"/>
        </w:trPr>
        <w:tc>
          <w:tcPr>
            <w:tcW w:w="449" w:type="pct"/>
            <w:tcBorders>
              <w:top w:val="nil"/>
              <w:left w:val="single" w:sz="4" w:space="0" w:color="auto"/>
              <w:bottom w:val="single" w:sz="4" w:space="0" w:color="auto"/>
              <w:right w:val="single" w:sz="4" w:space="0" w:color="auto"/>
            </w:tcBorders>
            <w:shd w:val="clear" w:color="auto" w:fill="auto"/>
            <w:hideMark/>
          </w:tcPr>
          <w:p w14:paraId="6CEE3347" w14:textId="77777777" w:rsidR="00FF5922" w:rsidRPr="009E53C6" w:rsidRDefault="00FF5922" w:rsidP="00235DA8">
            <w:pPr>
              <w:keepNext/>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08 - Cardiac</w:t>
            </w:r>
          </w:p>
        </w:tc>
        <w:tc>
          <w:tcPr>
            <w:tcW w:w="530" w:type="pct"/>
            <w:tcBorders>
              <w:top w:val="nil"/>
              <w:left w:val="nil"/>
              <w:bottom w:val="single" w:sz="4" w:space="0" w:color="auto"/>
              <w:right w:val="single" w:sz="4" w:space="0" w:color="auto"/>
            </w:tcBorders>
            <w:shd w:val="clear" w:color="auto" w:fill="auto"/>
            <w:hideMark/>
          </w:tcPr>
          <w:p w14:paraId="09320D7A" w14:textId="77777777" w:rsidR="00FF5922" w:rsidRPr="009E53C6" w:rsidRDefault="00FF5922" w:rsidP="00235DA8">
            <w:pPr>
              <w:keepNext/>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08.14 - Implantable Cardiac Event Recorders</w:t>
            </w:r>
          </w:p>
        </w:tc>
        <w:tc>
          <w:tcPr>
            <w:tcW w:w="532" w:type="pct"/>
            <w:tcBorders>
              <w:top w:val="nil"/>
              <w:left w:val="nil"/>
              <w:bottom w:val="single" w:sz="4" w:space="0" w:color="auto"/>
              <w:right w:val="single" w:sz="4" w:space="0" w:color="auto"/>
            </w:tcBorders>
            <w:shd w:val="clear" w:color="auto" w:fill="auto"/>
            <w:hideMark/>
          </w:tcPr>
          <w:p w14:paraId="603BC8E0" w14:textId="77777777" w:rsidR="00FF5922" w:rsidRPr="009E53C6" w:rsidRDefault="00FF5922" w:rsidP="00235DA8">
            <w:pPr>
              <w:keepNext/>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08.14.01 - Implantable Cardiac Event Recorders</w:t>
            </w:r>
          </w:p>
        </w:tc>
        <w:tc>
          <w:tcPr>
            <w:tcW w:w="380" w:type="pct"/>
            <w:tcBorders>
              <w:top w:val="nil"/>
              <w:left w:val="nil"/>
              <w:bottom w:val="single" w:sz="4" w:space="0" w:color="auto"/>
              <w:right w:val="single" w:sz="4" w:space="0" w:color="auto"/>
            </w:tcBorders>
            <w:shd w:val="clear" w:color="auto" w:fill="auto"/>
            <w:hideMark/>
          </w:tcPr>
          <w:p w14:paraId="7096251F" w14:textId="77777777" w:rsidR="00FF5922" w:rsidRPr="009E53C6" w:rsidRDefault="00FF5922" w:rsidP="00235DA8">
            <w:pPr>
              <w:keepNext/>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SJ159</w:t>
            </w:r>
          </w:p>
        </w:tc>
        <w:tc>
          <w:tcPr>
            <w:tcW w:w="456" w:type="pct"/>
            <w:tcBorders>
              <w:top w:val="nil"/>
              <w:left w:val="nil"/>
              <w:bottom w:val="single" w:sz="4" w:space="0" w:color="auto"/>
              <w:right w:val="single" w:sz="4" w:space="0" w:color="auto"/>
            </w:tcBorders>
            <w:shd w:val="clear" w:color="auto" w:fill="auto"/>
            <w:hideMark/>
          </w:tcPr>
          <w:p w14:paraId="4B1AF7BE" w14:textId="2C48DA3F" w:rsidR="00FF5922" w:rsidRPr="009E53C6" w:rsidRDefault="00890DBB" w:rsidP="00235DA8">
            <w:pPr>
              <w:keepNext/>
              <w:spacing w:after="0" w:line="240" w:lineRule="auto"/>
              <w:rPr>
                <w:rFonts w:ascii="Arial" w:eastAsia="Times New Roman" w:hAnsi="Arial" w:cs="Arial"/>
                <w:sz w:val="14"/>
                <w:szCs w:val="20"/>
                <w:lang w:eastAsia="en-AU"/>
              </w:rPr>
            </w:pPr>
            <w:r>
              <w:rPr>
                <w:rFonts w:ascii="Arial" w:eastAsia="Times New Roman" w:hAnsi="Arial" w:cs="Arial"/>
                <w:sz w:val="14"/>
                <w:szCs w:val="20"/>
                <w:lang w:eastAsia="en-AU"/>
              </w:rPr>
              <w:t xml:space="preserve"> $ </w:t>
            </w:r>
            <w:r w:rsidR="00FF5922" w:rsidRPr="009E53C6">
              <w:rPr>
                <w:rFonts w:ascii="Arial" w:eastAsia="Times New Roman" w:hAnsi="Arial" w:cs="Arial"/>
                <w:sz w:val="14"/>
                <w:szCs w:val="20"/>
                <w:lang w:eastAsia="en-AU"/>
              </w:rPr>
              <w:t xml:space="preserve">3,900.00 </w:t>
            </w:r>
          </w:p>
        </w:tc>
        <w:tc>
          <w:tcPr>
            <w:tcW w:w="530" w:type="pct"/>
            <w:tcBorders>
              <w:top w:val="nil"/>
              <w:left w:val="nil"/>
              <w:bottom w:val="single" w:sz="4" w:space="0" w:color="auto"/>
              <w:right w:val="single" w:sz="4" w:space="0" w:color="auto"/>
            </w:tcBorders>
            <w:shd w:val="clear" w:color="auto" w:fill="auto"/>
            <w:hideMark/>
          </w:tcPr>
          <w:p w14:paraId="649F1A00" w14:textId="77777777" w:rsidR="00FF5922" w:rsidRPr="009E53C6" w:rsidRDefault="00FF5922" w:rsidP="00235DA8">
            <w:pPr>
              <w:keepNext/>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St Jude Medical Australia Pty Ltd</w:t>
            </w:r>
          </w:p>
        </w:tc>
        <w:tc>
          <w:tcPr>
            <w:tcW w:w="529" w:type="pct"/>
            <w:tcBorders>
              <w:top w:val="nil"/>
              <w:left w:val="nil"/>
              <w:bottom w:val="single" w:sz="4" w:space="0" w:color="auto"/>
              <w:right w:val="single" w:sz="4" w:space="0" w:color="auto"/>
            </w:tcBorders>
            <w:shd w:val="clear" w:color="auto" w:fill="auto"/>
            <w:hideMark/>
          </w:tcPr>
          <w:p w14:paraId="46B55402" w14:textId="77777777" w:rsidR="00FF5922" w:rsidRPr="009E53C6" w:rsidRDefault="00FF5922" w:rsidP="00235DA8">
            <w:pPr>
              <w:keepNext/>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SJM Confirm Model DM2100</w:t>
            </w:r>
          </w:p>
        </w:tc>
        <w:tc>
          <w:tcPr>
            <w:tcW w:w="533" w:type="pct"/>
            <w:tcBorders>
              <w:top w:val="nil"/>
              <w:left w:val="nil"/>
              <w:bottom w:val="single" w:sz="4" w:space="0" w:color="auto"/>
              <w:right w:val="single" w:sz="4" w:space="0" w:color="auto"/>
            </w:tcBorders>
            <w:shd w:val="clear" w:color="auto" w:fill="auto"/>
            <w:hideMark/>
          </w:tcPr>
          <w:p w14:paraId="35649AAF" w14:textId="77777777" w:rsidR="00FF5922" w:rsidRPr="009E53C6" w:rsidRDefault="00FF5922" w:rsidP="00235DA8">
            <w:pPr>
              <w:keepNext/>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Implantable cardiac monitor</w:t>
            </w:r>
          </w:p>
        </w:tc>
        <w:tc>
          <w:tcPr>
            <w:tcW w:w="379" w:type="pct"/>
            <w:tcBorders>
              <w:top w:val="nil"/>
              <w:left w:val="nil"/>
              <w:bottom w:val="single" w:sz="4" w:space="0" w:color="auto"/>
              <w:right w:val="single" w:sz="4" w:space="0" w:color="auto"/>
            </w:tcBorders>
            <w:shd w:val="clear" w:color="auto" w:fill="auto"/>
            <w:hideMark/>
          </w:tcPr>
          <w:p w14:paraId="6F8EE9C3" w14:textId="77777777" w:rsidR="00FF5922" w:rsidRPr="009E53C6" w:rsidRDefault="00FF5922" w:rsidP="00235DA8">
            <w:pPr>
              <w:keepNext/>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6.5cc, 12g</w:t>
            </w:r>
          </w:p>
        </w:tc>
        <w:tc>
          <w:tcPr>
            <w:tcW w:w="378" w:type="pct"/>
            <w:tcBorders>
              <w:top w:val="nil"/>
              <w:left w:val="nil"/>
              <w:bottom w:val="single" w:sz="4" w:space="0" w:color="auto"/>
              <w:right w:val="single" w:sz="4" w:space="0" w:color="auto"/>
            </w:tcBorders>
            <w:shd w:val="clear" w:color="auto" w:fill="auto"/>
            <w:hideMark/>
          </w:tcPr>
          <w:p w14:paraId="58AAD4E6" w14:textId="77777777" w:rsidR="00FF5922" w:rsidRPr="009E53C6" w:rsidRDefault="00FF5922" w:rsidP="00235DA8">
            <w:pPr>
              <w:keepNext/>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160466, 160755</w:t>
            </w:r>
          </w:p>
        </w:tc>
        <w:tc>
          <w:tcPr>
            <w:tcW w:w="304" w:type="pct"/>
            <w:tcBorders>
              <w:top w:val="nil"/>
              <w:left w:val="nil"/>
              <w:bottom w:val="single" w:sz="4" w:space="0" w:color="auto"/>
              <w:right w:val="single" w:sz="4" w:space="0" w:color="auto"/>
            </w:tcBorders>
            <w:shd w:val="clear" w:color="auto" w:fill="auto"/>
            <w:hideMark/>
          </w:tcPr>
          <w:p w14:paraId="2CB66D86" w14:textId="77777777" w:rsidR="00FF5922" w:rsidRPr="009E53C6" w:rsidRDefault="00FF5922" w:rsidP="00235DA8">
            <w:pPr>
              <w:keepNext/>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February 2012</w:t>
            </w:r>
          </w:p>
        </w:tc>
      </w:tr>
      <w:tr w:rsidR="00FF5922" w:rsidRPr="009E53C6" w14:paraId="157BA8A6" w14:textId="77777777" w:rsidTr="0053591A">
        <w:trPr>
          <w:trHeight w:val="1503"/>
        </w:trPr>
        <w:tc>
          <w:tcPr>
            <w:tcW w:w="449" w:type="pct"/>
            <w:tcBorders>
              <w:top w:val="nil"/>
              <w:left w:val="single" w:sz="4" w:space="0" w:color="auto"/>
              <w:bottom w:val="single" w:sz="4" w:space="0" w:color="auto"/>
              <w:right w:val="single" w:sz="4" w:space="0" w:color="auto"/>
            </w:tcBorders>
            <w:shd w:val="clear" w:color="auto" w:fill="auto"/>
            <w:hideMark/>
          </w:tcPr>
          <w:p w14:paraId="71F55AF7" w14:textId="77777777" w:rsidR="00FF5922" w:rsidRPr="009E53C6" w:rsidRDefault="00FF5922" w:rsidP="0053591A">
            <w:pPr>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08 - Cardiac</w:t>
            </w:r>
          </w:p>
        </w:tc>
        <w:tc>
          <w:tcPr>
            <w:tcW w:w="530" w:type="pct"/>
            <w:tcBorders>
              <w:top w:val="nil"/>
              <w:left w:val="nil"/>
              <w:bottom w:val="single" w:sz="4" w:space="0" w:color="auto"/>
              <w:right w:val="single" w:sz="4" w:space="0" w:color="auto"/>
            </w:tcBorders>
            <w:shd w:val="clear" w:color="auto" w:fill="auto"/>
            <w:hideMark/>
          </w:tcPr>
          <w:p w14:paraId="6CAFAFF0" w14:textId="77777777" w:rsidR="00FF5922" w:rsidRPr="009E53C6" w:rsidRDefault="00FF5922" w:rsidP="0053591A">
            <w:pPr>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08.14 - Implantable Cardiac Event Recorders</w:t>
            </w:r>
          </w:p>
        </w:tc>
        <w:tc>
          <w:tcPr>
            <w:tcW w:w="532" w:type="pct"/>
            <w:tcBorders>
              <w:top w:val="nil"/>
              <w:left w:val="nil"/>
              <w:bottom w:val="single" w:sz="4" w:space="0" w:color="auto"/>
              <w:right w:val="single" w:sz="4" w:space="0" w:color="auto"/>
            </w:tcBorders>
            <w:shd w:val="clear" w:color="auto" w:fill="auto"/>
            <w:hideMark/>
          </w:tcPr>
          <w:p w14:paraId="2AFD6DEB" w14:textId="77777777" w:rsidR="00FF5922" w:rsidRPr="009E53C6" w:rsidRDefault="00FF5922" w:rsidP="0053591A">
            <w:pPr>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08.14.01 - Implantable Cardiac Event Recorders</w:t>
            </w:r>
          </w:p>
        </w:tc>
        <w:tc>
          <w:tcPr>
            <w:tcW w:w="380" w:type="pct"/>
            <w:tcBorders>
              <w:top w:val="nil"/>
              <w:left w:val="nil"/>
              <w:bottom w:val="single" w:sz="4" w:space="0" w:color="auto"/>
              <w:right w:val="single" w:sz="4" w:space="0" w:color="auto"/>
            </w:tcBorders>
            <w:shd w:val="clear" w:color="auto" w:fill="auto"/>
            <w:hideMark/>
          </w:tcPr>
          <w:p w14:paraId="576EA138" w14:textId="77777777" w:rsidR="00FF5922" w:rsidRPr="009E53C6" w:rsidRDefault="00FF5922" w:rsidP="0053591A">
            <w:pPr>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BT153</w:t>
            </w:r>
          </w:p>
        </w:tc>
        <w:tc>
          <w:tcPr>
            <w:tcW w:w="456" w:type="pct"/>
            <w:tcBorders>
              <w:top w:val="nil"/>
              <w:left w:val="nil"/>
              <w:bottom w:val="single" w:sz="4" w:space="0" w:color="auto"/>
              <w:right w:val="single" w:sz="4" w:space="0" w:color="auto"/>
            </w:tcBorders>
            <w:shd w:val="clear" w:color="auto" w:fill="auto"/>
            <w:hideMark/>
          </w:tcPr>
          <w:p w14:paraId="4A2BBACF" w14:textId="739F718B" w:rsidR="00FF5922" w:rsidRPr="009E53C6" w:rsidRDefault="00890DBB" w:rsidP="0053591A">
            <w:pPr>
              <w:spacing w:after="0" w:line="240" w:lineRule="auto"/>
              <w:rPr>
                <w:rFonts w:ascii="Arial" w:eastAsia="Times New Roman" w:hAnsi="Arial" w:cs="Arial"/>
                <w:sz w:val="14"/>
                <w:szCs w:val="20"/>
                <w:lang w:eastAsia="en-AU"/>
              </w:rPr>
            </w:pPr>
            <w:r>
              <w:rPr>
                <w:rFonts w:ascii="Arial" w:eastAsia="Times New Roman" w:hAnsi="Arial" w:cs="Arial"/>
                <w:sz w:val="14"/>
                <w:szCs w:val="20"/>
                <w:lang w:eastAsia="en-AU"/>
              </w:rPr>
              <w:t xml:space="preserve"> $ </w:t>
            </w:r>
            <w:r w:rsidR="00FF5922" w:rsidRPr="009E53C6">
              <w:rPr>
                <w:rFonts w:ascii="Arial" w:eastAsia="Times New Roman" w:hAnsi="Arial" w:cs="Arial"/>
                <w:sz w:val="14"/>
                <w:szCs w:val="20"/>
                <w:lang w:eastAsia="en-AU"/>
              </w:rPr>
              <w:t xml:space="preserve">3,900.00 </w:t>
            </w:r>
          </w:p>
        </w:tc>
        <w:tc>
          <w:tcPr>
            <w:tcW w:w="530" w:type="pct"/>
            <w:tcBorders>
              <w:top w:val="nil"/>
              <w:left w:val="nil"/>
              <w:bottom w:val="single" w:sz="4" w:space="0" w:color="auto"/>
              <w:right w:val="single" w:sz="4" w:space="0" w:color="auto"/>
            </w:tcBorders>
            <w:shd w:val="clear" w:color="auto" w:fill="auto"/>
            <w:hideMark/>
          </w:tcPr>
          <w:p w14:paraId="0AAA6C65" w14:textId="77777777" w:rsidR="00FF5922" w:rsidRPr="009E53C6" w:rsidRDefault="00FF5922" w:rsidP="0053591A">
            <w:pPr>
              <w:spacing w:after="0" w:line="240" w:lineRule="auto"/>
              <w:rPr>
                <w:rFonts w:ascii="Arial" w:eastAsia="Times New Roman" w:hAnsi="Arial" w:cs="Arial"/>
                <w:sz w:val="14"/>
                <w:szCs w:val="20"/>
                <w:lang w:eastAsia="en-AU"/>
              </w:rPr>
            </w:pPr>
            <w:proofErr w:type="spellStart"/>
            <w:r w:rsidRPr="009E53C6">
              <w:rPr>
                <w:rFonts w:ascii="Arial" w:eastAsia="Times New Roman" w:hAnsi="Arial" w:cs="Arial"/>
                <w:sz w:val="14"/>
                <w:szCs w:val="20"/>
                <w:lang w:eastAsia="en-AU"/>
              </w:rPr>
              <w:t>Biotronik</w:t>
            </w:r>
            <w:proofErr w:type="spellEnd"/>
            <w:r w:rsidRPr="009E53C6">
              <w:rPr>
                <w:rFonts w:ascii="Arial" w:eastAsia="Times New Roman" w:hAnsi="Arial" w:cs="Arial"/>
                <w:sz w:val="14"/>
                <w:szCs w:val="20"/>
                <w:lang w:eastAsia="en-AU"/>
              </w:rPr>
              <w:t xml:space="preserve"> Australia Pty Ltd</w:t>
            </w:r>
          </w:p>
        </w:tc>
        <w:tc>
          <w:tcPr>
            <w:tcW w:w="529" w:type="pct"/>
            <w:tcBorders>
              <w:top w:val="nil"/>
              <w:left w:val="nil"/>
              <w:bottom w:val="single" w:sz="4" w:space="0" w:color="auto"/>
              <w:right w:val="single" w:sz="4" w:space="0" w:color="auto"/>
            </w:tcBorders>
            <w:shd w:val="clear" w:color="auto" w:fill="auto"/>
            <w:hideMark/>
          </w:tcPr>
          <w:p w14:paraId="470D2653" w14:textId="77777777" w:rsidR="00FF5922" w:rsidRPr="009E53C6" w:rsidRDefault="00FF5922" w:rsidP="0053591A">
            <w:pPr>
              <w:spacing w:after="0" w:line="240" w:lineRule="auto"/>
              <w:rPr>
                <w:rFonts w:ascii="Arial" w:eastAsia="Times New Roman" w:hAnsi="Arial" w:cs="Arial"/>
                <w:sz w:val="14"/>
                <w:szCs w:val="20"/>
                <w:lang w:eastAsia="en-AU"/>
              </w:rPr>
            </w:pPr>
            <w:proofErr w:type="spellStart"/>
            <w:r w:rsidRPr="009E53C6">
              <w:rPr>
                <w:rFonts w:ascii="Arial" w:eastAsia="Times New Roman" w:hAnsi="Arial" w:cs="Arial"/>
                <w:sz w:val="14"/>
                <w:szCs w:val="20"/>
                <w:lang w:eastAsia="en-AU"/>
              </w:rPr>
              <w:t>BioMonitor</w:t>
            </w:r>
            <w:proofErr w:type="spellEnd"/>
          </w:p>
        </w:tc>
        <w:tc>
          <w:tcPr>
            <w:tcW w:w="533" w:type="pct"/>
            <w:tcBorders>
              <w:top w:val="nil"/>
              <w:left w:val="nil"/>
              <w:bottom w:val="single" w:sz="4" w:space="0" w:color="auto"/>
              <w:right w:val="single" w:sz="4" w:space="0" w:color="auto"/>
            </w:tcBorders>
            <w:shd w:val="clear" w:color="auto" w:fill="auto"/>
            <w:hideMark/>
          </w:tcPr>
          <w:p w14:paraId="5E840A81" w14:textId="77777777" w:rsidR="00FF5922" w:rsidRPr="009E53C6" w:rsidRDefault="00FF5922" w:rsidP="0053591A">
            <w:pPr>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Implantable cardiac monitor for continuous remote monitoring of patients with Atrial Fibrillation (AF) or unexplained syncope</w:t>
            </w:r>
          </w:p>
        </w:tc>
        <w:tc>
          <w:tcPr>
            <w:tcW w:w="379" w:type="pct"/>
            <w:tcBorders>
              <w:top w:val="nil"/>
              <w:left w:val="nil"/>
              <w:bottom w:val="single" w:sz="4" w:space="0" w:color="auto"/>
              <w:right w:val="single" w:sz="4" w:space="0" w:color="auto"/>
            </w:tcBorders>
            <w:shd w:val="clear" w:color="auto" w:fill="auto"/>
            <w:hideMark/>
          </w:tcPr>
          <w:p w14:paraId="0A93D43A" w14:textId="77777777" w:rsidR="00FF5922" w:rsidRPr="009E53C6" w:rsidRDefault="00FF5922" w:rsidP="0053591A">
            <w:pPr>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53.3mm x 42.7mm x 7.1mm, 26 grams</w:t>
            </w:r>
          </w:p>
        </w:tc>
        <w:tc>
          <w:tcPr>
            <w:tcW w:w="378" w:type="pct"/>
            <w:tcBorders>
              <w:top w:val="nil"/>
              <w:left w:val="nil"/>
              <w:bottom w:val="single" w:sz="4" w:space="0" w:color="auto"/>
              <w:right w:val="single" w:sz="4" w:space="0" w:color="auto"/>
            </w:tcBorders>
            <w:shd w:val="clear" w:color="auto" w:fill="auto"/>
            <w:hideMark/>
          </w:tcPr>
          <w:p w14:paraId="644174FB" w14:textId="77777777" w:rsidR="00FF5922" w:rsidRPr="009E53C6" w:rsidRDefault="00FF5922" w:rsidP="0053591A">
            <w:pPr>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215074</w:t>
            </w:r>
          </w:p>
        </w:tc>
        <w:tc>
          <w:tcPr>
            <w:tcW w:w="304" w:type="pct"/>
            <w:tcBorders>
              <w:top w:val="nil"/>
              <w:left w:val="nil"/>
              <w:bottom w:val="single" w:sz="4" w:space="0" w:color="auto"/>
              <w:right w:val="single" w:sz="4" w:space="0" w:color="auto"/>
            </w:tcBorders>
            <w:shd w:val="clear" w:color="auto" w:fill="auto"/>
            <w:hideMark/>
          </w:tcPr>
          <w:p w14:paraId="3E31BF10" w14:textId="77777777" w:rsidR="00FF5922" w:rsidRPr="009E53C6" w:rsidRDefault="00FF5922" w:rsidP="0053591A">
            <w:pPr>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February 2015</w:t>
            </w:r>
          </w:p>
        </w:tc>
      </w:tr>
      <w:tr w:rsidR="00FF5922" w:rsidRPr="009E53C6" w14:paraId="7AB015D7" w14:textId="77777777" w:rsidTr="0053591A">
        <w:trPr>
          <w:trHeight w:val="751"/>
        </w:trPr>
        <w:tc>
          <w:tcPr>
            <w:tcW w:w="449" w:type="pct"/>
            <w:tcBorders>
              <w:top w:val="nil"/>
              <w:left w:val="single" w:sz="4" w:space="0" w:color="auto"/>
              <w:bottom w:val="single" w:sz="4" w:space="0" w:color="auto"/>
              <w:right w:val="single" w:sz="4" w:space="0" w:color="auto"/>
            </w:tcBorders>
            <w:shd w:val="clear" w:color="auto" w:fill="auto"/>
            <w:hideMark/>
          </w:tcPr>
          <w:p w14:paraId="4401A7FE" w14:textId="77777777" w:rsidR="00FF5922" w:rsidRPr="009E53C6" w:rsidRDefault="00FF5922" w:rsidP="0053591A">
            <w:pPr>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08 - Cardiac</w:t>
            </w:r>
          </w:p>
        </w:tc>
        <w:tc>
          <w:tcPr>
            <w:tcW w:w="530" w:type="pct"/>
            <w:tcBorders>
              <w:top w:val="nil"/>
              <w:left w:val="nil"/>
              <w:bottom w:val="single" w:sz="4" w:space="0" w:color="auto"/>
              <w:right w:val="single" w:sz="4" w:space="0" w:color="auto"/>
            </w:tcBorders>
            <w:shd w:val="clear" w:color="auto" w:fill="auto"/>
            <w:hideMark/>
          </w:tcPr>
          <w:p w14:paraId="0E96A440" w14:textId="77777777" w:rsidR="00FF5922" w:rsidRPr="009E53C6" w:rsidRDefault="00FF5922" w:rsidP="0053591A">
            <w:pPr>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08.14 - Implantable Cardiac Event Recorders</w:t>
            </w:r>
          </w:p>
        </w:tc>
        <w:tc>
          <w:tcPr>
            <w:tcW w:w="532" w:type="pct"/>
            <w:tcBorders>
              <w:top w:val="nil"/>
              <w:left w:val="nil"/>
              <w:bottom w:val="single" w:sz="4" w:space="0" w:color="auto"/>
              <w:right w:val="single" w:sz="4" w:space="0" w:color="auto"/>
            </w:tcBorders>
            <w:shd w:val="clear" w:color="auto" w:fill="auto"/>
            <w:hideMark/>
          </w:tcPr>
          <w:p w14:paraId="4427F115" w14:textId="77777777" w:rsidR="00FF5922" w:rsidRPr="009E53C6" w:rsidRDefault="00FF5922" w:rsidP="0053591A">
            <w:pPr>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08.14.01 - Implantable Cardiac Event Recorders</w:t>
            </w:r>
          </w:p>
        </w:tc>
        <w:tc>
          <w:tcPr>
            <w:tcW w:w="380" w:type="pct"/>
            <w:tcBorders>
              <w:top w:val="nil"/>
              <w:left w:val="nil"/>
              <w:bottom w:val="single" w:sz="4" w:space="0" w:color="auto"/>
              <w:right w:val="single" w:sz="4" w:space="0" w:color="auto"/>
            </w:tcBorders>
            <w:shd w:val="clear" w:color="auto" w:fill="auto"/>
            <w:hideMark/>
          </w:tcPr>
          <w:p w14:paraId="4B58978F" w14:textId="77777777" w:rsidR="00FF5922" w:rsidRPr="009E53C6" w:rsidRDefault="00FF5922" w:rsidP="0053591A">
            <w:pPr>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MI141</w:t>
            </w:r>
          </w:p>
        </w:tc>
        <w:tc>
          <w:tcPr>
            <w:tcW w:w="456" w:type="pct"/>
            <w:tcBorders>
              <w:top w:val="nil"/>
              <w:left w:val="nil"/>
              <w:bottom w:val="single" w:sz="4" w:space="0" w:color="auto"/>
              <w:right w:val="single" w:sz="4" w:space="0" w:color="auto"/>
            </w:tcBorders>
            <w:shd w:val="clear" w:color="auto" w:fill="auto"/>
            <w:hideMark/>
          </w:tcPr>
          <w:p w14:paraId="20BB1621" w14:textId="03FC8F70" w:rsidR="00FF5922" w:rsidRPr="009E53C6" w:rsidRDefault="00890DBB" w:rsidP="0053591A">
            <w:pPr>
              <w:spacing w:after="0" w:line="240" w:lineRule="auto"/>
              <w:rPr>
                <w:rFonts w:ascii="Arial" w:eastAsia="Times New Roman" w:hAnsi="Arial" w:cs="Arial"/>
                <w:sz w:val="14"/>
                <w:szCs w:val="20"/>
                <w:lang w:eastAsia="en-AU"/>
              </w:rPr>
            </w:pPr>
            <w:r>
              <w:rPr>
                <w:rFonts w:ascii="Arial" w:eastAsia="Times New Roman" w:hAnsi="Arial" w:cs="Arial"/>
                <w:sz w:val="14"/>
                <w:szCs w:val="20"/>
                <w:lang w:eastAsia="en-AU"/>
              </w:rPr>
              <w:t xml:space="preserve"> $ </w:t>
            </w:r>
            <w:r w:rsidR="00FF5922" w:rsidRPr="009E53C6">
              <w:rPr>
                <w:rFonts w:ascii="Arial" w:eastAsia="Times New Roman" w:hAnsi="Arial" w:cs="Arial"/>
                <w:sz w:val="14"/>
                <w:szCs w:val="20"/>
                <w:lang w:eastAsia="en-AU"/>
              </w:rPr>
              <w:t xml:space="preserve">3,900.00 </w:t>
            </w:r>
          </w:p>
        </w:tc>
        <w:tc>
          <w:tcPr>
            <w:tcW w:w="530" w:type="pct"/>
            <w:tcBorders>
              <w:top w:val="nil"/>
              <w:left w:val="nil"/>
              <w:bottom w:val="single" w:sz="4" w:space="0" w:color="auto"/>
              <w:right w:val="single" w:sz="4" w:space="0" w:color="auto"/>
            </w:tcBorders>
            <w:shd w:val="clear" w:color="auto" w:fill="auto"/>
            <w:hideMark/>
          </w:tcPr>
          <w:p w14:paraId="444CA6E9" w14:textId="77777777" w:rsidR="00FF5922" w:rsidRPr="009E53C6" w:rsidRDefault="00FF5922" w:rsidP="0053591A">
            <w:pPr>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Medtronic Australasia Pty Ltd</w:t>
            </w:r>
          </w:p>
        </w:tc>
        <w:tc>
          <w:tcPr>
            <w:tcW w:w="529" w:type="pct"/>
            <w:tcBorders>
              <w:top w:val="nil"/>
              <w:left w:val="nil"/>
              <w:bottom w:val="single" w:sz="4" w:space="0" w:color="auto"/>
              <w:right w:val="single" w:sz="4" w:space="0" w:color="auto"/>
            </w:tcBorders>
            <w:shd w:val="clear" w:color="auto" w:fill="auto"/>
            <w:hideMark/>
          </w:tcPr>
          <w:p w14:paraId="4BAC17F4" w14:textId="77777777" w:rsidR="00FF5922" w:rsidRPr="009E53C6" w:rsidRDefault="00FF5922" w:rsidP="0053591A">
            <w:pPr>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Reveal LINQ</w:t>
            </w:r>
          </w:p>
        </w:tc>
        <w:tc>
          <w:tcPr>
            <w:tcW w:w="533" w:type="pct"/>
            <w:tcBorders>
              <w:top w:val="nil"/>
              <w:left w:val="nil"/>
              <w:bottom w:val="single" w:sz="4" w:space="0" w:color="auto"/>
              <w:right w:val="single" w:sz="4" w:space="0" w:color="auto"/>
            </w:tcBorders>
            <w:shd w:val="clear" w:color="auto" w:fill="auto"/>
            <w:hideMark/>
          </w:tcPr>
          <w:p w14:paraId="241FC748" w14:textId="77777777" w:rsidR="00FF5922" w:rsidRPr="009E53C6" w:rsidRDefault="00FF5922" w:rsidP="0053591A">
            <w:pPr>
              <w:spacing w:after="0" w:line="240" w:lineRule="auto"/>
              <w:rPr>
                <w:rFonts w:ascii="Arial" w:eastAsia="Times New Roman" w:hAnsi="Arial" w:cs="Arial"/>
                <w:sz w:val="14"/>
                <w:szCs w:val="20"/>
                <w:lang w:eastAsia="en-AU"/>
              </w:rPr>
            </w:pPr>
            <w:proofErr w:type="spellStart"/>
            <w:r w:rsidRPr="009E53C6">
              <w:rPr>
                <w:rFonts w:ascii="Arial" w:eastAsia="Times New Roman" w:hAnsi="Arial" w:cs="Arial"/>
                <w:sz w:val="14"/>
                <w:szCs w:val="20"/>
                <w:lang w:eastAsia="en-AU"/>
              </w:rPr>
              <w:t>Insertable</w:t>
            </w:r>
            <w:proofErr w:type="spellEnd"/>
            <w:r w:rsidRPr="009E53C6">
              <w:rPr>
                <w:rFonts w:ascii="Arial" w:eastAsia="Times New Roman" w:hAnsi="Arial" w:cs="Arial"/>
                <w:sz w:val="14"/>
                <w:szCs w:val="20"/>
                <w:lang w:eastAsia="en-AU"/>
              </w:rPr>
              <w:t xml:space="preserve"> Cardiac Monitor</w:t>
            </w:r>
          </w:p>
        </w:tc>
        <w:tc>
          <w:tcPr>
            <w:tcW w:w="379" w:type="pct"/>
            <w:tcBorders>
              <w:top w:val="nil"/>
              <w:left w:val="nil"/>
              <w:bottom w:val="single" w:sz="4" w:space="0" w:color="auto"/>
              <w:right w:val="single" w:sz="4" w:space="0" w:color="auto"/>
            </w:tcBorders>
            <w:shd w:val="clear" w:color="auto" w:fill="auto"/>
            <w:hideMark/>
          </w:tcPr>
          <w:p w14:paraId="722CCE40" w14:textId="77777777" w:rsidR="00FF5922" w:rsidRPr="009E53C6" w:rsidRDefault="00FF5922" w:rsidP="0053591A">
            <w:pPr>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45 x 7 x 3.5mm, 1.18cc</w:t>
            </w:r>
          </w:p>
        </w:tc>
        <w:tc>
          <w:tcPr>
            <w:tcW w:w="378" w:type="pct"/>
            <w:tcBorders>
              <w:top w:val="nil"/>
              <w:left w:val="nil"/>
              <w:bottom w:val="single" w:sz="4" w:space="0" w:color="auto"/>
              <w:right w:val="single" w:sz="4" w:space="0" w:color="auto"/>
            </w:tcBorders>
            <w:shd w:val="clear" w:color="auto" w:fill="auto"/>
            <w:hideMark/>
          </w:tcPr>
          <w:p w14:paraId="3BF156D3" w14:textId="77777777" w:rsidR="00FF5922" w:rsidRPr="009E53C6" w:rsidRDefault="00FF5922" w:rsidP="0053591A">
            <w:pPr>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218791</w:t>
            </w:r>
          </w:p>
        </w:tc>
        <w:tc>
          <w:tcPr>
            <w:tcW w:w="304" w:type="pct"/>
            <w:tcBorders>
              <w:top w:val="nil"/>
              <w:left w:val="nil"/>
              <w:bottom w:val="single" w:sz="4" w:space="0" w:color="auto"/>
              <w:right w:val="single" w:sz="4" w:space="0" w:color="auto"/>
            </w:tcBorders>
            <w:shd w:val="clear" w:color="auto" w:fill="auto"/>
            <w:hideMark/>
          </w:tcPr>
          <w:p w14:paraId="349CB3F2" w14:textId="77777777" w:rsidR="00FF5922" w:rsidRPr="009E53C6" w:rsidRDefault="00FF5922" w:rsidP="0053591A">
            <w:pPr>
              <w:spacing w:after="0" w:line="240" w:lineRule="auto"/>
              <w:rPr>
                <w:rFonts w:ascii="Arial" w:eastAsia="Times New Roman" w:hAnsi="Arial" w:cs="Arial"/>
                <w:sz w:val="14"/>
                <w:szCs w:val="20"/>
                <w:lang w:eastAsia="en-AU"/>
              </w:rPr>
            </w:pPr>
            <w:r w:rsidRPr="009E53C6">
              <w:rPr>
                <w:rFonts w:ascii="Arial" w:eastAsia="Times New Roman" w:hAnsi="Arial" w:cs="Arial"/>
                <w:sz w:val="14"/>
                <w:szCs w:val="20"/>
                <w:lang w:eastAsia="en-AU"/>
              </w:rPr>
              <w:t>February 2014</w:t>
            </w:r>
          </w:p>
        </w:tc>
      </w:tr>
    </w:tbl>
    <w:p w14:paraId="77F6126D" w14:textId="5CAEB928" w:rsidR="00BC4EFE" w:rsidRPr="00BC4EFE" w:rsidRDefault="00BC4EFE" w:rsidP="00941DC8">
      <w:pPr>
        <w:pStyle w:val="Heading1"/>
      </w:pPr>
      <w:r w:rsidRPr="00BC4EFE">
        <w:t>Comparator – clinical claim for the proposed medical service</w:t>
      </w:r>
    </w:p>
    <w:p w14:paraId="362DD11D" w14:textId="77777777" w:rsidR="00BC4EFE" w:rsidRDefault="00BC4EFE" w:rsidP="00215B74">
      <w:pPr>
        <w:pStyle w:val="Quote"/>
      </w:pPr>
      <w:r w:rsidRPr="00BC4EFE">
        <w:t>Please provide details of how the proposed service is expected to be used, for example is it to replace or substitute a current practice; in addition to, or to augment current practice.</w:t>
      </w:r>
    </w:p>
    <w:p w14:paraId="35801207" w14:textId="3F5121D2" w:rsidR="00BF27FF" w:rsidRPr="00BF27FF" w:rsidRDefault="00C521B5" w:rsidP="00543548">
      <w:pPr>
        <w:rPr>
          <w:i/>
        </w:rPr>
      </w:pPr>
      <w:r>
        <w:rPr>
          <w:i/>
        </w:rPr>
        <w:t>Atrial fibrillation monitoring</w:t>
      </w:r>
      <w:r w:rsidR="00EB58CC">
        <w:rPr>
          <w:i/>
        </w:rPr>
        <w:t xml:space="preserve"> </w:t>
      </w:r>
      <w:r w:rsidR="00BF27FF" w:rsidRPr="00BF27FF">
        <w:rPr>
          <w:i/>
        </w:rPr>
        <w:t>options</w:t>
      </w:r>
      <w:r w:rsidR="007A0D20">
        <w:rPr>
          <w:i/>
        </w:rPr>
        <w:t xml:space="preserve"> </w:t>
      </w:r>
      <w:r w:rsidR="00BF27FF">
        <w:rPr>
          <w:i/>
        </w:rPr>
        <w:t>available in Australia</w:t>
      </w:r>
      <w:r w:rsidR="0066293C">
        <w:rPr>
          <w:i/>
        </w:rPr>
        <w:t xml:space="preserve"> for patients with cryptogenic stroke</w:t>
      </w:r>
    </w:p>
    <w:p w14:paraId="2403538A" w14:textId="74ACC44B" w:rsidR="00543548" w:rsidRDefault="00F44CF1" w:rsidP="00543548">
      <w:r>
        <w:t>As previously mentioned, several</w:t>
      </w:r>
      <w:r w:rsidRPr="00F44CF1">
        <w:t xml:space="preserve"> short-term and mid-term monitoring strategies exist </w:t>
      </w:r>
      <w:r w:rsidR="00450F57">
        <w:t xml:space="preserve">for detection of AF in patients with CS. </w:t>
      </w:r>
      <w:r w:rsidR="00652C52">
        <w:t>Ambulatory ECG devices</w:t>
      </w:r>
      <w:r w:rsidR="00450F57">
        <w:t xml:space="preserve"> available in Australia, and their relevant MBS items, are listed in Table </w:t>
      </w:r>
      <w:r w:rsidR="00652C52">
        <w:t>7</w:t>
      </w:r>
      <w:r w:rsidR="00450F57">
        <w:t xml:space="preserve">. </w:t>
      </w:r>
      <w:r w:rsidR="00DA6B53">
        <w:t xml:space="preserve">Note ILRs have been added in italics for comparison with the other </w:t>
      </w:r>
      <w:proofErr w:type="gramStart"/>
      <w:r w:rsidR="00DA6B53">
        <w:t>devices,</w:t>
      </w:r>
      <w:proofErr w:type="gramEnd"/>
      <w:r w:rsidR="00DA6B53">
        <w:t xml:space="preserve"> however the current MBS item for implantation is for use in recurrent unexplained syncope only.</w:t>
      </w:r>
    </w:p>
    <w:p w14:paraId="00D1FABE" w14:textId="38FAC0E4" w:rsidR="00450F57" w:rsidRDefault="00F3250E" w:rsidP="0004580D">
      <w:pPr>
        <w:pStyle w:val="Caption"/>
        <w:keepLines/>
        <w:spacing w:after="120"/>
      </w:pPr>
      <w:r>
        <w:t xml:space="preserve"> </w:t>
      </w:r>
    </w:p>
    <w:p w14:paraId="72DD2055" w14:textId="77777777" w:rsidR="002A5D07" w:rsidRDefault="002A5D07">
      <w:pPr>
        <w:jc w:val="left"/>
        <w:rPr>
          <w:rFonts w:ascii="Arial" w:eastAsia="Times New Roman" w:hAnsi="Arial" w:cs="Arial"/>
          <w:b/>
          <w:sz w:val="20"/>
          <w:lang w:val="en-GB" w:eastAsia="ja-JP"/>
        </w:rPr>
      </w:pPr>
      <w:r>
        <w:br w:type="page"/>
      </w:r>
    </w:p>
    <w:p w14:paraId="6C3991CA" w14:textId="15BC462E" w:rsidR="00DC65DD" w:rsidRDefault="00DC65DD" w:rsidP="00DC65DD">
      <w:pPr>
        <w:pStyle w:val="Caption"/>
      </w:pPr>
      <w:r>
        <w:lastRenderedPageBreak/>
        <w:t xml:space="preserve">Table </w:t>
      </w:r>
      <w:r>
        <w:fldChar w:fldCharType="begin"/>
      </w:r>
      <w:r>
        <w:instrText xml:space="preserve"> SEQ Table \* ARABIC </w:instrText>
      </w:r>
      <w:r>
        <w:fldChar w:fldCharType="separate"/>
      </w:r>
      <w:r>
        <w:rPr>
          <w:noProof/>
        </w:rPr>
        <w:t>7</w:t>
      </w:r>
      <w:r>
        <w:fldChar w:fldCharType="end"/>
      </w:r>
      <w:r>
        <w:t xml:space="preserve"> </w:t>
      </w:r>
      <w:r w:rsidRPr="00306AD2">
        <w:t>Ambulatory ECG devices and relevant MBS items</w:t>
      </w:r>
    </w:p>
    <w:tbl>
      <w:tblPr>
        <w:tblStyle w:val="TableGrid"/>
        <w:tblW w:w="10060" w:type="dxa"/>
        <w:tblLayout w:type="fixed"/>
        <w:tblLook w:val="04A0" w:firstRow="1" w:lastRow="0" w:firstColumn="1" w:lastColumn="0" w:noHBand="0" w:noVBand="1"/>
        <w:tblDescription w:val="Table 7 Ambulatory ECG devices and relevant MBS items"/>
      </w:tblPr>
      <w:tblGrid>
        <w:gridCol w:w="3227"/>
        <w:gridCol w:w="1134"/>
        <w:gridCol w:w="2438"/>
        <w:gridCol w:w="1389"/>
        <w:gridCol w:w="1872"/>
      </w:tblGrid>
      <w:tr w:rsidR="00F44CF1" w:rsidRPr="00F44CF1" w14:paraId="30A90E60" w14:textId="77777777" w:rsidTr="002A5D07">
        <w:trPr>
          <w:tblHeader/>
        </w:trPr>
        <w:tc>
          <w:tcPr>
            <w:tcW w:w="3227" w:type="dxa"/>
            <w:shd w:val="clear" w:color="auto" w:fill="F2F2F2" w:themeFill="background1" w:themeFillShade="F2"/>
          </w:tcPr>
          <w:p w14:paraId="316DDE56" w14:textId="516BDDCC" w:rsidR="00F44CF1" w:rsidRPr="00F44CF1" w:rsidRDefault="00F44CF1" w:rsidP="0004580D">
            <w:pPr>
              <w:keepNext/>
              <w:keepLines/>
              <w:rPr>
                <w:rFonts w:cstheme="minorHAnsi"/>
                <w:b/>
              </w:rPr>
            </w:pPr>
            <w:r w:rsidRPr="00F44CF1">
              <w:rPr>
                <w:rFonts w:cstheme="minorHAnsi"/>
                <w:b/>
              </w:rPr>
              <w:t>Device</w:t>
            </w:r>
          </w:p>
        </w:tc>
        <w:tc>
          <w:tcPr>
            <w:tcW w:w="1134" w:type="dxa"/>
            <w:shd w:val="clear" w:color="auto" w:fill="F2F2F2" w:themeFill="background1" w:themeFillShade="F2"/>
          </w:tcPr>
          <w:p w14:paraId="682EC0DA" w14:textId="77777777" w:rsidR="00F44CF1" w:rsidRPr="00F44CF1" w:rsidRDefault="00F44CF1" w:rsidP="0004580D">
            <w:pPr>
              <w:keepNext/>
              <w:keepLines/>
              <w:autoSpaceDE w:val="0"/>
              <w:autoSpaceDN w:val="0"/>
              <w:adjustRightInd w:val="0"/>
              <w:jc w:val="left"/>
              <w:rPr>
                <w:rFonts w:cstheme="minorHAnsi"/>
                <w:b/>
                <w:bCs/>
              </w:rPr>
            </w:pPr>
            <w:r w:rsidRPr="00F44CF1">
              <w:rPr>
                <w:rFonts w:cstheme="minorHAnsi"/>
                <w:b/>
                <w:bCs/>
              </w:rPr>
              <w:t>Period of</w:t>
            </w:r>
          </w:p>
          <w:p w14:paraId="5EF74C3A" w14:textId="64A9584A" w:rsidR="00F44CF1" w:rsidRPr="00F44CF1" w:rsidRDefault="00F44CF1" w:rsidP="0004580D">
            <w:pPr>
              <w:keepNext/>
              <w:keepLines/>
              <w:rPr>
                <w:rFonts w:cstheme="minorHAnsi"/>
                <w:b/>
              </w:rPr>
            </w:pPr>
            <w:r w:rsidRPr="00F44CF1">
              <w:rPr>
                <w:rFonts w:cstheme="minorHAnsi"/>
                <w:b/>
                <w:bCs/>
              </w:rPr>
              <w:t>recording</w:t>
            </w:r>
          </w:p>
        </w:tc>
        <w:tc>
          <w:tcPr>
            <w:tcW w:w="2438" w:type="dxa"/>
            <w:shd w:val="clear" w:color="auto" w:fill="F2F2F2" w:themeFill="background1" w:themeFillShade="F2"/>
          </w:tcPr>
          <w:p w14:paraId="503435BF" w14:textId="3A1AB3D7" w:rsidR="00F44CF1" w:rsidRPr="00F44CF1" w:rsidRDefault="00F44CF1" w:rsidP="0004580D">
            <w:pPr>
              <w:keepNext/>
              <w:keepLines/>
              <w:rPr>
                <w:rFonts w:cstheme="minorHAnsi"/>
                <w:b/>
              </w:rPr>
            </w:pPr>
            <w:r w:rsidRPr="00F44CF1">
              <w:rPr>
                <w:rFonts w:cstheme="minorHAnsi"/>
                <w:b/>
                <w:bCs/>
              </w:rPr>
              <w:t>Trigger</w:t>
            </w:r>
          </w:p>
        </w:tc>
        <w:tc>
          <w:tcPr>
            <w:tcW w:w="1389" w:type="dxa"/>
            <w:shd w:val="clear" w:color="auto" w:fill="F2F2F2" w:themeFill="background1" w:themeFillShade="F2"/>
          </w:tcPr>
          <w:p w14:paraId="7DFEB0B5" w14:textId="0E647FE1" w:rsidR="00F44CF1" w:rsidRPr="00F44CF1" w:rsidRDefault="00F44CF1" w:rsidP="0004580D">
            <w:pPr>
              <w:keepNext/>
              <w:keepLines/>
              <w:rPr>
                <w:rFonts w:cstheme="minorHAnsi"/>
                <w:b/>
              </w:rPr>
            </w:pPr>
            <w:r w:rsidRPr="00F44CF1">
              <w:rPr>
                <w:rFonts w:cstheme="minorHAnsi"/>
                <w:b/>
                <w:bCs/>
              </w:rPr>
              <w:t>Data upload</w:t>
            </w:r>
          </w:p>
        </w:tc>
        <w:tc>
          <w:tcPr>
            <w:tcW w:w="1872" w:type="dxa"/>
            <w:shd w:val="clear" w:color="auto" w:fill="F2F2F2" w:themeFill="background1" w:themeFillShade="F2"/>
          </w:tcPr>
          <w:p w14:paraId="285D3762" w14:textId="77777777" w:rsidR="00F44CF1" w:rsidRPr="00F44CF1" w:rsidRDefault="00F44CF1" w:rsidP="0004580D">
            <w:pPr>
              <w:keepNext/>
              <w:keepLines/>
              <w:autoSpaceDE w:val="0"/>
              <w:autoSpaceDN w:val="0"/>
              <w:adjustRightInd w:val="0"/>
              <w:jc w:val="left"/>
              <w:rPr>
                <w:rFonts w:cstheme="minorHAnsi"/>
                <w:b/>
                <w:bCs/>
              </w:rPr>
            </w:pPr>
            <w:r w:rsidRPr="00F44CF1">
              <w:rPr>
                <w:rFonts w:cstheme="minorHAnsi"/>
                <w:b/>
                <w:bCs/>
              </w:rPr>
              <w:t>Relevant</w:t>
            </w:r>
          </w:p>
          <w:p w14:paraId="2ECE052B" w14:textId="1B227921" w:rsidR="00F44CF1" w:rsidRPr="00F44CF1" w:rsidRDefault="00F44CF1" w:rsidP="0004580D">
            <w:pPr>
              <w:keepNext/>
              <w:keepLines/>
              <w:rPr>
                <w:rFonts w:cstheme="minorHAnsi"/>
                <w:b/>
              </w:rPr>
            </w:pPr>
            <w:r w:rsidRPr="00F44CF1">
              <w:rPr>
                <w:rFonts w:cstheme="minorHAnsi"/>
                <w:b/>
                <w:bCs/>
              </w:rPr>
              <w:t>MBS item</w:t>
            </w:r>
          </w:p>
        </w:tc>
      </w:tr>
      <w:tr w:rsidR="00F44CF1" w:rsidRPr="00F44CF1" w14:paraId="418A729A" w14:textId="77777777" w:rsidTr="003205B4">
        <w:tc>
          <w:tcPr>
            <w:tcW w:w="3227" w:type="dxa"/>
          </w:tcPr>
          <w:p w14:paraId="208CDD3C" w14:textId="77777777" w:rsidR="00F44CF1" w:rsidRPr="00F44CF1" w:rsidRDefault="00F44CF1" w:rsidP="0004580D">
            <w:pPr>
              <w:keepNext/>
              <w:keepLines/>
              <w:autoSpaceDE w:val="0"/>
              <w:autoSpaceDN w:val="0"/>
              <w:adjustRightInd w:val="0"/>
              <w:jc w:val="left"/>
              <w:rPr>
                <w:rFonts w:cstheme="minorHAnsi"/>
              </w:rPr>
            </w:pPr>
            <w:r w:rsidRPr="00F44CF1">
              <w:rPr>
                <w:rFonts w:cstheme="minorHAnsi"/>
              </w:rPr>
              <w:t>Continuous recording device</w:t>
            </w:r>
          </w:p>
          <w:p w14:paraId="571016BF" w14:textId="4032A581" w:rsidR="00F44CF1" w:rsidRPr="00F44CF1" w:rsidRDefault="00F44CF1" w:rsidP="0004580D">
            <w:pPr>
              <w:keepNext/>
              <w:keepLines/>
              <w:autoSpaceDE w:val="0"/>
              <w:autoSpaceDN w:val="0"/>
              <w:adjustRightInd w:val="0"/>
              <w:jc w:val="left"/>
              <w:rPr>
                <w:rFonts w:cstheme="minorHAnsi"/>
              </w:rPr>
            </w:pPr>
            <w:r>
              <w:rPr>
                <w:rFonts w:cstheme="minorHAnsi"/>
              </w:rPr>
              <w:t xml:space="preserve">(early </w:t>
            </w:r>
            <w:proofErr w:type="spellStart"/>
            <w:r>
              <w:rPr>
                <w:rFonts w:cstheme="minorHAnsi"/>
              </w:rPr>
              <w:t>Holter</w:t>
            </w:r>
            <w:proofErr w:type="spellEnd"/>
            <w:r>
              <w:rPr>
                <w:rFonts w:cstheme="minorHAnsi"/>
              </w:rPr>
              <w:t xml:space="preserve"> devices </w:t>
            </w:r>
            <w:r w:rsidRPr="00F44CF1">
              <w:rPr>
                <w:rFonts w:cstheme="minorHAnsi"/>
              </w:rPr>
              <w:t>without full</w:t>
            </w:r>
          </w:p>
          <w:p w14:paraId="609944DA" w14:textId="1F456FF6" w:rsidR="00F44CF1" w:rsidRPr="00F44CF1" w:rsidRDefault="00F44CF1" w:rsidP="0004580D">
            <w:pPr>
              <w:keepNext/>
              <w:keepLines/>
              <w:rPr>
                <w:rFonts w:cstheme="minorHAnsi"/>
              </w:rPr>
            </w:pPr>
            <w:r w:rsidRPr="00F44CF1">
              <w:rPr>
                <w:rFonts w:cstheme="minorHAnsi"/>
              </w:rPr>
              <w:t>disclosure)</w:t>
            </w:r>
          </w:p>
        </w:tc>
        <w:tc>
          <w:tcPr>
            <w:tcW w:w="1134" w:type="dxa"/>
          </w:tcPr>
          <w:p w14:paraId="74917C10" w14:textId="77777777" w:rsidR="00F44CF1" w:rsidRPr="00F44CF1" w:rsidRDefault="00F44CF1" w:rsidP="0004580D">
            <w:pPr>
              <w:keepNext/>
              <w:keepLines/>
              <w:autoSpaceDE w:val="0"/>
              <w:autoSpaceDN w:val="0"/>
              <w:adjustRightInd w:val="0"/>
              <w:jc w:val="left"/>
              <w:rPr>
                <w:rFonts w:cstheme="minorHAnsi"/>
              </w:rPr>
            </w:pPr>
            <w:r w:rsidRPr="00F44CF1">
              <w:rPr>
                <w:rFonts w:cstheme="minorHAnsi"/>
              </w:rPr>
              <w:t>Up to 24</w:t>
            </w:r>
          </w:p>
          <w:p w14:paraId="72F34013" w14:textId="0C516056" w:rsidR="00F44CF1" w:rsidRPr="00F44CF1" w:rsidRDefault="00F44CF1" w:rsidP="0004580D">
            <w:pPr>
              <w:keepNext/>
              <w:keepLines/>
              <w:rPr>
                <w:rFonts w:cstheme="minorHAnsi"/>
              </w:rPr>
            </w:pPr>
            <w:r w:rsidRPr="00F44CF1">
              <w:rPr>
                <w:rFonts w:cstheme="minorHAnsi"/>
              </w:rPr>
              <w:t>hours</w:t>
            </w:r>
          </w:p>
        </w:tc>
        <w:tc>
          <w:tcPr>
            <w:tcW w:w="2438" w:type="dxa"/>
          </w:tcPr>
          <w:p w14:paraId="6D71F9E7" w14:textId="77777777" w:rsidR="00F44CF1" w:rsidRPr="00F44CF1" w:rsidRDefault="00F44CF1" w:rsidP="0004580D">
            <w:pPr>
              <w:keepNext/>
              <w:keepLines/>
              <w:autoSpaceDE w:val="0"/>
              <w:autoSpaceDN w:val="0"/>
              <w:adjustRightInd w:val="0"/>
              <w:jc w:val="left"/>
              <w:rPr>
                <w:rFonts w:cstheme="minorHAnsi"/>
              </w:rPr>
            </w:pPr>
            <w:r w:rsidRPr="00F44CF1">
              <w:rPr>
                <w:rFonts w:cstheme="minorHAnsi"/>
              </w:rPr>
              <w:t>Not Triggered</w:t>
            </w:r>
          </w:p>
          <w:p w14:paraId="78EE13C8" w14:textId="488D1777" w:rsidR="00F44CF1" w:rsidRPr="00F44CF1" w:rsidRDefault="00F44CF1" w:rsidP="0004580D">
            <w:pPr>
              <w:keepNext/>
              <w:keepLines/>
              <w:rPr>
                <w:rFonts w:cstheme="minorHAnsi"/>
              </w:rPr>
            </w:pPr>
            <w:r w:rsidRPr="00F44CF1">
              <w:rPr>
                <w:rFonts w:cstheme="minorHAnsi"/>
              </w:rPr>
              <w:t>(Continuous)</w:t>
            </w:r>
          </w:p>
        </w:tc>
        <w:tc>
          <w:tcPr>
            <w:tcW w:w="1389" w:type="dxa"/>
          </w:tcPr>
          <w:p w14:paraId="6079DBA9" w14:textId="3B25D0E4" w:rsidR="00F44CF1" w:rsidRPr="00F44CF1" w:rsidRDefault="00450F57" w:rsidP="0004580D">
            <w:pPr>
              <w:keepNext/>
              <w:keepLines/>
              <w:autoSpaceDE w:val="0"/>
              <w:autoSpaceDN w:val="0"/>
              <w:adjustRightInd w:val="0"/>
              <w:jc w:val="left"/>
              <w:rPr>
                <w:rFonts w:cstheme="minorHAnsi"/>
              </w:rPr>
            </w:pPr>
            <w:r>
              <w:rPr>
                <w:rFonts w:cstheme="minorHAnsi"/>
              </w:rPr>
              <w:t xml:space="preserve">On return of device to </w:t>
            </w:r>
            <w:r w:rsidR="00F44CF1" w:rsidRPr="00F44CF1">
              <w:rPr>
                <w:rFonts w:cstheme="minorHAnsi"/>
              </w:rPr>
              <w:t>clinic</w:t>
            </w:r>
          </w:p>
        </w:tc>
        <w:tc>
          <w:tcPr>
            <w:tcW w:w="1872" w:type="dxa"/>
          </w:tcPr>
          <w:p w14:paraId="3DECD3E9" w14:textId="3280F4B7" w:rsidR="00F44CF1" w:rsidRPr="00F44CF1" w:rsidRDefault="00F44CF1" w:rsidP="0004580D">
            <w:pPr>
              <w:keepNext/>
              <w:keepLines/>
              <w:rPr>
                <w:rFonts w:cstheme="minorHAnsi"/>
              </w:rPr>
            </w:pPr>
            <w:r w:rsidRPr="00F44CF1">
              <w:rPr>
                <w:rFonts w:cstheme="minorHAnsi"/>
              </w:rPr>
              <w:t>11708</w:t>
            </w:r>
          </w:p>
        </w:tc>
      </w:tr>
      <w:tr w:rsidR="00F44CF1" w:rsidRPr="00F44CF1" w14:paraId="5DCB9607" w14:textId="77777777" w:rsidTr="003205B4">
        <w:tc>
          <w:tcPr>
            <w:tcW w:w="3227" w:type="dxa"/>
          </w:tcPr>
          <w:p w14:paraId="47D5AFEE" w14:textId="77777777" w:rsidR="00F44CF1" w:rsidRPr="00F44CF1" w:rsidRDefault="00F44CF1" w:rsidP="0004580D">
            <w:pPr>
              <w:keepNext/>
              <w:keepLines/>
              <w:autoSpaceDE w:val="0"/>
              <w:autoSpaceDN w:val="0"/>
              <w:adjustRightInd w:val="0"/>
              <w:jc w:val="left"/>
              <w:rPr>
                <w:rFonts w:cstheme="minorHAnsi"/>
              </w:rPr>
            </w:pPr>
            <w:r w:rsidRPr="00F44CF1">
              <w:rPr>
                <w:rFonts w:cstheme="minorHAnsi"/>
              </w:rPr>
              <w:t>Continuous recording device</w:t>
            </w:r>
          </w:p>
          <w:p w14:paraId="775B596E" w14:textId="15587747" w:rsidR="00F44CF1" w:rsidRPr="00F44CF1" w:rsidRDefault="00450F57" w:rsidP="0004580D">
            <w:pPr>
              <w:keepNext/>
              <w:keepLines/>
              <w:autoSpaceDE w:val="0"/>
              <w:autoSpaceDN w:val="0"/>
              <w:adjustRightInd w:val="0"/>
              <w:jc w:val="left"/>
              <w:rPr>
                <w:rFonts w:cstheme="minorHAnsi"/>
              </w:rPr>
            </w:pPr>
            <w:r>
              <w:rPr>
                <w:rFonts w:cstheme="minorHAnsi"/>
              </w:rPr>
              <w:t>(</w:t>
            </w:r>
            <w:proofErr w:type="spellStart"/>
            <w:r>
              <w:rPr>
                <w:rFonts w:cstheme="minorHAnsi"/>
              </w:rPr>
              <w:t>Holter</w:t>
            </w:r>
            <w:proofErr w:type="spellEnd"/>
            <w:r>
              <w:rPr>
                <w:rFonts w:cstheme="minorHAnsi"/>
              </w:rPr>
              <w:t xml:space="preserve"> devices with full </w:t>
            </w:r>
            <w:r w:rsidR="00F44CF1" w:rsidRPr="00F44CF1">
              <w:rPr>
                <w:rFonts w:cstheme="minorHAnsi"/>
              </w:rPr>
              <w:t>disclosure)</w:t>
            </w:r>
          </w:p>
        </w:tc>
        <w:tc>
          <w:tcPr>
            <w:tcW w:w="1134" w:type="dxa"/>
          </w:tcPr>
          <w:p w14:paraId="42100FB7" w14:textId="77777777" w:rsidR="00F44CF1" w:rsidRPr="00F44CF1" w:rsidRDefault="00F44CF1" w:rsidP="0004580D">
            <w:pPr>
              <w:keepNext/>
              <w:keepLines/>
              <w:autoSpaceDE w:val="0"/>
              <w:autoSpaceDN w:val="0"/>
              <w:adjustRightInd w:val="0"/>
              <w:jc w:val="left"/>
              <w:rPr>
                <w:rFonts w:cstheme="minorHAnsi"/>
              </w:rPr>
            </w:pPr>
            <w:r w:rsidRPr="00F44CF1">
              <w:rPr>
                <w:rFonts w:cstheme="minorHAnsi"/>
              </w:rPr>
              <w:t>Up to 24</w:t>
            </w:r>
          </w:p>
          <w:p w14:paraId="0682C8DA" w14:textId="7D37C514" w:rsidR="00F44CF1" w:rsidRPr="00F44CF1" w:rsidRDefault="00F44CF1" w:rsidP="0004580D">
            <w:pPr>
              <w:keepNext/>
              <w:keepLines/>
              <w:rPr>
                <w:rFonts w:cstheme="minorHAnsi"/>
              </w:rPr>
            </w:pPr>
            <w:r w:rsidRPr="00F44CF1">
              <w:rPr>
                <w:rFonts w:cstheme="minorHAnsi"/>
              </w:rPr>
              <w:t>hours</w:t>
            </w:r>
          </w:p>
        </w:tc>
        <w:tc>
          <w:tcPr>
            <w:tcW w:w="2438" w:type="dxa"/>
          </w:tcPr>
          <w:p w14:paraId="5BFC68DB" w14:textId="77777777" w:rsidR="00F44CF1" w:rsidRPr="00F44CF1" w:rsidRDefault="00F44CF1" w:rsidP="0004580D">
            <w:pPr>
              <w:keepNext/>
              <w:keepLines/>
              <w:autoSpaceDE w:val="0"/>
              <w:autoSpaceDN w:val="0"/>
              <w:adjustRightInd w:val="0"/>
              <w:jc w:val="left"/>
              <w:rPr>
                <w:rFonts w:cstheme="minorHAnsi"/>
              </w:rPr>
            </w:pPr>
            <w:r w:rsidRPr="00F44CF1">
              <w:rPr>
                <w:rFonts w:cstheme="minorHAnsi"/>
              </w:rPr>
              <w:t>Not Triggered</w:t>
            </w:r>
          </w:p>
          <w:p w14:paraId="625FF848" w14:textId="7D4F7F9C" w:rsidR="00F44CF1" w:rsidRPr="00F44CF1" w:rsidRDefault="00F44CF1" w:rsidP="0004580D">
            <w:pPr>
              <w:keepNext/>
              <w:keepLines/>
              <w:rPr>
                <w:rFonts w:cstheme="minorHAnsi"/>
              </w:rPr>
            </w:pPr>
            <w:r w:rsidRPr="00F44CF1">
              <w:rPr>
                <w:rFonts w:cstheme="minorHAnsi"/>
              </w:rPr>
              <w:t>(Continuous)</w:t>
            </w:r>
          </w:p>
        </w:tc>
        <w:tc>
          <w:tcPr>
            <w:tcW w:w="1389" w:type="dxa"/>
          </w:tcPr>
          <w:p w14:paraId="16C4DEFD" w14:textId="3EE7B562" w:rsidR="00F44CF1" w:rsidRPr="00F44CF1" w:rsidRDefault="00450F57" w:rsidP="0004580D">
            <w:pPr>
              <w:keepNext/>
              <w:keepLines/>
              <w:autoSpaceDE w:val="0"/>
              <w:autoSpaceDN w:val="0"/>
              <w:adjustRightInd w:val="0"/>
              <w:jc w:val="left"/>
              <w:rPr>
                <w:rFonts w:cstheme="minorHAnsi"/>
              </w:rPr>
            </w:pPr>
            <w:r>
              <w:rPr>
                <w:rFonts w:cstheme="minorHAnsi"/>
              </w:rPr>
              <w:t xml:space="preserve">On return of device to </w:t>
            </w:r>
            <w:r w:rsidR="00FF5025">
              <w:rPr>
                <w:rFonts w:cstheme="minorHAnsi"/>
              </w:rPr>
              <w:t>clinic</w:t>
            </w:r>
          </w:p>
        </w:tc>
        <w:tc>
          <w:tcPr>
            <w:tcW w:w="1872" w:type="dxa"/>
          </w:tcPr>
          <w:p w14:paraId="19AB5AEB" w14:textId="562C8F61" w:rsidR="00F44CF1" w:rsidRPr="00F44CF1" w:rsidRDefault="00F44CF1" w:rsidP="0004580D">
            <w:pPr>
              <w:keepNext/>
              <w:keepLines/>
              <w:rPr>
                <w:rFonts w:cstheme="minorHAnsi"/>
              </w:rPr>
            </w:pPr>
            <w:r w:rsidRPr="00F44CF1">
              <w:rPr>
                <w:rFonts w:cstheme="minorHAnsi"/>
              </w:rPr>
              <w:t>11709</w:t>
            </w:r>
          </w:p>
        </w:tc>
      </w:tr>
      <w:tr w:rsidR="00F44CF1" w:rsidRPr="00F44CF1" w14:paraId="6C825B61" w14:textId="77777777" w:rsidTr="003205B4">
        <w:tc>
          <w:tcPr>
            <w:tcW w:w="3227" w:type="dxa"/>
          </w:tcPr>
          <w:p w14:paraId="71CDDD35" w14:textId="77777777" w:rsidR="00F44CF1" w:rsidRPr="00F44CF1" w:rsidRDefault="00F44CF1" w:rsidP="0004580D">
            <w:pPr>
              <w:keepNext/>
              <w:keepLines/>
              <w:autoSpaceDE w:val="0"/>
              <w:autoSpaceDN w:val="0"/>
              <w:adjustRightInd w:val="0"/>
              <w:jc w:val="left"/>
              <w:rPr>
                <w:rFonts w:cstheme="minorHAnsi"/>
              </w:rPr>
            </w:pPr>
            <w:r w:rsidRPr="00F44CF1">
              <w:rPr>
                <w:rFonts w:cstheme="minorHAnsi"/>
              </w:rPr>
              <w:t>External loop recorder or event</w:t>
            </w:r>
          </w:p>
          <w:p w14:paraId="66476E45" w14:textId="01AC3909" w:rsidR="00F44CF1" w:rsidRPr="00F44CF1" w:rsidRDefault="00F44CF1" w:rsidP="0004580D">
            <w:pPr>
              <w:keepNext/>
              <w:keepLines/>
              <w:rPr>
                <w:rFonts w:cstheme="minorHAnsi"/>
              </w:rPr>
            </w:pPr>
            <w:r w:rsidRPr="00F44CF1">
              <w:rPr>
                <w:rFonts w:cstheme="minorHAnsi"/>
              </w:rPr>
              <w:t>loop recorder (ELR)</w:t>
            </w:r>
          </w:p>
        </w:tc>
        <w:tc>
          <w:tcPr>
            <w:tcW w:w="1134" w:type="dxa"/>
          </w:tcPr>
          <w:p w14:paraId="57FAEB09" w14:textId="77777777" w:rsidR="00F44CF1" w:rsidRPr="00F44CF1" w:rsidRDefault="00F44CF1" w:rsidP="0004580D">
            <w:pPr>
              <w:keepNext/>
              <w:keepLines/>
              <w:autoSpaceDE w:val="0"/>
              <w:autoSpaceDN w:val="0"/>
              <w:adjustRightInd w:val="0"/>
              <w:jc w:val="left"/>
              <w:rPr>
                <w:rFonts w:cstheme="minorHAnsi"/>
              </w:rPr>
            </w:pPr>
            <w:r w:rsidRPr="00F44CF1">
              <w:rPr>
                <w:rFonts w:cstheme="minorHAnsi"/>
              </w:rPr>
              <w:t>Pre-post</w:t>
            </w:r>
          </w:p>
          <w:p w14:paraId="5D5E4433" w14:textId="50179781" w:rsidR="00F44CF1" w:rsidRPr="00F44CF1" w:rsidRDefault="00F44CF1" w:rsidP="0004580D">
            <w:pPr>
              <w:keepNext/>
              <w:keepLines/>
              <w:rPr>
                <w:rFonts w:cstheme="minorHAnsi"/>
              </w:rPr>
            </w:pPr>
            <w:r w:rsidRPr="00F44CF1">
              <w:rPr>
                <w:rFonts w:cstheme="minorHAnsi"/>
              </w:rPr>
              <w:t>event</w:t>
            </w:r>
          </w:p>
        </w:tc>
        <w:tc>
          <w:tcPr>
            <w:tcW w:w="2438" w:type="dxa"/>
          </w:tcPr>
          <w:p w14:paraId="46A4DA0F" w14:textId="12DA9411" w:rsidR="00F44CF1" w:rsidRPr="00F44CF1" w:rsidRDefault="00F44CF1" w:rsidP="0004580D">
            <w:pPr>
              <w:keepNext/>
              <w:keepLines/>
              <w:autoSpaceDE w:val="0"/>
              <w:autoSpaceDN w:val="0"/>
              <w:adjustRightInd w:val="0"/>
              <w:jc w:val="left"/>
              <w:rPr>
                <w:rFonts w:cstheme="minorHAnsi"/>
              </w:rPr>
            </w:pPr>
            <w:r w:rsidRPr="00F44CF1">
              <w:rPr>
                <w:rFonts w:cstheme="minorHAnsi"/>
              </w:rPr>
              <w:t>Largely patient triggered</w:t>
            </w:r>
            <w:r w:rsidR="00450F57">
              <w:rPr>
                <w:rFonts w:cstheme="minorHAnsi"/>
              </w:rPr>
              <w:t xml:space="preserve"> but </w:t>
            </w:r>
            <w:r w:rsidRPr="00F44CF1">
              <w:rPr>
                <w:rFonts w:cstheme="minorHAnsi"/>
              </w:rPr>
              <w:t>some devices</w:t>
            </w:r>
          </w:p>
          <w:p w14:paraId="046B5164" w14:textId="1034552E" w:rsidR="00F44CF1" w:rsidRPr="00F44CF1" w:rsidRDefault="00F44CF1" w:rsidP="0004580D">
            <w:pPr>
              <w:keepNext/>
              <w:keepLines/>
              <w:rPr>
                <w:rFonts w:cstheme="minorHAnsi"/>
              </w:rPr>
            </w:pPr>
            <w:r w:rsidRPr="00F44CF1">
              <w:rPr>
                <w:rFonts w:cstheme="minorHAnsi"/>
              </w:rPr>
              <w:t>are auto triggered</w:t>
            </w:r>
          </w:p>
        </w:tc>
        <w:tc>
          <w:tcPr>
            <w:tcW w:w="1389" w:type="dxa"/>
          </w:tcPr>
          <w:p w14:paraId="241E1C48" w14:textId="15FBDEA1" w:rsidR="00F44CF1" w:rsidRPr="00F44CF1" w:rsidRDefault="00450F57" w:rsidP="0004580D">
            <w:pPr>
              <w:keepNext/>
              <w:keepLines/>
              <w:autoSpaceDE w:val="0"/>
              <w:autoSpaceDN w:val="0"/>
              <w:adjustRightInd w:val="0"/>
              <w:jc w:val="left"/>
              <w:rPr>
                <w:rFonts w:cstheme="minorHAnsi"/>
              </w:rPr>
            </w:pPr>
            <w:r>
              <w:rPr>
                <w:rFonts w:cstheme="minorHAnsi"/>
              </w:rPr>
              <w:t xml:space="preserve">Periodically by patient OR </w:t>
            </w:r>
            <w:r w:rsidR="00F44CF1" w:rsidRPr="00F44CF1">
              <w:rPr>
                <w:rFonts w:cstheme="minorHAnsi"/>
              </w:rPr>
              <w:t>telemetry</w:t>
            </w:r>
          </w:p>
        </w:tc>
        <w:tc>
          <w:tcPr>
            <w:tcW w:w="1872" w:type="dxa"/>
          </w:tcPr>
          <w:p w14:paraId="322FBD6A" w14:textId="3204C42E" w:rsidR="00F44CF1" w:rsidRPr="00F44CF1" w:rsidRDefault="00F44CF1" w:rsidP="0004580D">
            <w:pPr>
              <w:keepNext/>
              <w:keepLines/>
              <w:rPr>
                <w:rFonts w:cstheme="minorHAnsi"/>
              </w:rPr>
            </w:pPr>
            <w:r w:rsidRPr="00F44CF1">
              <w:rPr>
                <w:rFonts w:cstheme="minorHAnsi"/>
              </w:rPr>
              <w:t>11710</w:t>
            </w:r>
          </w:p>
        </w:tc>
      </w:tr>
      <w:tr w:rsidR="00F44CF1" w:rsidRPr="00F44CF1" w14:paraId="5EFD40C3" w14:textId="77777777" w:rsidTr="003205B4">
        <w:tc>
          <w:tcPr>
            <w:tcW w:w="3227" w:type="dxa"/>
          </w:tcPr>
          <w:p w14:paraId="5FF88A34" w14:textId="634D7B6A" w:rsidR="00F44CF1" w:rsidRPr="00F44CF1" w:rsidRDefault="00F44CF1" w:rsidP="00450F57">
            <w:pPr>
              <w:jc w:val="left"/>
              <w:rPr>
                <w:rFonts w:cstheme="minorHAnsi"/>
              </w:rPr>
            </w:pPr>
            <w:r w:rsidRPr="00F44CF1">
              <w:rPr>
                <w:rFonts w:cstheme="minorHAnsi"/>
              </w:rPr>
              <w:t>Event recorder (handheld)</w:t>
            </w:r>
          </w:p>
        </w:tc>
        <w:tc>
          <w:tcPr>
            <w:tcW w:w="1134" w:type="dxa"/>
          </w:tcPr>
          <w:p w14:paraId="5CDAD15E" w14:textId="2B10F03E" w:rsidR="00F44CF1" w:rsidRPr="00F44CF1" w:rsidRDefault="00F44CF1" w:rsidP="00450F57">
            <w:pPr>
              <w:jc w:val="left"/>
              <w:rPr>
                <w:rFonts w:cstheme="minorHAnsi"/>
              </w:rPr>
            </w:pPr>
            <w:r w:rsidRPr="00F44CF1">
              <w:rPr>
                <w:rFonts w:cstheme="minorHAnsi"/>
              </w:rPr>
              <w:t>Post event</w:t>
            </w:r>
          </w:p>
        </w:tc>
        <w:tc>
          <w:tcPr>
            <w:tcW w:w="2438" w:type="dxa"/>
          </w:tcPr>
          <w:p w14:paraId="519EF33E" w14:textId="1D7AEF20" w:rsidR="00F44CF1" w:rsidRPr="00F44CF1" w:rsidRDefault="00F44CF1" w:rsidP="00450F57">
            <w:pPr>
              <w:jc w:val="left"/>
              <w:rPr>
                <w:rFonts w:cstheme="minorHAnsi"/>
              </w:rPr>
            </w:pPr>
            <w:r w:rsidRPr="00F44CF1">
              <w:rPr>
                <w:rFonts w:cstheme="minorHAnsi"/>
              </w:rPr>
              <w:t>Patient triggered</w:t>
            </w:r>
          </w:p>
        </w:tc>
        <w:tc>
          <w:tcPr>
            <w:tcW w:w="1389" w:type="dxa"/>
          </w:tcPr>
          <w:p w14:paraId="59E6612C" w14:textId="6D89992A" w:rsidR="00F44CF1" w:rsidRPr="00F44CF1" w:rsidRDefault="00450F57" w:rsidP="00450F57">
            <w:pPr>
              <w:jc w:val="left"/>
              <w:rPr>
                <w:rFonts w:cstheme="minorHAnsi"/>
              </w:rPr>
            </w:pPr>
            <w:r>
              <w:rPr>
                <w:rFonts w:cstheme="minorHAnsi"/>
              </w:rPr>
              <w:t xml:space="preserve">Periodically </w:t>
            </w:r>
            <w:r w:rsidR="00F44CF1" w:rsidRPr="00F44CF1">
              <w:rPr>
                <w:rFonts w:cstheme="minorHAnsi"/>
              </w:rPr>
              <w:t>by patient</w:t>
            </w:r>
          </w:p>
        </w:tc>
        <w:tc>
          <w:tcPr>
            <w:tcW w:w="1872" w:type="dxa"/>
          </w:tcPr>
          <w:p w14:paraId="762AB20B" w14:textId="306EFADB" w:rsidR="00F44CF1" w:rsidRPr="00F44CF1" w:rsidRDefault="00F44CF1" w:rsidP="00450F57">
            <w:pPr>
              <w:jc w:val="left"/>
              <w:rPr>
                <w:rFonts w:cstheme="minorHAnsi"/>
              </w:rPr>
            </w:pPr>
            <w:r w:rsidRPr="00F44CF1">
              <w:rPr>
                <w:rFonts w:cstheme="minorHAnsi"/>
              </w:rPr>
              <w:t>11711</w:t>
            </w:r>
          </w:p>
        </w:tc>
      </w:tr>
      <w:tr w:rsidR="00F44CF1" w:rsidRPr="00F44CF1" w14:paraId="4FEBF050" w14:textId="77777777" w:rsidTr="003205B4">
        <w:tc>
          <w:tcPr>
            <w:tcW w:w="3227" w:type="dxa"/>
          </w:tcPr>
          <w:p w14:paraId="2C1B2F65" w14:textId="77777777" w:rsidR="00F44CF1" w:rsidRPr="00F44CF1" w:rsidRDefault="00F44CF1" w:rsidP="00450F57">
            <w:pPr>
              <w:autoSpaceDE w:val="0"/>
              <w:autoSpaceDN w:val="0"/>
              <w:adjustRightInd w:val="0"/>
              <w:jc w:val="left"/>
              <w:rPr>
                <w:rFonts w:cstheme="minorHAnsi"/>
              </w:rPr>
            </w:pPr>
            <w:r w:rsidRPr="00F44CF1">
              <w:rPr>
                <w:rFonts w:cstheme="minorHAnsi"/>
              </w:rPr>
              <w:t>Real-time cardiac</w:t>
            </w:r>
          </w:p>
          <w:p w14:paraId="34AA60EB" w14:textId="29F610CE" w:rsidR="00F44CF1" w:rsidRPr="00F44CF1" w:rsidRDefault="00F44CF1" w:rsidP="00450F57">
            <w:pPr>
              <w:jc w:val="left"/>
              <w:rPr>
                <w:rFonts w:cstheme="minorHAnsi"/>
              </w:rPr>
            </w:pPr>
            <w:r w:rsidRPr="00F44CF1">
              <w:rPr>
                <w:rFonts w:cstheme="minorHAnsi"/>
              </w:rPr>
              <w:t>telemetry (e.g. V-Patch)</w:t>
            </w:r>
          </w:p>
        </w:tc>
        <w:tc>
          <w:tcPr>
            <w:tcW w:w="1134" w:type="dxa"/>
          </w:tcPr>
          <w:p w14:paraId="49471CB4" w14:textId="77777777" w:rsidR="00F44CF1" w:rsidRPr="00F44CF1" w:rsidRDefault="00F44CF1" w:rsidP="00450F57">
            <w:pPr>
              <w:autoSpaceDE w:val="0"/>
              <w:autoSpaceDN w:val="0"/>
              <w:adjustRightInd w:val="0"/>
              <w:jc w:val="left"/>
              <w:rPr>
                <w:rFonts w:cstheme="minorHAnsi"/>
              </w:rPr>
            </w:pPr>
            <w:r w:rsidRPr="00F44CF1">
              <w:rPr>
                <w:rFonts w:cstheme="minorHAnsi"/>
              </w:rPr>
              <w:t>Pre-post</w:t>
            </w:r>
          </w:p>
          <w:p w14:paraId="0754D651" w14:textId="48250201" w:rsidR="00F44CF1" w:rsidRPr="00F44CF1" w:rsidRDefault="00F44CF1" w:rsidP="00450F57">
            <w:pPr>
              <w:jc w:val="left"/>
              <w:rPr>
                <w:rFonts w:cstheme="minorHAnsi"/>
              </w:rPr>
            </w:pPr>
            <w:r w:rsidRPr="00F44CF1">
              <w:rPr>
                <w:rFonts w:cstheme="minorHAnsi"/>
              </w:rPr>
              <w:t>event</w:t>
            </w:r>
          </w:p>
        </w:tc>
        <w:tc>
          <w:tcPr>
            <w:tcW w:w="2438" w:type="dxa"/>
          </w:tcPr>
          <w:p w14:paraId="31CF8473" w14:textId="77777777" w:rsidR="00F44CF1" w:rsidRPr="00F44CF1" w:rsidRDefault="00F44CF1" w:rsidP="00450F57">
            <w:pPr>
              <w:autoSpaceDE w:val="0"/>
              <w:autoSpaceDN w:val="0"/>
              <w:adjustRightInd w:val="0"/>
              <w:jc w:val="left"/>
              <w:rPr>
                <w:rFonts w:cstheme="minorHAnsi"/>
              </w:rPr>
            </w:pPr>
            <w:r w:rsidRPr="00F44CF1">
              <w:rPr>
                <w:rFonts w:cstheme="minorHAnsi"/>
              </w:rPr>
              <w:t>Auto-triggered</w:t>
            </w:r>
          </w:p>
          <w:p w14:paraId="5CAE84B7" w14:textId="6E881889" w:rsidR="00F44CF1" w:rsidRPr="00F44CF1" w:rsidRDefault="00450F57" w:rsidP="00450F57">
            <w:pPr>
              <w:autoSpaceDE w:val="0"/>
              <w:autoSpaceDN w:val="0"/>
              <w:adjustRightInd w:val="0"/>
              <w:jc w:val="left"/>
              <w:rPr>
                <w:rFonts w:cstheme="minorHAnsi"/>
              </w:rPr>
            </w:pPr>
            <w:r>
              <w:rPr>
                <w:rFonts w:cstheme="minorHAnsi"/>
              </w:rPr>
              <w:t xml:space="preserve">(can also be patient </w:t>
            </w:r>
            <w:r w:rsidR="00F44CF1" w:rsidRPr="00F44CF1">
              <w:rPr>
                <w:rFonts w:cstheme="minorHAnsi"/>
              </w:rPr>
              <w:t>triggered)</w:t>
            </w:r>
          </w:p>
        </w:tc>
        <w:tc>
          <w:tcPr>
            <w:tcW w:w="1389" w:type="dxa"/>
          </w:tcPr>
          <w:p w14:paraId="2E264F87" w14:textId="6F786146" w:rsidR="00F44CF1" w:rsidRPr="00F44CF1" w:rsidRDefault="00F44CF1" w:rsidP="00450F57">
            <w:pPr>
              <w:jc w:val="left"/>
              <w:rPr>
                <w:rFonts w:cstheme="minorHAnsi"/>
              </w:rPr>
            </w:pPr>
            <w:r w:rsidRPr="00F44CF1">
              <w:rPr>
                <w:rFonts w:cstheme="minorHAnsi"/>
              </w:rPr>
              <w:t>Telemetry</w:t>
            </w:r>
          </w:p>
        </w:tc>
        <w:tc>
          <w:tcPr>
            <w:tcW w:w="1872" w:type="dxa"/>
          </w:tcPr>
          <w:p w14:paraId="0EC5A8DD" w14:textId="560C5ED5" w:rsidR="00F44CF1" w:rsidRPr="00F44CF1" w:rsidRDefault="00F44CF1" w:rsidP="00450F57">
            <w:pPr>
              <w:jc w:val="left"/>
              <w:rPr>
                <w:rFonts w:cstheme="minorHAnsi"/>
              </w:rPr>
            </w:pPr>
            <w:r w:rsidRPr="00F44CF1">
              <w:rPr>
                <w:rFonts w:cstheme="minorHAnsi"/>
              </w:rPr>
              <w:t>11708</w:t>
            </w:r>
          </w:p>
        </w:tc>
      </w:tr>
      <w:tr w:rsidR="00F44CF1" w:rsidRPr="00F44CF1" w14:paraId="587EAADB" w14:textId="77777777" w:rsidTr="003205B4">
        <w:tc>
          <w:tcPr>
            <w:tcW w:w="3227" w:type="dxa"/>
          </w:tcPr>
          <w:p w14:paraId="296F1896" w14:textId="687406E4" w:rsidR="00F44CF1" w:rsidRPr="00450F57" w:rsidRDefault="00F44CF1" w:rsidP="00450F57">
            <w:pPr>
              <w:jc w:val="left"/>
              <w:rPr>
                <w:rFonts w:cstheme="minorHAnsi"/>
                <w:i/>
              </w:rPr>
            </w:pPr>
            <w:r w:rsidRPr="00450F57">
              <w:rPr>
                <w:rFonts w:cstheme="minorHAnsi"/>
                <w:i/>
              </w:rPr>
              <w:t>Implantable loop recorder (ILR)</w:t>
            </w:r>
            <w:r w:rsidR="000A2357">
              <w:rPr>
                <w:rFonts w:cstheme="minorHAnsi"/>
                <w:i/>
              </w:rPr>
              <w:t>*</w:t>
            </w:r>
          </w:p>
        </w:tc>
        <w:tc>
          <w:tcPr>
            <w:tcW w:w="1134" w:type="dxa"/>
          </w:tcPr>
          <w:p w14:paraId="03EF3EDF" w14:textId="77777777" w:rsidR="00F44CF1" w:rsidRPr="00450F57" w:rsidRDefault="00F44CF1" w:rsidP="00450F57">
            <w:pPr>
              <w:autoSpaceDE w:val="0"/>
              <w:autoSpaceDN w:val="0"/>
              <w:adjustRightInd w:val="0"/>
              <w:jc w:val="left"/>
              <w:rPr>
                <w:rFonts w:cstheme="minorHAnsi"/>
                <w:i/>
              </w:rPr>
            </w:pPr>
            <w:r w:rsidRPr="00450F57">
              <w:rPr>
                <w:rFonts w:cstheme="minorHAnsi"/>
                <w:i/>
              </w:rPr>
              <w:t>Pre-post</w:t>
            </w:r>
          </w:p>
          <w:p w14:paraId="260EFF12" w14:textId="0C4BA65D" w:rsidR="00F44CF1" w:rsidRPr="00450F57" w:rsidRDefault="00F44CF1" w:rsidP="00450F57">
            <w:pPr>
              <w:jc w:val="left"/>
              <w:rPr>
                <w:rFonts w:cstheme="minorHAnsi"/>
                <w:i/>
              </w:rPr>
            </w:pPr>
            <w:r w:rsidRPr="00450F57">
              <w:rPr>
                <w:rFonts w:cstheme="minorHAnsi"/>
                <w:i/>
              </w:rPr>
              <w:t>event</w:t>
            </w:r>
          </w:p>
        </w:tc>
        <w:tc>
          <w:tcPr>
            <w:tcW w:w="2438" w:type="dxa"/>
          </w:tcPr>
          <w:p w14:paraId="68219163" w14:textId="77777777" w:rsidR="00F44CF1" w:rsidRPr="00450F57" w:rsidRDefault="00F44CF1" w:rsidP="00450F57">
            <w:pPr>
              <w:autoSpaceDE w:val="0"/>
              <w:autoSpaceDN w:val="0"/>
              <w:adjustRightInd w:val="0"/>
              <w:jc w:val="left"/>
              <w:rPr>
                <w:rFonts w:cstheme="minorHAnsi"/>
                <w:i/>
              </w:rPr>
            </w:pPr>
            <w:r w:rsidRPr="00450F57">
              <w:rPr>
                <w:rFonts w:cstheme="minorHAnsi"/>
                <w:i/>
              </w:rPr>
              <w:t>Auto-triggered</w:t>
            </w:r>
          </w:p>
          <w:p w14:paraId="285C2171" w14:textId="30417362" w:rsidR="00F44CF1" w:rsidRPr="00450F57" w:rsidRDefault="00450F57" w:rsidP="00450F57">
            <w:pPr>
              <w:autoSpaceDE w:val="0"/>
              <w:autoSpaceDN w:val="0"/>
              <w:adjustRightInd w:val="0"/>
              <w:jc w:val="left"/>
              <w:rPr>
                <w:rFonts w:cstheme="minorHAnsi"/>
                <w:i/>
              </w:rPr>
            </w:pPr>
            <w:r w:rsidRPr="00450F57">
              <w:rPr>
                <w:rFonts w:cstheme="minorHAnsi"/>
                <w:i/>
              </w:rPr>
              <w:t xml:space="preserve">(can also be patient </w:t>
            </w:r>
            <w:r w:rsidR="00F44CF1" w:rsidRPr="00450F57">
              <w:rPr>
                <w:rFonts w:cstheme="minorHAnsi"/>
                <w:i/>
              </w:rPr>
              <w:t>triggered)</w:t>
            </w:r>
          </w:p>
        </w:tc>
        <w:tc>
          <w:tcPr>
            <w:tcW w:w="1389" w:type="dxa"/>
          </w:tcPr>
          <w:p w14:paraId="717BC5F6" w14:textId="7C4E8426" w:rsidR="00F44CF1" w:rsidRPr="00450F57" w:rsidRDefault="00F44CF1" w:rsidP="00450F57">
            <w:pPr>
              <w:jc w:val="left"/>
              <w:rPr>
                <w:rFonts w:cstheme="minorHAnsi"/>
                <w:i/>
              </w:rPr>
            </w:pPr>
            <w:r w:rsidRPr="00450F57">
              <w:rPr>
                <w:rFonts w:cstheme="minorHAnsi"/>
                <w:i/>
              </w:rPr>
              <w:t>Telemetry</w:t>
            </w:r>
          </w:p>
        </w:tc>
        <w:tc>
          <w:tcPr>
            <w:tcW w:w="1872" w:type="dxa"/>
          </w:tcPr>
          <w:p w14:paraId="34666D5F" w14:textId="31DDA961" w:rsidR="00F44CF1" w:rsidRPr="00450F57" w:rsidRDefault="003205B4" w:rsidP="003205B4">
            <w:pPr>
              <w:autoSpaceDE w:val="0"/>
              <w:autoSpaceDN w:val="0"/>
              <w:adjustRightInd w:val="0"/>
              <w:jc w:val="left"/>
              <w:rPr>
                <w:rFonts w:cstheme="minorHAnsi"/>
                <w:i/>
              </w:rPr>
            </w:pPr>
            <w:r>
              <w:rPr>
                <w:rFonts w:cstheme="minorHAnsi"/>
                <w:i/>
              </w:rPr>
              <w:t xml:space="preserve">38285, for implantation </w:t>
            </w:r>
            <w:r w:rsidR="00F44CF1" w:rsidRPr="00450F57">
              <w:rPr>
                <w:rFonts w:cstheme="minorHAnsi"/>
                <w:i/>
              </w:rPr>
              <w:t>and 1172</w:t>
            </w:r>
            <w:r w:rsidR="00FF5025">
              <w:rPr>
                <w:rFonts w:cstheme="minorHAnsi"/>
                <w:i/>
              </w:rPr>
              <w:t>2</w:t>
            </w:r>
            <w:r>
              <w:rPr>
                <w:rFonts w:cstheme="minorHAnsi"/>
                <w:i/>
              </w:rPr>
              <w:t xml:space="preserve"> </w:t>
            </w:r>
            <w:r w:rsidR="00F44CF1" w:rsidRPr="00450F57">
              <w:rPr>
                <w:rFonts w:cstheme="minorHAnsi"/>
                <w:i/>
              </w:rPr>
              <w:t>for reading</w:t>
            </w:r>
            <w:r w:rsidR="0013342C">
              <w:rPr>
                <w:rFonts w:cstheme="minorHAnsi"/>
                <w:i/>
              </w:rPr>
              <w:t xml:space="preserve"> at follow-up consultation</w:t>
            </w:r>
          </w:p>
        </w:tc>
      </w:tr>
    </w:tbl>
    <w:p w14:paraId="6E30364D" w14:textId="339EEAEB" w:rsidR="00450F57" w:rsidRPr="00450F57" w:rsidRDefault="007372A7" w:rsidP="00450F57">
      <w:pPr>
        <w:spacing w:after="0" w:line="240" w:lineRule="auto"/>
        <w:rPr>
          <w:rFonts w:cstheme="minorHAnsi"/>
          <w:sz w:val="18"/>
          <w:szCs w:val="18"/>
        </w:rPr>
      </w:pPr>
      <w:r w:rsidRPr="007372A7">
        <w:rPr>
          <w:rFonts w:cstheme="minorHAnsi"/>
          <w:sz w:val="18"/>
          <w:szCs w:val="18"/>
        </w:rPr>
        <w:t>Source: DOH</w:t>
      </w:r>
      <w:r w:rsidR="00310015">
        <w:rPr>
          <w:rFonts w:cstheme="minorHAnsi"/>
          <w:sz w:val="18"/>
          <w:szCs w:val="18"/>
        </w:rPr>
        <w:t xml:space="preserve"> (</w:t>
      </w:r>
      <w:r w:rsidRPr="007372A7">
        <w:rPr>
          <w:rFonts w:cstheme="minorHAnsi"/>
          <w:sz w:val="18"/>
          <w:szCs w:val="18"/>
        </w:rPr>
        <w:t>2015</w:t>
      </w:r>
      <w:r w:rsidR="00310015">
        <w:rPr>
          <w:rFonts w:cstheme="minorHAnsi"/>
          <w:sz w:val="18"/>
          <w:szCs w:val="18"/>
        </w:rPr>
        <w:t>a)</w:t>
      </w:r>
    </w:p>
    <w:p w14:paraId="245D8A98" w14:textId="77777777" w:rsidR="00DA6B53" w:rsidRDefault="00450F57" w:rsidP="00DA6B53">
      <w:pPr>
        <w:spacing w:after="0" w:line="240" w:lineRule="auto"/>
        <w:rPr>
          <w:rFonts w:cstheme="minorHAnsi"/>
          <w:sz w:val="18"/>
          <w:szCs w:val="18"/>
        </w:rPr>
      </w:pPr>
      <w:r w:rsidRPr="00450F57">
        <w:rPr>
          <w:rFonts w:cstheme="minorHAnsi"/>
          <w:sz w:val="18"/>
          <w:szCs w:val="18"/>
        </w:rPr>
        <w:t>Abbreviations: AECG, ambulatory electrocardiography, MBS, Medical Benefits Schedule</w:t>
      </w:r>
    </w:p>
    <w:p w14:paraId="628AF46A" w14:textId="463934B1" w:rsidR="00D37529" w:rsidRPr="00DA6B53" w:rsidRDefault="000A2357" w:rsidP="00DA6B53">
      <w:pPr>
        <w:spacing w:after="360" w:line="240" w:lineRule="auto"/>
        <w:rPr>
          <w:rFonts w:cstheme="minorHAnsi"/>
          <w:sz w:val="18"/>
          <w:szCs w:val="18"/>
        </w:rPr>
      </w:pPr>
      <w:r>
        <w:rPr>
          <w:rFonts w:cstheme="minorHAnsi"/>
          <w:sz w:val="18"/>
          <w:szCs w:val="18"/>
        </w:rPr>
        <w:t>*</w:t>
      </w:r>
      <w:r w:rsidR="00DA6B53">
        <w:rPr>
          <w:rFonts w:cstheme="minorHAnsi"/>
          <w:sz w:val="18"/>
          <w:szCs w:val="18"/>
        </w:rPr>
        <w:t xml:space="preserve">Note: </w:t>
      </w:r>
      <w:r w:rsidR="00DA6B53" w:rsidRPr="00DA6B53">
        <w:rPr>
          <w:rFonts w:cstheme="minorHAnsi"/>
          <w:sz w:val="18"/>
          <w:szCs w:val="18"/>
        </w:rPr>
        <w:t xml:space="preserve">ILRs have been added in italics for comparison with the other </w:t>
      </w:r>
      <w:proofErr w:type="gramStart"/>
      <w:r w:rsidR="00DA6B53" w:rsidRPr="00DA6B53">
        <w:rPr>
          <w:rFonts w:cstheme="minorHAnsi"/>
          <w:sz w:val="18"/>
          <w:szCs w:val="18"/>
        </w:rPr>
        <w:t>devices,</w:t>
      </w:r>
      <w:proofErr w:type="gramEnd"/>
      <w:r w:rsidR="00DA6B53" w:rsidRPr="00DA6B53">
        <w:rPr>
          <w:rFonts w:cstheme="minorHAnsi"/>
          <w:sz w:val="18"/>
          <w:szCs w:val="18"/>
        </w:rPr>
        <w:t xml:space="preserve"> however the current MBS item for implantation is for use in recurrent unexplained syncope only.</w:t>
      </w:r>
    </w:p>
    <w:p w14:paraId="48A38442" w14:textId="1C29249C" w:rsidR="008513CD" w:rsidRDefault="008513CD" w:rsidP="00DA6B53">
      <w:pPr>
        <w:rPr>
          <w:highlight w:val="yellow"/>
        </w:rPr>
      </w:pPr>
      <w:r w:rsidRPr="008513CD">
        <w:t>The</w:t>
      </w:r>
      <w:r>
        <w:t xml:space="preserve"> above mentioned monitoring strategies </w:t>
      </w:r>
      <w:r w:rsidR="00105C14">
        <w:t>can be for one-time use or for repetiti</w:t>
      </w:r>
      <w:r w:rsidR="005F2013">
        <w:t>ve external monitoring. Figure 4</w:t>
      </w:r>
      <w:r w:rsidR="00105C14">
        <w:t xml:space="preserve"> provides an illustration of how these various devices might be used (</w:t>
      </w:r>
      <w:proofErr w:type="spellStart"/>
      <w:r w:rsidR="00105C14">
        <w:t>Choe</w:t>
      </w:r>
      <w:proofErr w:type="spellEnd"/>
      <w:r w:rsidR="00105C14">
        <w:t xml:space="preserve"> et al.</w:t>
      </w:r>
      <w:r w:rsidR="003205B4">
        <w:t>,</w:t>
      </w:r>
      <w:r w:rsidR="00105C14">
        <w:t xml:space="preserve"> 2015). Note</w:t>
      </w:r>
      <w:proofErr w:type="gramStart"/>
      <w:r w:rsidR="00105C14">
        <w:t>,</w:t>
      </w:r>
      <w:proofErr w:type="gramEnd"/>
      <w:r w:rsidR="00105C14">
        <w:t xml:space="preserve"> ILRs, which would monitor continuously for 3 years, are not represented in this figure.</w:t>
      </w:r>
    </w:p>
    <w:p w14:paraId="48BEF7BE" w14:textId="691C31B0" w:rsidR="006B3D1D" w:rsidRDefault="006B3D1D" w:rsidP="006B3D1D">
      <w:pPr>
        <w:pStyle w:val="Caption"/>
      </w:pPr>
      <w:r>
        <w:lastRenderedPageBreak/>
        <w:t xml:space="preserve">Figure </w:t>
      </w:r>
      <w:r>
        <w:fldChar w:fldCharType="begin"/>
      </w:r>
      <w:r>
        <w:instrText xml:space="preserve"> SEQ Figure \* ARABIC </w:instrText>
      </w:r>
      <w:r>
        <w:fldChar w:fldCharType="separate"/>
      </w:r>
      <w:r w:rsidR="00F3250E">
        <w:rPr>
          <w:noProof/>
        </w:rPr>
        <w:t>4</w:t>
      </w:r>
      <w:r>
        <w:fldChar w:fldCharType="end"/>
      </w:r>
      <w:r>
        <w:tab/>
        <w:t>Simulation of strategies for one-time and repetitive periodic external monitoring</w:t>
      </w:r>
      <w:r>
        <w:tab/>
      </w:r>
    </w:p>
    <w:p w14:paraId="5FF9CCD9" w14:textId="730703C2" w:rsidR="006B3D1D" w:rsidRPr="006B3D1D" w:rsidRDefault="006B3D1D" w:rsidP="00235DA8">
      <w:pPr>
        <w:spacing w:after="120"/>
        <w:jc w:val="left"/>
        <w:rPr>
          <w:lang w:val="en-GB" w:eastAsia="ja-JP"/>
        </w:rPr>
      </w:pPr>
      <w:r>
        <w:rPr>
          <w:noProof/>
          <w:lang w:eastAsia="en-AU"/>
        </w:rPr>
        <w:drawing>
          <wp:inline distT="0" distB="0" distL="0" distR="0" wp14:anchorId="55C24F3E" wp14:editId="6D3704C5">
            <wp:extent cx="4362450" cy="2571750"/>
            <wp:effectExtent l="0" t="0" r="0" b="0"/>
            <wp:docPr id="6" name="Picture 6" descr="Figure 4 Simulation of strategies for one-time and repetitive periodic external moni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62450" cy="2571750"/>
                    </a:xfrm>
                    <a:prstGeom prst="rect">
                      <a:avLst/>
                    </a:prstGeom>
                    <a:noFill/>
                    <a:ln>
                      <a:noFill/>
                    </a:ln>
                  </pic:spPr>
                </pic:pic>
              </a:graphicData>
            </a:graphic>
          </wp:inline>
        </w:drawing>
      </w:r>
    </w:p>
    <w:p w14:paraId="14786DC7" w14:textId="69648CFA" w:rsidR="00A422A4" w:rsidRPr="00A422A4" w:rsidRDefault="00A422A4" w:rsidP="00235DA8">
      <w:pPr>
        <w:spacing w:after="360" w:line="240" w:lineRule="auto"/>
        <w:rPr>
          <w:rFonts w:cstheme="minorHAnsi"/>
          <w:sz w:val="18"/>
          <w:szCs w:val="18"/>
        </w:rPr>
      </w:pPr>
      <w:r>
        <w:rPr>
          <w:rFonts w:cstheme="minorHAnsi"/>
          <w:sz w:val="18"/>
          <w:szCs w:val="18"/>
        </w:rPr>
        <w:t>Source</w:t>
      </w:r>
      <w:r w:rsidRPr="003205B4">
        <w:rPr>
          <w:rFonts w:cstheme="minorHAnsi"/>
          <w:sz w:val="18"/>
          <w:szCs w:val="18"/>
        </w:rPr>
        <w:t xml:space="preserve">: </w:t>
      </w:r>
      <w:proofErr w:type="spellStart"/>
      <w:r w:rsidR="003205B4" w:rsidRPr="003205B4">
        <w:rPr>
          <w:rFonts w:cstheme="minorHAnsi"/>
          <w:sz w:val="18"/>
          <w:szCs w:val="18"/>
        </w:rPr>
        <w:t>Choe</w:t>
      </w:r>
      <w:proofErr w:type="spellEnd"/>
      <w:r w:rsidR="003205B4" w:rsidRPr="003205B4">
        <w:rPr>
          <w:rFonts w:cstheme="minorHAnsi"/>
          <w:sz w:val="18"/>
          <w:szCs w:val="18"/>
        </w:rPr>
        <w:t xml:space="preserve"> et al., 2015</w:t>
      </w:r>
    </w:p>
    <w:p w14:paraId="4338093F" w14:textId="3FFC77C8" w:rsidR="00543548" w:rsidRPr="007A0D20" w:rsidRDefault="0066293C" w:rsidP="00B80FEE">
      <w:pPr>
        <w:keepNext/>
        <w:rPr>
          <w:b/>
        </w:rPr>
      </w:pPr>
      <w:r>
        <w:rPr>
          <w:i/>
        </w:rPr>
        <w:t>Comparator</w:t>
      </w:r>
      <w:r w:rsidR="007A0D20">
        <w:rPr>
          <w:i/>
        </w:rPr>
        <w:t xml:space="preserve"> used in key</w:t>
      </w:r>
      <w:r>
        <w:rPr>
          <w:i/>
        </w:rPr>
        <w:t xml:space="preserve"> clinical</w:t>
      </w:r>
      <w:r w:rsidR="007A0D20">
        <w:rPr>
          <w:i/>
        </w:rPr>
        <w:t xml:space="preserve"> trial </w:t>
      </w:r>
    </w:p>
    <w:p w14:paraId="75064635" w14:textId="67960B29" w:rsidR="00543548" w:rsidRPr="008D2A47" w:rsidRDefault="00105C14" w:rsidP="00B80FEE">
      <w:pPr>
        <w:pStyle w:val="TableText0"/>
        <w:spacing w:after="200" w:line="276" w:lineRule="auto"/>
        <w:rPr>
          <w:rFonts w:asciiTheme="minorHAnsi" w:eastAsiaTheme="minorEastAsia" w:hAnsiTheme="minorHAnsi" w:cstheme="minorBidi"/>
          <w:sz w:val="22"/>
          <w:lang w:val="en-AU"/>
        </w:rPr>
      </w:pPr>
      <w:r w:rsidRPr="008D2A47">
        <w:rPr>
          <w:rFonts w:asciiTheme="minorHAnsi" w:eastAsiaTheme="minorEastAsia" w:hAnsiTheme="minorHAnsi" w:cstheme="minorBidi"/>
          <w:sz w:val="22"/>
          <w:lang w:val="en-AU"/>
        </w:rPr>
        <w:t>In the</w:t>
      </w:r>
      <w:r w:rsidR="003205B4">
        <w:rPr>
          <w:rFonts w:asciiTheme="minorHAnsi" w:eastAsiaTheme="minorEastAsia" w:hAnsiTheme="minorHAnsi" w:cstheme="minorBidi"/>
          <w:sz w:val="22"/>
          <w:lang w:val="en-AU"/>
        </w:rPr>
        <w:t xml:space="preserve"> pivotal CRYSTAL AF trial (</w:t>
      </w:r>
      <w:proofErr w:type="spellStart"/>
      <w:r w:rsidR="003205B4">
        <w:rPr>
          <w:rFonts w:asciiTheme="minorHAnsi" w:eastAsiaTheme="minorEastAsia" w:hAnsiTheme="minorHAnsi" w:cstheme="minorBidi"/>
          <w:sz w:val="22"/>
          <w:lang w:val="en-AU"/>
        </w:rPr>
        <w:t>Sanna</w:t>
      </w:r>
      <w:proofErr w:type="spellEnd"/>
      <w:r w:rsidRPr="008D2A47">
        <w:rPr>
          <w:rFonts w:asciiTheme="minorHAnsi" w:eastAsiaTheme="minorEastAsia" w:hAnsiTheme="minorHAnsi" w:cstheme="minorBidi"/>
          <w:sz w:val="22"/>
          <w:lang w:val="en-AU"/>
        </w:rPr>
        <w:t xml:space="preserve"> et al.</w:t>
      </w:r>
      <w:r w:rsidR="003205B4">
        <w:rPr>
          <w:rFonts w:asciiTheme="minorHAnsi" w:eastAsiaTheme="minorEastAsia" w:hAnsiTheme="minorHAnsi" w:cstheme="minorBidi"/>
          <w:sz w:val="22"/>
          <w:lang w:val="en-AU"/>
        </w:rPr>
        <w:t>, 2014</w:t>
      </w:r>
      <w:r w:rsidRPr="008D2A47">
        <w:rPr>
          <w:rFonts w:asciiTheme="minorHAnsi" w:eastAsiaTheme="minorEastAsia" w:hAnsiTheme="minorHAnsi" w:cstheme="minorBidi"/>
          <w:sz w:val="22"/>
          <w:lang w:val="en-AU"/>
        </w:rPr>
        <w:t xml:space="preserve">) </w:t>
      </w:r>
      <w:r w:rsidR="00BF27FF">
        <w:rPr>
          <w:rFonts w:asciiTheme="minorHAnsi" w:eastAsiaTheme="minorEastAsia" w:hAnsiTheme="minorHAnsi" w:cstheme="minorBidi"/>
          <w:sz w:val="22"/>
          <w:lang w:val="en-AU"/>
        </w:rPr>
        <w:t xml:space="preserve">long-term monitoring with an ILR was compared to conventional follow-up (control) for detecting AF in patients with CS. Patients in this control group underwent </w:t>
      </w:r>
      <w:r w:rsidR="00BF27FF" w:rsidRPr="00BF27FF">
        <w:rPr>
          <w:rFonts w:asciiTheme="minorHAnsi" w:eastAsiaTheme="minorEastAsia" w:hAnsiTheme="minorHAnsi" w:cstheme="minorBidi"/>
          <w:sz w:val="22"/>
          <w:lang w:val="en-AU"/>
        </w:rPr>
        <w:t>assessment at sc</w:t>
      </w:r>
      <w:r w:rsidR="00BF27FF">
        <w:rPr>
          <w:rFonts w:asciiTheme="minorHAnsi" w:eastAsiaTheme="minorEastAsia" w:hAnsiTheme="minorHAnsi" w:cstheme="minorBidi"/>
          <w:sz w:val="22"/>
          <w:lang w:val="en-AU"/>
        </w:rPr>
        <w:t xml:space="preserve">heduled and unscheduled visits, </w:t>
      </w:r>
      <w:r w:rsidR="00BF27FF" w:rsidRPr="00BF27FF">
        <w:rPr>
          <w:rFonts w:asciiTheme="minorHAnsi" w:eastAsiaTheme="minorEastAsia" w:hAnsiTheme="minorHAnsi" w:cstheme="minorBidi"/>
          <w:sz w:val="22"/>
          <w:lang w:val="en-AU"/>
        </w:rPr>
        <w:t xml:space="preserve">with </w:t>
      </w:r>
      <w:r w:rsidR="00BF27FF">
        <w:rPr>
          <w:rFonts w:asciiTheme="minorHAnsi" w:eastAsiaTheme="minorEastAsia" w:hAnsiTheme="minorHAnsi" w:cstheme="minorBidi"/>
          <w:sz w:val="22"/>
          <w:lang w:val="en-AU"/>
        </w:rPr>
        <w:t xml:space="preserve">ECG monitoring performed at the </w:t>
      </w:r>
      <w:r w:rsidR="00BF27FF" w:rsidRPr="00BF27FF">
        <w:rPr>
          <w:rFonts w:asciiTheme="minorHAnsi" w:eastAsiaTheme="minorEastAsia" w:hAnsiTheme="minorHAnsi" w:cstheme="minorBidi"/>
          <w:sz w:val="22"/>
          <w:lang w:val="en-AU"/>
        </w:rPr>
        <w:t>d</w:t>
      </w:r>
      <w:r w:rsidR="00BF27FF">
        <w:rPr>
          <w:rFonts w:asciiTheme="minorHAnsi" w:eastAsiaTheme="minorEastAsia" w:hAnsiTheme="minorHAnsi" w:cstheme="minorBidi"/>
          <w:sz w:val="22"/>
          <w:lang w:val="en-AU"/>
        </w:rPr>
        <w:t xml:space="preserve">iscretion </w:t>
      </w:r>
      <w:r w:rsidR="00BF27FF" w:rsidRPr="00BF27FF">
        <w:rPr>
          <w:rFonts w:asciiTheme="minorHAnsi" w:eastAsiaTheme="minorEastAsia" w:hAnsiTheme="minorHAnsi" w:cstheme="minorBidi"/>
          <w:sz w:val="22"/>
          <w:lang w:val="en-AU"/>
        </w:rPr>
        <w:t>of the site investigator.</w:t>
      </w:r>
      <w:r w:rsidR="000A2357">
        <w:rPr>
          <w:rFonts w:asciiTheme="minorHAnsi" w:eastAsiaTheme="minorEastAsia" w:hAnsiTheme="minorHAnsi" w:cstheme="minorBidi"/>
          <w:sz w:val="22"/>
          <w:lang w:val="en-AU"/>
        </w:rPr>
        <w:t xml:space="preserve"> </w:t>
      </w:r>
    </w:p>
    <w:p w14:paraId="545AAD94" w14:textId="167B486E" w:rsidR="00543548" w:rsidRDefault="0066293C" w:rsidP="00D37529">
      <w:pPr>
        <w:rPr>
          <w:i/>
        </w:rPr>
      </w:pPr>
      <w:r>
        <w:rPr>
          <w:i/>
        </w:rPr>
        <w:t>Comparators based on current</w:t>
      </w:r>
      <w:r w:rsidR="007A0D20">
        <w:rPr>
          <w:i/>
        </w:rPr>
        <w:t xml:space="preserve"> practice</w:t>
      </w:r>
    </w:p>
    <w:p w14:paraId="6A063985" w14:textId="276DFD46" w:rsidR="00D37436" w:rsidRDefault="007A0D20" w:rsidP="00D37529">
      <w:r>
        <w:t>Based on expert opinion (</w:t>
      </w:r>
      <w:r w:rsidR="0004580D">
        <w:t xml:space="preserve">ANZ </w:t>
      </w:r>
      <w:r>
        <w:t>SFG</w:t>
      </w:r>
      <w:r w:rsidR="0004580D">
        <w:t>, 2015</w:t>
      </w:r>
      <w:r>
        <w:t>) current practice for further investigation of a patient diagnosed with CS is</w:t>
      </w:r>
      <w:r w:rsidR="0004580D">
        <w:t xml:space="preserve"> either no further investigation or</w:t>
      </w:r>
      <w:r>
        <w:t xml:space="preserve"> </w:t>
      </w:r>
      <w:r w:rsidR="0004580D">
        <w:t>a</w:t>
      </w:r>
      <w:r>
        <w:t xml:space="preserve"> 24-hour </w:t>
      </w:r>
      <w:proofErr w:type="spellStart"/>
      <w:r>
        <w:t>Holter</w:t>
      </w:r>
      <w:proofErr w:type="spellEnd"/>
      <w:r>
        <w:t xml:space="preserve"> monitor</w:t>
      </w:r>
      <w:r w:rsidR="00D37436">
        <w:t xml:space="preserve">. </w:t>
      </w:r>
    </w:p>
    <w:p w14:paraId="4B43750D" w14:textId="419A35C7" w:rsidR="007A0D20" w:rsidRDefault="007A0D20" w:rsidP="00D37529">
      <w:r>
        <w:t xml:space="preserve">30-day </w:t>
      </w:r>
      <w:r w:rsidR="00D37436">
        <w:t>monitoring was not considered a comparator as this</w:t>
      </w:r>
      <w:r>
        <w:t xml:space="preserve"> is</w:t>
      </w:r>
      <w:r w:rsidR="00D37436">
        <w:t xml:space="preserve"> rarely</w:t>
      </w:r>
      <w:r>
        <w:t xml:space="preserve"> </w:t>
      </w:r>
      <w:r w:rsidR="00C93A04">
        <w:t>performed</w:t>
      </w:r>
      <w:r w:rsidR="00D37436">
        <w:t xml:space="preserve"> in current practice</w:t>
      </w:r>
      <w:r w:rsidR="00C93A04">
        <w:t xml:space="preserve">. The reasons that these are </w:t>
      </w:r>
      <w:r w:rsidR="00583983">
        <w:t>not used often</w:t>
      </w:r>
      <w:r w:rsidR="00C93A04">
        <w:t xml:space="preserve"> are because they</w:t>
      </w:r>
      <w:r w:rsidR="003205B4">
        <w:t xml:space="preserve"> are not publicly funded</w:t>
      </w:r>
      <w:r w:rsidR="00C93A04">
        <w:t xml:space="preserve">, and there can be </w:t>
      </w:r>
      <w:r w:rsidR="00583983">
        <w:t xml:space="preserve">issues with patient compliance. It has been demonstrated that patient compliance diminishes as the monitoring duration </w:t>
      </w:r>
      <w:r w:rsidR="00583983">
        <w:lastRenderedPageBreak/>
        <w:t>increases due to concerns regarding skin irritation and the inconvenience associated with performing activities of daily living (</w:t>
      </w:r>
      <w:proofErr w:type="spellStart"/>
      <w:r w:rsidR="00941C1B">
        <w:t>Choe</w:t>
      </w:r>
      <w:proofErr w:type="spellEnd"/>
      <w:r w:rsidR="00941C1B">
        <w:t xml:space="preserve"> et al.</w:t>
      </w:r>
      <w:r w:rsidR="003205B4">
        <w:t>,</w:t>
      </w:r>
      <w:r w:rsidR="00941C1B">
        <w:t xml:space="preserve"> 2015</w:t>
      </w:r>
      <w:r w:rsidR="003205B4">
        <w:t xml:space="preserve">; </w:t>
      </w:r>
      <w:proofErr w:type="spellStart"/>
      <w:r w:rsidR="003205B4">
        <w:t>Vasamreddy</w:t>
      </w:r>
      <w:proofErr w:type="spellEnd"/>
      <w:r w:rsidR="003205B4">
        <w:t xml:space="preserve"> et al., 2006; </w:t>
      </w:r>
      <w:proofErr w:type="spellStart"/>
      <w:r w:rsidR="003205B4">
        <w:t>Kamel</w:t>
      </w:r>
      <w:proofErr w:type="spellEnd"/>
      <w:r w:rsidR="003205B4">
        <w:t xml:space="preserve"> et al., 2013). </w:t>
      </w:r>
    </w:p>
    <w:p w14:paraId="13E55C65" w14:textId="62838132" w:rsidR="00941C1B" w:rsidRDefault="0066293C" w:rsidP="00D37529">
      <w:pPr>
        <w:rPr>
          <w:i/>
        </w:rPr>
      </w:pPr>
      <w:r>
        <w:rPr>
          <w:i/>
        </w:rPr>
        <w:t>Proposed</w:t>
      </w:r>
      <w:r w:rsidR="00C521B5">
        <w:rPr>
          <w:i/>
        </w:rPr>
        <w:t xml:space="preserve"> comparators </w:t>
      </w:r>
      <w:r>
        <w:rPr>
          <w:i/>
        </w:rPr>
        <w:t>for submission</w:t>
      </w:r>
    </w:p>
    <w:p w14:paraId="1CE58A97" w14:textId="7B3B234B" w:rsidR="00C521B5" w:rsidRPr="00D37529" w:rsidRDefault="00995372" w:rsidP="00D37529">
      <w:r>
        <w:t xml:space="preserve">Considering the monitoring options available in Australia, the key trial data, and current practice, it is proposed that the comparator for ILRs </w:t>
      </w:r>
      <w:r w:rsidR="000A2357">
        <w:t>is standard of care (n</w:t>
      </w:r>
      <w:r w:rsidR="000A2357" w:rsidRPr="000A2357">
        <w:t xml:space="preserve">o further investigation or 24-hour </w:t>
      </w:r>
      <w:proofErr w:type="spellStart"/>
      <w:r w:rsidR="000A2357" w:rsidRPr="000A2357">
        <w:t>Holter</w:t>
      </w:r>
      <w:proofErr w:type="spellEnd"/>
      <w:r w:rsidR="000A2357" w:rsidRPr="000A2357">
        <w:t xml:space="preserve"> monitor</w:t>
      </w:r>
      <w:r w:rsidR="000A2357">
        <w:t>)</w:t>
      </w:r>
      <w:r w:rsidR="00B80FEE">
        <w:t xml:space="preserve">. </w:t>
      </w:r>
      <w:r w:rsidR="000A2357">
        <w:t>U</w:t>
      </w:r>
      <w:r w:rsidR="00EB58CC">
        <w:t xml:space="preserve">sing the comparator </w:t>
      </w:r>
      <w:r w:rsidR="000A2357">
        <w:t>standard of care</w:t>
      </w:r>
      <w:r w:rsidR="00EB58CC">
        <w:t>, ILRs will replace current clinical practice.</w:t>
      </w:r>
      <w:r w:rsidR="00240B14">
        <w:t xml:space="preserve"> The </w:t>
      </w:r>
      <w:r w:rsidR="00240B14" w:rsidRPr="00240B14">
        <w:t>pivotal CRYSTAL AF trial (</w:t>
      </w:r>
      <w:proofErr w:type="spellStart"/>
      <w:r w:rsidR="00240B14" w:rsidRPr="00240B14">
        <w:t>Sanna</w:t>
      </w:r>
      <w:proofErr w:type="spellEnd"/>
      <w:r w:rsidR="00240B14" w:rsidRPr="00240B14">
        <w:t xml:space="preserve"> et al., 2014)</w:t>
      </w:r>
      <w:r w:rsidR="00240B14">
        <w:t xml:space="preserve"> provides comparative data for </w:t>
      </w:r>
      <w:r w:rsidR="00240B14" w:rsidRPr="00240B14">
        <w:t>long-term monitoring with an ILR was compared to conventional follow-up (control) for detecting AF in patients with CS</w:t>
      </w:r>
      <w:r w:rsidR="00240B14">
        <w:t>.</w:t>
      </w:r>
    </w:p>
    <w:p w14:paraId="32582799" w14:textId="2BC22720" w:rsidR="00BC4EFE" w:rsidRPr="00BC4EFE" w:rsidRDefault="00BC4EFE" w:rsidP="00941DC8">
      <w:pPr>
        <w:pStyle w:val="Heading1"/>
      </w:pPr>
      <w:r w:rsidRPr="00BC4EFE">
        <w:t>Expected health outcomes relating to the medical service</w:t>
      </w:r>
    </w:p>
    <w:p w14:paraId="7AF3F8A3" w14:textId="77777777" w:rsidR="00BC4EFE" w:rsidRDefault="00BC4EFE" w:rsidP="00215B74">
      <w:pPr>
        <w:pStyle w:val="Quote"/>
      </w:pPr>
      <w:r w:rsidRPr="00BC4EFE">
        <w:t>Identify the expected patient-relevant health outcomes if the service is recommended for public funding, including primary effectiveness (improvement in function, relief of pain) and secondary effectiveness (length of hospital stays, time to return to daily activities).</w:t>
      </w:r>
    </w:p>
    <w:p w14:paraId="5E9AEF39" w14:textId="7D36E7C1" w:rsidR="00CD37B5" w:rsidRDefault="00CD37B5" w:rsidP="000C3498">
      <w:pPr>
        <w:rPr>
          <w:i/>
        </w:rPr>
      </w:pPr>
      <w:r w:rsidRPr="00CD37B5">
        <w:rPr>
          <w:i/>
        </w:rPr>
        <w:t>Outcomes assessed in key clinical trial</w:t>
      </w:r>
    </w:p>
    <w:p w14:paraId="3E65CABA" w14:textId="132A2BAC" w:rsidR="00CD37B5" w:rsidRDefault="00CD37B5" w:rsidP="000C3498">
      <w:r>
        <w:t>In the pivotal CRYSTAL AF trial (</w:t>
      </w:r>
      <w:proofErr w:type="spellStart"/>
      <w:r w:rsidR="008E3C86">
        <w:t>Sanna</w:t>
      </w:r>
      <w:proofErr w:type="spellEnd"/>
      <w:r w:rsidR="008E3C86">
        <w:t xml:space="preserve"> et al., 2014)</w:t>
      </w:r>
      <w:r>
        <w:t xml:space="preserve"> the following outcomes were measured:</w:t>
      </w:r>
    </w:p>
    <w:p w14:paraId="5F79A909" w14:textId="76A2ACD9" w:rsidR="00CD37B5" w:rsidRDefault="00CD37B5" w:rsidP="00A45373">
      <w:pPr>
        <w:pStyle w:val="ListParagraph"/>
        <w:numPr>
          <w:ilvl w:val="0"/>
          <w:numId w:val="9"/>
        </w:numPr>
      </w:pPr>
      <w:r>
        <w:t>Primary outcome</w:t>
      </w:r>
    </w:p>
    <w:p w14:paraId="17C1889D" w14:textId="3D80837F" w:rsidR="00CD37B5" w:rsidRDefault="00CD37B5" w:rsidP="00A45373">
      <w:pPr>
        <w:pStyle w:val="ListParagraph"/>
        <w:numPr>
          <w:ilvl w:val="1"/>
          <w:numId w:val="9"/>
        </w:numPr>
      </w:pPr>
      <w:r>
        <w:t>Time to first documented event of AF by 6 months of continuous rhythm monitoring versus stand arrhythmia diagnostics</w:t>
      </w:r>
    </w:p>
    <w:p w14:paraId="59CDFB6A" w14:textId="5711C991" w:rsidR="00CD37B5" w:rsidRDefault="00CD37B5" w:rsidP="00A45373">
      <w:pPr>
        <w:pStyle w:val="ListParagraph"/>
        <w:numPr>
          <w:ilvl w:val="0"/>
          <w:numId w:val="9"/>
        </w:numPr>
      </w:pPr>
      <w:r>
        <w:t>Secondary outcomes</w:t>
      </w:r>
    </w:p>
    <w:p w14:paraId="5128DBAA" w14:textId="7DA3588C" w:rsidR="00CD37B5" w:rsidRDefault="00CD37B5" w:rsidP="00A45373">
      <w:pPr>
        <w:pStyle w:val="ListParagraph"/>
        <w:numPr>
          <w:ilvl w:val="1"/>
          <w:numId w:val="9"/>
        </w:numPr>
      </w:pPr>
      <w:r>
        <w:t>Time to first documented AF by 12 months of continuous rhythm monitoring versus standard arrhythmia diagnostics</w:t>
      </w:r>
    </w:p>
    <w:p w14:paraId="277FF1BC" w14:textId="18B3E188" w:rsidR="00CD37B5" w:rsidRDefault="00CD37B5" w:rsidP="00A45373">
      <w:pPr>
        <w:pStyle w:val="ListParagraph"/>
        <w:numPr>
          <w:ilvl w:val="1"/>
          <w:numId w:val="9"/>
        </w:numPr>
      </w:pPr>
      <w:r>
        <w:t>Incidence of recurrent stroke or TIA in both arms</w:t>
      </w:r>
    </w:p>
    <w:p w14:paraId="543EF9EA" w14:textId="55CAF90E" w:rsidR="00CD37B5" w:rsidRDefault="00CD37B5" w:rsidP="00A45373">
      <w:pPr>
        <w:pStyle w:val="ListParagraph"/>
        <w:numPr>
          <w:ilvl w:val="1"/>
          <w:numId w:val="9"/>
        </w:numPr>
      </w:pPr>
      <w:r>
        <w:t>Change and reasons for change in use of oral anticoagulation and of antiarrhythmic drugs over time in both arms</w:t>
      </w:r>
    </w:p>
    <w:p w14:paraId="0F0679A0" w14:textId="445AAF28" w:rsidR="00CD37B5" w:rsidRDefault="00CD37B5" w:rsidP="00A45373">
      <w:pPr>
        <w:pStyle w:val="ListParagraph"/>
        <w:numPr>
          <w:ilvl w:val="1"/>
          <w:numId w:val="9"/>
        </w:numPr>
      </w:pPr>
      <w:r>
        <w:t>Quality of life in both arms</w:t>
      </w:r>
    </w:p>
    <w:p w14:paraId="36956897" w14:textId="0237029C" w:rsidR="00CD37B5" w:rsidRDefault="00CD37B5" w:rsidP="00A45373">
      <w:pPr>
        <w:pStyle w:val="ListParagraph"/>
        <w:numPr>
          <w:ilvl w:val="1"/>
          <w:numId w:val="9"/>
        </w:numPr>
      </w:pPr>
      <w:r>
        <w:t>Economic and clinical disease burden and the care pathways in both arms (hospitali</w:t>
      </w:r>
      <w:r w:rsidR="00345670">
        <w:t>s</w:t>
      </w:r>
      <w:r>
        <w:t>ations, medication use, stroke, death).</w:t>
      </w:r>
    </w:p>
    <w:p w14:paraId="78612689" w14:textId="718CFD43" w:rsidR="00CD37B5" w:rsidRDefault="00CD37B5" w:rsidP="00A45373">
      <w:pPr>
        <w:pStyle w:val="ListParagraph"/>
        <w:numPr>
          <w:ilvl w:val="1"/>
          <w:numId w:val="9"/>
        </w:numPr>
      </w:pPr>
      <w:r>
        <w:t>Role of the Patient Assistant device in the time to AF diagnosis in subjects implanted with the Reveal XT.</w:t>
      </w:r>
    </w:p>
    <w:p w14:paraId="2C67ED94" w14:textId="77777777" w:rsidR="006A407A" w:rsidRDefault="006A407A">
      <w:pPr>
        <w:jc w:val="left"/>
        <w:rPr>
          <w:i/>
        </w:rPr>
      </w:pPr>
      <w:r>
        <w:rPr>
          <w:i/>
        </w:rPr>
        <w:br w:type="page"/>
      </w:r>
    </w:p>
    <w:p w14:paraId="100D1EF0" w14:textId="77777777" w:rsidR="006A407A" w:rsidRDefault="006A407A">
      <w:pPr>
        <w:jc w:val="left"/>
        <w:rPr>
          <w:i/>
        </w:rPr>
      </w:pPr>
      <w:r>
        <w:rPr>
          <w:i/>
        </w:rPr>
        <w:lastRenderedPageBreak/>
        <w:br w:type="page"/>
      </w:r>
    </w:p>
    <w:p w14:paraId="621F25E6" w14:textId="2A120316" w:rsidR="00CD37B5" w:rsidRDefault="00FD0556" w:rsidP="000C3498">
      <w:pPr>
        <w:rPr>
          <w:i/>
        </w:rPr>
      </w:pPr>
      <w:r w:rsidRPr="00FD0556">
        <w:rPr>
          <w:i/>
        </w:rPr>
        <w:lastRenderedPageBreak/>
        <w:t>Results from key clinical trial</w:t>
      </w:r>
    </w:p>
    <w:p w14:paraId="0ED5DBAB" w14:textId="35C4B540" w:rsidR="006D20CD" w:rsidRDefault="006D20CD" w:rsidP="000C3498">
      <w:r>
        <w:t>Results from the primary outcome (time to first documented event of AF by 6 months) and a secondary outcome (time to first documented AF by 12 mo</w:t>
      </w:r>
      <w:r w:rsidR="005F2013">
        <w:t>nths) are summarised in Figure 5</w:t>
      </w:r>
      <w:r>
        <w:t>. This graph also provides lo</w:t>
      </w:r>
      <w:r w:rsidR="00D61CD4">
        <w:t>nger term data up to 36 months</w:t>
      </w:r>
      <w:r w:rsidR="008E3C86">
        <w:t xml:space="preserve"> (</w:t>
      </w:r>
      <w:proofErr w:type="spellStart"/>
      <w:r w:rsidR="008E3C86">
        <w:t>Sanna</w:t>
      </w:r>
      <w:proofErr w:type="spellEnd"/>
      <w:r w:rsidR="008E3C86">
        <w:t xml:space="preserve"> et al., 2014)</w:t>
      </w:r>
      <w:r w:rsidR="00D61CD4">
        <w:t xml:space="preserve">. This was not a defined outcome but </w:t>
      </w:r>
      <w:r w:rsidR="008E3C86">
        <w:t xml:space="preserve">is </w:t>
      </w:r>
      <w:r w:rsidR="00D61CD4">
        <w:t xml:space="preserve">considered relevant to include given that the device is capable of monitoring for up to 3-years. </w:t>
      </w:r>
    </w:p>
    <w:p w14:paraId="6AFF3BFA" w14:textId="1896BA06" w:rsidR="006D20CD" w:rsidRDefault="006D20CD" w:rsidP="00502C00">
      <w:pPr>
        <w:pStyle w:val="Caption"/>
        <w:spacing w:after="120"/>
      </w:pPr>
      <w:r>
        <w:t xml:space="preserve">Figure </w:t>
      </w:r>
      <w:r>
        <w:fldChar w:fldCharType="begin"/>
      </w:r>
      <w:r>
        <w:instrText xml:space="preserve"> SEQ Figure \* ARABIC </w:instrText>
      </w:r>
      <w:r>
        <w:fldChar w:fldCharType="separate"/>
      </w:r>
      <w:r w:rsidR="00F3250E">
        <w:rPr>
          <w:noProof/>
        </w:rPr>
        <w:t>5</w:t>
      </w:r>
      <w:r>
        <w:fldChar w:fldCharType="end"/>
      </w:r>
      <w:r>
        <w:tab/>
        <w:t>Time to first detection of atrial fibrillation to 36 months</w:t>
      </w:r>
    </w:p>
    <w:p w14:paraId="2C416DBD" w14:textId="6502F7F8" w:rsidR="006D20CD" w:rsidRDefault="006D20CD" w:rsidP="006D20CD">
      <w:pPr>
        <w:rPr>
          <w:lang w:val="en-GB" w:eastAsia="ja-JP"/>
        </w:rPr>
      </w:pPr>
      <w:r>
        <w:rPr>
          <w:noProof/>
          <w:lang w:eastAsia="en-AU"/>
        </w:rPr>
        <w:drawing>
          <wp:inline distT="0" distB="0" distL="0" distR="0" wp14:anchorId="5C415DC5" wp14:editId="640870E4">
            <wp:extent cx="4242996" cy="2934586"/>
            <wp:effectExtent l="0" t="0" r="5715" b="0"/>
            <wp:docPr id="50" name="Picture 50" descr="Figure 5 Time to first detection of atrial fibrillation to 36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78326" cy="2959021"/>
                    </a:xfrm>
                    <a:prstGeom prst="rect">
                      <a:avLst/>
                    </a:prstGeom>
                    <a:noFill/>
                    <a:ln>
                      <a:noFill/>
                    </a:ln>
                  </pic:spPr>
                </pic:pic>
              </a:graphicData>
            </a:graphic>
          </wp:inline>
        </w:drawing>
      </w:r>
    </w:p>
    <w:p w14:paraId="0E0E9907" w14:textId="5B84BD9F" w:rsidR="00502C00" w:rsidRPr="00502C00" w:rsidRDefault="00E70DC6" w:rsidP="00E70DC6">
      <w:pPr>
        <w:spacing w:after="360" w:line="240" w:lineRule="auto"/>
        <w:jc w:val="left"/>
        <w:rPr>
          <w:rFonts w:cstheme="minorHAnsi"/>
          <w:sz w:val="18"/>
          <w:szCs w:val="18"/>
        </w:rPr>
      </w:pPr>
      <w:r>
        <w:rPr>
          <w:rFonts w:cstheme="minorHAnsi"/>
          <w:sz w:val="18"/>
          <w:szCs w:val="18"/>
        </w:rPr>
        <w:t xml:space="preserve">Abbreviations: ICM, </w:t>
      </w:r>
      <w:proofErr w:type="spellStart"/>
      <w:r>
        <w:rPr>
          <w:rFonts w:cstheme="minorHAnsi"/>
          <w:sz w:val="18"/>
          <w:szCs w:val="18"/>
        </w:rPr>
        <w:t>insertable</w:t>
      </w:r>
      <w:proofErr w:type="spellEnd"/>
      <w:r>
        <w:rPr>
          <w:rFonts w:cstheme="minorHAnsi"/>
          <w:sz w:val="18"/>
          <w:szCs w:val="18"/>
        </w:rPr>
        <w:t xml:space="preserve"> cardiac monitor</w:t>
      </w:r>
      <w:proofErr w:type="gramStart"/>
      <w:r>
        <w:rPr>
          <w:rFonts w:cstheme="minorHAnsi"/>
          <w:sz w:val="18"/>
          <w:szCs w:val="18"/>
        </w:rPr>
        <w:t>.</w:t>
      </w:r>
      <w:r w:rsidR="000A2357">
        <w:rPr>
          <w:rFonts w:cstheme="minorHAnsi"/>
          <w:sz w:val="18"/>
          <w:szCs w:val="18"/>
        </w:rPr>
        <w:t>(</w:t>
      </w:r>
      <w:proofErr w:type="gramEnd"/>
      <w:r w:rsidR="000A2357" w:rsidRPr="000A2357">
        <w:rPr>
          <w:rFonts w:cstheme="minorHAnsi"/>
          <w:sz w:val="18"/>
          <w:szCs w:val="18"/>
        </w:rPr>
        <w:t>synonym</w:t>
      </w:r>
      <w:r w:rsidR="000A2357">
        <w:rPr>
          <w:rFonts w:cstheme="minorHAnsi"/>
          <w:sz w:val="18"/>
          <w:szCs w:val="18"/>
        </w:rPr>
        <w:t xml:space="preserve"> for ILR, see Section 2)</w:t>
      </w:r>
      <w:r>
        <w:rPr>
          <w:rFonts w:cstheme="minorHAnsi"/>
          <w:sz w:val="18"/>
          <w:szCs w:val="18"/>
        </w:rPr>
        <w:br/>
      </w:r>
      <w:r w:rsidR="00502C00">
        <w:rPr>
          <w:rFonts w:cstheme="minorHAnsi"/>
          <w:sz w:val="18"/>
          <w:szCs w:val="18"/>
        </w:rPr>
        <w:t xml:space="preserve">Source: </w:t>
      </w:r>
      <w:proofErr w:type="spellStart"/>
      <w:r w:rsidR="008E3C86" w:rsidRPr="008E3C86">
        <w:rPr>
          <w:rFonts w:cstheme="minorHAnsi"/>
          <w:sz w:val="18"/>
          <w:szCs w:val="18"/>
        </w:rPr>
        <w:t>Sanna</w:t>
      </w:r>
      <w:proofErr w:type="spellEnd"/>
      <w:r w:rsidR="008E3C86" w:rsidRPr="008E3C86">
        <w:rPr>
          <w:rFonts w:cstheme="minorHAnsi"/>
          <w:sz w:val="18"/>
          <w:szCs w:val="18"/>
        </w:rPr>
        <w:t xml:space="preserve"> et al., 2014</w:t>
      </w:r>
    </w:p>
    <w:p w14:paraId="30C47A95" w14:textId="6CFFA42A" w:rsidR="00020036" w:rsidRDefault="002F1D8B" w:rsidP="000C3498">
      <w:r>
        <w:t>By 6, 12 and 36 months</w:t>
      </w:r>
      <w:r w:rsidR="00D61CD4">
        <w:t xml:space="preserve"> respectively</w:t>
      </w:r>
      <w:r>
        <w:t>, AF had been detected</w:t>
      </w:r>
      <w:r w:rsidR="00D61CD4">
        <w:t xml:space="preserve"> in 8.9% of patients in the ILR</w:t>
      </w:r>
      <w:r>
        <w:t xml:space="preserve"> group (19 patients) versus 1.4% of patients in the control group (3 patients) (HR 6.4; 95% CI 1.9-21.7; p&lt;0.001), 12.4% (29 patients) versus 2.0% (4 patients) (HR 7.3; 95% CI 2.6-20.8; p&lt;0.001), and </w:t>
      </w:r>
      <w:r w:rsidR="00D61CD4">
        <w:t xml:space="preserve">30.0% </w:t>
      </w:r>
      <w:r>
        <w:t>(42 patients) v</w:t>
      </w:r>
      <w:r w:rsidR="00D61CD4">
        <w:t>ersus 3.0% (5 patients) (HR 8.8; 95% CI 3.5-22.2; p</w:t>
      </w:r>
      <w:r>
        <w:t>&lt;0.001)</w:t>
      </w:r>
      <w:r w:rsidR="00D61CD4">
        <w:t>.</w:t>
      </w:r>
    </w:p>
    <w:p w14:paraId="43598DDD" w14:textId="136BBE91" w:rsidR="00D61CD4" w:rsidRDefault="00E70DC6" w:rsidP="000C3498">
      <w:r>
        <w:lastRenderedPageBreak/>
        <w:t xml:space="preserve">The incidence of </w:t>
      </w:r>
      <w:r w:rsidR="00D61CD4">
        <w:t>recurrent stroke or TIA, a secondary outcome, was reported as 5.2% (11 patients) in the ILR group compared to 8.6% (18 patients) in the control group during the first 6 months after randomi</w:t>
      </w:r>
      <w:r w:rsidR="00345670">
        <w:t>s</w:t>
      </w:r>
      <w:r w:rsidR="00D61CD4">
        <w:t xml:space="preserve">ation, and 7.1% (ILR; 15 patients) compared to 9.1% (control; 19 patients) during the first 12 months. </w:t>
      </w:r>
    </w:p>
    <w:p w14:paraId="13012EC4" w14:textId="62D132F4" w:rsidR="00020036" w:rsidRDefault="00D61CD4" w:rsidP="000C3498">
      <w:r>
        <w:t>Another secondary outcome, the rate of use of oral anticoagulants was reported as 10.1% in the ILR group versus 4.6% in the control group at 6 months (p = 0.04) and 14.7% versus 6.0% at 12 months (p = 0.007). By 12 months, 97.0% of patients in whom atrial fibrillation had been detected were receiving oral anticoagulants</w:t>
      </w:r>
      <w:r w:rsidR="00D26F23">
        <w:t xml:space="preserve"> (</w:t>
      </w:r>
      <w:proofErr w:type="spellStart"/>
      <w:r w:rsidR="00D26F23">
        <w:t>Sanna</w:t>
      </w:r>
      <w:proofErr w:type="spellEnd"/>
      <w:r w:rsidR="00D26F23">
        <w:t xml:space="preserve"> et al., 2014)</w:t>
      </w:r>
      <w:r>
        <w:t xml:space="preserve">. </w:t>
      </w:r>
    </w:p>
    <w:p w14:paraId="6D4170E0" w14:textId="5D0A3ED5" w:rsidR="00020036" w:rsidRPr="00FD0556" w:rsidRDefault="00FD0556" w:rsidP="000C3498">
      <w:pPr>
        <w:rPr>
          <w:i/>
        </w:rPr>
      </w:pPr>
      <w:r w:rsidRPr="00FD0556">
        <w:rPr>
          <w:i/>
        </w:rPr>
        <w:t>Relevance of clinical trial outcomes to current practice</w:t>
      </w:r>
    </w:p>
    <w:p w14:paraId="16B07A2D" w14:textId="7B2278BD" w:rsidR="00427063" w:rsidRDefault="00427063" w:rsidP="000C3498">
      <w:r>
        <w:t>The outcomes asses</w:t>
      </w:r>
      <w:r w:rsidR="008E3C86">
        <w:t>sed in the CRYSTAL AF trial (</w:t>
      </w:r>
      <w:proofErr w:type="spellStart"/>
      <w:r w:rsidR="008E3C86">
        <w:t>Sanna</w:t>
      </w:r>
      <w:proofErr w:type="spellEnd"/>
      <w:r w:rsidR="008E3C86">
        <w:t xml:space="preserve"> et al., 2014</w:t>
      </w:r>
      <w:r>
        <w:t xml:space="preserve">) are relevant because they reflect the decision making process in current clinical practice. Specifically, if AF is detected in a patient with CS, then it is recommended that oral anticoagulation is initiated. </w:t>
      </w:r>
    </w:p>
    <w:p w14:paraId="5AD45686" w14:textId="2845BBEC" w:rsidR="0066293C" w:rsidRPr="007A0D20" w:rsidRDefault="0066293C" w:rsidP="00B80FEE">
      <w:pPr>
        <w:keepNext/>
        <w:keepLines/>
        <w:rPr>
          <w:i/>
        </w:rPr>
      </w:pPr>
      <w:r>
        <w:rPr>
          <w:i/>
        </w:rPr>
        <w:lastRenderedPageBreak/>
        <w:t>Comparison between monitoring options of atrial fibrillation detection outcome</w:t>
      </w:r>
    </w:p>
    <w:p w14:paraId="1F083C2E" w14:textId="307B393B" w:rsidR="0066293C" w:rsidRDefault="0066293C" w:rsidP="00B80FEE">
      <w:pPr>
        <w:keepNext/>
        <w:keepLines/>
      </w:pPr>
      <w:proofErr w:type="spellStart"/>
      <w:r>
        <w:t>Choe</w:t>
      </w:r>
      <w:proofErr w:type="spellEnd"/>
      <w:r>
        <w:t xml:space="preserve"> et al. (2015) assessed the sensitivity and NPV of various external monitoring strategies for AF detection in a population with CS. To do this they simulated intermittent monitoring strategies and compared this to continuous rhythm monitoring with an ILR using data from the CRYSTAL AF trial (</w:t>
      </w:r>
      <w:proofErr w:type="spellStart"/>
      <w:r w:rsidR="008E3C86">
        <w:t>Sanna</w:t>
      </w:r>
      <w:proofErr w:type="spellEnd"/>
      <w:r w:rsidR="008E3C86">
        <w:t xml:space="preserve"> et al., 2014)</w:t>
      </w:r>
      <w:r w:rsidR="00235DA8">
        <w:t xml:space="preserve">. </w:t>
      </w:r>
      <w:r>
        <w:t>The r</w:t>
      </w:r>
      <w:r w:rsidR="005F2013">
        <w:t>esults are presented in Figure 6</w:t>
      </w:r>
      <w:r>
        <w:t xml:space="preserve">. </w:t>
      </w:r>
    </w:p>
    <w:p w14:paraId="19F980F6" w14:textId="794174BC" w:rsidR="0066293C" w:rsidRDefault="0066293C" w:rsidP="0066293C">
      <w:pPr>
        <w:pStyle w:val="Caption"/>
      </w:pPr>
      <w:r>
        <w:t xml:space="preserve">Figure </w:t>
      </w:r>
      <w:r>
        <w:fldChar w:fldCharType="begin"/>
      </w:r>
      <w:r>
        <w:instrText xml:space="preserve"> SEQ Figure \* ARABIC </w:instrText>
      </w:r>
      <w:r>
        <w:fldChar w:fldCharType="separate"/>
      </w:r>
      <w:r w:rsidR="00F3250E">
        <w:rPr>
          <w:noProof/>
        </w:rPr>
        <w:t>6</w:t>
      </w:r>
      <w:r>
        <w:fldChar w:fldCharType="end"/>
      </w:r>
      <w:r>
        <w:tab/>
        <w:t>Sensitivity and NPV of one-time and repetitive periodic external monitoring for AF detection</w:t>
      </w:r>
    </w:p>
    <w:p w14:paraId="13D52574" w14:textId="77777777" w:rsidR="0066293C" w:rsidRDefault="0066293C" w:rsidP="00235DA8">
      <w:pPr>
        <w:jc w:val="left"/>
        <w:rPr>
          <w:lang w:val="en-GB" w:eastAsia="ja-JP"/>
        </w:rPr>
      </w:pPr>
      <w:r>
        <w:rPr>
          <w:noProof/>
          <w:lang w:eastAsia="en-AU"/>
        </w:rPr>
        <w:drawing>
          <wp:inline distT="0" distB="0" distL="0" distR="0" wp14:anchorId="3B817795" wp14:editId="4788426B">
            <wp:extent cx="4010025" cy="3657600"/>
            <wp:effectExtent l="0" t="0" r="9525" b="0"/>
            <wp:docPr id="4" name="Picture 4" descr="Figure 6 Sensitivity and NPV of one-time and repetitive periodic external monitoring for AF de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10025" cy="3657600"/>
                    </a:xfrm>
                    <a:prstGeom prst="rect">
                      <a:avLst/>
                    </a:prstGeom>
                    <a:noFill/>
                    <a:ln>
                      <a:noFill/>
                    </a:ln>
                  </pic:spPr>
                </pic:pic>
              </a:graphicData>
            </a:graphic>
          </wp:inline>
        </w:drawing>
      </w:r>
    </w:p>
    <w:p w14:paraId="730A7C93" w14:textId="2BAE43B7" w:rsidR="0066293C" w:rsidRPr="00A422A4" w:rsidRDefault="0066293C" w:rsidP="0066293C">
      <w:pPr>
        <w:spacing w:after="360" w:line="240" w:lineRule="auto"/>
        <w:rPr>
          <w:rFonts w:cstheme="minorHAnsi"/>
          <w:sz w:val="18"/>
          <w:szCs w:val="18"/>
        </w:rPr>
      </w:pPr>
      <w:r>
        <w:rPr>
          <w:rFonts w:cstheme="minorHAnsi"/>
          <w:sz w:val="18"/>
          <w:szCs w:val="18"/>
        </w:rPr>
        <w:t xml:space="preserve">Source: </w:t>
      </w:r>
      <w:proofErr w:type="spellStart"/>
      <w:r w:rsidR="008E3C86" w:rsidRPr="008E3C86">
        <w:rPr>
          <w:rFonts w:cstheme="minorHAnsi"/>
          <w:sz w:val="18"/>
          <w:szCs w:val="18"/>
        </w:rPr>
        <w:t>Choe</w:t>
      </w:r>
      <w:proofErr w:type="spellEnd"/>
      <w:r w:rsidR="008E3C86" w:rsidRPr="008E3C86">
        <w:rPr>
          <w:rFonts w:cstheme="minorHAnsi"/>
          <w:sz w:val="18"/>
          <w:szCs w:val="18"/>
        </w:rPr>
        <w:t xml:space="preserve"> et al., 2015</w:t>
      </w:r>
    </w:p>
    <w:p w14:paraId="4175AF56" w14:textId="68CF880B" w:rsidR="0066293C" w:rsidRDefault="0066293C" w:rsidP="000C3498">
      <w:r>
        <w:lastRenderedPageBreak/>
        <w:t>As previously mentioned, in their systematic review and meta-analysis, Afzal et al. (2015) have compared the effectiveness of ILR versus wearable devices in identifying AF in patients with CS. Three randomi</w:t>
      </w:r>
      <w:r w:rsidR="00D63D5D">
        <w:t>s</w:t>
      </w:r>
      <w:r>
        <w:t>ed trials (RCTs) and 13 observational studies were identified. There was significantly (p &lt; 0.05) higher AF detection with ILR (23.3%, CI 13.83-32.29) compared to wearable devices (13.6%, CI 7.91-19.32).</w:t>
      </w:r>
    </w:p>
    <w:p w14:paraId="777605E1" w14:textId="0B7A313D" w:rsidR="00A80B49" w:rsidRDefault="00BC4EFE" w:rsidP="00215B74">
      <w:pPr>
        <w:pStyle w:val="Quote"/>
      </w:pPr>
      <w:r w:rsidRPr="00BC4EFE">
        <w:t xml:space="preserve">Describe any potential risks to the patient. </w:t>
      </w:r>
    </w:p>
    <w:p w14:paraId="6B228AC3" w14:textId="40A67FCE" w:rsidR="000C3498" w:rsidRDefault="00683D70" w:rsidP="000C3498">
      <w:pPr>
        <w:rPr>
          <w:i/>
        </w:rPr>
      </w:pPr>
      <w:r w:rsidRPr="00683D70">
        <w:rPr>
          <w:i/>
        </w:rPr>
        <w:t>Safety data from key clinical trial</w:t>
      </w:r>
    </w:p>
    <w:p w14:paraId="426914F1" w14:textId="597DFF19" w:rsidR="00683D70" w:rsidRDefault="008E3C86" w:rsidP="003B20DB">
      <w:r>
        <w:t>In the CRYSTAL AF trial (</w:t>
      </w:r>
      <w:proofErr w:type="spellStart"/>
      <w:r>
        <w:t>Sanna</w:t>
      </w:r>
      <w:proofErr w:type="spellEnd"/>
      <w:r>
        <w:t xml:space="preserve"> et al., 2014</w:t>
      </w:r>
      <w:r w:rsidR="00683D70">
        <w:t>)</w:t>
      </w:r>
      <w:r w:rsidR="003B20DB">
        <w:t xml:space="preserve"> where ILRs (REVEAL XT, Medtronic) were compared with standard of care for detecting AF in patients with CS</w:t>
      </w:r>
      <w:r w:rsidR="00683D70">
        <w:t xml:space="preserve">, 5 of the 208 inserted ILRs (2.4%) were removed due to infection at the insertion site or pocket erosion. The three most common adverse events associated with the ILR were infection (3 patients; 1.4%), pain (3 patients, 1.4%) and irritation or inflammation at the insertion site (4 patients, 1.9%). The ILR remained inserted in 98.1% and 96.6% of patients at 6 and 12 months respectively. </w:t>
      </w:r>
    </w:p>
    <w:p w14:paraId="7C04AB37" w14:textId="58F7C8EF" w:rsidR="00BC4EFE" w:rsidRDefault="00D90852" w:rsidP="00215B74">
      <w:pPr>
        <w:pStyle w:val="Quote"/>
      </w:pPr>
      <w:r>
        <w:t xml:space="preserve">In the </w:t>
      </w:r>
      <w:r w:rsidR="00990F8A">
        <w:t>REVEAL LINQ Usability trial (</w:t>
      </w:r>
      <w:proofErr w:type="spellStart"/>
      <w:r w:rsidR="00990F8A" w:rsidRPr="00990F8A">
        <w:t>Pürerfellner</w:t>
      </w:r>
      <w:proofErr w:type="spellEnd"/>
      <w:r w:rsidR="00990F8A">
        <w:t xml:space="preserve"> et al., 2015)</w:t>
      </w:r>
      <w:r w:rsidR="00180244">
        <w:t xml:space="preserve">, 9 of the 30 enrolled patients who had a REVEAL LINQ device implanted experienced adverse events during one month of follow-up (10 adverse events in total) There were 4 procedure-related events: implantation site pain (n=2) and wound infection (n=2). Two serious adverse events were reported in 3 patients (2 AF events in 1 patient, and 1 palpitation event in 1 patient), however none of these </w:t>
      </w:r>
      <w:r w:rsidR="00180244" w:rsidRPr="00180244">
        <w:t>events</w:t>
      </w:r>
      <w:r w:rsidR="00180244">
        <w:t xml:space="preserve"> </w:t>
      </w:r>
      <w:r w:rsidR="00180244" w:rsidRPr="00180244">
        <w:t>were</w:t>
      </w:r>
      <w:r w:rsidR="00180244">
        <w:t xml:space="preserve"> </w:t>
      </w:r>
      <w:r w:rsidR="00180244" w:rsidRPr="00180244">
        <w:t>procedure</w:t>
      </w:r>
      <w:r w:rsidR="00180244">
        <w:t xml:space="preserve"> </w:t>
      </w:r>
      <w:r w:rsidR="00180244" w:rsidRPr="00180244">
        <w:t>or</w:t>
      </w:r>
      <w:r w:rsidR="00180244">
        <w:t xml:space="preserve"> </w:t>
      </w:r>
      <w:r w:rsidR="00180244" w:rsidRPr="00180244">
        <w:t>system</w:t>
      </w:r>
      <w:r w:rsidR="00180244">
        <w:t xml:space="preserve"> </w:t>
      </w:r>
      <w:r w:rsidR="00180244" w:rsidRPr="00180244">
        <w:t>related.</w:t>
      </w:r>
      <w:r w:rsidR="00180244">
        <w:t xml:space="preserve"> </w:t>
      </w:r>
      <w:r w:rsidR="00BC4EFE" w:rsidRPr="00856701">
        <w:t>Specify the type of economic evaluation.</w:t>
      </w:r>
    </w:p>
    <w:p w14:paraId="4053366B" w14:textId="225C3B2C" w:rsidR="005876D3" w:rsidRPr="0066293C" w:rsidRDefault="005A09F1" w:rsidP="0066293C">
      <w:pPr>
        <w:rPr>
          <w:lang w:eastAsia="ja-JP"/>
        </w:rPr>
      </w:pPr>
      <w:r>
        <w:rPr>
          <w:rFonts w:hint="eastAsia"/>
          <w:lang w:eastAsia="ja-JP"/>
        </w:rPr>
        <w:t>A modelled cost-</w:t>
      </w:r>
      <w:r>
        <w:rPr>
          <w:lang w:eastAsia="ja-JP"/>
        </w:rPr>
        <w:t>effectiveness</w:t>
      </w:r>
      <w:r>
        <w:rPr>
          <w:rFonts w:hint="eastAsia"/>
          <w:lang w:eastAsia="ja-JP"/>
        </w:rPr>
        <w:t xml:space="preserve"> analysis will be presented. </w:t>
      </w:r>
      <w:r w:rsidR="00563E57">
        <w:rPr>
          <w:lang w:eastAsia="ja-JP"/>
        </w:rPr>
        <w:t>The proposed structure of this modelled analysis is described in Section 11 (Decision analytic).</w:t>
      </w:r>
    </w:p>
    <w:p w14:paraId="676C9704" w14:textId="77777777" w:rsidR="00BC4EFE" w:rsidRPr="00BC4EFE" w:rsidRDefault="002366BA" w:rsidP="00941DC8">
      <w:pPr>
        <w:pStyle w:val="Heading1"/>
      </w:pPr>
      <w:r>
        <w:t xml:space="preserve">Fee for the proposed medical </w:t>
      </w:r>
      <w:r w:rsidR="00BC4EFE" w:rsidRPr="00BC4EFE">
        <w:t>service</w:t>
      </w:r>
    </w:p>
    <w:p w14:paraId="4BEA62AC" w14:textId="77777777" w:rsidR="00BC4EFE" w:rsidRDefault="00BC4EFE" w:rsidP="00215B74">
      <w:pPr>
        <w:pStyle w:val="Quote"/>
      </w:pPr>
      <w:r w:rsidRPr="00BC4EFE">
        <w:t>Explain the type of funding proposed for this service.</w:t>
      </w:r>
    </w:p>
    <w:p w14:paraId="04DD420C" w14:textId="182F69A0" w:rsidR="004D36F0" w:rsidRDefault="004D36F0" w:rsidP="0066293C">
      <w:r>
        <w:t>It is expected that the funding type for these two services would follow the precedent of the syncope MBS items, specifically:</w:t>
      </w:r>
    </w:p>
    <w:p w14:paraId="708E192F" w14:textId="4B51FDD7" w:rsidR="004D36F0" w:rsidRDefault="004D36F0" w:rsidP="004D36F0">
      <w:pPr>
        <w:pStyle w:val="ListParagraph"/>
        <w:numPr>
          <w:ilvl w:val="0"/>
          <w:numId w:val="16"/>
        </w:numPr>
      </w:pPr>
      <w:r>
        <w:t>Insertion of ILR device: equivalent to MBS item 38285 for the existing syncope indication which is c</w:t>
      </w:r>
      <w:r w:rsidRPr="004D36F0">
        <w:t>ategory 3 (therapeutic procedures)</w:t>
      </w:r>
    </w:p>
    <w:p w14:paraId="373B69E0" w14:textId="67110AEB" w:rsidR="004D36F0" w:rsidRPr="0066293C" w:rsidRDefault="004D36F0" w:rsidP="004D36F0">
      <w:pPr>
        <w:pStyle w:val="ListParagraph"/>
        <w:numPr>
          <w:ilvl w:val="0"/>
          <w:numId w:val="16"/>
        </w:numPr>
      </w:pPr>
      <w:r>
        <w:t xml:space="preserve">Follow-up consultation: equivalent to MBS item 11722 for the existing syncope indication which is </w:t>
      </w:r>
      <w:r>
        <w:rPr>
          <w:color w:val="1F497D"/>
        </w:rPr>
        <w:t>category 2 (diagnostic procedures and investigations).</w:t>
      </w:r>
    </w:p>
    <w:p w14:paraId="624E86BC" w14:textId="77777777" w:rsidR="006A407A" w:rsidRDefault="006A407A">
      <w:pPr>
        <w:jc w:val="left"/>
        <w:rPr>
          <w:b/>
          <w:i/>
          <w:color w:val="548DD4" w:themeColor="text2" w:themeTint="99"/>
          <w:szCs w:val="20"/>
        </w:rPr>
      </w:pPr>
      <w:r>
        <w:br w:type="page"/>
      </w:r>
    </w:p>
    <w:p w14:paraId="370CFF5D" w14:textId="77777777" w:rsidR="006A407A" w:rsidRDefault="006A407A">
      <w:pPr>
        <w:jc w:val="left"/>
        <w:rPr>
          <w:b/>
          <w:i/>
          <w:color w:val="548DD4" w:themeColor="text2" w:themeTint="99"/>
          <w:szCs w:val="20"/>
        </w:rPr>
      </w:pPr>
      <w:r>
        <w:lastRenderedPageBreak/>
        <w:br w:type="page"/>
      </w:r>
    </w:p>
    <w:p w14:paraId="61E61B3D" w14:textId="7993D2DA" w:rsidR="00BC4EFE" w:rsidRDefault="00BC4EFE" w:rsidP="00215B74">
      <w:pPr>
        <w:pStyle w:val="Quote"/>
        <w:rPr>
          <w:lang w:eastAsia="ja-JP"/>
        </w:rPr>
      </w:pPr>
      <w:r w:rsidRPr="00EB58CC">
        <w:lastRenderedPageBreak/>
        <w:t>Please indicate the direct cost of any equipment or resources that are used with the service relevant to this application, as appropriate.</w:t>
      </w:r>
      <w:r w:rsidRPr="00BC4EFE">
        <w:t xml:space="preserve"> </w:t>
      </w:r>
    </w:p>
    <w:p w14:paraId="0D0AFFB0" w14:textId="6AD64BAF" w:rsidR="006D4A16" w:rsidRPr="006D4A16" w:rsidRDefault="00C35134" w:rsidP="006D4A16">
      <w:pPr>
        <w:rPr>
          <w:lang w:val="en-US" w:eastAsia="ja-JP"/>
        </w:rPr>
      </w:pPr>
      <w:r w:rsidRPr="00B80FEE">
        <w:rPr>
          <w:rFonts w:hint="eastAsia"/>
          <w:lang w:eastAsia="ja-JP"/>
        </w:rPr>
        <w:t>ILR</w:t>
      </w:r>
      <w:r w:rsidR="00B46431" w:rsidRPr="00B80FEE">
        <w:rPr>
          <w:rFonts w:hint="eastAsia"/>
          <w:lang w:eastAsia="ja-JP"/>
        </w:rPr>
        <w:t>s</w:t>
      </w:r>
      <w:r w:rsidRPr="00B80FEE">
        <w:rPr>
          <w:rFonts w:hint="eastAsia"/>
          <w:lang w:eastAsia="ja-JP"/>
        </w:rPr>
        <w:t xml:space="preserve"> </w:t>
      </w:r>
      <w:r w:rsidR="00724C34" w:rsidRPr="00B80FEE">
        <w:rPr>
          <w:rFonts w:hint="eastAsia"/>
          <w:lang w:eastAsia="ja-JP"/>
        </w:rPr>
        <w:t>such as</w:t>
      </w:r>
      <w:r w:rsidR="006D4A16" w:rsidRPr="00B80FEE">
        <w:rPr>
          <w:rFonts w:hint="eastAsia"/>
          <w:lang w:eastAsia="ja-JP"/>
        </w:rPr>
        <w:t xml:space="preserve"> Reveal LINQ</w:t>
      </w:r>
      <w:r w:rsidR="006D4A16" w:rsidRPr="00B80FEE">
        <w:rPr>
          <w:rFonts w:hint="eastAsia"/>
          <w:lang w:eastAsia="ja-JP"/>
        </w:rPr>
        <w:t>™</w:t>
      </w:r>
      <w:r w:rsidR="006D4A16" w:rsidRPr="00B80FEE">
        <w:rPr>
          <w:rFonts w:hint="eastAsia"/>
          <w:lang w:val="en-US" w:eastAsia="ja-JP"/>
        </w:rPr>
        <w:t xml:space="preserve"> (Medtronic) are</w:t>
      </w:r>
      <w:r w:rsidR="006D4A16">
        <w:rPr>
          <w:rFonts w:hint="eastAsia"/>
          <w:lang w:val="en-US" w:eastAsia="ja-JP"/>
        </w:rPr>
        <w:t xml:space="preserve"> currently listed on Part C of the Prosthesis List with a Minimum Benefit of </w:t>
      </w:r>
      <w:r w:rsidR="006D4A16" w:rsidRPr="006D4A16">
        <w:rPr>
          <w:lang w:val="en-US" w:eastAsia="ja-JP"/>
        </w:rPr>
        <w:t>$3,900.00</w:t>
      </w:r>
      <w:r w:rsidR="006D4A16">
        <w:rPr>
          <w:rFonts w:hint="eastAsia"/>
          <w:lang w:val="en-US" w:eastAsia="ja-JP"/>
        </w:rPr>
        <w:t xml:space="preserve"> (</w:t>
      </w:r>
      <w:r w:rsidR="006D4A16" w:rsidRPr="006D4A16">
        <w:rPr>
          <w:lang w:val="en-US" w:eastAsia="ja-JP"/>
        </w:rPr>
        <w:t>08.14.01 - Implantable Cardiac Event Recorders</w:t>
      </w:r>
      <w:r w:rsidR="00B46431">
        <w:rPr>
          <w:rFonts w:hint="eastAsia"/>
          <w:lang w:val="en-US" w:eastAsia="ja-JP"/>
        </w:rPr>
        <w:t xml:space="preserve">; see </w:t>
      </w:r>
      <w:r w:rsidR="00B46431">
        <w:rPr>
          <w:lang w:val="en-US" w:eastAsia="ja-JP"/>
        </w:rPr>
        <w:fldChar w:fldCharType="begin"/>
      </w:r>
      <w:r w:rsidR="00B46431">
        <w:rPr>
          <w:lang w:val="en-US" w:eastAsia="ja-JP"/>
        </w:rPr>
        <w:instrText xml:space="preserve"> </w:instrText>
      </w:r>
      <w:r w:rsidR="00B46431">
        <w:rPr>
          <w:rFonts w:hint="eastAsia"/>
          <w:lang w:val="en-US" w:eastAsia="ja-JP"/>
        </w:rPr>
        <w:instrText>REF _Ref436657636 \h</w:instrText>
      </w:r>
      <w:r w:rsidR="00B46431">
        <w:rPr>
          <w:lang w:val="en-US" w:eastAsia="ja-JP"/>
        </w:rPr>
        <w:instrText xml:space="preserve"> </w:instrText>
      </w:r>
      <w:r w:rsidR="00B46431">
        <w:rPr>
          <w:lang w:val="en-US" w:eastAsia="ja-JP"/>
        </w:rPr>
      </w:r>
      <w:r w:rsidR="00B46431">
        <w:rPr>
          <w:lang w:val="en-US" w:eastAsia="ja-JP"/>
        </w:rPr>
        <w:fldChar w:fldCharType="separate"/>
      </w:r>
      <w:r w:rsidR="003D08CA" w:rsidRPr="00A961FB">
        <w:rPr>
          <w:rFonts w:cstheme="minorHAnsi"/>
        </w:rPr>
        <w:t xml:space="preserve">Table </w:t>
      </w:r>
      <w:r w:rsidR="003D08CA">
        <w:rPr>
          <w:rFonts w:cstheme="minorHAnsi"/>
          <w:noProof/>
        </w:rPr>
        <w:t>4</w:t>
      </w:r>
      <w:r w:rsidR="00B46431">
        <w:rPr>
          <w:lang w:val="en-US" w:eastAsia="ja-JP"/>
        </w:rPr>
        <w:fldChar w:fldCharType="end"/>
      </w:r>
      <w:r w:rsidR="006D4A16">
        <w:rPr>
          <w:rFonts w:hint="eastAsia"/>
          <w:lang w:val="en-US" w:eastAsia="ja-JP"/>
        </w:rPr>
        <w:t>). Several other brands and manufacturers exist on the list; all i</w:t>
      </w:r>
      <w:r w:rsidR="006D4A16" w:rsidRPr="006D4A16">
        <w:rPr>
          <w:lang w:val="en-US" w:eastAsia="ja-JP"/>
        </w:rPr>
        <w:t>mplantable cardiac event recorders</w:t>
      </w:r>
      <w:r w:rsidR="006D4A16">
        <w:rPr>
          <w:rFonts w:hint="eastAsia"/>
          <w:lang w:val="en-US" w:eastAsia="ja-JP"/>
        </w:rPr>
        <w:t xml:space="preserve"> are associated with the </w:t>
      </w:r>
      <w:r w:rsidR="006D4A16">
        <w:rPr>
          <w:lang w:val="en-US" w:eastAsia="ja-JP"/>
        </w:rPr>
        <w:t>Minimum</w:t>
      </w:r>
      <w:r w:rsidR="006D4A16">
        <w:rPr>
          <w:rFonts w:hint="eastAsia"/>
          <w:lang w:val="en-US" w:eastAsia="ja-JP"/>
        </w:rPr>
        <w:t xml:space="preserve"> Benefit </w:t>
      </w:r>
      <w:r w:rsidR="006D4A16">
        <w:rPr>
          <w:lang w:val="en-US" w:eastAsia="ja-JP"/>
        </w:rPr>
        <w:t>amount</w:t>
      </w:r>
      <w:r w:rsidR="006D4A16">
        <w:rPr>
          <w:rFonts w:hint="eastAsia"/>
          <w:lang w:val="en-US" w:eastAsia="ja-JP"/>
        </w:rPr>
        <w:t xml:space="preserve"> of $3,900.00. </w:t>
      </w:r>
    </w:p>
    <w:p w14:paraId="1E657D82" w14:textId="05EFC6CD" w:rsidR="007F7E33" w:rsidRDefault="00BC4EFE" w:rsidP="00D27BD8">
      <w:pPr>
        <w:pStyle w:val="Quote"/>
        <w:rPr>
          <w:lang w:eastAsia="ja-JP"/>
        </w:rPr>
      </w:pPr>
      <w:r w:rsidRPr="00EB58CC">
        <w:t>Provide details of the proposed fee.</w:t>
      </w:r>
    </w:p>
    <w:p w14:paraId="0E1B48B5" w14:textId="3A2258EF" w:rsidR="005A09F1" w:rsidRPr="004F3A7F" w:rsidRDefault="005A09F1" w:rsidP="005A09F1">
      <w:pPr>
        <w:rPr>
          <w:lang w:eastAsia="ja-JP"/>
        </w:rPr>
      </w:pPr>
      <w:r w:rsidRPr="004F3A7F">
        <w:rPr>
          <w:rFonts w:hint="eastAsia"/>
          <w:lang w:eastAsia="ja-JP"/>
        </w:rPr>
        <w:t xml:space="preserve">The requested MBS </w:t>
      </w:r>
      <w:r w:rsidR="00E0010C">
        <w:rPr>
          <w:lang w:eastAsia="ja-JP"/>
        </w:rPr>
        <w:t>fee</w:t>
      </w:r>
      <w:r w:rsidR="00E0010C" w:rsidRPr="004F3A7F">
        <w:rPr>
          <w:rFonts w:hint="eastAsia"/>
          <w:lang w:eastAsia="ja-JP"/>
        </w:rPr>
        <w:t xml:space="preserve"> </w:t>
      </w:r>
      <w:r w:rsidRPr="004F3A7F">
        <w:rPr>
          <w:rFonts w:hint="eastAsia"/>
          <w:lang w:eastAsia="ja-JP"/>
        </w:rPr>
        <w:t xml:space="preserve">for </w:t>
      </w:r>
      <w:r w:rsidRPr="004F3A7F">
        <w:rPr>
          <w:lang w:eastAsia="ja-JP"/>
        </w:rPr>
        <w:t>insertion</w:t>
      </w:r>
      <w:r w:rsidRPr="004F3A7F">
        <w:rPr>
          <w:rFonts w:hint="eastAsia"/>
          <w:lang w:eastAsia="ja-JP"/>
        </w:rPr>
        <w:t xml:space="preserve">, initial programing and testing for the proposed indication is same as that currently approved for the syncope </w:t>
      </w:r>
      <w:r w:rsidRPr="004F3A7F">
        <w:rPr>
          <w:lang w:eastAsia="ja-JP"/>
        </w:rPr>
        <w:t>indication</w:t>
      </w:r>
      <w:r w:rsidRPr="004F3A7F">
        <w:rPr>
          <w:rFonts w:hint="eastAsia"/>
          <w:lang w:eastAsia="ja-JP"/>
        </w:rPr>
        <w:t xml:space="preserve"> (MBS item </w:t>
      </w:r>
      <w:r w:rsidRPr="004F3A7F">
        <w:rPr>
          <w:lang w:eastAsia="ja-JP"/>
        </w:rPr>
        <w:t>38285</w:t>
      </w:r>
      <w:r w:rsidRPr="004F3A7F">
        <w:rPr>
          <w:rFonts w:hint="eastAsia"/>
          <w:lang w:eastAsia="ja-JP"/>
        </w:rPr>
        <w:t xml:space="preserve">; </w:t>
      </w:r>
      <w:r w:rsidRPr="004F3A7F">
        <w:rPr>
          <w:lang w:eastAsia="ja-JP"/>
        </w:rPr>
        <w:t>$192.90</w:t>
      </w:r>
      <w:r w:rsidRPr="004F3A7F">
        <w:rPr>
          <w:rFonts w:hint="eastAsia"/>
          <w:lang w:eastAsia="ja-JP"/>
        </w:rPr>
        <w:t xml:space="preserve">).  Similarly, a follow-up </w:t>
      </w:r>
      <w:r w:rsidRPr="004F3A7F">
        <w:rPr>
          <w:lang w:eastAsia="ja-JP"/>
        </w:rPr>
        <w:t>consultation</w:t>
      </w:r>
      <w:r w:rsidRPr="004F3A7F">
        <w:rPr>
          <w:rFonts w:hint="eastAsia"/>
          <w:lang w:eastAsia="ja-JP"/>
        </w:rPr>
        <w:t xml:space="preserve"> (for </w:t>
      </w:r>
      <w:r w:rsidRPr="004F3A7F">
        <w:rPr>
          <w:lang w:eastAsia="ja-JP"/>
        </w:rPr>
        <w:t>re-programming of device, retrieval of stored data, analysis, interpretation and report</w:t>
      </w:r>
      <w:r w:rsidRPr="004F3A7F">
        <w:rPr>
          <w:rFonts w:hint="eastAsia"/>
          <w:lang w:eastAsia="ja-JP"/>
        </w:rPr>
        <w:t xml:space="preserve">) for the proposed indication is performed in a similar manner to the syncope indication (MBS item 11722; </w:t>
      </w:r>
      <w:r w:rsidRPr="004F3A7F">
        <w:rPr>
          <w:lang w:eastAsia="ja-JP"/>
        </w:rPr>
        <w:t>$34.75</w:t>
      </w:r>
      <w:r w:rsidRPr="004F3A7F">
        <w:rPr>
          <w:rFonts w:hint="eastAsia"/>
          <w:lang w:eastAsia="ja-JP"/>
        </w:rPr>
        <w:t xml:space="preserve">), and the requested </w:t>
      </w:r>
      <w:r w:rsidRPr="004F3A7F">
        <w:rPr>
          <w:lang w:eastAsia="ja-JP"/>
        </w:rPr>
        <w:t>benefit for</w:t>
      </w:r>
      <w:r w:rsidRPr="004F3A7F">
        <w:rPr>
          <w:rFonts w:hint="eastAsia"/>
          <w:lang w:eastAsia="ja-JP"/>
        </w:rPr>
        <w:t xml:space="preserve"> this service is also set at the current level. </w:t>
      </w:r>
    </w:p>
    <w:p w14:paraId="4F8A2E17" w14:textId="52BA9314" w:rsidR="005A09F1" w:rsidRPr="005A09F1" w:rsidRDefault="005A09F1" w:rsidP="005A09F1">
      <w:pPr>
        <w:rPr>
          <w:lang w:eastAsia="ja-JP"/>
        </w:rPr>
      </w:pPr>
      <w:r w:rsidRPr="004F3A7F">
        <w:rPr>
          <w:rFonts w:hint="eastAsia"/>
          <w:lang w:eastAsia="ja-JP"/>
        </w:rPr>
        <w:t xml:space="preserve">The above approach is </w:t>
      </w:r>
      <w:r w:rsidRPr="004F3A7F">
        <w:rPr>
          <w:lang w:eastAsia="ja-JP"/>
        </w:rPr>
        <w:t>justified</w:t>
      </w:r>
      <w:r w:rsidRPr="004F3A7F">
        <w:rPr>
          <w:rFonts w:hint="eastAsia"/>
          <w:lang w:eastAsia="ja-JP"/>
        </w:rPr>
        <w:t xml:space="preserve"> and appropriate because, while they relate to very different </w:t>
      </w:r>
      <w:r w:rsidRPr="004F3A7F">
        <w:rPr>
          <w:lang w:eastAsia="ja-JP"/>
        </w:rPr>
        <w:t>indications</w:t>
      </w:r>
      <w:r w:rsidRPr="004F3A7F">
        <w:rPr>
          <w:rFonts w:hint="eastAsia"/>
          <w:lang w:eastAsia="ja-JP"/>
        </w:rPr>
        <w:t xml:space="preserve">, the extent and type of expertise / procedural complexity and duration are likely to be similar between the proposed </w:t>
      </w:r>
      <w:r w:rsidRPr="004F3A7F">
        <w:rPr>
          <w:lang w:eastAsia="ja-JP"/>
        </w:rPr>
        <w:t>i</w:t>
      </w:r>
      <w:r w:rsidR="002C4CF9">
        <w:rPr>
          <w:lang w:eastAsia="ja-JP"/>
        </w:rPr>
        <w:t>ndication</w:t>
      </w:r>
      <w:r w:rsidRPr="004F3A7F">
        <w:rPr>
          <w:rFonts w:hint="eastAsia"/>
          <w:lang w:eastAsia="ja-JP"/>
        </w:rPr>
        <w:t xml:space="preserve"> and the existing syncope indication.</w:t>
      </w:r>
      <w:r>
        <w:rPr>
          <w:rFonts w:hint="eastAsia"/>
          <w:lang w:eastAsia="ja-JP"/>
        </w:rPr>
        <w:t xml:space="preserve"> </w:t>
      </w:r>
    </w:p>
    <w:p w14:paraId="55686C86" w14:textId="77777777" w:rsidR="00BC4EFE" w:rsidRPr="00BC4EFE" w:rsidRDefault="00BC4EFE" w:rsidP="00123E36">
      <w:pPr>
        <w:pStyle w:val="Heading1"/>
      </w:pPr>
      <w:r w:rsidRPr="00BC4EFE">
        <w:t xml:space="preserve">Clinical Management Algorithm - clinical place for the proposed intervention </w:t>
      </w:r>
    </w:p>
    <w:p w14:paraId="4CF12995" w14:textId="5AAA5CA5" w:rsidR="009615CB" w:rsidRDefault="00BC4EFE" w:rsidP="00123E36">
      <w:pPr>
        <w:pStyle w:val="Quote"/>
        <w:keepNext/>
        <w:keepLines/>
      </w:pPr>
      <w:r w:rsidRPr="00BC4EFE">
        <w:t>Provide a clinical management algorithm (e.g.: flowchart) explaining the current approach (see (6) Comparator section) to management and any downstream services (aftercare) of the eligible population/s in the absence of public funding for the service proposed preferably with reference to existing clinical practice guidelines.</w:t>
      </w:r>
    </w:p>
    <w:p w14:paraId="76CF51F5" w14:textId="213E5552" w:rsidR="00C874E0" w:rsidRPr="00C874E0" w:rsidRDefault="00C874E0" w:rsidP="00123E36">
      <w:pPr>
        <w:pStyle w:val="Quote"/>
        <w:keepNext/>
        <w:keepLines/>
      </w:pPr>
      <w:r w:rsidRPr="00BC4EFE">
        <w:t>Provide a clinical management algorithm (e.g.: flowchart) explaining the expected management and any downstream services (aftercare) of the eligible population/s if public funding is recommended for the service proposed.</w:t>
      </w:r>
    </w:p>
    <w:p w14:paraId="217AAD81" w14:textId="2A15BD18" w:rsidR="00EB58CC" w:rsidRDefault="00EB58CC" w:rsidP="00123E36">
      <w:pPr>
        <w:keepNext/>
        <w:keepLines/>
      </w:pPr>
      <w:r>
        <w:t xml:space="preserve">A clinical management algorithm for </w:t>
      </w:r>
      <w:r w:rsidR="00767C51">
        <w:t>investigation of stroke mechanism including cryptogenic stroke which reflects current pra</w:t>
      </w:r>
      <w:r w:rsidR="00816EB7">
        <w:t xml:space="preserve">ctice is illustrated in Figure </w:t>
      </w:r>
      <w:r w:rsidR="00F87673">
        <w:t>6</w:t>
      </w:r>
      <w:r w:rsidR="00767C51">
        <w:t>.</w:t>
      </w:r>
      <w:r w:rsidR="00816EB7">
        <w:t xml:space="preserve"> This figure also includes the </w:t>
      </w:r>
      <w:r w:rsidR="00C1577C">
        <w:t>proposed</w:t>
      </w:r>
      <w:r w:rsidR="00816EB7">
        <w:t xml:space="preserve"> place of ILRs (red text) if public funding is recommended, and demonstrates the </w:t>
      </w:r>
      <w:r w:rsidR="00C1577C">
        <w:t xml:space="preserve">proposed </w:t>
      </w:r>
      <w:r w:rsidR="00816EB7">
        <w:t>comparator to ILRs (green text).</w:t>
      </w:r>
    </w:p>
    <w:p w14:paraId="623BBA80" w14:textId="77777777" w:rsidR="005236AF" w:rsidRDefault="005236AF" w:rsidP="005236AF">
      <w:r>
        <w:t xml:space="preserve">The ILR is used to provide the initial diagnosis of AF in patients, who can the move onto appropriate treatment management of their AF with OAC. </w:t>
      </w:r>
      <w:r w:rsidRPr="00D00542">
        <w:t>After the diagnosis of AF the ILR no longer has a</w:t>
      </w:r>
      <w:r>
        <w:t>n explicit</w:t>
      </w:r>
      <w:r w:rsidRPr="00D00542">
        <w:t xml:space="preserve"> role to play in the management of the patient. After AF diagnosis, the ILR device itself </w:t>
      </w:r>
      <w:r>
        <w:t xml:space="preserve">will </w:t>
      </w:r>
      <w:r w:rsidRPr="00D00542">
        <w:t xml:space="preserve">remain in the patient </w:t>
      </w:r>
      <w:r>
        <w:t xml:space="preserve">for the 3 year lifespan of the device because it is safe and because it </w:t>
      </w:r>
      <w:r w:rsidRPr="00D00542">
        <w:t>may provide some incidental information.  Nonetheless, the subject of this assessment is the diagnosis of the first AF event</w:t>
      </w:r>
      <w:r>
        <w:t>. S</w:t>
      </w:r>
      <w:r w:rsidRPr="00D00542">
        <w:t xml:space="preserve">ubsequent treatment </w:t>
      </w:r>
      <w:r>
        <w:t xml:space="preserve">and </w:t>
      </w:r>
      <w:r w:rsidRPr="00D00542">
        <w:t xml:space="preserve">management </w:t>
      </w:r>
      <w:r>
        <w:t xml:space="preserve">of the </w:t>
      </w:r>
      <w:r w:rsidRPr="00D00542">
        <w:t>AF</w:t>
      </w:r>
      <w:r>
        <w:t xml:space="preserve"> will be conducted independent the ILR</w:t>
      </w:r>
      <w:r w:rsidRPr="00D00542">
        <w:t xml:space="preserve">. </w:t>
      </w:r>
    </w:p>
    <w:p w14:paraId="286E9CF7" w14:textId="77777777" w:rsidR="005236AF" w:rsidRDefault="005236AF" w:rsidP="005236AF">
      <w:r>
        <w:lastRenderedPageBreak/>
        <w:t>The device will also be removed after three years in patients without an AF finding.</w:t>
      </w:r>
    </w:p>
    <w:p w14:paraId="724C4CFF" w14:textId="307EE4E3" w:rsidR="00714EEC" w:rsidRPr="00B80FEE" w:rsidRDefault="00767C51" w:rsidP="00B80FEE">
      <w:pPr>
        <w:pStyle w:val="Caption"/>
        <w:spacing w:after="120"/>
      </w:pPr>
      <w:r>
        <w:t xml:space="preserve">Figure </w:t>
      </w:r>
      <w:r>
        <w:fldChar w:fldCharType="begin"/>
      </w:r>
      <w:r>
        <w:instrText xml:space="preserve"> SEQ Figure \* ARABIC </w:instrText>
      </w:r>
      <w:r>
        <w:fldChar w:fldCharType="separate"/>
      </w:r>
      <w:r w:rsidR="00F3250E">
        <w:rPr>
          <w:noProof/>
        </w:rPr>
        <w:t>7</w:t>
      </w:r>
      <w:r>
        <w:fldChar w:fldCharType="end"/>
      </w:r>
      <w:r>
        <w:tab/>
        <w:t>Clinical management algorithm for investigation of stroke mechanism: current practice</w:t>
      </w:r>
      <w:r w:rsidR="00816EB7">
        <w:t xml:space="preserve"> and clinical place for ILRs</w:t>
      </w:r>
    </w:p>
    <w:p w14:paraId="3EC48A90" w14:textId="067276A2" w:rsidR="00CC0701" w:rsidRDefault="00CC0701" w:rsidP="006261BD">
      <w:pPr>
        <w:spacing w:after="0" w:line="240" w:lineRule="auto"/>
        <w:rPr>
          <w:rFonts w:cstheme="minorHAnsi"/>
          <w:sz w:val="18"/>
          <w:szCs w:val="18"/>
          <w:vertAlign w:val="superscript"/>
        </w:rPr>
      </w:pPr>
    </w:p>
    <w:p w14:paraId="419F0F32" w14:textId="7B05921F" w:rsidR="009A1068" w:rsidRDefault="00023374" w:rsidP="006261BD">
      <w:pPr>
        <w:spacing w:after="0" w:line="240" w:lineRule="auto"/>
        <w:rPr>
          <w:rFonts w:cstheme="minorHAnsi"/>
          <w:sz w:val="18"/>
          <w:szCs w:val="18"/>
          <w:vertAlign w:val="superscript"/>
        </w:rPr>
      </w:pPr>
      <w:r>
        <w:rPr>
          <w:rFonts w:cstheme="minorHAnsi"/>
          <w:noProof/>
          <w:sz w:val="18"/>
          <w:szCs w:val="18"/>
          <w:vertAlign w:val="superscript"/>
          <w:lang w:eastAsia="en-AU"/>
        </w:rPr>
        <w:drawing>
          <wp:inline distT="0" distB="0" distL="0" distR="0" wp14:anchorId="2CDC1D45" wp14:editId="25632301">
            <wp:extent cx="8746942" cy="4886325"/>
            <wp:effectExtent l="0" t="0" r="0" b="0"/>
            <wp:docPr id="9" name="Picture 9" descr="Figure 7 Clinical management algorithm for investigation of stroke mechanism: current practice and clinical place for ILRs.&#10;Refer to above description of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66522" cy="4897263"/>
                    </a:xfrm>
                    <a:prstGeom prst="rect">
                      <a:avLst/>
                    </a:prstGeom>
                    <a:noFill/>
                  </pic:spPr>
                </pic:pic>
              </a:graphicData>
            </a:graphic>
          </wp:inline>
        </w:drawing>
      </w:r>
    </w:p>
    <w:p w14:paraId="138C47FF" w14:textId="5F59A0DA" w:rsidR="009A1068" w:rsidRPr="00A6217B" w:rsidRDefault="006261BD" w:rsidP="006261BD">
      <w:pPr>
        <w:spacing w:after="0" w:line="240" w:lineRule="auto"/>
        <w:rPr>
          <w:rFonts w:cstheme="minorHAnsi"/>
          <w:sz w:val="18"/>
          <w:szCs w:val="18"/>
        </w:rPr>
      </w:pPr>
      <w:r w:rsidRPr="006261BD">
        <w:rPr>
          <w:rFonts w:cstheme="minorHAnsi"/>
          <w:sz w:val="18"/>
          <w:szCs w:val="18"/>
          <w:vertAlign w:val="superscript"/>
        </w:rPr>
        <w:t>#</w:t>
      </w:r>
      <w:r>
        <w:rPr>
          <w:rFonts w:cstheme="minorHAnsi"/>
          <w:sz w:val="18"/>
          <w:szCs w:val="18"/>
        </w:rPr>
        <w:t xml:space="preserve">No further investigation </w:t>
      </w:r>
      <w:proofErr w:type="gramStart"/>
      <w:r>
        <w:rPr>
          <w:rFonts w:cstheme="minorHAnsi"/>
          <w:sz w:val="18"/>
          <w:szCs w:val="18"/>
        </w:rPr>
        <w:t xml:space="preserve">or </w:t>
      </w:r>
      <w:r w:rsidR="001E3FEC">
        <w:rPr>
          <w:rFonts w:cstheme="minorHAnsi"/>
          <w:sz w:val="18"/>
          <w:szCs w:val="18"/>
        </w:rPr>
        <w:t xml:space="preserve"> conventional</w:t>
      </w:r>
      <w:proofErr w:type="gramEnd"/>
      <w:r w:rsidR="001E3FEC">
        <w:rPr>
          <w:rFonts w:cstheme="minorHAnsi"/>
          <w:sz w:val="18"/>
          <w:szCs w:val="18"/>
        </w:rPr>
        <w:t xml:space="preserve"> follow-up (which </w:t>
      </w:r>
      <w:r w:rsidR="00023374">
        <w:rPr>
          <w:rFonts w:cstheme="minorHAnsi"/>
          <w:sz w:val="18"/>
          <w:szCs w:val="18"/>
        </w:rPr>
        <w:t>can include one or more investigative test</w:t>
      </w:r>
      <w:r w:rsidR="001E3FEC">
        <w:rPr>
          <w:rFonts w:cstheme="minorHAnsi"/>
          <w:sz w:val="18"/>
          <w:szCs w:val="18"/>
        </w:rPr>
        <w:t xml:space="preserve">; </w:t>
      </w:r>
      <w:r w:rsidR="00C370F2">
        <w:rPr>
          <w:rFonts w:cstheme="minorHAnsi"/>
          <w:sz w:val="18"/>
          <w:szCs w:val="18"/>
        </w:rPr>
        <w:t>See Section 3)</w:t>
      </w:r>
      <w:r>
        <w:rPr>
          <w:rFonts w:cstheme="minorHAnsi"/>
          <w:sz w:val="18"/>
          <w:szCs w:val="18"/>
        </w:rPr>
        <w:t xml:space="preserve"> </w:t>
      </w:r>
      <w:r w:rsidRPr="00A6217B">
        <w:rPr>
          <w:rFonts w:cstheme="minorHAnsi"/>
          <w:sz w:val="18"/>
          <w:szCs w:val="18"/>
        </w:rPr>
        <w:t>*</w:t>
      </w:r>
      <w:r>
        <w:rPr>
          <w:rFonts w:cstheme="minorHAnsi"/>
          <w:sz w:val="18"/>
          <w:szCs w:val="18"/>
        </w:rPr>
        <w:t xml:space="preserve"> Treatment unless contraindicated</w:t>
      </w:r>
    </w:p>
    <w:p w14:paraId="611ED1B7" w14:textId="0BC97117" w:rsidR="006261BD" w:rsidRDefault="006261BD" w:rsidP="006261BD">
      <w:pPr>
        <w:spacing w:after="0" w:line="240" w:lineRule="auto"/>
        <w:rPr>
          <w:rFonts w:cstheme="minorHAnsi"/>
          <w:color w:val="00B050"/>
          <w:sz w:val="18"/>
          <w:szCs w:val="18"/>
        </w:rPr>
      </w:pPr>
      <w:r>
        <w:rPr>
          <w:rFonts w:cstheme="minorHAnsi"/>
          <w:color w:val="FF0000"/>
          <w:sz w:val="18"/>
          <w:szCs w:val="18"/>
        </w:rPr>
        <w:lastRenderedPageBreak/>
        <w:t>Red text: proposed place of medical service (ILRs)</w:t>
      </w:r>
      <w:r>
        <w:rPr>
          <w:rFonts w:cstheme="minorHAnsi"/>
          <w:sz w:val="18"/>
          <w:szCs w:val="18"/>
        </w:rPr>
        <w:t xml:space="preserve">; </w:t>
      </w:r>
      <w:r>
        <w:rPr>
          <w:rFonts w:cstheme="minorHAnsi"/>
          <w:color w:val="00B050"/>
          <w:sz w:val="18"/>
          <w:szCs w:val="18"/>
        </w:rPr>
        <w:t>Green text: proposed comparator for ILRs</w:t>
      </w:r>
    </w:p>
    <w:p w14:paraId="6D4851CD" w14:textId="6112CF85" w:rsidR="009A1068" w:rsidRPr="009A1068" w:rsidRDefault="009A1068" w:rsidP="006261BD">
      <w:pPr>
        <w:spacing w:after="0" w:line="240" w:lineRule="auto"/>
        <w:rPr>
          <w:rFonts w:cstheme="minorHAnsi"/>
          <w:sz w:val="18"/>
          <w:szCs w:val="18"/>
        </w:rPr>
      </w:pPr>
      <w:r w:rsidRPr="009A1068">
        <w:rPr>
          <w:rFonts w:cstheme="minorHAnsi"/>
          <w:sz w:val="18"/>
          <w:szCs w:val="18"/>
        </w:rPr>
        <w:t>Abbreviations:</w:t>
      </w:r>
      <w:r w:rsidR="0034591D">
        <w:rPr>
          <w:rFonts w:cstheme="minorHAnsi"/>
          <w:sz w:val="18"/>
          <w:szCs w:val="18"/>
        </w:rPr>
        <w:t xml:space="preserve"> </w:t>
      </w:r>
      <w:r>
        <w:rPr>
          <w:rFonts w:cstheme="minorHAnsi"/>
          <w:sz w:val="18"/>
          <w:szCs w:val="18"/>
        </w:rPr>
        <w:t>ECG, electrocardio</w:t>
      </w:r>
      <w:r w:rsidR="0034591D">
        <w:rPr>
          <w:rFonts w:cstheme="minorHAnsi"/>
          <w:sz w:val="18"/>
          <w:szCs w:val="18"/>
        </w:rPr>
        <w:t>gram; TIA, transient ischaemic attack</w:t>
      </w:r>
      <w:r>
        <w:rPr>
          <w:rFonts w:cstheme="minorHAnsi"/>
          <w:sz w:val="18"/>
          <w:szCs w:val="18"/>
        </w:rPr>
        <w:t xml:space="preserve">; TOE, </w:t>
      </w:r>
      <w:proofErr w:type="spellStart"/>
      <w:r>
        <w:rPr>
          <w:rFonts w:cstheme="minorHAnsi"/>
          <w:sz w:val="18"/>
          <w:szCs w:val="18"/>
        </w:rPr>
        <w:t>transoesophageal</w:t>
      </w:r>
      <w:proofErr w:type="spellEnd"/>
      <w:r>
        <w:rPr>
          <w:rFonts w:cstheme="minorHAnsi"/>
          <w:sz w:val="18"/>
          <w:szCs w:val="18"/>
        </w:rPr>
        <w:t xml:space="preserve"> echocardiogram; TTE, transthoracic echocardiogram</w:t>
      </w:r>
      <w:r w:rsidRPr="009A1068">
        <w:rPr>
          <w:rFonts w:cstheme="minorHAnsi"/>
          <w:sz w:val="18"/>
          <w:szCs w:val="18"/>
        </w:rPr>
        <w:t xml:space="preserve"> </w:t>
      </w:r>
    </w:p>
    <w:p w14:paraId="23B01565" w14:textId="77777777" w:rsidR="006261BD" w:rsidRPr="006261BD" w:rsidRDefault="006261BD" w:rsidP="006261BD">
      <w:pPr>
        <w:sectPr w:rsidR="006261BD" w:rsidRPr="006261BD" w:rsidSect="00816EB7">
          <w:headerReference w:type="even" r:id="rId20"/>
          <w:headerReference w:type="default" r:id="rId21"/>
          <w:footerReference w:type="even" r:id="rId22"/>
          <w:footerReference w:type="default" r:id="rId23"/>
          <w:headerReference w:type="first" r:id="rId24"/>
          <w:footerReference w:type="first" r:id="rId25"/>
          <w:pgSz w:w="16838" w:h="11906" w:orient="landscape"/>
          <w:pgMar w:top="1418" w:right="993" w:bottom="1440" w:left="1276" w:header="708" w:footer="708" w:gutter="0"/>
          <w:cols w:space="708"/>
          <w:docGrid w:linePitch="360"/>
        </w:sectPr>
      </w:pPr>
    </w:p>
    <w:p w14:paraId="0F0D962C" w14:textId="0A1DDB91" w:rsidR="00BC4EFE" w:rsidRPr="00BC4EFE" w:rsidRDefault="00BC4EFE" w:rsidP="00941DC8">
      <w:pPr>
        <w:pStyle w:val="Heading1"/>
      </w:pPr>
      <w:r w:rsidRPr="00BC4EFE">
        <w:lastRenderedPageBreak/>
        <w:t>Regulatory Information</w:t>
      </w:r>
    </w:p>
    <w:p w14:paraId="1746D5AD" w14:textId="77777777" w:rsidR="00BC4EFE" w:rsidRDefault="00BC4EFE" w:rsidP="00215B74">
      <w:pPr>
        <w:pStyle w:val="Quote"/>
      </w:pPr>
      <w:r w:rsidRPr="00BC4EFE">
        <w:t xml:space="preserve">Please provide details of the regulatory status. </w:t>
      </w:r>
      <w:proofErr w:type="gramStart"/>
      <w:r w:rsidRPr="00BC4EFE">
        <w:t>Noting that regulatory listing must be finalised before MSAC consideration.</w:t>
      </w:r>
      <w:proofErr w:type="gramEnd"/>
    </w:p>
    <w:p w14:paraId="3385BA59" w14:textId="70D72A8F" w:rsidR="00B80FEE" w:rsidRDefault="00D73552" w:rsidP="00B80FEE">
      <w:r>
        <w:t>Regulatory information of ILRs approved in Aus</w:t>
      </w:r>
      <w:r w:rsidR="00F87673">
        <w:t>tralia is</w:t>
      </w:r>
      <w:r w:rsidR="00223798">
        <w:t xml:space="preserve"> summarised in Table 8</w:t>
      </w:r>
      <w:r>
        <w:t>.</w:t>
      </w:r>
    </w:p>
    <w:p w14:paraId="05FD9B1B" w14:textId="2C4AB4E9" w:rsidR="00D73552" w:rsidRDefault="00D73552" w:rsidP="00D73552">
      <w:pPr>
        <w:pStyle w:val="Caption"/>
        <w:spacing w:after="120"/>
      </w:pPr>
      <w:r>
        <w:t xml:space="preserve">Table </w:t>
      </w:r>
      <w:r>
        <w:fldChar w:fldCharType="begin"/>
      </w:r>
      <w:r>
        <w:instrText xml:space="preserve"> SEQ Table \* ARABIC </w:instrText>
      </w:r>
      <w:r>
        <w:fldChar w:fldCharType="separate"/>
      </w:r>
      <w:r w:rsidR="00DC65DD">
        <w:rPr>
          <w:noProof/>
        </w:rPr>
        <w:t>8</w:t>
      </w:r>
      <w:r>
        <w:fldChar w:fldCharType="end"/>
      </w:r>
      <w:r>
        <w:tab/>
        <w:t>Regulatory information of ILRs approved in Australia</w:t>
      </w:r>
    </w:p>
    <w:tbl>
      <w:tblPr>
        <w:tblStyle w:val="TableGrid"/>
        <w:tblW w:w="10393" w:type="dxa"/>
        <w:tblLook w:val="04A0" w:firstRow="1" w:lastRow="0" w:firstColumn="1" w:lastColumn="0" w:noHBand="0" w:noVBand="1"/>
        <w:tblDescription w:val="Table 8 Regulatory information of ILRs approved in Australia"/>
      </w:tblPr>
      <w:tblGrid>
        <w:gridCol w:w="1119"/>
        <w:gridCol w:w="1404"/>
        <w:gridCol w:w="1278"/>
        <w:gridCol w:w="1542"/>
        <w:gridCol w:w="5050"/>
      </w:tblGrid>
      <w:tr w:rsidR="00C05BCA" w:rsidRPr="00D73552" w14:paraId="4E0599DA" w14:textId="77777777" w:rsidTr="002A5D07">
        <w:trPr>
          <w:trHeight w:val="273"/>
          <w:tblHeader/>
        </w:trPr>
        <w:tc>
          <w:tcPr>
            <w:tcW w:w="1119" w:type="dxa"/>
          </w:tcPr>
          <w:p w14:paraId="2CFB33DD" w14:textId="1E9726A3" w:rsidR="00D73552" w:rsidRPr="00D73552" w:rsidRDefault="00C05BCA" w:rsidP="00D73552">
            <w:pPr>
              <w:rPr>
                <w:b/>
                <w:lang w:val="en-GB" w:eastAsia="ja-JP"/>
              </w:rPr>
            </w:pPr>
            <w:r>
              <w:rPr>
                <w:b/>
              </w:rPr>
              <w:t>ARTG no.</w:t>
            </w:r>
          </w:p>
        </w:tc>
        <w:tc>
          <w:tcPr>
            <w:tcW w:w="1405" w:type="dxa"/>
          </w:tcPr>
          <w:p w14:paraId="3C017562" w14:textId="52BE0258" w:rsidR="00D73552" w:rsidRPr="00D73552" w:rsidRDefault="00D73552" w:rsidP="00D73552">
            <w:pPr>
              <w:rPr>
                <w:b/>
                <w:lang w:val="en-GB" w:eastAsia="ja-JP"/>
              </w:rPr>
            </w:pPr>
            <w:r w:rsidRPr="00D73552">
              <w:rPr>
                <w:b/>
              </w:rPr>
              <w:t>Sponsor</w:t>
            </w:r>
          </w:p>
        </w:tc>
        <w:tc>
          <w:tcPr>
            <w:tcW w:w="1267" w:type="dxa"/>
          </w:tcPr>
          <w:p w14:paraId="1F01111D" w14:textId="5E6CD903" w:rsidR="00D73552" w:rsidRPr="00D73552" w:rsidRDefault="00D73552" w:rsidP="00D73552">
            <w:pPr>
              <w:rPr>
                <w:b/>
                <w:lang w:val="en-GB" w:eastAsia="ja-JP"/>
              </w:rPr>
            </w:pPr>
            <w:r w:rsidRPr="00D73552">
              <w:rPr>
                <w:b/>
              </w:rPr>
              <w:t>Start date</w:t>
            </w:r>
          </w:p>
        </w:tc>
        <w:tc>
          <w:tcPr>
            <w:tcW w:w="1543" w:type="dxa"/>
          </w:tcPr>
          <w:p w14:paraId="06FA3737" w14:textId="10CE34BD" w:rsidR="00D73552" w:rsidRPr="00D73552" w:rsidRDefault="00D73552" w:rsidP="00D73552">
            <w:pPr>
              <w:rPr>
                <w:b/>
                <w:lang w:val="en-GB" w:eastAsia="ja-JP"/>
              </w:rPr>
            </w:pPr>
            <w:r w:rsidRPr="00D73552">
              <w:rPr>
                <w:b/>
              </w:rPr>
              <w:t>Product name</w:t>
            </w:r>
          </w:p>
        </w:tc>
        <w:tc>
          <w:tcPr>
            <w:tcW w:w="5059" w:type="dxa"/>
          </w:tcPr>
          <w:p w14:paraId="4824FCDE" w14:textId="51C9F8AC" w:rsidR="00D73552" w:rsidRPr="00D73552" w:rsidRDefault="00D73552" w:rsidP="00D73552">
            <w:pPr>
              <w:rPr>
                <w:b/>
                <w:lang w:val="en-GB" w:eastAsia="ja-JP"/>
              </w:rPr>
            </w:pPr>
            <w:r w:rsidRPr="00D73552">
              <w:rPr>
                <w:b/>
              </w:rPr>
              <w:t>Intended purpose</w:t>
            </w:r>
          </w:p>
        </w:tc>
      </w:tr>
      <w:tr w:rsidR="00C05BCA" w:rsidRPr="00D73552" w14:paraId="57D89C29" w14:textId="77777777" w:rsidTr="00C26BF2">
        <w:trPr>
          <w:trHeight w:val="804"/>
        </w:trPr>
        <w:tc>
          <w:tcPr>
            <w:tcW w:w="1119" w:type="dxa"/>
          </w:tcPr>
          <w:p w14:paraId="47EC2BCB" w14:textId="27EC0FB8" w:rsidR="00C05BCA" w:rsidRPr="00C05BCA" w:rsidRDefault="00C05BCA" w:rsidP="00C05BCA">
            <w:pPr>
              <w:jc w:val="left"/>
              <w:rPr>
                <w:rFonts w:cstheme="minorHAnsi"/>
                <w:lang w:val="en-GB" w:eastAsia="ja-JP"/>
              </w:rPr>
            </w:pPr>
            <w:r w:rsidRPr="00C05BCA">
              <w:rPr>
                <w:rFonts w:cstheme="minorHAnsi"/>
              </w:rPr>
              <w:t>218791</w:t>
            </w:r>
          </w:p>
        </w:tc>
        <w:tc>
          <w:tcPr>
            <w:tcW w:w="1405" w:type="dxa"/>
          </w:tcPr>
          <w:p w14:paraId="4A58DE4A" w14:textId="2623CC81" w:rsidR="00C05BCA" w:rsidRPr="00C05BCA" w:rsidRDefault="00C05BCA" w:rsidP="00C05BCA">
            <w:pPr>
              <w:jc w:val="left"/>
              <w:rPr>
                <w:rFonts w:cstheme="minorHAnsi"/>
                <w:lang w:val="en-GB" w:eastAsia="ja-JP"/>
              </w:rPr>
            </w:pPr>
            <w:r w:rsidRPr="00C05BCA">
              <w:rPr>
                <w:rFonts w:cstheme="minorHAnsi"/>
              </w:rPr>
              <w:t>Medtronic Australasia Pty Ltd</w:t>
            </w:r>
          </w:p>
        </w:tc>
        <w:tc>
          <w:tcPr>
            <w:tcW w:w="1267" w:type="dxa"/>
          </w:tcPr>
          <w:p w14:paraId="4E54AB07" w14:textId="46692F5A" w:rsidR="00C05BCA" w:rsidRPr="00C05BCA" w:rsidRDefault="00C05BCA" w:rsidP="00C05BCA">
            <w:pPr>
              <w:jc w:val="left"/>
              <w:rPr>
                <w:rFonts w:cstheme="minorHAnsi"/>
                <w:lang w:val="en-GB" w:eastAsia="ja-JP"/>
              </w:rPr>
            </w:pPr>
            <w:r w:rsidRPr="00C05BCA">
              <w:rPr>
                <w:rFonts w:cstheme="minorHAnsi"/>
              </w:rPr>
              <w:t>23/12/2013</w:t>
            </w:r>
          </w:p>
        </w:tc>
        <w:tc>
          <w:tcPr>
            <w:tcW w:w="1543" w:type="dxa"/>
          </w:tcPr>
          <w:p w14:paraId="213205D5" w14:textId="4C4A7C44" w:rsidR="00C05BCA" w:rsidRPr="00C05BCA" w:rsidRDefault="00C05BCA" w:rsidP="00C05BCA">
            <w:pPr>
              <w:jc w:val="left"/>
              <w:rPr>
                <w:rFonts w:cstheme="minorHAnsi"/>
                <w:lang w:val="en-GB" w:eastAsia="ja-JP"/>
              </w:rPr>
            </w:pPr>
            <w:r w:rsidRPr="00C05BCA">
              <w:rPr>
                <w:rFonts w:cstheme="minorHAnsi"/>
              </w:rPr>
              <w:t>Reveal LINQ</w:t>
            </w:r>
          </w:p>
        </w:tc>
        <w:tc>
          <w:tcPr>
            <w:tcW w:w="5059" w:type="dxa"/>
          </w:tcPr>
          <w:p w14:paraId="17169180" w14:textId="608E1E1C" w:rsidR="00C05BCA" w:rsidRPr="00C05BCA" w:rsidRDefault="00C05BCA" w:rsidP="00C05BCA">
            <w:pPr>
              <w:jc w:val="left"/>
              <w:rPr>
                <w:rFonts w:cstheme="minorHAnsi"/>
                <w:lang w:val="en-GB" w:eastAsia="ja-JP"/>
              </w:rPr>
            </w:pPr>
            <w:r w:rsidRPr="00C05BCA">
              <w:rPr>
                <w:rFonts w:cstheme="minorHAnsi"/>
              </w:rPr>
              <w:t xml:space="preserve">The Reveal LINQ ICM is an </w:t>
            </w:r>
            <w:proofErr w:type="spellStart"/>
            <w:r w:rsidRPr="00C05BCA">
              <w:rPr>
                <w:rFonts w:cstheme="minorHAnsi"/>
              </w:rPr>
              <w:t>insertable</w:t>
            </w:r>
            <w:proofErr w:type="spellEnd"/>
            <w:r w:rsidRPr="00C05BCA">
              <w:rPr>
                <w:rFonts w:cstheme="minorHAnsi"/>
              </w:rPr>
              <w:t xml:space="preserve"> automatically-activated and patient-activated monitoring system that records subcutaneous ECG.</w:t>
            </w:r>
          </w:p>
        </w:tc>
      </w:tr>
      <w:tr w:rsidR="00C05BCA" w:rsidRPr="00D73552" w14:paraId="524A39D8" w14:textId="77777777" w:rsidTr="00C26BF2">
        <w:trPr>
          <w:trHeight w:val="1351"/>
        </w:trPr>
        <w:tc>
          <w:tcPr>
            <w:tcW w:w="1119" w:type="dxa"/>
          </w:tcPr>
          <w:p w14:paraId="2BEBC7BB" w14:textId="713FD1AB" w:rsidR="00C05BCA" w:rsidRPr="00C05BCA" w:rsidRDefault="00C05BCA" w:rsidP="00C05BCA">
            <w:pPr>
              <w:jc w:val="left"/>
              <w:rPr>
                <w:lang w:val="en-GB" w:eastAsia="ja-JP"/>
              </w:rPr>
            </w:pPr>
            <w:r w:rsidRPr="00C05BCA">
              <w:t>215074</w:t>
            </w:r>
          </w:p>
        </w:tc>
        <w:tc>
          <w:tcPr>
            <w:tcW w:w="1405" w:type="dxa"/>
          </w:tcPr>
          <w:p w14:paraId="0F5A2DEC" w14:textId="385B79D8" w:rsidR="00C05BCA" w:rsidRPr="00C05BCA" w:rsidRDefault="00C05BCA" w:rsidP="00C05BCA">
            <w:pPr>
              <w:jc w:val="left"/>
              <w:rPr>
                <w:lang w:val="en-GB" w:eastAsia="ja-JP"/>
              </w:rPr>
            </w:pPr>
            <w:proofErr w:type="spellStart"/>
            <w:r w:rsidRPr="00C05BCA">
              <w:t>Biotronik</w:t>
            </w:r>
            <w:proofErr w:type="spellEnd"/>
            <w:r w:rsidRPr="00C05BCA">
              <w:t xml:space="preserve"> Australia Pty Ltd</w:t>
            </w:r>
          </w:p>
        </w:tc>
        <w:tc>
          <w:tcPr>
            <w:tcW w:w="1267" w:type="dxa"/>
          </w:tcPr>
          <w:p w14:paraId="11A07A2C" w14:textId="285E1C87" w:rsidR="00C05BCA" w:rsidRPr="00C05BCA" w:rsidRDefault="00C05BCA" w:rsidP="00C05BCA">
            <w:pPr>
              <w:jc w:val="left"/>
              <w:rPr>
                <w:lang w:val="en-GB" w:eastAsia="ja-JP"/>
              </w:rPr>
            </w:pPr>
            <w:r w:rsidRPr="00C05BCA">
              <w:t>24/9/2013</w:t>
            </w:r>
          </w:p>
        </w:tc>
        <w:tc>
          <w:tcPr>
            <w:tcW w:w="1543" w:type="dxa"/>
          </w:tcPr>
          <w:p w14:paraId="547BAFBE" w14:textId="3D791E57" w:rsidR="00C05BCA" w:rsidRPr="00C05BCA" w:rsidRDefault="00C05BCA" w:rsidP="00C05BCA">
            <w:pPr>
              <w:jc w:val="left"/>
              <w:rPr>
                <w:lang w:val="en-GB" w:eastAsia="ja-JP"/>
              </w:rPr>
            </w:pPr>
            <w:proofErr w:type="spellStart"/>
            <w:r w:rsidRPr="00C05BCA">
              <w:t>BioMonitor</w:t>
            </w:r>
            <w:proofErr w:type="spellEnd"/>
          </w:p>
        </w:tc>
        <w:tc>
          <w:tcPr>
            <w:tcW w:w="5059" w:type="dxa"/>
          </w:tcPr>
          <w:p w14:paraId="2811E9FC" w14:textId="6A8DCB64" w:rsidR="00C05BCA" w:rsidRPr="00C05BCA" w:rsidRDefault="00C05BCA" w:rsidP="00C05BCA">
            <w:pPr>
              <w:jc w:val="left"/>
              <w:rPr>
                <w:lang w:val="en-GB" w:eastAsia="ja-JP"/>
              </w:rPr>
            </w:pPr>
            <w:proofErr w:type="spellStart"/>
            <w:r w:rsidRPr="00C05BCA">
              <w:t>BioMonitor</w:t>
            </w:r>
            <w:proofErr w:type="spellEnd"/>
            <w:r w:rsidRPr="00C05BCA">
              <w:t xml:space="preserve"> is an implantable cardiac monitor for monitoring of heart rhythm. Its primary purpose is to provide early detection and diagnosis of </w:t>
            </w:r>
            <w:proofErr w:type="spellStart"/>
            <w:r w:rsidRPr="00C05BCA">
              <w:t>sysmptoms</w:t>
            </w:r>
            <w:proofErr w:type="spellEnd"/>
            <w:r w:rsidRPr="00C05BCA">
              <w:t xml:space="preserve"> of arrhythmias. </w:t>
            </w:r>
            <w:proofErr w:type="spellStart"/>
            <w:r w:rsidRPr="00C05BCA">
              <w:t>BioMonitor</w:t>
            </w:r>
            <w:proofErr w:type="spellEnd"/>
            <w:r w:rsidRPr="00C05BCA">
              <w:t xml:space="preserve"> does not have a pacing function.</w:t>
            </w:r>
          </w:p>
        </w:tc>
      </w:tr>
      <w:tr w:rsidR="00C05BCA" w:rsidRPr="00D73552" w14:paraId="1D35624F" w14:textId="77777777" w:rsidTr="00C26BF2">
        <w:trPr>
          <w:trHeight w:val="2444"/>
        </w:trPr>
        <w:tc>
          <w:tcPr>
            <w:tcW w:w="1119" w:type="dxa"/>
          </w:tcPr>
          <w:p w14:paraId="0499F062" w14:textId="57321A6A" w:rsidR="00C05BCA" w:rsidRPr="00C05BCA" w:rsidRDefault="00C05BCA" w:rsidP="00C05BCA">
            <w:pPr>
              <w:jc w:val="left"/>
              <w:rPr>
                <w:lang w:val="en-GB" w:eastAsia="ja-JP"/>
              </w:rPr>
            </w:pPr>
            <w:r w:rsidRPr="00C05BCA">
              <w:t>160756</w:t>
            </w:r>
          </w:p>
        </w:tc>
        <w:tc>
          <w:tcPr>
            <w:tcW w:w="1405" w:type="dxa"/>
          </w:tcPr>
          <w:p w14:paraId="20A79C12" w14:textId="382C3730" w:rsidR="00C05BCA" w:rsidRPr="00C05BCA" w:rsidRDefault="00C05BCA" w:rsidP="00C05BCA">
            <w:pPr>
              <w:jc w:val="left"/>
              <w:rPr>
                <w:lang w:val="en-GB" w:eastAsia="ja-JP"/>
              </w:rPr>
            </w:pPr>
            <w:r w:rsidRPr="00C05BCA">
              <w:t>St Jude Medical Australia Pty Ltd</w:t>
            </w:r>
          </w:p>
        </w:tc>
        <w:tc>
          <w:tcPr>
            <w:tcW w:w="1267" w:type="dxa"/>
          </w:tcPr>
          <w:p w14:paraId="591B286B" w14:textId="134E0EBF" w:rsidR="00C05BCA" w:rsidRPr="00C05BCA" w:rsidRDefault="00C05BCA" w:rsidP="00C05BCA">
            <w:pPr>
              <w:jc w:val="left"/>
              <w:rPr>
                <w:lang w:val="en-GB" w:eastAsia="ja-JP"/>
              </w:rPr>
            </w:pPr>
            <w:r w:rsidRPr="00C05BCA">
              <w:t>2/4/2009</w:t>
            </w:r>
          </w:p>
        </w:tc>
        <w:tc>
          <w:tcPr>
            <w:tcW w:w="1543" w:type="dxa"/>
          </w:tcPr>
          <w:p w14:paraId="01EA6E76" w14:textId="349874DA" w:rsidR="00C05BCA" w:rsidRPr="00C05BCA" w:rsidRDefault="00C05BCA" w:rsidP="00C05BCA">
            <w:pPr>
              <w:jc w:val="left"/>
              <w:rPr>
                <w:lang w:val="en-GB" w:eastAsia="ja-JP"/>
              </w:rPr>
            </w:pPr>
            <w:r w:rsidRPr="00C05BCA">
              <w:t>SJM Confirm ICM Model DM2102</w:t>
            </w:r>
          </w:p>
        </w:tc>
        <w:tc>
          <w:tcPr>
            <w:tcW w:w="5059" w:type="dxa"/>
          </w:tcPr>
          <w:p w14:paraId="199C5353" w14:textId="57C7A344" w:rsidR="00C05BCA" w:rsidRPr="009D5AFE" w:rsidRDefault="00C05BCA" w:rsidP="00C05BCA">
            <w:pPr>
              <w:jc w:val="left"/>
              <w:rPr>
                <w:lang w:val="en-GB" w:eastAsia="ja-JP"/>
              </w:rPr>
            </w:pPr>
            <w:r w:rsidRPr="00C05BCA">
              <w:t>The SJM Confirm ICM is indicated for the monitoring and diagnostic evaluation of patients who experience unexplained symptoms such as: dizziness, palpitations, chest pain, syncope, and shortness of breath, as well as patients who are at risk for other cardiac arrhythmias. The SJM Confirm, Model DM2102 is also indicated for patients who have been previously diagnosed with atrial fibrillation or who are susceptible to</w:t>
            </w:r>
            <w:r w:rsidRPr="009D5AFE">
              <w:t xml:space="preserve"> developing atrial fibrillation.</w:t>
            </w:r>
          </w:p>
        </w:tc>
      </w:tr>
      <w:tr w:rsidR="00C05BCA" w:rsidRPr="00D73552" w14:paraId="248E8F0E" w14:textId="77777777" w:rsidTr="00C26BF2">
        <w:trPr>
          <w:trHeight w:val="1077"/>
        </w:trPr>
        <w:tc>
          <w:tcPr>
            <w:tcW w:w="1119" w:type="dxa"/>
          </w:tcPr>
          <w:p w14:paraId="2409424C" w14:textId="741B6242" w:rsidR="00C05BCA" w:rsidRPr="00D73552" w:rsidRDefault="00FE1712" w:rsidP="00C05BCA">
            <w:pPr>
              <w:rPr>
                <w:lang w:val="en-GB" w:eastAsia="ja-JP"/>
              </w:rPr>
            </w:pPr>
            <w:r>
              <w:rPr>
                <w:lang w:val="en-GB" w:eastAsia="ja-JP"/>
              </w:rPr>
              <w:t>See below</w:t>
            </w:r>
            <w:r w:rsidRPr="00FE1712">
              <w:rPr>
                <w:vertAlign w:val="superscript"/>
                <w:lang w:val="en-GB" w:eastAsia="ja-JP"/>
              </w:rPr>
              <w:t>#</w:t>
            </w:r>
          </w:p>
        </w:tc>
        <w:tc>
          <w:tcPr>
            <w:tcW w:w="1405" w:type="dxa"/>
          </w:tcPr>
          <w:p w14:paraId="12413009" w14:textId="73FA662D" w:rsidR="00C05BCA" w:rsidRPr="00C05BCA" w:rsidRDefault="00C05BCA" w:rsidP="00C05BCA">
            <w:pPr>
              <w:jc w:val="left"/>
              <w:rPr>
                <w:lang w:val="en-GB" w:eastAsia="ja-JP"/>
              </w:rPr>
            </w:pPr>
            <w:r w:rsidRPr="00C05BCA">
              <w:t>St Jude Medical Australia Pty Ltd</w:t>
            </w:r>
          </w:p>
        </w:tc>
        <w:tc>
          <w:tcPr>
            <w:tcW w:w="1267" w:type="dxa"/>
          </w:tcPr>
          <w:p w14:paraId="69DC7540" w14:textId="2649DF0C" w:rsidR="00C05BCA" w:rsidRPr="00C05BCA" w:rsidRDefault="00FE1712" w:rsidP="00C05BCA">
            <w:pPr>
              <w:jc w:val="left"/>
              <w:rPr>
                <w:lang w:val="en-GB" w:eastAsia="ja-JP"/>
              </w:rPr>
            </w:pPr>
            <w:r>
              <w:rPr>
                <w:lang w:val="en-GB" w:eastAsia="ja-JP"/>
              </w:rPr>
              <w:t>See below</w:t>
            </w:r>
            <w:r w:rsidRPr="00FE1712">
              <w:rPr>
                <w:vertAlign w:val="superscript"/>
                <w:lang w:val="en-GB" w:eastAsia="ja-JP"/>
              </w:rPr>
              <w:t>#</w:t>
            </w:r>
          </w:p>
        </w:tc>
        <w:tc>
          <w:tcPr>
            <w:tcW w:w="1543" w:type="dxa"/>
          </w:tcPr>
          <w:p w14:paraId="498B09FE" w14:textId="682ED29E" w:rsidR="00C05BCA" w:rsidRPr="00C05BCA" w:rsidRDefault="00C05BCA" w:rsidP="00C05BCA">
            <w:pPr>
              <w:jc w:val="left"/>
              <w:rPr>
                <w:lang w:val="en-GB" w:eastAsia="ja-JP"/>
              </w:rPr>
            </w:pPr>
            <w:r w:rsidRPr="00C05BCA">
              <w:t>SJM Confirm ICM Model DM2100</w:t>
            </w:r>
          </w:p>
        </w:tc>
        <w:tc>
          <w:tcPr>
            <w:tcW w:w="5059" w:type="dxa"/>
          </w:tcPr>
          <w:p w14:paraId="760B24C5" w14:textId="1210705B" w:rsidR="00C05BCA" w:rsidRPr="00D73552" w:rsidRDefault="00FE1712" w:rsidP="00C05BCA">
            <w:pPr>
              <w:rPr>
                <w:lang w:val="en-GB" w:eastAsia="ja-JP"/>
              </w:rPr>
            </w:pPr>
            <w:r>
              <w:rPr>
                <w:lang w:val="en-GB" w:eastAsia="ja-JP"/>
              </w:rPr>
              <w:t>See below</w:t>
            </w:r>
            <w:r w:rsidRPr="00FE1712">
              <w:rPr>
                <w:vertAlign w:val="superscript"/>
                <w:lang w:val="en-GB" w:eastAsia="ja-JP"/>
              </w:rPr>
              <w:t>#</w:t>
            </w:r>
          </w:p>
        </w:tc>
      </w:tr>
      <w:tr w:rsidR="00C05BCA" w:rsidRPr="00D73552" w14:paraId="3971C666" w14:textId="77777777" w:rsidTr="00C26BF2">
        <w:trPr>
          <w:trHeight w:val="2444"/>
        </w:trPr>
        <w:tc>
          <w:tcPr>
            <w:tcW w:w="1119" w:type="dxa"/>
          </w:tcPr>
          <w:p w14:paraId="0C12DEBC" w14:textId="5947B02D" w:rsidR="00C05BCA" w:rsidRPr="00D73552" w:rsidRDefault="00C05BCA" w:rsidP="00C05BCA">
            <w:pPr>
              <w:jc w:val="left"/>
              <w:rPr>
                <w:lang w:val="en-GB" w:eastAsia="ja-JP"/>
              </w:rPr>
            </w:pPr>
            <w:r>
              <w:t>149902</w:t>
            </w:r>
          </w:p>
        </w:tc>
        <w:tc>
          <w:tcPr>
            <w:tcW w:w="1405" w:type="dxa"/>
          </w:tcPr>
          <w:p w14:paraId="4AF7932F" w14:textId="2E3E90BB" w:rsidR="00C05BCA" w:rsidRPr="00D73552" w:rsidRDefault="00C05BCA" w:rsidP="00C05BCA">
            <w:pPr>
              <w:jc w:val="left"/>
              <w:rPr>
                <w:lang w:val="en-GB" w:eastAsia="ja-JP"/>
              </w:rPr>
            </w:pPr>
            <w:r w:rsidRPr="006C132F">
              <w:t>Medtronic Australasia Pty Ltd</w:t>
            </w:r>
          </w:p>
        </w:tc>
        <w:tc>
          <w:tcPr>
            <w:tcW w:w="1267" w:type="dxa"/>
          </w:tcPr>
          <w:p w14:paraId="16D65774" w14:textId="31431C5E" w:rsidR="00C05BCA" w:rsidRPr="00D73552" w:rsidRDefault="00C05BCA" w:rsidP="00C05BCA">
            <w:pPr>
              <w:jc w:val="left"/>
              <w:rPr>
                <w:lang w:val="en-GB" w:eastAsia="ja-JP"/>
              </w:rPr>
            </w:pPr>
            <w:r>
              <w:t>6/2/2008</w:t>
            </w:r>
          </w:p>
        </w:tc>
        <w:tc>
          <w:tcPr>
            <w:tcW w:w="1543" w:type="dxa"/>
          </w:tcPr>
          <w:p w14:paraId="37E5CDC4" w14:textId="76A41218" w:rsidR="00C05BCA" w:rsidRPr="00D73552" w:rsidRDefault="00C05BCA" w:rsidP="00C05BCA">
            <w:pPr>
              <w:jc w:val="left"/>
              <w:rPr>
                <w:lang w:val="en-GB" w:eastAsia="ja-JP"/>
              </w:rPr>
            </w:pPr>
            <w:r w:rsidRPr="006C132F">
              <w:t>Reveal XT</w:t>
            </w:r>
          </w:p>
        </w:tc>
        <w:tc>
          <w:tcPr>
            <w:tcW w:w="5059" w:type="dxa"/>
          </w:tcPr>
          <w:p w14:paraId="06139CC4" w14:textId="001E1F69" w:rsidR="00C05BCA" w:rsidRPr="00D73552" w:rsidRDefault="00C05BCA" w:rsidP="007C542F">
            <w:pPr>
              <w:jc w:val="left"/>
              <w:rPr>
                <w:lang w:val="en-GB" w:eastAsia="ja-JP"/>
              </w:rPr>
            </w:pPr>
            <w:r w:rsidRPr="006C132F">
              <w:t xml:space="preserve">The Reveal XT Model 9529 </w:t>
            </w:r>
            <w:proofErr w:type="spellStart"/>
            <w:r w:rsidRPr="006C132F">
              <w:t>insertable</w:t>
            </w:r>
            <w:proofErr w:type="spellEnd"/>
            <w:r w:rsidRPr="006C132F">
              <w:t xml:space="preserve"> cardiac monitors are im</w:t>
            </w:r>
            <w:r>
              <w:t xml:space="preserve">plantable patient-activated and </w:t>
            </w:r>
            <w:r w:rsidRPr="006C132F">
              <w:t>automatically-activated monitoring systems that records subcutaneous ECG. The Reveal XT Model 9529</w:t>
            </w:r>
            <w:r>
              <w:t xml:space="preserve"> </w:t>
            </w:r>
            <w:r w:rsidRPr="006C132F">
              <w:t>is designed to automatically record the occurrence of arrhythmias in a patient. Arrhythmia may be</w:t>
            </w:r>
            <w:r>
              <w:t xml:space="preserve"> </w:t>
            </w:r>
            <w:r w:rsidRPr="006C132F">
              <w:t xml:space="preserve">classified as atrial tachyarrhythmia/atrial fibrillation (AT/AF), </w:t>
            </w:r>
            <w:proofErr w:type="spellStart"/>
            <w:r w:rsidRPr="006C132F">
              <w:t>bradyarrhythmia</w:t>
            </w:r>
            <w:proofErr w:type="spellEnd"/>
            <w:r w:rsidRPr="006C132F">
              <w:t xml:space="preserve">, </w:t>
            </w:r>
            <w:proofErr w:type="spellStart"/>
            <w:r w:rsidRPr="006C132F">
              <w:t>asystole</w:t>
            </w:r>
            <w:proofErr w:type="spellEnd"/>
            <w:r w:rsidRPr="006C132F">
              <w:t>, or (fast) ventricular</w:t>
            </w:r>
            <w:r w:rsidR="007C542F">
              <w:t xml:space="preserve"> </w:t>
            </w:r>
            <w:proofErr w:type="spellStart"/>
            <w:r w:rsidRPr="006C132F">
              <w:t>tachyarrhythmida</w:t>
            </w:r>
            <w:proofErr w:type="spellEnd"/>
            <w:r w:rsidRPr="006C132F">
              <w:t>.</w:t>
            </w:r>
          </w:p>
        </w:tc>
      </w:tr>
      <w:tr w:rsidR="00C05BCA" w:rsidRPr="00D73552" w14:paraId="5EE4A0FB" w14:textId="77777777" w:rsidTr="00C26BF2">
        <w:trPr>
          <w:trHeight w:val="2702"/>
        </w:trPr>
        <w:tc>
          <w:tcPr>
            <w:tcW w:w="1119" w:type="dxa"/>
          </w:tcPr>
          <w:p w14:paraId="5CD4FD90" w14:textId="3D2B3FC8" w:rsidR="00C05BCA" w:rsidRPr="00D73552" w:rsidRDefault="00C05BCA" w:rsidP="00C05BCA">
            <w:pPr>
              <w:jc w:val="left"/>
              <w:rPr>
                <w:lang w:val="en-GB" w:eastAsia="ja-JP"/>
              </w:rPr>
            </w:pPr>
            <w:r>
              <w:t>149904</w:t>
            </w:r>
          </w:p>
        </w:tc>
        <w:tc>
          <w:tcPr>
            <w:tcW w:w="1405" w:type="dxa"/>
          </w:tcPr>
          <w:p w14:paraId="7210543A" w14:textId="3F3AB39F" w:rsidR="00C05BCA" w:rsidRPr="00D73552" w:rsidRDefault="00C05BCA" w:rsidP="00C05BCA">
            <w:pPr>
              <w:jc w:val="left"/>
              <w:rPr>
                <w:lang w:val="en-GB" w:eastAsia="ja-JP"/>
              </w:rPr>
            </w:pPr>
            <w:r w:rsidRPr="006C132F">
              <w:t>Medtronic Australasia Pty Ltd</w:t>
            </w:r>
          </w:p>
        </w:tc>
        <w:tc>
          <w:tcPr>
            <w:tcW w:w="1267" w:type="dxa"/>
          </w:tcPr>
          <w:p w14:paraId="777C29E1" w14:textId="4A09BE0B" w:rsidR="00C05BCA" w:rsidRPr="00D73552" w:rsidRDefault="00C05BCA" w:rsidP="00C05BCA">
            <w:pPr>
              <w:jc w:val="left"/>
              <w:rPr>
                <w:lang w:val="en-GB" w:eastAsia="ja-JP"/>
              </w:rPr>
            </w:pPr>
            <w:r w:rsidRPr="006C132F">
              <w:t>6/2/2008</w:t>
            </w:r>
          </w:p>
        </w:tc>
        <w:tc>
          <w:tcPr>
            <w:tcW w:w="1543" w:type="dxa"/>
          </w:tcPr>
          <w:p w14:paraId="715FA3D5" w14:textId="72CC7952" w:rsidR="00C05BCA" w:rsidRPr="00D73552" w:rsidRDefault="00C05BCA" w:rsidP="00C05BCA">
            <w:pPr>
              <w:jc w:val="left"/>
              <w:rPr>
                <w:lang w:val="en-GB" w:eastAsia="ja-JP"/>
              </w:rPr>
            </w:pPr>
            <w:r w:rsidRPr="006C132F">
              <w:t>Reveal DX</w:t>
            </w:r>
          </w:p>
        </w:tc>
        <w:tc>
          <w:tcPr>
            <w:tcW w:w="5059" w:type="dxa"/>
          </w:tcPr>
          <w:p w14:paraId="7D1D0F65" w14:textId="29572A03" w:rsidR="00C05BCA" w:rsidRPr="00D73552" w:rsidRDefault="00C05BCA" w:rsidP="00C05BCA">
            <w:pPr>
              <w:jc w:val="left"/>
              <w:rPr>
                <w:lang w:val="en-GB" w:eastAsia="ja-JP"/>
              </w:rPr>
            </w:pPr>
            <w:r w:rsidRPr="006C132F">
              <w:t xml:space="preserve">The Reveal DX model 9528 </w:t>
            </w:r>
            <w:proofErr w:type="spellStart"/>
            <w:r w:rsidRPr="006C132F">
              <w:t>insertable</w:t>
            </w:r>
            <w:proofErr w:type="spellEnd"/>
            <w:r w:rsidRPr="006C132F">
              <w:t xml:space="preserve"> cardiac monitors are im</w:t>
            </w:r>
            <w:r>
              <w:t xml:space="preserve">plantable patient-activated and </w:t>
            </w:r>
            <w:r w:rsidRPr="006C132F">
              <w:t>automatically-activated monitoring systems that records subcutaneous ECG. The Reveal DX Model 9528</w:t>
            </w:r>
            <w:r>
              <w:t xml:space="preserve"> </w:t>
            </w:r>
            <w:r w:rsidRPr="006C132F">
              <w:t xml:space="preserve">is designed to automatically record the </w:t>
            </w:r>
            <w:proofErr w:type="spellStart"/>
            <w:r w:rsidRPr="006C132F">
              <w:t>occurence</w:t>
            </w:r>
            <w:proofErr w:type="spellEnd"/>
            <w:r w:rsidRPr="006C132F">
              <w:t xml:space="preserve"> of arrhythmia in a patien</w:t>
            </w:r>
            <w:r>
              <w:t xml:space="preserve">t. Arrhythmia may be classified </w:t>
            </w:r>
            <w:r w:rsidRPr="006C132F">
              <w:t xml:space="preserve">as </w:t>
            </w:r>
            <w:proofErr w:type="spellStart"/>
            <w:r w:rsidRPr="006C132F">
              <w:t>bradyarrhythmia</w:t>
            </w:r>
            <w:proofErr w:type="spellEnd"/>
            <w:r w:rsidRPr="006C132F">
              <w:t xml:space="preserve">, </w:t>
            </w:r>
            <w:proofErr w:type="spellStart"/>
            <w:r w:rsidRPr="006C132F">
              <w:t>asystole</w:t>
            </w:r>
            <w:proofErr w:type="spellEnd"/>
            <w:r w:rsidRPr="006C132F">
              <w:t>, or (fast) ventricular tachyarrhythmia. In addition, the Reveal DX can be</w:t>
            </w:r>
            <w:r>
              <w:t xml:space="preserve"> </w:t>
            </w:r>
            <w:r w:rsidRPr="006C132F">
              <w:t>activated by the patient to record cardiac rhythm during symptomatic episodes.</w:t>
            </w:r>
          </w:p>
        </w:tc>
      </w:tr>
    </w:tbl>
    <w:p w14:paraId="514A4A4A" w14:textId="457C48F4" w:rsidR="00235DA8" w:rsidRDefault="00C05BCA" w:rsidP="00C05BCA">
      <w:pPr>
        <w:spacing w:after="0" w:line="240" w:lineRule="auto"/>
        <w:jc w:val="left"/>
        <w:rPr>
          <w:rFonts w:cstheme="minorHAnsi"/>
          <w:sz w:val="18"/>
          <w:szCs w:val="18"/>
          <w:lang w:val="en-GB" w:eastAsia="ja-JP"/>
        </w:rPr>
      </w:pPr>
      <w:r w:rsidRPr="009D5AFE">
        <w:rPr>
          <w:rFonts w:cstheme="minorHAnsi"/>
          <w:sz w:val="18"/>
          <w:szCs w:val="18"/>
          <w:lang w:val="en-GB" w:eastAsia="ja-JP"/>
        </w:rPr>
        <w:t>Source:</w:t>
      </w:r>
      <w:r w:rsidR="009D5AFE" w:rsidRPr="009D5AFE">
        <w:rPr>
          <w:rFonts w:cstheme="minorHAnsi"/>
          <w:sz w:val="18"/>
          <w:szCs w:val="18"/>
        </w:rPr>
        <w:t xml:space="preserve"> </w:t>
      </w:r>
      <w:hyperlink r:id="rId26" w:history="1">
        <w:r w:rsidR="002A5D07">
          <w:rPr>
            <w:rStyle w:val="Hyperlink"/>
            <w:rFonts w:cstheme="minorHAnsi"/>
            <w:sz w:val="18"/>
            <w:szCs w:val="18"/>
            <w:lang w:val="en-GB" w:eastAsia="ja-JP"/>
          </w:rPr>
          <w:t>Therapeutic Goods Association</w:t>
        </w:r>
      </w:hyperlink>
    </w:p>
    <w:p w14:paraId="16E566C8" w14:textId="2A10D9B1" w:rsidR="00D73552" w:rsidRPr="009D5AFE" w:rsidRDefault="00235DA8" w:rsidP="00C05BCA">
      <w:pPr>
        <w:spacing w:after="0" w:line="240" w:lineRule="auto"/>
        <w:jc w:val="left"/>
        <w:rPr>
          <w:rFonts w:cstheme="minorHAnsi"/>
          <w:sz w:val="18"/>
          <w:szCs w:val="18"/>
          <w:lang w:val="en-GB" w:eastAsia="ja-JP"/>
        </w:rPr>
      </w:pPr>
      <w:r w:rsidRPr="00FE1712">
        <w:rPr>
          <w:rFonts w:cstheme="minorHAnsi"/>
          <w:sz w:val="18"/>
          <w:szCs w:val="18"/>
          <w:vertAlign w:val="superscript"/>
          <w:lang w:val="en-GB" w:eastAsia="ja-JP"/>
        </w:rPr>
        <w:t>#</w:t>
      </w:r>
      <w:r>
        <w:rPr>
          <w:rFonts w:cstheme="minorHAnsi"/>
          <w:sz w:val="18"/>
          <w:szCs w:val="18"/>
          <w:lang w:val="en-GB" w:eastAsia="ja-JP"/>
        </w:rPr>
        <w:t>ARTG details could not be found for this product.</w:t>
      </w:r>
    </w:p>
    <w:p w14:paraId="720BB6B9" w14:textId="25B60789" w:rsidR="00C05BCA" w:rsidRDefault="00C05BCA" w:rsidP="00C05BCA">
      <w:pPr>
        <w:jc w:val="left"/>
        <w:rPr>
          <w:sz w:val="18"/>
          <w:szCs w:val="18"/>
          <w:lang w:val="en-GB" w:eastAsia="ja-JP"/>
        </w:rPr>
      </w:pPr>
      <w:r w:rsidRPr="00C05BCA">
        <w:rPr>
          <w:sz w:val="18"/>
          <w:szCs w:val="18"/>
          <w:lang w:val="en-GB" w:eastAsia="ja-JP"/>
        </w:rPr>
        <w:t>Abbreviations: no., number</w:t>
      </w:r>
    </w:p>
    <w:p w14:paraId="6327B8FF" w14:textId="77777777" w:rsidR="00BC4EFE" w:rsidRPr="00BC4EFE" w:rsidRDefault="00BC4EFE" w:rsidP="00941DC8">
      <w:pPr>
        <w:pStyle w:val="Heading1"/>
      </w:pPr>
      <w:r w:rsidRPr="00BC4EFE">
        <w:lastRenderedPageBreak/>
        <w:t>Decision analytic</w:t>
      </w:r>
    </w:p>
    <w:p w14:paraId="06E5388E" w14:textId="6D0327DC" w:rsidR="00B33B4B" w:rsidRDefault="00BC4EFE" w:rsidP="00983F1B">
      <w:pPr>
        <w:pStyle w:val="Quote"/>
      </w:pPr>
      <w:r w:rsidRPr="00BC4EFE">
        <w:t>Provide a summary of the PICO as well as the health care resource of the comparison/s that will be assessed, define the research questions and inform the analysis of evidence for conside</w:t>
      </w:r>
      <w:r w:rsidR="005965F4">
        <w:t xml:space="preserve">ration by MSAC (as outlined in </w:t>
      </w:r>
      <w:r w:rsidR="009F0893">
        <w:fldChar w:fldCharType="begin"/>
      </w:r>
      <w:r w:rsidR="00C15043">
        <w:instrText xml:space="preserve"> REF _Ref387320407 \h </w:instrText>
      </w:r>
      <w:r w:rsidR="009F0893">
        <w:fldChar w:fldCharType="separate"/>
      </w:r>
      <w:r w:rsidR="003D08CA">
        <w:t xml:space="preserve">Table </w:t>
      </w:r>
      <w:r w:rsidR="00F87673">
        <w:rPr>
          <w:noProof/>
        </w:rPr>
        <w:t>9</w:t>
      </w:r>
      <w:r w:rsidR="009F0893">
        <w:fldChar w:fldCharType="end"/>
      </w:r>
      <w:r w:rsidRPr="00BC4EFE">
        <w:t xml:space="preserve">). </w:t>
      </w:r>
      <w:bookmarkStart w:id="3" w:name="_Ref283297696"/>
    </w:p>
    <w:p w14:paraId="24A867CF" w14:textId="522FBB2A" w:rsidR="00837845" w:rsidRPr="00837845" w:rsidRDefault="00837845" w:rsidP="00983F1B">
      <w:pPr>
        <w:rPr>
          <w:i/>
        </w:rPr>
      </w:pPr>
      <w:r>
        <w:rPr>
          <w:i/>
        </w:rPr>
        <w:t xml:space="preserve">Summary of the </w:t>
      </w:r>
      <w:r w:rsidR="008F3632">
        <w:rPr>
          <w:i/>
        </w:rPr>
        <w:t>P</w:t>
      </w:r>
      <w:r>
        <w:rPr>
          <w:i/>
        </w:rPr>
        <w:t xml:space="preserve">PICO </w:t>
      </w:r>
    </w:p>
    <w:p w14:paraId="49DF9DBA" w14:textId="451A4143" w:rsidR="00983F1B" w:rsidRPr="00983F1B" w:rsidRDefault="00D37436" w:rsidP="00983F1B">
      <w:r>
        <w:t xml:space="preserve">The proposed patient population for </w:t>
      </w:r>
      <w:r w:rsidR="00ED5B9A">
        <w:t xml:space="preserve">this medical service is patients with CS and suspected AF. Given that CS is a diagnosis of exclusion, the minimal work-up required to make the diagnosis of CS should be well defined. Therefore, it is appropriate to add the ‘P’ of ‘prior-tests’ to the PICO summary.  </w:t>
      </w:r>
      <w:r w:rsidR="00A45373">
        <w:t xml:space="preserve"> </w:t>
      </w:r>
      <w:r w:rsidR="00DC52AC">
        <w:t xml:space="preserve">These prior tests apply to the proposed service and the comparator. </w:t>
      </w:r>
      <w:r w:rsidR="00ED5B9A">
        <w:t xml:space="preserve">This </w:t>
      </w:r>
      <w:r w:rsidR="00A45373">
        <w:t xml:space="preserve">summary of </w:t>
      </w:r>
      <w:r w:rsidR="00994829">
        <w:t>P</w:t>
      </w:r>
      <w:r w:rsidR="00A45373">
        <w:t xml:space="preserve">PICO to define the research questions is detailed in Table </w:t>
      </w:r>
      <w:r w:rsidR="004E4A23">
        <w:t>9</w:t>
      </w:r>
      <w:r w:rsidR="00A45373">
        <w:t>.</w:t>
      </w:r>
    </w:p>
    <w:p w14:paraId="22B758AF" w14:textId="36889BFD" w:rsidR="00B33B4B" w:rsidRPr="00D415F1" w:rsidRDefault="005965F4" w:rsidP="009A1D72">
      <w:pPr>
        <w:pStyle w:val="Caption"/>
        <w:spacing w:after="60"/>
      </w:pPr>
      <w:bookmarkStart w:id="4" w:name="_Ref387320407"/>
      <w:bookmarkEnd w:id="3"/>
      <w:r>
        <w:lastRenderedPageBreak/>
        <w:t xml:space="preserve">Table </w:t>
      </w:r>
      <w:r w:rsidR="009F0893">
        <w:fldChar w:fldCharType="begin"/>
      </w:r>
      <w:r w:rsidR="00C15043">
        <w:instrText xml:space="preserve"> SEQ Table \* ARABIC </w:instrText>
      </w:r>
      <w:r w:rsidR="009F0893">
        <w:fldChar w:fldCharType="separate"/>
      </w:r>
      <w:r w:rsidR="00DC65DD">
        <w:rPr>
          <w:noProof/>
        </w:rPr>
        <w:t>9</w:t>
      </w:r>
      <w:r w:rsidR="009F0893">
        <w:rPr>
          <w:noProof/>
        </w:rPr>
        <w:fldChar w:fldCharType="end"/>
      </w:r>
      <w:bookmarkEnd w:id="4"/>
      <w:r w:rsidR="00B33B4B" w:rsidRPr="00D415F1">
        <w:tab/>
        <w:t xml:space="preserve">Summary of </w:t>
      </w:r>
      <w:r w:rsidR="001E3936">
        <w:t>P</w:t>
      </w:r>
      <w:r w:rsidR="00B33B4B" w:rsidRPr="00D415F1">
        <w:t xml:space="preserve">PICO to define research </w:t>
      </w:r>
      <w:r w:rsidR="00B33B4B" w:rsidRPr="005965F4">
        <w:t>question</w:t>
      </w:r>
    </w:p>
    <w:tbl>
      <w:tblPr>
        <w:tblStyle w:val="TableGrid"/>
        <w:tblW w:w="5643" w:type="pct"/>
        <w:tblLook w:val="04A0" w:firstRow="1" w:lastRow="0" w:firstColumn="1" w:lastColumn="0" w:noHBand="0" w:noVBand="1"/>
        <w:tblDescription w:val="Table 9 Summary of PPICO to define research question"/>
      </w:tblPr>
      <w:tblGrid>
        <w:gridCol w:w="5353"/>
        <w:gridCol w:w="5102"/>
      </w:tblGrid>
      <w:tr w:rsidR="006B1047" w:rsidRPr="009A1D72" w14:paraId="6A31DA1E" w14:textId="77777777" w:rsidTr="002A5D07">
        <w:trPr>
          <w:trHeight w:val="291"/>
          <w:tblHeader/>
        </w:trPr>
        <w:tc>
          <w:tcPr>
            <w:tcW w:w="2560" w:type="pct"/>
            <w:tcBorders>
              <w:bottom w:val="single" w:sz="4" w:space="0" w:color="auto"/>
            </w:tcBorders>
            <w:shd w:val="clear" w:color="auto" w:fill="F2F2F2" w:themeFill="background1" w:themeFillShade="F2"/>
          </w:tcPr>
          <w:p w14:paraId="6ED1F4C8" w14:textId="45BBB295" w:rsidR="00B33B4B" w:rsidRPr="009A1D72" w:rsidRDefault="009D5AFE" w:rsidP="009A1D72">
            <w:pPr>
              <w:keepNext/>
              <w:spacing w:before="60" w:after="60" w:line="276" w:lineRule="auto"/>
              <w:jc w:val="left"/>
              <w:rPr>
                <w:b/>
              </w:rPr>
            </w:pPr>
            <w:r>
              <w:rPr>
                <w:b/>
              </w:rPr>
              <w:t>P</w:t>
            </w:r>
            <w:r w:rsidR="00B33B4B" w:rsidRPr="009A1D72">
              <w:rPr>
                <w:b/>
              </w:rPr>
              <w:t>PICO</w:t>
            </w:r>
          </w:p>
        </w:tc>
        <w:tc>
          <w:tcPr>
            <w:tcW w:w="2440" w:type="pct"/>
            <w:tcBorders>
              <w:bottom w:val="single" w:sz="4" w:space="0" w:color="auto"/>
            </w:tcBorders>
            <w:shd w:val="clear" w:color="auto" w:fill="F2F2F2" w:themeFill="background1" w:themeFillShade="F2"/>
          </w:tcPr>
          <w:p w14:paraId="07A89A3D" w14:textId="77777777" w:rsidR="00B33B4B" w:rsidRPr="009A1D72" w:rsidRDefault="00B33B4B" w:rsidP="009A1D72">
            <w:pPr>
              <w:keepNext/>
              <w:spacing w:before="60" w:after="60" w:line="276" w:lineRule="auto"/>
              <w:jc w:val="left"/>
              <w:rPr>
                <w:b/>
              </w:rPr>
            </w:pPr>
            <w:r w:rsidRPr="009A1D72">
              <w:rPr>
                <w:b/>
              </w:rPr>
              <w:t>Comments</w:t>
            </w:r>
          </w:p>
        </w:tc>
      </w:tr>
      <w:tr w:rsidR="00994829" w:rsidRPr="009A1D72" w14:paraId="15929A61" w14:textId="77777777" w:rsidTr="006B1047">
        <w:tc>
          <w:tcPr>
            <w:tcW w:w="2560" w:type="pct"/>
            <w:tcBorders>
              <w:bottom w:val="nil"/>
            </w:tcBorders>
          </w:tcPr>
          <w:p w14:paraId="24702137" w14:textId="2E702A17" w:rsidR="00994829" w:rsidRDefault="00994829" w:rsidP="009A1D72">
            <w:pPr>
              <w:keepNext/>
              <w:spacing w:before="60"/>
              <w:jc w:val="left"/>
            </w:pPr>
            <w:r>
              <w:t>Prior-tests</w:t>
            </w:r>
          </w:p>
        </w:tc>
        <w:tc>
          <w:tcPr>
            <w:tcW w:w="2440" w:type="pct"/>
            <w:tcBorders>
              <w:bottom w:val="nil"/>
            </w:tcBorders>
          </w:tcPr>
          <w:p w14:paraId="7CB70D9F" w14:textId="77777777" w:rsidR="00994829" w:rsidRPr="009A1D72" w:rsidRDefault="00994829" w:rsidP="009A1D72">
            <w:pPr>
              <w:keepNext/>
              <w:spacing w:before="60"/>
              <w:jc w:val="left"/>
            </w:pPr>
          </w:p>
        </w:tc>
      </w:tr>
      <w:tr w:rsidR="00994829" w:rsidRPr="009A1D72" w14:paraId="5DCEE415" w14:textId="77777777" w:rsidTr="00994829">
        <w:tc>
          <w:tcPr>
            <w:tcW w:w="2560" w:type="pct"/>
            <w:tcBorders>
              <w:top w:val="nil"/>
              <w:bottom w:val="single" w:sz="4" w:space="0" w:color="auto"/>
            </w:tcBorders>
          </w:tcPr>
          <w:p w14:paraId="638B771E" w14:textId="24F0DFFA" w:rsidR="00994829" w:rsidRDefault="00994829" w:rsidP="00994829">
            <w:pPr>
              <w:pStyle w:val="ListParagraph"/>
              <w:keepNext/>
              <w:numPr>
                <w:ilvl w:val="0"/>
                <w:numId w:val="11"/>
              </w:numPr>
              <w:spacing w:before="60"/>
            </w:pPr>
            <w:r>
              <w:t>A diagnosis of cryptogenic stroke has been made based on results of:</w:t>
            </w:r>
          </w:p>
          <w:p w14:paraId="5EB3C308" w14:textId="77777777" w:rsidR="00994829" w:rsidRDefault="00994829" w:rsidP="00994829">
            <w:pPr>
              <w:pStyle w:val="ListParagraph"/>
              <w:keepNext/>
              <w:numPr>
                <w:ilvl w:val="0"/>
                <w:numId w:val="12"/>
              </w:numPr>
              <w:spacing w:before="60"/>
            </w:pPr>
            <w:r>
              <w:t>The medical history</w:t>
            </w:r>
          </w:p>
          <w:p w14:paraId="1771222B" w14:textId="77777777" w:rsidR="00994829" w:rsidRDefault="00994829" w:rsidP="00994829">
            <w:pPr>
              <w:pStyle w:val="ListParagraph"/>
              <w:keepNext/>
              <w:numPr>
                <w:ilvl w:val="0"/>
                <w:numId w:val="12"/>
              </w:numPr>
              <w:spacing w:before="60"/>
            </w:pPr>
            <w:r>
              <w:t>Physical examination</w:t>
            </w:r>
          </w:p>
          <w:p w14:paraId="1764B1BE" w14:textId="2A746328" w:rsidR="00994829" w:rsidRDefault="00994829" w:rsidP="00994829">
            <w:pPr>
              <w:pStyle w:val="ListParagraph"/>
              <w:keepNext/>
              <w:numPr>
                <w:ilvl w:val="0"/>
                <w:numId w:val="12"/>
              </w:numPr>
              <w:spacing w:before="60"/>
            </w:pPr>
            <w:r>
              <w:t>Brain and carotid imaging</w:t>
            </w:r>
          </w:p>
          <w:p w14:paraId="58EA2A4F" w14:textId="77777777" w:rsidR="00994829" w:rsidRDefault="00994829" w:rsidP="00994829">
            <w:pPr>
              <w:pStyle w:val="ListParagraph"/>
              <w:keepNext/>
              <w:numPr>
                <w:ilvl w:val="0"/>
                <w:numId w:val="12"/>
              </w:numPr>
              <w:spacing w:before="60"/>
            </w:pPr>
            <w:r>
              <w:t>Cardiac imaging</w:t>
            </w:r>
          </w:p>
          <w:p w14:paraId="2A65F83C" w14:textId="77777777" w:rsidR="00994829" w:rsidRDefault="00994829" w:rsidP="00994829">
            <w:pPr>
              <w:pStyle w:val="ListParagraph"/>
              <w:keepNext/>
              <w:numPr>
                <w:ilvl w:val="0"/>
                <w:numId w:val="12"/>
              </w:numPr>
              <w:spacing w:before="60"/>
            </w:pPr>
            <w:r>
              <w:t xml:space="preserve">Surface ECG testing which may include 24-hour </w:t>
            </w:r>
            <w:proofErr w:type="spellStart"/>
            <w:r>
              <w:t>Holter</w:t>
            </w:r>
            <w:proofErr w:type="spellEnd"/>
            <w:r>
              <w:t xml:space="preserve"> monitoring</w:t>
            </w:r>
          </w:p>
          <w:p w14:paraId="446E00F9" w14:textId="47CD4CEA" w:rsidR="00994829" w:rsidRDefault="00994829" w:rsidP="00994829">
            <w:pPr>
              <w:pStyle w:val="ListParagraph"/>
              <w:keepNext/>
              <w:numPr>
                <w:ilvl w:val="0"/>
                <w:numId w:val="12"/>
              </w:numPr>
              <w:spacing w:before="60"/>
            </w:pPr>
            <w:r>
              <w:t>Other tests as indicated</w:t>
            </w:r>
          </w:p>
        </w:tc>
        <w:tc>
          <w:tcPr>
            <w:tcW w:w="2440" w:type="pct"/>
            <w:tcBorders>
              <w:top w:val="nil"/>
              <w:bottom w:val="single" w:sz="4" w:space="0" w:color="auto"/>
            </w:tcBorders>
          </w:tcPr>
          <w:p w14:paraId="4B2822E1" w14:textId="2A91DB4C" w:rsidR="00994829" w:rsidRPr="009A1D72" w:rsidRDefault="00994829" w:rsidP="00994829">
            <w:pPr>
              <w:pStyle w:val="ListParagraph"/>
              <w:keepNext/>
              <w:numPr>
                <w:ilvl w:val="0"/>
                <w:numId w:val="11"/>
              </w:numPr>
              <w:spacing w:before="60" w:after="120"/>
              <w:ind w:left="357" w:hanging="357"/>
            </w:pPr>
            <w:r>
              <w:t>A framework for developing this indication is provided by MBS item number 38285, ILR for the diagnosis of primary disorder in patients with recurrent unexplained syncope.</w:t>
            </w:r>
          </w:p>
        </w:tc>
      </w:tr>
      <w:tr w:rsidR="009A1D72" w:rsidRPr="009A1D72" w14:paraId="6C3D808F" w14:textId="77777777" w:rsidTr="00994829">
        <w:tc>
          <w:tcPr>
            <w:tcW w:w="2560" w:type="pct"/>
            <w:tcBorders>
              <w:top w:val="single" w:sz="4" w:space="0" w:color="auto"/>
              <w:bottom w:val="nil"/>
            </w:tcBorders>
          </w:tcPr>
          <w:p w14:paraId="644D053D" w14:textId="77777777" w:rsidR="009A1D72" w:rsidRPr="009A1D72" w:rsidRDefault="009A1D72" w:rsidP="009A1D72">
            <w:pPr>
              <w:keepNext/>
              <w:spacing w:before="60"/>
              <w:jc w:val="left"/>
            </w:pPr>
            <w:r>
              <w:t>Patients</w:t>
            </w:r>
          </w:p>
        </w:tc>
        <w:tc>
          <w:tcPr>
            <w:tcW w:w="2440" w:type="pct"/>
            <w:tcBorders>
              <w:top w:val="single" w:sz="4" w:space="0" w:color="auto"/>
              <w:bottom w:val="nil"/>
            </w:tcBorders>
          </w:tcPr>
          <w:p w14:paraId="2A572545" w14:textId="2DD876A9" w:rsidR="009A1D72" w:rsidRPr="009A1D72" w:rsidRDefault="009A1D72" w:rsidP="009A1D72">
            <w:pPr>
              <w:keepNext/>
              <w:spacing w:before="60"/>
              <w:jc w:val="left"/>
            </w:pPr>
          </w:p>
        </w:tc>
      </w:tr>
      <w:tr w:rsidR="00B33B4B" w:rsidRPr="009A1D72" w14:paraId="63C377F3" w14:textId="77777777" w:rsidTr="006B1047">
        <w:tc>
          <w:tcPr>
            <w:tcW w:w="2560" w:type="pct"/>
            <w:tcBorders>
              <w:top w:val="nil"/>
              <w:bottom w:val="single" w:sz="4" w:space="0" w:color="auto"/>
            </w:tcBorders>
          </w:tcPr>
          <w:p w14:paraId="5CE934CC" w14:textId="2940A8FD" w:rsidR="008D3DB6" w:rsidRPr="009A1D72" w:rsidRDefault="008D3DB6" w:rsidP="001F5AEC">
            <w:pPr>
              <w:pStyle w:val="ListParagraph"/>
              <w:keepNext/>
              <w:numPr>
                <w:ilvl w:val="0"/>
                <w:numId w:val="11"/>
              </w:numPr>
              <w:spacing w:before="60"/>
            </w:pPr>
            <w:r>
              <w:t>For diagnosis of atrial fibrillation in patients with cryptogenic stroke where</w:t>
            </w:r>
            <w:r w:rsidR="00994829">
              <w:t xml:space="preserve"> atrial fibrillation is suspected</w:t>
            </w:r>
            <w:r w:rsidR="00232ECE">
              <w:t xml:space="preserve"> and recent (&lt;90 days) episode of stroke</w:t>
            </w:r>
          </w:p>
        </w:tc>
        <w:tc>
          <w:tcPr>
            <w:tcW w:w="2440" w:type="pct"/>
            <w:tcBorders>
              <w:top w:val="nil"/>
              <w:bottom w:val="single" w:sz="4" w:space="0" w:color="auto"/>
            </w:tcBorders>
          </w:tcPr>
          <w:p w14:paraId="1EEC213A" w14:textId="631D5FAA" w:rsidR="00B33B4B" w:rsidRPr="009A1D72" w:rsidRDefault="00FF5922" w:rsidP="001F5AEC">
            <w:pPr>
              <w:pStyle w:val="ListParagraph"/>
              <w:keepNext/>
              <w:numPr>
                <w:ilvl w:val="0"/>
                <w:numId w:val="11"/>
              </w:numPr>
              <w:spacing w:before="60" w:after="120"/>
              <w:ind w:left="357" w:hanging="357"/>
            </w:pPr>
            <w:r>
              <w:t>This proposed patient population is consistent with the pivotal trial evidence base from the CRYSTAL AF trial (</w:t>
            </w:r>
            <w:proofErr w:type="spellStart"/>
            <w:r>
              <w:t>Sanna</w:t>
            </w:r>
            <w:proofErr w:type="spellEnd"/>
            <w:r>
              <w:t xml:space="preserve"> et al., 2014)</w:t>
            </w:r>
          </w:p>
        </w:tc>
      </w:tr>
      <w:tr w:rsidR="009A1D72" w:rsidRPr="009A1D72" w14:paraId="0F93CA37" w14:textId="77777777" w:rsidTr="006B1047">
        <w:tc>
          <w:tcPr>
            <w:tcW w:w="2560" w:type="pct"/>
            <w:tcBorders>
              <w:bottom w:val="nil"/>
            </w:tcBorders>
          </w:tcPr>
          <w:p w14:paraId="62A6F1AB" w14:textId="6B15147B" w:rsidR="009A1D72" w:rsidRPr="001E3936" w:rsidRDefault="001E3936" w:rsidP="009A1D72">
            <w:pPr>
              <w:keepNext/>
              <w:spacing w:before="60"/>
              <w:jc w:val="left"/>
            </w:pPr>
            <w:r>
              <w:t>Investigation</w:t>
            </w:r>
          </w:p>
        </w:tc>
        <w:tc>
          <w:tcPr>
            <w:tcW w:w="2440" w:type="pct"/>
            <w:tcBorders>
              <w:bottom w:val="nil"/>
            </w:tcBorders>
          </w:tcPr>
          <w:p w14:paraId="04AD8353" w14:textId="303E5746" w:rsidR="009A1D72" w:rsidRPr="009A1D72" w:rsidRDefault="009A1D72" w:rsidP="009A1D72">
            <w:pPr>
              <w:keepNext/>
              <w:spacing w:before="60"/>
              <w:jc w:val="left"/>
            </w:pPr>
          </w:p>
        </w:tc>
      </w:tr>
      <w:tr w:rsidR="00B33B4B" w:rsidRPr="009A1D72" w14:paraId="7AC6D952" w14:textId="77777777" w:rsidTr="006B1047">
        <w:tc>
          <w:tcPr>
            <w:tcW w:w="2560" w:type="pct"/>
            <w:tcBorders>
              <w:top w:val="nil"/>
              <w:bottom w:val="single" w:sz="4" w:space="0" w:color="auto"/>
            </w:tcBorders>
          </w:tcPr>
          <w:p w14:paraId="7C2A2C64" w14:textId="2C4D2A3C" w:rsidR="00B33B4B" w:rsidRPr="009A1D72" w:rsidRDefault="00AE5B5A" w:rsidP="00AE5B5A">
            <w:pPr>
              <w:pStyle w:val="ListParagraph"/>
              <w:keepNext/>
              <w:numPr>
                <w:ilvl w:val="0"/>
                <w:numId w:val="11"/>
              </w:numPr>
              <w:spacing w:before="60" w:after="120"/>
              <w:ind w:left="357" w:hanging="357"/>
            </w:pPr>
            <w:r w:rsidRPr="009A1D72">
              <w:t>I</w:t>
            </w:r>
            <w:r>
              <w:t>mplantable</w:t>
            </w:r>
            <w:r w:rsidRPr="009A1D72">
              <w:t xml:space="preserve"> </w:t>
            </w:r>
            <w:r w:rsidR="00A45373" w:rsidRPr="009A1D72">
              <w:t>loop recorders (ILRs)</w:t>
            </w:r>
          </w:p>
        </w:tc>
        <w:tc>
          <w:tcPr>
            <w:tcW w:w="2440" w:type="pct"/>
            <w:tcBorders>
              <w:top w:val="nil"/>
              <w:bottom w:val="single" w:sz="4" w:space="0" w:color="auto"/>
            </w:tcBorders>
          </w:tcPr>
          <w:p w14:paraId="105A7F00" w14:textId="2968DCDC" w:rsidR="00B33B4B" w:rsidRPr="009A1D72" w:rsidRDefault="00FF5922" w:rsidP="00FF5922">
            <w:pPr>
              <w:pStyle w:val="ListParagraph"/>
              <w:keepNext/>
              <w:numPr>
                <w:ilvl w:val="0"/>
                <w:numId w:val="11"/>
              </w:numPr>
              <w:spacing w:before="60" w:after="120"/>
              <w:ind w:left="357" w:hanging="357"/>
            </w:pPr>
            <w:r>
              <w:rPr>
                <w:rFonts w:hint="eastAsia"/>
                <w:lang w:eastAsia="ja-JP"/>
              </w:rPr>
              <w:t xml:space="preserve">Several </w:t>
            </w:r>
            <w:r w:rsidRPr="005876D3">
              <w:rPr>
                <w:lang w:eastAsia="ja-JP"/>
              </w:rPr>
              <w:t>ILR</w:t>
            </w:r>
            <w:r>
              <w:rPr>
                <w:rFonts w:hint="eastAsia"/>
                <w:lang w:eastAsia="ja-JP"/>
              </w:rPr>
              <w:t>s</w:t>
            </w:r>
            <w:r w:rsidRPr="005876D3">
              <w:rPr>
                <w:lang w:eastAsia="ja-JP"/>
              </w:rPr>
              <w:t xml:space="preserve"> are currently </w:t>
            </w:r>
            <w:r>
              <w:rPr>
                <w:rFonts w:hint="eastAsia"/>
                <w:lang w:eastAsia="ja-JP"/>
              </w:rPr>
              <w:t>available</w:t>
            </w:r>
            <w:r w:rsidRPr="005876D3">
              <w:rPr>
                <w:lang w:eastAsia="ja-JP"/>
              </w:rPr>
              <w:t xml:space="preserve"> on Part C of the Prosthesis List with a Minimum Benefit of $3,900.00 (08.14.01 - Implantable Cardiac Event Recorders)</w:t>
            </w:r>
            <w:r>
              <w:rPr>
                <w:rFonts w:hint="eastAsia"/>
                <w:lang w:eastAsia="ja-JP"/>
              </w:rPr>
              <w:t>,</w:t>
            </w:r>
          </w:p>
        </w:tc>
      </w:tr>
      <w:tr w:rsidR="009A1D72" w:rsidRPr="009A1D72" w14:paraId="1D5EE6DB" w14:textId="77777777" w:rsidTr="006B1047">
        <w:tc>
          <w:tcPr>
            <w:tcW w:w="2560" w:type="pct"/>
            <w:tcBorders>
              <w:bottom w:val="nil"/>
            </w:tcBorders>
          </w:tcPr>
          <w:p w14:paraId="3B861241" w14:textId="55F82486" w:rsidR="009A1D72" w:rsidRPr="009A1D72" w:rsidRDefault="009A1D72" w:rsidP="009A1D72">
            <w:pPr>
              <w:keepNext/>
              <w:spacing w:before="60"/>
              <w:jc w:val="left"/>
            </w:pPr>
            <w:r w:rsidRPr="009A1D72">
              <w:t>Comparator</w:t>
            </w:r>
            <w:r w:rsidR="001E3936">
              <w:t xml:space="preserve"> </w:t>
            </w:r>
          </w:p>
        </w:tc>
        <w:tc>
          <w:tcPr>
            <w:tcW w:w="2440" w:type="pct"/>
            <w:tcBorders>
              <w:bottom w:val="nil"/>
            </w:tcBorders>
          </w:tcPr>
          <w:p w14:paraId="03F306F7" w14:textId="5461805B" w:rsidR="009A1D72" w:rsidRPr="009A1D72" w:rsidRDefault="009A1D72" w:rsidP="009A1D72">
            <w:pPr>
              <w:keepNext/>
              <w:spacing w:before="60"/>
              <w:jc w:val="left"/>
            </w:pPr>
          </w:p>
        </w:tc>
      </w:tr>
      <w:tr w:rsidR="00B33B4B" w:rsidRPr="009A1D72" w14:paraId="5E42B378" w14:textId="77777777" w:rsidTr="006B1047">
        <w:tc>
          <w:tcPr>
            <w:tcW w:w="2560" w:type="pct"/>
            <w:tcBorders>
              <w:top w:val="nil"/>
              <w:bottom w:val="single" w:sz="4" w:space="0" w:color="auto"/>
            </w:tcBorders>
          </w:tcPr>
          <w:p w14:paraId="0D0C0A66" w14:textId="309FBEDD" w:rsidR="00A45373" w:rsidRPr="009A1D72" w:rsidRDefault="00023374" w:rsidP="001F5AEC">
            <w:pPr>
              <w:pStyle w:val="ListParagraph"/>
              <w:keepNext/>
              <w:numPr>
                <w:ilvl w:val="0"/>
                <w:numId w:val="11"/>
              </w:numPr>
              <w:spacing w:before="60" w:after="120"/>
              <w:ind w:left="357" w:hanging="357"/>
            </w:pPr>
            <w:r>
              <w:t>Conventional follow-up</w:t>
            </w:r>
            <w:r w:rsidDel="00023374">
              <w:t xml:space="preserve"> </w:t>
            </w:r>
            <w:r w:rsidR="007E3746">
              <w:t>(no further investi</w:t>
            </w:r>
            <w:r w:rsidR="001F5AEC">
              <w:t xml:space="preserve">gation or 24-hour </w:t>
            </w:r>
            <w:proofErr w:type="spellStart"/>
            <w:r w:rsidR="001F5AEC">
              <w:t>Holter</w:t>
            </w:r>
            <w:proofErr w:type="spellEnd"/>
            <w:r w:rsidR="001F5AEC">
              <w:t xml:space="preserve"> monitor</w:t>
            </w:r>
          </w:p>
        </w:tc>
        <w:tc>
          <w:tcPr>
            <w:tcW w:w="2440" w:type="pct"/>
            <w:tcBorders>
              <w:top w:val="nil"/>
              <w:bottom w:val="single" w:sz="4" w:space="0" w:color="auto"/>
            </w:tcBorders>
          </w:tcPr>
          <w:p w14:paraId="33C3167E" w14:textId="5874538C" w:rsidR="00B33B4B" w:rsidRPr="009A1D72" w:rsidRDefault="007B557F" w:rsidP="00C370F2">
            <w:pPr>
              <w:pStyle w:val="ListParagraph"/>
              <w:keepNext/>
              <w:numPr>
                <w:ilvl w:val="0"/>
                <w:numId w:val="11"/>
              </w:numPr>
              <w:spacing w:before="60" w:after="120"/>
              <w:ind w:left="357" w:hanging="357"/>
            </w:pPr>
            <w:r>
              <w:t>The application will assess the applicability of the key trial comparator arm (</w:t>
            </w:r>
            <w:r w:rsidR="00C370F2">
              <w:t>conventional follow-up</w:t>
            </w:r>
            <w:r>
              <w:t>) to the Australian setting.</w:t>
            </w:r>
            <w:r w:rsidR="00D452FD">
              <w:t xml:space="preserve"> </w:t>
            </w:r>
            <w:r w:rsidR="00A31A42">
              <w:t xml:space="preserve">That is, </w:t>
            </w:r>
            <w:r w:rsidR="00C370F2">
              <w:t xml:space="preserve">whether the trial circumstances if use and patient population reflects current Australian clinical practice. </w:t>
            </w:r>
          </w:p>
        </w:tc>
      </w:tr>
      <w:tr w:rsidR="009A1D72" w:rsidRPr="009A1D72" w14:paraId="68E569D6" w14:textId="77777777" w:rsidTr="006B1047">
        <w:tc>
          <w:tcPr>
            <w:tcW w:w="2560" w:type="pct"/>
            <w:tcBorders>
              <w:bottom w:val="nil"/>
            </w:tcBorders>
          </w:tcPr>
          <w:p w14:paraId="5325290A" w14:textId="77777777" w:rsidR="009A1D72" w:rsidRPr="009A1D72" w:rsidRDefault="009A1D72" w:rsidP="009A1D72">
            <w:pPr>
              <w:keepNext/>
              <w:spacing w:before="60"/>
              <w:jc w:val="left"/>
            </w:pPr>
            <w:r w:rsidRPr="009A1D72">
              <w:t>Outcomes</w:t>
            </w:r>
          </w:p>
        </w:tc>
        <w:tc>
          <w:tcPr>
            <w:tcW w:w="2440" w:type="pct"/>
            <w:tcBorders>
              <w:bottom w:val="nil"/>
            </w:tcBorders>
          </w:tcPr>
          <w:p w14:paraId="4B2BC305" w14:textId="6F3158B6" w:rsidR="009A1D72" w:rsidRPr="009A1D72" w:rsidRDefault="009A1D72" w:rsidP="009A1D72">
            <w:pPr>
              <w:keepNext/>
              <w:spacing w:before="60"/>
              <w:jc w:val="left"/>
            </w:pPr>
          </w:p>
        </w:tc>
      </w:tr>
      <w:tr w:rsidR="00B33B4B" w:rsidRPr="009A1D72" w14:paraId="23DF86E5" w14:textId="77777777" w:rsidTr="006B1047">
        <w:tc>
          <w:tcPr>
            <w:tcW w:w="2560" w:type="pct"/>
            <w:tcBorders>
              <w:top w:val="nil"/>
            </w:tcBorders>
          </w:tcPr>
          <w:p w14:paraId="10E27CE6" w14:textId="77777777" w:rsidR="002C4CF9" w:rsidRDefault="002C4CF9" w:rsidP="002C4CF9">
            <w:pPr>
              <w:pStyle w:val="ListParagraph"/>
              <w:keepNext/>
              <w:numPr>
                <w:ilvl w:val="0"/>
                <w:numId w:val="11"/>
              </w:numPr>
              <w:spacing w:before="60"/>
              <w:jc w:val="left"/>
            </w:pPr>
            <w:r>
              <w:t>Primary outcome from key clinical trial</w:t>
            </w:r>
          </w:p>
          <w:p w14:paraId="5BDE2C3D" w14:textId="77777777" w:rsidR="002C4CF9" w:rsidRDefault="002C4CF9" w:rsidP="002C4CF9">
            <w:pPr>
              <w:pStyle w:val="ListParagraph"/>
              <w:keepNext/>
              <w:numPr>
                <w:ilvl w:val="1"/>
                <w:numId w:val="11"/>
              </w:numPr>
              <w:spacing w:before="60"/>
              <w:jc w:val="left"/>
            </w:pPr>
            <w:r>
              <w:t>AF detection rates</w:t>
            </w:r>
          </w:p>
          <w:p w14:paraId="75541233" w14:textId="77777777" w:rsidR="002C4CF9" w:rsidRDefault="002C4CF9" w:rsidP="002C4CF9">
            <w:pPr>
              <w:pStyle w:val="ListParagraph"/>
              <w:keepNext/>
              <w:numPr>
                <w:ilvl w:val="0"/>
                <w:numId w:val="11"/>
              </w:numPr>
              <w:spacing w:before="60"/>
              <w:jc w:val="left"/>
            </w:pPr>
            <w:r>
              <w:t>Secondary patient-relevant health outcomes</w:t>
            </w:r>
          </w:p>
          <w:p w14:paraId="354B19E7" w14:textId="77777777" w:rsidR="002C4CF9" w:rsidRDefault="002C4CF9" w:rsidP="002C4CF9">
            <w:pPr>
              <w:pStyle w:val="ListParagraph"/>
              <w:keepNext/>
              <w:numPr>
                <w:ilvl w:val="1"/>
                <w:numId w:val="11"/>
              </w:numPr>
              <w:spacing w:before="60"/>
              <w:jc w:val="left"/>
            </w:pPr>
            <w:r>
              <w:t>Change in clinical management (anticoagulation vs. antiplatelet therapy)</w:t>
            </w:r>
          </w:p>
          <w:p w14:paraId="1D2D71A3" w14:textId="77777777" w:rsidR="002C4CF9" w:rsidRDefault="002C4CF9" w:rsidP="002C4CF9">
            <w:pPr>
              <w:pStyle w:val="ListParagraph"/>
              <w:keepNext/>
              <w:numPr>
                <w:ilvl w:val="1"/>
                <w:numId w:val="11"/>
              </w:numPr>
              <w:spacing w:before="60"/>
              <w:jc w:val="left"/>
            </w:pPr>
            <w:r>
              <w:t>Incidence of recurrent stroke</w:t>
            </w:r>
          </w:p>
          <w:p w14:paraId="736D2EF6" w14:textId="77777777" w:rsidR="002C4CF9" w:rsidRDefault="002C4CF9" w:rsidP="002C4CF9">
            <w:pPr>
              <w:pStyle w:val="ListParagraph"/>
              <w:keepNext/>
              <w:numPr>
                <w:ilvl w:val="1"/>
                <w:numId w:val="11"/>
              </w:numPr>
              <w:spacing w:before="60"/>
              <w:jc w:val="left"/>
            </w:pPr>
            <w:r>
              <w:t>Life years (LYs) quality-adjusted life years (QALYs) (modelled using the linked evidence approach)</w:t>
            </w:r>
          </w:p>
          <w:p w14:paraId="3EAF8EC6" w14:textId="77777777" w:rsidR="002C4CF9" w:rsidRDefault="002C4CF9" w:rsidP="002C4CF9">
            <w:pPr>
              <w:pStyle w:val="ListParagraph"/>
              <w:keepNext/>
              <w:numPr>
                <w:ilvl w:val="0"/>
                <w:numId w:val="11"/>
              </w:numPr>
              <w:spacing w:before="60"/>
              <w:jc w:val="left"/>
            </w:pPr>
            <w:r>
              <w:t>Diagnostic accuracy outcomes (for detection of AF)</w:t>
            </w:r>
          </w:p>
          <w:p w14:paraId="542106D9" w14:textId="21B9E961" w:rsidR="00B33B4B" w:rsidRPr="002C4CF9" w:rsidRDefault="002C4CF9" w:rsidP="002C4CF9">
            <w:pPr>
              <w:pStyle w:val="ListParagraph"/>
              <w:keepNext/>
              <w:numPr>
                <w:ilvl w:val="1"/>
                <w:numId w:val="11"/>
              </w:numPr>
              <w:spacing w:before="60"/>
              <w:jc w:val="left"/>
            </w:pPr>
            <w:r w:rsidRPr="002C4CF9">
              <w:t>Sensitivity, specificity, negative and positive predictive values</w:t>
            </w:r>
          </w:p>
        </w:tc>
        <w:tc>
          <w:tcPr>
            <w:tcW w:w="2440" w:type="pct"/>
            <w:tcBorders>
              <w:top w:val="nil"/>
            </w:tcBorders>
          </w:tcPr>
          <w:p w14:paraId="62CA57BB" w14:textId="77777777" w:rsidR="00B33B4B" w:rsidRDefault="007B557F" w:rsidP="007B557F">
            <w:pPr>
              <w:pStyle w:val="ListParagraph"/>
              <w:keepNext/>
              <w:numPr>
                <w:ilvl w:val="0"/>
                <w:numId w:val="11"/>
              </w:numPr>
              <w:spacing w:before="60" w:after="120"/>
            </w:pPr>
            <w:r w:rsidRPr="007B557F">
              <w:t xml:space="preserve">The outcomes assessed in the </w:t>
            </w:r>
            <w:r>
              <w:t xml:space="preserve">key trial (CRYSTAL AF) </w:t>
            </w:r>
            <w:r w:rsidRPr="007B557F">
              <w:t>are relevant because they reflect the decision making proces</w:t>
            </w:r>
            <w:r>
              <w:t xml:space="preserve">s in current clinical practice. </w:t>
            </w:r>
            <w:r w:rsidRPr="007B557F">
              <w:t>Specifically, if AF is detected in a patient with CS, then it is recommended that oral anticoagulation is initiated</w:t>
            </w:r>
          </w:p>
          <w:p w14:paraId="1210A6E6" w14:textId="673120F5" w:rsidR="007B557F" w:rsidRPr="009A1D72" w:rsidRDefault="007B557F" w:rsidP="007B557F">
            <w:pPr>
              <w:pStyle w:val="ListParagraph"/>
              <w:keepNext/>
              <w:spacing w:before="60" w:after="120"/>
              <w:ind w:left="360"/>
            </w:pPr>
          </w:p>
        </w:tc>
      </w:tr>
    </w:tbl>
    <w:p w14:paraId="516D0628" w14:textId="6F962A7D" w:rsidR="00280F63" w:rsidRDefault="00280F63" w:rsidP="00280F63"/>
    <w:p w14:paraId="00D96391" w14:textId="12D49D0A" w:rsidR="0066293C" w:rsidRPr="00FD0556" w:rsidRDefault="00837845" w:rsidP="001F5AEC">
      <w:pPr>
        <w:keepNext/>
        <w:rPr>
          <w:i/>
        </w:rPr>
      </w:pPr>
      <w:r>
        <w:rPr>
          <w:i/>
        </w:rPr>
        <w:lastRenderedPageBreak/>
        <w:t>Overview of p</w:t>
      </w:r>
      <w:r w:rsidR="0066293C" w:rsidRPr="00FD0556">
        <w:rPr>
          <w:i/>
        </w:rPr>
        <w:t xml:space="preserve">roposed approach </w:t>
      </w:r>
    </w:p>
    <w:p w14:paraId="2ECD5126" w14:textId="2A3BBB7C" w:rsidR="0066293C" w:rsidRDefault="0066293C" w:rsidP="001F5AEC">
      <w:pPr>
        <w:keepNext/>
      </w:pPr>
      <w:r>
        <w:t xml:space="preserve">The approach taken in the submission will therefore be a linked evidence approach </w:t>
      </w:r>
      <w:r w:rsidR="008E3C86">
        <w:t>as per 2005 MSAC Guidelines (MSAC, 2005</w:t>
      </w:r>
      <w:r>
        <w:t xml:space="preserve">). This approach and its application to this submission </w:t>
      </w:r>
      <w:proofErr w:type="gramStart"/>
      <w:r>
        <w:t>is</w:t>
      </w:r>
      <w:proofErr w:type="gramEnd"/>
      <w:r>
        <w:t xml:space="preserve"> illustrated in </w:t>
      </w:r>
      <w:r w:rsidR="00D50812">
        <w:t>Figure 8</w:t>
      </w:r>
      <w:r>
        <w:t>.</w:t>
      </w:r>
    </w:p>
    <w:p w14:paraId="15AEDD60" w14:textId="07CF52A0" w:rsidR="0066293C" w:rsidRDefault="0066293C" w:rsidP="001F5AEC">
      <w:pPr>
        <w:pStyle w:val="Caption"/>
        <w:spacing w:after="120"/>
      </w:pPr>
      <w:bookmarkStart w:id="5" w:name="_Ref438635930"/>
      <w:r>
        <w:t xml:space="preserve">Figure </w:t>
      </w:r>
      <w:r>
        <w:fldChar w:fldCharType="begin"/>
      </w:r>
      <w:r>
        <w:instrText xml:space="preserve"> SEQ Figure \* ARABIC </w:instrText>
      </w:r>
      <w:r>
        <w:fldChar w:fldCharType="separate"/>
      </w:r>
      <w:r w:rsidR="00F3250E">
        <w:rPr>
          <w:noProof/>
        </w:rPr>
        <w:t>8</w:t>
      </w:r>
      <w:r>
        <w:fldChar w:fldCharType="end"/>
      </w:r>
      <w:bookmarkEnd w:id="5"/>
      <w:r>
        <w:tab/>
        <w:t>Proposed linked evidence approach for submission</w:t>
      </w:r>
    </w:p>
    <w:p w14:paraId="706F5E30" w14:textId="7E19AE64" w:rsidR="0066293C" w:rsidRDefault="004C71A2" w:rsidP="004C71A2">
      <w:pPr>
        <w:jc w:val="left"/>
      </w:pPr>
      <w:r>
        <w:rPr>
          <w:noProof/>
          <w:lang w:eastAsia="en-AU"/>
        </w:rPr>
        <w:drawing>
          <wp:inline distT="0" distB="0" distL="0" distR="0" wp14:anchorId="3EBF6C7E" wp14:editId="33C8F630">
            <wp:extent cx="6019800" cy="1802013"/>
            <wp:effectExtent l="0" t="0" r="0" b="8255"/>
            <wp:docPr id="12" name="Picture 12" descr="Figure 8 Proposed linked evidence approach for submission&#10;Refer to description below under proposed economic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64487" cy="1815390"/>
                    </a:xfrm>
                    <a:prstGeom prst="rect">
                      <a:avLst/>
                    </a:prstGeom>
                    <a:noFill/>
                  </pic:spPr>
                </pic:pic>
              </a:graphicData>
            </a:graphic>
          </wp:inline>
        </w:drawing>
      </w:r>
    </w:p>
    <w:p w14:paraId="7B7D435E" w14:textId="301CB34C" w:rsidR="0066293C" w:rsidRPr="00502C00" w:rsidRDefault="008E3C86" w:rsidP="0066293C">
      <w:pPr>
        <w:spacing w:after="360" w:line="240" w:lineRule="auto"/>
        <w:rPr>
          <w:rFonts w:cstheme="minorHAnsi"/>
          <w:sz w:val="18"/>
          <w:szCs w:val="18"/>
        </w:rPr>
      </w:pPr>
      <w:r>
        <w:rPr>
          <w:rFonts w:cstheme="minorHAnsi"/>
          <w:sz w:val="18"/>
          <w:szCs w:val="18"/>
        </w:rPr>
        <w:t xml:space="preserve">Adapted </w:t>
      </w:r>
      <w:r w:rsidRPr="008E3C86">
        <w:rPr>
          <w:rFonts w:cstheme="minorHAnsi"/>
          <w:sz w:val="18"/>
          <w:szCs w:val="18"/>
        </w:rPr>
        <w:t>from: MSAC, 2005</w:t>
      </w:r>
    </w:p>
    <w:p w14:paraId="4E19783E" w14:textId="019950DE" w:rsidR="0066293C" w:rsidRPr="0066293C" w:rsidRDefault="00837845" w:rsidP="0066293C">
      <w:pPr>
        <w:rPr>
          <w:i/>
          <w:lang w:eastAsia="ja-JP"/>
        </w:rPr>
      </w:pPr>
      <w:r>
        <w:rPr>
          <w:i/>
          <w:lang w:eastAsia="ja-JP"/>
        </w:rPr>
        <w:t>Proposed</w:t>
      </w:r>
      <w:r w:rsidR="0066293C" w:rsidRPr="0066293C">
        <w:rPr>
          <w:i/>
          <w:lang w:eastAsia="ja-JP"/>
        </w:rPr>
        <w:t xml:space="preserve"> economic evaluation</w:t>
      </w:r>
      <w:r>
        <w:rPr>
          <w:i/>
          <w:lang w:eastAsia="ja-JP"/>
        </w:rPr>
        <w:t xml:space="preserve"> </w:t>
      </w:r>
    </w:p>
    <w:p w14:paraId="586F67AE" w14:textId="47BB0F1A" w:rsidR="0066293C" w:rsidRPr="00957630" w:rsidRDefault="0066293C" w:rsidP="0066293C">
      <w:pPr>
        <w:rPr>
          <w:lang w:eastAsia="ja-JP"/>
        </w:rPr>
      </w:pPr>
      <w:r w:rsidRPr="00957630">
        <w:rPr>
          <w:rFonts w:hint="eastAsia"/>
          <w:lang w:eastAsia="ja-JP"/>
        </w:rPr>
        <w:t>A linked evidence approach will be taken to derive patient-relevant outcomes in terms of life years and quality-</w:t>
      </w:r>
      <w:r w:rsidRPr="00957630">
        <w:rPr>
          <w:lang w:eastAsia="ja-JP"/>
        </w:rPr>
        <w:t>adjusted</w:t>
      </w:r>
      <w:r w:rsidRPr="00957630">
        <w:rPr>
          <w:rFonts w:hint="eastAsia"/>
          <w:lang w:eastAsia="ja-JP"/>
        </w:rPr>
        <w:t xml:space="preserve"> life years (QALYs). </w:t>
      </w:r>
      <w:r w:rsidR="00957630" w:rsidRPr="00957630">
        <w:rPr>
          <w:lang w:eastAsia="ja-JP"/>
        </w:rPr>
        <w:t xml:space="preserve">The fundamental elements to be captured by the employed approach are presented in </w:t>
      </w:r>
      <w:r w:rsidR="00FE0073">
        <w:t>Figure 8</w:t>
      </w:r>
      <w:r w:rsidR="00957630" w:rsidRPr="00957630">
        <w:t xml:space="preserve"> above. </w:t>
      </w:r>
    </w:p>
    <w:p w14:paraId="44E9610B" w14:textId="0A33C3CA" w:rsidR="0066293C" w:rsidRDefault="0066293C" w:rsidP="0066293C">
      <w:pPr>
        <w:rPr>
          <w:lang w:eastAsia="ja-JP"/>
        </w:rPr>
      </w:pPr>
      <w:r w:rsidRPr="00957630">
        <w:rPr>
          <w:rFonts w:hint="eastAsia"/>
          <w:lang w:eastAsia="ja-JP"/>
        </w:rPr>
        <w:t xml:space="preserve">The underlying premise of the economic model is that the use of ILRs among cryptogenic strokes will lead to an effective and safe use of anticoagulation treatments (e.g., warfarin and newer oral </w:t>
      </w:r>
      <w:r w:rsidRPr="00957630">
        <w:rPr>
          <w:lang w:eastAsia="ja-JP"/>
        </w:rPr>
        <w:t>anticoagulation</w:t>
      </w:r>
      <w:r w:rsidRPr="00957630">
        <w:rPr>
          <w:rFonts w:hint="eastAsia"/>
          <w:lang w:eastAsia="ja-JP"/>
        </w:rPr>
        <w:t xml:space="preserve"> therapies such as </w:t>
      </w:r>
      <w:proofErr w:type="spellStart"/>
      <w:r w:rsidRPr="00957630">
        <w:rPr>
          <w:rFonts w:hint="eastAsia"/>
          <w:lang w:eastAsia="ja-JP"/>
        </w:rPr>
        <w:t>dabigatran</w:t>
      </w:r>
      <w:proofErr w:type="spellEnd"/>
      <w:r w:rsidRPr="00957630">
        <w:rPr>
          <w:rFonts w:hint="eastAsia"/>
          <w:lang w:eastAsia="ja-JP"/>
        </w:rPr>
        <w:t xml:space="preserve">) among patients with AF, which in turn reduces the risk of recurrent stroke. </w:t>
      </w:r>
      <w:r w:rsidRPr="00957630">
        <w:rPr>
          <w:lang w:eastAsia="ja-JP"/>
        </w:rPr>
        <w:t>T</w:t>
      </w:r>
      <w:r w:rsidRPr="00957630">
        <w:rPr>
          <w:rFonts w:hint="eastAsia"/>
          <w:lang w:eastAsia="ja-JP"/>
        </w:rPr>
        <w:t xml:space="preserve">hat is, ILRs offer an improved identification of patients with AF who would benefit from the use of anticoagulation therapies, </w:t>
      </w:r>
      <w:r w:rsidR="00957630">
        <w:rPr>
          <w:lang w:eastAsia="ja-JP"/>
        </w:rPr>
        <w:t>facilitating</w:t>
      </w:r>
      <w:r w:rsidRPr="00957630">
        <w:rPr>
          <w:rFonts w:hint="eastAsia"/>
          <w:lang w:eastAsia="ja-JP"/>
        </w:rPr>
        <w:t xml:space="preserve"> the </w:t>
      </w:r>
      <w:r w:rsidRPr="00957630">
        <w:rPr>
          <w:lang w:eastAsia="ja-JP"/>
        </w:rPr>
        <w:t>effectiveness</w:t>
      </w:r>
      <w:r w:rsidRPr="00957630">
        <w:rPr>
          <w:rFonts w:hint="eastAsia"/>
          <w:lang w:eastAsia="ja-JP"/>
        </w:rPr>
        <w:t xml:space="preserve"> and safety of secondary stroke prevention. The model also captures possible AEs caused by </w:t>
      </w:r>
      <w:r w:rsidRPr="00957630">
        <w:rPr>
          <w:lang w:eastAsia="ja-JP"/>
        </w:rPr>
        <w:t>anticoagulation treatments</w:t>
      </w:r>
      <w:r w:rsidRPr="00957630">
        <w:rPr>
          <w:rFonts w:hint="eastAsia"/>
          <w:lang w:eastAsia="ja-JP"/>
        </w:rPr>
        <w:t xml:space="preserve"> (i.e., bleeds). The overview of the modelling approach planned for the submission is presented in </w:t>
      </w:r>
      <w:r w:rsidR="00FE0073">
        <w:rPr>
          <w:lang w:eastAsia="ja-JP"/>
        </w:rPr>
        <w:t>9</w:t>
      </w:r>
      <w:r w:rsidRPr="00957630">
        <w:rPr>
          <w:rFonts w:hint="eastAsia"/>
          <w:lang w:eastAsia="ja-JP"/>
        </w:rPr>
        <w:t xml:space="preserve"> below.</w:t>
      </w:r>
      <w:r>
        <w:rPr>
          <w:rFonts w:hint="eastAsia"/>
          <w:lang w:eastAsia="ja-JP"/>
        </w:rPr>
        <w:t xml:space="preserve"> </w:t>
      </w:r>
      <w:r w:rsidR="00015AEC">
        <w:rPr>
          <w:lang w:eastAsia="ja-JP"/>
        </w:rPr>
        <w:t xml:space="preserve">The model will also have a time horizon of life of the patient, as the </w:t>
      </w:r>
      <w:r w:rsidR="00806A0C">
        <w:rPr>
          <w:lang w:eastAsia="ja-JP"/>
        </w:rPr>
        <w:t xml:space="preserve">improved </w:t>
      </w:r>
      <w:r w:rsidR="00015AEC">
        <w:rPr>
          <w:lang w:eastAsia="ja-JP"/>
        </w:rPr>
        <w:t>clinical outcomes as a result from the new management pathway post ILR implantation continue to benefit the patient after the device’s battery depletes.</w:t>
      </w:r>
    </w:p>
    <w:p w14:paraId="483CACE0" w14:textId="7D3A3CEB" w:rsidR="0066293C" w:rsidRDefault="0066293C" w:rsidP="0066293C">
      <w:pPr>
        <w:rPr>
          <w:lang w:eastAsia="ja-JP"/>
        </w:rPr>
      </w:pPr>
    </w:p>
    <w:p w14:paraId="5AC0EAF6" w14:textId="2BF913CF" w:rsidR="0066293C" w:rsidRDefault="0066293C" w:rsidP="008E3C86">
      <w:pPr>
        <w:pStyle w:val="Caption"/>
        <w:spacing w:after="120"/>
      </w:pPr>
      <w:bookmarkStart w:id="6" w:name="_Ref438673915"/>
      <w:r>
        <w:lastRenderedPageBreak/>
        <w:t xml:space="preserve">Figure </w:t>
      </w:r>
      <w:r>
        <w:fldChar w:fldCharType="begin"/>
      </w:r>
      <w:r>
        <w:instrText xml:space="preserve"> SEQ Figure \* ARABIC </w:instrText>
      </w:r>
      <w:r>
        <w:fldChar w:fldCharType="separate"/>
      </w:r>
      <w:r w:rsidR="00F3250E">
        <w:rPr>
          <w:noProof/>
        </w:rPr>
        <w:t>9</w:t>
      </w:r>
      <w:r>
        <w:fldChar w:fldCharType="end"/>
      </w:r>
      <w:bookmarkEnd w:id="6"/>
      <w:r>
        <w:rPr>
          <w:rFonts w:eastAsiaTheme="minorEastAsia" w:hint="eastAsia"/>
        </w:rPr>
        <w:tab/>
      </w:r>
      <w:r>
        <w:rPr>
          <w:rFonts w:hint="eastAsia"/>
        </w:rPr>
        <w:t>Overview of the modelling approach planned for the submission</w:t>
      </w:r>
      <w:r w:rsidR="008E3C86">
        <w:t>*</w:t>
      </w:r>
    </w:p>
    <w:p w14:paraId="75AF6CAC" w14:textId="65E902E9" w:rsidR="008E3C86" w:rsidRPr="008E3C86" w:rsidRDefault="008E3C86" w:rsidP="008E3C86">
      <w:pPr>
        <w:rPr>
          <w:lang w:val="en-GB" w:eastAsia="ja-JP"/>
        </w:rPr>
      </w:pPr>
      <w:r>
        <w:rPr>
          <w:noProof/>
          <w:lang w:eastAsia="en-AU"/>
        </w:rPr>
        <w:drawing>
          <wp:inline distT="0" distB="0" distL="0" distR="0" wp14:anchorId="37218B5F" wp14:editId="48A66CF3">
            <wp:extent cx="5745480" cy="3401854"/>
            <wp:effectExtent l="0" t="0" r="7620" b="8255"/>
            <wp:docPr id="1" name="Picture 1" descr="Figure 9 Overview of the modelling approach planned for the submission* refer to above text for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45480" cy="3401854"/>
                    </a:xfrm>
                    <a:prstGeom prst="rect">
                      <a:avLst/>
                    </a:prstGeom>
                    <a:noFill/>
                  </pic:spPr>
                </pic:pic>
              </a:graphicData>
            </a:graphic>
          </wp:inline>
        </w:drawing>
      </w:r>
    </w:p>
    <w:p w14:paraId="24F3E633" w14:textId="6B9E5298" w:rsidR="00280F63" w:rsidRPr="008E3C86" w:rsidRDefault="008E3C86" w:rsidP="005B33C8">
      <w:pPr>
        <w:pStyle w:val="Footer"/>
        <w:rPr>
          <w:sz w:val="18"/>
          <w:szCs w:val="18"/>
          <w:lang w:val="en-GB" w:eastAsia="ja-JP"/>
        </w:rPr>
      </w:pPr>
      <w:r w:rsidRPr="008E3C86">
        <w:rPr>
          <w:sz w:val="18"/>
          <w:szCs w:val="18"/>
          <w:lang w:val="en-GB" w:eastAsia="ja-JP"/>
        </w:rPr>
        <w:t>*</w:t>
      </w:r>
      <w:r w:rsidR="0066293C" w:rsidRPr="008E3C86">
        <w:rPr>
          <w:rFonts w:hint="eastAsia"/>
          <w:sz w:val="18"/>
          <w:szCs w:val="18"/>
          <w:lang w:val="en-GB" w:eastAsia="ja-JP"/>
        </w:rPr>
        <w:t>Note: T</w:t>
      </w:r>
      <w:r w:rsidR="0066293C" w:rsidRPr="008E3C86">
        <w:rPr>
          <w:sz w:val="18"/>
          <w:szCs w:val="18"/>
          <w:lang w:val="en-GB" w:eastAsia="ja-JP"/>
        </w:rPr>
        <w:t>h</w:t>
      </w:r>
      <w:r w:rsidR="0066293C" w:rsidRPr="008E3C86">
        <w:rPr>
          <w:rFonts w:hint="eastAsia"/>
          <w:sz w:val="18"/>
          <w:szCs w:val="18"/>
          <w:lang w:val="en-GB" w:eastAsia="ja-JP"/>
        </w:rPr>
        <w:t>e modelling approach has not been finalised yet at this stage, and the presented figure is indicative</w:t>
      </w:r>
      <w:r>
        <w:rPr>
          <w:sz w:val="18"/>
          <w:szCs w:val="18"/>
          <w:lang w:val="en-GB" w:eastAsia="ja-JP"/>
        </w:rPr>
        <w:t xml:space="preserve"> only</w:t>
      </w:r>
      <w:r w:rsidR="0066293C" w:rsidRPr="008E3C86">
        <w:rPr>
          <w:rFonts w:hint="eastAsia"/>
          <w:sz w:val="18"/>
          <w:szCs w:val="18"/>
          <w:lang w:val="en-GB" w:eastAsia="ja-JP"/>
        </w:rPr>
        <w:t xml:space="preserve">. </w:t>
      </w:r>
    </w:p>
    <w:p w14:paraId="228001EE" w14:textId="77777777" w:rsidR="00BC4EFE" w:rsidRPr="00BC4EFE" w:rsidRDefault="00BC4EFE" w:rsidP="00941DC8">
      <w:pPr>
        <w:pStyle w:val="Heading1"/>
      </w:pPr>
      <w:r w:rsidRPr="00BC4EFE">
        <w:t>Healthcare resources</w:t>
      </w:r>
    </w:p>
    <w:p w14:paraId="7F04CBBC" w14:textId="7E297FF0" w:rsidR="00280F63" w:rsidRDefault="00BC4EFE" w:rsidP="005B33C8">
      <w:pPr>
        <w:pStyle w:val="Quote"/>
      </w:pPr>
      <w:r w:rsidRPr="005965F4">
        <w:t>Using</w:t>
      </w:r>
      <w:r w:rsidR="005965F4" w:rsidRPr="005965F4">
        <w:t xml:space="preserve"> </w:t>
      </w:r>
      <w:r w:rsidR="00EA4A2B">
        <w:fldChar w:fldCharType="begin"/>
      </w:r>
      <w:r w:rsidR="00EA4A2B">
        <w:instrText xml:space="preserve"> REF _Ref387320472 \h  \* MERGEFORMAT </w:instrText>
      </w:r>
      <w:r w:rsidR="00EA4A2B">
        <w:fldChar w:fldCharType="separate"/>
      </w:r>
      <w:r w:rsidR="00F87673">
        <w:t>Table 10</w:t>
      </w:r>
      <w:r w:rsidR="00EA4A2B">
        <w:fldChar w:fldCharType="end"/>
      </w:r>
      <w:r w:rsidR="005965F4" w:rsidRPr="005965F4">
        <w:t xml:space="preserve"> </w:t>
      </w:r>
      <w:r w:rsidRPr="005965F4">
        <w:t>provide</w:t>
      </w:r>
      <w:r w:rsidRPr="00BC4EFE">
        <w:t xml:space="preserve"> a list of the health care resources whose utilisation is likely to be impacted should the proposed intervention be made available as requested whether the utilisation of the resource will be impacted due to differences in outcomes or due to availability of th</w:t>
      </w:r>
      <w:r w:rsidR="00773952">
        <w:t>e proposed int</w:t>
      </w:r>
      <w:r w:rsidR="005B33C8">
        <w:t>ervention itself.</w:t>
      </w:r>
    </w:p>
    <w:p w14:paraId="5CAECB2E" w14:textId="75B8A116" w:rsidR="00957630" w:rsidRDefault="00BF2568" w:rsidP="00C70AC3">
      <w:pPr>
        <w:rPr>
          <w:lang w:eastAsia="ja-JP"/>
        </w:rPr>
      </w:pPr>
      <w:r>
        <w:rPr>
          <w:lang w:eastAsia="ja-JP"/>
        </w:rPr>
        <w:t xml:space="preserve">As set out above, </w:t>
      </w:r>
      <w:r w:rsidRPr="00BF2568">
        <w:rPr>
          <w:rFonts w:hint="eastAsia"/>
          <w:lang w:eastAsia="ja-JP"/>
        </w:rPr>
        <w:t xml:space="preserve">the extent and type of expertise / procedural complexity and duration </w:t>
      </w:r>
      <w:r>
        <w:rPr>
          <w:lang w:eastAsia="ja-JP"/>
        </w:rPr>
        <w:t xml:space="preserve">in relation to </w:t>
      </w:r>
      <w:r w:rsidR="00E741CD">
        <w:rPr>
          <w:lang w:eastAsia="ja-JP"/>
        </w:rPr>
        <w:t xml:space="preserve">provision of the proposed service (including </w:t>
      </w:r>
      <w:r>
        <w:rPr>
          <w:lang w:eastAsia="ja-JP"/>
        </w:rPr>
        <w:t>device implantation and patient follow-up</w:t>
      </w:r>
      <w:r w:rsidR="00E741CD">
        <w:rPr>
          <w:lang w:eastAsia="ja-JP"/>
        </w:rPr>
        <w:t>)</w:t>
      </w:r>
      <w:r>
        <w:rPr>
          <w:lang w:eastAsia="ja-JP"/>
        </w:rPr>
        <w:t xml:space="preserve"> </w:t>
      </w:r>
      <w:r w:rsidRPr="00BF2568">
        <w:rPr>
          <w:rFonts w:hint="eastAsia"/>
          <w:lang w:eastAsia="ja-JP"/>
        </w:rPr>
        <w:t xml:space="preserve">are likely to be similar between the proposed </w:t>
      </w:r>
      <w:r w:rsidRPr="00BF2568">
        <w:rPr>
          <w:lang w:eastAsia="ja-JP"/>
        </w:rPr>
        <w:t>i</w:t>
      </w:r>
      <w:r w:rsidR="003D65F1">
        <w:rPr>
          <w:lang w:eastAsia="ja-JP"/>
        </w:rPr>
        <w:t>ndication a</w:t>
      </w:r>
      <w:r w:rsidRPr="00BF2568">
        <w:rPr>
          <w:rFonts w:hint="eastAsia"/>
          <w:lang w:eastAsia="ja-JP"/>
        </w:rPr>
        <w:t>nd the existing syncope indication</w:t>
      </w:r>
      <w:r>
        <w:rPr>
          <w:lang w:eastAsia="ja-JP"/>
        </w:rPr>
        <w:t xml:space="preserve"> (MBS item 38285). </w:t>
      </w:r>
    </w:p>
    <w:p w14:paraId="671A3BF1" w14:textId="50643AA1" w:rsidR="003D65F1" w:rsidRPr="003D65F1" w:rsidRDefault="003D65F1" w:rsidP="00957630">
      <w:pPr>
        <w:rPr>
          <w:i/>
          <w:lang w:eastAsia="ja-JP"/>
        </w:rPr>
      </w:pPr>
      <w:r w:rsidRPr="003D65F1">
        <w:rPr>
          <w:i/>
          <w:lang w:eastAsia="ja-JP"/>
        </w:rPr>
        <w:t xml:space="preserve">Further details of resource use will be identified during the assessment phase of this application. </w:t>
      </w:r>
    </w:p>
    <w:p w14:paraId="4D773B1A" w14:textId="77777777" w:rsidR="00BC4EFE" w:rsidRPr="00BC4EFE" w:rsidRDefault="00BC4EFE" w:rsidP="00941DC8">
      <w:pPr>
        <w:pStyle w:val="Heading1"/>
      </w:pPr>
      <w:r w:rsidRPr="00BC4EFE">
        <w:t>Questions for public funding</w:t>
      </w:r>
    </w:p>
    <w:p w14:paraId="7223369A" w14:textId="191E07A9" w:rsidR="00BC4EFE" w:rsidRDefault="00BC4EFE" w:rsidP="00215B74">
      <w:pPr>
        <w:pStyle w:val="Quote"/>
      </w:pPr>
      <w:r w:rsidRPr="00BC4EFE">
        <w:t>Please list questions relating to the safety, effectiveness and cost-effectiveness of the service / intervention relevant to this application</w:t>
      </w:r>
      <w:r w:rsidR="00C70AC3">
        <w:t>.</w:t>
      </w:r>
    </w:p>
    <w:p w14:paraId="33AF0D8E" w14:textId="4C7F372B" w:rsidR="00C70AC3" w:rsidRDefault="00C70AC3" w:rsidP="00447662">
      <w:pPr>
        <w:spacing w:after="0"/>
      </w:pPr>
      <w:r>
        <w:t>Questions rel</w:t>
      </w:r>
      <w:r w:rsidR="00FE1712">
        <w:t>ated</w:t>
      </w:r>
      <w:r>
        <w:t xml:space="preserve"> to ILR use in patients with CS that are relevant to this application include:</w:t>
      </w:r>
    </w:p>
    <w:p w14:paraId="5DA7BEB3" w14:textId="04A3E69F" w:rsidR="00C70AC3" w:rsidRDefault="00FE1712" w:rsidP="00C70AC3">
      <w:pPr>
        <w:pStyle w:val="ListParagraph"/>
        <w:numPr>
          <w:ilvl w:val="0"/>
          <w:numId w:val="20"/>
        </w:numPr>
        <w:spacing w:after="0"/>
      </w:pPr>
      <w:r>
        <w:t xml:space="preserve">Have all potential </w:t>
      </w:r>
      <w:r w:rsidR="00C70AC3">
        <w:t>cost-savings</w:t>
      </w:r>
      <w:r w:rsidR="00A71DCE">
        <w:t xml:space="preserve"> been identified</w:t>
      </w:r>
      <w:r w:rsidR="00C70AC3">
        <w:t>?</w:t>
      </w:r>
    </w:p>
    <w:p w14:paraId="074BC920" w14:textId="6CC7C6F3" w:rsidR="00C70AC3" w:rsidRDefault="00C70AC3" w:rsidP="00C70AC3">
      <w:pPr>
        <w:pStyle w:val="ListParagraph"/>
        <w:numPr>
          <w:ilvl w:val="0"/>
          <w:numId w:val="20"/>
        </w:numPr>
        <w:spacing w:after="0"/>
      </w:pPr>
      <w:r>
        <w:t>Have all the resources been identified?</w:t>
      </w:r>
    </w:p>
    <w:p w14:paraId="416324C4" w14:textId="4F9CF1A8" w:rsidR="00273BD6" w:rsidRDefault="00273BD6" w:rsidP="00C70AC3">
      <w:pPr>
        <w:pStyle w:val="ListParagraph"/>
        <w:numPr>
          <w:ilvl w:val="0"/>
          <w:numId w:val="20"/>
        </w:numPr>
        <w:spacing w:after="0"/>
      </w:pPr>
      <w:r>
        <w:t xml:space="preserve">What tests are necessary for </w:t>
      </w:r>
      <w:r w:rsidR="005236AF">
        <w:t xml:space="preserve">the diagnosis of </w:t>
      </w:r>
      <w:r>
        <w:t>CS?</w:t>
      </w:r>
    </w:p>
    <w:p w14:paraId="2C6AC295" w14:textId="572F2CCE" w:rsidR="00273BD6" w:rsidRDefault="00273BD6" w:rsidP="00C70AC3">
      <w:pPr>
        <w:pStyle w:val="ListParagraph"/>
        <w:numPr>
          <w:ilvl w:val="0"/>
          <w:numId w:val="20"/>
        </w:numPr>
        <w:spacing w:after="0"/>
      </w:pPr>
      <w:r>
        <w:t>Is the proposed population appropriate?</w:t>
      </w:r>
    </w:p>
    <w:p w14:paraId="23329527" w14:textId="14C9AC68" w:rsidR="00273BD6" w:rsidRDefault="00273BD6" w:rsidP="00C70AC3">
      <w:pPr>
        <w:pStyle w:val="ListParagraph"/>
        <w:numPr>
          <w:ilvl w:val="0"/>
          <w:numId w:val="20"/>
        </w:numPr>
        <w:spacing w:after="0"/>
      </w:pPr>
      <w:r>
        <w:t>What investigations are used in conventional follow-up of CS?</w:t>
      </w:r>
    </w:p>
    <w:p w14:paraId="591A6DC7" w14:textId="7C1C33A8" w:rsidR="00273BD6" w:rsidRDefault="00273BD6" w:rsidP="006A407A">
      <w:pPr>
        <w:spacing w:after="0"/>
      </w:pPr>
    </w:p>
    <w:p w14:paraId="78DD3E6E" w14:textId="77777777" w:rsidR="005236AF" w:rsidRDefault="005236AF" w:rsidP="006A407A">
      <w:pPr>
        <w:spacing w:after="0"/>
      </w:pPr>
    </w:p>
    <w:p w14:paraId="357C0CA1" w14:textId="77777777" w:rsidR="000A54A4" w:rsidRPr="00C370F2" w:rsidRDefault="000A54A4">
      <w:pPr>
        <w:rPr>
          <w:rFonts w:cstheme="minorHAnsi"/>
          <w:color w:val="000000"/>
        </w:rPr>
        <w:sectPr w:rsidR="000A54A4" w:rsidRPr="00C370F2" w:rsidSect="00467B7C">
          <w:pgSz w:w="11906" w:h="16838"/>
          <w:pgMar w:top="993" w:right="1440" w:bottom="1276" w:left="1418" w:header="708" w:footer="708" w:gutter="0"/>
          <w:cols w:space="708"/>
          <w:docGrid w:linePitch="360"/>
        </w:sectPr>
      </w:pPr>
    </w:p>
    <w:p w14:paraId="064B1FB9" w14:textId="6057547D" w:rsidR="004750DD" w:rsidRPr="00D415F1" w:rsidRDefault="005965F4" w:rsidP="001F5AEC">
      <w:pPr>
        <w:pStyle w:val="Caption"/>
        <w:keepLines/>
        <w:spacing w:after="0"/>
      </w:pPr>
      <w:bookmarkStart w:id="7" w:name="_Ref387320472"/>
      <w:r>
        <w:lastRenderedPageBreak/>
        <w:t xml:space="preserve">Table </w:t>
      </w:r>
      <w:r w:rsidR="009F0893">
        <w:fldChar w:fldCharType="begin"/>
      </w:r>
      <w:r w:rsidR="00C15043">
        <w:instrText xml:space="preserve"> SEQ Table \* ARABIC </w:instrText>
      </w:r>
      <w:r w:rsidR="009F0893">
        <w:fldChar w:fldCharType="separate"/>
      </w:r>
      <w:r w:rsidR="00DC65DD">
        <w:rPr>
          <w:noProof/>
        </w:rPr>
        <w:t>10</w:t>
      </w:r>
      <w:r w:rsidR="009F0893">
        <w:rPr>
          <w:noProof/>
        </w:rPr>
        <w:fldChar w:fldCharType="end"/>
      </w:r>
      <w:bookmarkEnd w:id="7"/>
      <w:r w:rsidR="004750DD" w:rsidRPr="00D415F1">
        <w:tab/>
        <w:t xml:space="preserve">List of resources to be </w:t>
      </w:r>
      <w:r w:rsidR="004750DD" w:rsidRPr="005965F4">
        <w:t>considered</w:t>
      </w:r>
      <w:r w:rsidR="004750DD" w:rsidRPr="00D415F1">
        <w:t xml:space="preserve"> in the economic analysis</w:t>
      </w:r>
    </w:p>
    <w:tbl>
      <w:tblPr>
        <w:tblW w:w="5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Description w:val="Table 10 List of resources to be considered in the economic analysis"/>
      </w:tblPr>
      <w:tblGrid>
        <w:gridCol w:w="1870"/>
        <w:gridCol w:w="1982"/>
        <w:gridCol w:w="2132"/>
        <w:gridCol w:w="1840"/>
        <w:gridCol w:w="1702"/>
        <w:gridCol w:w="2126"/>
        <w:gridCol w:w="567"/>
        <w:gridCol w:w="991"/>
        <w:gridCol w:w="709"/>
        <w:gridCol w:w="709"/>
        <w:gridCol w:w="709"/>
      </w:tblGrid>
      <w:tr w:rsidR="00B67B02" w:rsidRPr="002D56DB" w14:paraId="7CCDDEAC" w14:textId="77777777" w:rsidTr="00B67B02">
        <w:trPr>
          <w:tblHeader/>
        </w:trPr>
        <w:tc>
          <w:tcPr>
            <w:tcW w:w="610" w:type="pct"/>
            <w:vMerge w:val="restart"/>
            <w:shd w:val="clear" w:color="auto" w:fill="auto"/>
          </w:tcPr>
          <w:p w14:paraId="0B0CA725" w14:textId="77777777" w:rsidR="004750DD" w:rsidRPr="002D56DB" w:rsidRDefault="004750DD" w:rsidP="00FE1712">
            <w:pPr>
              <w:pStyle w:val="TableText0"/>
              <w:keepNext w:val="0"/>
              <w:widowControl w:val="0"/>
              <w:spacing w:before="20" w:after="20"/>
              <w:rPr>
                <w:rFonts w:asciiTheme="minorHAnsi" w:hAnsiTheme="minorHAnsi" w:cstheme="minorHAnsi"/>
              </w:rPr>
            </w:pPr>
          </w:p>
        </w:tc>
        <w:tc>
          <w:tcPr>
            <w:tcW w:w="646" w:type="pct"/>
            <w:vMerge w:val="restart"/>
            <w:shd w:val="clear" w:color="auto" w:fill="E5B8B7" w:themeFill="accent2" w:themeFillTint="66"/>
            <w:vAlign w:val="center"/>
          </w:tcPr>
          <w:p w14:paraId="7F74ECFC" w14:textId="77777777" w:rsidR="004750DD" w:rsidRPr="002D56DB" w:rsidRDefault="004750DD" w:rsidP="00FE1712">
            <w:pPr>
              <w:pStyle w:val="TableText0"/>
              <w:keepNext w:val="0"/>
              <w:widowControl w:val="0"/>
              <w:spacing w:before="20" w:after="20"/>
              <w:rPr>
                <w:rFonts w:asciiTheme="minorHAnsi" w:hAnsiTheme="minorHAnsi" w:cstheme="minorHAnsi"/>
                <w:b/>
              </w:rPr>
            </w:pPr>
            <w:r w:rsidRPr="002D56DB">
              <w:rPr>
                <w:rFonts w:asciiTheme="minorHAnsi" w:hAnsiTheme="minorHAnsi" w:cstheme="minorHAnsi"/>
                <w:b/>
              </w:rPr>
              <w:t>Provider of resource</w:t>
            </w:r>
          </w:p>
        </w:tc>
        <w:tc>
          <w:tcPr>
            <w:tcW w:w="695" w:type="pct"/>
            <w:vMerge w:val="restart"/>
            <w:shd w:val="clear" w:color="auto" w:fill="E5B8B7" w:themeFill="accent2" w:themeFillTint="66"/>
            <w:vAlign w:val="center"/>
          </w:tcPr>
          <w:p w14:paraId="43B488BE" w14:textId="77777777" w:rsidR="004750DD" w:rsidRPr="002D56DB" w:rsidRDefault="004750DD" w:rsidP="00FE1712">
            <w:pPr>
              <w:pStyle w:val="TableText0"/>
              <w:keepNext w:val="0"/>
              <w:widowControl w:val="0"/>
              <w:spacing w:before="20" w:after="20"/>
              <w:rPr>
                <w:rFonts w:asciiTheme="minorHAnsi" w:hAnsiTheme="minorHAnsi" w:cstheme="minorHAnsi"/>
                <w:b/>
              </w:rPr>
            </w:pPr>
            <w:r w:rsidRPr="002D56DB">
              <w:rPr>
                <w:rFonts w:asciiTheme="minorHAnsi" w:hAnsiTheme="minorHAnsi" w:cstheme="minorHAnsi"/>
                <w:b/>
              </w:rPr>
              <w:t>Setting in which resource is provided</w:t>
            </w:r>
          </w:p>
        </w:tc>
        <w:tc>
          <w:tcPr>
            <w:tcW w:w="600" w:type="pct"/>
            <w:vMerge w:val="restart"/>
            <w:shd w:val="clear" w:color="auto" w:fill="D6E3BC" w:themeFill="accent3" w:themeFillTint="66"/>
            <w:vAlign w:val="center"/>
          </w:tcPr>
          <w:p w14:paraId="7FEEAAF9" w14:textId="77777777" w:rsidR="004750DD" w:rsidRPr="002D56DB" w:rsidRDefault="004750DD" w:rsidP="00FE1712">
            <w:pPr>
              <w:pStyle w:val="TableText0"/>
              <w:keepNext w:val="0"/>
              <w:widowControl w:val="0"/>
              <w:spacing w:before="20" w:after="20"/>
              <w:rPr>
                <w:rFonts w:asciiTheme="minorHAnsi" w:hAnsiTheme="minorHAnsi" w:cstheme="minorHAnsi"/>
                <w:b/>
              </w:rPr>
            </w:pPr>
            <w:r w:rsidRPr="002D56DB">
              <w:rPr>
                <w:rFonts w:asciiTheme="minorHAnsi" w:hAnsiTheme="minorHAnsi" w:cstheme="minorHAnsi"/>
                <w:b/>
              </w:rPr>
              <w:t>Proportion of patients receiving resource</w:t>
            </w:r>
          </w:p>
        </w:tc>
        <w:tc>
          <w:tcPr>
            <w:tcW w:w="555" w:type="pct"/>
            <w:vMerge w:val="restart"/>
            <w:shd w:val="clear" w:color="auto" w:fill="D6E3BC" w:themeFill="accent3" w:themeFillTint="66"/>
            <w:vAlign w:val="center"/>
          </w:tcPr>
          <w:p w14:paraId="02221D61" w14:textId="77777777" w:rsidR="004750DD" w:rsidRPr="002D56DB" w:rsidRDefault="004750DD" w:rsidP="00FE1712">
            <w:pPr>
              <w:pStyle w:val="TableText0"/>
              <w:keepNext w:val="0"/>
              <w:widowControl w:val="0"/>
              <w:spacing w:before="20" w:after="20"/>
              <w:rPr>
                <w:rFonts w:asciiTheme="minorHAnsi" w:hAnsiTheme="minorHAnsi" w:cstheme="minorHAnsi"/>
                <w:b/>
              </w:rPr>
            </w:pPr>
            <w:r w:rsidRPr="002D56DB">
              <w:rPr>
                <w:rFonts w:asciiTheme="minorHAnsi" w:hAnsiTheme="minorHAnsi" w:cstheme="minorHAnsi"/>
                <w:b/>
              </w:rPr>
              <w:t>Number of units of resource per relevant time horizon per patient receiving resource</w:t>
            </w:r>
          </w:p>
        </w:tc>
        <w:tc>
          <w:tcPr>
            <w:tcW w:w="1894" w:type="pct"/>
            <w:gridSpan w:val="6"/>
            <w:shd w:val="clear" w:color="auto" w:fill="FBD4B4" w:themeFill="accent6" w:themeFillTint="66"/>
          </w:tcPr>
          <w:p w14:paraId="71CDBCB8" w14:textId="77777777" w:rsidR="004750DD" w:rsidRPr="002D56DB" w:rsidRDefault="004750DD" w:rsidP="00FE1712">
            <w:pPr>
              <w:pStyle w:val="TableText0"/>
              <w:keepNext w:val="0"/>
              <w:widowControl w:val="0"/>
              <w:spacing w:before="20" w:after="20"/>
              <w:rPr>
                <w:rFonts w:asciiTheme="minorHAnsi" w:hAnsiTheme="minorHAnsi" w:cstheme="minorHAnsi"/>
                <w:b/>
              </w:rPr>
            </w:pPr>
            <w:r w:rsidRPr="002D56DB">
              <w:rPr>
                <w:rFonts w:asciiTheme="minorHAnsi" w:hAnsiTheme="minorHAnsi" w:cstheme="minorHAnsi"/>
                <w:b/>
              </w:rPr>
              <w:t>Disaggregated unit cost</w:t>
            </w:r>
          </w:p>
        </w:tc>
      </w:tr>
      <w:tr w:rsidR="00B67B02" w:rsidRPr="002D56DB" w14:paraId="38A44A79" w14:textId="77777777" w:rsidTr="00B67B02">
        <w:trPr>
          <w:tblHeader/>
        </w:trPr>
        <w:tc>
          <w:tcPr>
            <w:tcW w:w="610" w:type="pct"/>
            <w:vMerge/>
            <w:shd w:val="clear" w:color="auto" w:fill="auto"/>
          </w:tcPr>
          <w:p w14:paraId="00E458C3" w14:textId="77777777" w:rsidR="004750DD" w:rsidRPr="002D56DB" w:rsidRDefault="004750DD" w:rsidP="00FE1712">
            <w:pPr>
              <w:pStyle w:val="TableText0"/>
              <w:keepNext w:val="0"/>
              <w:widowControl w:val="0"/>
              <w:spacing w:before="20" w:after="20"/>
              <w:rPr>
                <w:rFonts w:asciiTheme="minorHAnsi" w:hAnsiTheme="minorHAnsi" w:cstheme="minorHAnsi"/>
              </w:rPr>
            </w:pPr>
          </w:p>
        </w:tc>
        <w:tc>
          <w:tcPr>
            <w:tcW w:w="646" w:type="pct"/>
            <w:vMerge/>
            <w:shd w:val="clear" w:color="auto" w:fill="E5B8B7" w:themeFill="accent2" w:themeFillTint="66"/>
          </w:tcPr>
          <w:p w14:paraId="532DD016" w14:textId="77777777" w:rsidR="004750DD" w:rsidRPr="002D56DB" w:rsidRDefault="004750DD" w:rsidP="00FE1712">
            <w:pPr>
              <w:pStyle w:val="TableText0"/>
              <w:keepNext w:val="0"/>
              <w:widowControl w:val="0"/>
              <w:spacing w:before="20" w:after="20"/>
              <w:rPr>
                <w:rFonts w:asciiTheme="minorHAnsi" w:hAnsiTheme="minorHAnsi" w:cstheme="minorHAnsi"/>
                <w:b/>
              </w:rPr>
            </w:pPr>
          </w:p>
        </w:tc>
        <w:tc>
          <w:tcPr>
            <w:tcW w:w="695" w:type="pct"/>
            <w:vMerge/>
            <w:shd w:val="clear" w:color="auto" w:fill="E5B8B7" w:themeFill="accent2" w:themeFillTint="66"/>
          </w:tcPr>
          <w:p w14:paraId="1F94AC05" w14:textId="77777777" w:rsidR="004750DD" w:rsidRPr="002D56DB" w:rsidRDefault="004750DD" w:rsidP="00FE1712">
            <w:pPr>
              <w:pStyle w:val="TableText0"/>
              <w:keepNext w:val="0"/>
              <w:widowControl w:val="0"/>
              <w:spacing w:before="20" w:after="20"/>
              <w:rPr>
                <w:rFonts w:asciiTheme="minorHAnsi" w:hAnsiTheme="minorHAnsi" w:cstheme="minorHAnsi"/>
                <w:b/>
              </w:rPr>
            </w:pPr>
          </w:p>
        </w:tc>
        <w:tc>
          <w:tcPr>
            <w:tcW w:w="600" w:type="pct"/>
            <w:vMerge/>
            <w:shd w:val="clear" w:color="auto" w:fill="D6E3BC" w:themeFill="accent3" w:themeFillTint="66"/>
          </w:tcPr>
          <w:p w14:paraId="2597FA75" w14:textId="77777777" w:rsidR="004750DD" w:rsidRPr="002D56DB" w:rsidRDefault="004750DD" w:rsidP="00FE1712">
            <w:pPr>
              <w:pStyle w:val="TableText0"/>
              <w:keepNext w:val="0"/>
              <w:widowControl w:val="0"/>
              <w:spacing w:before="20" w:after="20"/>
              <w:rPr>
                <w:rFonts w:asciiTheme="minorHAnsi" w:hAnsiTheme="minorHAnsi" w:cstheme="minorHAnsi"/>
                <w:b/>
              </w:rPr>
            </w:pPr>
          </w:p>
        </w:tc>
        <w:tc>
          <w:tcPr>
            <w:tcW w:w="555" w:type="pct"/>
            <w:vMerge/>
            <w:shd w:val="clear" w:color="auto" w:fill="D6E3BC" w:themeFill="accent3" w:themeFillTint="66"/>
          </w:tcPr>
          <w:p w14:paraId="52702EA6" w14:textId="77777777" w:rsidR="004750DD" w:rsidRPr="002D56DB" w:rsidRDefault="004750DD" w:rsidP="00FE1712">
            <w:pPr>
              <w:pStyle w:val="TableText0"/>
              <w:keepNext w:val="0"/>
              <w:widowControl w:val="0"/>
              <w:spacing w:before="20" w:after="20"/>
              <w:rPr>
                <w:rFonts w:asciiTheme="minorHAnsi" w:hAnsiTheme="minorHAnsi" w:cstheme="minorHAnsi"/>
                <w:b/>
              </w:rPr>
            </w:pPr>
          </w:p>
        </w:tc>
        <w:tc>
          <w:tcPr>
            <w:tcW w:w="693" w:type="pct"/>
            <w:shd w:val="clear" w:color="auto" w:fill="FBD4B4" w:themeFill="accent6" w:themeFillTint="66"/>
            <w:vAlign w:val="center"/>
          </w:tcPr>
          <w:p w14:paraId="34BA6F78" w14:textId="77777777" w:rsidR="004750DD" w:rsidRPr="002D56DB" w:rsidRDefault="004750DD" w:rsidP="00FE1712">
            <w:pPr>
              <w:pStyle w:val="TableText0"/>
              <w:keepNext w:val="0"/>
              <w:widowControl w:val="0"/>
              <w:spacing w:before="20" w:after="20"/>
              <w:rPr>
                <w:rFonts w:asciiTheme="minorHAnsi" w:hAnsiTheme="minorHAnsi" w:cstheme="minorHAnsi"/>
                <w:b/>
              </w:rPr>
            </w:pPr>
            <w:r w:rsidRPr="002D56DB">
              <w:rPr>
                <w:rFonts w:asciiTheme="minorHAnsi" w:hAnsiTheme="minorHAnsi" w:cstheme="minorHAnsi"/>
                <w:b/>
              </w:rPr>
              <w:t>MBS</w:t>
            </w:r>
          </w:p>
        </w:tc>
        <w:tc>
          <w:tcPr>
            <w:tcW w:w="185" w:type="pct"/>
            <w:shd w:val="clear" w:color="auto" w:fill="FBD4B4" w:themeFill="accent6" w:themeFillTint="66"/>
            <w:vAlign w:val="center"/>
          </w:tcPr>
          <w:p w14:paraId="6F532E46" w14:textId="77777777" w:rsidR="004750DD" w:rsidRPr="002D56DB" w:rsidRDefault="004750DD" w:rsidP="00FE1712">
            <w:pPr>
              <w:pStyle w:val="TableText0"/>
              <w:keepNext w:val="0"/>
              <w:widowControl w:val="0"/>
              <w:spacing w:before="20" w:after="20"/>
              <w:rPr>
                <w:rFonts w:asciiTheme="minorHAnsi" w:hAnsiTheme="minorHAnsi" w:cstheme="minorHAnsi"/>
                <w:b/>
              </w:rPr>
            </w:pPr>
            <w:r w:rsidRPr="002D56DB">
              <w:rPr>
                <w:rFonts w:asciiTheme="minorHAnsi" w:hAnsiTheme="minorHAnsi" w:cstheme="minorHAnsi"/>
                <w:b/>
              </w:rPr>
              <w:t>Safety nets*</w:t>
            </w:r>
          </w:p>
        </w:tc>
        <w:tc>
          <w:tcPr>
            <w:tcW w:w="323" w:type="pct"/>
            <w:shd w:val="clear" w:color="auto" w:fill="FBD4B4" w:themeFill="accent6" w:themeFillTint="66"/>
            <w:vAlign w:val="center"/>
          </w:tcPr>
          <w:p w14:paraId="652331E8" w14:textId="77777777" w:rsidR="004750DD" w:rsidRPr="002D56DB" w:rsidRDefault="004750DD" w:rsidP="00FE1712">
            <w:pPr>
              <w:pStyle w:val="TableText0"/>
              <w:keepNext w:val="0"/>
              <w:widowControl w:val="0"/>
              <w:spacing w:before="20" w:after="20"/>
              <w:rPr>
                <w:rFonts w:asciiTheme="minorHAnsi" w:hAnsiTheme="minorHAnsi" w:cstheme="minorHAnsi"/>
                <w:b/>
              </w:rPr>
            </w:pPr>
            <w:r w:rsidRPr="002D56DB">
              <w:rPr>
                <w:rFonts w:asciiTheme="minorHAnsi" w:hAnsiTheme="minorHAnsi" w:cstheme="minorHAnsi"/>
                <w:b/>
              </w:rPr>
              <w:t>Other government budget</w:t>
            </w:r>
          </w:p>
        </w:tc>
        <w:tc>
          <w:tcPr>
            <w:tcW w:w="231" w:type="pct"/>
            <w:shd w:val="clear" w:color="auto" w:fill="FBD4B4" w:themeFill="accent6" w:themeFillTint="66"/>
            <w:vAlign w:val="center"/>
          </w:tcPr>
          <w:p w14:paraId="123E8280" w14:textId="77777777" w:rsidR="004750DD" w:rsidRPr="002D56DB" w:rsidRDefault="004750DD" w:rsidP="00FE1712">
            <w:pPr>
              <w:pStyle w:val="TableText0"/>
              <w:keepNext w:val="0"/>
              <w:widowControl w:val="0"/>
              <w:spacing w:before="20" w:after="20"/>
              <w:rPr>
                <w:rFonts w:asciiTheme="minorHAnsi" w:hAnsiTheme="minorHAnsi" w:cstheme="minorHAnsi"/>
                <w:b/>
              </w:rPr>
            </w:pPr>
            <w:r w:rsidRPr="002D56DB">
              <w:rPr>
                <w:rFonts w:asciiTheme="minorHAnsi" w:hAnsiTheme="minorHAnsi" w:cstheme="minorHAnsi"/>
                <w:b/>
              </w:rPr>
              <w:t>Private health insurer</w:t>
            </w:r>
          </w:p>
        </w:tc>
        <w:tc>
          <w:tcPr>
            <w:tcW w:w="231" w:type="pct"/>
            <w:shd w:val="clear" w:color="auto" w:fill="FBD4B4" w:themeFill="accent6" w:themeFillTint="66"/>
            <w:vAlign w:val="center"/>
          </w:tcPr>
          <w:p w14:paraId="03212D97" w14:textId="77777777" w:rsidR="004750DD" w:rsidRPr="002D56DB" w:rsidRDefault="004750DD" w:rsidP="00FE1712">
            <w:pPr>
              <w:pStyle w:val="TableText0"/>
              <w:keepNext w:val="0"/>
              <w:widowControl w:val="0"/>
              <w:spacing w:before="20" w:after="20"/>
              <w:rPr>
                <w:rFonts w:asciiTheme="minorHAnsi" w:hAnsiTheme="minorHAnsi" w:cstheme="minorHAnsi"/>
                <w:b/>
              </w:rPr>
            </w:pPr>
            <w:r w:rsidRPr="002D56DB">
              <w:rPr>
                <w:rFonts w:asciiTheme="minorHAnsi" w:hAnsiTheme="minorHAnsi" w:cstheme="minorHAnsi"/>
                <w:b/>
              </w:rPr>
              <w:t>Patient</w:t>
            </w:r>
          </w:p>
        </w:tc>
        <w:tc>
          <w:tcPr>
            <w:tcW w:w="231" w:type="pct"/>
            <w:shd w:val="clear" w:color="auto" w:fill="FBD4B4" w:themeFill="accent6" w:themeFillTint="66"/>
            <w:vAlign w:val="center"/>
          </w:tcPr>
          <w:p w14:paraId="2ADE991A" w14:textId="77777777" w:rsidR="004750DD" w:rsidRPr="002D56DB" w:rsidRDefault="004750DD" w:rsidP="00FE1712">
            <w:pPr>
              <w:pStyle w:val="TableText0"/>
              <w:keepNext w:val="0"/>
              <w:widowControl w:val="0"/>
              <w:spacing w:before="20" w:after="20"/>
              <w:rPr>
                <w:rFonts w:asciiTheme="minorHAnsi" w:hAnsiTheme="minorHAnsi" w:cstheme="minorHAnsi"/>
                <w:b/>
              </w:rPr>
            </w:pPr>
            <w:r w:rsidRPr="002D56DB">
              <w:rPr>
                <w:rFonts w:asciiTheme="minorHAnsi" w:hAnsiTheme="minorHAnsi" w:cstheme="minorHAnsi"/>
                <w:b/>
              </w:rPr>
              <w:t>Total cost</w:t>
            </w:r>
          </w:p>
        </w:tc>
      </w:tr>
      <w:tr w:rsidR="004750DD" w:rsidRPr="002D56DB" w14:paraId="05F5E7D0" w14:textId="77777777" w:rsidTr="00FE1712">
        <w:tc>
          <w:tcPr>
            <w:tcW w:w="5000" w:type="pct"/>
            <w:gridSpan w:val="11"/>
            <w:shd w:val="clear" w:color="auto" w:fill="auto"/>
            <w:vAlign w:val="center"/>
          </w:tcPr>
          <w:p w14:paraId="11C9CE24" w14:textId="732F17B7" w:rsidR="004750DD" w:rsidRPr="002D56DB" w:rsidRDefault="004750DD" w:rsidP="00FE1712">
            <w:pPr>
              <w:pStyle w:val="TableText0"/>
              <w:keepNext w:val="0"/>
              <w:widowControl w:val="0"/>
              <w:spacing w:before="20" w:after="20"/>
              <w:rPr>
                <w:rFonts w:asciiTheme="minorHAnsi" w:hAnsiTheme="minorHAnsi" w:cstheme="minorHAnsi"/>
                <w:b/>
                <w:i/>
              </w:rPr>
            </w:pPr>
            <w:r w:rsidRPr="002D56DB">
              <w:rPr>
                <w:rFonts w:asciiTheme="minorHAnsi" w:hAnsiTheme="minorHAnsi" w:cstheme="minorHAnsi"/>
                <w:b/>
                <w:i/>
              </w:rPr>
              <w:t xml:space="preserve">Resources provided to identify eligible population </w:t>
            </w:r>
            <w:r w:rsidR="00E741CD">
              <w:rPr>
                <w:rFonts w:asciiTheme="minorHAnsi" w:hAnsiTheme="minorHAnsi" w:cstheme="minorHAnsi"/>
                <w:b/>
                <w:i/>
              </w:rPr>
              <w:t xml:space="preserve"> - these are the same for the proposed service and the comparator</w:t>
            </w:r>
          </w:p>
        </w:tc>
      </w:tr>
      <w:tr w:rsidR="00B67B02" w:rsidRPr="002D56DB" w14:paraId="0BD8DD2F" w14:textId="77777777" w:rsidTr="00B67B02">
        <w:tc>
          <w:tcPr>
            <w:tcW w:w="610" w:type="pct"/>
            <w:shd w:val="clear" w:color="auto" w:fill="auto"/>
          </w:tcPr>
          <w:p w14:paraId="45CADAE6" w14:textId="59E396A1" w:rsidR="00BC402D" w:rsidRPr="002D56DB" w:rsidRDefault="00BC402D" w:rsidP="00FE1712">
            <w:pPr>
              <w:pStyle w:val="TableText0"/>
              <w:keepNext w:val="0"/>
              <w:widowControl w:val="0"/>
              <w:spacing w:before="20" w:after="20"/>
              <w:rPr>
                <w:rFonts w:asciiTheme="minorHAnsi" w:hAnsiTheme="minorHAnsi" w:cstheme="minorHAnsi"/>
                <w:vertAlign w:val="superscript"/>
              </w:rPr>
            </w:pPr>
            <w:r w:rsidRPr="002D56DB">
              <w:rPr>
                <w:rFonts w:asciiTheme="minorHAnsi" w:hAnsiTheme="minorHAnsi" w:cstheme="minorHAnsi"/>
              </w:rPr>
              <w:t>Brain imaging (e.g. CT, MRI)</w:t>
            </w:r>
          </w:p>
        </w:tc>
        <w:tc>
          <w:tcPr>
            <w:tcW w:w="646" w:type="pct"/>
            <w:shd w:val="clear" w:color="auto" w:fill="E5B8B7" w:themeFill="accent2" w:themeFillTint="66"/>
          </w:tcPr>
          <w:p w14:paraId="123C7636" w14:textId="0B1672A3" w:rsidR="00BC402D" w:rsidRPr="002D56DB" w:rsidRDefault="00BC402D"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Private or Public Hospital</w:t>
            </w:r>
          </w:p>
        </w:tc>
        <w:tc>
          <w:tcPr>
            <w:tcW w:w="695" w:type="pct"/>
            <w:shd w:val="clear" w:color="auto" w:fill="E5B8B7" w:themeFill="accent2" w:themeFillTint="66"/>
          </w:tcPr>
          <w:p w14:paraId="348FA220" w14:textId="77388A03" w:rsidR="00BC402D" w:rsidRPr="002D56DB" w:rsidRDefault="00BC402D"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Radiology clinic/department</w:t>
            </w:r>
          </w:p>
        </w:tc>
        <w:tc>
          <w:tcPr>
            <w:tcW w:w="600" w:type="pct"/>
            <w:shd w:val="clear" w:color="auto" w:fill="D6E3BC" w:themeFill="accent3" w:themeFillTint="66"/>
          </w:tcPr>
          <w:p w14:paraId="054B7B6C" w14:textId="4F139B23" w:rsidR="00BC402D" w:rsidRPr="002D56DB" w:rsidRDefault="00BC402D"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100%</w:t>
            </w:r>
          </w:p>
        </w:tc>
        <w:tc>
          <w:tcPr>
            <w:tcW w:w="555" w:type="pct"/>
            <w:vMerge w:val="restart"/>
            <w:shd w:val="clear" w:color="auto" w:fill="D6E3BC" w:themeFill="accent3" w:themeFillTint="66"/>
          </w:tcPr>
          <w:p w14:paraId="3BCA90E3" w14:textId="0A140735" w:rsidR="00BC402D" w:rsidRPr="002D56DB" w:rsidRDefault="00BC402D"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 xml:space="preserve">Generally one-off </w:t>
            </w:r>
          </w:p>
        </w:tc>
        <w:tc>
          <w:tcPr>
            <w:tcW w:w="693" w:type="pct"/>
            <w:shd w:val="clear" w:color="auto" w:fill="FBD4B4" w:themeFill="accent6" w:themeFillTint="66"/>
          </w:tcPr>
          <w:p w14:paraId="21784F30" w14:textId="77777777" w:rsidR="00BC402D" w:rsidRPr="002D56DB" w:rsidRDefault="00BC402D"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CT: 56001 $195.05</w:t>
            </w:r>
          </w:p>
          <w:p w14:paraId="65252636" w14:textId="1F829DC3" w:rsidR="00BC402D" w:rsidRPr="002D56DB" w:rsidRDefault="00BC402D"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MRI: 63064 $403.20</w:t>
            </w:r>
          </w:p>
        </w:tc>
        <w:tc>
          <w:tcPr>
            <w:tcW w:w="185" w:type="pct"/>
            <w:shd w:val="clear" w:color="auto" w:fill="FBD4B4" w:themeFill="accent6" w:themeFillTint="66"/>
          </w:tcPr>
          <w:p w14:paraId="5D37C5F9" w14:textId="77777777" w:rsidR="00BC402D" w:rsidRPr="002D56DB" w:rsidRDefault="00BC402D" w:rsidP="00FE1712">
            <w:pPr>
              <w:pStyle w:val="TableText0"/>
              <w:keepNext w:val="0"/>
              <w:widowControl w:val="0"/>
              <w:spacing w:before="20" w:after="20"/>
              <w:rPr>
                <w:rFonts w:asciiTheme="minorHAnsi" w:hAnsiTheme="minorHAnsi" w:cstheme="minorHAnsi"/>
              </w:rPr>
            </w:pPr>
          </w:p>
        </w:tc>
        <w:tc>
          <w:tcPr>
            <w:tcW w:w="323" w:type="pct"/>
            <w:shd w:val="clear" w:color="auto" w:fill="FBD4B4" w:themeFill="accent6" w:themeFillTint="66"/>
          </w:tcPr>
          <w:p w14:paraId="3FB2D1ED" w14:textId="77777777" w:rsidR="00BC402D" w:rsidRPr="002D56DB" w:rsidRDefault="00BC402D"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4A2C3D39" w14:textId="77777777" w:rsidR="00BC402D" w:rsidRPr="002D56DB" w:rsidRDefault="00BC402D"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1E35A287" w14:textId="77777777" w:rsidR="00BC402D" w:rsidRPr="002D56DB" w:rsidRDefault="00BC402D"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0AA8E153" w14:textId="77777777" w:rsidR="00BC402D" w:rsidRPr="002D56DB" w:rsidRDefault="00BC402D" w:rsidP="00FE1712">
            <w:pPr>
              <w:pStyle w:val="TableText0"/>
              <w:keepNext w:val="0"/>
              <w:widowControl w:val="0"/>
              <w:spacing w:before="20" w:after="20"/>
              <w:rPr>
                <w:rFonts w:asciiTheme="minorHAnsi" w:hAnsiTheme="minorHAnsi" w:cstheme="minorHAnsi"/>
              </w:rPr>
            </w:pPr>
          </w:p>
        </w:tc>
      </w:tr>
      <w:tr w:rsidR="00B67B02" w:rsidRPr="002D56DB" w14:paraId="4415D198" w14:textId="77777777" w:rsidTr="00B67B02">
        <w:tc>
          <w:tcPr>
            <w:tcW w:w="610" w:type="pct"/>
            <w:shd w:val="clear" w:color="auto" w:fill="auto"/>
          </w:tcPr>
          <w:p w14:paraId="362B8B2D" w14:textId="01EC6A79" w:rsidR="00BC402D" w:rsidRPr="002D56DB" w:rsidRDefault="00BC402D"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12-lead ECG for AF detection</w:t>
            </w:r>
          </w:p>
        </w:tc>
        <w:tc>
          <w:tcPr>
            <w:tcW w:w="646" w:type="pct"/>
            <w:shd w:val="clear" w:color="auto" w:fill="E5B8B7" w:themeFill="accent2" w:themeFillTint="66"/>
          </w:tcPr>
          <w:p w14:paraId="3F870E1F" w14:textId="73B88ADA" w:rsidR="00BC402D" w:rsidRPr="002D56DB" w:rsidRDefault="00BC402D"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Private or Public Hospital</w:t>
            </w:r>
          </w:p>
        </w:tc>
        <w:tc>
          <w:tcPr>
            <w:tcW w:w="695" w:type="pct"/>
            <w:shd w:val="clear" w:color="auto" w:fill="E5B8B7" w:themeFill="accent2" w:themeFillTint="66"/>
          </w:tcPr>
          <w:p w14:paraId="3B358DC2" w14:textId="110D59B3" w:rsidR="00BC402D" w:rsidRPr="002D56DB" w:rsidRDefault="00BC402D"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Stroke service</w:t>
            </w:r>
          </w:p>
        </w:tc>
        <w:tc>
          <w:tcPr>
            <w:tcW w:w="600" w:type="pct"/>
            <w:shd w:val="clear" w:color="auto" w:fill="D6E3BC" w:themeFill="accent3" w:themeFillTint="66"/>
          </w:tcPr>
          <w:p w14:paraId="108C24CB" w14:textId="5273ECDF" w:rsidR="00BC402D" w:rsidRPr="002D56DB" w:rsidRDefault="00BC402D"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100%</w:t>
            </w:r>
          </w:p>
        </w:tc>
        <w:tc>
          <w:tcPr>
            <w:tcW w:w="555" w:type="pct"/>
            <w:vMerge/>
            <w:shd w:val="clear" w:color="auto" w:fill="D6E3BC" w:themeFill="accent3" w:themeFillTint="66"/>
          </w:tcPr>
          <w:p w14:paraId="6B6C4700" w14:textId="77777777" w:rsidR="00BC402D" w:rsidRPr="002D56DB" w:rsidRDefault="00BC402D" w:rsidP="00FE1712">
            <w:pPr>
              <w:pStyle w:val="TableText0"/>
              <w:keepNext w:val="0"/>
              <w:widowControl w:val="0"/>
              <w:spacing w:before="20" w:after="20"/>
              <w:rPr>
                <w:rFonts w:asciiTheme="minorHAnsi" w:hAnsiTheme="minorHAnsi" w:cstheme="minorHAnsi"/>
              </w:rPr>
            </w:pPr>
          </w:p>
        </w:tc>
        <w:tc>
          <w:tcPr>
            <w:tcW w:w="693" w:type="pct"/>
            <w:shd w:val="clear" w:color="auto" w:fill="FBD4B4" w:themeFill="accent6" w:themeFillTint="66"/>
          </w:tcPr>
          <w:p w14:paraId="33ECC13D" w14:textId="1051ED4B" w:rsidR="00BC402D" w:rsidRPr="002D56DB" w:rsidRDefault="00BC402D"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11700</w:t>
            </w:r>
            <w:r w:rsidR="00815817" w:rsidRPr="002D56DB">
              <w:rPr>
                <w:rFonts w:asciiTheme="minorHAnsi" w:hAnsiTheme="minorHAnsi" w:cstheme="minorHAnsi"/>
              </w:rPr>
              <w:t>:</w:t>
            </w:r>
            <w:r w:rsidRPr="002D56DB">
              <w:rPr>
                <w:rFonts w:asciiTheme="minorHAnsi" w:hAnsiTheme="minorHAnsi" w:cstheme="minorHAnsi"/>
              </w:rPr>
              <w:t xml:space="preserve"> $31.25</w:t>
            </w:r>
          </w:p>
        </w:tc>
        <w:tc>
          <w:tcPr>
            <w:tcW w:w="185" w:type="pct"/>
            <w:shd w:val="clear" w:color="auto" w:fill="FBD4B4" w:themeFill="accent6" w:themeFillTint="66"/>
          </w:tcPr>
          <w:p w14:paraId="1CBE0CEA" w14:textId="77777777" w:rsidR="00BC402D" w:rsidRPr="002D56DB" w:rsidRDefault="00BC402D" w:rsidP="00FE1712">
            <w:pPr>
              <w:pStyle w:val="TableText0"/>
              <w:keepNext w:val="0"/>
              <w:widowControl w:val="0"/>
              <w:spacing w:before="20" w:after="20"/>
              <w:rPr>
                <w:rFonts w:asciiTheme="minorHAnsi" w:hAnsiTheme="minorHAnsi" w:cstheme="minorHAnsi"/>
              </w:rPr>
            </w:pPr>
          </w:p>
        </w:tc>
        <w:tc>
          <w:tcPr>
            <w:tcW w:w="323" w:type="pct"/>
            <w:shd w:val="clear" w:color="auto" w:fill="FBD4B4" w:themeFill="accent6" w:themeFillTint="66"/>
          </w:tcPr>
          <w:p w14:paraId="420238FC" w14:textId="77777777" w:rsidR="00BC402D" w:rsidRPr="002D56DB" w:rsidRDefault="00BC402D"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6A50FC6D" w14:textId="77777777" w:rsidR="00BC402D" w:rsidRPr="002D56DB" w:rsidRDefault="00BC402D"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3FF0DC7B" w14:textId="77777777" w:rsidR="00BC402D" w:rsidRPr="002D56DB" w:rsidRDefault="00BC402D"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16473054" w14:textId="77777777" w:rsidR="00BC402D" w:rsidRPr="002D56DB" w:rsidRDefault="00BC402D" w:rsidP="00FE1712">
            <w:pPr>
              <w:pStyle w:val="TableText0"/>
              <w:keepNext w:val="0"/>
              <w:widowControl w:val="0"/>
              <w:spacing w:before="20" w:after="20"/>
              <w:rPr>
                <w:rFonts w:asciiTheme="minorHAnsi" w:hAnsiTheme="minorHAnsi" w:cstheme="minorHAnsi"/>
              </w:rPr>
            </w:pPr>
          </w:p>
        </w:tc>
      </w:tr>
      <w:tr w:rsidR="00B67B02" w:rsidRPr="002D56DB" w14:paraId="2284B956" w14:textId="77777777" w:rsidTr="00B67B02">
        <w:tc>
          <w:tcPr>
            <w:tcW w:w="610" w:type="pct"/>
            <w:shd w:val="clear" w:color="auto" w:fill="auto"/>
          </w:tcPr>
          <w:p w14:paraId="600C52D1" w14:textId="4745EADB" w:rsidR="00BC402D" w:rsidRPr="002D56DB" w:rsidRDefault="00513E6E"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 xml:space="preserve">Ambulatory ECG monitoring </w:t>
            </w:r>
            <w:r w:rsidR="00BC402D" w:rsidRPr="002D56DB">
              <w:rPr>
                <w:rFonts w:asciiTheme="minorHAnsi" w:hAnsiTheme="minorHAnsi" w:cstheme="minorHAnsi"/>
              </w:rPr>
              <w:t>(</w:t>
            </w:r>
            <w:proofErr w:type="spellStart"/>
            <w:r w:rsidR="00BC402D" w:rsidRPr="002D56DB">
              <w:rPr>
                <w:rFonts w:asciiTheme="minorHAnsi" w:hAnsiTheme="minorHAnsi" w:cstheme="minorHAnsi"/>
              </w:rPr>
              <w:t>eg</w:t>
            </w:r>
            <w:proofErr w:type="spellEnd"/>
            <w:r w:rsidR="00BC402D" w:rsidRPr="002D56DB">
              <w:rPr>
                <w:rFonts w:asciiTheme="minorHAnsi" w:hAnsiTheme="minorHAnsi" w:cstheme="minorHAnsi"/>
              </w:rPr>
              <w:t xml:space="preserve">, </w:t>
            </w:r>
            <w:proofErr w:type="spellStart"/>
            <w:r w:rsidR="00BC402D" w:rsidRPr="002D56DB">
              <w:rPr>
                <w:rFonts w:asciiTheme="minorHAnsi" w:hAnsiTheme="minorHAnsi" w:cstheme="minorHAnsi"/>
              </w:rPr>
              <w:t>Holter</w:t>
            </w:r>
            <w:proofErr w:type="spellEnd"/>
            <w:r w:rsidR="00BC402D" w:rsidRPr="002D56DB">
              <w:rPr>
                <w:rFonts w:asciiTheme="minorHAnsi" w:hAnsiTheme="minorHAnsi" w:cstheme="minorHAnsi"/>
              </w:rPr>
              <w:t>)</w:t>
            </w:r>
          </w:p>
        </w:tc>
        <w:tc>
          <w:tcPr>
            <w:tcW w:w="646" w:type="pct"/>
            <w:shd w:val="clear" w:color="auto" w:fill="E5B8B7" w:themeFill="accent2" w:themeFillTint="66"/>
          </w:tcPr>
          <w:p w14:paraId="53D20340" w14:textId="3074E869" w:rsidR="00BC402D" w:rsidRPr="002D56DB" w:rsidRDefault="00513E6E"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 xml:space="preserve">Private or Public Hospital, cardiologist / neurologist </w:t>
            </w:r>
          </w:p>
        </w:tc>
        <w:tc>
          <w:tcPr>
            <w:tcW w:w="695" w:type="pct"/>
            <w:shd w:val="clear" w:color="auto" w:fill="E5B8B7" w:themeFill="accent2" w:themeFillTint="66"/>
          </w:tcPr>
          <w:p w14:paraId="3AD39A99" w14:textId="0D4C9380" w:rsidR="00BC402D" w:rsidRPr="002D56DB" w:rsidRDefault="00513E6E"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Stroke service</w:t>
            </w:r>
          </w:p>
        </w:tc>
        <w:tc>
          <w:tcPr>
            <w:tcW w:w="600" w:type="pct"/>
            <w:shd w:val="clear" w:color="auto" w:fill="D6E3BC" w:themeFill="accent3" w:themeFillTint="66"/>
          </w:tcPr>
          <w:p w14:paraId="62DEAC15" w14:textId="1E676C4D" w:rsidR="00BC402D" w:rsidRPr="002D56DB" w:rsidRDefault="00513E6E"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100%</w:t>
            </w:r>
          </w:p>
        </w:tc>
        <w:tc>
          <w:tcPr>
            <w:tcW w:w="555" w:type="pct"/>
            <w:vMerge/>
            <w:shd w:val="clear" w:color="auto" w:fill="D6E3BC" w:themeFill="accent3" w:themeFillTint="66"/>
          </w:tcPr>
          <w:p w14:paraId="137C8CEE" w14:textId="77777777" w:rsidR="00BC402D" w:rsidRPr="002D56DB" w:rsidRDefault="00BC402D" w:rsidP="00FE1712">
            <w:pPr>
              <w:pStyle w:val="TableText0"/>
              <w:keepNext w:val="0"/>
              <w:widowControl w:val="0"/>
              <w:spacing w:before="20" w:after="20"/>
              <w:rPr>
                <w:rFonts w:asciiTheme="minorHAnsi" w:hAnsiTheme="minorHAnsi" w:cstheme="minorHAnsi"/>
              </w:rPr>
            </w:pPr>
          </w:p>
        </w:tc>
        <w:tc>
          <w:tcPr>
            <w:tcW w:w="693" w:type="pct"/>
            <w:shd w:val="clear" w:color="auto" w:fill="FBD4B4" w:themeFill="accent6" w:themeFillTint="66"/>
          </w:tcPr>
          <w:p w14:paraId="2C373E22" w14:textId="41139F61" w:rsidR="00BC402D" w:rsidRPr="002D56DB" w:rsidRDefault="00513E6E"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11708-11711</w:t>
            </w:r>
            <w:r w:rsidR="00815817" w:rsidRPr="002D56DB">
              <w:rPr>
                <w:rFonts w:asciiTheme="minorHAnsi" w:hAnsiTheme="minorHAnsi" w:cstheme="minorHAnsi"/>
              </w:rPr>
              <w:t xml:space="preserve">: </w:t>
            </w:r>
            <w:r w:rsidRPr="002D56DB">
              <w:rPr>
                <w:rFonts w:asciiTheme="minorHAnsi" w:hAnsiTheme="minorHAnsi" w:cstheme="minorHAnsi"/>
              </w:rPr>
              <w:t xml:space="preserve">$28.30 - $167.45 (see </w:t>
            </w:r>
            <w:r w:rsidRPr="002D56DB">
              <w:rPr>
                <w:rFonts w:asciiTheme="minorHAnsi" w:hAnsiTheme="minorHAnsi" w:cstheme="minorHAnsi"/>
              </w:rPr>
              <w:fldChar w:fldCharType="begin"/>
            </w:r>
            <w:r w:rsidRPr="002D56DB">
              <w:rPr>
                <w:rFonts w:asciiTheme="minorHAnsi" w:hAnsiTheme="minorHAnsi" w:cstheme="minorHAnsi"/>
              </w:rPr>
              <w:instrText xml:space="preserve"> REF _Ref442864874 \h </w:instrText>
            </w:r>
            <w:r w:rsidR="002D56DB">
              <w:rPr>
                <w:rFonts w:asciiTheme="minorHAnsi" w:hAnsiTheme="minorHAnsi" w:cstheme="minorHAnsi"/>
              </w:rPr>
              <w:instrText xml:space="preserve"> \* MERGEFORMAT </w:instrText>
            </w:r>
            <w:r w:rsidRPr="002D56DB">
              <w:rPr>
                <w:rFonts w:asciiTheme="minorHAnsi" w:hAnsiTheme="minorHAnsi" w:cstheme="minorHAnsi"/>
              </w:rPr>
            </w:r>
            <w:r w:rsidRPr="002D56DB">
              <w:rPr>
                <w:rFonts w:asciiTheme="minorHAnsi" w:hAnsiTheme="minorHAnsi" w:cstheme="minorHAnsi"/>
              </w:rPr>
              <w:fldChar w:fldCharType="separate"/>
            </w:r>
            <w:r w:rsidR="003D08CA" w:rsidRPr="002D56DB">
              <w:rPr>
                <w:rFonts w:asciiTheme="minorHAnsi" w:hAnsiTheme="minorHAnsi" w:cstheme="minorHAnsi"/>
              </w:rPr>
              <w:t xml:space="preserve">Table </w:t>
            </w:r>
            <w:r w:rsidR="003D08CA" w:rsidRPr="002D56DB">
              <w:rPr>
                <w:rFonts w:asciiTheme="minorHAnsi" w:hAnsiTheme="minorHAnsi" w:cstheme="minorHAnsi"/>
                <w:noProof/>
              </w:rPr>
              <w:t>7</w:t>
            </w:r>
            <w:r w:rsidRPr="002D56DB">
              <w:rPr>
                <w:rFonts w:asciiTheme="minorHAnsi" w:hAnsiTheme="minorHAnsi" w:cstheme="minorHAnsi"/>
              </w:rPr>
              <w:fldChar w:fldCharType="end"/>
            </w:r>
            <w:r w:rsidRPr="002D56DB">
              <w:rPr>
                <w:rFonts w:asciiTheme="minorHAnsi" w:hAnsiTheme="minorHAnsi" w:cstheme="minorHAnsi"/>
              </w:rPr>
              <w:t xml:space="preserve">)   </w:t>
            </w:r>
          </w:p>
        </w:tc>
        <w:tc>
          <w:tcPr>
            <w:tcW w:w="185" w:type="pct"/>
            <w:shd w:val="clear" w:color="auto" w:fill="FBD4B4" w:themeFill="accent6" w:themeFillTint="66"/>
          </w:tcPr>
          <w:p w14:paraId="5E57769E" w14:textId="77777777" w:rsidR="00BC402D" w:rsidRPr="002D56DB" w:rsidRDefault="00BC402D" w:rsidP="00FE1712">
            <w:pPr>
              <w:pStyle w:val="TableText0"/>
              <w:keepNext w:val="0"/>
              <w:widowControl w:val="0"/>
              <w:spacing w:before="20" w:after="20"/>
              <w:rPr>
                <w:rFonts w:asciiTheme="minorHAnsi" w:hAnsiTheme="minorHAnsi" w:cstheme="minorHAnsi"/>
              </w:rPr>
            </w:pPr>
          </w:p>
        </w:tc>
        <w:tc>
          <w:tcPr>
            <w:tcW w:w="323" w:type="pct"/>
            <w:shd w:val="clear" w:color="auto" w:fill="FBD4B4" w:themeFill="accent6" w:themeFillTint="66"/>
          </w:tcPr>
          <w:p w14:paraId="5C6E6430" w14:textId="77777777" w:rsidR="00BC402D" w:rsidRPr="002D56DB" w:rsidRDefault="00BC402D"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120668A5" w14:textId="77777777" w:rsidR="00BC402D" w:rsidRPr="002D56DB" w:rsidRDefault="00BC402D"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1AE9484D" w14:textId="77777777" w:rsidR="00BC402D" w:rsidRPr="002D56DB" w:rsidRDefault="00BC402D"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02877AF5" w14:textId="77777777" w:rsidR="00BC402D" w:rsidRPr="002D56DB" w:rsidRDefault="00BC402D" w:rsidP="00FE1712">
            <w:pPr>
              <w:pStyle w:val="TableText0"/>
              <w:keepNext w:val="0"/>
              <w:widowControl w:val="0"/>
              <w:spacing w:before="20" w:after="20"/>
              <w:rPr>
                <w:rFonts w:asciiTheme="minorHAnsi" w:hAnsiTheme="minorHAnsi" w:cstheme="minorHAnsi"/>
              </w:rPr>
            </w:pPr>
          </w:p>
        </w:tc>
      </w:tr>
      <w:tr w:rsidR="00B67B02" w:rsidRPr="002D56DB" w14:paraId="54F07BAE" w14:textId="77777777" w:rsidTr="00B67B02">
        <w:tc>
          <w:tcPr>
            <w:tcW w:w="610" w:type="pct"/>
            <w:shd w:val="clear" w:color="auto" w:fill="auto"/>
          </w:tcPr>
          <w:p w14:paraId="17CFEAEE" w14:textId="12598ECC" w:rsidR="00BC402D" w:rsidRPr="002D56DB" w:rsidRDefault="00BC402D"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Brain and carotid imaging (e.g. CTA, MRA</w:t>
            </w:r>
            <w:r w:rsidR="00D572C8">
              <w:rPr>
                <w:rFonts w:asciiTheme="minorHAnsi" w:hAnsiTheme="minorHAnsi" w:cstheme="minorHAnsi"/>
              </w:rPr>
              <w:t>, TTE, TEO)</w:t>
            </w:r>
          </w:p>
        </w:tc>
        <w:tc>
          <w:tcPr>
            <w:tcW w:w="646" w:type="pct"/>
            <w:shd w:val="clear" w:color="auto" w:fill="E5B8B7" w:themeFill="accent2" w:themeFillTint="66"/>
          </w:tcPr>
          <w:p w14:paraId="1E747C69" w14:textId="1188292D" w:rsidR="00BC402D" w:rsidRPr="002D56DB" w:rsidRDefault="00BC402D"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Private or Public Hospital</w:t>
            </w:r>
          </w:p>
        </w:tc>
        <w:tc>
          <w:tcPr>
            <w:tcW w:w="695" w:type="pct"/>
            <w:shd w:val="clear" w:color="auto" w:fill="E5B8B7" w:themeFill="accent2" w:themeFillTint="66"/>
          </w:tcPr>
          <w:p w14:paraId="75D59AB6" w14:textId="2FA06BF4" w:rsidR="00BC402D" w:rsidRPr="002D56DB" w:rsidRDefault="00BC402D"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Radiology clinic/department</w:t>
            </w:r>
          </w:p>
        </w:tc>
        <w:tc>
          <w:tcPr>
            <w:tcW w:w="600" w:type="pct"/>
            <w:shd w:val="clear" w:color="auto" w:fill="D6E3BC" w:themeFill="accent3" w:themeFillTint="66"/>
          </w:tcPr>
          <w:p w14:paraId="1E9D3EC4" w14:textId="385A49DB" w:rsidR="00BC402D" w:rsidRPr="002D56DB" w:rsidRDefault="00BC402D"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100%</w:t>
            </w:r>
          </w:p>
        </w:tc>
        <w:tc>
          <w:tcPr>
            <w:tcW w:w="555" w:type="pct"/>
            <w:vMerge/>
            <w:shd w:val="clear" w:color="auto" w:fill="D6E3BC" w:themeFill="accent3" w:themeFillTint="66"/>
          </w:tcPr>
          <w:p w14:paraId="117DA86B" w14:textId="77777777" w:rsidR="00BC402D" w:rsidRPr="002D56DB" w:rsidRDefault="00BC402D" w:rsidP="00FE1712">
            <w:pPr>
              <w:pStyle w:val="TableText0"/>
              <w:keepNext w:val="0"/>
              <w:widowControl w:val="0"/>
              <w:spacing w:before="20" w:after="20"/>
              <w:rPr>
                <w:rFonts w:asciiTheme="minorHAnsi" w:hAnsiTheme="minorHAnsi" w:cstheme="minorHAnsi"/>
              </w:rPr>
            </w:pPr>
          </w:p>
        </w:tc>
        <w:tc>
          <w:tcPr>
            <w:tcW w:w="693" w:type="pct"/>
            <w:shd w:val="clear" w:color="auto" w:fill="FBD4B4" w:themeFill="accent6" w:themeFillTint="66"/>
          </w:tcPr>
          <w:p w14:paraId="54B88AF1" w14:textId="77777777" w:rsidR="00BC402D" w:rsidRPr="002D56DB" w:rsidRDefault="00BC402D"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CTA: 57350 $510.00</w:t>
            </w:r>
          </w:p>
          <w:p w14:paraId="3E66E867" w14:textId="77777777" w:rsidR="00BC402D" w:rsidRDefault="00BC402D"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MRA: 63101 $492.80</w:t>
            </w:r>
          </w:p>
          <w:p w14:paraId="34D43613" w14:textId="77777777" w:rsidR="00D572C8" w:rsidRDefault="00D572C8" w:rsidP="00FE1712">
            <w:pPr>
              <w:pStyle w:val="TableText0"/>
              <w:keepNext w:val="0"/>
              <w:widowControl w:val="0"/>
              <w:spacing w:before="20" w:after="20"/>
              <w:rPr>
                <w:rFonts w:asciiTheme="minorHAnsi" w:hAnsiTheme="minorHAnsi" w:cstheme="minorHAnsi"/>
              </w:rPr>
            </w:pPr>
            <w:r>
              <w:rPr>
                <w:rFonts w:asciiTheme="minorHAnsi" w:hAnsiTheme="minorHAnsi" w:cstheme="minorHAnsi"/>
              </w:rPr>
              <w:t>TTE: 55114 $230.65</w:t>
            </w:r>
          </w:p>
          <w:p w14:paraId="1CB2C1BA" w14:textId="142CE40A" w:rsidR="00D572C8" w:rsidRPr="002D56DB" w:rsidRDefault="00D572C8" w:rsidP="00FE1712">
            <w:pPr>
              <w:pStyle w:val="TableText0"/>
              <w:keepNext w:val="0"/>
              <w:widowControl w:val="0"/>
              <w:spacing w:before="20" w:after="20"/>
              <w:rPr>
                <w:rFonts w:asciiTheme="minorHAnsi" w:hAnsiTheme="minorHAnsi" w:cstheme="minorHAnsi"/>
              </w:rPr>
            </w:pPr>
            <w:r>
              <w:rPr>
                <w:rFonts w:asciiTheme="minorHAnsi" w:hAnsiTheme="minorHAnsi" w:cstheme="minorHAnsi"/>
              </w:rPr>
              <w:t xml:space="preserve">TEO: </w:t>
            </w:r>
            <w:r w:rsidR="00125D5A">
              <w:rPr>
                <w:rFonts w:asciiTheme="minorHAnsi" w:hAnsiTheme="minorHAnsi" w:cstheme="minorHAnsi"/>
              </w:rPr>
              <w:t>55125 $137.75</w:t>
            </w:r>
          </w:p>
        </w:tc>
        <w:tc>
          <w:tcPr>
            <w:tcW w:w="185" w:type="pct"/>
            <w:shd w:val="clear" w:color="auto" w:fill="FBD4B4" w:themeFill="accent6" w:themeFillTint="66"/>
          </w:tcPr>
          <w:p w14:paraId="10BEC089" w14:textId="77777777" w:rsidR="00BC402D" w:rsidRPr="002D56DB" w:rsidRDefault="00BC402D" w:rsidP="00FE1712">
            <w:pPr>
              <w:pStyle w:val="TableText0"/>
              <w:keepNext w:val="0"/>
              <w:widowControl w:val="0"/>
              <w:spacing w:before="20" w:after="20"/>
              <w:rPr>
                <w:rFonts w:asciiTheme="minorHAnsi" w:hAnsiTheme="minorHAnsi" w:cstheme="minorHAnsi"/>
              </w:rPr>
            </w:pPr>
          </w:p>
        </w:tc>
        <w:tc>
          <w:tcPr>
            <w:tcW w:w="323" w:type="pct"/>
            <w:shd w:val="clear" w:color="auto" w:fill="FBD4B4" w:themeFill="accent6" w:themeFillTint="66"/>
          </w:tcPr>
          <w:p w14:paraId="00ECF195" w14:textId="77777777" w:rsidR="00BC402D" w:rsidRPr="002D56DB" w:rsidRDefault="00BC402D"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1CFCA23E" w14:textId="77777777" w:rsidR="00BC402D" w:rsidRPr="002D56DB" w:rsidRDefault="00BC402D"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22E8F872" w14:textId="77777777" w:rsidR="00BC402D" w:rsidRPr="002D56DB" w:rsidRDefault="00BC402D"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5E8FFD2C" w14:textId="77777777" w:rsidR="00BC402D" w:rsidRPr="002D56DB" w:rsidRDefault="00BC402D" w:rsidP="00FE1712">
            <w:pPr>
              <w:pStyle w:val="TableText0"/>
              <w:keepNext w:val="0"/>
              <w:widowControl w:val="0"/>
              <w:spacing w:before="20" w:after="20"/>
              <w:rPr>
                <w:rFonts w:asciiTheme="minorHAnsi" w:hAnsiTheme="minorHAnsi" w:cstheme="minorHAnsi"/>
              </w:rPr>
            </w:pPr>
          </w:p>
        </w:tc>
      </w:tr>
      <w:tr w:rsidR="00B67B02" w:rsidRPr="002D56DB" w14:paraId="738024BD" w14:textId="77777777" w:rsidTr="00B67B02">
        <w:tc>
          <w:tcPr>
            <w:tcW w:w="610" w:type="pct"/>
            <w:shd w:val="clear" w:color="auto" w:fill="auto"/>
          </w:tcPr>
          <w:p w14:paraId="6415F1D2" w14:textId="5F902C08" w:rsidR="000554B2" w:rsidRPr="002D56DB" w:rsidRDefault="000554B2" w:rsidP="00FE1712">
            <w:pPr>
              <w:pStyle w:val="TableText0"/>
              <w:keepNext w:val="0"/>
              <w:widowControl w:val="0"/>
              <w:spacing w:before="20" w:after="20"/>
              <w:rPr>
                <w:rFonts w:asciiTheme="minorHAnsi" w:hAnsiTheme="minorHAnsi" w:cstheme="minorHAnsi"/>
                <w:vertAlign w:val="superscript"/>
              </w:rPr>
            </w:pPr>
            <w:r>
              <w:rPr>
                <w:rFonts w:asciiTheme="minorHAnsi" w:hAnsiTheme="minorHAnsi" w:cstheme="minorHAnsi"/>
              </w:rPr>
              <w:t>Blood tests</w:t>
            </w:r>
          </w:p>
        </w:tc>
        <w:tc>
          <w:tcPr>
            <w:tcW w:w="646" w:type="pct"/>
            <w:shd w:val="clear" w:color="auto" w:fill="E5B8B7" w:themeFill="accent2" w:themeFillTint="66"/>
          </w:tcPr>
          <w:p w14:paraId="38EAF0F6" w14:textId="01154F03" w:rsidR="000554B2" w:rsidRPr="002D56DB" w:rsidRDefault="000554B2"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Private or Public Hospital</w:t>
            </w:r>
          </w:p>
        </w:tc>
        <w:tc>
          <w:tcPr>
            <w:tcW w:w="695" w:type="pct"/>
            <w:shd w:val="clear" w:color="auto" w:fill="E5B8B7" w:themeFill="accent2" w:themeFillTint="66"/>
          </w:tcPr>
          <w:p w14:paraId="282AE7E2" w14:textId="38F618DB" w:rsidR="000554B2" w:rsidRPr="002D56DB" w:rsidRDefault="000554B2"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Stroke service</w:t>
            </w:r>
          </w:p>
        </w:tc>
        <w:tc>
          <w:tcPr>
            <w:tcW w:w="600" w:type="pct"/>
            <w:shd w:val="clear" w:color="auto" w:fill="D6E3BC" w:themeFill="accent3" w:themeFillTint="66"/>
          </w:tcPr>
          <w:p w14:paraId="110E8CC4" w14:textId="67DDA9E2" w:rsidR="000554B2" w:rsidRPr="002D56DB" w:rsidRDefault="000554B2"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100%</w:t>
            </w:r>
          </w:p>
        </w:tc>
        <w:tc>
          <w:tcPr>
            <w:tcW w:w="555" w:type="pct"/>
            <w:vMerge/>
            <w:shd w:val="clear" w:color="auto" w:fill="D6E3BC" w:themeFill="accent3" w:themeFillTint="66"/>
          </w:tcPr>
          <w:p w14:paraId="763AEF80" w14:textId="77777777" w:rsidR="000554B2" w:rsidRPr="002D56DB" w:rsidRDefault="000554B2" w:rsidP="00FE1712">
            <w:pPr>
              <w:pStyle w:val="TableText0"/>
              <w:keepNext w:val="0"/>
              <w:widowControl w:val="0"/>
              <w:spacing w:before="20" w:after="20"/>
              <w:rPr>
                <w:rFonts w:asciiTheme="minorHAnsi" w:hAnsiTheme="minorHAnsi" w:cstheme="minorHAnsi"/>
              </w:rPr>
            </w:pPr>
          </w:p>
        </w:tc>
        <w:tc>
          <w:tcPr>
            <w:tcW w:w="693" w:type="pct"/>
            <w:shd w:val="clear" w:color="auto" w:fill="FBD4B4" w:themeFill="accent6" w:themeFillTint="66"/>
          </w:tcPr>
          <w:p w14:paraId="4E02F976" w14:textId="3310C7F3" w:rsidR="000554B2" w:rsidRPr="002D56DB" w:rsidRDefault="000554B2" w:rsidP="00FE1712">
            <w:pPr>
              <w:pStyle w:val="TableText0"/>
              <w:keepNext w:val="0"/>
              <w:widowControl w:val="0"/>
              <w:spacing w:before="20" w:after="20"/>
              <w:rPr>
                <w:rFonts w:asciiTheme="minorHAnsi" w:hAnsiTheme="minorHAnsi" w:cstheme="minorHAnsi"/>
              </w:rPr>
            </w:pPr>
            <w:r>
              <w:rPr>
                <w:rFonts w:asciiTheme="minorHAnsi" w:hAnsiTheme="minorHAnsi" w:cstheme="minorHAnsi"/>
              </w:rPr>
              <w:t>Blood tests and coagulation studies: 65129 and/or 65070 $35.50/</w:t>
            </w:r>
            <w:r w:rsidRPr="000554B2">
              <w:rPr>
                <w:rFonts w:asciiTheme="minorHAnsi" w:hAnsiTheme="minorHAnsi" w:cstheme="minorHAnsi"/>
              </w:rPr>
              <w:t>$16.95</w:t>
            </w:r>
          </w:p>
        </w:tc>
        <w:tc>
          <w:tcPr>
            <w:tcW w:w="185" w:type="pct"/>
            <w:shd w:val="clear" w:color="auto" w:fill="FBD4B4" w:themeFill="accent6" w:themeFillTint="66"/>
          </w:tcPr>
          <w:p w14:paraId="6328F65D" w14:textId="77777777" w:rsidR="000554B2" w:rsidRPr="002D56DB" w:rsidRDefault="000554B2" w:rsidP="00FE1712">
            <w:pPr>
              <w:pStyle w:val="TableText0"/>
              <w:keepNext w:val="0"/>
              <w:widowControl w:val="0"/>
              <w:spacing w:before="20" w:after="20"/>
              <w:rPr>
                <w:rFonts w:asciiTheme="minorHAnsi" w:hAnsiTheme="minorHAnsi" w:cstheme="minorHAnsi"/>
              </w:rPr>
            </w:pPr>
          </w:p>
        </w:tc>
        <w:tc>
          <w:tcPr>
            <w:tcW w:w="323" w:type="pct"/>
            <w:shd w:val="clear" w:color="auto" w:fill="FBD4B4" w:themeFill="accent6" w:themeFillTint="66"/>
          </w:tcPr>
          <w:p w14:paraId="3580271A" w14:textId="77777777" w:rsidR="000554B2" w:rsidRPr="002D56DB" w:rsidRDefault="000554B2"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1068D7B5" w14:textId="77777777" w:rsidR="000554B2" w:rsidRPr="002D56DB" w:rsidRDefault="000554B2"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2127E444" w14:textId="77777777" w:rsidR="000554B2" w:rsidRPr="002D56DB" w:rsidRDefault="000554B2"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126CD04F" w14:textId="77777777" w:rsidR="000554B2" w:rsidRPr="002D56DB" w:rsidRDefault="000554B2" w:rsidP="00FE1712">
            <w:pPr>
              <w:pStyle w:val="TableText0"/>
              <w:keepNext w:val="0"/>
              <w:widowControl w:val="0"/>
              <w:spacing w:before="20" w:after="20"/>
              <w:rPr>
                <w:rFonts w:asciiTheme="minorHAnsi" w:hAnsiTheme="minorHAnsi" w:cstheme="minorHAnsi"/>
              </w:rPr>
            </w:pPr>
          </w:p>
        </w:tc>
      </w:tr>
      <w:tr w:rsidR="000554B2" w:rsidRPr="002D56DB" w14:paraId="2D6BC151" w14:textId="77777777" w:rsidTr="00FE1712">
        <w:trPr>
          <w:trHeight w:val="181"/>
        </w:trPr>
        <w:tc>
          <w:tcPr>
            <w:tcW w:w="5000" w:type="pct"/>
            <w:gridSpan w:val="11"/>
            <w:shd w:val="clear" w:color="auto" w:fill="auto"/>
            <w:vAlign w:val="center"/>
          </w:tcPr>
          <w:p w14:paraId="19AA181D" w14:textId="77777777" w:rsidR="000554B2" w:rsidRPr="002D56DB" w:rsidRDefault="000554B2" w:rsidP="00FE1712">
            <w:pPr>
              <w:pStyle w:val="TableText0"/>
              <w:keepNext w:val="0"/>
              <w:widowControl w:val="0"/>
              <w:spacing w:before="20" w:after="20"/>
              <w:rPr>
                <w:rFonts w:asciiTheme="minorHAnsi" w:hAnsiTheme="minorHAnsi" w:cstheme="minorHAnsi"/>
                <w:b/>
                <w:i/>
              </w:rPr>
            </w:pPr>
            <w:r w:rsidRPr="002D56DB">
              <w:rPr>
                <w:rFonts w:asciiTheme="minorHAnsi" w:hAnsiTheme="minorHAnsi" w:cstheme="minorHAnsi"/>
                <w:b/>
                <w:i/>
              </w:rPr>
              <w:t>Resources provided to deliver proposed intervention (See Section 4 above for more information)</w:t>
            </w:r>
          </w:p>
        </w:tc>
      </w:tr>
      <w:tr w:rsidR="00B67B02" w:rsidRPr="002D56DB" w14:paraId="11FE4037" w14:textId="77777777" w:rsidTr="00B67B02">
        <w:tc>
          <w:tcPr>
            <w:tcW w:w="610" w:type="pct"/>
            <w:shd w:val="clear" w:color="auto" w:fill="auto"/>
          </w:tcPr>
          <w:p w14:paraId="19E3FD6C" w14:textId="66C90F24" w:rsidR="000554B2" w:rsidRPr="002D56DB" w:rsidRDefault="000554B2" w:rsidP="00FE1712">
            <w:pPr>
              <w:pStyle w:val="TableText0"/>
              <w:keepNext w:val="0"/>
              <w:widowControl w:val="0"/>
              <w:spacing w:before="20" w:after="20"/>
              <w:rPr>
                <w:rFonts w:asciiTheme="minorHAnsi" w:hAnsiTheme="minorHAnsi" w:cstheme="minorHAnsi"/>
              </w:rPr>
            </w:pPr>
            <w:proofErr w:type="spellStart"/>
            <w:r w:rsidRPr="002D56DB">
              <w:rPr>
                <w:rFonts w:asciiTheme="minorHAnsi" w:hAnsiTheme="minorHAnsi" w:cstheme="minorHAnsi"/>
              </w:rPr>
              <w:t>Inplantation</w:t>
            </w:r>
            <w:proofErr w:type="spellEnd"/>
          </w:p>
        </w:tc>
        <w:tc>
          <w:tcPr>
            <w:tcW w:w="646" w:type="pct"/>
            <w:shd w:val="clear" w:color="auto" w:fill="E5B8B7" w:themeFill="accent2" w:themeFillTint="66"/>
          </w:tcPr>
          <w:p w14:paraId="5A7DC62A" w14:textId="5A8C7494" w:rsidR="000554B2" w:rsidRPr="002D56DB" w:rsidRDefault="000554B2" w:rsidP="00FE1712">
            <w:pPr>
              <w:pStyle w:val="TableText0"/>
              <w:keepNext w:val="0"/>
              <w:widowControl w:val="0"/>
              <w:spacing w:before="20" w:after="20"/>
              <w:rPr>
                <w:rFonts w:asciiTheme="minorHAnsi" w:hAnsiTheme="minorHAnsi" w:cstheme="minorHAnsi"/>
                <w:szCs w:val="18"/>
              </w:rPr>
            </w:pPr>
            <w:r w:rsidRPr="002D56DB">
              <w:rPr>
                <w:rFonts w:asciiTheme="minorHAnsi" w:hAnsiTheme="minorHAnsi" w:cstheme="minorHAnsi"/>
                <w:szCs w:val="18"/>
              </w:rPr>
              <w:t xml:space="preserve">Cardiologist, </w:t>
            </w:r>
            <w:proofErr w:type="spellStart"/>
            <w:r w:rsidRPr="002D56DB">
              <w:rPr>
                <w:rFonts w:asciiTheme="minorHAnsi" w:hAnsiTheme="minorHAnsi" w:cstheme="minorHAnsi"/>
                <w:szCs w:val="18"/>
              </w:rPr>
              <w:t>electrophysiologists</w:t>
            </w:r>
            <w:proofErr w:type="spellEnd"/>
            <w:r w:rsidRPr="002D56DB">
              <w:rPr>
                <w:rFonts w:asciiTheme="minorHAnsi" w:hAnsiTheme="minorHAnsi" w:cstheme="minorHAnsi"/>
                <w:szCs w:val="18"/>
              </w:rPr>
              <w:t xml:space="preserve"> </w:t>
            </w:r>
            <w:proofErr w:type="spellStart"/>
            <w:r w:rsidRPr="002D56DB">
              <w:rPr>
                <w:rFonts w:asciiTheme="minorHAnsi" w:hAnsiTheme="minorHAnsi" w:cstheme="minorHAnsi"/>
                <w:szCs w:val="18"/>
              </w:rPr>
              <w:t>etc</w:t>
            </w:r>
            <w:proofErr w:type="spellEnd"/>
          </w:p>
        </w:tc>
        <w:tc>
          <w:tcPr>
            <w:tcW w:w="695" w:type="pct"/>
            <w:vMerge w:val="restart"/>
            <w:shd w:val="clear" w:color="auto" w:fill="E5B8B7" w:themeFill="accent2" w:themeFillTint="66"/>
          </w:tcPr>
          <w:p w14:paraId="2628205C" w14:textId="0CC472CF" w:rsidR="000554B2" w:rsidRPr="002D56DB" w:rsidRDefault="000554B2" w:rsidP="00FE1712">
            <w:pPr>
              <w:pStyle w:val="TableText0"/>
              <w:keepNext w:val="0"/>
              <w:widowControl w:val="0"/>
              <w:spacing w:before="20" w:after="20"/>
              <w:rPr>
                <w:rFonts w:asciiTheme="minorHAnsi" w:hAnsiTheme="minorHAnsi" w:cstheme="minorHAnsi"/>
                <w:szCs w:val="18"/>
              </w:rPr>
            </w:pPr>
            <w:r w:rsidRPr="002D56DB">
              <w:rPr>
                <w:rFonts w:asciiTheme="minorHAnsi" w:hAnsiTheme="minorHAnsi" w:cstheme="minorHAnsi"/>
                <w:szCs w:val="18"/>
              </w:rPr>
              <w:t xml:space="preserve">Private or Public Hospital, Day surgery (see </w:t>
            </w:r>
            <w:r w:rsidRPr="002D56DB">
              <w:rPr>
                <w:rFonts w:asciiTheme="minorHAnsi" w:hAnsiTheme="minorHAnsi" w:cstheme="minorHAnsi"/>
                <w:szCs w:val="18"/>
              </w:rPr>
              <w:fldChar w:fldCharType="begin"/>
            </w:r>
            <w:r w:rsidRPr="002D56DB">
              <w:rPr>
                <w:rFonts w:asciiTheme="minorHAnsi" w:hAnsiTheme="minorHAnsi" w:cstheme="minorHAnsi"/>
                <w:szCs w:val="18"/>
              </w:rPr>
              <w:instrText xml:space="preserve"> REF _Ref442864220 \h </w:instrText>
            </w:r>
            <w:r>
              <w:rPr>
                <w:rFonts w:asciiTheme="minorHAnsi" w:hAnsiTheme="minorHAnsi" w:cstheme="minorHAnsi"/>
                <w:szCs w:val="18"/>
              </w:rPr>
              <w:instrText xml:space="preserve"> \* MERGEFORMAT </w:instrText>
            </w:r>
            <w:r w:rsidRPr="002D56DB">
              <w:rPr>
                <w:rFonts w:asciiTheme="minorHAnsi" w:hAnsiTheme="minorHAnsi" w:cstheme="minorHAnsi"/>
                <w:szCs w:val="18"/>
              </w:rPr>
            </w:r>
            <w:r w:rsidRPr="002D56DB">
              <w:rPr>
                <w:rFonts w:asciiTheme="minorHAnsi" w:hAnsiTheme="minorHAnsi" w:cstheme="minorHAnsi"/>
                <w:szCs w:val="18"/>
              </w:rPr>
              <w:fldChar w:fldCharType="separate"/>
            </w:r>
            <w:r w:rsidRPr="002D56DB">
              <w:rPr>
                <w:rFonts w:asciiTheme="minorHAnsi" w:hAnsiTheme="minorHAnsi" w:cstheme="minorHAnsi"/>
                <w:szCs w:val="18"/>
              </w:rPr>
              <w:t xml:space="preserve">Table </w:t>
            </w:r>
            <w:r w:rsidRPr="002D56DB">
              <w:rPr>
                <w:rFonts w:asciiTheme="minorHAnsi" w:hAnsiTheme="minorHAnsi" w:cstheme="minorHAnsi"/>
                <w:noProof/>
                <w:szCs w:val="18"/>
              </w:rPr>
              <w:t>5</w:t>
            </w:r>
            <w:r w:rsidRPr="002D56DB">
              <w:rPr>
                <w:rFonts w:asciiTheme="minorHAnsi" w:hAnsiTheme="minorHAnsi" w:cstheme="minorHAnsi"/>
                <w:szCs w:val="18"/>
              </w:rPr>
              <w:fldChar w:fldCharType="end"/>
            </w:r>
            <w:r w:rsidRPr="002D56DB">
              <w:rPr>
                <w:rFonts w:asciiTheme="minorHAnsi" w:hAnsiTheme="minorHAnsi" w:cstheme="minorHAnsi"/>
                <w:szCs w:val="18"/>
              </w:rPr>
              <w:t>)</w:t>
            </w:r>
          </w:p>
        </w:tc>
        <w:tc>
          <w:tcPr>
            <w:tcW w:w="600" w:type="pct"/>
            <w:shd w:val="clear" w:color="auto" w:fill="D6E3BC" w:themeFill="accent3" w:themeFillTint="66"/>
          </w:tcPr>
          <w:p w14:paraId="6C6E40DC" w14:textId="029885C3" w:rsidR="000554B2" w:rsidRPr="002D56DB" w:rsidRDefault="000554B2"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100%</w:t>
            </w:r>
          </w:p>
        </w:tc>
        <w:tc>
          <w:tcPr>
            <w:tcW w:w="555" w:type="pct"/>
            <w:shd w:val="clear" w:color="auto" w:fill="D6E3BC" w:themeFill="accent3" w:themeFillTint="66"/>
          </w:tcPr>
          <w:p w14:paraId="5CBB3726" w14:textId="24102CFC" w:rsidR="000554B2" w:rsidRPr="002D56DB" w:rsidRDefault="000554B2" w:rsidP="00FE1712">
            <w:pPr>
              <w:pStyle w:val="TableText0"/>
              <w:keepNext w:val="0"/>
              <w:widowControl w:val="0"/>
              <w:spacing w:before="20" w:after="20"/>
              <w:rPr>
                <w:rFonts w:asciiTheme="minorHAnsi" w:hAnsiTheme="minorHAnsi" w:cstheme="minorHAnsi"/>
              </w:rPr>
            </w:pPr>
          </w:p>
        </w:tc>
        <w:tc>
          <w:tcPr>
            <w:tcW w:w="693" w:type="pct"/>
            <w:shd w:val="clear" w:color="auto" w:fill="FBD4B4" w:themeFill="accent6" w:themeFillTint="66"/>
          </w:tcPr>
          <w:p w14:paraId="153F9722" w14:textId="5EBA2CB5" w:rsidR="000554B2" w:rsidRPr="002D56DB" w:rsidRDefault="000554B2"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$192.90 (proposed)</w:t>
            </w:r>
          </w:p>
        </w:tc>
        <w:tc>
          <w:tcPr>
            <w:tcW w:w="185" w:type="pct"/>
            <w:shd w:val="clear" w:color="auto" w:fill="FBD4B4" w:themeFill="accent6" w:themeFillTint="66"/>
          </w:tcPr>
          <w:p w14:paraId="43959D29" w14:textId="77777777" w:rsidR="000554B2" w:rsidRPr="002D56DB" w:rsidRDefault="000554B2" w:rsidP="00FE1712">
            <w:pPr>
              <w:pStyle w:val="TableText0"/>
              <w:keepNext w:val="0"/>
              <w:widowControl w:val="0"/>
              <w:spacing w:before="20" w:after="20"/>
              <w:rPr>
                <w:rFonts w:asciiTheme="minorHAnsi" w:hAnsiTheme="minorHAnsi" w:cstheme="minorHAnsi"/>
              </w:rPr>
            </w:pPr>
          </w:p>
        </w:tc>
        <w:tc>
          <w:tcPr>
            <w:tcW w:w="323" w:type="pct"/>
            <w:shd w:val="clear" w:color="auto" w:fill="FBD4B4" w:themeFill="accent6" w:themeFillTint="66"/>
          </w:tcPr>
          <w:p w14:paraId="5DBB155E" w14:textId="77777777" w:rsidR="000554B2" w:rsidRPr="002D56DB" w:rsidRDefault="000554B2"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6D2FB16E" w14:textId="77777777" w:rsidR="000554B2" w:rsidRPr="002D56DB" w:rsidRDefault="000554B2"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59B6B395" w14:textId="77777777" w:rsidR="000554B2" w:rsidRPr="002D56DB" w:rsidRDefault="000554B2"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51144740" w14:textId="77777777" w:rsidR="000554B2" w:rsidRPr="002D56DB" w:rsidRDefault="000554B2" w:rsidP="00FE1712">
            <w:pPr>
              <w:pStyle w:val="TableText0"/>
              <w:keepNext w:val="0"/>
              <w:widowControl w:val="0"/>
              <w:spacing w:before="20" w:after="20"/>
              <w:rPr>
                <w:rFonts w:asciiTheme="minorHAnsi" w:hAnsiTheme="minorHAnsi" w:cstheme="minorHAnsi"/>
              </w:rPr>
            </w:pPr>
          </w:p>
        </w:tc>
      </w:tr>
      <w:tr w:rsidR="00B67B02" w:rsidRPr="002D56DB" w14:paraId="2086C22B" w14:textId="77777777" w:rsidTr="00B67B02">
        <w:tc>
          <w:tcPr>
            <w:tcW w:w="610" w:type="pct"/>
            <w:shd w:val="clear" w:color="auto" w:fill="auto"/>
          </w:tcPr>
          <w:p w14:paraId="2B1864BF" w14:textId="409D741B" w:rsidR="000554B2" w:rsidRPr="002D56DB" w:rsidRDefault="00125D5A" w:rsidP="00FE1712">
            <w:pPr>
              <w:pStyle w:val="TableText0"/>
              <w:keepNext w:val="0"/>
              <w:widowControl w:val="0"/>
              <w:spacing w:before="20" w:after="20"/>
              <w:rPr>
                <w:rFonts w:asciiTheme="minorHAnsi" w:hAnsiTheme="minorHAnsi" w:cstheme="minorHAnsi"/>
              </w:rPr>
            </w:pPr>
            <w:r>
              <w:rPr>
                <w:rFonts w:asciiTheme="minorHAnsi" w:hAnsiTheme="minorHAnsi" w:cstheme="minorHAnsi"/>
              </w:rPr>
              <w:t>Local a</w:t>
            </w:r>
            <w:r w:rsidRPr="002D56DB">
              <w:rPr>
                <w:rFonts w:asciiTheme="minorHAnsi" w:hAnsiTheme="minorHAnsi" w:cstheme="minorHAnsi"/>
              </w:rPr>
              <w:t xml:space="preserve">naesthesia </w:t>
            </w:r>
          </w:p>
        </w:tc>
        <w:tc>
          <w:tcPr>
            <w:tcW w:w="646" w:type="pct"/>
            <w:shd w:val="clear" w:color="auto" w:fill="E5B8B7" w:themeFill="accent2" w:themeFillTint="66"/>
          </w:tcPr>
          <w:p w14:paraId="61DDB792" w14:textId="2DB3D034" w:rsidR="000554B2" w:rsidRPr="002D56DB" w:rsidRDefault="000554B2"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Anaesthetist</w:t>
            </w:r>
          </w:p>
        </w:tc>
        <w:tc>
          <w:tcPr>
            <w:tcW w:w="695" w:type="pct"/>
            <w:vMerge/>
            <w:shd w:val="clear" w:color="auto" w:fill="E5B8B7" w:themeFill="accent2" w:themeFillTint="66"/>
          </w:tcPr>
          <w:p w14:paraId="11D8411F" w14:textId="56EC8ACD" w:rsidR="000554B2" w:rsidRPr="002D56DB" w:rsidRDefault="000554B2" w:rsidP="00FE1712">
            <w:pPr>
              <w:pStyle w:val="TableText0"/>
              <w:keepNext w:val="0"/>
              <w:widowControl w:val="0"/>
              <w:spacing w:before="20" w:after="20"/>
              <w:rPr>
                <w:rFonts w:asciiTheme="minorHAnsi" w:hAnsiTheme="minorHAnsi" w:cstheme="minorHAnsi"/>
              </w:rPr>
            </w:pPr>
          </w:p>
        </w:tc>
        <w:tc>
          <w:tcPr>
            <w:tcW w:w="600" w:type="pct"/>
            <w:shd w:val="clear" w:color="auto" w:fill="D6E3BC" w:themeFill="accent3" w:themeFillTint="66"/>
          </w:tcPr>
          <w:p w14:paraId="3046F703" w14:textId="6A67AE50" w:rsidR="000554B2" w:rsidRPr="002D56DB" w:rsidRDefault="00125D5A" w:rsidP="00FE1712">
            <w:pPr>
              <w:pStyle w:val="TableText0"/>
              <w:keepNext w:val="0"/>
              <w:widowControl w:val="0"/>
              <w:spacing w:before="20" w:after="20"/>
              <w:rPr>
                <w:rFonts w:asciiTheme="minorHAnsi" w:hAnsiTheme="minorHAnsi" w:cstheme="minorHAnsi"/>
              </w:rPr>
            </w:pPr>
            <w:r>
              <w:rPr>
                <w:rFonts w:asciiTheme="minorHAnsi" w:hAnsiTheme="minorHAnsi" w:cstheme="minorHAnsi"/>
              </w:rPr>
              <w:t>100%</w:t>
            </w:r>
          </w:p>
        </w:tc>
        <w:tc>
          <w:tcPr>
            <w:tcW w:w="555" w:type="pct"/>
            <w:shd w:val="clear" w:color="auto" w:fill="D6E3BC" w:themeFill="accent3" w:themeFillTint="66"/>
          </w:tcPr>
          <w:p w14:paraId="2D7F0323" w14:textId="77777777" w:rsidR="000554B2" w:rsidRPr="002D56DB" w:rsidRDefault="000554B2" w:rsidP="00FE1712">
            <w:pPr>
              <w:pStyle w:val="TableText0"/>
              <w:keepNext w:val="0"/>
              <w:widowControl w:val="0"/>
              <w:spacing w:before="20" w:after="20"/>
              <w:rPr>
                <w:rFonts w:asciiTheme="minorHAnsi" w:hAnsiTheme="minorHAnsi" w:cstheme="minorHAnsi"/>
              </w:rPr>
            </w:pPr>
          </w:p>
        </w:tc>
        <w:tc>
          <w:tcPr>
            <w:tcW w:w="693" w:type="pct"/>
            <w:shd w:val="clear" w:color="auto" w:fill="FBD4B4" w:themeFill="accent6" w:themeFillTint="66"/>
          </w:tcPr>
          <w:p w14:paraId="1D84B448" w14:textId="5207E69B" w:rsidR="000554B2" w:rsidRPr="002D56DB" w:rsidRDefault="000554B2"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204</w:t>
            </w:r>
            <w:r w:rsidR="003A1381">
              <w:rPr>
                <w:rFonts w:asciiTheme="minorHAnsi" w:hAnsiTheme="minorHAnsi" w:cstheme="minorHAnsi"/>
              </w:rPr>
              <w:t>00</w:t>
            </w:r>
            <w:r w:rsidRPr="002D56DB">
              <w:rPr>
                <w:rFonts w:asciiTheme="minorHAnsi" w:hAnsiTheme="minorHAnsi" w:cstheme="minorHAnsi"/>
              </w:rPr>
              <w:t>: $</w:t>
            </w:r>
            <w:r w:rsidR="003A1381">
              <w:rPr>
                <w:rFonts w:asciiTheme="minorHAnsi" w:hAnsiTheme="minorHAnsi" w:cstheme="minorHAnsi"/>
              </w:rPr>
              <w:t>59.40</w:t>
            </w:r>
            <w:r w:rsidRPr="002D56DB">
              <w:rPr>
                <w:rFonts w:asciiTheme="minorHAnsi" w:hAnsiTheme="minorHAnsi" w:cstheme="minorHAnsi"/>
              </w:rPr>
              <w:t xml:space="preserve">.00 </w:t>
            </w:r>
          </w:p>
        </w:tc>
        <w:tc>
          <w:tcPr>
            <w:tcW w:w="185" w:type="pct"/>
            <w:shd w:val="clear" w:color="auto" w:fill="FBD4B4" w:themeFill="accent6" w:themeFillTint="66"/>
          </w:tcPr>
          <w:p w14:paraId="566403BD" w14:textId="77777777" w:rsidR="000554B2" w:rsidRPr="002D56DB" w:rsidRDefault="000554B2" w:rsidP="00FE1712">
            <w:pPr>
              <w:pStyle w:val="TableText0"/>
              <w:keepNext w:val="0"/>
              <w:widowControl w:val="0"/>
              <w:spacing w:before="20" w:after="20"/>
              <w:rPr>
                <w:rFonts w:asciiTheme="minorHAnsi" w:hAnsiTheme="minorHAnsi" w:cstheme="minorHAnsi"/>
              </w:rPr>
            </w:pPr>
          </w:p>
        </w:tc>
        <w:tc>
          <w:tcPr>
            <w:tcW w:w="323" w:type="pct"/>
            <w:shd w:val="clear" w:color="auto" w:fill="FBD4B4" w:themeFill="accent6" w:themeFillTint="66"/>
          </w:tcPr>
          <w:p w14:paraId="55F04658" w14:textId="77777777" w:rsidR="000554B2" w:rsidRPr="002D56DB" w:rsidRDefault="000554B2"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7DC79241" w14:textId="77777777" w:rsidR="000554B2" w:rsidRPr="002D56DB" w:rsidRDefault="000554B2"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6C42C437" w14:textId="77777777" w:rsidR="000554B2" w:rsidRPr="002D56DB" w:rsidRDefault="000554B2"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586E74E1" w14:textId="77777777" w:rsidR="000554B2" w:rsidRPr="002D56DB" w:rsidRDefault="000554B2" w:rsidP="00FE1712">
            <w:pPr>
              <w:pStyle w:val="TableText0"/>
              <w:keepNext w:val="0"/>
              <w:widowControl w:val="0"/>
              <w:spacing w:before="20" w:after="20"/>
              <w:rPr>
                <w:rFonts w:asciiTheme="minorHAnsi" w:hAnsiTheme="minorHAnsi" w:cstheme="minorHAnsi"/>
              </w:rPr>
            </w:pPr>
          </w:p>
        </w:tc>
      </w:tr>
      <w:tr w:rsidR="00B67B02" w:rsidRPr="002D56DB" w14:paraId="51723411" w14:textId="77777777" w:rsidTr="00B67B02">
        <w:tc>
          <w:tcPr>
            <w:tcW w:w="610" w:type="pct"/>
            <w:shd w:val="clear" w:color="auto" w:fill="auto"/>
          </w:tcPr>
          <w:p w14:paraId="65CC2043" w14:textId="7CA494F8" w:rsidR="000554B2" w:rsidRPr="002D56DB" w:rsidRDefault="000554B2"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Theatre / bed cost and general consumables: e.g. dressings</w:t>
            </w:r>
          </w:p>
        </w:tc>
        <w:tc>
          <w:tcPr>
            <w:tcW w:w="646" w:type="pct"/>
            <w:shd w:val="clear" w:color="auto" w:fill="E5B8B7" w:themeFill="accent2" w:themeFillTint="66"/>
          </w:tcPr>
          <w:p w14:paraId="62FE97BC" w14:textId="3EAFC1B2" w:rsidR="000554B2" w:rsidRPr="002D56DB" w:rsidRDefault="000554B2"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Private or Public Hospital</w:t>
            </w:r>
          </w:p>
        </w:tc>
        <w:tc>
          <w:tcPr>
            <w:tcW w:w="695" w:type="pct"/>
            <w:vMerge/>
            <w:shd w:val="clear" w:color="auto" w:fill="E5B8B7" w:themeFill="accent2" w:themeFillTint="66"/>
          </w:tcPr>
          <w:p w14:paraId="5C0FE8A1" w14:textId="4B95B150" w:rsidR="000554B2" w:rsidRPr="002D56DB" w:rsidRDefault="000554B2" w:rsidP="00FE1712">
            <w:pPr>
              <w:pStyle w:val="TableText0"/>
              <w:keepNext w:val="0"/>
              <w:widowControl w:val="0"/>
              <w:spacing w:before="20" w:after="20"/>
              <w:rPr>
                <w:rFonts w:asciiTheme="minorHAnsi" w:hAnsiTheme="minorHAnsi" w:cstheme="minorHAnsi"/>
              </w:rPr>
            </w:pPr>
          </w:p>
        </w:tc>
        <w:tc>
          <w:tcPr>
            <w:tcW w:w="600" w:type="pct"/>
            <w:shd w:val="clear" w:color="auto" w:fill="D6E3BC" w:themeFill="accent3" w:themeFillTint="66"/>
          </w:tcPr>
          <w:p w14:paraId="695C4074" w14:textId="4FEC7140" w:rsidR="000554B2" w:rsidRPr="002D56DB" w:rsidRDefault="000554B2"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100%</w:t>
            </w:r>
          </w:p>
        </w:tc>
        <w:tc>
          <w:tcPr>
            <w:tcW w:w="555" w:type="pct"/>
            <w:shd w:val="clear" w:color="auto" w:fill="D6E3BC" w:themeFill="accent3" w:themeFillTint="66"/>
          </w:tcPr>
          <w:p w14:paraId="1321856C" w14:textId="77777777" w:rsidR="000554B2" w:rsidRPr="002D56DB" w:rsidRDefault="000554B2" w:rsidP="00FE1712">
            <w:pPr>
              <w:pStyle w:val="TableText0"/>
              <w:keepNext w:val="0"/>
              <w:widowControl w:val="0"/>
              <w:spacing w:before="20" w:after="20"/>
              <w:rPr>
                <w:rFonts w:asciiTheme="minorHAnsi" w:hAnsiTheme="minorHAnsi" w:cstheme="minorHAnsi"/>
              </w:rPr>
            </w:pPr>
          </w:p>
        </w:tc>
        <w:tc>
          <w:tcPr>
            <w:tcW w:w="693" w:type="pct"/>
            <w:shd w:val="clear" w:color="auto" w:fill="FBD4B4" w:themeFill="accent6" w:themeFillTint="66"/>
          </w:tcPr>
          <w:p w14:paraId="08084D90" w14:textId="77777777" w:rsidR="000554B2" w:rsidRPr="002D56DB" w:rsidRDefault="000554B2" w:rsidP="00FE1712">
            <w:pPr>
              <w:pStyle w:val="TableText0"/>
              <w:keepNext w:val="0"/>
              <w:widowControl w:val="0"/>
              <w:spacing w:before="20" w:after="20"/>
              <w:rPr>
                <w:rFonts w:asciiTheme="minorHAnsi" w:hAnsiTheme="minorHAnsi" w:cstheme="minorHAnsi"/>
              </w:rPr>
            </w:pPr>
          </w:p>
        </w:tc>
        <w:tc>
          <w:tcPr>
            <w:tcW w:w="185" w:type="pct"/>
            <w:shd w:val="clear" w:color="auto" w:fill="FBD4B4" w:themeFill="accent6" w:themeFillTint="66"/>
          </w:tcPr>
          <w:p w14:paraId="4194522C" w14:textId="77777777" w:rsidR="000554B2" w:rsidRPr="002D56DB" w:rsidRDefault="000554B2" w:rsidP="00FE1712">
            <w:pPr>
              <w:pStyle w:val="TableText0"/>
              <w:keepNext w:val="0"/>
              <w:widowControl w:val="0"/>
              <w:spacing w:before="20" w:after="20"/>
              <w:rPr>
                <w:rFonts w:asciiTheme="minorHAnsi" w:hAnsiTheme="minorHAnsi" w:cstheme="minorHAnsi"/>
              </w:rPr>
            </w:pPr>
          </w:p>
        </w:tc>
        <w:tc>
          <w:tcPr>
            <w:tcW w:w="323" w:type="pct"/>
            <w:shd w:val="clear" w:color="auto" w:fill="FBD4B4" w:themeFill="accent6" w:themeFillTint="66"/>
          </w:tcPr>
          <w:p w14:paraId="7221390C" w14:textId="77777777" w:rsidR="000554B2" w:rsidRPr="002D56DB" w:rsidRDefault="000554B2"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7F96841B" w14:textId="77777777" w:rsidR="000554B2" w:rsidRPr="002D56DB" w:rsidRDefault="000554B2"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4C56FEA9" w14:textId="77777777" w:rsidR="000554B2" w:rsidRPr="002D56DB" w:rsidRDefault="000554B2"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4074872A" w14:textId="77777777" w:rsidR="000554B2" w:rsidRPr="002D56DB" w:rsidRDefault="000554B2" w:rsidP="00FE1712">
            <w:pPr>
              <w:pStyle w:val="TableText0"/>
              <w:keepNext w:val="0"/>
              <w:widowControl w:val="0"/>
              <w:spacing w:before="20" w:after="20"/>
              <w:rPr>
                <w:rFonts w:asciiTheme="minorHAnsi" w:hAnsiTheme="minorHAnsi" w:cstheme="minorHAnsi"/>
              </w:rPr>
            </w:pPr>
          </w:p>
        </w:tc>
      </w:tr>
      <w:tr w:rsidR="00B67B02" w:rsidRPr="002D56DB" w14:paraId="31973F08" w14:textId="77777777" w:rsidTr="00B67B02">
        <w:tc>
          <w:tcPr>
            <w:tcW w:w="610" w:type="pct"/>
            <w:shd w:val="clear" w:color="auto" w:fill="auto"/>
          </w:tcPr>
          <w:p w14:paraId="053A05AE" w14:textId="1426B422" w:rsidR="000554B2" w:rsidRPr="002D56DB" w:rsidRDefault="000554B2"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 xml:space="preserve">Follow-up </w:t>
            </w:r>
            <w:r>
              <w:rPr>
                <w:rFonts w:asciiTheme="minorHAnsi" w:hAnsiTheme="minorHAnsi" w:cstheme="minorHAnsi"/>
              </w:rPr>
              <w:t xml:space="preserve">consultation </w:t>
            </w:r>
          </w:p>
        </w:tc>
        <w:tc>
          <w:tcPr>
            <w:tcW w:w="646" w:type="pct"/>
            <w:shd w:val="clear" w:color="auto" w:fill="E5B8B7" w:themeFill="accent2" w:themeFillTint="66"/>
          </w:tcPr>
          <w:p w14:paraId="1DF88B8D" w14:textId="0C966017" w:rsidR="000554B2" w:rsidRPr="002D56DB" w:rsidRDefault="000554B2"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Cardiologist</w:t>
            </w:r>
          </w:p>
        </w:tc>
        <w:tc>
          <w:tcPr>
            <w:tcW w:w="695" w:type="pct"/>
            <w:shd w:val="clear" w:color="auto" w:fill="E5B8B7" w:themeFill="accent2" w:themeFillTint="66"/>
          </w:tcPr>
          <w:p w14:paraId="630E618F" w14:textId="1DE73462" w:rsidR="000554B2" w:rsidRPr="002D56DB" w:rsidRDefault="000554B2"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 xml:space="preserve">Private or Public Hospital, Doctor’s office.  </w:t>
            </w:r>
          </w:p>
        </w:tc>
        <w:tc>
          <w:tcPr>
            <w:tcW w:w="600" w:type="pct"/>
            <w:shd w:val="clear" w:color="auto" w:fill="D6E3BC" w:themeFill="accent3" w:themeFillTint="66"/>
          </w:tcPr>
          <w:p w14:paraId="39C193C6" w14:textId="148CEB17" w:rsidR="000554B2" w:rsidRPr="002D56DB" w:rsidRDefault="000554B2"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100%</w:t>
            </w:r>
          </w:p>
        </w:tc>
        <w:tc>
          <w:tcPr>
            <w:tcW w:w="555" w:type="pct"/>
            <w:shd w:val="clear" w:color="auto" w:fill="D6E3BC" w:themeFill="accent3" w:themeFillTint="66"/>
          </w:tcPr>
          <w:p w14:paraId="524EF130" w14:textId="77777777" w:rsidR="000554B2" w:rsidRPr="002D56DB" w:rsidRDefault="000554B2" w:rsidP="00FE1712">
            <w:pPr>
              <w:pStyle w:val="TableText0"/>
              <w:keepNext w:val="0"/>
              <w:widowControl w:val="0"/>
              <w:spacing w:before="20" w:after="20"/>
              <w:rPr>
                <w:rFonts w:asciiTheme="minorHAnsi" w:hAnsiTheme="minorHAnsi" w:cstheme="minorHAnsi"/>
              </w:rPr>
            </w:pPr>
          </w:p>
        </w:tc>
        <w:tc>
          <w:tcPr>
            <w:tcW w:w="693" w:type="pct"/>
            <w:shd w:val="clear" w:color="auto" w:fill="FBD4B4" w:themeFill="accent6" w:themeFillTint="66"/>
          </w:tcPr>
          <w:p w14:paraId="3987AB9C" w14:textId="6BC4555A" w:rsidR="000554B2" w:rsidRPr="002D56DB" w:rsidRDefault="000554B2"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lang w:eastAsia="ja-JP"/>
              </w:rPr>
              <w:t>$34.75 (proposed)</w:t>
            </w:r>
          </w:p>
        </w:tc>
        <w:tc>
          <w:tcPr>
            <w:tcW w:w="185" w:type="pct"/>
            <w:shd w:val="clear" w:color="auto" w:fill="FBD4B4" w:themeFill="accent6" w:themeFillTint="66"/>
          </w:tcPr>
          <w:p w14:paraId="24CF4C1A" w14:textId="77777777" w:rsidR="000554B2" w:rsidRPr="002D56DB" w:rsidRDefault="000554B2" w:rsidP="00FE1712">
            <w:pPr>
              <w:pStyle w:val="TableText0"/>
              <w:keepNext w:val="0"/>
              <w:widowControl w:val="0"/>
              <w:spacing w:before="20" w:after="20"/>
              <w:rPr>
                <w:rFonts w:asciiTheme="minorHAnsi" w:hAnsiTheme="minorHAnsi" w:cstheme="minorHAnsi"/>
              </w:rPr>
            </w:pPr>
          </w:p>
        </w:tc>
        <w:tc>
          <w:tcPr>
            <w:tcW w:w="323" w:type="pct"/>
            <w:shd w:val="clear" w:color="auto" w:fill="FBD4B4" w:themeFill="accent6" w:themeFillTint="66"/>
          </w:tcPr>
          <w:p w14:paraId="3FA73F69" w14:textId="77777777" w:rsidR="000554B2" w:rsidRPr="002D56DB" w:rsidRDefault="000554B2"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0E38814E" w14:textId="77777777" w:rsidR="000554B2" w:rsidRPr="002D56DB" w:rsidRDefault="000554B2"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28C53EDE" w14:textId="77777777" w:rsidR="000554B2" w:rsidRPr="002D56DB" w:rsidRDefault="000554B2"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32098099" w14:textId="77777777" w:rsidR="000554B2" w:rsidRPr="002D56DB" w:rsidRDefault="000554B2" w:rsidP="00FE1712">
            <w:pPr>
              <w:pStyle w:val="TableText0"/>
              <w:keepNext w:val="0"/>
              <w:widowControl w:val="0"/>
              <w:spacing w:before="20" w:after="20"/>
              <w:rPr>
                <w:rFonts w:asciiTheme="minorHAnsi" w:hAnsiTheme="minorHAnsi" w:cstheme="minorHAnsi"/>
              </w:rPr>
            </w:pPr>
          </w:p>
        </w:tc>
      </w:tr>
      <w:tr w:rsidR="000554B2" w:rsidRPr="002D56DB" w14:paraId="22F5A53C" w14:textId="77777777" w:rsidTr="00FE1712">
        <w:tc>
          <w:tcPr>
            <w:tcW w:w="5000" w:type="pct"/>
            <w:gridSpan w:val="11"/>
            <w:shd w:val="clear" w:color="auto" w:fill="auto"/>
            <w:vAlign w:val="center"/>
          </w:tcPr>
          <w:p w14:paraId="4B840661" w14:textId="77777777" w:rsidR="000554B2" w:rsidRPr="002D56DB" w:rsidRDefault="000554B2" w:rsidP="00FE1712">
            <w:pPr>
              <w:pStyle w:val="TableText0"/>
              <w:keepNext w:val="0"/>
              <w:widowControl w:val="0"/>
              <w:spacing w:before="20" w:after="20"/>
              <w:rPr>
                <w:rFonts w:asciiTheme="minorHAnsi" w:hAnsiTheme="minorHAnsi" w:cstheme="minorHAnsi"/>
                <w:b/>
                <w:i/>
              </w:rPr>
            </w:pPr>
            <w:r w:rsidRPr="002D56DB">
              <w:rPr>
                <w:rFonts w:asciiTheme="minorHAnsi" w:hAnsiTheme="minorHAnsi" w:cstheme="minorHAnsi"/>
                <w:b/>
                <w:i/>
              </w:rPr>
              <w:lastRenderedPageBreak/>
              <w:t>Resources provided in association with proposed intervention</w:t>
            </w:r>
          </w:p>
        </w:tc>
      </w:tr>
      <w:tr w:rsidR="00B67B02" w:rsidRPr="002D56DB" w14:paraId="56C089D4" w14:textId="77777777" w:rsidTr="00B67B02">
        <w:tc>
          <w:tcPr>
            <w:tcW w:w="610" w:type="pct"/>
            <w:shd w:val="clear" w:color="auto" w:fill="auto"/>
          </w:tcPr>
          <w:p w14:paraId="4C25C6C4" w14:textId="72BAA67C" w:rsidR="00014B06" w:rsidRPr="002D56DB" w:rsidRDefault="00014B06" w:rsidP="00FE1712">
            <w:pPr>
              <w:pStyle w:val="TableText0"/>
              <w:keepNext w:val="0"/>
              <w:widowControl w:val="0"/>
              <w:spacing w:before="20" w:after="20"/>
              <w:rPr>
                <w:rFonts w:asciiTheme="minorHAnsi" w:hAnsiTheme="minorHAnsi" w:cstheme="minorHAnsi"/>
              </w:rPr>
            </w:pPr>
            <w:r>
              <w:rPr>
                <w:rFonts w:asciiTheme="minorHAnsi" w:hAnsiTheme="minorHAnsi" w:cstheme="minorHAnsi"/>
              </w:rPr>
              <w:t>Management of adverse events (e.g., infection, pain, irritation, inflammation)</w:t>
            </w:r>
          </w:p>
        </w:tc>
        <w:tc>
          <w:tcPr>
            <w:tcW w:w="646" w:type="pct"/>
            <w:shd w:val="clear" w:color="auto" w:fill="E5B8B7" w:themeFill="accent2" w:themeFillTint="66"/>
          </w:tcPr>
          <w:p w14:paraId="60473919" w14:textId="452B1C51" w:rsidR="00014B06" w:rsidRPr="002D56DB" w:rsidRDefault="00014B06" w:rsidP="00FE1712">
            <w:pPr>
              <w:pStyle w:val="TableText0"/>
              <w:keepNext w:val="0"/>
              <w:widowControl w:val="0"/>
              <w:spacing w:before="20" w:after="20"/>
              <w:rPr>
                <w:rFonts w:asciiTheme="minorHAnsi" w:hAnsiTheme="minorHAnsi" w:cstheme="minorHAnsi"/>
              </w:rPr>
            </w:pPr>
            <w:r>
              <w:rPr>
                <w:rFonts w:asciiTheme="minorHAnsi" w:hAnsiTheme="minorHAnsi" w:cstheme="minorHAnsi"/>
              </w:rPr>
              <w:t xml:space="preserve">GP / cardiologist </w:t>
            </w:r>
          </w:p>
        </w:tc>
        <w:tc>
          <w:tcPr>
            <w:tcW w:w="695" w:type="pct"/>
            <w:shd w:val="clear" w:color="auto" w:fill="E5B8B7" w:themeFill="accent2" w:themeFillTint="66"/>
          </w:tcPr>
          <w:p w14:paraId="27666381" w14:textId="1E694752" w:rsidR="00014B06" w:rsidRPr="002D56DB" w:rsidRDefault="000479D1" w:rsidP="00FE1712">
            <w:pPr>
              <w:pStyle w:val="TableText0"/>
              <w:keepNext w:val="0"/>
              <w:widowControl w:val="0"/>
              <w:spacing w:before="20" w:after="20"/>
              <w:rPr>
                <w:rFonts w:asciiTheme="minorHAnsi" w:hAnsiTheme="minorHAnsi" w:cstheme="minorHAnsi"/>
              </w:rPr>
            </w:pPr>
            <w:r>
              <w:rPr>
                <w:rFonts w:asciiTheme="minorHAnsi" w:hAnsiTheme="minorHAnsi" w:cstheme="minorHAnsi"/>
              </w:rPr>
              <w:t>GP / Doctor’s office</w:t>
            </w:r>
          </w:p>
        </w:tc>
        <w:tc>
          <w:tcPr>
            <w:tcW w:w="600" w:type="pct"/>
            <w:shd w:val="clear" w:color="auto" w:fill="D6E3BC" w:themeFill="accent3" w:themeFillTint="66"/>
          </w:tcPr>
          <w:p w14:paraId="1E04032A" w14:textId="7B38F07E" w:rsidR="00014B06" w:rsidRPr="002D56DB" w:rsidRDefault="000479D1" w:rsidP="00FE1712">
            <w:pPr>
              <w:pStyle w:val="TableText0"/>
              <w:keepNext w:val="0"/>
              <w:widowControl w:val="0"/>
              <w:spacing w:before="20" w:after="20"/>
              <w:rPr>
                <w:rFonts w:asciiTheme="minorHAnsi" w:hAnsiTheme="minorHAnsi" w:cstheme="minorHAnsi"/>
              </w:rPr>
            </w:pPr>
            <w:r>
              <w:rPr>
                <w:rFonts w:asciiTheme="minorHAnsi" w:hAnsiTheme="minorHAnsi" w:cstheme="minorHAnsi"/>
              </w:rPr>
              <w:t>Less than 2% (see “</w:t>
            </w:r>
            <w:r w:rsidRPr="000E18A8">
              <w:rPr>
                <w:rFonts w:asciiTheme="minorHAnsi" w:hAnsiTheme="minorHAnsi" w:cstheme="minorHAnsi"/>
                <w:i/>
              </w:rPr>
              <w:t>Describe any potential risks to the patient</w:t>
            </w:r>
            <w:r>
              <w:rPr>
                <w:rFonts w:asciiTheme="minorHAnsi" w:hAnsiTheme="minorHAnsi" w:cstheme="minorHAnsi"/>
              </w:rPr>
              <w:t>” above)</w:t>
            </w:r>
          </w:p>
        </w:tc>
        <w:tc>
          <w:tcPr>
            <w:tcW w:w="555" w:type="pct"/>
            <w:shd w:val="clear" w:color="auto" w:fill="D6E3BC" w:themeFill="accent3" w:themeFillTint="66"/>
          </w:tcPr>
          <w:p w14:paraId="1AFA17AF" w14:textId="77777777" w:rsidR="00014B06" w:rsidRPr="002D56DB" w:rsidRDefault="00014B06" w:rsidP="00FE1712">
            <w:pPr>
              <w:pStyle w:val="TableText0"/>
              <w:keepNext w:val="0"/>
              <w:widowControl w:val="0"/>
              <w:spacing w:before="20" w:after="20"/>
              <w:rPr>
                <w:rFonts w:asciiTheme="minorHAnsi" w:hAnsiTheme="minorHAnsi" w:cstheme="minorHAnsi"/>
              </w:rPr>
            </w:pPr>
          </w:p>
        </w:tc>
        <w:tc>
          <w:tcPr>
            <w:tcW w:w="693" w:type="pct"/>
            <w:shd w:val="clear" w:color="auto" w:fill="FBD4B4" w:themeFill="accent6" w:themeFillTint="66"/>
          </w:tcPr>
          <w:p w14:paraId="4CEA6564" w14:textId="6C5AD361" w:rsidR="00014B06" w:rsidRDefault="00014B06" w:rsidP="00FE1712">
            <w:pPr>
              <w:pStyle w:val="TableText0"/>
              <w:keepNext w:val="0"/>
              <w:widowControl w:val="0"/>
              <w:spacing w:before="20" w:after="20"/>
              <w:rPr>
                <w:rFonts w:asciiTheme="minorHAnsi" w:hAnsiTheme="minorHAnsi" w:cstheme="minorHAnsi"/>
                <w:lang w:eastAsia="ja-JP"/>
              </w:rPr>
            </w:pPr>
            <w:r>
              <w:rPr>
                <w:rFonts w:asciiTheme="minorHAnsi" w:hAnsiTheme="minorHAnsi" w:cstheme="minorHAnsi"/>
                <w:lang w:eastAsia="ja-JP"/>
              </w:rPr>
              <w:t>Level A consultation: $16.95</w:t>
            </w:r>
          </w:p>
          <w:p w14:paraId="076B5B9C" w14:textId="11BAF8E0" w:rsidR="00014B06" w:rsidRPr="002D56DB" w:rsidRDefault="00014B06"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lang w:eastAsia="ja-JP"/>
              </w:rPr>
              <w:t>$34.75 (proposed</w:t>
            </w:r>
            <w:r>
              <w:rPr>
                <w:rFonts w:asciiTheme="minorHAnsi" w:hAnsiTheme="minorHAnsi" w:cstheme="minorHAnsi"/>
                <w:lang w:eastAsia="ja-JP"/>
              </w:rPr>
              <w:t>; if provided as a part of follow-up consultation</w:t>
            </w:r>
            <w:r w:rsidRPr="002D56DB">
              <w:rPr>
                <w:rFonts w:asciiTheme="minorHAnsi" w:hAnsiTheme="minorHAnsi" w:cstheme="minorHAnsi"/>
                <w:lang w:eastAsia="ja-JP"/>
              </w:rPr>
              <w:t>)</w:t>
            </w:r>
          </w:p>
        </w:tc>
        <w:tc>
          <w:tcPr>
            <w:tcW w:w="185" w:type="pct"/>
            <w:shd w:val="clear" w:color="auto" w:fill="FBD4B4" w:themeFill="accent6" w:themeFillTint="66"/>
          </w:tcPr>
          <w:p w14:paraId="3CA62AA4" w14:textId="77777777" w:rsidR="00014B06" w:rsidRPr="002D56DB" w:rsidRDefault="00014B06" w:rsidP="00FE1712">
            <w:pPr>
              <w:pStyle w:val="TableText0"/>
              <w:keepNext w:val="0"/>
              <w:widowControl w:val="0"/>
              <w:spacing w:before="20" w:after="20"/>
              <w:rPr>
                <w:rFonts w:asciiTheme="minorHAnsi" w:hAnsiTheme="minorHAnsi" w:cstheme="minorHAnsi"/>
              </w:rPr>
            </w:pPr>
          </w:p>
        </w:tc>
        <w:tc>
          <w:tcPr>
            <w:tcW w:w="323" w:type="pct"/>
            <w:shd w:val="clear" w:color="auto" w:fill="FBD4B4" w:themeFill="accent6" w:themeFillTint="66"/>
          </w:tcPr>
          <w:p w14:paraId="4DBEAD8B" w14:textId="77777777" w:rsidR="00014B06" w:rsidRPr="002D56DB" w:rsidRDefault="00014B06"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271490C7" w14:textId="77777777" w:rsidR="00014B06" w:rsidRPr="002D56DB" w:rsidRDefault="00014B06"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5B02EF9E" w14:textId="77777777" w:rsidR="00014B06" w:rsidRPr="002D56DB" w:rsidRDefault="00014B06"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1AAF6BA0" w14:textId="77777777" w:rsidR="00014B06" w:rsidRPr="002D56DB" w:rsidRDefault="00014B06" w:rsidP="00FE1712">
            <w:pPr>
              <w:pStyle w:val="TableText0"/>
              <w:keepNext w:val="0"/>
              <w:widowControl w:val="0"/>
              <w:spacing w:before="20" w:after="20"/>
              <w:rPr>
                <w:rFonts w:asciiTheme="minorHAnsi" w:hAnsiTheme="minorHAnsi" w:cstheme="minorHAnsi"/>
              </w:rPr>
            </w:pPr>
          </w:p>
        </w:tc>
      </w:tr>
      <w:tr w:rsidR="00B67B02" w:rsidRPr="002D56DB" w14:paraId="085A1B3F" w14:textId="77777777" w:rsidTr="00B67B02">
        <w:tc>
          <w:tcPr>
            <w:tcW w:w="610" w:type="pct"/>
            <w:shd w:val="clear" w:color="auto" w:fill="auto"/>
          </w:tcPr>
          <w:p w14:paraId="44D0BB26" w14:textId="097E78D1" w:rsidR="00014B06" w:rsidRPr="002D56DB" w:rsidRDefault="00014B06" w:rsidP="00FE1712">
            <w:pPr>
              <w:pStyle w:val="TableText0"/>
              <w:keepNext w:val="0"/>
              <w:widowControl w:val="0"/>
              <w:spacing w:before="20" w:after="20"/>
              <w:rPr>
                <w:rFonts w:asciiTheme="minorHAnsi" w:hAnsiTheme="minorHAnsi" w:cstheme="minorHAnsi"/>
              </w:rPr>
            </w:pPr>
            <w:proofErr w:type="spellStart"/>
            <w:r w:rsidRPr="002D56DB">
              <w:rPr>
                <w:rFonts w:asciiTheme="minorHAnsi" w:hAnsiTheme="minorHAnsi" w:cstheme="minorHAnsi"/>
              </w:rPr>
              <w:t>Explantation</w:t>
            </w:r>
            <w:proofErr w:type="spellEnd"/>
          </w:p>
        </w:tc>
        <w:tc>
          <w:tcPr>
            <w:tcW w:w="646" w:type="pct"/>
            <w:shd w:val="clear" w:color="auto" w:fill="E5B8B7" w:themeFill="accent2" w:themeFillTint="66"/>
          </w:tcPr>
          <w:p w14:paraId="16A87E2B" w14:textId="46894A43" w:rsidR="00014B06" w:rsidRPr="002D56DB" w:rsidRDefault="00014B06"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Private or Public Hospital</w:t>
            </w:r>
          </w:p>
        </w:tc>
        <w:tc>
          <w:tcPr>
            <w:tcW w:w="695" w:type="pct"/>
            <w:shd w:val="clear" w:color="auto" w:fill="E5B8B7" w:themeFill="accent2" w:themeFillTint="66"/>
          </w:tcPr>
          <w:p w14:paraId="58FCF789" w14:textId="6A1D06DD" w:rsidR="00014B06" w:rsidRPr="002D56DB" w:rsidRDefault="00014B06"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 xml:space="preserve">Private or Public Hospital, Day </w:t>
            </w:r>
            <w:r w:rsidRPr="00FE1712">
              <w:rPr>
                <w:rFonts w:asciiTheme="minorHAnsi" w:hAnsiTheme="minorHAnsi" w:cstheme="minorHAnsi"/>
                <w:szCs w:val="18"/>
              </w:rPr>
              <w:t xml:space="preserve">surgery (see </w:t>
            </w:r>
            <w:r w:rsidRPr="00FE1712">
              <w:rPr>
                <w:rFonts w:asciiTheme="minorHAnsi" w:hAnsiTheme="minorHAnsi" w:cstheme="minorHAnsi"/>
                <w:szCs w:val="18"/>
              </w:rPr>
              <w:fldChar w:fldCharType="begin"/>
            </w:r>
            <w:r w:rsidRPr="00FE1712">
              <w:rPr>
                <w:rFonts w:asciiTheme="minorHAnsi" w:hAnsiTheme="minorHAnsi" w:cstheme="minorHAnsi"/>
                <w:szCs w:val="18"/>
              </w:rPr>
              <w:instrText xml:space="preserve"> REF _Ref442864220 \h </w:instrText>
            </w:r>
            <w:r w:rsidR="000479D1" w:rsidRPr="00FE1712">
              <w:rPr>
                <w:rFonts w:asciiTheme="minorHAnsi" w:hAnsiTheme="minorHAnsi" w:cstheme="minorHAnsi"/>
                <w:szCs w:val="18"/>
              </w:rPr>
              <w:instrText xml:space="preserve"> \* MERGEFORMAT </w:instrText>
            </w:r>
            <w:r w:rsidRPr="00FE1712">
              <w:rPr>
                <w:rFonts w:asciiTheme="minorHAnsi" w:hAnsiTheme="minorHAnsi" w:cstheme="minorHAnsi"/>
                <w:szCs w:val="18"/>
              </w:rPr>
            </w:r>
            <w:r w:rsidRPr="00FE1712">
              <w:rPr>
                <w:rFonts w:asciiTheme="minorHAnsi" w:hAnsiTheme="minorHAnsi" w:cstheme="minorHAnsi"/>
                <w:szCs w:val="18"/>
              </w:rPr>
              <w:fldChar w:fldCharType="separate"/>
            </w:r>
            <w:r w:rsidRPr="00FE1712">
              <w:rPr>
                <w:rFonts w:asciiTheme="minorHAnsi" w:hAnsiTheme="minorHAnsi" w:cstheme="minorHAnsi"/>
                <w:szCs w:val="18"/>
              </w:rPr>
              <w:t xml:space="preserve">Table </w:t>
            </w:r>
            <w:r w:rsidRPr="00FE1712">
              <w:rPr>
                <w:rFonts w:asciiTheme="minorHAnsi" w:hAnsiTheme="minorHAnsi" w:cstheme="minorHAnsi"/>
                <w:noProof/>
                <w:szCs w:val="18"/>
              </w:rPr>
              <w:t>5</w:t>
            </w:r>
            <w:r w:rsidRPr="00FE1712">
              <w:rPr>
                <w:rFonts w:asciiTheme="minorHAnsi" w:hAnsiTheme="minorHAnsi" w:cstheme="minorHAnsi"/>
                <w:szCs w:val="18"/>
              </w:rPr>
              <w:fldChar w:fldCharType="end"/>
            </w:r>
            <w:r w:rsidRPr="00FE1712">
              <w:rPr>
                <w:rFonts w:asciiTheme="minorHAnsi" w:hAnsiTheme="minorHAnsi" w:cstheme="minorHAnsi"/>
                <w:szCs w:val="18"/>
              </w:rPr>
              <w:t>)</w:t>
            </w:r>
          </w:p>
        </w:tc>
        <w:tc>
          <w:tcPr>
            <w:tcW w:w="600" w:type="pct"/>
            <w:shd w:val="clear" w:color="auto" w:fill="D6E3BC" w:themeFill="accent3" w:themeFillTint="66"/>
          </w:tcPr>
          <w:p w14:paraId="7BB11A48" w14:textId="3FE076C9" w:rsidR="00014B06" w:rsidRPr="002D56DB" w:rsidRDefault="00014B06"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100%</w:t>
            </w:r>
          </w:p>
        </w:tc>
        <w:tc>
          <w:tcPr>
            <w:tcW w:w="555" w:type="pct"/>
            <w:shd w:val="clear" w:color="auto" w:fill="D6E3BC" w:themeFill="accent3" w:themeFillTint="66"/>
          </w:tcPr>
          <w:p w14:paraId="544A425A" w14:textId="77777777" w:rsidR="00014B06" w:rsidRPr="002D56DB" w:rsidRDefault="00014B06" w:rsidP="00FE1712">
            <w:pPr>
              <w:pStyle w:val="TableText0"/>
              <w:keepNext w:val="0"/>
              <w:widowControl w:val="0"/>
              <w:spacing w:before="20" w:after="20"/>
              <w:rPr>
                <w:rFonts w:asciiTheme="minorHAnsi" w:hAnsiTheme="minorHAnsi" w:cstheme="minorHAnsi"/>
              </w:rPr>
            </w:pPr>
          </w:p>
        </w:tc>
        <w:tc>
          <w:tcPr>
            <w:tcW w:w="693" w:type="pct"/>
            <w:shd w:val="clear" w:color="auto" w:fill="FBD4B4" w:themeFill="accent6" w:themeFillTint="66"/>
          </w:tcPr>
          <w:p w14:paraId="3FE05CD3" w14:textId="7FBB584C" w:rsidR="00014B06" w:rsidRPr="002D56DB" w:rsidRDefault="00014B06"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38286: $173.75</w:t>
            </w:r>
          </w:p>
        </w:tc>
        <w:tc>
          <w:tcPr>
            <w:tcW w:w="185" w:type="pct"/>
            <w:shd w:val="clear" w:color="auto" w:fill="FBD4B4" w:themeFill="accent6" w:themeFillTint="66"/>
          </w:tcPr>
          <w:p w14:paraId="1D55D43C" w14:textId="77777777" w:rsidR="00014B06" w:rsidRPr="002D56DB" w:rsidRDefault="00014B06" w:rsidP="00FE1712">
            <w:pPr>
              <w:pStyle w:val="TableText0"/>
              <w:keepNext w:val="0"/>
              <w:widowControl w:val="0"/>
              <w:spacing w:before="20" w:after="20"/>
              <w:rPr>
                <w:rFonts w:asciiTheme="minorHAnsi" w:hAnsiTheme="minorHAnsi" w:cstheme="minorHAnsi"/>
              </w:rPr>
            </w:pPr>
          </w:p>
        </w:tc>
        <w:tc>
          <w:tcPr>
            <w:tcW w:w="323" w:type="pct"/>
            <w:shd w:val="clear" w:color="auto" w:fill="FBD4B4" w:themeFill="accent6" w:themeFillTint="66"/>
          </w:tcPr>
          <w:p w14:paraId="00BBC383" w14:textId="77777777" w:rsidR="00014B06" w:rsidRPr="002D56DB" w:rsidRDefault="00014B06"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3E483788" w14:textId="77777777" w:rsidR="00014B06" w:rsidRPr="002D56DB" w:rsidRDefault="00014B06"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7387260F" w14:textId="77777777" w:rsidR="00014B06" w:rsidRPr="002D56DB" w:rsidRDefault="00014B06"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22CC07F6" w14:textId="77777777" w:rsidR="00014B06" w:rsidRPr="002D56DB" w:rsidRDefault="00014B06" w:rsidP="00FE1712">
            <w:pPr>
              <w:pStyle w:val="TableText0"/>
              <w:keepNext w:val="0"/>
              <w:widowControl w:val="0"/>
              <w:spacing w:before="20" w:after="20"/>
              <w:rPr>
                <w:rFonts w:asciiTheme="minorHAnsi" w:hAnsiTheme="minorHAnsi" w:cstheme="minorHAnsi"/>
              </w:rPr>
            </w:pPr>
          </w:p>
        </w:tc>
      </w:tr>
      <w:tr w:rsidR="00014B06" w:rsidRPr="002D56DB" w14:paraId="77179257" w14:textId="77777777" w:rsidTr="00FE1712">
        <w:tc>
          <w:tcPr>
            <w:tcW w:w="5000" w:type="pct"/>
            <w:gridSpan w:val="11"/>
            <w:shd w:val="clear" w:color="auto" w:fill="auto"/>
            <w:vAlign w:val="center"/>
          </w:tcPr>
          <w:p w14:paraId="03D4002E" w14:textId="20DFE8DB" w:rsidR="00014B06" w:rsidRPr="002D56DB" w:rsidRDefault="00014B06" w:rsidP="00FE1712">
            <w:pPr>
              <w:pStyle w:val="TableText0"/>
              <w:keepNext w:val="0"/>
              <w:widowControl w:val="0"/>
              <w:spacing w:before="20" w:after="20"/>
              <w:rPr>
                <w:rFonts w:asciiTheme="minorHAnsi" w:hAnsiTheme="minorHAnsi" w:cstheme="minorHAnsi"/>
                <w:b/>
                <w:i/>
              </w:rPr>
            </w:pPr>
            <w:r w:rsidRPr="002D56DB">
              <w:rPr>
                <w:rFonts w:asciiTheme="minorHAnsi" w:hAnsiTheme="minorHAnsi" w:cstheme="minorHAnsi"/>
                <w:b/>
                <w:i/>
              </w:rPr>
              <w:t>Resources provided to deliver SOC</w:t>
            </w:r>
          </w:p>
        </w:tc>
      </w:tr>
      <w:tr w:rsidR="00B67B02" w:rsidRPr="002D56DB" w14:paraId="274F6C67" w14:textId="77777777" w:rsidTr="00B67B02">
        <w:tc>
          <w:tcPr>
            <w:tcW w:w="610" w:type="pct"/>
            <w:shd w:val="clear" w:color="auto" w:fill="auto"/>
          </w:tcPr>
          <w:p w14:paraId="5E560532" w14:textId="5A51E0FC" w:rsidR="00014B06" w:rsidRPr="002D56DB" w:rsidRDefault="00014B06"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Ambulatory ECG monitoring (</w:t>
            </w:r>
            <w:proofErr w:type="spellStart"/>
            <w:r w:rsidRPr="002D56DB">
              <w:rPr>
                <w:rFonts w:asciiTheme="minorHAnsi" w:hAnsiTheme="minorHAnsi" w:cstheme="minorHAnsi"/>
              </w:rPr>
              <w:t>eg</w:t>
            </w:r>
            <w:proofErr w:type="spellEnd"/>
            <w:r w:rsidRPr="002D56DB">
              <w:rPr>
                <w:rFonts w:asciiTheme="minorHAnsi" w:hAnsiTheme="minorHAnsi" w:cstheme="minorHAnsi"/>
              </w:rPr>
              <w:t xml:space="preserve">, </w:t>
            </w:r>
            <w:proofErr w:type="spellStart"/>
            <w:r w:rsidRPr="002D56DB">
              <w:rPr>
                <w:rFonts w:asciiTheme="minorHAnsi" w:hAnsiTheme="minorHAnsi" w:cstheme="minorHAnsi"/>
              </w:rPr>
              <w:t>Holter</w:t>
            </w:r>
            <w:proofErr w:type="spellEnd"/>
            <w:r w:rsidRPr="002D56DB">
              <w:rPr>
                <w:rFonts w:asciiTheme="minorHAnsi" w:hAnsiTheme="minorHAnsi" w:cstheme="minorHAnsi"/>
              </w:rPr>
              <w:t>)</w:t>
            </w:r>
          </w:p>
        </w:tc>
        <w:tc>
          <w:tcPr>
            <w:tcW w:w="646" w:type="pct"/>
            <w:shd w:val="clear" w:color="auto" w:fill="E5B8B7" w:themeFill="accent2" w:themeFillTint="66"/>
          </w:tcPr>
          <w:p w14:paraId="25123717" w14:textId="123112BE" w:rsidR="00014B06" w:rsidRPr="002D56DB" w:rsidRDefault="00014B06"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 xml:space="preserve">Private or Public Hospital, cardiologist / neurologist </w:t>
            </w:r>
          </w:p>
        </w:tc>
        <w:tc>
          <w:tcPr>
            <w:tcW w:w="695" w:type="pct"/>
            <w:shd w:val="clear" w:color="auto" w:fill="E5B8B7" w:themeFill="accent2" w:themeFillTint="66"/>
          </w:tcPr>
          <w:p w14:paraId="46D844B9" w14:textId="32E41A96" w:rsidR="00014B06" w:rsidRPr="002D56DB" w:rsidRDefault="00014B06"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 xml:space="preserve">Private or Public Hospital, Doctor’s office.  </w:t>
            </w:r>
          </w:p>
        </w:tc>
        <w:tc>
          <w:tcPr>
            <w:tcW w:w="600" w:type="pct"/>
            <w:shd w:val="clear" w:color="auto" w:fill="D6E3BC" w:themeFill="accent3" w:themeFillTint="66"/>
          </w:tcPr>
          <w:p w14:paraId="71D13F1A" w14:textId="2AFEE899" w:rsidR="00014B06" w:rsidRPr="002D56DB" w:rsidRDefault="00014B06"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 xml:space="preserve">Ad hoc </w:t>
            </w:r>
          </w:p>
        </w:tc>
        <w:tc>
          <w:tcPr>
            <w:tcW w:w="555" w:type="pct"/>
            <w:shd w:val="clear" w:color="auto" w:fill="D6E3BC" w:themeFill="accent3" w:themeFillTint="66"/>
          </w:tcPr>
          <w:p w14:paraId="036EB6BE" w14:textId="77777777" w:rsidR="00014B06" w:rsidRPr="002D56DB" w:rsidRDefault="00014B06" w:rsidP="00FE1712">
            <w:pPr>
              <w:pStyle w:val="TableText0"/>
              <w:keepNext w:val="0"/>
              <w:widowControl w:val="0"/>
              <w:spacing w:before="20" w:after="20"/>
              <w:rPr>
                <w:rFonts w:asciiTheme="minorHAnsi" w:hAnsiTheme="minorHAnsi" w:cstheme="minorHAnsi"/>
              </w:rPr>
            </w:pPr>
          </w:p>
        </w:tc>
        <w:tc>
          <w:tcPr>
            <w:tcW w:w="693" w:type="pct"/>
            <w:shd w:val="clear" w:color="auto" w:fill="FBD4B4" w:themeFill="accent6" w:themeFillTint="66"/>
          </w:tcPr>
          <w:p w14:paraId="496558E3" w14:textId="7077B9C0" w:rsidR="00014B06" w:rsidRPr="002D56DB" w:rsidRDefault="00014B06"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 xml:space="preserve">11708-11711: $28.30 - $167.45 (see </w:t>
            </w:r>
            <w:r w:rsidRPr="002D56DB">
              <w:rPr>
                <w:rFonts w:asciiTheme="minorHAnsi" w:hAnsiTheme="minorHAnsi" w:cstheme="minorHAnsi"/>
              </w:rPr>
              <w:fldChar w:fldCharType="begin"/>
            </w:r>
            <w:r w:rsidRPr="002D56DB">
              <w:rPr>
                <w:rFonts w:asciiTheme="minorHAnsi" w:hAnsiTheme="minorHAnsi" w:cstheme="minorHAnsi"/>
              </w:rPr>
              <w:instrText xml:space="preserve"> REF _Ref442864874 \h </w:instrText>
            </w:r>
            <w:r w:rsidRPr="002D56DB">
              <w:rPr>
                <w:rFonts w:asciiTheme="minorHAnsi" w:hAnsiTheme="minorHAnsi" w:cstheme="minorHAnsi"/>
              </w:rPr>
            </w:r>
            <w:r w:rsidRPr="002D56DB">
              <w:rPr>
                <w:rFonts w:asciiTheme="minorHAnsi" w:hAnsiTheme="minorHAnsi" w:cstheme="minorHAnsi"/>
              </w:rPr>
              <w:fldChar w:fldCharType="separate"/>
            </w:r>
            <w:r w:rsidRPr="002D56DB">
              <w:rPr>
                <w:rFonts w:asciiTheme="minorHAnsi" w:hAnsiTheme="minorHAnsi" w:cstheme="minorHAnsi"/>
              </w:rPr>
              <w:t xml:space="preserve">Table </w:t>
            </w:r>
            <w:r w:rsidRPr="002D56DB">
              <w:rPr>
                <w:rFonts w:asciiTheme="minorHAnsi" w:hAnsiTheme="minorHAnsi" w:cstheme="minorHAnsi"/>
                <w:noProof/>
              </w:rPr>
              <w:t>7</w:t>
            </w:r>
            <w:r w:rsidRPr="002D56DB">
              <w:rPr>
                <w:rFonts w:asciiTheme="minorHAnsi" w:hAnsiTheme="minorHAnsi" w:cstheme="minorHAnsi"/>
              </w:rPr>
              <w:fldChar w:fldCharType="end"/>
            </w:r>
            <w:r w:rsidRPr="002D56DB">
              <w:rPr>
                <w:rFonts w:asciiTheme="minorHAnsi" w:hAnsiTheme="minorHAnsi" w:cstheme="minorHAnsi"/>
              </w:rPr>
              <w:t xml:space="preserve">)   </w:t>
            </w:r>
          </w:p>
        </w:tc>
        <w:tc>
          <w:tcPr>
            <w:tcW w:w="185" w:type="pct"/>
            <w:shd w:val="clear" w:color="auto" w:fill="FBD4B4" w:themeFill="accent6" w:themeFillTint="66"/>
          </w:tcPr>
          <w:p w14:paraId="500FC957" w14:textId="77777777" w:rsidR="00014B06" w:rsidRPr="002D56DB" w:rsidRDefault="00014B06" w:rsidP="00FE1712">
            <w:pPr>
              <w:pStyle w:val="TableText0"/>
              <w:keepNext w:val="0"/>
              <w:widowControl w:val="0"/>
              <w:spacing w:before="20" w:after="20"/>
              <w:rPr>
                <w:rFonts w:asciiTheme="minorHAnsi" w:hAnsiTheme="minorHAnsi" w:cstheme="minorHAnsi"/>
              </w:rPr>
            </w:pPr>
          </w:p>
        </w:tc>
        <w:tc>
          <w:tcPr>
            <w:tcW w:w="323" w:type="pct"/>
            <w:shd w:val="clear" w:color="auto" w:fill="FBD4B4" w:themeFill="accent6" w:themeFillTint="66"/>
          </w:tcPr>
          <w:p w14:paraId="08ABF663" w14:textId="77777777" w:rsidR="00014B06" w:rsidRPr="002D56DB" w:rsidRDefault="00014B06"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4817D708" w14:textId="77777777" w:rsidR="00014B06" w:rsidRPr="002D56DB" w:rsidRDefault="00014B06"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55A1280B" w14:textId="77777777" w:rsidR="00014B06" w:rsidRPr="002D56DB" w:rsidRDefault="00014B06"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228A1B8B" w14:textId="77777777" w:rsidR="00014B06" w:rsidRPr="002D56DB" w:rsidRDefault="00014B06" w:rsidP="00FE1712">
            <w:pPr>
              <w:pStyle w:val="TableText0"/>
              <w:keepNext w:val="0"/>
              <w:widowControl w:val="0"/>
              <w:spacing w:before="20" w:after="20"/>
              <w:rPr>
                <w:rFonts w:asciiTheme="minorHAnsi" w:hAnsiTheme="minorHAnsi" w:cstheme="minorHAnsi"/>
              </w:rPr>
            </w:pPr>
          </w:p>
        </w:tc>
      </w:tr>
      <w:tr w:rsidR="00014B06" w:rsidRPr="002D56DB" w14:paraId="543C4442" w14:textId="77777777" w:rsidTr="00FE1712">
        <w:tc>
          <w:tcPr>
            <w:tcW w:w="5000" w:type="pct"/>
            <w:gridSpan w:val="11"/>
            <w:shd w:val="clear" w:color="auto" w:fill="auto"/>
            <w:vAlign w:val="center"/>
          </w:tcPr>
          <w:p w14:paraId="775A09F0" w14:textId="1FBBDA92" w:rsidR="00014B06" w:rsidRPr="002D56DB" w:rsidRDefault="00014B06" w:rsidP="00FE1712">
            <w:pPr>
              <w:pStyle w:val="TableText0"/>
              <w:keepNext w:val="0"/>
              <w:widowControl w:val="0"/>
              <w:spacing w:before="20" w:after="20"/>
              <w:rPr>
                <w:rFonts w:asciiTheme="minorHAnsi" w:hAnsiTheme="minorHAnsi" w:cstheme="minorHAnsi"/>
                <w:b/>
                <w:i/>
              </w:rPr>
            </w:pPr>
            <w:r w:rsidRPr="002D56DB">
              <w:rPr>
                <w:rFonts w:asciiTheme="minorHAnsi" w:hAnsiTheme="minorHAnsi" w:cstheme="minorHAnsi"/>
                <w:b/>
                <w:i/>
              </w:rPr>
              <w:t>Resources provided in association with SOC</w:t>
            </w:r>
          </w:p>
        </w:tc>
      </w:tr>
      <w:tr w:rsidR="00B67B02" w:rsidRPr="002D56DB" w14:paraId="25B87ABE" w14:textId="77777777" w:rsidTr="00B67B02">
        <w:tc>
          <w:tcPr>
            <w:tcW w:w="610" w:type="pct"/>
            <w:shd w:val="clear" w:color="auto" w:fill="auto"/>
          </w:tcPr>
          <w:p w14:paraId="27136C6C" w14:textId="3B85BA81" w:rsidR="00014B06" w:rsidRPr="002D56DB" w:rsidRDefault="00014B06"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Follow up consultations</w:t>
            </w:r>
          </w:p>
        </w:tc>
        <w:tc>
          <w:tcPr>
            <w:tcW w:w="646" w:type="pct"/>
            <w:shd w:val="clear" w:color="auto" w:fill="E5B8B7" w:themeFill="accent2" w:themeFillTint="66"/>
          </w:tcPr>
          <w:p w14:paraId="2F3339E9" w14:textId="5425F588" w:rsidR="00014B06" w:rsidRPr="002D56DB" w:rsidRDefault="00014B06"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 xml:space="preserve">Cardiologist </w:t>
            </w:r>
          </w:p>
        </w:tc>
        <w:tc>
          <w:tcPr>
            <w:tcW w:w="695" w:type="pct"/>
            <w:shd w:val="clear" w:color="auto" w:fill="E5B8B7" w:themeFill="accent2" w:themeFillTint="66"/>
          </w:tcPr>
          <w:p w14:paraId="5B416ED8" w14:textId="34197E9C" w:rsidR="00014B06" w:rsidRPr="002D56DB" w:rsidRDefault="00014B06"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 xml:space="preserve">Private or Public Hospital, Doctor’s office.  </w:t>
            </w:r>
          </w:p>
        </w:tc>
        <w:tc>
          <w:tcPr>
            <w:tcW w:w="600" w:type="pct"/>
            <w:shd w:val="clear" w:color="auto" w:fill="D6E3BC" w:themeFill="accent3" w:themeFillTint="66"/>
          </w:tcPr>
          <w:p w14:paraId="78462E14" w14:textId="0C30EE56" w:rsidR="00014B06" w:rsidRPr="002D56DB" w:rsidRDefault="00014B06"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Ad hoc</w:t>
            </w:r>
          </w:p>
        </w:tc>
        <w:tc>
          <w:tcPr>
            <w:tcW w:w="555" w:type="pct"/>
            <w:shd w:val="clear" w:color="auto" w:fill="D6E3BC" w:themeFill="accent3" w:themeFillTint="66"/>
          </w:tcPr>
          <w:p w14:paraId="3762BEC3" w14:textId="77777777" w:rsidR="00014B06" w:rsidRPr="002D56DB" w:rsidRDefault="00014B06" w:rsidP="00FE1712">
            <w:pPr>
              <w:pStyle w:val="TableText0"/>
              <w:keepNext w:val="0"/>
              <w:widowControl w:val="0"/>
              <w:spacing w:before="20" w:after="20"/>
              <w:rPr>
                <w:rFonts w:asciiTheme="minorHAnsi" w:hAnsiTheme="minorHAnsi" w:cstheme="minorHAnsi"/>
              </w:rPr>
            </w:pPr>
          </w:p>
        </w:tc>
        <w:tc>
          <w:tcPr>
            <w:tcW w:w="693" w:type="pct"/>
            <w:shd w:val="clear" w:color="auto" w:fill="FBD4B4" w:themeFill="accent6" w:themeFillTint="66"/>
          </w:tcPr>
          <w:p w14:paraId="7484ACD9" w14:textId="77777777" w:rsidR="00014B06" w:rsidRPr="002D56DB" w:rsidRDefault="00014B06"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53: $21.00</w:t>
            </w:r>
          </w:p>
          <w:p w14:paraId="623CFE4D" w14:textId="5A276B25" w:rsidR="00014B06" w:rsidRPr="002D56DB" w:rsidRDefault="00014B06"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54: $38.00</w:t>
            </w:r>
          </w:p>
        </w:tc>
        <w:tc>
          <w:tcPr>
            <w:tcW w:w="185" w:type="pct"/>
            <w:shd w:val="clear" w:color="auto" w:fill="FBD4B4" w:themeFill="accent6" w:themeFillTint="66"/>
          </w:tcPr>
          <w:p w14:paraId="58F4CA67" w14:textId="77777777" w:rsidR="00014B06" w:rsidRPr="002D56DB" w:rsidRDefault="00014B06" w:rsidP="00FE1712">
            <w:pPr>
              <w:pStyle w:val="TableText0"/>
              <w:keepNext w:val="0"/>
              <w:widowControl w:val="0"/>
              <w:spacing w:before="20" w:after="20"/>
              <w:rPr>
                <w:rFonts w:asciiTheme="minorHAnsi" w:hAnsiTheme="minorHAnsi" w:cstheme="minorHAnsi"/>
              </w:rPr>
            </w:pPr>
          </w:p>
        </w:tc>
        <w:tc>
          <w:tcPr>
            <w:tcW w:w="323" w:type="pct"/>
            <w:shd w:val="clear" w:color="auto" w:fill="FBD4B4" w:themeFill="accent6" w:themeFillTint="66"/>
          </w:tcPr>
          <w:p w14:paraId="4205C9FA" w14:textId="77777777" w:rsidR="00014B06" w:rsidRPr="002D56DB" w:rsidRDefault="00014B06"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73225F9F" w14:textId="77777777" w:rsidR="00014B06" w:rsidRPr="002D56DB" w:rsidRDefault="00014B06"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08BB54DF" w14:textId="77777777" w:rsidR="00014B06" w:rsidRPr="002D56DB" w:rsidRDefault="00014B06"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15B3971A" w14:textId="77777777" w:rsidR="00014B06" w:rsidRPr="002D56DB" w:rsidRDefault="00014B06" w:rsidP="00FE1712">
            <w:pPr>
              <w:pStyle w:val="TableText0"/>
              <w:keepNext w:val="0"/>
              <w:widowControl w:val="0"/>
              <w:spacing w:before="20" w:after="20"/>
              <w:rPr>
                <w:rFonts w:asciiTheme="minorHAnsi" w:hAnsiTheme="minorHAnsi" w:cstheme="minorHAnsi"/>
              </w:rPr>
            </w:pPr>
          </w:p>
        </w:tc>
      </w:tr>
      <w:tr w:rsidR="00014B06" w:rsidRPr="002D56DB" w14:paraId="6D587138" w14:textId="77777777" w:rsidTr="00FE1712">
        <w:tc>
          <w:tcPr>
            <w:tcW w:w="5000" w:type="pct"/>
            <w:gridSpan w:val="11"/>
            <w:shd w:val="clear" w:color="auto" w:fill="auto"/>
            <w:vAlign w:val="center"/>
          </w:tcPr>
          <w:p w14:paraId="31498AA4" w14:textId="1176132E" w:rsidR="00014B06" w:rsidRPr="00447662" w:rsidRDefault="00014B06" w:rsidP="00FE1712">
            <w:pPr>
              <w:pStyle w:val="TableText0"/>
              <w:keepNext w:val="0"/>
              <w:widowControl w:val="0"/>
              <w:spacing w:before="20" w:after="20"/>
              <w:rPr>
                <w:rFonts w:asciiTheme="minorHAnsi" w:hAnsiTheme="minorHAnsi" w:cstheme="minorHAnsi"/>
                <w:b/>
                <w:i/>
                <w:vertAlign w:val="superscript"/>
              </w:rPr>
            </w:pPr>
            <w:r w:rsidRPr="002D56DB">
              <w:rPr>
                <w:rFonts w:asciiTheme="minorHAnsi" w:hAnsiTheme="minorHAnsi" w:cstheme="minorHAnsi"/>
                <w:b/>
                <w:i/>
              </w:rPr>
              <w:t>Resources used to manage patients diagnosed with AF using the proposed intervention</w:t>
            </w:r>
            <w:r>
              <w:rPr>
                <w:rFonts w:asciiTheme="minorHAnsi" w:hAnsiTheme="minorHAnsi" w:cstheme="minorHAnsi"/>
                <w:b/>
                <w:i/>
              </w:rPr>
              <w:t xml:space="preserve"> or the comparator SOC </w:t>
            </w:r>
            <w:r>
              <w:rPr>
                <w:rFonts w:asciiTheme="minorHAnsi" w:hAnsiTheme="minorHAnsi" w:cstheme="minorHAnsi"/>
                <w:b/>
                <w:i/>
                <w:vertAlign w:val="superscript"/>
              </w:rPr>
              <w:t>1</w:t>
            </w:r>
          </w:p>
        </w:tc>
      </w:tr>
      <w:tr w:rsidR="00B67B02" w:rsidRPr="002D56DB" w14:paraId="28C715F1" w14:textId="77777777" w:rsidTr="00B67B02">
        <w:tc>
          <w:tcPr>
            <w:tcW w:w="610" w:type="pct"/>
            <w:shd w:val="clear" w:color="auto" w:fill="auto"/>
          </w:tcPr>
          <w:p w14:paraId="6472F8EC" w14:textId="3375A693" w:rsidR="00014B06" w:rsidRPr="002D56DB" w:rsidRDefault="00014B06"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 xml:space="preserve">Anticoagulation therapy </w:t>
            </w:r>
          </w:p>
        </w:tc>
        <w:tc>
          <w:tcPr>
            <w:tcW w:w="646" w:type="pct"/>
            <w:shd w:val="clear" w:color="auto" w:fill="E5B8B7" w:themeFill="accent2" w:themeFillTint="66"/>
          </w:tcPr>
          <w:p w14:paraId="29C4720B" w14:textId="46D21243" w:rsidR="00014B06" w:rsidRPr="002D56DB" w:rsidRDefault="00014B06"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Specialist / GPs</w:t>
            </w:r>
          </w:p>
        </w:tc>
        <w:tc>
          <w:tcPr>
            <w:tcW w:w="695" w:type="pct"/>
            <w:shd w:val="clear" w:color="auto" w:fill="E5B8B7" w:themeFill="accent2" w:themeFillTint="66"/>
          </w:tcPr>
          <w:p w14:paraId="7057D095" w14:textId="76A15F60" w:rsidR="00014B06" w:rsidRPr="002D56DB" w:rsidRDefault="00014B06"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Outpatient / PBS</w:t>
            </w:r>
          </w:p>
        </w:tc>
        <w:tc>
          <w:tcPr>
            <w:tcW w:w="600" w:type="pct"/>
            <w:shd w:val="clear" w:color="auto" w:fill="D6E3BC" w:themeFill="accent3" w:themeFillTint="66"/>
          </w:tcPr>
          <w:p w14:paraId="73E9D3FE" w14:textId="178B63CC" w:rsidR="00014B06" w:rsidRPr="002D56DB" w:rsidRDefault="00014B06"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High (unless contraindicated) with AF positive</w:t>
            </w:r>
          </w:p>
        </w:tc>
        <w:tc>
          <w:tcPr>
            <w:tcW w:w="555" w:type="pct"/>
            <w:shd w:val="clear" w:color="auto" w:fill="D6E3BC" w:themeFill="accent3" w:themeFillTint="66"/>
          </w:tcPr>
          <w:p w14:paraId="6C76BED1" w14:textId="7BEF01CA" w:rsidR="00014B06" w:rsidRPr="002D56DB" w:rsidRDefault="00014B06" w:rsidP="00FE1712">
            <w:pPr>
              <w:pStyle w:val="TableText0"/>
              <w:keepNext w:val="0"/>
              <w:widowControl w:val="0"/>
              <w:spacing w:before="20" w:after="20"/>
              <w:rPr>
                <w:rFonts w:asciiTheme="minorHAnsi" w:hAnsiTheme="minorHAnsi" w:cstheme="minorHAnsi"/>
              </w:rPr>
            </w:pPr>
            <w:r w:rsidRPr="002D56DB">
              <w:rPr>
                <w:rFonts w:asciiTheme="minorHAnsi" w:hAnsiTheme="minorHAnsi" w:cstheme="minorHAnsi"/>
              </w:rPr>
              <w:t xml:space="preserve">Long-term </w:t>
            </w:r>
          </w:p>
        </w:tc>
        <w:tc>
          <w:tcPr>
            <w:tcW w:w="693" w:type="pct"/>
            <w:shd w:val="clear" w:color="auto" w:fill="FBD4B4" w:themeFill="accent6" w:themeFillTint="66"/>
          </w:tcPr>
          <w:p w14:paraId="22834865" w14:textId="77777777" w:rsidR="00014B06" w:rsidRPr="002D56DB" w:rsidRDefault="00014B06" w:rsidP="00FE1712">
            <w:pPr>
              <w:pStyle w:val="TableText0"/>
              <w:keepNext w:val="0"/>
              <w:widowControl w:val="0"/>
              <w:spacing w:before="20" w:after="20"/>
              <w:rPr>
                <w:rFonts w:asciiTheme="minorHAnsi" w:hAnsiTheme="minorHAnsi" w:cstheme="minorHAnsi"/>
              </w:rPr>
            </w:pPr>
          </w:p>
        </w:tc>
        <w:tc>
          <w:tcPr>
            <w:tcW w:w="185" w:type="pct"/>
            <w:shd w:val="clear" w:color="auto" w:fill="FBD4B4" w:themeFill="accent6" w:themeFillTint="66"/>
          </w:tcPr>
          <w:p w14:paraId="217D16E5" w14:textId="77777777" w:rsidR="00014B06" w:rsidRPr="002D56DB" w:rsidRDefault="00014B06" w:rsidP="00FE1712">
            <w:pPr>
              <w:pStyle w:val="TableText0"/>
              <w:keepNext w:val="0"/>
              <w:widowControl w:val="0"/>
              <w:spacing w:before="20" w:after="20"/>
              <w:rPr>
                <w:rFonts w:asciiTheme="minorHAnsi" w:hAnsiTheme="minorHAnsi" w:cstheme="minorHAnsi"/>
              </w:rPr>
            </w:pPr>
          </w:p>
        </w:tc>
        <w:tc>
          <w:tcPr>
            <w:tcW w:w="323" w:type="pct"/>
            <w:shd w:val="clear" w:color="auto" w:fill="FBD4B4" w:themeFill="accent6" w:themeFillTint="66"/>
          </w:tcPr>
          <w:p w14:paraId="56E41E9D" w14:textId="42C738F8" w:rsidR="00014B06" w:rsidRPr="002D56DB" w:rsidRDefault="00FE1712" w:rsidP="00FE1712">
            <w:pPr>
              <w:pStyle w:val="TableText0"/>
              <w:keepNext w:val="0"/>
              <w:widowControl w:val="0"/>
              <w:spacing w:before="20" w:after="20"/>
              <w:rPr>
                <w:rFonts w:asciiTheme="minorHAnsi" w:hAnsiTheme="minorHAnsi" w:cstheme="minorHAnsi"/>
              </w:rPr>
            </w:pPr>
            <w:r>
              <w:rPr>
                <w:rFonts w:asciiTheme="minorHAnsi" w:hAnsiTheme="minorHAnsi" w:cstheme="minorHAnsi"/>
              </w:rPr>
              <w:t xml:space="preserve">PBS: </w:t>
            </w:r>
            <w:proofErr w:type="spellStart"/>
            <w:r>
              <w:rPr>
                <w:rFonts w:asciiTheme="minorHAnsi" w:hAnsiTheme="minorHAnsi" w:cstheme="minorHAnsi"/>
              </w:rPr>
              <w:t>Dabigatran</w:t>
            </w:r>
            <w:proofErr w:type="spellEnd"/>
            <w:r>
              <w:rPr>
                <w:rFonts w:asciiTheme="minorHAnsi" w:hAnsiTheme="minorHAnsi" w:cstheme="minorHAnsi"/>
              </w:rPr>
              <w:t xml:space="preserve"> at $91.77 / m</w:t>
            </w:r>
            <w:r w:rsidR="00B67B02">
              <w:rPr>
                <w:rFonts w:asciiTheme="minorHAnsi" w:hAnsiTheme="minorHAnsi" w:cstheme="minorHAnsi"/>
              </w:rPr>
              <w:t>on</w:t>
            </w:r>
            <w:r w:rsidR="00014B06" w:rsidRPr="002D56DB">
              <w:rPr>
                <w:rFonts w:asciiTheme="minorHAnsi" w:hAnsiTheme="minorHAnsi" w:cstheme="minorHAnsi"/>
              </w:rPr>
              <w:t>th (example)</w:t>
            </w:r>
          </w:p>
        </w:tc>
        <w:tc>
          <w:tcPr>
            <w:tcW w:w="231" w:type="pct"/>
            <w:shd w:val="clear" w:color="auto" w:fill="FBD4B4" w:themeFill="accent6" w:themeFillTint="66"/>
          </w:tcPr>
          <w:p w14:paraId="08775B8F" w14:textId="77777777" w:rsidR="00014B06" w:rsidRPr="002D56DB" w:rsidRDefault="00014B06"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66002D5A" w14:textId="77777777" w:rsidR="00014B06" w:rsidRPr="002D56DB" w:rsidRDefault="00014B06" w:rsidP="00FE1712">
            <w:pPr>
              <w:pStyle w:val="TableText0"/>
              <w:keepNext w:val="0"/>
              <w:widowControl w:val="0"/>
              <w:spacing w:before="20" w:after="20"/>
              <w:rPr>
                <w:rFonts w:asciiTheme="minorHAnsi" w:hAnsiTheme="minorHAnsi" w:cstheme="minorHAnsi"/>
              </w:rPr>
            </w:pPr>
          </w:p>
        </w:tc>
        <w:tc>
          <w:tcPr>
            <w:tcW w:w="231" w:type="pct"/>
            <w:shd w:val="clear" w:color="auto" w:fill="FBD4B4" w:themeFill="accent6" w:themeFillTint="66"/>
          </w:tcPr>
          <w:p w14:paraId="2FD8BC93" w14:textId="77777777" w:rsidR="00014B06" w:rsidRPr="002D56DB" w:rsidRDefault="00014B06" w:rsidP="00FE1712">
            <w:pPr>
              <w:pStyle w:val="TableText0"/>
              <w:keepNext w:val="0"/>
              <w:widowControl w:val="0"/>
              <w:spacing w:before="20" w:after="20"/>
              <w:rPr>
                <w:rFonts w:asciiTheme="minorHAnsi" w:hAnsiTheme="minorHAnsi" w:cstheme="minorHAnsi"/>
              </w:rPr>
            </w:pPr>
          </w:p>
        </w:tc>
      </w:tr>
    </w:tbl>
    <w:p w14:paraId="1220EC92" w14:textId="77777777" w:rsidR="001F5AEC" w:rsidRDefault="00C04293" w:rsidP="00CC6C1D">
      <w:pPr>
        <w:spacing w:after="0" w:line="240" w:lineRule="auto"/>
        <w:rPr>
          <w:rFonts w:cs="Arial"/>
          <w:sz w:val="18"/>
          <w:szCs w:val="18"/>
        </w:rPr>
      </w:pPr>
      <w:r w:rsidRPr="00D415F1">
        <w:rPr>
          <w:rFonts w:cs="Arial"/>
          <w:sz w:val="18"/>
          <w:szCs w:val="18"/>
        </w:rPr>
        <w:t>* Include costs relating to both the standard and extended safety net.</w:t>
      </w:r>
    </w:p>
    <w:p w14:paraId="4DBB0FFE" w14:textId="6FE14AD9" w:rsidR="004D3F35" w:rsidRDefault="004D3F35" w:rsidP="00CC6C1D">
      <w:pPr>
        <w:spacing w:after="0" w:line="240" w:lineRule="auto"/>
        <w:rPr>
          <w:rFonts w:eastAsia="Calibri" w:cstheme="minorHAnsi"/>
          <w:sz w:val="18"/>
          <w:szCs w:val="18"/>
          <w:lang w:val="en-GB" w:eastAsia="ja-JP"/>
        </w:rPr>
      </w:pPr>
      <w:r w:rsidRPr="001F5AEC">
        <w:rPr>
          <w:rFonts w:eastAsia="Times New Roman" w:cstheme="minorHAnsi"/>
          <w:sz w:val="18"/>
          <w:szCs w:val="18"/>
          <w:lang w:val="en-GB" w:eastAsia="ja-JP"/>
        </w:rPr>
        <w:t xml:space="preserve">Abbreviations: </w:t>
      </w:r>
      <w:r w:rsidR="00815817" w:rsidRPr="001F5AEC">
        <w:rPr>
          <w:rFonts w:eastAsia="Times New Roman" w:cstheme="minorHAnsi"/>
          <w:sz w:val="18"/>
          <w:szCs w:val="18"/>
          <w:lang w:val="en-GB" w:eastAsia="ja-JP"/>
        </w:rPr>
        <w:t>AE, adverse event</w:t>
      </w:r>
      <w:r w:rsidRPr="001F5AEC">
        <w:rPr>
          <w:rFonts w:eastAsia="Times New Roman" w:cstheme="minorHAnsi"/>
          <w:sz w:val="18"/>
          <w:szCs w:val="18"/>
          <w:lang w:val="en-GB" w:eastAsia="ja-JP"/>
        </w:rPr>
        <w:t xml:space="preserve">; </w:t>
      </w:r>
      <w:r w:rsidR="00815817" w:rsidRPr="001F5AEC">
        <w:rPr>
          <w:rFonts w:eastAsia="Times New Roman" w:cstheme="minorHAnsi"/>
          <w:sz w:val="18"/>
          <w:szCs w:val="18"/>
          <w:lang w:val="en-GB" w:eastAsia="ja-JP"/>
        </w:rPr>
        <w:t xml:space="preserve">AF, arterial fibrillation; </w:t>
      </w:r>
      <w:r w:rsidRPr="001F5AEC">
        <w:rPr>
          <w:rFonts w:eastAsia="Times New Roman" w:cstheme="minorHAnsi"/>
          <w:sz w:val="18"/>
          <w:szCs w:val="18"/>
          <w:lang w:val="en-GB" w:eastAsia="ja-JP"/>
        </w:rPr>
        <w:t xml:space="preserve">CT, computed tomography; </w:t>
      </w:r>
      <w:r w:rsidRPr="001F5AEC">
        <w:rPr>
          <w:rFonts w:eastAsia="Calibri" w:cstheme="minorHAnsi"/>
          <w:sz w:val="18"/>
          <w:szCs w:val="18"/>
          <w:lang w:val="en-GB" w:eastAsia="ja-JP"/>
        </w:rPr>
        <w:t>CTA, computed tomography angiogram;</w:t>
      </w:r>
      <w:r w:rsidRPr="001F5AEC">
        <w:rPr>
          <w:rFonts w:eastAsia="Times New Roman" w:cstheme="minorHAnsi"/>
          <w:sz w:val="18"/>
          <w:szCs w:val="18"/>
          <w:lang w:val="en-GB" w:eastAsia="ja-JP"/>
        </w:rPr>
        <w:t xml:space="preserve">  ECG, electro cardiogram; ED, emergency department; </w:t>
      </w:r>
      <w:r w:rsidR="00815817" w:rsidRPr="001F5AEC">
        <w:rPr>
          <w:rFonts w:eastAsia="Times New Roman" w:cstheme="minorHAnsi"/>
          <w:sz w:val="18"/>
          <w:szCs w:val="18"/>
          <w:lang w:val="en-GB" w:eastAsia="ja-JP"/>
        </w:rPr>
        <w:t>ILR, i</w:t>
      </w:r>
      <w:r w:rsidR="00AE5B5A" w:rsidRPr="001F5AEC">
        <w:rPr>
          <w:rFonts w:eastAsia="Times New Roman" w:cstheme="minorHAnsi"/>
          <w:sz w:val="18"/>
          <w:szCs w:val="18"/>
          <w:lang w:val="en-GB" w:eastAsia="ja-JP"/>
        </w:rPr>
        <w:t>mplantable</w:t>
      </w:r>
      <w:r w:rsidR="00815817" w:rsidRPr="001F5AEC">
        <w:rPr>
          <w:rFonts w:eastAsia="Times New Roman" w:cstheme="minorHAnsi"/>
          <w:sz w:val="18"/>
          <w:szCs w:val="18"/>
          <w:lang w:val="en-GB" w:eastAsia="ja-JP"/>
        </w:rPr>
        <w:t xml:space="preserve"> loop recorder; </w:t>
      </w:r>
      <w:r w:rsidRPr="001F5AEC">
        <w:rPr>
          <w:rFonts w:eastAsia="Times New Roman" w:cstheme="minorHAnsi"/>
          <w:sz w:val="18"/>
          <w:szCs w:val="18"/>
          <w:lang w:val="en-GB" w:eastAsia="ja-JP"/>
        </w:rPr>
        <w:t>MRI, magnetic resonance imaging</w:t>
      </w:r>
      <w:r w:rsidRPr="001F5AEC">
        <w:rPr>
          <w:rFonts w:eastAsia="Calibri" w:cstheme="minorHAnsi"/>
          <w:sz w:val="18"/>
          <w:szCs w:val="18"/>
          <w:lang w:val="en-GB" w:eastAsia="ja-JP"/>
        </w:rPr>
        <w:t>;</w:t>
      </w:r>
      <w:r w:rsidRPr="001F5AEC">
        <w:rPr>
          <w:rFonts w:eastAsia="Times New Roman" w:cstheme="minorHAnsi"/>
          <w:sz w:val="18"/>
          <w:szCs w:val="18"/>
          <w:lang w:val="en-GB" w:eastAsia="ja-JP"/>
        </w:rPr>
        <w:t xml:space="preserve"> </w:t>
      </w:r>
      <w:r w:rsidRPr="001F5AEC">
        <w:rPr>
          <w:rFonts w:eastAsia="Calibri" w:cstheme="minorHAnsi"/>
          <w:sz w:val="18"/>
          <w:szCs w:val="18"/>
          <w:lang w:val="en-GB" w:eastAsia="ja-JP"/>
        </w:rPr>
        <w:t>MR</w:t>
      </w:r>
      <w:r w:rsidR="00815817" w:rsidRPr="001F5AEC">
        <w:rPr>
          <w:rFonts w:eastAsia="Calibri" w:cstheme="minorHAnsi"/>
          <w:sz w:val="18"/>
          <w:szCs w:val="18"/>
          <w:lang w:val="en-GB" w:eastAsia="ja-JP"/>
        </w:rPr>
        <w:t>A, magnetic resonance an</w:t>
      </w:r>
      <w:r w:rsidR="00CC6C1D">
        <w:rPr>
          <w:rFonts w:eastAsia="Calibri" w:cstheme="minorHAnsi"/>
          <w:sz w:val="18"/>
          <w:szCs w:val="18"/>
          <w:lang w:val="en-GB" w:eastAsia="ja-JP"/>
        </w:rPr>
        <w:t xml:space="preserve">giogram; SOC, standard of care; GA, </w:t>
      </w:r>
      <w:r w:rsidR="00CC6C1D" w:rsidRPr="00CC6C1D">
        <w:rPr>
          <w:rFonts w:eastAsia="Calibri" w:cstheme="minorHAnsi"/>
          <w:sz w:val="18"/>
          <w:szCs w:val="18"/>
          <w:lang w:val="en-GB" w:eastAsia="ja-JP"/>
        </w:rPr>
        <w:t>general anaesthesia</w:t>
      </w:r>
      <w:r w:rsidR="00D572C8">
        <w:rPr>
          <w:rFonts w:eastAsia="Calibri" w:cstheme="minorHAnsi"/>
          <w:sz w:val="18"/>
          <w:szCs w:val="18"/>
          <w:lang w:val="en-GB" w:eastAsia="ja-JP"/>
        </w:rPr>
        <w:t xml:space="preserve">; TTE, </w:t>
      </w:r>
      <w:r w:rsidR="00D572C8" w:rsidRPr="00D572C8">
        <w:rPr>
          <w:rFonts w:eastAsia="Calibri" w:cstheme="minorHAnsi"/>
          <w:sz w:val="18"/>
          <w:szCs w:val="18"/>
          <w:lang w:val="en-GB" w:eastAsia="ja-JP"/>
        </w:rPr>
        <w:t>transthoracic echocardiography</w:t>
      </w:r>
      <w:r w:rsidR="00D572C8">
        <w:rPr>
          <w:rFonts w:eastAsia="Calibri" w:cstheme="minorHAnsi"/>
          <w:sz w:val="18"/>
          <w:szCs w:val="18"/>
          <w:lang w:val="en-GB" w:eastAsia="ja-JP"/>
        </w:rPr>
        <w:t xml:space="preserve">; TEO, </w:t>
      </w:r>
      <w:proofErr w:type="spellStart"/>
      <w:r w:rsidR="00D572C8" w:rsidRPr="00D572C8">
        <w:rPr>
          <w:rFonts w:eastAsia="Calibri" w:cstheme="minorHAnsi"/>
          <w:sz w:val="18"/>
          <w:szCs w:val="18"/>
          <w:lang w:val="en-GB" w:eastAsia="ja-JP"/>
        </w:rPr>
        <w:t>transoesophageal</w:t>
      </w:r>
      <w:proofErr w:type="spellEnd"/>
      <w:r w:rsidR="00D572C8" w:rsidRPr="00D572C8">
        <w:rPr>
          <w:rFonts w:eastAsia="Calibri" w:cstheme="minorHAnsi"/>
          <w:sz w:val="18"/>
          <w:szCs w:val="18"/>
          <w:lang w:val="en-GB" w:eastAsia="ja-JP"/>
        </w:rPr>
        <w:t xml:space="preserve"> echocardiography</w:t>
      </w:r>
      <w:r w:rsidR="00FE1712">
        <w:rPr>
          <w:rFonts w:eastAsia="Calibri" w:cstheme="minorHAnsi"/>
          <w:sz w:val="18"/>
          <w:szCs w:val="18"/>
          <w:lang w:val="en-GB" w:eastAsia="ja-JP"/>
        </w:rPr>
        <w:t>.</w:t>
      </w:r>
    </w:p>
    <w:p w14:paraId="0E94946D" w14:textId="483D3078" w:rsidR="00447662" w:rsidRPr="00447662" w:rsidRDefault="00447662" w:rsidP="00CC6C1D">
      <w:pPr>
        <w:spacing w:after="0" w:line="240" w:lineRule="auto"/>
        <w:rPr>
          <w:rFonts w:cs="Arial"/>
          <w:sz w:val="18"/>
          <w:szCs w:val="18"/>
        </w:rPr>
      </w:pPr>
      <w:r>
        <w:rPr>
          <w:rFonts w:eastAsia="Calibri" w:cstheme="minorHAnsi"/>
          <w:sz w:val="18"/>
          <w:szCs w:val="18"/>
          <w:vertAlign w:val="superscript"/>
          <w:lang w:val="en-GB" w:eastAsia="ja-JP"/>
        </w:rPr>
        <w:t>1</w:t>
      </w:r>
      <w:r>
        <w:rPr>
          <w:rFonts w:eastAsia="Calibri" w:cstheme="minorHAnsi"/>
          <w:sz w:val="18"/>
          <w:szCs w:val="18"/>
          <w:lang w:val="en-GB" w:eastAsia="ja-JP"/>
        </w:rPr>
        <w:t xml:space="preserve"> All identified AF cases receive the same care regardless the mode of diagnosis (i.e., ILR or </w:t>
      </w:r>
      <w:proofErr w:type="spellStart"/>
      <w:r>
        <w:rPr>
          <w:rFonts w:eastAsia="Calibri" w:cstheme="minorHAnsi"/>
          <w:sz w:val="18"/>
          <w:szCs w:val="18"/>
          <w:lang w:val="en-GB" w:eastAsia="ja-JP"/>
        </w:rPr>
        <w:t>SoC</w:t>
      </w:r>
      <w:proofErr w:type="spellEnd"/>
      <w:r>
        <w:rPr>
          <w:rFonts w:eastAsia="Calibri" w:cstheme="minorHAnsi"/>
          <w:sz w:val="18"/>
          <w:szCs w:val="18"/>
          <w:lang w:val="en-GB" w:eastAsia="ja-JP"/>
        </w:rPr>
        <w:t xml:space="preserve">). More AF cases will be identified via ILR. </w:t>
      </w:r>
    </w:p>
    <w:p w14:paraId="0E1C712F" w14:textId="2D8E28D1" w:rsidR="00D04147" w:rsidRDefault="00D04147" w:rsidP="008B5AB2">
      <w:pPr>
        <w:rPr>
          <w:sz w:val="24"/>
          <w:szCs w:val="24"/>
        </w:rPr>
        <w:sectPr w:rsidR="00D04147" w:rsidSect="004750DD">
          <w:pgSz w:w="16838" w:h="11906" w:orient="landscape"/>
          <w:pgMar w:top="1418" w:right="1440" w:bottom="1440" w:left="1440" w:header="708" w:footer="708" w:gutter="0"/>
          <w:cols w:space="708"/>
          <w:docGrid w:linePitch="360"/>
        </w:sectPr>
      </w:pPr>
    </w:p>
    <w:p w14:paraId="742EC6AD" w14:textId="77777777" w:rsidR="00C04293" w:rsidRDefault="00D04147" w:rsidP="008B5AB2">
      <w:pPr>
        <w:rPr>
          <w:b/>
          <w:sz w:val="24"/>
          <w:szCs w:val="24"/>
        </w:rPr>
      </w:pPr>
      <w:r w:rsidRPr="00D04147">
        <w:rPr>
          <w:b/>
          <w:sz w:val="24"/>
          <w:szCs w:val="24"/>
        </w:rPr>
        <w:lastRenderedPageBreak/>
        <w:t>References</w:t>
      </w:r>
    </w:p>
    <w:p w14:paraId="46C9A485" w14:textId="12445833" w:rsidR="00744D11" w:rsidRDefault="00744D11" w:rsidP="006C09AE">
      <w:r>
        <w:t xml:space="preserve">Adams HP, Jr., </w:t>
      </w:r>
      <w:proofErr w:type="spellStart"/>
      <w:r>
        <w:t>Bendixen</w:t>
      </w:r>
      <w:proofErr w:type="spellEnd"/>
      <w:r>
        <w:t xml:space="preserve"> BH, </w:t>
      </w:r>
      <w:proofErr w:type="spellStart"/>
      <w:r>
        <w:t>Kappelle</w:t>
      </w:r>
      <w:proofErr w:type="spellEnd"/>
      <w:r>
        <w:t xml:space="preserve"> LJ, Biller J, Love BB, Gordon DL, et al. (1993) </w:t>
      </w:r>
      <w:r w:rsidRPr="00744D11">
        <w:t xml:space="preserve">Classification of subtype of acute ischemic stroke. </w:t>
      </w:r>
      <w:proofErr w:type="gramStart"/>
      <w:r w:rsidRPr="00744D11">
        <w:t xml:space="preserve">Definitions for use in a </w:t>
      </w:r>
      <w:proofErr w:type="spellStart"/>
      <w:r w:rsidRPr="00744D11">
        <w:t>multicenter</w:t>
      </w:r>
      <w:proofErr w:type="spellEnd"/>
      <w:r w:rsidRPr="00744D11">
        <w:t xml:space="preserve"> clinical trial.</w:t>
      </w:r>
      <w:proofErr w:type="gramEnd"/>
      <w:r w:rsidRPr="00744D11">
        <w:t xml:space="preserve"> </w:t>
      </w:r>
      <w:r w:rsidRPr="00744D11">
        <w:rPr>
          <w:i/>
        </w:rPr>
        <w:t>Stroke, 24</w:t>
      </w:r>
      <w:r>
        <w:t xml:space="preserve">: </w:t>
      </w:r>
      <w:r w:rsidRPr="00744D11">
        <w:t>35–41.</w:t>
      </w:r>
    </w:p>
    <w:p w14:paraId="021F9262" w14:textId="7387F8B6" w:rsidR="00C56F71" w:rsidRDefault="00C56F71" w:rsidP="006C09AE">
      <w:proofErr w:type="spellStart"/>
      <w:r w:rsidRPr="00C56F71">
        <w:t>A</w:t>
      </w:r>
      <w:r>
        <w:t>fzal</w:t>
      </w:r>
      <w:proofErr w:type="spellEnd"/>
      <w:r>
        <w:t xml:space="preserve"> MR, </w:t>
      </w:r>
      <w:proofErr w:type="spellStart"/>
      <w:r>
        <w:t>Gunda</w:t>
      </w:r>
      <w:proofErr w:type="spellEnd"/>
      <w:r>
        <w:t xml:space="preserve"> S, </w:t>
      </w:r>
      <w:proofErr w:type="spellStart"/>
      <w:r>
        <w:t>Waheed</w:t>
      </w:r>
      <w:proofErr w:type="spellEnd"/>
      <w:r>
        <w:t xml:space="preserve"> S, </w:t>
      </w:r>
      <w:proofErr w:type="spellStart"/>
      <w:r>
        <w:t>Sehar</w:t>
      </w:r>
      <w:proofErr w:type="spellEnd"/>
      <w:r>
        <w:t xml:space="preserve"> N, </w:t>
      </w:r>
      <w:proofErr w:type="spellStart"/>
      <w:r>
        <w:t>Maybrook</w:t>
      </w:r>
      <w:proofErr w:type="spellEnd"/>
      <w:r>
        <w:t xml:space="preserve"> RJ, Dawn B, </w:t>
      </w:r>
      <w:proofErr w:type="spellStart"/>
      <w:r>
        <w:t>Lakkireddy</w:t>
      </w:r>
      <w:proofErr w:type="spellEnd"/>
      <w:r>
        <w:t xml:space="preserve"> D (2015) </w:t>
      </w:r>
      <w:r w:rsidRPr="00C56F71">
        <w:t>Role of Outpatient Cardiac Rhythm Monitoring in Cryptogenic Stroke: A Systematic Review and Meta-Analysis.</w:t>
      </w:r>
      <w:r>
        <w:t xml:space="preserve"> </w:t>
      </w:r>
      <w:r w:rsidRPr="00C56F71">
        <w:rPr>
          <w:i/>
        </w:rPr>
        <w:t xml:space="preserve">Pacing </w:t>
      </w:r>
      <w:proofErr w:type="spellStart"/>
      <w:r w:rsidRPr="00C56F71">
        <w:rPr>
          <w:i/>
        </w:rPr>
        <w:t>Clin</w:t>
      </w:r>
      <w:proofErr w:type="spellEnd"/>
      <w:r w:rsidRPr="00C56F71">
        <w:rPr>
          <w:i/>
        </w:rPr>
        <w:t xml:space="preserve"> </w:t>
      </w:r>
      <w:proofErr w:type="spellStart"/>
      <w:r w:rsidRPr="00C56F71">
        <w:rPr>
          <w:i/>
        </w:rPr>
        <w:t>Electrophysiol</w:t>
      </w:r>
      <w:proofErr w:type="spellEnd"/>
      <w:r w:rsidRPr="00C56F71">
        <w:rPr>
          <w:i/>
        </w:rPr>
        <w:t>., 38</w:t>
      </w:r>
      <w:r w:rsidRPr="00C56F71">
        <w:t>(10):1236-45.</w:t>
      </w:r>
    </w:p>
    <w:p w14:paraId="604C1EA9" w14:textId="32CA417C" w:rsidR="00AC5EFA" w:rsidRDefault="00AC5EFA" w:rsidP="006C09AE">
      <w:r w:rsidRPr="00AC5EFA">
        <w:t>Al-</w:t>
      </w:r>
      <w:proofErr w:type="spellStart"/>
      <w:r w:rsidRPr="00AC5EFA">
        <w:t>Khatib</w:t>
      </w:r>
      <w:proofErr w:type="spellEnd"/>
      <w:r w:rsidRPr="00AC5EFA">
        <w:t xml:space="preserve"> SM</w:t>
      </w:r>
      <w:r>
        <w:t xml:space="preserve">, Thomas L, </w:t>
      </w:r>
      <w:proofErr w:type="spellStart"/>
      <w:r>
        <w:t>Wallentin</w:t>
      </w:r>
      <w:proofErr w:type="spellEnd"/>
      <w:r>
        <w:t xml:space="preserve"> L, Lopes RD, </w:t>
      </w:r>
      <w:proofErr w:type="spellStart"/>
      <w:r>
        <w:t>Gersh</w:t>
      </w:r>
      <w:proofErr w:type="spellEnd"/>
      <w:r>
        <w:t xml:space="preserve"> B, Garcia D et al. (2013) </w:t>
      </w:r>
      <w:r w:rsidRPr="00AC5EFA">
        <w:t xml:space="preserve">Outcomes of </w:t>
      </w:r>
      <w:proofErr w:type="spellStart"/>
      <w:r w:rsidRPr="00AC5EFA">
        <w:t>apixaban</w:t>
      </w:r>
      <w:proofErr w:type="spellEnd"/>
      <w:r w:rsidRPr="00AC5EFA">
        <w:t xml:space="preserve"> vs. warfarin by type and duration of atrial fibrillation: results from the ARISTOTLE t</w:t>
      </w:r>
      <w:r>
        <w:t xml:space="preserve">rial. </w:t>
      </w:r>
      <w:proofErr w:type="spellStart"/>
      <w:r w:rsidRPr="00AC5EFA">
        <w:rPr>
          <w:i/>
        </w:rPr>
        <w:t>Eur</w:t>
      </w:r>
      <w:proofErr w:type="spellEnd"/>
      <w:r w:rsidRPr="00AC5EFA">
        <w:rPr>
          <w:i/>
        </w:rPr>
        <w:t xml:space="preserve"> Heart J., 34</w:t>
      </w:r>
      <w:r w:rsidRPr="00AC5EFA">
        <w:t>:2464-2471</w:t>
      </w:r>
      <w:r>
        <w:t>.</w:t>
      </w:r>
    </w:p>
    <w:p w14:paraId="5C9FC48A" w14:textId="19DCF2A5" w:rsidR="0091498F" w:rsidRDefault="0091498F" w:rsidP="006C09AE">
      <w:proofErr w:type="spellStart"/>
      <w:r>
        <w:t>Amarenco</w:t>
      </w:r>
      <w:proofErr w:type="spellEnd"/>
      <w:r>
        <w:t xml:space="preserve"> P, </w:t>
      </w:r>
      <w:proofErr w:type="spellStart"/>
      <w:r>
        <w:t>Bogousslavsky</w:t>
      </w:r>
      <w:proofErr w:type="spellEnd"/>
      <w:r>
        <w:t xml:space="preserve"> J, </w:t>
      </w:r>
      <w:proofErr w:type="spellStart"/>
      <w:r>
        <w:t>Caplan</w:t>
      </w:r>
      <w:proofErr w:type="spellEnd"/>
      <w:r>
        <w:t xml:space="preserve"> LR, </w:t>
      </w:r>
      <w:proofErr w:type="spellStart"/>
      <w:r>
        <w:t>Donnan</w:t>
      </w:r>
      <w:proofErr w:type="spellEnd"/>
      <w:r>
        <w:t xml:space="preserve"> </w:t>
      </w:r>
      <w:r w:rsidRPr="0091498F">
        <w:t>GA, an</w:t>
      </w:r>
      <w:r>
        <w:t xml:space="preserve">d </w:t>
      </w:r>
      <w:proofErr w:type="spellStart"/>
      <w:r>
        <w:t>Hennerici</w:t>
      </w:r>
      <w:proofErr w:type="spellEnd"/>
      <w:r>
        <w:t>, MG (2009)</w:t>
      </w:r>
      <w:r w:rsidRPr="0091498F">
        <w:t xml:space="preserve"> </w:t>
      </w:r>
      <w:proofErr w:type="gramStart"/>
      <w:r w:rsidRPr="0091498F">
        <w:t>New</w:t>
      </w:r>
      <w:proofErr w:type="gramEnd"/>
      <w:r w:rsidRPr="0091498F">
        <w:t xml:space="preserve"> approach to stroke subtyping: the A-S-C-O (phenotypic) classification of</w:t>
      </w:r>
      <w:r>
        <w:t xml:space="preserve"> stroke. </w:t>
      </w:r>
      <w:proofErr w:type="spellStart"/>
      <w:r w:rsidRPr="0091498F">
        <w:rPr>
          <w:i/>
        </w:rPr>
        <w:t>Cerebrovasc</w:t>
      </w:r>
      <w:proofErr w:type="spellEnd"/>
      <w:r w:rsidRPr="0091498F">
        <w:rPr>
          <w:i/>
        </w:rPr>
        <w:t xml:space="preserve"> Dis., 27</w:t>
      </w:r>
      <w:r w:rsidRPr="0091498F">
        <w:t>: 502–508</w:t>
      </w:r>
      <w:r>
        <w:t>.</w:t>
      </w:r>
    </w:p>
    <w:p w14:paraId="304E13EC" w14:textId="77777777" w:rsidR="002F7A19" w:rsidRDefault="00BF7B43" w:rsidP="006C09AE">
      <w:r>
        <w:t xml:space="preserve">Andrade JG, Field T, and </w:t>
      </w:r>
      <w:proofErr w:type="spellStart"/>
      <w:r>
        <w:t>Khairy</w:t>
      </w:r>
      <w:proofErr w:type="spellEnd"/>
      <w:r>
        <w:t xml:space="preserve"> P (2015) </w:t>
      </w:r>
      <w:r w:rsidRPr="00BF7B43">
        <w:t>Detection of occult atrial fibrillation in patients with embolic stroke of uncertain source: a work in progress.</w:t>
      </w:r>
      <w:r>
        <w:t xml:space="preserve"> </w:t>
      </w:r>
      <w:r w:rsidRPr="00BF7B43">
        <w:rPr>
          <w:i/>
        </w:rPr>
        <w:t>Front Physiol.,</w:t>
      </w:r>
      <w:r>
        <w:t xml:space="preserve"> </w:t>
      </w:r>
      <w:r w:rsidRPr="00BF7B43">
        <w:rPr>
          <w:i/>
        </w:rPr>
        <w:t>6</w:t>
      </w:r>
      <w:r>
        <w:t>(100).</w:t>
      </w:r>
    </w:p>
    <w:p w14:paraId="7C83CCA5" w14:textId="3E5F02A0" w:rsidR="0008005C" w:rsidRDefault="0008005C" w:rsidP="006C09AE">
      <w:r>
        <w:rPr>
          <w:rStyle w:val="reference-text"/>
        </w:rPr>
        <w:t xml:space="preserve">ANZ Stroke Focus Group (SFG) (2015) </w:t>
      </w:r>
      <w:r w:rsidRPr="00FD5259">
        <w:t>22-23 November 2015</w:t>
      </w:r>
      <w:r>
        <w:t>, Melbourne, Australia.</w:t>
      </w:r>
    </w:p>
    <w:p w14:paraId="34C1495A" w14:textId="01D0897B" w:rsidR="00C1716C" w:rsidRDefault="00C1716C" w:rsidP="00C1716C">
      <w:proofErr w:type="spellStart"/>
      <w:r>
        <w:t>Asberg</w:t>
      </w:r>
      <w:proofErr w:type="spellEnd"/>
      <w:r>
        <w:t xml:space="preserve"> S, </w:t>
      </w:r>
      <w:proofErr w:type="spellStart"/>
      <w:r>
        <w:t>Henriksson</w:t>
      </w:r>
      <w:proofErr w:type="spellEnd"/>
      <w:r>
        <w:t xml:space="preserve"> KM, </w:t>
      </w:r>
      <w:proofErr w:type="spellStart"/>
      <w:r>
        <w:t>Farahmand</w:t>
      </w:r>
      <w:proofErr w:type="spellEnd"/>
      <w:r>
        <w:t xml:space="preserve"> B, </w:t>
      </w:r>
      <w:proofErr w:type="spellStart"/>
      <w:r>
        <w:t>Asplund</w:t>
      </w:r>
      <w:proofErr w:type="spellEnd"/>
      <w:r>
        <w:t xml:space="preserve"> K, </w:t>
      </w:r>
      <w:proofErr w:type="spellStart"/>
      <w:r>
        <w:t>Norrving</w:t>
      </w:r>
      <w:proofErr w:type="spellEnd"/>
      <w:r>
        <w:t xml:space="preserve"> B, </w:t>
      </w:r>
      <w:proofErr w:type="spellStart"/>
      <w:r>
        <w:t>Appelros</w:t>
      </w:r>
      <w:proofErr w:type="spellEnd"/>
      <w:r>
        <w:t xml:space="preserve"> P, et al</w:t>
      </w:r>
      <w:r w:rsidR="00260A5B">
        <w:t xml:space="preserve">. (2010) </w:t>
      </w:r>
      <w:r>
        <w:t>Ischemic stroke and secondary prevention in clinical practice: a cohort study of 14,529 patients in the Swedis</w:t>
      </w:r>
      <w:r w:rsidR="00260A5B">
        <w:t xml:space="preserve">h Stroke Register. </w:t>
      </w:r>
      <w:r w:rsidR="00260A5B" w:rsidRPr="00260A5B">
        <w:rPr>
          <w:i/>
        </w:rPr>
        <w:t xml:space="preserve">Stroke, </w:t>
      </w:r>
      <w:r w:rsidRPr="00260A5B">
        <w:rPr>
          <w:i/>
        </w:rPr>
        <w:t>41</w:t>
      </w:r>
      <w:r>
        <w:t>:1338–1342.</w:t>
      </w:r>
    </w:p>
    <w:p w14:paraId="63CB3E86" w14:textId="344112EA" w:rsidR="006C09AE" w:rsidRDefault="006C09AE" w:rsidP="006C09AE">
      <w:proofErr w:type="gramStart"/>
      <w:r w:rsidRPr="006C09AE">
        <w:t>Australian Bureau of Statistics.</w:t>
      </w:r>
      <w:proofErr w:type="gramEnd"/>
      <w:r w:rsidRPr="006C09AE">
        <w:t xml:space="preserve"> Population Projections, Australia, 2012 (base) </w:t>
      </w:r>
      <w:proofErr w:type="spellStart"/>
      <w:r w:rsidRPr="006C09AE">
        <w:t>t</w:t>
      </w:r>
      <w:r w:rsidR="00BF7B43">
        <w:t xml:space="preserve"> </w:t>
      </w:r>
      <w:r w:rsidRPr="006C09AE">
        <w:t>o</w:t>
      </w:r>
      <w:proofErr w:type="spellEnd"/>
      <w:r w:rsidRPr="006C09AE">
        <w:t xml:space="preserve"> 2101 – Series B (Cat no 3222.0), 2012.</w:t>
      </w:r>
    </w:p>
    <w:p w14:paraId="52DAC78D" w14:textId="77777777" w:rsidR="00260A5B" w:rsidRDefault="00C13E36" w:rsidP="00260A5B">
      <w:r>
        <w:t xml:space="preserve">Australian Institute of Health and Welfare (2013) Stroke and its management in Australia: an update. </w:t>
      </w:r>
      <w:proofErr w:type="gramStart"/>
      <w:r>
        <w:t>Cardiovascular disease series no. 37.</w:t>
      </w:r>
      <w:proofErr w:type="gramEnd"/>
      <w:r>
        <w:t xml:space="preserve"> Cat. </w:t>
      </w:r>
      <w:proofErr w:type="gramStart"/>
      <w:r>
        <w:t>no</w:t>
      </w:r>
      <w:proofErr w:type="gramEnd"/>
      <w:r>
        <w:t xml:space="preserve">. </w:t>
      </w:r>
      <w:proofErr w:type="gramStart"/>
      <w:r>
        <w:t>CVD 61.</w:t>
      </w:r>
      <w:proofErr w:type="gramEnd"/>
      <w:r>
        <w:t xml:space="preserve"> Canberra: AIHW.</w:t>
      </w:r>
    </w:p>
    <w:p w14:paraId="173AC0A0" w14:textId="5F4F3A38" w:rsidR="00260A5B" w:rsidRDefault="00260A5B" w:rsidP="00260A5B">
      <w:proofErr w:type="spellStart"/>
      <w:r>
        <w:t>Björck</w:t>
      </w:r>
      <w:proofErr w:type="spellEnd"/>
      <w:r>
        <w:t xml:space="preserve"> S, </w:t>
      </w:r>
      <w:proofErr w:type="spellStart"/>
      <w:r>
        <w:t>Palaszewski</w:t>
      </w:r>
      <w:proofErr w:type="spellEnd"/>
      <w:r>
        <w:t xml:space="preserve"> B, </w:t>
      </w:r>
      <w:proofErr w:type="spellStart"/>
      <w:r>
        <w:t>Friberg</w:t>
      </w:r>
      <w:proofErr w:type="spellEnd"/>
      <w:r>
        <w:t xml:space="preserve"> L, and </w:t>
      </w:r>
      <w:proofErr w:type="spellStart"/>
      <w:r>
        <w:t>Bergfeldt</w:t>
      </w:r>
      <w:proofErr w:type="spellEnd"/>
      <w:r>
        <w:t xml:space="preserve"> L (2013) Atrial fibrillation, stroke risk, and warfarin therapy revisited: a population-based study. </w:t>
      </w:r>
      <w:r w:rsidRPr="00260A5B">
        <w:rPr>
          <w:i/>
        </w:rPr>
        <w:t>Stroke, 44</w:t>
      </w:r>
      <w:r>
        <w:t>:3103–3108.</w:t>
      </w:r>
    </w:p>
    <w:p w14:paraId="03A115E2" w14:textId="33623AF0" w:rsidR="00262D1E" w:rsidRDefault="00262D1E" w:rsidP="00260A5B">
      <w:pPr>
        <w:rPr>
          <w:rStyle w:val="reference-text"/>
        </w:rPr>
      </w:pPr>
      <w:proofErr w:type="spellStart"/>
      <w:r>
        <w:rPr>
          <w:rStyle w:val="reference-text"/>
        </w:rPr>
        <w:t>Camm</w:t>
      </w:r>
      <w:proofErr w:type="spellEnd"/>
      <w:r>
        <w:rPr>
          <w:rStyle w:val="reference-text"/>
        </w:rPr>
        <w:t xml:space="preserve"> AJ, Lip GY, De </w:t>
      </w:r>
      <w:proofErr w:type="spellStart"/>
      <w:r>
        <w:rPr>
          <w:rStyle w:val="reference-text"/>
        </w:rPr>
        <w:t>Caterina</w:t>
      </w:r>
      <w:proofErr w:type="spellEnd"/>
      <w:r>
        <w:rPr>
          <w:rStyle w:val="reference-text"/>
        </w:rPr>
        <w:t xml:space="preserve"> R, </w:t>
      </w:r>
      <w:proofErr w:type="spellStart"/>
      <w:r>
        <w:rPr>
          <w:rStyle w:val="reference-text"/>
        </w:rPr>
        <w:t>Savelieva</w:t>
      </w:r>
      <w:proofErr w:type="spellEnd"/>
      <w:r>
        <w:rPr>
          <w:rStyle w:val="reference-text"/>
        </w:rPr>
        <w:t xml:space="preserve"> I, </w:t>
      </w:r>
      <w:proofErr w:type="spellStart"/>
      <w:r>
        <w:rPr>
          <w:rStyle w:val="reference-text"/>
        </w:rPr>
        <w:t>Atar</w:t>
      </w:r>
      <w:proofErr w:type="spellEnd"/>
      <w:r>
        <w:rPr>
          <w:rStyle w:val="reference-text"/>
        </w:rPr>
        <w:t xml:space="preserve"> D, </w:t>
      </w:r>
      <w:proofErr w:type="spellStart"/>
      <w:r>
        <w:rPr>
          <w:rStyle w:val="reference-text"/>
        </w:rPr>
        <w:t>Hohnloser</w:t>
      </w:r>
      <w:proofErr w:type="spellEnd"/>
      <w:r>
        <w:rPr>
          <w:rStyle w:val="reference-text"/>
        </w:rPr>
        <w:t xml:space="preserve"> SH, </w:t>
      </w:r>
      <w:proofErr w:type="spellStart"/>
      <w:r>
        <w:rPr>
          <w:rStyle w:val="reference-text"/>
        </w:rPr>
        <w:t>Hindricks</w:t>
      </w:r>
      <w:proofErr w:type="spellEnd"/>
      <w:r>
        <w:rPr>
          <w:rStyle w:val="reference-text"/>
        </w:rPr>
        <w:t xml:space="preserve"> G, </w:t>
      </w:r>
      <w:proofErr w:type="spellStart"/>
      <w:r>
        <w:rPr>
          <w:rStyle w:val="reference-text"/>
        </w:rPr>
        <w:t>Kirchhof</w:t>
      </w:r>
      <w:proofErr w:type="spellEnd"/>
      <w:r>
        <w:rPr>
          <w:rStyle w:val="reference-text"/>
        </w:rPr>
        <w:t xml:space="preserve"> P; ESC Committee for Practice Guidelines-CPG; Document Reviewers (2012) 2012 focused update of the ESC Guidelines for the management of atrial fibrillation: an update of the 2010 ESC Guidelines for the management of atrial fibrillation--developed with the special contribution of the European Heart Rhythm Association. </w:t>
      </w:r>
      <w:proofErr w:type="spellStart"/>
      <w:proofErr w:type="gramStart"/>
      <w:r w:rsidRPr="00262D1E">
        <w:rPr>
          <w:rStyle w:val="reference-text"/>
          <w:i/>
        </w:rPr>
        <w:t>Europace</w:t>
      </w:r>
      <w:proofErr w:type="spellEnd"/>
      <w:r w:rsidRPr="00262D1E">
        <w:rPr>
          <w:rStyle w:val="reference-text"/>
          <w:i/>
        </w:rPr>
        <w:t>.,</w:t>
      </w:r>
      <w:proofErr w:type="gramEnd"/>
      <w:r w:rsidRPr="00262D1E">
        <w:rPr>
          <w:rStyle w:val="reference-text"/>
          <w:i/>
        </w:rPr>
        <w:t xml:space="preserve"> 14</w:t>
      </w:r>
      <w:r>
        <w:rPr>
          <w:rStyle w:val="reference-text"/>
        </w:rPr>
        <w:t>(10):1385-413.</w:t>
      </w:r>
    </w:p>
    <w:p w14:paraId="46EEAF7B" w14:textId="7DC3554E" w:rsidR="0008005C" w:rsidRDefault="0008005C" w:rsidP="00260A5B">
      <w:pPr>
        <w:rPr>
          <w:rStyle w:val="reference-text"/>
        </w:rPr>
      </w:pPr>
      <w:r>
        <w:rPr>
          <w:rStyle w:val="reference-text"/>
        </w:rPr>
        <w:t xml:space="preserve">Campbell, B (2015) </w:t>
      </w:r>
      <w:proofErr w:type="gramStart"/>
      <w:r>
        <w:rPr>
          <w:rStyle w:val="reference-text"/>
        </w:rPr>
        <w:t>Early</w:t>
      </w:r>
      <w:proofErr w:type="gramEnd"/>
      <w:r>
        <w:rPr>
          <w:rStyle w:val="reference-text"/>
        </w:rPr>
        <w:t xml:space="preserve"> studies in AF detection for cryptogenic stroke patients [PowerPoint slides]. </w:t>
      </w:r>
      <w:proofErr w:type="gramStart"/>
      <w:r>
        <w:rPr>
          <w:rStyle w:val="reference-text"/>
        </w:rPr>
        <w:t xml:space="preserve">Presented at the ANZ Stroke Focus Group, </w:t>
      </w:r>
      <w:r w:rsidRPr="00FD5259">
        <w:t>22-23 November 2015</w:t>
      </w:r>
      <w:r>
        <w:t>, Melbourne, Australia.</w:t>
      </w:r>
      <w:proofErr w:type="gramEnd"/>
    </w:p>
    <w:p w14:paraId="331CED6D" w14:textId="03A057DD" w:rsidR="003205B4" w:rsidRDefault="003205B4" w:rsidP="00260A5B">
      <w:pPr>
        <w:rPr>
          <w:rStyle w:val="reference-text"/>
        </w:rPr>
      </w:pPr>
      <w:proofErr w:type="spellStart"/>
      <w:r>
        <w:rPr>
          <w:rStyle w:val="reference-text"/>
        </w:rPr>
        <w:t>Choe</w:t>
      </w:r>
      <w:proofErr w:type="spellEnd"/>
      <w:r>
        <w:rPr>
          <w:rStyle w:val="reference-text"/>
        </w:rPr>
        <w:t xml:space="preserve"> WC, </w:t>
      </w:r>
      <w:proofErr w:type="spellStart"/>
      <w:r>
        <w:rPr>
          <w:rStyle w:val="reference-text"/>
        </w:rPr>
        <w:t>Passman</w:t>
      </w:r>
      <w:proofErr w:type="spellEnd"/>
      <w:r>
        <w:rPr>
          <w:rStyle w:val="reference-text"/>
        </w:rPr>
        <w:t xml:space="preserve"> RS, </w:t>
      </w:r>
      <w:proofErr w:type="spellStart"/>
      <w:r>
        <w:rPr>
          <w:rStyle w:val="reference-text"/>
        </w:rPr>
        <w:t>Brachmann</w:t>
      </w:r>
      <w:proofErr w:type="spellEnd"/>
      <w:r>
        <w:rPr>
          <w:rStyle w:val="reference-text"/>
        </w:rPr>
        <w:t xml:space="preserve"> J, </w:t>
      </w:r>
      <w:proofErr w:type="spellStart"/>
      <w:r>
        <w:rPr>
          <w:rStyle w:val="reference-text"/>
        </w:rPr>
        <w:t>Morillo</w:t>
      </w:r>
      <w:proofErr w:type="spellEnd"/>
      <w:r>
        <w:rPr>
          <w:rStyle w:val="reference-text"/>
        </w:rPr>
        <w:t xml:space="preserve"> CA, </w:t>
      </w:r>
      <w:proofErr w:type="spellStart"/>
      <w:r>
        <w:rPr>
          <w:rStyle w:val="reference-text"/>
        </w:rPr>
        <w:t>Sanna</w:t>
      </w:r>
      <w:proofErr w:type="spellEnd"/>
      <w:r>
        <w:rPr>
          <w:rStyle w:val="reference-text"/>
        </w:rPr>
        <w:t xml:space="preserve"> T, Bernstein RA</w:t>
      </w:r>
      <w:r w:rsidRPr="003205B4">
        <w:rPr>
          <w:rStyle w:val="reference-text"/>
        </w:rPr>
        <w:t xml:space="preserve">, </w:t>
      </w:r>
      <w:r>
        <w:rPr>
          <w:rStyle w:val="reference-text"/>
        </w:rPr>
        <w:t xml:space="preserve">et al., CRYSTAL AF Investigators (2015) </w:t>
      </w:r>
      <w:r w:rsidRPr="003205B4">
        <w:rPr>
          <w:rStyle w:val="reference-text"/>
        </w:rPr>
        <w:t>A Comparison of Atrial Fibrillation Monitoring Strategies After Cryptogenic Stroke (from the Cryptogenic Stroke and Underlying AF Trial).</w:t>
      </w:r>
      <w:r>
        <w:rPr>
          <w:rStyle w:val="reference-text"/>
        </w:rPr>
        <w:t xml:space="preserve"> </w:t>
      </w:r>
      <w:r w:rsidRPr="003205B4">
        <w:rPr>
          <w:rStyle w:val="reference-text"/>
          <w:i/>
        </w:rPr>
        <w:t xml:space="preserve">Am J </w:t>
      </w:r>
      <w:proofErr w:type="spellStart"/>
      <w:r w:rsidRPr="003205B4">
        <w:rPr>
          <w:rStyle w:val="reference-text"/>
          <w:i/>
        </w:rPr>
        <w:t>Cardiol</w:t>
      </w:r>
      <w:proofErr w:type="spellEnd"/>
      <w:r w:rsidRPr="003205B4">
        <w:rPr>
          <w:rStyle w:val="reference-text"/>
          <w:i/>
        </w:rPr>
        <w:t>, 116</w:t>
      </w:r>
      <w:r w:rsidRPr="003205B4">
        <w:rPr>
          <w:rStyle w:val="reference-text"/>
        </w:rPr>
        <w:t>(6):889-</w:t>
      </w:r>
      <w:proofErr w:type="gramStart"/>
      <w:r w:rsidRPr="003205B4">
        <w:rPr>
          <w:rStyle w:val="reference-text"/>
        </w:rPr>
        <w:t>93.</w:t>
      </w:r>
      <w:proofErr w:type="gramEnd"/>
    </w:p>
    <w:p w14:paraId="0D4378B1" w14:textId="79DEB700" w:rsidR="001100B6" w:rsidRDefault="001100B6" w:rsidP="00260A5B">
      <w:r>
        <w:t>Christensen LM</w:t>
      </w:r>
      <w:r w:rsidRPr="001100B6">
        <w:t xml:space="preserve">, Krieger DW, </w:t>
      </w:r>
      <w:proofErr w:type="spellStart"/>
      <w:r w:rsidRPr="001100B6">
        <w:t>Højberg</w:t>
      </w:r>
      <w:proofErr w:type="spellEnd"/>
      <w:r w:rsidRPr="001100B6">
        <w:t xml:space="preserve"> S, Pedersen OD, </w:t>
      </w:r>
      <w:proofErr w:type="spellStart"/>
      <w:r w:rsidRPr="001100B6">
        <w:t>Karlsen</w:t>
      </w:r>
      <w:proofErr w:type="spellEnd"/>
      <w:r w:rsidRPr="001100B6">
        <w:t xml:space="preserve"> FM, Jacobsen MD</w:t>
      </w:r>
      <w:r>
        <w:t xml:space="preserve">, et al., (2014) </w:t>
      </w:r>
      <w:r w:rsidRPr="001100B6">
        <w:t>Paroxysmal atrial fibrillation occurs often in cryptogenic ischaemic stroke. Final results from the SURPRISE study.</w:t>
      </w:r>
      <w:r>
        <w:t xml:space="preserve"> </w:t>
      </w:r>
      <w:proofErr w:type="spellStart"/>
      <w:r w:rsidRPr="001100B6">
        <w:rPr>
          <w:i/>
        </w:rPr>
        <w:t>Eur</w:t>
      </w:r>
      <w:proofErr w:type="spellEnd"/>
      <w:r w:rsidRPr="001100B6">
        <w:rPr>
          <w:i/>
        </w:rPr>
        <w:t xml:space="preserve"> J Neurol., 21</w:t>
      </w:r>
      <w:r w:rsidRPr="001100B6">
        <w:t>(6):884-9</w:t>
      </w:r>
      <w:r>
        <w:t>.</w:t>
      </w:r>
    </w:p>
    <w:p w14:paraId="66A9CEE8" w14:textId="1C63544F" w:rsidR="0057504D" w:rsidRDefault="0057504D" w:rsidP="006C09AE">
      <w:proofErr w:type="spellStart"/>
      <w:r>
        <w:lastRenderedPageBreak/>
        <w:t>Coppens</w:t>
      </w:r>
      <w:proofErr w:type="spellEnd"/>
      <w:r>
        <w:t xml:space="preserve"> M</w:t>
      </w:r>
      <w:r w:rsidRPr="0057504D">
        <w:t xml:space="preserve">, </w:t>
      </w:r>
      <w:proofErr w:type="spellStart"/>
      <w:r w:rsidRPr="0057504D">
        <w:t>Eikelboom</w:t>
      </w:r>
      <w:proofErr w:type="spellEnd"/>
      <w:r w:rsidRPr="0057504D">
        <w:t xml:space="preserve"> JW, Hart RG, Yusuf S, Lip GY, Dorian</w:t>
      </w:r>
      <w:r>
        <w:t xml:space="preserve"> P, </w:t>
      </w:r>
      <w:proofErr w:type="spellStart"/>
      <w:r>
        <w:t>Shestakovska</w:t>
      </w:r>
      <w:proofErr w:type="spellEnd"/>
      <w:r>
        <w:t xml:space="preserve"> O, Connolly SJ (2013) </w:t>
      </w:r>
      <w:r w:rsidRPr="0057504D">
        <w:t>The CHA2DS2-VASc score identifies those patients with atrial fibrillation and a CHADS2 score of 1 who are unlikely to benefit from oral anticoagulant therapy.</w:t>
      </w:r>
      <w:r>
        <w:t xml:space="preserve"> </w:t>
      </w:r>
      <w:proofErr w:type="spellStart"/>
      <w:r w:rsidRPr="0057504D">
        <w:rPr>
          <w:i/>
        </w:rPr>
        <w:t>Eur</w:t>
      </w:r>
      <w:proofErr w:type="spellEnd"/>
      <w:r w:rsidRPr="0057504D">
        <w:rPr>
          <w:i/>
        </w:rPr>
        <w:t xml:space="preserve"> Heart J., 34</w:t>
      </w:r>
      <w:r w:rsidRPr="0057504D">
        <w:t>(3):170-6.</w:t>
      </w:r>
    </w:p>
    <w:p w14:paraId="2A743004" w14:textId="77777777" w:rsidR="00B6610B" w:rsidRDefault="00581A8E" w:rsidP="00B6610B">
      <w:r>
        <w:t xml:space="preserve">Cotter PE, Martin PJ, Ring L, Warburton EA, </w:t>
      </w:r>
      <w:proofErr w:type="spellStart"/>
      <w:r>
        <w:t>Belham</w:t>
      </w:r>
      <w:proofErr w:type="spellEnd"/>
      <w:r>
        <w:t xml:space="preserve"> M, Pugh PJ (2013) </w:t>
      </w:r>
      <w:r w:rsidRPr="00581A8E">
        <w:t>Incidence of atrial fibrillation detected by implantable loop recorders i</w:t>
      </w:r>
      <w:r>
        <w:t xml:space="preserve">n unexplained stroke. </w:t>
      </w:r>
      <w:r w:rsidRPr="00581A8E">
        <w:rPr>
          <w:i/>
        </w:rPr>
        <w:t>Neurology, 80</w:t>
      </w:r>
      <w:r>
        <w:t xml:space="preserve">: </w:t>
      </w:r>
      <w:r w:rsidRPr="00581A8E">
        <w:t>1546–1550.</w:t>
      </w:r>
    </w:p>
    <w:p w14:paraId="0C65530F" w14:textId="4E7C30A6" w:rsidR="003205B4" w:rsidRDefault="003205B4" w:rsidP="003205B4">
      <w:pPr>
        <w:jc w:val="left"/>
      </w:pPr>
      <w:r>
        <w:t>Department of Health (DOH) (2015</w:t>
      </w:r>
      <w:r w:rsidR="0061321C">
        <w:t>a</w:t>
      </w:r>
      <w:r>
        <w:t xml:space="preserve">) MBS Reviews: Ambulatory electrocardiography Protocol. </w:t>
      </w:r>
    </w:p>
    <w:p w14:paraId="04D1C671" w14:textId="7C30CC10" w:rsidR="0061321C" w:rsidRDefault="0061321C" w:rsidP="0061321C">
      <w:pPr>
        <w:jc w:val="left"/>
      </w:pPr>
      <w:r>
        <w:rPr>
          <w:rStyle w:val="mixed-citation"/>
        </w:rPr>
        <w:t xml:space="preserve">Department of Health (DOH) (2015b) Prosthesis List Part C. </w:t>
      </w:r>
      <w:proofErr w:type="spellStart"/>
      <w:r>
        <w:rPr>
          <w:rStyle w:val="mixed-citation"/>
        </w:rPr>
        <w:t>Retreived</w:t>
      </w:r>
      <w:proofErr w:type="spellEnd"/>
      <w:r>
        <w:rPr>
          <w:rStyle w:val="mixed-citation"/>
        </w:rPr>
        <w:t xml:space="preserve"> from: </w:t>
      </w:r>
      <w:hyperlink r:id="rId29" w:history="1">
        <w:r w:rsidR="002A5D07">
          <w:rPr>
            <w:rStyle w:val="Hyperlink"/>
          </w:rPr>
          <w:t>Department of Health (DOH) (2015b) Prosthesis List Part C</w:t>
        </w:r>
      </w:hyperlink>
      <w:r>
        <w:rPr>
          <w:rStyle w:val="mixed-citation"/>
        </w:rPr>
        <w:t xml:space="preserve">. </w:t>
      </w:r>
      <w:proofErr w:type="gramStart"/>
      <w:r>
        <w:rPr>
          <w:rStyle w:val="mixed-citation"/>
        </w:rPr>
        <w:t>Accessed December 2015.</w:t>
      </w:r>
      <w:proofErr w:type="gramEnd"/>
      <w:r>
        <w:rPr>
          <w:rStyle w:val="mixed-citation"/>
        </w:rPr>
        <w:t xml:space="preserve"> </w:t>
      </w:r>
    </w:p>
    <w:p w14:paraId="6079BE31" w14:textId="73B16041" w:rsidR="00B6610B" w:rsidRDefault="00B6610B" w:rsidP="00B6610B">
      <w:r>
        <w:t xml:space="preserve">de </w:t>
      </w:r>
      <w:proofErr w:type="spellStart"/>
      <w:r>
        <w:t>Vos</w:t>
      </w:r>
      <w:proofErr w:type="spellEnd"/>
      <w:r>
        <w:t xml:space="preserve"> CB, </w:t>
      </w:r>
      <w:proofErr w:type="spellStart"/>
      <w:r>
        <w:t>Pisters</w:t>
      </w:r>
      <w:proofErr w:type="spellEnd"/>
      <w:r>
        <w:t xml:space="preserve"> R, </w:t>
      </w:r>
      <w:proofErr w:type="spellStart"/>
      <w:r>
        <w:t>Nieuwlaat</w:t>
      </w:r>
      <w:proofErr w:type="spellEnd"/>
      <w:r>
        <w:t xml:space="preserve"> R, </w:t>
      </w:r>
      <w:proofErr w:type="spellStart"/>
      <w:r>
        <w:t>Prins</w:t>
      </w:r>
      <w:proofErr w:type="spellEnd"/>
      <w:r>
        <w:t xml:space="preserve"> MH, </w:t>
      </w:r>
      <w:proofErr w:type="spellStart"/>
      <w:r>
        <w:t>Tieleman</w:t>
      </w:r>
      <w:proofErr w:type="spellEnd"/>
      <w:r>
        <w:t xml:space="preserve"> RG, </w:t>
      </w:r>
      <w:proofErr w:type="spellStart"/>
      <w:r>
        <w:t>Coelen</w:t>
      </w:r>
      <w:proofErr w:type="spellEnd"/>
      <w:r>
        <w:t xml:space="preserve"> RJ et al. (2010) Progression from paroxysmal to persistent atrial fibrillation clinical correlates and prognosis. </w:t>
      </w:r>
      <w:r w:rsidRPr="00B6610B">
        <w:rPr>
          <w:i/>
        </w:rPr>
        <w:t xml:space="preserve">J Am </w:t>
      </w:r>
      <w:proofErr w:type="spellStart"/>
      <w:r w:rsidRPr="00B6610B">
        <w:rPr>
          <w:i/>
        </w:rPr>
        <w:t>Coll</w:t>
      </w:r>
      <w:proofErr w:type="spellEnd"/>
      <w:r w:rsidRPr="00B6610B">
        <w:rPr>
          <w:i/>
        </w:rPr>
        <w:t xml:space="preserve"> </w:t>
      </w:r>
      <w:proofErr w:type="spellStart"/>
      <w:r w:rsidRPr="00B6610B">
        <w:rPr>
          <w:i/>
        </w:rPr>
        <w:t>Cardiol</w:t>
      </w:r>
      <w:proofErr w:type="spellEnd"/>
      <w:r w:rsidRPr="00B6610B">
        <w:rPr>
          <w:i/>
        </w:rPr>
        <w:t>, 55</w:t>
      </w:r>
      <w:r>
        <w:t>:725–31.</w:t>
      </w:r>
    </w:p>
    <w:p w14:paraId="1DFDD8C5" w14:textId="0DC7E268" w:rsidR="00A30EEB" w:rsidRDefault="00B6610B" w:rsidP="00B6610B">
      <w:r>
        <w:t xml:space="preserve">de </w:t>
      </w:r>
      <w:proofErr w:type="spellStart"/>
      <w:r>
        <w:t>Vos</w:t>
      </w:r>
      <w:proofErr w:type="spellEnd"/>
      <w:r>
        <w:t xml:space="preserve"> CB, </w:t>
      </w:r>
      <w:proofErr w:type="spellStart"/>
      <w:r>
        <w:t>Breithardt</w:t>
      </w:r>
      <w:proofErr w:type="spellEnd"/>
      <w:r>
        <w:t xml:space="preserve"> G, </w:t>
      </w:r>
      <w:proofErr w:type="spellStart"/>
      <w:r>
        <w:t>Camm</w:t>
      </w:r>
      <w:proofErr w:type="spellEnd"/>
      <w:r>
        <w:t xml:space="preserve"> AJ, Dorian P, </w:t>
      </w:r>
      <w:proofErr w:type="spellStart"/>
      <w:r>
        <w:t>Kowey</w:t>
      </w:r>
      <w:proofErr w:type="spellEnd"/>
      <w:r>
        <w:t xml:space="preserve"> PR, Le </w:t>
      </w:r>
      <w:proofErr w:type="spellStart"/>
      <w:r>
        <w:t>Heuzey</w:t>
      </w:r>
      <w:proofErr w:type="spellEnd"/>
      <w:r>
        <w:t xml:space="preserve"> JY et al. (2012) Progression of atrial fibrillation in the </w:t>
      </w:r>
      <w:proofErr w:type="spellStart"/>
      <w:r>
        <w:t>REgistry</w:t>
      </w:r>
      <w:proofErr w:type="spellEnd"/>
      <w:r>
        <w:t xml:space="preserve"> on Cardiac rhythm </w:t>
      </w:r>
      <w:proofErr w:type="spellStart"/>
      <w:r>
        <w:t>disORDers</w:t>
      </w:r>
      <w:proofErr w:type="spellEnd"/>
      <w:r>
        <w:t xml:space="preserve"> assessing the control of atrial fibrillation cohort: clinical correlates and the effect of rhythm-control therapy. </w:t>
      </w:r>
      <w:r w:rsidRPr="00B6610B">
        <w:rPr>
          <w:i/>
        </w:rPr>
        <w:t>Am Heart J., 163</w:t>
      </w:r>
      <w:r>
        <w:t>:887–93</w:t>
      </w:r>
    </w:p>
    <w:p w14:paraId="06FB865C" w14:textId="51D7C9A0" w:rsidR="00662F41" w:rsidRDefault="00662F41" w:rsidP="00662F41">
      <w:proofErr w:type="spellStart"/>
      <w:r>
        <w:t>Doliwa</w:t>
      </w:r>
      <w:proofErr w:type="spellEnd"/>
      <w:r>
        <w:t xml:space="preserve"> </w:t>
      </w:r>
      <w:proofErr w:type="spellStart"/>
      <w:r>
        <w:t>Sobocinski</w:t>
      </w:r>
      <w:proofErr w:type="spellEnd"/>
      <w:r>
        <w:t xml:space="preserve"> P, </w:t>
      </w:r>
      <w:proofErr w:type="spellStart"/>
      <w:r>
        <w:t>Anggårdh</w:t>
      </w:r>
      <w:proofErr w:type="spellEnd"/>
      <w:r>
        <w:t xml:space="preserve"> </w:t>
      </w:r>
      <w:proofErr w:type="spellStart"/>
      <w:r>
        <w:t>Rooth</w:t>
      </w:r>
      <w:proofErr w:type="spellEnd"/>
      <w:r>
        <w:t xml:space="preserve"> E, </w:t>
      </w:r>
      <w:proofErr w:type="spellStart"/>
      <w:r>
        <w:t>Frykman</w:t>
      </w:r>
      <w:proofErr w:type="spellEnd"/>
      <w:r>
        <w:t xml:space="preserve"> Kull V, von </w:t>
      </w:r>
      <w:proofErr w:type="spellStart"/>
      <w:r>
        <w:t>Arbin</w:t>
      </w:r>
      <w:proofErr w:type="spellEnd"/>
      <w:r>
        <w:t xml:space="preserve"> M, </w:t>
      </w:r>
      <w:proofErr w:type="spellStart"/>
      <w:r>
        <w:t>Wallén</w:t>
      </w:r>
      <w:proofErr w:type="spellEnd"/>
      <w:r>
        <w:t xml:space="preserve"> H, </w:t>
      </w:r>
      <w:proofErr w:type="spellStart"/>
      <w:r>
        <w:t>Rosenqvist</w:t>
      </w:r>
      <w:proofErr w:type="spellEnd"/>
      <w:r>
        <w:t xml:space="preserve"> M (2012) Improved screening for silent atrial fibrillation after ischaemic stroke. </w:t>
      </w:r>
      <w:proofErr w:type="spellStart"/>
      <w:proofErr w:type="gramStart"/>
      <w:r w:rsidRPr="00662F41">
        <w:rPr>
          <w:i/>
        </w:rPr>
        <w:t>Europace</w:t>
      </w:r>
      <w:proofErr w:type="spellEnd"/>
      <w:r w:rsidRPr="00662F41">
        <w:rPr>
          <w:i/>
        </w:rPr>
        <w:t>.,</w:t>
      </w:r>
      <w:proofErr w:type="gramEnd"/>
      <w:r w:rsidRPr="00662F41">
        <w:rPr>
          <w:i/>
        </w:rPr>
        <w:t xml:space="preserve"> 14</w:t>
      </w:r>
      <w:r>
        <w:t>:1112–1116.</w:t>
      </w:r>
    </w:p>
    <w:p w14:paraId="78FE7734" w14:textId="36F8EF27" w:rsidR="00662F41" w:rsidRDefault="00662F41" w:rsidP="00662F41">
      <w:proofErr w:type="spellStart"/>
      <w:r>
        <w:t>Engdahl</w:t>
      </w:r>
      <w:proofErr w:type="spellEnd"/>
      <w:r>
        <w:t xml:space="preserve"> J, </w:t>
      </w:r>
      <w:proofErr w:type="spellStart"/>
      <w:r>
        <w:t>Andersson</w:t>
      </w:r>
      <w:proofErr w:type="spellEnd"/>
      <w:r>
        <w:t xml:space="preserve"> L, </w:t>
      </w:r>
      <w:proofErr w:type="spellStart"/>
      <w:r>
        <w:t>Mirskaya</w:t>
      </w:r>
      <w:proofErr w:type="spellEnd"/>
      <w:r>
        <w:t xml:space="preserve"> M, and </w:t>
      </w:r>
      <w:proofErr w:type="spellStart"/>
      <w:r>
        <w:t>Rosenqvist</w:t>
      </w:r>
      <w:proofErr w:type="spellEnd"/>
      <w:r>
        <w:t xml:space="preserve"> M (2013) Stepwise screening of atrial fibrillation in a 75-year-old population: implications for stroke prevention. </w:t>
      </w:r>
      <w:r w:rsidRPr="00662F41">
        <w:rPr>
          <w:i/>
        </w:rPr>
        <w:t>Circulation, 127</w:t>
      </w:r>
      <w:r>
        <w:t>:930–937.</w:t>
      </w:r>
    </w:p>
    <w:p w14:paraId="4485B6FD" w14:textId="6E5F21BB" w:rsidR="001100B6" w:rsidRDefault="001100B6" w:rsidP="001100B6">
      <w:proofErr w:type="spellStart"/>
      <w:r>
        <w:t>Eitel</w:t>
      </w:r>
      <w:proofErr w:type="spellEnd"/>
      <w:r>
        <w:t xml:space="preserve"> C</w:t>
      </w:r>
      <w:r w:rsidRPr="001100B6">
        <w:t xml:space="preserve">, </w:t>
      </w:r>
      <w:proofErr w:type="spellStart"/>
      <w:r w:rsidRPr="001100B6">
        <w:t>Husser</w:t>
      </w:r>
      <w:proofErr w:type="spellEnd"/>
      <w:r w:rsidRPr="001100B6">
        <w:t xml:space="preserve"> D, </w:t>
      </w:r>
      <w:proofErr w:type="spellStart"/>
      <w:r w:rsidRPr="001100B6">
        <w:t>Hindricks</w:t>
      </w:r>
      <w:proofErr w:type="spellEnd"/>
      <w:r w:rsidRPr="001100B6">
        <w:t xml:space="preserve"> G</w:t>
      </w:r>
      <w:r>
        <w:t xml:space="preserve">, </w:t>
      </w:r>
      <w:proofErr w:type="spellStart"/>
      <w:r>
        <w:t>Frühauf</w:t>
      </w:r>
      <w:proofErr w:type="spellEnd"/>
      <w:r>
        <w:t xml:space="preserve"> M, Hilbert S, Arya A, et al. (2011) Performance of an implantable automatic atrial fibrillation detection device: impact of software adjustments and relevance of manual episode analysis. </w:t>
      </w:r>
      <w:proofErr w:type="spellStart"/>
      <w:proofErr w:type="gramStart"/>
      <w:r w:rsidRPr="001100B6">
        <w:rPr>
          <w:i/>
        </w:rPr>
        <w:t>Europace</w:t>
      </w:r>
      <w:proofErr w:type="spellEnd"/>
      <w:r w:rsidRPr="001100B6">
        <w:rPr>
          <w:i/>
        </w:rPr>
        <w:t>.,</w:t>
      </w:r>
      <w:proofErr w:type="gramEnd"/>
      <w:r w:rsidRPr="001100B6">
        <w:rPr>
          <w:i/>
        </w:rPr>
        <w:t xml:space="preserve"> 13</w:t>
      </w:r>
      <w:r>
        <w:t>: 480–485.</w:t>
      </w:r>
    </w:p>
    <w:p w14:paraId="143EF842" w14:textId="134D6A4A" w:rsidR="00AC5EFA" w:rsidRDefault="00AC5EFA" w:rsidP="00662F41">
      <w:r w:rsidRPr="00AC5EFA">
        <w:t xml:space="preserve">Flaker G, </w:t>
      </w:r>
      <w:proofErr w:type="spellStart"/>
      <w:r w:rsidRPr="00AC5EFA">
        <w:t>Ezekowitz</w:t>
      </w:r>
      <w:proofErr w:type="spellEnd"/>
      <w:r w:rsidRPr="00AC5EFA">
        <w:t xml:space="preserve"> M, Yusuf S, </w:t>
      </w:r>
      <w:proofErr w:type="spellStart"/>
      <w:r w:rsidRPr="00AC5EFA">
        <w:t>Wallentin</w:t>
      </w:r>
      <w:proofErr w:type="spellEnd"/>
      <w:r w:rsidRPr="00AC5EFA">
        <w:t xml:space="preserve"> L, </w:t>
      </w:r>
      <w:proofErr w:type="spellStart"/>
      <w:r w:rsidRPr="00AC5EFA">
        <w:t>Noack</w:t>
      </w:r>
      <w:proofErr w:type="spellEnd"/>
      <w:r w:rsidRPr="00AC5EFA">
        <w:t xml:space="preserve"> H, </w:t>
      </w:r>
      <w:proofErr w:type="spellStart"/>
      <w:r w:rsidRPr="00AC5EFA">
        <w:t>Brueckmann</w:t>
      </w:r>
      <w:proofErr w:type="spellEnd"/>
      <w:r w:rsidRPr="00AC5EFA">
        <w:t xml:space="preserve"> M</w:t>
      </w:r>
      <w:r>
        <w:t xml:space="preserve">, </w:t>
      </w:r>
      <w:r w:rsidRPr="00AC5EFA">
        <w:t xml:space="preserve">et al. </w:t>
      </w:r>
      <w:r>
        <w:t xml:space="preserve">(2012) </w:t>
      </w:r>
      <w:r w:rsidRPr="00AC5EFA">
        <w:t xml:space="preserve">Efficacy and safety of </w:t>
      </w:r>
      <w:proofErr w:type="spellStart"/>
      <w:r w:rsidRPr="00AC5EFA">
        <w:t>dabigatran</w:t>
      </w:r>
      <w:proofErr w:type="spellEnd"/>
      <w:r w:rsidRPr="00AC5EFA">
        <w:t xml:space="preserve"> compared to warfarin in patients with paroxysmal, persistent, and permanent atrial fibrillation: results from the RE-LY (Randomized Evaluation of Long-Term Anticoagulation Therapy</w:t>
      </w:r>
      <w:r>
        <w:t xml:space="preserve">) study. </w:t>
      </w:r>
      <w:r w:rsidRPr="00AC5EFA">
        <w:rPr>
          <w:i/>
        </w:rPr>
        <w:t xml:space="preserve">J Am </w:t>
      </w:r>
      <w:proofErr w:type="spellStart"/>
      <w:r w:rsidRPr="00AC5EFA">
        <w:rPr>
          <w:i/>
        </w:rPr>
        <w:t>Coll</w:t>
      </w:r>
      <w:proofErr w:type="spellEnd"/>
      <w:r w:rsidRPr="00AC5EFA">
        <w:rPr>
          <w:i/>
        </w:rPr>
        <w:t xml:space="preserve"> </w:t>
      </w:r>
      <w:proofErr w:type="spellStart"/>
      <w:r w:rsidRPr="00AC5EFA">
        <w:rPr>
          <w:i/>
        </w:rPr>
        <w:t>Cardiol</w:t>
      </w:r>
      <w:proofErr w:type="spellEnd"/>
      <w:r w:rsidRPr="00AC5EFA">
        <w:rPr>
          <w:i/>
        </w:rPr>
        <w:t>, 59</w:t>
      </w:r>
      <w:r w:rsidRPr="00AC5EFA">
        <w:t>:854-855</w:t>
      </w:r>
      <w:r>
        <w:t>.</w:t>
      </w:r>
    </w:p>
    <w:p w14:paraId="06143891" w14:textId="64E935A6" w:rsidR="00CE607B" w:rsidRDefault="00CE607B" w:rsidP="006C09AE">
      <w:proofErr w:type="spellStart"/>
      <w:r>
        <w:t>Friberg</w:t>
      </w:r>
      <w:proofErr w:type="spellEnd"/>
      <w:r>
        <w:t xml:space="preserve"> L, </w:t>
      </w:r>
      <w:proofErr w:type="spellStart"/>
      <w:r>
        <w:t>Rosenqvist</w:t>
      </w:r>
      <w:proofErr w:type="spellEnd"/>
      <w:r>
        <w:t xml:space="preserve"> M, Lindgren A, </w:t>
      </w:r>
      <w:proofErr w:type="spellStart"/>
      <w:r>
        <w:t>Terént</w:t>
      </w:r>
      <w:proofErr w:type="spellEnd"/>
      <w:r>
        <w:t xml:space="preserve"> A, </w:t>
      </w:r>
      <w:proofErr w:type="spellStart"/>
      <w:r>
        <w:t>Norrving</w:t>
      </w:r>
      <w:proofErr w:type="spellEnd"/>
      <w:r>
        <w:t xml:space="preserve"> B, </w:t>
      </w:r>
      <w:proofErr w:type="spellStart"/>
      <w:r>
        <w:t>Asplund</w:t>
      </w:r>
      <w:proofErr w:type="spellEnd"/>
      <w:r>
        <w:t xml:space="preserve"> K (2014) </w:t>
      </w:r>
      <w:r w:rsidRPr="00CE607B">
        <w:t>High prevalence of atrial fibrillation among patients with ischemic stroke.</w:t>
      </w:r>
      <w:r>
        <w:t xml:space="preserve"> </w:t>
      </w:r>
      <w:r w:rsidRPr="00CE607B">
        <w:rPr>
          <w:i/>
        </w:rPr>
        <w:t>Stroke, 45</w:t>
      </w:r>
      <w:r w:rsidRPr="00CE607B">
        <w:t>(9):2599-605</w:t>
      </w:r>
      <w:r w:rsidR="00262D1E">
        <w:t>.</w:t>
      </w:r>
    </w:p>
    <w:p w14:paraId="7A148A4C" w14:textId="405A716D" w:rsidR="001E2BF9" w:rsidRDefault="001E2BF9" w:rsidP="006C09AE">
      <w:proofErr w:type="spellStart"/>
      <w:r w:rsidRPr="001E2BF9">
        <w:t>Friberg</w:t>
      </w:r>
      <w:proofErr w:type="spellEnd"/>
      <w:r>
        <w:t xml:space="preserve"> L</w:t>
      </w:r>
      <w:r w:rsidRPr="001E2BF9">
        <w:t xml:space="preserve">, </w:t>
      </w:r>
      <w:proofErr w:type="spellStart"/>
      <w:r w:rsidRPr="001E2BF9">
        <w:t>Rosenqvist</w:t>
      </w:r>
      <w:proofErr w:type="spellEnd"/>
      <w:r w:rsidRPr="001E2BF9">
        <w:t xml:space="preserve"> M, Lip GY</w:t>
      </w:r>
      <w:r>
        <w:t xml:space="preserve"> (2012) </w:t>
      </w:r>
      <w:r w:rsidRPr="001E2BF9">
        <w:t>Evaluation of risk stratification schemes for ischaemic stroke and bleeding in 182 678 patients with atrial fibrillation: the Swedish Atrial Fibrillation cohort study.</w:t>
      </w:r>
      <w:r>
        <w:t xml:space="preserve"> </w:t>
      </w:r>
      <w:proofErr w:type="spellStart"/>
      <w:r w:rsidRPr="001E2BF9">
        <w:rPr>
          <w:i/>
        </w:rPr>
        <w:t>Eur</w:t>
      </w:r>
      <w:proofErr w:type="spellEnd"/>
      <w:r w:rsidRPr="001E2BF9">
        <w:rPr>
          <w:i/>
        </w:rPr>
        <w:t xml:space="preserve"> Heart J, 33</w:t>
      </w:r>
      <w:r w:rsidRPr="001E2BF9">
        <w:t>(12):1500-10.</w:t>
      </w:r>
    </w:p>
    <w:p w14:paraId="6CDF6A83" w14:textId="04E1E386" w:rsidR="009C0761" w:rsidRDefault="009C0761" w:rsidP="006C09AE">
      <w:r>
        <w:t>Gage BF</w:t>
      </w:r>
      <w:r w:rsidRPr="009C0761">
        <w:t xml:space="preserve">, Waterman AD, Shannon W, </w:t>
      </w:r>
      <w:proofErr w:type="spellStart"/>
      <w:r>
        <w:t>Boechler</w:t>
      </w:r>
      <w:proofErr w:type="spellEnd"/>
      <w:r>
        <w:t xml:space="preserve"> M, Rich MW, Radford MJ (2001) </w:t>
      </w:r>
      <w:r w:rsidRPr="009C0761">
        <w:t>Validation of clinical classification schemes for predicting stroke: results from the National Registry of Atrial Fibrillation.</w:t>
      </w:r>
      <w:r>
        <w:t xml:space="preserve"> </w:t>
      </w:r>
      <w:r w:rsidRPr="009C0761">
        <w:rPr>
          <w:i/>
        </w:rPr>
        <w:t>JAMA, 285</w:t>
      </w:r>
      <w:r w:rsidRPr="009C0761">
        <w:t>(22):2864-70</w:t>
      </w:r>
    </w:p>
    <w:p w14:paraId="1DC68BAD" w14:textId="68438B9E" w:rsidR="00262D1E" w:rsidRDefault="00262D1E" w:rsidP="006C09AE">
      <w:r w:rsidRPr="00262D1E">
        <w:lastRenderedPageBreak/>
        <w:t xml:space="preserve">Gladstone DJ, Spring M, Dorian P, </w:t>
      </w:r>
      <w:proofErr w:type="spellStart"/>
      <w:r w:rsidRPr="00262D1E">
        <w:t>Panzov</w:t>
      </w:r>
      <w:proofErr w:type="spellEnd"/>
      <w:r w:rsidRPr="00262D1E">
        <w:t xml:space="preserve"> V, Thorpe KE, Hall J, </w:t>
      </w:r>
      <w:r>
        <w:t xml:space="preserve">et al., </w:t>
      </w:r>
      <w:r w:rsidRPr="00262D1E">
        <w:t xml:space="preserve">EMBRACE Investigators and </w:t>
      </w:r>
      <w:r>
        <w:t xml:space="preserve">Coordinators (2014) </w:t>
      </w:r>
      <w:r w:rsidRPr="00262D1E">
        <w:t xml:space="preserve">Atrial fibrillation in patients with cryptogenic stroke. </w:t>
      </w:r>
      <w:r w:rsidRPr="00262D1E">
        <w:rPr>
          <w:i/>
        </w:rPr>
        <w:t xml:space="preserve">N </w:t>
      </w:r>
      <w:proofErr w:type="spellStart"/>
      <w:r w:rsidRPr="00262D1E">
        <w:rPr>
          <w:i/>
        </w:rPr>
        <w:t>Engl</w:t>
      </w:r>
      <w:proofErr w:type="spellEnd"/>
      <w:r w:rsidRPr="00262D1E">
        <w:rPr>
          <w:i/>
        </w:rPr>
        <w:t xml:space="preserve"> J Med., 370</w:t>
      </w:r>
      <w:r w:rsidRPr="00262D1E">
        <w:t>(26):2467-77.</w:t>
      </w:r>
    </w:p>
    <w:p w14:paraId="51E48BF7" w14:textId="09A4ED92" w:rsidR="00260A5B" w:rsidRDefault="00260A5B" w:rsidP="00260A5B">
      <w:r>
        <w:t xml:space="preserve">Hannon N, Sheehan O, Kelly L, </w:t>
      </w:r>
      <w:proofErr w:type="spellStart"/>
      <w:r>
        <w:t>Marnane</w:t>
      </w:r>
      <w:proofErr w:type="spellEnd"/>
      <w:r>
        <w:t xml:space="preserve"> M, </w:t>
      </w:r>
      <w:proofErr w:type="spellStart"/>
      <w:r>
        <w:t>Merwick</w:t>
      </w:r>
      <w:proofErr w:type="spellEnd"/>
      <w:r>
        <w:t xml:space="preserve"> A, Moore A, et al. (2010) Stroke associated with atrial fibrillation—incidence and early outcomes in the north Dublin population stroke study. </w:t>
      </w:r>
      <w:proofErr w:type="spellStart"/>
      <w:r w:rsidRPr="00260A5B">
        <w:rPr>
          <w:i/>
        </w:rPr>
        <w:t>Cerebrovasc</w:t>
      </w:r>
      <w:proofErr w:type="spellEnd"/>
      <w:r w:rsidRPr="00260A5B">
        <w:rPr>
          <w:i/>
        </w:rPr>
        <w:t xml:space="preserve"> Dis., 29</w:t>
      </w:r>
      <w:r>
        <w:t>:43–49.</w:t>
      </w:r>
    </w:p>
    <w:p w14:paraId="3E750110" w14:textId="57E16A8F" w:rsidR="0091498F" w:rsidRDefault="0091498F" w:rsidP="006C09AE">
      <w:r>
        <w:t xml:space="preserve">Hart </w:t>
      </w:r>
      <w:r w:rsidRPr="0091498F">
        <w:t>RG</w:t>
      </w:r>
      <w:r>
        <w:t xml:space="preserve">, </w:t>
      </w:r>
      <w:proofErr w:type="spellStart"/>
      <w:r>
        <w:t>Diener</w:t>
      </w:r>
      <w:proofErr w:type="spellEnd"/>
      <w:r>
        <w:t xml:space="preserve"> HC, Coutts SB, Easton JD, Granger CB, O'Donnell MJ, Sacco RL, Connolly SJ</w:t>
      </w:r>
      <w:r w:rsidRPr="0091498F">
        <w:t xml:space="preserve">; Cryptogenic Stroke/ESUS International Working Group </w:t>
      </w:r>
      <w:r>
        <w:t xml:space="preserve">(2014) </w:t>
      </w:r>
      <w:r w:rsidRPr="0091498F">
        <w:t xml:space="preserve">Embolic strokes of undetermined source: the case for a new clinical </w:t>
      </w:r>
      <w:r>
        <w:t xml:space="preserve">construct. </w:t>
      </w:r>
      <w:r w:rsidRPr="0091498F">
        <w:rPr>
          <w:i/>
        </w:rPr>
        <w:t>Lancet Neurol., 13</w:t>
      </w:r>
      <w:r w:rsidRPr="0091498F">
        <w:t>: 429–438</w:t>
      </w:r>
      <w:r>
        <w:t>.</w:t>
      </w:r>
    </w:p>
    <w:p w14:paraId="5024C046" w14:textId="481E5650" w:rsidR="00AC5EFA" w:rsidRDefault="00AC5EFA" w:rsidP="006C09AE">
      <w:r w:rsidRPr="00AC5EFA">
        <w:t xml:space="preserve">Hart RG, Pearce LA, </w:t>
      </w:r>
      <w:proofErr w:type="spellStart"/>
      <w:r w:rsidRPr="00AC5EFA">
        <w:t>Rothbart</w:t>
      </w:r>
      <w:proofErr w:type="spellEnd"/>
      <w:r w:rsidRPr="00AC5EFA">
        <w:t xml:space="preserve"> RM, </w:t>
      </w:r>
      <w:proofErr w:type="spellStart"/>
      <w:r w:rsidRPr="00AC5EFA">
        <w:t>McAnul</w:t>
      </w:r>
      <w:r>
        <w:t>ty</w:t>
      </w:r>
      <w:proofErr w:type="spellEnd"/>
      <w:r>
        <w:t xml:space="preserve"> JH, </w:t>
      </w:r>
      <w:proofErr w:type="spellStart"/>
      <w:r>
        <w:t>Asinger</w:t>
      </w:r>
      <w:proofErr w:type="spellEnd"/>
      <w:r>
        <w:t xml:space="preserve"> RW, </w:t>
      </w:r>
      <w:proofErr w:type="spellStart"/>
      <w:r>
        <w:t>Halperin</w:t>
      </w:r>
      <w:proofErr w:type="spellEnd"/>
      <w:r>
        <w:t xml:space="preserve"> JL (2000) </w:t>
      </w:r>
      <w:r w:rsidRPr="00AC5EFA">
        <w:t xml:space="preserve">Stroke with intermittent atrial fibrillation: incidence and predictors during aspirin </w:t>
      </w:r>
      <w:r>
        <w:t>therapy</w:t>
      </w:r>
      <w:r w:rsidRPr="00AC5EFA">
        <w:rPr>
          <w:i/>
        </w:rPr>
        <w:t xml:space="preserve">. J Am </w:t>
      </w:r>
      <w:proofErr w:type="spellStart"/>
      <w:r w:rsidRPr="00AC5EFA">
        <w:rPr>
          <w:i/>
        </w:rPr>
        <w:t>Coll</w:t>
      </w:r>
      <w:proofErr w:type="spellEnd"/>
      <w:r w:rsidRPr="00AC5EFA">
        <w:rPr>
          <w:i/>
        </w:rPr>
        <w:t xml:space="preserve"> </w:t>
      </w:r>
      <w:proofErr w:type="spellStart"/>
      <w:r w:rsidRPr="00AC5EFA">
        <w:rPr>
          <w:i/>
        </w:rPr>
        <w:t>Cardiol</w:t>
      </w:r>
      <w:proofErr w:type="spellEnd"/>
      <w:r w:rsidRPr="00AC5EFA">
        <w:rPr>
          <w:i/>
        </w:rPr>
        <w:t>, 35</w:t>
      </w:r>
      <w:r w:rsidRPr="00AC5EFA">
        <w:t>:183-187</w:t>
      </w:r>
      <w:r>
        <w:t>.</w:t>
      </w:r>
    </w:p>
    <w:p w14:paraId="75BD215C" w14:textId="6A9A824D" w:rsidR="001100B6" w:rsidRDefault="001100B6" w:rsidP="001100B6">
      <w:proofErr w:type="spellStart"/>
      <w:r>
        <w:t>Hindricks</w:t>
      </w:r>
      <w:proofErr w:type="spellEnd"/>
      <w:r>
        <w:t xml:space="preserve"> G</w:t>
      </w:r>
      <w:r w:rsidRPr="001100B6">
        <w:t xml:space="preserve">, </w:t>
      </w:r>
      <w:proofErr w:type="spellStart"/>
      <w:r w:rsidRPr="001100B6">
        <w:t>Pokushalov</w:t>
      </w:r>
      <w:proofErr w:type="spellEnd"/>
      <w:r w:rsidRPr="001100B6">
        <w:t xml:space="preserve"> E, Urban L, </w:t>
      </w:r>
      <w:proofErr w:type="spellStart"/>
      <w:r w:rsidRPr="001100B6">
        <w:t>Taborsky</w:t>
      </w:r>
      <w:proofErr w:type="spellEnd"/>
      <w:r w:rsidRPr="001100B6">
        <w:t xml:space="preserve"> M, </w:t>
      </w:r>
      <w:proofErr w:type="spellStart"/>
      <w:r w:rsidRPr="001100B6">
        <w:t>Kuck</w:t>
      </w:r>
      <w:proofErr w:type="spellEnd"/>
      <w:r w:rsidRPr="001100B6">
        <w:t xml:space="preserve"> KH, </w:t>
      </w:r>
      <w:proofErr w:type="spellStart"/>
      <w:r w:rsidRPr="001100B6">
        <w:t>Lebedev</w:t>
      </w:r>
      <w:proofErr w:type="spellEnd"/>
      <w:r w:rsidRPr="001100B6">
        <w:t xml:space="preserve"> D, </w:t>
      </w:r>
      <w:proofErr w:type="spellStart"/>
      <w:r w:rsidRPr="001100B6">
        <w:t>Rieger</w:t>
      </w:r>
      <w:proofErr w:type="spellEnd"/>
      <w:r w:rsidRPr="001100B6">
        <w:t xml:space="preserve"> G, </w:t>
      </w:r>
      <w:proofErr w:type="spellStart"/>
      <w:r w:rsidRPr="001100B6">
        <w:t>Pürerfellner</w:t>
      </w:r>
      <w:proofErr w:type="spellEnd"/>
      <w:r>
        <w:t xml:space="preserve"> H, XPECT Trial Investigators (2010) Performance of a new leadless implantable cardiac monitor in detecting and quantifying atrial fibrillation: results of the XPECT trial. </w:t>
      </w:r>
      <w:proofErr w:type="spellStart"/>
      <w:r w:rsidRPr="001100B6">
        <w:rPr>
          <w:i/>
        </w:rPr>
        <w:t>Circ</w:t>
      </w:r>
      <w:proofErr w:type="spellEnd"/>
      <w:r w:rsidRPr="001100B6">
        <w:rPr>
          <w:i/>
        </w:rPr>
        <w:t xml:space="preserve"> </w:t>
      </w:r>
      <w:proofErr w:type="spellStart"/>
      <w:r w:rsidRPr="001100B6">
        <w:rPr>
          <w:i/>
        </w:rPr>
        <w:t>Arrhythm</w:t>
      </w:r>
      <w:proofErr w:type="spellEnd"/>
      <w:r w:rsidRPr="001100B6">
        <w:rPr>
          <w:i/>
        </w:rPr>
        <w:t xml:space="preserve"> </w:t>
      </w:r>
      <w:proofErr w:type="spellStart"/>
      <w:r w:rsidRPr="001100B6">
        <w:rPr>
          <w:i/>
        </w:rPr>
        <w:t>Electrophysiol</w:t>
      </w:r>
      <w:proofErr w:type="spellEnd"/>
      <w:r w:rsidRPr="001100B6">
        <w:rPr>
          <w:i/>
        </w:rPr>
        <w:t>, 3</w:t>
      </w:r>
      <w:r>
        <w:t>: 141–147.</w:t>
      </w:r>
    </w:p>
    <w:p w14:paraId="3F0A6A79" w14:textId="2190EEC5" w:rsidR="004E457C" w:rsidRDefault="004E457C" w:rsidP="006C09AE">
      <w:proofErr w:type="spellStart"/>
      <w:r w:rsidRPr="004E457C">
        <w:t>Hohnloser</w:t>
      </w:r>
      <w:proofErr w:type="spellEnd"/>
      <w:r w:rsidRPr="004E457C">
        <w:t xml:space="preserve"> </w:t>
      </w:r>
      <w:r w:rsidR="00AC5EFA">
        <w:t xml:space="preserve">SH, </w:t>
      </w:r>
      <w:proofErr w:type="spellStart"/>
      <w:r w:rsidR="00AC5EFA">
        <w:t>Pajitnev</w:t>
      </w:r>
      <w:proofErr w:type="spellEnd"/>
      <w:r w:rsidR="00AC5EFA">
        <w:t xml:space="preserve"> D, Pogue J, </w:t>
      </w:r>
      <w:r w:rsidR="00AC5EFA" w:rsidRPr="00AC5EFA">
        <w:t xml:space="preserve">Healey JS, </w:t>
      </w:r>
      <w:proofErr w:type="spellStart"/>
      <w:r w:rsidR="00AC5EFA" w:rsidRPr="00AC5EFA">
        <w:t>Pfeffer</w:t>
      </w:r>
      <w:proofErr w:type="spellEnd"/>
      <w:r w:rsidR="00AC5EFA" w:rsidRPr="00AC5EFA">
        <w:t xml:space="preserve"> MA, Yusuf S, Connolly SJ; ACTIVE W Investigators</w:t>
      </w:r>
      <w:r w:rsidR="00AC5EFA">
        <w:t xml:space="preserve"> (2007) </w:t>
      </w:r>
      <w:r w:rsidRPr="004E457C">
        <w:t xml:space="preserve">Incidence of stroke in paroxysmal versus sustained atrial fibrillation in patients taking oral anticoagulation or combined antiplatelet therapy: an ACTIVE W </w:t>
      </w:r>
      <w:proofErr w:type="spellStart"/>
      <w:r w:rsidRPr="004E457C">
        <w:t>S</w:t>
      </w:r>
      <w:r w:rsidR="00AC5EFA">
        <w:t>ubstudy</w:t>
      </w:r>
      <w:proofErr w:type="spellEnd"/>
      <w:r w:rsidR="00AC5EFA">
        <w:t xml:space="preserve">. </w:t>
      </w:r>
      <w:r w:rsidR="00AC5EFA" w:rsidRPr="00AC5EFA">
        <w:rPr>
          <w:i/>
        </w:rPr>
        <w:t xml:space="preserve">J Am </w:t>
      </w:r>
      <w:proofErr w:type="spellStart"/>
      <w:r w:rsidR="00AC5EFA" w:rsidRPr="00AC5EFA">
        <w:rPr>
          <w:i/>
        </w:rPr>
        <w:t>Coll</w:t>
      </w:r>
      <w:proofErr w:type="spellEnd"/>
      <w:r w:rsidR="00AC5EFA" w:rsidRPr="00AC5EFA">
        <w:rPr>
          <w:i/>
        </w:rPr>
        <w:t xml:space="preserve"> </w:t>
      </w:r>
      <w:proofErr w:type="spellStart"/>
      <w:r w:rsidR="00AC5EFA" w:rsidRPr="00AC5EFA">
        <w:rPr>
          <w:i/>
        </w:rPr>
        <w:t>Cardiol</w:t>
      </w:r>
      <w:proofErr w:type="spellEnd"/>
      <w:r w:rsidR="00AC5EFA" w:rsidRPr="00AC5EFA">
        <w:rPr>
          <w:i/>
        </w:rPr>
        <w:t xml:space="preserve">, </w:t>
      </w:r>
      <w:r w:rsidRPr="00AC5EFA">
        <w:rPr>
          <w:i/>
        </w:rPr>
        <w:t>50</w:t>
      </w:r>
      <w:r w:rsidRPr="004E457C">
        <w:t>:2156-2161</w:t>
      </w:r>
    </w:p>
    <w:p w14:paraId="3FEB26FC" w14:textId="3605784D" w:rsidR="00262D1E" w:rsidRDefault="00262D1E" w:rsidP="006C09AE">
      <w:pPr>
        <w:rPr>
          <w:rStyle w:val="reference-text"/>
        </w:rPr>
      </w:pPr>
      <w:r>
        <w:rPr>
          <w:rStyle w:val="reference-text"/>
        </w:rPr>
        <w:t xml:space="preserve">January CT, </w:t>
      </w:r>
      <w:proofErr w:type="spellStart"/>
      <w:r>
        <w:rPr>
          <w:rStyle w:val="reference-text"/>
        </w:rPr>
        <w:t>Wann</w:t>
      </w:r>
      <w:proofErr w:type="spellEnd"/>
      <w:r>
        <w:rPr>
          <w:rStyle w:val="reference-text"/>
        </w:rPr>
        <w:t xml:space="preserve"> LS, Alpert JS, Calkins H, </w:t>
      </w:r>
      <w:proofErr w:type="spellStart"/>
      <w:r>
        <w:rPr>
          <w:rStyle w:val="reference-text"/>
        </w:rPr>
        <w:t>Cigarroa</w:t>
      </w:r>
      <w:proofErr w:type="spellEnd"/>
      <w:r>
        <w:rPr>
          <w:rStyle w:val="reference-text"/>
        </w:rPr>
        <w:t xml:space="preserve"> JE, Cleveland JC Jr, </w:t>
      </w:r>
      <w:r w:rsidR="004E457C">
        <w:rPr>
          <w:rStyle w:val="reference-text"/>
        </w:rPr>
        <w:t>et al.,</w:t>
      </w:r>
      <w:r>
        <w:rPr>
          <w:rStyle w:val="reference-text"/>
        </w:rPr>
        <w:t xml:space="preserve"> American College of Cardiology/American Heart Association Task Force on Practice Guidelines</w:t>
      </w:r>
      <w:r w:rsidR="004E457C">
        <w:rPr>
          <w:rStyle w:val="reference-text"/>
        </w:rPr>
        <w:t xml:space="preserve"> (2014) </w:t>
      </w:r>
      <w:r>
        <w:rPr>
          <w:rStyle w:val="reference-text"/>
        </w:rPr>
        <w:t>2014 AHA/ACC/HRS guideline for the management of patients with atrial fibrillation: a report of the American College of Cardiology/American Heart Association Task Force on Practice Guidelines and the Heart Rhythm S</w:t>
      </w:r>
      <w:r w:rsidR="004E457C">
        <w:rPr>
          <w:rStyle w:val="reference-text"/>
        </w:rPr>
        <w:t xml:space="preserve">ociety. </w:t>
      </w:r>
      <w:r w:rsidR="004E457C" w:rsidRPr="004E457C">
        <w:rPr>
          <w:rStyle w:val="reference-text"/>
          <w:i/>
        </w:rPr>
        <w:t xml:space="preserve">J Am </w:t>
      </w:r>
      <w:proofErr w:type="spellStart"/>
      <w:r w:rsidR="004E457C" w:rsidRPr="004E457C">
        <w:rPr>
          <w:rStyle w:val="reference-text"/>
          <w:i/>
        </w:rPr>
        <w:t>Coll</w:t>
      </w:r>
      <w:proofErr w:type="spellEnd"/>
      <w:r w:rsidR="004E457C" w:rsidRPr="004E457C">
        <w:rPr>
          <w:rStyle w:val="reference-text"/>
          <w:i/>
        </w:rPr>
        <w:t xml:space="preserve"> </w:t>
      </w:r>
      <w:proofErr w:type="spellStart"/>
      <w:r w:rsidR="004E457C" w:rsidRPr="004E457C">
        <w:rPr>
          <w:rStyle w:val="reference-text"/>
          <w:i/>
        </w:rPr>
        <w:t>Cardiol</w:t>
      </w:r>
      <w:proofErr w:type="spellEnd"/>
      <w:r w:rsidR="004E457C" w:rsidRPr="004E457C">
        <w:rPr>
          <w:rStyle w:val="reference-text"/>
          <w:i/>
        </w:rPr>
        <w:t xml:space="preserve">., </w:t>
      </w:r>
      <w:r w:rsidRPr="004E457C">
        <w:rPr>
          <w:rStyle w:val="reference-text"/>
          <w:i/>
        </w:rPr>
        <w:t>64</w:t>
      </w:r>
      <w:r>
        <w:rPr>
          <w:rStyle w:val="reference-text"/>
        </w:rPr>
        <w:t>(21):e1-76.</w:t>
      </w:r>
    </w:p>
    <w:p w14:paraId="6C007BC3" w14:textId="2092ADEF" w:rsidR="003205B4" w:rsidRDefault="003205B4" w:rsidP="006C09AE">
      <w:pPr>
        <w:rPr>
          <w:rStyle w:val="reference-text"/>
        </w:rPr>
      </w:pPr>
      <w:proofErr w:type="spellStart"/>
      <w:r>
        <w:rPr>
          <w:rStyle w:val="reference-text"/>
        </w:rPr>
        <w:t>Kamel</w:t>
      </w:r>
      <w:proofErr w:type="spellEnd"/>
      <w:r>
        <w:rPr>
          <w:rStyle w:val="reference-text"/>
        </w:rPr>
        <w:t xml:space="preserve"> H</w:t>
      </w:r>
      <w:r w:rsidRPr="003205B4">
        <w:rPr>
          <w:rStyle w:val="reference-text"/>
        </w:rPr>
        <w:t xml:space="preserve">, </w:t>
      </w:r>
      <w:proofErr w:type="spellStart"/>
      <w:r w:rsidRPr="003205B4">
        <w:rPr>
          <w:rStyle w:val="reference-text"/>
        </w:rPr>
        <w:t>Navi</w:t>
      </w:r>
      <w:proofErr w:type="spellEnd"/>
      <w:r w:rsidRPr="003205B4">
        <w:rPr>
          <w:rStyle w:val="reference-text"/>
        </w:rPr>
        <w:t xml:space="preserve"> BB, </w:t>
      </w:r>
      <w:proofErr w:type="spellStart"/>
      <w:r w:rsidRPr="003205B4">
        <w:rPr>
          <w:rStyle w:val="reference-text"/>
        </w:rPr>
        <w:t>Elijovich</w:t>
      </w:r>
      <w:proofErr w:type="spellEnd"/>
      <w:r w:rsidRPr="003205B4">
        <w:rPr>
          <w:rStyle w:val="reference-text"/>
        </w:rPr>
        <w:t xml:space="preserve"> L, Josephson SA, Yee AH, Fung G, </w:t>
      </w:r>
      <w:r>
        <w:rPr>
          <w:rStyle w:val="reference-text"/>
        </w:rPr>
        <w:t xml:space="preserve">et al. (2013) </w:t>
      </w:r>
      <w:r w:rsidRPr="003205B4">
        <w:rPr>
          <w:rStyle w:val="reference-text"/>
        </w:rPr>
        <w:t>Pilot randomized trial of outpatient cardiac monitoring after cryptogenic stroke.</w:t>
      </w:r>
      <w:r>
        <w:rPr>
          <w:rStyle w:val="reference-text"/>
        </w:rPr>
        <w:t xml:space="preserve"> </w:t>
      </w:r>
      <w:r w:rsidRPr="003205B4">
        <w:rPr>
          <w:rStyle w:val="reference-text"/>
          <w:i/>
        </w:rPr>
        <w:t>Stroke, 44</w:t>
      </w:r>
      <w:r w:rsidRPr="003205B4">
        <w:rPr>
          <w:rStyle w:val="reference-text"/>
        </w:rPr>
        <w:t>(2):528-30.</w:t>
      </w:r>
    </w:p>
    <w:p w14:paraId="0D75ADB6" w14:textId="6ED9361D" w:rsidR="00FD759F" w:rsidRDefault="00FD759F" w:rsidP="006C09AE">
      <w:proofErr w:type="spellStart"/>
      <w:r>
        <w:t>Kirchhof</w:t>
      </w:r>
      <w:proofErr w:type="spellEnd"/>
      <w:r>
        <w:t xml:space="preserve"> P, </w:t>
      </w:r>
      <w:proofErr w:type="spellStart"/>
      <w:r>
        <w:t>Breithardt</w:t>
      </w:r>
      <w:proofErr w:type="spellEnd"/>
      <w:r>
        <w:t xml:space="preserve"> G, </w:t>
      </w:r>
      <w:proofErr w:type="spellStart"/>
      <w:r>
        <w:t>Bax</w:t>
      </w:r>
      <w:proofErr w:type="spellEnd"/>
      <w:r>
        <w:t xml:space="preserve"> J, </w:t>
      </w:r>
      <w:proofErr w:type="spellStart"/>
      <w:r>
        <w:t>Benninger</w:t>
      </w:r>
      <w:proofErr w:type="spellEnd"/>
      <w:r>
        <w:t xml:space="preserve"> G, </w:t>
      </w:r>
      <w:proofErr w:type="spellStart"/>
      <w:r>
        <w:t>Blomstrom-Lundqvist</w:t>
      </w:r>
      <w:proofErr w:type="spellEnd"/>
      <w:r>
        <w:t xml:space="preserve"> C, </w:t>
      </w:r>
      <w:proofErr w:type="spellStart"/>
      <w:r>
        <w:t>Boriani</w:t>
      </w:r>
      <w:proofErr w:type="spellEnd"/>
      <w:r>
        <w:t xml:space="preserve"> G (2015) </w:t>
      </w:r>
      <w:r w:rsidR="00A30EEB" w:rsidRPr="00A30EEB">
        <w:t>A roadmap to improve the quality of atrial fibrillation management: proceedings from the fifth Atrial Fibrillation Network/European Heart Rhythm Association consensus conference.</w:t>
      </w:r>
      <w:r w:rsidR="00A30EEB">
        <w:t xml:space="preserve"> </w:t>
      </w:r>
      <w:proofErr w:type="spellStart"/>
      <w:r w:rsidR="00A30EEB" w:rsidRPr="00A30EEB">
        <w:rPr>
          <w:i/>
        </w:rPr>
        <w:t>Europace</w:t>
      </w:r>
      <w:proofErr w:type="spellEnd"/>
      <w:r w:rsidR="00A30EEB" w:rsidRPr="00A30EEB">
        <w:rPr>
          <w:i/>
        </w:rPr>
        <w:t>, Oct 18.</w:t>
      </w:r>
    </w:p>
    <w:p w14:paraId="30307C3A" w14:textId="2A9CB2F1" w:rsidR="009D02BE" w:rsidRDefault="009D02BE" w:rsidP="006C09AE">
      <w:proofErr w:type="spellStart"/>
      <w:r>
        <w:t>Kolominsky-Rabas</w:t>
      </w:r>
      <w:proofErr w:type="spellEnd"/>
      <w:r>
        <w:t xml:space="preserve"> PL, Weber M, </w:t>
      </w:r>
      <w:proofErr w:type="spellStart"/>
      <w:r>
        <w:t>Gefeller</w:t>
      </w:r>
      <w:proofErr w:type="spellEnd"/>
      <w:r>
        <w:t xml:space="preserve"> O, </w:t>
      </w:r>
      <w:proofErr w:type="spellStart"/>
      <w:r>
        <w:t>Neundoerfer</w:t>
      </w:r>
      <w:proofErr w:type="spellEnd"/>
      <w:r>
        <w:t xml:space="preserve"> B, </w:t>
      </w:r>
      <w:proofErr w:type="spellStart"/>
      <w:proofErr w:type="gramStart"/>
      <w:r>
        <w:t>Heuschmann</w:t>
      </w:r>
      <w:proofErr w:type="spellEnd"/>
      <w:proofErr w:type="gramEnd"/>
      <w:r>
        <w:t xml:space="preserve"> PU (2001) </w:t>
      </w:r>
      <w:r w:rsidRPr="009D02BE">
        <w:t xml:space="preserve">Epidemiology of ischemic stroke subtypes according to TOAST criteria: incidence, recurrence, and long-term survival in ischemic stroke subtypes: a population-based study. </w:t>
      </w:r>
      <w:r w:rsidRPr="009D02BE">
        <w:rPr>
          <w:i/>
        </w:rPr>
        <w:t>Stroke, 32</w:t>
      </w:r>
      <w:r>
        <w:t xml:space="preserve">: </w:t>
      </w:r>
      <w:r w:rsidRPr="009D02BE">
        <w:t>2735–2740</w:t>
      </w:r>
      <w:r w:rsidR="00581A8E">
        <w:t>.</w:t>
      </w:r>
    </w:p>
    <w:p w14:paraId="014E0EDC" w14:textId="7ED15E74" w:rsidR="00581A8E" w:rsidRDefault="00581A8E" w:rsidP="006C09AE">
      <w:proofErr w:type="spellStart"/>
      <w:r>
        <w:t>Kottkamp</w:t>
      </w:r>
      <w:proofErr w:type="spellEnd"/>
      <w:r>
        <w:t xml:space="preserve"> H, Tanner H, </w:t>
      </w:r>
      <w:proofErr w:type="spellStart"/>
      <w:r>
        <w:t>Kobza</w:t>
      </w:r>
      <w:proofErr w:type="spellEnd"/>
      <w:r>
        <w:t xml:space="preserve"> R, </w:t>
      </w:r>
      <w:proofErr w:type="spellStart"/>
      <w:r>
        <w:t>Schirdewahn</w:t>
      </w:r>
      <w:proofErr w:type="spellEnd"/>
      <w:r>
        <w:t xml:space="preserve"> P, </w:t>
      </w:r>
      <w:proofErr w:type="spellStart"/>
      <w:r>
        <w:t>Dorszewski</w:t>
      </w:r>
      <w:proofErr w:type="spellEnd"/>
      <w:r>
        <w:t xml:space="preserve"> A, </w:t>
      </w:r>
      <w:proofErr w:type="spellStart"/>
      <w:r>
        <w:t>Gerds</w:t>
      </w:r>
      <w:proofErr w:type="spellEnd"/>
      <w:r>
        <w:t xml:space="preserve">-Li JH, et al. (2004) </w:t>
      </w:r>
      <w:r w:rsidRPr="00581A8E">
        <w:t xml:space="preserve">Time courses and quantitative analysis of atrial fibrillation episode number and duration after circular plus linear left atrial lesions: trigger elimination or substrate modification: early or delayed cure? </w:t>
      </w:r>
      <w:r w:rsidRPr="00581A8E">
        <w:rPr>
          <w:i/>
        </w:rPr>
        <w:t xml:space="preserve">J. Am. Coll. </w:t>
      </w:r>
      <w:proofErr w:type="spellStart"/>
      <w:r w:rsidRPr="00581A8E">
        <w:rPr>
          <w:i/>
        </w:rPr>
        <w:t>Cardiol</w:t>
      </w:r>
      <w:proofErr w:type="spellEnd"/>
      <w:r w:rsidRPr="00581A8E">
        <w:rPr>
          <w:i/>
        </w:rPr>
        <w:t>., 44</w:t>
      </w:r>
      <w:r>
        <w:t xml:space="preserve">: </w:t>
      </w:r>
      <w:r w:rsidRPr="00581A8E">
        <w:t>869–877.</w:t>
      </w:r>
    </w:p>
    <w:p w14:paraId="006E208F" w14:textId="297F1A29" w:rsidR="009D02BE" w:rsidRDefault="009D02BE" w:rsidP="006C09AE">
      <w:proofErr w:type="gramStart"/>
      <w:r>
        <w:t xml:space="preserve">Lee BI, Nam HS, </w:t>
      </w:r>
      <w:proofErr w:type="spellStart"/>
      <w:r>
        <w:t>Heo</w:t>
      </w:r>
      <w:proofErr w:type="spellEnd"/>
      <w:r>
        <w:t xml:space="preserve"> JH, Kim DI, </w:t>
      </w:r>
      <w:proofErr w:type="spellStart"/>
      <w:r>
        <w:t>Yonsei</w:t>
      </w:r>
      <w:proofErr w:type="spellEnd"/>
      <w:r>
        <w:t xml:space="preserve"> Stroke T (2001) </w:t>
      </w:r>
      <w:proofErr w:type="spellStart"/>
      <w:r w:rsidRPr="009D02BE">
        <w:t>Yonsei</w:t>
      </w:r>
      <w:proofErr w:type="spellEnd"/>
      <w:r w:rsidRPr="009D02BE">
        <w:t xml:space="preserve"> Stroke Registry.</w:t>
      </w:r>
      <w:proofErr w:type="gramEnd"/>
      <w:r w:rsidRPr="009D02BE">
        <w:t xml:space="preserve"> </w:t>
      </w:r>
      <w:proofErr w:type="gramStart"/>
      <w:r w:rsidRPr="009D02BE">
        <w:t>Analysis of 1,000 patients with acute cerebral inf</w:t>
      </w:r>
      <w:r>
        <w:t>arctions.</w:t>
      </w:r>
      <w:proofErr w:type="gramEnd"/>
      <w:r>
        <w:t xml:space="preserve"> </w:t>
      </w:r>
      <w:proofErr w:type="spellStart"/>
      <w:proofErr w:type="gramStart"/>
      <w:r w:rsidRPr="009D02BE">
        <w:rPr>
          <w:i/>
        </w:rPr>
        <w:t>Cerebrovasc</w:t>
      </w:r>
      <w:proofErr w:type="spellEnd"/>
      <w:r w:rsidRPr="009D02BE">
        <w:rPr>
          <w:i/>
        </w:rPr>
        <w:t>.</w:t>
      </w:r>
      <w:proofErr w:type="gramEnd"/>
      <w:r w:rsidRPr="009D02BE">
        <w:rPr>
          <w:i/>
        </w:rPr>
        <w:t xml:space="preserve"> Dis., 12</w:t>
      </w:r>
      <w:r>
        <w:t xml:space="preserve">: </w:t>
      </w:r>
      <w:r w:rsidRPr="009D02BE">
        <w:t>145–151.</w:t>
      </w:r>
    </w:p>
    <w:p w14:paraId="30A55FBC" w14:textId="7901484C" w:rsidR="00E97A85" w:rsidRDefault="00E97A85" w:rsidP="006C09AE">
      <w:r>
        <w:lastRenderedPageBreak/>
        <w:t xml:space="preserve">Li L, </w:t>
      </w:r>
      <w:proofErr w:type="spellStart"/>
      <w:r>
        <w:t>Yiin</w:t>
      </w:r>
      <w:proofErr w:type="spellEnd"/>
      <w:r>
        <w:t xml:space="preserve"> GS, </w:t>
      </w:r>
      <w:proofErr w:type="spellStart"/>
      <w:r>
        <w:t>Geraghty</w:t>
      </w:r>
      <w:proofErr w:type="spellEnd"/>
      <w:r>
        <w:t xml:space="preserve"> OC, Schulz UG, </w:t>
      </w:r>
      <w:proofErr w:type="spellStart"/>
      <w:r>
        <w:t>Kuker</w:t>
      </w:r>
      <w:proofErr w:type="spellEnd"/>
      <w:r>
        <w:t xml:space="preserve"> W, Mehta Z, Rothwell PM, Oxford Vascular Study (2015) </w:t>
      </w:r>
      <w:r w:rsidRPr="00E97A85">
        <w:t>Incidence, outcome, risk factors, and long-term prognosis of cryptogenic transient ischaemic attack and ischaemic stroke: a population-based study.</w:t>
      </w:r>
      <w:r>
        <w:t xml:space="preserve"> </w:t>
      </w:r>
      <w:r w:rsidRPr="00E97A85">
        <w:rPr>
          <w:i/>
        </w:rPr>
        <w:t>Lancet Neurol., 14</w:t>
      </w:r>
      <w:r w:rsidRPr="00E97A85">
        <w:t>(9):903-13.</w:t>
      </w:r>
    </w:p>
    <w:p w14:paraId="19048A06" w14:textId="7E1A0F07" w:rsidR="00E97A85" w:rsidRDefault="00E97A85" w:rsidP="006C09AE">
      <w:r>
        <w:t xml:space="preserve">Liao J, Khalid Z, </w:t>
      </w:r>
      <w:proofErr w:type="spellStart"/>
      <w:r>
        <w:t>Scallan</w:t>
      </w:r>
      <w:proofErr w:type="spellEnd"/>
      <w:r>
        <w:t xml:space="preserve"> C, </w:t>
      </w:r>
      <w:proofErr w:type="spellStart"/>
      <w:r>
        <w:t>Morillo</w:t>
      </w:r>
      <w:proofErr w:type="spellEnd"/>
      <w:r>
        <w:t xml:space="preserve"> C, O'Donnell M (2007) </w:t>
      </w:r>
      <w:proofErr w:type="spellStart"/>
      <w:r w:rsidRPr="00E97A85">
        <w:t>Noninvasive</w:t>
      </w:r>
      <w:proofErr w:type="spellEnd"/>
      <w:r w:rsidRPr="00E97A85">
        <w:t xml:space="preserve"> cardiac monitoring for detecting paroxysmal atrial fibrillation or flutter after acute ischemic stroke: a systematic review. </w:t>
      </w:r>
      <w:r w:rsidRPr="00E97A85">
        <w:rPr>
          <w:i/>
        </w:rPr>
        <w:t>Stroke, 38</w:t>
      </w:r>
      <w:r>
        <w:t>:</w:t>
      </w:r>
      <w:r w:rsidRPr="00E97A85">
        <w:t xml:space="preserve"> 2935–2940.</w:t>
      </w:r>
    </w:p>
    <w:p w14:paraId="26CA2A16" w14:textId="3B565556" w:rsidR="001E2BF9" w:rsidRDefault="001E2DAD" w:rsidP="006C09AE">
      <w:hyperlink r:id="rId30" w:history="1">
        <w:r w:rsidR="001E2BF9" w:rsidRPr="00FE1712">
          <w:t>Lip GY</w:t>
        </w:r>
      </w:hyperlink>
      <w:r w:rsidR="001E2BF9">
        <w:t xml:space="preserve">, </w:t>
      </w:r>
      <w:hyperlink r:id="rId31" w:history="1">
        <w:proofErr w:type="spellStart"/>
        <w:r w:rsidR="001E2BF9" w:rsidRPr="00FE1712">
          <w:t>Nieuwlaat</w:t>
        </w:r>
        <w:proofErr w:type="spellEnd"/>
        <w:r w:rsidR="001E2BF9" w:rsidRPr="00FE1712">
          <w:t xml:space="preserve"> R</w:t>
        </w:r>
      </w:hyperlink>
      <w:r w:rsidR="001E2BF9">
        <w:t xml:space="preserve">, </w:t>
      </w:r>
      <w:hyperlink r:id="rId32" w:history="1">
        <w:proofErr w:type="spellStart"/>
        <w:r w:rsidR="001E2BF9" w:rsidRPr="00FE1712">
          <w:t>Pisters</w:t>
        </w:r>
        <w:proofErr w:type="spellEnd"/>
        <w:r w:rsidR="001E2BF9" w:rsidRPr="00FE1712">
          <w:t xml:space="preserve"> R</w:t>
        </w:r>
      </w:hyperlink>
      <w:r w:rsidR="001E2BF9">
        <w:t xml:space="preserve">, </w:t>
      </w:r>
      <w:hyperlink r:id="rId33" w:history="1">
        <w:r w:rsidR="001E2BF9" w:rsidRPr="00FE1712">
          <w:t>Lane DA</w:t>
        </w:r>
      </w:hyperlink>
      <w:r w:rsidR="001E2BF9">
        <w:t xml:space="preserve">, </w:t>
      </w:r>
      <w:hyperlink r:id="rId34" w:history="1">
        <w:proofErr w:type="spellStart"/>
        <w:r w:rsidR="001E2BF9" w:rsidRPr="00FE1712">
          <w:t>Crijns</w:t>
        </w:r>
        <w:proofErr w:type="spellEnd"/>
        <w:r w:rsidR="001E2BF9" w:rsidRPr="00FE1712">
          <w:t xml:space="preserve"> HJ</w:t>
        </w:r>
      </w:hyperlink>
      <w:r w:rsidR="001E2BF9">
        <w:t xml:space="preserve"> (2010) </w:t>
      </w:r>
      <w:r w:rsidR="001E2BF9" w:rsidRPr="001E2BF9">
        <w:t>Refining clinical risk stratification for predicting stroke and thromboembolism in atrial fibrillation using a novel risk factor-based approach: the euro heart survey on atrial fibrillation.</w:t>
      </w:r>
      <w:r w:rsidR="001E2BF9">
        <w:t xml:space="preserve"> </w:t>
      </w:r>
      <w:r w:rsidR="001E2BF9" w:rsidRPr="001E2BF9">
        <w:rPr>
          <w:i/>
        </w:rPr>
        <w:t>Chest, 137</w:t>
      </w:r>
      <w:r w:rsidR="001E2BF9" w:rsidRPr="001E2BF9">
        <w:t>(2):263-72.</w:t>
      </w:r>
    </w:p>
    <w:p w14:paraId="0CB2E398" w14:textId="0D631E9C" w:rsidR="008E3C86" w:rsidRDefault="008E3C86" w:rsidP="008E3C86">
      <w:pPr>
        <w:jc w:val="left"/>
      </w:pPr>
      <w:proofErr w:type="gramStart"/>
      <w:r>
        <w:t>Medical Services Advisory Committee (MSAC) (2005) Guidelines for the assessment of diagnostic technologies, August 2005.</w:t>
      </w:r>
      <w:proofErr w:type="gramEnd"/>
      <w:r>
        <w:t xml:space="preserve"> </w:t>
      </w:r>
    </w:p>
    <w:p w14:paraId="0ED966AB" w14:textId="739FDA28" w:rsidR="00BF7B43" w:rsidRDefault="006C09AE" w:rsidP="00C13E36">
      <w:r>
        <w:t>National Stroke Foundation</w:t>
      </w:r>
      <w:r w:rsidR="00B26588">
        <w:t xml:space="preserve"> (2014</w:t>
      </w:r>
      <w:r w:rsidR="00FD759F">
        <w:t xml:space="preserve">) </w:t>
      </w:r>
      <w:r>
        <w:t>National Stroke Audit – Acute Services Clinical Audit Report 2013. Melbourne, Australia.</w:t>
      </w:r>
    </w:p>
    <w:p w14:paraId="448FCCAE" w14:textId="58FA5A2A" w:rsidR="00FD759F" w:rsidRDefault="00FD759F" w:rsidP="00FD759F">
      <w:proofErr w:type="gramStart"/>
      <w:r>
        <w:t>National Stroke Foundation (2010) Clinical Guidelines for Stroke Management 2010.</w:t>
      </w:r>
      <w:proofErr w:type="gramEnd"/>
      <w:r>
        <w:t xml:space="preserve"> </w:t>
      </w:r>
      <w:proofErr w:type="gramStart"/>
      <w:r>
        <w:t>Melbourne Australia.</w:t>
      </w:r>
      <w:proofErr w:type="gramEnd"/>
    </w:p>
    <w:p w14:paraId="0D9A4C5E" w14:textId="2A5BEE44" w:rsidR="004E457C" w:rsidRDefault="004E457C" w:rsidP="00C13E36">
      <w:r>
        <w:t>National Institute for Health and Care Excellence (</w:t>
      </w:r>
      <w:r>
        <w:rPr>
          <w:rStyle w:val="reference-text"/>
        </w:rPr>
        <w:t xml:space="preserve">NICE) (2014) Atrial Fibrillation: The Management of Atrial Fibrillation. National Clinical Guideline Centre (UK). </w:t>
      </w:r>
    </w:p>
    <w:p w14:paraId="7DC1CF68" w14:textId="4BF65B9D" w:rsidR="0091498F" w:rsidRDefault="0091498F" w:rsidP="00C13E36">
      <w:proofErr w:type="spellStart"/>
      <w:r>
        <w:t>Ntaios</w:t>
      </w:r>
      <w:proofErr w:type="spellEnd"/>
      <w:r>
        <w:t xml:space="preserve"> G, </w:t>
      </w:r>
      <w:proofErr w:type="spellStart"/>
      <w:r>
        <w:t>Papavasileiou</w:t>
      </w:r>
      <w:proofErr w:type="spellEnd"/>
      <w:r>
        <w:t xml:space="preserve"> V, Milionis H, </w:t>
      </w:r>
      <w:proofErr w:type="spellStart"/>
      <w:r w:rsidRPr="0091498F">
        <w:t>Makaritsis</w:t>
      </w:r>
      <w:proofErr w:type="spellEnd"/>
      <w:r w:rsidRPr="0091498F">
        <w:t xml:space="preserve"> K, </w:t>
      </w:r>
      <w:proofErr w:type="spellStart"/>
      <w:r w:rsidRPr="0091498F">
        <w:t>Manios</w:t>
      </w:r>
      <w:proofErr w:type="spellEnd"/>
      <w:r w:rsidRPr="0091498F">
        <w:t xml:space="preserve"> E</w:t>
      </w:r>
      <w:r>
        <w:t xml:space="preserve">, </w:t>
      </w:r>
      <w:proofErr w:type="spellStart"/>
      <w:r>
        <w:t>Spengos</w:t>
      </w:r>
      <w:proofErr w:type="spellEnd"/>
      <w:r>
        <w:t xml:space="preserve"> K, Michel P, </w:t>
      </w:r>
      <w:proofErr w:type="spellStart"/>
      <w:r>
        <w:t>Vemmos</w:t>
      </w:r>
      <w:proofErr w:type="spellEnd"/>
      <w:r>
        <w:t xml:space="preserve"> K (2015) </w:t>
      </w:r>
      <w:r w:rsidRPr="0091498F">
        <w:t xml:space="preserve">Embolic strokes of undetermined source in the </w:t>
      </w:r>
      <w:proofErr w:type="spellStart"/>
      <w:r w:rsidRPr="0091498F">
        <w:t>athens</w:t>
      </w:r>
      <w:proofErr w:type="spellEnd"/>
      <w:r w:rsidRPr="0091498F">
        <w:t xml:space="preserve"> stroke registry: a desc</w:t>
      </w:r>
      <w:r>
        <w:t xml:space="preserve">riptive analysis. </w:t>
      </w:r>
      <w:r w:rsidRPr="0091498F">
        <w:rPr>
          <w:i/>
        </w:rPr>
        <w:t>Stroke, 46</w:t>
      </w:r>
      <w:r w:rsidRPr="0091498F">
        <w:t>: 176–181</w:t>
      </w:r>
      <w:r w:rsidR="00581A8E">
        <w:t>.</w:t>
      </w:r>
    </w:p>
    <w:p w14:paraId="2D8FB191" w14:textId="42FB1777" w:rsidR="001E2BF9" w:rsidRDefault="001E2BF9" w:rsidP="00C13E36">
      <w:proofErr w:type="spellStart"/>
      <w:r w:rsidRPr="001E2BF9">
        <w:t>Olesen</w:t>
      </w:r>
      <w:proofErr w:type="spellEnd"/>
      <w:r w:rsidRPr="001E2BF9">
        <w:t xml:space="preserve"> JB1, Lip GY, Hansen ML, Hansen</w:t>
      </w:r>
      <w:r>
        <w:t xml:space="preserve"> PR, </w:t>
      </w:r>
      <w:proofErr w:type="spellStart"/>
      <w:r>
        <w:t>Tolstrup</w:t>
      </w:r>
      <w:proofErr w:type="spellEnd"/>
      <w:r>
        <w:t xml:space="preserve"> JS, </w:t>
      </w:r>
      <w:proofErr w:type="spellStart"/>
      <w:r>
        <w:t>Lindhardsen</w:t>
      </w:r>
      <w:proofErr w:type="spellEnd"/>
      <w:r>
        <w:t xml:space="preserve"> J et al. (2011) </w:t>
      </w:r>
      <w:r w:rsidRPr="001E2BF9">
        <w:t>Validation of risk stratification schemes for predicting stroke and thromboembolism in patients with atrial fibrillation: nationwide cohort study.</w:t>
      </w:r>
      <w:r>
        <w:t xml:space="preserve"> </w:t>
      </w:r>
      <w:proofErr w:type="gramStart"/>
      <w:r w:rsidRPr="001E2BF9">
        <w:rPr>
          <w:i/>
        </w:rPr>
        <w:t>BMJ, 342.</w:t>
      </w:r>
      <w:proofErr w:type="gramEnd"/>
    </w:p>
    <w:p w14:paraId="03721E05" w14:textId="01ED226B" w:rsidR="00581A8E" w:rsidRDefault="00581A8E" w:rsidP="00C13E36">
      <w:r>
        <w:t>Page RL, Wilkinson WE</w:t>
      </w:r>
      <w:r w:rsidRPr="00581A8E">
        <w:t>, Clair W</w:t>
      </w:r>
      <w:r>
        <w:t xml:space="preserve">K, </w:t>
      </w:r>
      <w:proofErr w:type="spellStart"/>
      <w:r>
        <w:t>Mccarthy</w:t>
      </w:r>
      <w:proofErr w:type="spellEnd"/>
      <w:r>
        <w:t xml:space="preserve"> EA, Pritchett EL (1994) </w:t>
      </w:r>
      <w:proofErr w:type="gramStart"/>
      <w:r w:rsidRPr="00581A8E">
        <w:t>Asymptomatic</w:t>
      </w:r>
      <w:proofErr w:type="gramEnd"/>
      <w:r w:rsidRPr="00581A8E">
        <w:t xml:space="preserve"> arrhythmias in patients with symptomatic paroxysmal atrial fibrillation and paroxysmal supraventr</w:t>
      </w:r>
      <w:r>
        <w:t xml:space="preserve">icular tachycardia. </w:t>
      </w:r>
      <w:r w:rsidRPr="00581A8E">
        <w:rPr>
          <w:i/>
        </w:rPr>
        <w:t>Circulation, 89</w:t>
      </w:r>
      <w:r>
        <w:t xml:space="preserve">: </w:t>
      </w:r>
      <w:r w:rsidRPr="00581A8E">
        <w:t>224–227.</w:t>
      </w:r>
    </w:p>
    <w:p w14:paraId="1F6C5637" w14:textId="5BFD368F" w:rsidR="00BF7B43" w:rsidRDefault="00BF7B43" w:rsidP="00C13E36">
      <w:r>
        <w:t>Petty GW, Brown RD</w:t>
      </w:r>
      <w:r w:rsidR="009D02BE">
        <w:t xml:space="preserve">, Jr., </w:t>
      </w:r>
      <w:proofErr w:type="spellStart"/>
      <w:r w:rsidR="009D02BE">
        <w:t>Whisnant</w:t>
      </w:r>
      <w:proofErr w:type="spellEnd"/>
      <w:r w:rsidR="009D02BE">
        <w:t xml:space="preserve"> JP, Sicks JD, </w:t>
      </w:r>
      <w:proofErr w:type="spellStart"/>
      <w:r w:rsidR="009D02BE">
        <w:t>O'fallon</w:t>
      </w:r>
      <w:proofErr w:type="spellEnd"/>
      <w:r w:rsidR="009D02BE">
        <w:t xml:space="preserve"> WM, </w:t>
      </w:r>
      <w:proofErr w:type="spellStart"/>
      <w:r w:rsidR="009D02BE">
        <w:t>Wiebers</w:t>
      </w:r>
      <w:proofErr w:type="spellEnd"/>
      <w:r w:rsidR="009D02BE">
        <w:t xml:space="preserve"> DO (1999) </w:t>
      </w:r>
      <w:r w:rsidRPr="00BF7B43">
        <w:t xml:space="preserve">Ischemic stroke subtypes: a population-based study of incidence and risk factors. </w:t>
      </w:r>
      <w:r w:rsidRPr="009D02BE">
        <w:rPr>
          <w:i/>
        </w:rPr>
        <w:t>Stroke</w:t>
      </w:r>
      <w:r w:rsidR="009D02BE" w:rsidRPr="009D02BE">
        <w:rPr>
          <w:i/>
        </w:rPr>
        <w:t>,</w:t>
      </w:r>
      <w:r w:rsidRPr="009D02BE">
        <w:rPr>
          <w:i/>
        </w:rPr>
        <w:t xml:space="preserve"> 30</w:t>
      </w:r>
      <w:r w:rsidR="009D02BE">
        <w:t xml:space="preserve">: </w:t>
      </w:r>
      <w:r w:rsidRPr="00BF7B43">
        <w:t>2513–2516.</w:t>
      </w:r>
    </w:p>
    <w:p w14:paraId="412186D8" w14:textId="723CB271" w:rsidR="00581A8E" w:rsidRDefault="00581A8E" w:rsidP="00C13E36">
      <w:proofErr w:type="spellStart"/>
      <w:r>
        <w:t>Piorkowski</w:t>
      </w:r>
      <w:proofErr w:type="spellEnd"/>
      <w:r>
        <w:t xml:space="preserve"> C, </w:t>
      </w:r>
      <w:proofErr w:type="spellStart"/>
      <w:r>
        <w:t>Kottkamp</w:t>
      </w:r>
      <w:proofErr w:type="spellEnd"/>
      <w:r>
        <w:t xml:space="preserve"> H, Tanner H, </w:t>
      </w:r>
      <w:proofErr w:type="spellStart"/>
      <w:r>
        <w:t>Kobza</w:t>
      </w:r>
      <w:proofErr w:type="spellEnd"/>
      <w:r>
        <w:t xml:space="preserve"> R, Nielsen JC, Arya A, et al. (2005) </w:t>
      </w:r>
      <w:r w:rsidRPr="00581A8E">
        <w:t>Value of different follow-up strategies to assess the efficacy of circumferential pulmonary vein ablation for the curative treatment of atrial fibrillation</w:t>
      </w:r>
      <w:r w:rsidRPr="00581A8E">
        <w:rPr>
          <w:i/>
        </w:rPr>
        <w:t xml:space="preserve">. J. </w:t>
      </w:r>
      <w:proofErr w:type="spellStart"/>
      <w:r w:rsidRPr="00581A8E">
        <w:rPr>
          <w:i/>
        </w:rPr>
        <w:t>Cardiovasc</w:t>
      </w:r>
      <w:proofErr w:type="spellEnd"/>
      <w:r w:rsidRPr="00581A8E">
        <w:rPr>
          <w:i/>
        </w:rPr>
        <w:t xml:space="preserve">. </w:t>
      </w:r>
      <w:proofErr w:type="spellStart"/>
      <w:proofErr w:type="gramStart"/>
      <w:r w:rsidRPr="00581A8E">
        <w:rPr>
          <w:i/>
        </w:rPr>
        <w:t>Electrophysiol</w:t>
      </w:r>
      <w:proofErr w:type="spellEnd"/>
      <w:r w:rsidRPr="00581A8E">
        <w:rPr>
          <w:i/>
        </w:rPr>
        <w:t>.,</w:t>
      </w:r>
      <w:proofErr w:type="gramEnd"/>
      <w:r w:rsidRPr="00581A8E">
        <w:rPr>
          <w:i/>
        </w:rPr>
        <w:t xml:space="preserve"> 16</w:t>
      </w:r>
      <w:r>
        <w:t xml:space="preserve">: </w:t>
      </w:r>
      <w:r w:rsidRPr="00581A8E">
        <w:t>1286–1292.</w:t>
      </w:r>
    </w:p>
    <w:p w14:paraId="7D568E21" w14:textId="6ACDF36E" w:rsidR="00744D11" w:rsidRDefault="00744D11" w:rsidP="00C13E36">
      <w:proofErr w:type="spellStart"/>
      <w:proofErr w:type="gramStart"/>
      <w:r>
        <w:t>Prabhakaran</w:t>
      </w:r>
      <w:proofErr w:type="spellEnd"/>
      <w:r>
        <w:t xml:space="preserve"> S and </w:t>
      </w:r>
      <w:proofErr w:type="spellStart"/>
      <w:r>
        <w:t>Elkind</w:t>
      </w:r>
      <w:proofErr w:type="spellEnd"/>
      <w:r>
        <w:t xml:space="preserve"> MSV (2015) </w:t>
      </w:r>
      <w:proofErr w:type="spellStart"/>
      <w:r>
        <w:t>Crytogenic</w:t>
      </w:r>
      <w:proofErr w:type="spellEnd"/>
      <w:r>
        <w:t xml:space="preserve"> stroke.</w:t>
      </w:r>
      <w:proofErr w:type="gramEnd"/>
      <w:r>
        <w:t xml:space="preserve"> </w:t>
      </w:r>
      <w:proofErr w:type="spellStart"/>
      <w:proofErr w:type="gramStart"/>
      <w:r>
        <w:t>UpToDate</w:t>
      </w:r>
      <w:proofErr w:type="spellEnd"/>
      <w:r>
        <w:t>.</w:t>
      </w:r>
      <w:proofErr w:type="gramEnd"/>
      <w:r>
        <w:t xml:space="preserve"> URL: </w:t>
      </w:r>
      <w:hyperlink r:id="rId35" w:history="1">
        <w:proofErr w:type="spellStart"/>
        <w:r w:rsidR="00890DBB">
          <w:rPr>
            <w:rStyle w:val="Hyperlink"/>
          </w:rPr>
          <w:t>Prabhakaran</w:t>
        </w:r>
        <w:proofErr w:type="spellEnd"/>
        <w:r w:rsidR="00890DBB">
          <w:rPr>
            <w:rStyle w:val="Hyperlink"/>
          </w:rPr>
          <w:t xml:space="preserve"> S and </w:t>
        </w:r>
        <w:proofErr w:type="spellStart"/>
        <w:r w:rsidR="00890DBB">
          <w:rPr>
            <w:rStyle w:val="Hyperlink"/>
          </w:rPr>
          <w:t>Elkind</w:t>
        </w:r>
        <w:proofErr w:type="spellEnd"/>
        <w:r w:rsidR="00890DBB">
          <w:rPr>
            <w:rStyle w:val="Hyperlink"/>
          </w:rPr>
          <w:t xml:space="preserve"> MSV (2015) </w:t>
        </w:r>
        <w:proofErr w:type="spellStart"/>
        <w:r w:rsidR="00890DBB">
          <w:rPr>
            <w:rStyle w:val="Hyperlink"/>
          </w:rPr>
          <w:t>Crytogenic</w:t>
        </w:r>
        <w:proofErr w:type="spellEnd"/>
        <w:r w:rsidR="00890DBB">
          <w:rPr>
            <w:rStyle w:val="Hyperlink"/>
          </w:rPr>
          <w:t xml:space="preserve"> stroke. </w:t>
        </w:r>
        <w:proofErr w:type="spellStart"/>
        <w:r w:rsidR="00890DBB">
          <w:rPr>
            <w:rStyle w:val="Hyperlink"/>
          </w:rPr>
          <w:t>UpToDate</w:t>
        </w:r>
        <w:proofErr w:type="spellEnd"/>
        <w:proofErr w:type="gramStart"/>
        <w:r w:rsidR="00890DBB">
          <w:rPr>
            <w:rStyle w:val="Hyperlink"/>
          </w:rPr>
          <w:t>.</w:t>
        </w:r>
        <w:proofErr w:type="gramEnd"/>
      </w:hyperlink>
      <w:r>
        <w:t xml:space="preserve">. </w:t>
      </w:r>
      <w:proofErr w:type="gramStart"/>
      <w:r>
        <w:t>Accessed November 2015.</w:t>
      </w:r>
      <w:proofErr w:type="gramEnd"/>
    </w:p>
    <w:p w14:paraId="220E8D39" w14:textId="666C6026" w:rsidR="00123E36" w:rsidRDefault="00123E36" w:rsidP="00123E36">
      <w:proofErr w:type="spellStart"/>
      <w:r>
        <w:t>Pürerfellner</w:t>
      </w:r>
      <w:proofErr w:type="spellEnd"/>
      <w:r>
        <w:t xml:space="preserve"> H, Sanders P, </w:t>
      </w:r>
      <w:proofErr w:type="spellStart"/>
      <w:r>
        <w:t>Pokushalov</w:t>
      </w:r>
      <w:proofErr w:type="spellEnd"/>
      <w:r>
        <w:t xml:space="preserve"> E, </w:t>
      </w:r>
      <w:proofErr w:type="spellStart"/>
      <w:r>
        <w:t>DiBacco</w:t>
      </w:r>
      <w:proofErr w:type="spellEnd"/>
      <w:r>
        <w:t xml:space="preserve"> M, </w:t>
      </w:r>
      <w:proofErr w:type="spellStart"/>
      <w:r>
        <w:t>Bergemann</w:t>
      </w:r>
      <w:proofErr w:type="spellEnd"/>
      <w:r>
        <w:t xml:space="preserve">, Dekker L, for the Reveal LINQ Usability Study Investigators (2015) Miniaturized Reveal LINQ </w:t>
      </w:r>
      <w:proofErr w:type="spellStart"/>
      <w:r>
        <w:t>insertable</w:t>
      </w:r>
      <w:proofErr w:type="spellEnd"/>
      <w:r>
        <w:t xml:space="preserve"> cardiac monitoring system: First-in-human experience. </w:t>
      </w:r>
      <w:r w:rsidRPr="00123E36">
        <w:rPr>
          <w:i/>
        </w:rPr>
        <w:t>Heart Rhythm, 12</w:t>
      </w:r>
      <w:r w:rsidRPr="00123E36">
        <w:t>(6):1113-9</w:t>
      </w:r>
      <w:r>
        <w:t>.</w:t>
      </w:r>
    </w:p>
    <w:p w14:paraId="75EF6632" w14:textId="3DDD4651" w:rsidR="009C0761" w:rsidRDefault="009C0761" w:rsidP="009C0761">
      <w:proofErr w:type="gramStart"/>
      <w:r>
        <w:lastRenderedPageBreak/>
        <w:t>Risk factors for stroke and efficacy of antithrombotic therapy in atrial fibrillation.</w:t>
      </w:r>
      <w:proofErr w:type="gramEnd"/>
      <w:r>
        <w:t xml:space="preserve"> Analysis of pooled data from five randomized controlled trials (1994) </w:t>
      </w:r>
      <w:r w:rsidRPr="009C0761">
        <w:rPr>
          <w:i/>
        </w:rPr>
        <w:t>Arch Intern Med., 154</w:t>
      </w:r>
      <w:r>
        <w:t>(13):1449-57.</w:t>
      </w:r>
    </w:p>
    <w:p w14:paraId="49563D05" w14:textId="68B7816E" w:rsidR="00CE607B" w:rsidRDefault="00CE607B" w:rsidP="00CE607B">
      <w:r>
        <w:t>Romero JR and Wolf PA (2013) Epidemiology of stroke: legacy of the Framingha</w:t>
      </w:r>
      <w:r w:rsidR="0057504D">
        <w:t xml:space="preserve">m Heart Study. </w:t>
      </w:r>
      <w:r w:rsidR="0057504D" w:rsidRPr="0057504D">
        <w:rPr>
          <w:i/>
        </w:rPr>
        <w:t xml:space="preserve">Glob Heart, </w:t>
      </w:r>
      <w:r w:rsidRPr="0057504D">
        <w:rPr>
          <w:i/>
        </w:rPr>
        <w:t>8</w:t>
      </w:r>
      <w:r>
        <w:t>:67–75.</w:t>
      </w:r>
    </w:p>
    <w:p w14:paraId="7183F7D8" w14:textId="01A84A21" w:rsidR="00BF7B43" w:rsidRDefault="00BF7B43" w:rsidP="00C13E36">
      <w:pPr>
        <w:rPr>
          <w:rStyle w:val="mixed-citation"/>
        </w:rPr>
      </w:pPr>
      <w:r>
        <w:rPr>
          <w:rStyle w:val="mixed-citation"/>
        </w:rPr>
        <w:t xml:space="preserve">Sacco RL, </w:t>
      </w:r>
      <w:proofErr w:type="spellStart"/>
      <w:r>
        <w:rPr>
          <w:rStyle w:val="mixed-citation"/>
        </w:rPr>
        <w:t>Ellenberg</w:t>
      </w:r>
      <w:proofErr w:type="spellEnd"/>
      <w:r>
        <w:rPr>
          <w:rStyle w:val="mixed-citation"/>
        </w:rPr>
        <w:t xml:space="preserve"> JH, Mohr JP, </w:t>
      </w:r>
      <w:proofErr w:type="spellStart"/>
      <w:r>
        <w:rPr>
          <w:rStyle w:val="mixed-citation"/>
        </w:rPr>
        <w:t>Tatemichi</w:t>
      </w:r>
      <w:proofErr w:type="spellEnd"/>
      <w:r>
        <w:rPr>
          <w:rStyle w:val="mixed-citation"/>
        </w:rPr>
        <w:t xml:space="preserve"> TK, </w:t>
      </w:r>
      <w:proofErr w:type="spellStart"/>
      <w:r>
        <w:rPr>
          <w:rStyle w:val="mixed-citation"/>
        </w:rPr>
        <w:t>Hier</w:t>
      </w:r>
      <w:proofErr w:type="spellEnd"/>
      <w:r>
        <w:rPr>
          <w:rStyle w:val="mixed-citation"/>
        </w:rPr>
        <w:t xml:space="preserve"> DB, Price TR, et al. (1989) </w:t>
      </w:r>
      <w:r>
        <w:rPr>
          <w:rStyle w:val="ref-title"/>
        </w:rPr>
        <w:t>Infarcts of undetermined cause: the NINCDS Stroke Data Bank</w:t>
      </w:r>
      <w:r>
        <w:rPr>
          <w:rStyle w:val="mixed-citation"/>
        </w:rPr>
        <w:t xml:space="preserve">. </w:t>
      </w:r>
      <w:r w:rsidRPr="00BF7B43">
        <w:rPr>
          <w:rStyle w:val="ref-journal"/>
          <w:i/>
        </w:rPr>
        <w:t>Ann. Neurol</w:t>
      </w:r>
      <w:r w:rsidRPr="00BF7B43">
        <w:rPr>
          <w:rStyle w:val="mixed-citation"/>
          <w:i/>
        </w:rPr>
        <w:t xml:space="preserve">. </w:t>
      </w:r>
      <w:r w:rsidRPr="00BF7B43">
        <w:rPr>
          <w:rStyle w:val="ref-vol"/>
          <w:i/>
        </w:rPr>
        <w:t>25</w:t>
      </w:r>
      <w:r w:rsidR="009D02BE">
        <w:rPr>
          <w:rStyle w:val="mixed-citation"/>
        </w:rPr>
        <w:t xml:space="preserve">: </w:t>
      </w:r>
      <w:r>
        <w:rPr>
          <w:rStyle w:val="mixed-citation"/>
        </w:rPr>
        <w:t xml:space="preserve">382–390. </w:t>
      </w:r>
    </w:p>
    <w:p w14:paraId="635C7FA2" w14:textId="387E5153" w:rsidR="00B6610B" w:rsidRDefault="00B6610B" w:rsidP="00C13E36">
      <w:pPr>
        <w:rPr>
          <w:rStyle w:val="mixed-citation"/>
        </w:rPr>
      </w:pPr>
      <w:proofErr w:type="spellStart"/>
      <w:r w:rsidRPr="00B6610B">
        <w:rPr>
          <w:rStyle w:val="mixed-citation"/>
        </w:rPr>
        <w:t>Sanna</w:t>
      </w:r>
      <w:proofErr w:type="spellEnd"/>
      <w:r w:rsidRPr="00B6610B">
        <w:rPr>
          <w:rStyle w:val="mixed-citation"/>
        </w:rPr>
        <w:t xml:space="preserve"> T, </w:t>
      </w:r>
      <w:proofErr w:type="spellStart"/>
      <w:r w:rsidRPr="00B6610B">
        <w:rPr>
          <w:rStyle w:val="mixed-citation"/>
        </w:rPr>
        <w:t>Diener</w:t>
      </w:r>
      <w:proofErr w:type="spellEnd"/>
      <w:r w:rsidRPr="00B6610B">
        <w:rPr>
          <w:rStyle w:val="mixed-citation"/>
        </w:rPr>
        <w:t xml:space="preserve"> HC, </w:t>
      </w:r>
      <w:proofErr w:type="spellStart"/>
      <w:r w:rsidRPr="00B6610B">
        <w:rPr>
          <w:rStyle w:val="mixed-citation"/>
        </w:rPr>
        <w:t>Passman</w:t>
      </w:r>
      <w:proofErr w:type="spellEnd"/>
      <w:r w:rsidRPr="00B6610B">
        <w:rPr>
          <w:rStyle w:val="mixed-citation"/>
        </w:rPr>
        <w:t xml:space="preserve"> RS</w:t>
      </w:r>
      <w:r>
        <w:rPr>
          <w:rStyle w:val="mixed-citation"/>
        </w:rPr>
        <w:t xml:space="preserve">; Crystal AF Steering Committee (2014) </w:t>
      </w:r>
      <w:proofErr w:type="gramStart"/>
      <w:r w:rsidRPr="00B6610B">
        <w:rPr>
          <w:rStyle w:val="mixed-citation"/>
        </w:rPr>
        <w:t>Cryptogenic</w:t>
      </w:r>
      <w:proofErr w:type="gramEnd"/>
      <w:r w:rsidRPr="00B6610B">
        <w:rPr>
          <w:rStyle w:val="mixed-citation"/>
        </w:rPr>
        <w:t xml:space="preserve"> stroke and atrial fibrillation.</w:t>
      </w:r>
      <w:r>
        <w:rPr>
          <w:rStyle w:val="mixed-citation"/>
        </w:rPr>
        <w:t xml:space="preserve"> </w:t>
      </w:r>
      <w:r w:rsidRPr="00B6610B">
        <w:rPr>
          <w:rStyle w:val="mixed-citation"/>
        </w:rPr>
        <w:t xml:space="preserve">N </w:t>
      </w:r>
      <w:proofErr w:type="spellStart"/>
      <w:r w:rsidRPr="00B6610B">
        <w:rPr>
          <w:rStyle w:val="mixed-citation"/>
        </w:rPr>
        <w:t>Engl</w:t>
      </w:r>
      <w:proofErr w:type="spellEnd"/>
      <w:r w:rsidRPr="00B6610B">
        <w:rPr>
          <w:rStyle w:val="mixed-citation"/>
        </w:rPr>
        <w:t xml:space="preserve"> J Med. 2014 Sep 25</w:t>
      </w:r>
      <w:proofErr w:type="gramStart"/>
      <w:r w:rsidRPr="00B6610B">
        <w:rPr>
          <w:rStyle w:val="mixed-citation"/>
        </w:rPr>
        <w:t>;371</w:t>
      </w:r>
      <w:proofErr w:type="gramEnd"/>
      <w:r w:rsidRPr="00B6610B">
        <w:rPr>
          <w:rStyle w:val="mixed-citation"/>
        </w:rPr>
        <w:t>(13):1261.</w:t>
      </w:r>
    </w:p>
    <w:p w14:paraId="64C18484" w14:textId="3CFFC4CE" w:rsidR="009C0761" w:rsidRDefault="009C0761" w:rsidP="00C13E36">
      <w:pPr>
        <w:rPr>
          <w:rStyle w:val="mixed-citation"/>
        </w:rPr>
      </w:pPr>
      <w:proofErr w:type="spellStart"/>
      <w:r w:rsidRPr="009C0761">
        <w:rPr>
          <w:rStyle w:val="mixed-citation"/>
        </w:rPr>
        <w:t>Sanna</w:t>
      </w:r>
      <w:proofErr w:type="spellEnd"/>
      <w:r w:rsidRPr="009C0761">
        <w:rPr>
          <w:rStyle w:val="mixed-citation"/>
        </w:rPr>
        <w:t xml:space="preserve"> T, </w:t>
      </w:r>
      <w:proofErr w:type="spellStart"/>
      <w:r w:rsidRPr="009C0761">
        <w:rPr>
          <w:rStyle w:val="mixed-citation"/>
        </w:rPr>
        <w:t>Diener</w:t>
      </w:r>
      <w:proofErr w:type="spellEnd"/>
      <w:r w:rsidRPr="009C0761">
        <w:rPr>
          <w:rStyle w:val="mixed-citation"/>
        </w:rPr>
        <w:t xml:space="preserve"> HC, </w:t>
      </w:r>
      <w:proofErr w:type="spellStart"/>
      <w:r w:rsidRPr="009C0761">
        <w:rPr>
          <w:rStyle w:val="mixed-citation"/>
        </w:rPr>
        <w:t>Passman</w:t>
      </w:r>
      <w:proofErr w:type="spellEnd"/>
      <w:r w:rsidRPr="009C0761">
        <w:rPr>
          <w:rStyle w:val="mixed-citation"/>
        </w:rPr>
        <w:t xml:space="preserve"> RS, Di </w:t>
      </w:r>
      <w:proofErr w:type="spellStart"/>
      <w:r w:rsidRPr="009C0761">
        <w:rPr>
          <w:rStyle w:val="mixed-citation"/>
        </w:rPr>
        <w:t>Lazzaro</w:t>
      </w:r>
      <w:proofErr w:type="spellEnd"/>
      <w:r w:rsidRPr="009C0761">
        <w:rPr>
          <w:rStyle w:val="mixed-citation"/>
        </w:rPr>
        <w:t xml:space="preserve"> V, Bernstein RA, </w:t>
      </w:r>
      <w:proofErr w:type="spellStart"/>
      <w:r w:rsidRPr="009C0761">
        <w:rPr>
          <w:rStyle w:val="mixed-citation"/>
        </w:rPr>
        <w:t>Morillo</w:t>
      </w:r>
      <w:proofErr w:type="spellEnd"/>
      <w:r w:rsidRPr="009C0761">
        <w:rPr>
          <w:rStyle w:val="mixed-citation"/>
        </w:rPr>
        <w:t xml:space="preserve"> CA</w:t>
      </w:r>
      <w:r>
        <w:rPr>
          <w:rStyle w:val="mixed-citation"/>
        </w:rPr>
        <w:t>, et al.</w:t>
      </w:r>
      <w:r w:rsidR="00A95248">
        <w:rPr>
          <w:rStyle w:val="mixed-citation"/>
        </w:rPr>
        <w:t xml:space="preserve"> CRYSTAL AF Investigators (2014</w:t>
      </w:r>
      <w:r>
        <w:rPr>
          <w:rStyle w:val="mixed-citation"/>
        </w:rPr>
        <w:t xml:space="preserve">) </w:t>
      </w:r>
      <w:r w:rsidRPr="009C0761">
        <w:rPr>
          <w:rStyle w:val="mixed-citation"/>
        </w:rPr>
        <w:t>Cryptogenic stroke and underlying atrial fibrillation.</w:t>
      </w:r>
      <w:r w:rsidR="00A95248">
        <w:rPr>
          <w:rStyle w:val="mixed-citation"/>
        </w:rPr>
        <w:t xml:space="preserve"> </w:t>
      </w:r>
      <w:r w:rsidR="00A95248" w:rsidRPr="00A95248">
        <w:rPr>
          <w:rStyle w:val="mixed-citation"/>
          <w:i/>
        </w:rPr>
        <w:t xml:space="preserve">N </w:t>
      </w:r>
      <w:proofErr w:type="spellStart"/>
      <w:r w:rsidR="00A95248" w:rsidRPr="00A95248">
        <w:rPr>
          <w:rStyle w:val="mixed-citation"/>
          <w:i/>
        </w:rPr>
        <w:t>Engl</w:t>
      </w:r>
      <w:proofErr w:type="spellEnd"/>
      <w:r w:rsidR="00A95248" w:rsidRPr="00A95248">
        <w:rPr>
          <w:rStyle w:val="mixed-citation"/>
          <w:i/>
        </w:rPr>
        <w:t xml:space="preserve"> J Med., 370</w:t>
      </w:r>
      <w:r w:rsidR="00A95248" w:rsidRPr="00A95248">
        <w:rPr>
          <w:rStyle w:val="mixed-citation"/>
        </w:rPr>
        <w:t>(26):2478-86.</w:t>
      </w:r>
    </w:p>
    <w:p w14:paraId="11AF90CA" w14:textId="232ABAEF" w:rsidR="00652A65" w:rsidRDefault="00652A65" w:rsidP="00652A65">
      <w:pPr>
        <w:rPr>
          <w:rStyle w:val="mixed-citation"/>
        </w:rPr>
      </w:pPr>
      <w:proofErr w:type="spellStart"/>
      <w:r w:rsidRPr="00652A65">
        <w:rPr>
          <w:rStyle w:val="mixed-citation"/>
        </w:rPr>
        <w:t>Shintani</w:t>
      </w:r>
      <w:proofErr w:type="spellEnd"/>
      <w:r w:rsidRPr="00652A65">
        <w:rPr>
          <w:rStyle w:val="mixed-citation"/>
        </w:rPr>
        <w:t xml:space="preserve"> S, </w:t>
      </w:r>
      <w:proofErr w:type="spellStart"/>
      <w:r w:rsidRPr="00652A65">
        <w:rPr>
          <w:rStyle w:val="mixed-citation"/>
        </w:rPr>
        <w:t>Shiigai</w:t>
      </w:r>
      <w:proofErr w:type="spellEnd"/>
      <w:r w:rsidRPr="00652A65">
        <w:rPr>
          <w:rStyle w:val="mixed-citation"/>
        </w:rPr>
        <w:t xml:space="preserve"> T, </w:t>
      </w:r>
      <w:r>
        <w:rPr>
          <w:rStyle w:val="mixed-citation"/>
        </w:rPr>
        <w:t xml:space="preserve">and </w:t>
      </w:r>
      <w:proofErr w:type="spellStart"/>
      <w:r w:rsidRPr="00652A65">
        <w:rPr>
          <w:rStyle w:val="mixed-citation"/>
        </w:rPr>
        <w:t>Arinami</w:t>
      </w:r>
      <w:proofErr w:type="spellEnd"/>
      <w:r w:rsidRPr="00652A65">
        <w:rPr>
          <w:rStyle w:val="mixed-citation"/>
        </w:rPr>
        <w:t xml:space="preserve"> T</w:t>
      </w:r>
      <w:r>
        <w:rPr>
          <w:rStyle w:val="mixed-citation"/>
        </w:rPr>
        <w:t xml:space="preserve"> (1998) </w:t>
      </w:r>
      <w:r w:rsidRPr="00652A65">
        <w:rPr>
          <w:rStyle w:val="mixed-citation"/>
        </w:rPr>
        <w:t>Silent lacunar infarction on magnetic resonance imaging (MRI): R</w:t>
      </w:r>
      <w:r>
        <w:rPr>
          <w:rStyle w:val="mixed-citation"/>
        </w:rPr>
        <w:t xml:space="preserve">isk factors. </w:t>
      </w:r>
      <w:r w:rsidRPr="00652A65">
        <w:rPr>
          <w:rStyle w:val="mixed-citation"/>
          <w:i/>
        </w:rPr>
        <w:t xml:space="preserve">J </w:t>
      </w:r>
      <w:proofErr w:type="spellStart"/>
      <w:r w:rsidRPr="00652A65">
        <w:rPr>
          <w:rStyle w:val="mixed-citation"/>
          <w:i/>
        </w:rPr>
        <w:t>Neurol</w:t>
      </w:r>
      <w:proofErr w:type="spellEnd"/>
      <w:r w:rsidRPr="00652A65">
        <w:rPr>
          <w:rStyle w:val="mixed-citation"/>
          <w:i/>
        </w:rPr>
        <w:t xml:space="preserve"> Sci., 160</w:t>
      </w:r>
      <w:r w:rsidRPr="00652A65">
        <w:rPr>
          <w:rStyle w:val="mixed-citation"/>
        </w:rPr>
        <w:t>:82–86.</w:t>
      </w:r>
    </w:p>
    <w:p w14:paraId="3D1FC15D" w14:textId="636AF880" w:rsidR="00A95248" w:rsidRDefault="00A95248" w:rsidP="00652A65">
      <w:pPr>
        <w:rPr>
          <w:rStyle w:val="mixed-citation"/>
        </w:rPr>
      </w:pPr>
      <w:proofErr w:type="spellStart"/>
      <w:r>
        <w:rPr>
          <w:rStyle w:val="mixed-citation"/>
        </w:rPr>
        <w:t>Sinha</w:t>
      </w:r>
      <w:proofErr w:type="spellEnd"/>
      <w:r>
        <w:rPr>
          <w:rStyle w:val="mixed-citation"/>
        </w:rPr>
        <w:t xml:space="preserve"> AM</w:t>
      </w:r>
      <w:r w:rsidRPr="00A95248">
        <w:rPr>
          <w:rStyle w:val="mixed-citation"/>
        </w:rPr>
        <w:t xml:space="preserve">, </w:t>
      </w:r>
      <w:proofErr w:type="spellStart"/>
      <w:r w:rsidRPr="00A95248">
        <w:rPr>
          <w:rStyle w:val="mixed-citation"/>
        </w:rPr>
        <w:t>Diener</w:t>
      </w:r>
      <w:proofErr w:type="spellEnd"/>
      <w:r w:rsidRPr="00A95248">
        <w:rPr>
          <w:rStyle w:val="mixed-citation"/>
        </w:rPr>
        <w:t xml:space="preserve"> HC, </w:t>
      </w:r>
      <w:proofErr w:type="spellStart"/>
      <w:r w:rsidRPr="00A95248">
        <w:rPr>
          <w:rStyle w:val="mixed-citation"/>
        </w:rPr>
        <w:t>Morillo</w:t>
      </w:r>
      <w:proofErr w:type="spellEnd"/>
      <w:r w:rsidRPr="00A95248">
        <w:rPr>
          <w:rStyle w:val="mixed-citation"/>
        </w:rPr>
        <w:t xml:space="preserve"> CA, </w:t>
      </w:r>
      <w:proofErr w:type="spellStart"/>
      <w:r w:rsidRPr="00A95248">
        <w:rPr>
          <w:rStyle w:val="mixed-citation"/>
        </w:rPr>
        <w:t>Sanna</w:t>
      </w:r>
      <w:proofErr w:type="spellEnd"/>
      <w:r w:rsidRPr="00A95248">
        <w:rPr>
          <w:rStyle w:val="mixed-citation"/>
        </w:rPr>
        <w:t xml:space="preserve"> T, Bernstein RA, Di </w:t>
      </w:r>
      <w:proofErr w:type="spellStart"/>
      <w:r w:rsidRPr="00A95248">
        <w:rPr>
          <w:rStyle w:val="mixed-citation"/>
        </w:rPr>
        <w:t>Lazzaro</w:t>
      </w:r>
      <w:proofErr w:type="spellEnd"/>
      <w:r w:rsidRPr="00A95248">
        <w:rPr>
          <w:rStyle w:val="mixed-citation"/>
        </w:rPr>
        <w:t xml:space="preserve"> V</w:t>
      </w:r>
      <w:r>
        <w:rPr>
          <w:rStyle w:val="mixed-citation"/>
        </w:rPr>
        <w:t xml:space="preserve">, et al., (2010) </w:t>
      </w:r>
      <w:r w:rsidRPr="00A95248">
        <w:rPr>
          <w:rStyle w:val="mixed-citation"/>
        </w:rPr>
        <w:t>Cryptogenic Stroke and underlying Atrial Fibrillation (CRYSTAL AF): design and rationale.</w:t>
      </w:r>
      <w:r>
        <w:rPr>
          <w:rStyle w:val="mixed-citation"/>
        </w:rPr>
        <w:t xml:space="preserve"> </w:t>
      </w:r>
      <w:proofErr w:type="gramStart"/>
      <w:r w:rsidRPr="00A95248">
        <w:rPr>
          <w:rStyle w:val="mixed-citation"/>
          <w:i/>
        </w:rPr>
        <w:t>Am Heart J., 160</w:t>
      </w:r>
      <w:r w:rsidRPr="00A95248">
        <w:rPr>
          <w:rStyle w:val="mixed-citation"/>
        </w:rPr>
        <w:t>(1):36-41</w:t>
      </w:r>
      <w:r>
        <w:rPr>
          <w:rStyle w:val="mixed-citation"/>
        </w:rPr>
        <w:t>.</w:t>
      </w:r>
      <w:proofErr w:type="gramEnd"/>
    </w:p>
    <w:p w14:paraId="1D969CB4" w14:textId="33F7CF33" w:rsidR="00581A8E" w:rsidRDefault="00581A8E" w:rsidP="00652A65">
      <w:pPr>
        <w:rPr>
          <w:rStyle w:val="mixed-citation"/>
        </w:rPr>
      </w:pPr>
      <w:proofErr w:type="spellStart"/>
      <w:r>
        <w:rPr>
          <w:rStyle w:val="mixed-citation"/>
        </w:rPr>
        <w:t>Strickberger</w:t>
      </w:r>
      <w:proofErr w:type="spellEnd"/>
      <w:r>
        <w:rPr>
          <w:rStyle w:val="mixed-citation"/>
        </w:rPr>
        <w:t xml:space="preserve"> S</w:t>
      </w:r>
      <w:r w:rsidRPr="00581A8E">
        <w:rPr>
          <w:rStyle w:val="mixed-citation"/>
        </w:rPr>
        <w:t>A</w:t>
      </w:r>
      <w:r>
        <w:rPr>
          <w:rStyle w:val="mixed-citation"/>
        </w:rPr>
        <w:t xml:space="preserve">, </w:t>
      </w:r>
      <w:proofErr w:type="spellStart"/>
      <w:r>
        <w:rPr>
          <w:rStyle w:val="mixed-citation"/>
        </w:rPr>
        <w:t>Ip</w:t>
      </w:r>
      <w:proofErr w:type="spellEnd"/>
      <w:r>
        <w:rPr>
          <w:rStyle w:val="mixed-citation"/>
        </w:rPr>
        <w:t xml:space="preserve"> J, </w:t>
      </w:r>
      <w:proofErr w:type="spellStart"/>
      <w:r>
        <w:rPr>
          <w:rStyle w:val="mixed-citation"/>
        </w:rPr>
        <w:t>Saksena</w:t>
      </w:r>
      <w:proofErr w:type="spellEnd"/>
      <w:r>
        <w:rPr>
          <w:rStyle w:val="mixed-citation"/>
        </w:rPr>
        <w:t xml:space="preserve"> S, Curry K, </w:t>
      </w:r>
      <w:proofErr w:type="spellStart"/>
      <w:r>
        <w:rPr>
          <w:rStyle w:val="mixed-citation"/>
        </w:rPr>
        <w:t>Bahnson</w:t>
      </w:r>
      <w:proofErr w:type="spellEnd"/>
      <w:r>
        <w:rPr>
          <w:rStyle w:val="mixed-citation"/>
        </w:rPr>
        <w:t xml:space="preserve"> TD, Ziegler PD (2005) </w:t>
      </w:r>
      <w:r w:rsidRPr="00581A8E">
        <w:rPr>
          <w:rStyle w:val="mixed-citation"/>
        </w:rPr>
        <w:t xml:space="preserve">Relationship between atrial </w:t>
      </w:r>
      <w:proofErr w:type="spellStart"/>
      <w:r w:rsidRPr="00581A8E">
        <w:rPr>
          <w:rStyle w:val="mixed-citation"/>
        </w:rPr>
        <w:t>tachyarrhythmia</w:t>
      </w:r>
      <w:r>
        <w:rPr>
          <w:rStyle w:val="mixed-citation"/>
        </w:rPr>
        <w:t>s</w:t>
      </w:r>
      <w:proofErr w:type="spellEnd"/>
      <w:r>
        <w:rPr>
          <w:rStyle w:val="mixed-citation"/>
        </w:rPr>
        <w:t xml:space="preserve"> and symptoms. </w:t>
      </w:r>
      <w:r w:rsidRPr="00581A8E">
        <w:rPr>
          <w:rStyle w:val="mixed-citation"/>
          <w:i/>
        </w:rPr>
        <w:t>Heart Rhythm, 2</w:t>
      </w:r>
      <w:r w:rsidRPr="00581A8E">
        <w:rPr>
          <w:rStyle w:val="mixed-citation"/>
        </w:rPr>
        <w:t>:125–131.</w:t>
      </w:r>
    </w:p>
    <w:p w14:paraId="62AAEA2F" w14:textId="1F3F36F9" w:rsidR="0061321C" w:rsidRDefault="00AC5EFA" w:rsidP="0061321C">
      <w:pPr>
        <w:rPr>
          <w:rStyle w:val="mixed-citation"/>
        </w:rPr>
      </w:pPr>
      <w:r w:rsidRPr="00AC5EFA">
        <w:rPr>
          <w:rStyle w:val="mixed-citation"/>
        </w:rPr>
        <w:t>The Boston Area Anticoagulation Trial for At</w:t>
      </w:r>
      <w:r>
        <w:rPr>
          <w:rStyle w:val="mixed-citation"/>
        </w:rPr>
        <w:t>rial Fibrillation Investigators (1990)</w:t>
      </w:r>
      <w:r w:rsidRPr="00AC5EFA">
        <w:rPr>
          <w:rStyle w:val="mixed-citation"/>
        </w:rPr>
        <w:t xml:space="preserve"> </w:t>
      </w:r>
      <w:proofErr w:type="gramStart"/>
      <w:r w:rsidRPr="00AC5EFA">
        <w:rPr>
          <w:rStyle w:val="mixed-citation"/>
        </w:rPr>
        <w:t>The</w:t>
      </w:r>
      <w:proofErr w:type="gramEnd"/>
      <w:r w:rsidRPr="00AC5EFA">
        <w:rPr>
          <w:rStyle w:val="mixed-citation"/>
        </w:rPr>
        <w:t xml:space="preserve"> effect of low-dose warfarin on the risk of stroke in patients with </w:t>
      </w:r>
      <w:proofErr w:type="spellStart"/>
      <w:r w:rsidRPr="00AC5EFA">
        <w:rPr>
          <w:rStyle w:val="mixed-citation"/>
        </w:rPr>
        <w:t>nonrheumatic</w:t>
      </w:r>
      <w:proofErr w:type="spellEnd"/>
      <w:r w:rsidRPr="00AC5EFA">
        <w:rPr>
          <w:rStyle w:val="mixed-citation"/>
        </w:rPr>
        <w:t xml:space="preserve"> atrial </w:t>
      </w:r>
      <w:r>
        <w:rPr>
          <w:rStyle w:val="mixed-citation"/>
        </w:rPr>
        <w:t xml:space="preserve">fibrillation. </w:t>
      </w:r>
      <w:r w:rsidRPr="00AC5EFA">
        <w:rPr>
          <w:rStyle w:val="mixed-citation"/>
          <w:i/>
        </w:rPr>
        <w:t xml:space="preserve">N </w:t>
      </w:r>
      <w:proofErr w:type="spellStart"/>
      <w:r w:rsidRPr="00AC5EFA">
        <w:rPr>
          <w:rStyle w:val="mixed-citation"/>
          <w:i/>
        </w:rPr>
        <w:t>Engl</w:t>
      </w:r>
      <w:proofErr w:type="spellEnd"/>
      <w:r w:rsidRPr="00AC5EFA">
        <w:rPr>
          <w:rStyle w:val="mixed-citation"/>
          <w:i/>
        </w:rPr>
        <w:t xml:space="preserve"> J Med., 323</w:t>
      </w:r>
      <w:r w:rsidRPr="00AC5EFA">
        <w:rPr>
          <w:rStyle w:val="mixed-citation"/>
        </w:rPr>
        <w:t>:1505-1511</w:t>
      </w:r>
      <w:r>
        <w:rPr>
          <w:rStyle w:val="mixed-citation"/>
        </w:rPr>
        <w:t>.</w:t>
      </w:r>
    </w:p>
    <w:p w14:paraId="14FB0C07" w14:textId="6EC8000B" w:rsidR="00C13E36" w:rsidRDefault="00C13E36" w:rsidP="00C13E36">
      <w:r>
        <w:t xml:space="preserve">Thrift AG, Dewey HM, Sturm JW, </w:t>
      </w:r>
      <w:proofErr w:type="spellStart"/>
      <w:r>
        <w:t>Srikanth</w:t>
      </w:r>
      <w:proofErr w:type="spellEnd"/>
      <w:r>
        <w:t xml:space="preserve"> VK, Gilligan AK, </w:t>
      </w:r>
      <w:proofErr w:type="gramStart"/>
      <w:r>
        <w:t>Gall</w:t>
      </w:r>
      <w:proofErr w:type="gramEnd"/>
      <w:r>
        <w:t xml:space="preserve"> SL et al. (2009) Incidence of stroke subtypes in the North East Melbourne Stroke Incidence Study (NEMESIS): differences between men and women</w:t>
      </w:r>
      <w:r w:rsidRPr="00C13E36">
        <w:rPr>
          <w:i/>
        </w:rPr>
        <w:t xml:space="preserve">. </w:t>
      </w:r>
      <w:proofErr w:type="spellStart"/>
      <w:r w:rsidRPr="00C13E36">
        <w:rPr>
          <w:i/>
        </w:rPr>
        <w:t>Neuroepidemiology</w:t>
      </w:r>
      <w:proofErr w:type="spellEnd"/>
      <w:r w:rsidR="00BF7B43">
        <w:rPr>
          <w:i/>
        </w:rPr>
        <w:t>,</w:t>
      </w:r>
      <w:r w:rsidRPr="00C13E36">
        <w:rPr>
          <w:i/>
        </w:rPr>
        <w:t xml:space="preserve"> 32</w:t>
      </w:r>
      <w:r>
        <w:t>:11–8.</w:t>
      </w:r>
    </w:p>
    <w:p w14:paraId="67F1F164" w14:textId="21C306B2" w:rsidR="00260A5B" w:rsidRDefault="00260A5B" w:rsidP="00C13E36">
      <w:pPr>
        <w:rPr>
          <w:rStyle w:val="mixed-citation"/>
        </w:rPr>
      </w:pPr>
      <w:proofErr w:type="spellStart"/>
      <w:r w:rsidRPr="00260A5B">
        <w:rPr>
          <w:rStyle w:val="mixed-citation"/>
        </w:rPr>
        <w:t>Thygesen</w:t>
      </w:r>
      <w:proofErr w:type="spellEnd"/>
      <w:r w:rsidRPr="00260A5B">
        <w:rPr>
          <w:rStyle w:val="mixed-citation"/>
        </w:rPr>
        <w:t xml:space="preserve"> SK</w:t>
      </w:r>
      <w:r>
        <w:rPr>
          <w:rStyle w:val="mixed-citation"/>
        </w:rPr>
        <w:t xml:space="preserve">, Frost L, Eagle KA, Johnsen SP (2009) </w:t>
      </w:r>
      <w:proofErr w:type="gramStart"/>
      <w:r w:rsidRPr="00260A5B">
        <w:rPr>
          <w:rStyle w:val="mixed-citation"/>
        </w:rPr>
        <w:t>Atrial</w:t>
      </w:r>
      <w:proofErr w:type="gramEnd"/>
      <w:r w:rsidRPr="00260A5B">
        <w:rPr>
          <w:rStyle w:val="mixed-citation"/>
        </w:rPr>
        <w:t xml:space="preserve"> fibrillation in patients with ischemic stroke: A population-ba</w:t>
      </w:r>
      <w:r>
        <w:rPr>
          <w:rStyle w:val="mixed-citation"/>
        </w:rPr>
        <w:t xml:space="preserve">sed study. </w:t>
      </w:r>
      <w:proofErr w:type="spellStart"/>
      <w:r w:rsidRPr="00260A5B">
        <w:rPr>
          <w:rStyle w:val="mixed-citation"/>
          <w:i/>
        </w:rPr>
        <w:t>Clin</w:t>
      </w:r>
      <w:proofErr w:type="spellEnd"/>
      <w:r w:rsidRPr="00260A5B">
        <w:rPr>
          <w:rStyle w:val="mixed-citation"/>
          <w:i/>
        </w:rPr>
        <w:t xml:space="preserve"> </w:t>
      </w:r>
      <w:proofErr w:type="spellStart"/>
      <w:r w:rsidRPr="00260A5B">
        <w:rPr>
          <w:rStyle w:val="mixed-citation"/>
          <w:i/>
        </w:rPr>
        <w:t>Epidemiol</w:t>
      </w:r>
      <w:proofErr w:type="spellEnd"/>
      <w:r w:rsidRPr="00260A5B">
        <w:rPr>
          <w:rStyle w:val="mixed-citation"/>
          <w:i/>
        </w:rPr>
        <w:t>., 1</w:t>
      </w:r>
      <w:r w:rsidRPr="00260A5B">
        <w:rPr>
          <w:rStyle w:val="mixed-citation"/>
        </w:rPr>
        <w:t>:55–65.</w:t>
      </w:r>
    </w:p>
    <w:p w14:paraId="37A32CA8" w14:textId="1039A553" w:rsidR="00384A6F" w:rsidRDefault="00384A6F" w:rsidP="00C13E36">
      <w:proofErr w:type="spellStart"/>
      <w:r>
        <w:t>Verma</w:t>
      </w:r>
      <w:proofErr w:type="spellEnd"/>
      <w:r>
        <w:t xml:space="preserve"> A, Champagne J, Sapp J, </w:t>
      </w:r>
      <w:proofErr w:type="spellStart"/>
      <w:r>
        <w:t>Essebag</w:t>
      </w:r>
      <w:proofErr w:type="spellEnd"/>
      <w:r>
        <w:t xml:space="preserve"> V, Novak P, </w:t>
      </w:r>
      <w:proofErr w:type="spellStart"/>
      <w:r>
        <w:t>Skanes</w:t>
      </w:r>
      <w:proofErr w:type="spellEnd"/>
      <w:r>
        <w:t xml:space="preserve"> A, et al. (2013) </w:t>
      </w:r>
      <w:r w:rsidRPr="00384A6F">
        <w:t xml:space="preserve">Discerning the incidence of symptomatic and asymptomatic episodes of atrial fibrillation before and after catheter ablation (DISCERN AF): a prospective, </w:t>
      </w:r>
      <w:proofErr w:type="spellStart"/>
      <w:r w:rsidRPr="00384A6F">
        <w:t>multicenter</w:t>
      </w:r>
      <w:proofErr w:type="spellEnd"/>
      <w:r w:rsidRPr="00384A6F">
        <w:t xml:space="preserve"> study</w:t>
      </w:r>
      <w:r w:rsidRPr="00384A6F">
        <w:rPr>
          <w:i/>
        </w:rPr>
        <w:t>. JAMA, 173</w:t>
      </w:r>
      <w:r>
        <w:t>:</w:t>
      </w:r>
      <w:r w:rsidRPr="00384A6F">
        <w:t>149–156</w:t>
      </w:r>
    </w:p>
    <w:p w14:paraId="647A5916" w14:textId="5DA70891" w:rsidR="003205B4" w:rsidRDefault="003205B4" w:rsidP="00C13E36">
      <w:proofErr w:type="spellStart"/>
      <w:r>
        <w:t>Vasamreddy</w:t>
      </w:r>
      <w:proofErr w:type="spellEnd"/>
      <w:r>
        <w:t xml:space="preserve"> CR</w:t>
      </w:r>
      <w:r w:rsidRPr="003205B4">
        <w:t xml:space="preserve">, </w:t>
      </w:r>
      <w:proofErr w:type="spellStart"/>
      <w:r w:rsidRPr="003205B4">
        <w:t>Dalal</w:t>
      </w:r>
      <w:proofErr w:type="spellEnd"/>
      <w:r w:rsidRPr="003205B4">
        <w:t xml:space="preserve"> D, Dong J, Cheng A, </w:t>
      </w:r>
      <w:proofErr w:type="spellStart"/>
      <w:r w:rsidRPr="003205B4">
        <w:t>Spragg</w:t>
      </w:r>
      <w:proofErr w:type="spellEnd"/>
      <w:r w:rsidRPr="003205B4">
        <w:t xml:space="preserve"> D, </w:t>
      </w:r>
      <w:proofErr w:type="spellStart"/>
      <w:r w:rsidRPr="003205B4">
        <w:t>Lamiy</w:t>
      </w:r>
      <w:proofErr w:type="spellEnd"/>
      <w:r w:rsidRPr="003205B4">
        <w:t xml:space="preserve"> SZ,</w:t>
      </w:r>
      <w:r>
        <w:t xml:space="preserve"> et al. (2006) </w:t>
      </w:r>
      <w:r w:rsidRPr="003205B4">
        <w:t>Symptomatic and asymptomatic atrial fibrillation in patients undergoing radiofrequency catheter ablation.</w:t>
      </w:r>
      <w:r>
        <w:t xml:space="preserve"> </w:t>
      </w:r>
      <w:r w:rsidRPr="003205B4">
        <w:rPr>
          <w:i/>
        </w:rPr>
        <w:t xml:space="preserve">J </w:t>
      </w:r>
      <w:proofErr w:type="spellStart"/>
      <w:r w:rsidRPr="003205B4">
        <w:rPr>
          <w:i/>
        </w:rPr>
        <w:t>Cardiovasc</w:t>
      </w:r>
      <w:proofErr w:type="spellEnd"/>
      <w:r w:rsidRPr="003205B4">
        <w:rPr>
          <w:i/>
        </w:rPr>
        <w:t xml:space="preserve"> </w:t>
      </w:r>
      <w:proofErr w:type="spellStart"/>
      <w:r w:rsidRPr="003205B4">
        <w:rPr>
          <w:i/>
        </w:rPr>
        <w:t>Electrophysiol</w:t>
      </w:r>
      <w:proofErr w:type="spellEnd"/>
      <w:r w:rsidRPr="003205B4">
        <w:rPr>
          <w:i/>
        </w:rPr>
        <w:t>., 17</w:t>
      </w:r>
      <w:r w:rsidRPr="003205B4">
        <w:t>(2):134-9</w:t>
      </w:r>
      <w:r>
        <w:t>.</w:t>
      </w:r>
    </w:p>
    <w:p w14:paraId="29A60B2E" w14:textId="08D24997" w:rsidR="0057504D" w:rsidRDefault="0057504D" w:rsidP="0057504D">
      <w:r>
        <w:t xml:space="preserve">Wolf PA, Abbott RD, and </w:t>
      </w:r>
      <w:proofErr w:type="spellStart"/>
      <w:r>
        <w:t>Kannel</w:t>
      </w:r>
      <w:proofErr w:type="spellEnd"/>
      <w:r>
        <w:t xml:space="preserve"> WB (1991) </w:t>
      </w:r>
      <w:proofErr w:type="gramStart"/>
      <w:r>
        <w:t>Atrial</w:t>
      </w:r>
      <w:proofErr w:type="gramEnd"/>
      <w:r>
        <w:t xml:space="preserve"> fibrillation as an independent risk factor for stroke: the Framingham Study. </w:t>
      </w:r>
      <w:r w:rsidRPr="0057504D">
        <w:rPr>
          <w:i/>
        </w:rPr>
        <w:t>Stroke, 22</w:t>
      </w:r>
      <w:r>
        <w:t>:983-988.</w:t>
      </w:r>
    </w:p>
    <w:p w14:paraId="3836EB35" w14:textId="7611EDF7" w:rsidR="00260A5B" w:rsidRDefault="00260A5B" w:rsidP="00260A5B">
      <w:r>
        <w:t xml:space="preserve">Wolf PA, Abbott RD, and </w:t>
      </w:r>
      <w:proofErr w:type="spellStart"/>
      <w:r>
        <w:t>Kannel</w:t>
      </w:r>
      <w:proofErr w:type="spellEnd"/>
      <w:r>
        <w:t xml:space="preserve"> WB (1987) </w:t>
      </w:r>
      <w:proofErr w:type="gramStart"/>
      <w:r>
        <w:t>Atrial</w:t>
      </w:r>
      <w:proofErr w:type="gramEnd"/>
      <w:r>
        <w:t xml:space="preserve"> fibrillation: A major contributor to stroke in the elderly. The </w:t>
      </w:r>
      <w:proofErr w:type="spellStart"/>
      <w:proofErr w:type="gramStart"/>
      <w:r>
        <w:t>framingham</w:t>
      </w:r>
      <w:proofErr w:type="spellEnd"/>
      <w:proofErr w:type="gramEnd"/>
      <w:r>
        <w:t xml:space="preserve"> study. </w:t>
      </w:r>
      <w:r w:rsidRPr="00260A5B">
        <w:rPr>
          <w:i/>
        </w:rPr>
        <w:t>Arch Intern Med., 147</w:t>
      </w:r>
      <w:r>
        <w:t>:1561–1564.</w:t>
      </w:r>
    </w:p>
    <w:p w14:paraId="3EBFE1A8" w14:textId="79E491F4" w:rsidR="00C13E36" w:rsidRDefault="00C13E36" w:rsidP="00C13E36">
      <w:proofErr w:type="spellStart"/>
      <w:r>
        <w:lastRenderedPageBreak/>
        <w:t>Yaghi</w:t>
      </w:r>
      <w:proofErr w:type="spellEnd"/>
      <w:r>
        <w:t xml:space="preserve"> S, and </w:t>
      </w:r>
      <w:proofErr w:type="spellStart"/>
      <w:r>
        <w:t>Elkind</w:t>
      </w:r>
      <w:proofErr w:type="spellEnd"/>
      <w:r>
        <w:t xml:space="preserve"> MSV (2014) </w:t>
      </w:r>
      <w:proofErr w:type="gramStart"/>
      <w:r w:rsidRPr="00C13E36">
        <w:t>Cryptogenic</w:t>
      </w:r>
      <w:proofErr w:type="gramEnd"/>
      <w:r>
        <w:t xml:space="preserve"> stroke: A diagnostic challenge. </w:t>
      </w:r>
      <w:proofErr w:type="spellStart"/>
      <w:r w:rsidRPr="00C13E36">
        <w:rPr>
          <w:i/>
        </w:rPr>
        <w:t>Neurol</w:t>
      </w:r>
      <w:proofErr w:type="spellEnd"/>
      <w:r w:rsidRPr="00C13E36">
        <w:rPr>
          <w:i/>
        </w:rPr>
        <w:t xml:space="preserve"> </w:t>
      </w:r>
      <w:proofErr w:type="spellStart"/>
      <w:r w:rsidRPr="00C13E36">
        <w:rPr>
          <w:i/>
        </w:rPr>
        <w:t>Clin</w:t>
      </w:r>
      <w:proofErr w:type="spellEnd"/>
      <w:r w:rsidRPr="00C13E36">
        <w:rPr>
          <w:i/>
        </w:rPr>
        <w:t xml:space="preserve"> </w:t>
      </w:r>
      <w:proofErr w:type="spellStart"/>
      <w:r w:rsidRPr="00C13E36">
        <w:rPr>
          <w:i/>
        </w:rPr>
        <w:t>Pract</w:t>
      </w:r>
      <w:proofErr w:type="spellEnd"/>
      <w:r w:rsidRPr="00C13E36">
        <w:rPr>
          <w:i/>
        </w:rPr>
        <w:t>., 4</w:t>
      </w:r>
      <w:r w:rsidRPr="00C13E36">
        <w:t>(5):386-393.</w:t>
      </w:r>
    </w:p>
    <w:p w14:paraId="44D4A8F9" w14:textId="2AF4D8B5" w:rsidR="00581A8E" w:rsidRDefault="00581A8E" w:rsidP="00C13E36">
      <w:proofErr w:type="gramStart"/>
      <w:r>
        <w:t xml:space="preserve">Ziegler PD, Koehler JL, and </w:t>
      </w:r>
      <w:proofErr w:type="spellStart"/>
      <w:r>
        <w:t>Mehra</w:t>
      </w:r>
      <w:proofErr w:type="spellEnd"/>
      <w:r>
        <w:t xml:space="preserve"> R (2006) </w:t>
      </w:r>
      <w:r w:rsidRPr="00581A8E">
        <w:t>Comparison of continuous versus intermittent monitoring of atri</w:t>
      </w:r>
      <w:r>
        <w:t>al arrhythmias.</w:t>
      </w:r>
      <w:proofErr w:type="gramEnd"/>
      <w:r>
        <w:t xml:space="preserve"> </w:t>
      </w:r>
      <w:r w:rsidRPr="00581A8E">
        <w:rPr>
          <w:i/>
        </w:rPr>
        <w:t>Heart Rhythm, 3</w:t>
      </w:r>
      <w:r>
        <w:t>:</w:t>
      </w:r>
      <w:r w:rsidRPr="00581A8E">
        <w:t>1445–1452.</w:t>
      </w:r>
    </w:p>
    <w:p w14:paraId="65ED5B15" w14:textId="3C836B8A" w:rsidR="00FD759F" w:rsidRDefault="00FD759F" w:rsidP="00C13E36">
      <w:proofErr w:type="spellStart"/>
      <w:r>
        <w:t>Zoni-Berisso</w:t>
      </w:r>
      <w:proofErr w:type="spellEnd"/>
      <w:r>
        <w:t xml:space="preserve"> M, </w:t>
      </w:r>
      <w:proofErr w:type="spellStart"/>
      <w:r>
        <w:t>Lercari</w:t>
      </w:r>
      <w:proofErr w:type="spellEnd"/>
      <w:r>
        <w:t xml:space="preserve"> F, </w:t>
      </w:r>
      <w:proofErr w:type="spellStart"/>
      <w:r>
        <w:t>Carazza</w:t>
      </w:r>
      <w:proofErr w:type="spellEnd"/>
      <w:r>
        <w:t xml:space="preserve"> T, </w:t>
      </w:r>
      <w:proofErr w:type="spellStart"/>
      <w:r>
        <w:t>Domenicucci</w:t>
      </w:r>
      <w:proofErr w:type="spellEnd"/>
      <w:r>
        <w:t xml:space="preserve"> S (2014) </w:t>
      </w:r>
      <w:r w:rsidRPr="00FD759F">
        <w:t>Epidemiology of atrial fibrillation: European perspective.</w:t>
      </w:r>
      <w:r>
        <w:t xml:space="preserve"> </w:t>
      </w:r>
      <w:proofErr w:type="spellStart"/>
      <w:r w:rsidRPr="00FD759F">
        <w:rPr>
          <w:i/>
        </w:rPr>
        <w:t>Clin</w:t>
      </w:r>
      <w:proofErr w:type="spellEnd"/>
      <w:r w:rsidRPr="00FD759F">
        <w:rPr>
          <w:i/>
        </w:rPr>
        <w:t xml:space="preserve"> </w:t>
      </w:r>
      <w:proofErr w:type="spellStart"/>
      <w:r w:rsidRPr="00FD759F">
        <w:rPr>
          <w:i/>
        </w:rPr>
        <w:t>Epidemiol</w:t>
      </w:r>
      <w:proofErr w:type="spellEnd"/>
      <w:r w:rsidRPr="00FD759F">
        <w:rPr>
          <w:i/>
        </w:rPr>
        <w:t>., 6</w:t>
      </w:r>
      <w:r w:rsidRPr="00FD759F">
        <w:t>:213-20.</w:t>
      </w:r>
    </w:p>
    <w:p w14:paraId="5EDDB340" w14:textId="0FDF4C3B" w:rsidR="003F205F" w:rsidRDefault="003F205F">
      <w:pPr>
        <w:jc w:val="left"/>
      </w:pPr>
      <w:r>
        <w:br w:type="page"/>
      </w:r>
    </w:p>
    <w:p w14:paraId="047C3945" w14:textId="1783FFD8" w:rsidR="006C09AE" w:rsidRPr="003F205F" w:rsidRDefault="003F205F" w:rsidP="006C09AE">
      <w:pPr>
        <w:rPr>
          <w:b/>
        </w:rPr>
      </w:pPr>
      <w:r w:rsidRPr="003F205F">
        <w:rPr>
          <w:b/>
        </w:rPr>
        <w:lastRenderedPageBreak/>
        <w:t>Appendix 1</w:t>
      </w:r>
      <w:r w:rsidR="00184601">
        <w:rPr>
          <w:b/>
        </w:rPr>
        <w:t>: The CHA</w:t>
      </w:r>
      <w:r w:rsidR="00184601" w:rsidRPr="00920556">
        <w:rPr>
          <w:b/>
          <w:vertAlign w:val="subscript"/>
        </w:rPr>
        <w:t>2</w:t>
      </w:r>
      <w:r w:rsidR="00184601">
        <w:rPr>
          <w:b/>
        </w:rPr>
        <w:t>DS</w:t>
      </w:r>
      <w:r w:rsidR="00184601" w:rsidRPr="00920556">
        <w:rPr>
          <w:b/>
          <w:vertAlign w:val="subscript"/>
        </w:rPr>
        <w:t>2</w:t>
      </w:r>
      <w:r w:rsidR="00184601">
        <w:rPr>
          <w:b/>
        </w:rPr>
        <w:t>-VASc stroke risk tool</w:t>
      </w:r>
    </w:p>
    <w:p w14:paraId="2CADCAA2" w14:textId="65766189" w:rsidR="003F205F" w:rsidRDefault="00184601" w:rsidP="00920556">
      <w:pPr>
        <w:pStyle w:val="Caption"/>
        <w:spacing w:after="120"/>
        <w:rPr>
          <w:b w:val="0"/>
        </w:rPr>
      </w:pPr>
      <w:r>
        <w:t xml:space="preserve">Table </w:t>
      </w:r>
      <w:r>
        <w:fldChar w:fldCharType="begin"/>
      </w:r>
      <w:r>
        <w:instrText xml:space="preserve"> SEQ Table \* ARABIC </w:instrText>
      </w:r>
      <w:r>
        <w:fldChar w:fldCharType="separate"/>
      </w:r>
      <w:r w:rsidR="00DC65DD">
        <w:rPr>
          <w:noProof/>
        </w:rPr>
        <w:t>11</w:t>
      </w:r>
      <w:r>
        <w:fldChar w:fldCharType="end"/>
      </w:r>
      <w:r>
        <w:tab/>
        <w:t xml:space="preserve">The </w:t>
      </w:r>
      <w:r>
        <w:rPr>
          <w:b w:val="0"/>
        </w:rPr>
        <w:t>CHA</w:t>
      </w:r>
      <w:r w:rsidRPr="00920556">
        <w:rPr>
          <w:b w:val="0"/>
          <w:vertAlign w:val="subscript"/>
        </w:rPr>
        <w:t>2</w:t>
      </w:r>
      <w:r>
        <w:rPr>
          <w:b w:val="0"/>
        </w:rPr>
        <w:t>DS</w:t>
      </w:r>
      <w:r w:rsidRPr="00920556">
        <w:rPr>
          <w:b w:val="0"/>
          <w:vertAlign w:val="subscript"/>
        </w:rPr>
        <w:t>2</w:t>
      </w:r>
      <w:r>
        <w:rPr>
          <w:b w:val="0"/>
        </w:rPr>
        <w:t>-VASc stroke risk tool</w:t>
      </w:r>
    </w:p>
    <w:tbl>
      <w:tblPr>
        <w:tblStyle w:val="TableGrid"/>
        <w:tblW w:w="10343" w:type="dxa"/>
        <w:tblLook w:val="04A0" w:firstRow="1" w:lastRow="0" w:firstColumn="1" w:lastColumn="0" w:noHBand="0" w:noVBand="1"/>
        <w:tblDescription w:val="Table 11 The CHA2DS2-VASc stroke risk tool"/>
      </w:tblPr>
      <w:tblGrid>
        <w:gridCol w:w="562"/>
        <w:gridCol w:w="8931"/>
        <w:gridCol w:w="850"/>
      </w:tblGrid>
      <w:tr w:rsidR="00184601" w14:paraId="3DA95573" w14:textId="77777777" w:rsidTr="002A5D07">
        <w:trPr>
          <w:tblHeader/>
        </w:trPr>
        <w:tc>
          <w:tcPr>
            <w:tcW w:w="562" w:type="dxa"/>
            <w:shd w:val="clear" w:color="auto" w:fill="F2F2F2" w:themeFill="background1" w:themeFillShade="F2"/>
          </w:tcPr>
          <w:p w14:paraId="24D63A38" w14:textId="77777777" w:rsidR="00184601" w:rsidRPr="00184601" w:rsidRDefault="00184601" w:rsidP="00184601">
            <w:pPr>
              <w:rPr>
                <w:b/>
                <w:lang w:val="en-GB" w:eastAsia="ja-JP"/>
              </w:rPr>
            </w:pPr>
          </w:p>
        </w:tc>
        <w:tc>
          <w:tcPr>
            <w:tcW w:w="8931" w:type="dxa"/>
            <w:shd w:val="clear" w:color="auto" w:fill="F2F2F2" w:themeFill="background1" w:themeFillShade="F2"/>
          </w:tcPr>
          <w:p w14:paraId="4984344F" w14:textId="69CFCBE0" w:rsidR="00184601" w:rsidRPr="00184601" w:rsidRDefault="00184601" w:rsidP="00184601">
            <w:pPr>
              <w:rPr>
                <w:b/>
                <w:lang w:val="en-GB" w:eastAsia="ja-JP"/>
              </w:rPr>
            </w:pPr>
            <w:r w:rsidRPr="00184601">
              <w:rPr>
                <w:b/>
                <w:lang w:val="en-GB" w:eastAsia="ja-JP"/>
              </w:rPr>
              <w:t>Condition</w:t>
            </w:r>
          </w:p>
        </w:tc>
        <w:tc>
          <w:tcPr>
            <w:tcW w:w="850" w:type="dxa"/>
            <w:shd w:val="clear" w:color="auto" w:fill="F2F2F2" w:themeFill="background1" w:themeFillShade="F2"/>
          </w:tcPr>
          <w:p w14:paraId="6FD79CDA" w14:textId="63CD2F75" w:rsidR="00184601" w:rsidRPr="00184601" w:rsidRDefault="00184601" w:rsidP="00184601">
            <w:pPr>
              <w:rPr>
                <w:b/>
                <w:lang w:val="en-GB" w:eastAsia="ja-JP"/>
              </w:rPr>
            </w:pPr>
            <w:r w:rsidRPr="00184601">
              <w:rPr>
                <w:b/>
                <w:lang w:val="en-GB" w:eastAsia="ja-JP"/>
              </w:rPr>
              <w:t>Points</w:t>
            </w:r>
          </w:p>
        </w:tc>
      </w:tr>
      <w:tr w:rsidR="00184601" w14:paraId="20752395" w14:textId="77777777" w:rsidTr="00920556">
        <w:tc>
          <w:tcPr>
            <w:tcW w:w="562" w:type="dxa"/>
            <w:shd w:val="clear" w:color="auto" w:fill="auto"/>
          </w:tcPr>
          <w:p w14:paraId="243FF92A" w14:textId="2F4DD45D" w:rsidR="00184601" w:rsidRDefault="00920556" w:rsidP="00184601">
            <w:pPr>
              <w:rPr>
                <w:lang w:val="en-GB" w:eastAsia="ja-JP"/>
              </w:rPr>
            </w:pPr>
            <w:r>
              <w:rPr>
                <w:lang w:val="en-GB" w:eastAsia="ja-JP"/>
              </w:rPr>
              <w:t>C</w:t>
            </w:r>
          </w:p>
        </w:tc>
        <w:tc>
          <w:tcPr>
            <w:tcW w:w="8931" w:type="dxa"/>
            <w:shd w:val="clear" w:color="auto" w:fill="auto"/>
          </w:tcPr>
          <w:p w14:paraId="454698AC" w14:textId="5D6E7B4D" w:rsidR="00184601" w:rsidRDefault="00920556" w:rsidP="00184601">
            <w:pPr>
              <w:rPr>
                <w:lang w:val="en-GB" w:eastAsia="ja-JP"/>
              </w:rPr>
            </w:pPr>
            <w:r w:rsidRPr="00920556">
              <w:rPr>
                <w:lang w:val="en-GB" w:eastAsia="ja-JP"/>
              </w:rPr>
              <w:t>Congestive heart failure (or Left ventricular systolic dysfunction)</w:t>
            </w:r>
          </w:p>
        </w:tc>
        <w:tc>
          <w:tcPr>
            <w:tcW w:w="850" w:type="dxa"/>
            <w:shd w:val="clear" w:color="auto" w:fill="auto"/>
          </w:tcPr>
          <w:p w14:paraId="405BE536" w14:textId="727D1D00" w:rsidR="00184601" w:rsidRDefault="00920556" w:rsidP="00184601">
            <w:pPr>
              <w:rPr>
                <w:lang w:val="en-GB" w:eastAsia="ja-JP"/>
              </w:rPr>
            </w:pPr>
            <w:r>
              <w:rPr>
                <w:lang w:val="en-GB" w:eastAsia="ja-JP"/>
              </w:rPr>
              <w:t>1</w:t>
            </w:r>
          </w:p>
        </w:tc>
      </w:tr>
      <w:tr w:rsidR="00184601" w14:paraId="255F21C1" w14:textId="77777777" w:rsidTr="00920556">
        <w:tc>
          <w:tcPr>
            <w:tcW w:w="562" w:type="dxa"/>
            <w:shd w:val="clear" w:color="auto" w:fill="auto"/>
          </w:tcPr>
          <w:p w14:paraId="48E2D23C" w14:textId="57D8CE4C" w:rsidR="00184601" w:rsidRDefault="00920556" w:rsidP="00184601">
            <w:pPr>
              <w:rPr>
                <w:lang w:val="en-GB" w:eastAsia="ja-JP"/>
              </w:rPr>
            </w:pPr>
            <w:r>
              <w:rPr>
                <w:lang w:val="en-GB" w:eastAsia="ja-JP"/>
              </w:rPr>
              <w:t>H</w:t>
            </w:r>
          </w:p>
        </w:tc>
        <w:tc>
          <w:tcPr>
            <w:tcW w:w="8931" w:type="dxa"/>
            <w:shd w:val="clear" w:color="auto" w:fill="auto"/>
          </w:tcPr>
          <w:p w14:paraId="40A83019" w14:textId="41B46115" w:rsidR="00184601" w:rsidRDefault="00920556" w:rsidP="00184601">
            <w:pPr>
              <w:rPr>
                <w:lang w:val="en-GB" w:eastAsia="ja-JP"/>
              </w:rPr>
            </w:pPr>
            <w:r w:rsidRPr="00920556">
              <w:rPr>
                <w:lang w:val="en-GB" w:eastAsia="ja-JP"/>
              </w:rPr>
              <w:t>Hypertension: blood pressure consistently above 140/90 mmHg (or treated hypertension on medication)</w:t>
            </w:r>
          </w:p>
        </w:tc>
        <w:tc>
          <w:tcPr>
            <w:tcW w:w="850" w:type="dxa"/>
            <w:shd w:val="clear" w:color="auto" w:fill="auto"/>
          </w:tcPr>
          <w:p w14:paraId="0F4A02EE" w14:textId="44CE75A5" w:rsidR="00184601" w:rsidRDefault="00920556" w:rsidP="00184601">
            <w:pPr>
              <w:rPr>
                <w:lang w:val="en-GB" w:eastAsia="ja-JP"/>
              </w:rPr>
            </w:pPr>
            <w:r>
              <w:rPr>
                <w:lang w:val="en-GB" w:eastAsia="ja-JP"/>
              </w:rPr>
              <w:t>1</w:t>
            </w:r>
          </w:p>
        </w:tc>
      </w:tr>
      <w:tr w:rsidR="00184601" w14:paraId="3FE69EF9" w14:textId="77777777" w:rsidTr="00920556">
        <w:tc>
          <w:tcPr>
            <w:tcW w:w="562" w:type="dxa"/>
            <w:shd w:val="clear" w:color="auto" w:fill="auto"/>
          </w:tcPr>
          <w:p w14:paraId="4D9EB2EB" w14:textId="336F23A2" w:rsidR="00184601" w:rsidRDefault="00920556" w:rsidP="00184601">
            <w:pPr>
              <w:rPr>
                <w:lang w:val="en-GB" w:eastAsia="ja-JP"/>
              </w:rPr>
            </w:pPr>
            <w:r>
              <w:rPr>
                <w:lang w:val="en-GB" w:eastAsia="ja-JP"/>
              </w:rPr>
              <w:t>A</w:t>
            </w:r>
            <w:r w:rsidRPr="00920556">
              <w:rPr>
                <w:vertAlign w:val="subscript"/>
                <w:lang w:val="en-GB" w:eastAsia="ja-JP"/>
              </w:rPr>
              <w:t>2</w:t>
            </w:r>
          </w:p>
        </w:tc>
        <w:tc>
          <w:tcPr>
            <w:tcW w:w="8931" w:type="dxa"/>
            <w:shd w:val="clear" w:color="auto" w:fill="auto"/>
          </w:tcPr>
          <w:p w14:paraId="5C42B7FD" w14:textId="55D7BB27" w:rsidR="00184601" w:rsidRDefault="00920556" w:rsidP="00184601">
            <w:pPr>
              <w:rPr>
                <w:lang w:val="en-GB" w:eastAsia="ja-JP"/>
              </w:rPr>
            </w:pPr>
            <w:r w:rsidRPr="00920556">
              <w:rPr>
                <w:lang w:val="en-GB" w:eastAsia="ja-JP"/>
              </w:rPr>
              <w:t>Age ≥75 years</w:t>
            </w:r>
          </w:p>
        </w:tc>
        <w:tc>
          <w:tcPr>
            <w:tcW w:w="850" w:type="dxa"/>
            <w:shd w:val="clear" w:color="auto" w:fill="auto"/>
          </w:tcPr>
          <w:p w14:paraId="06993DDB" w14:textId="3F842377" w:rsidR="00184601" w:rsidRDefault="00920556" w:rsidP="00184601">
            <w:pPr>
              <w:rPr>
                <w:lang w:val="en-GB" w:eastAsia="ja-JP"/>
              </w:rPr>
            </w:pPr>
            <w:r>
              <w:rPr>
                <w:lang w:val="en-GB" w:eastAsia="ja-JP"/>
              </w:rPr>
              <w:t>2</w:t>
            </w:r>
          </w:p>
        </w:tc>
      </w:tr>
      <w:tr w:rsidR="00184601" w14:paraId="0504E9E2" w14:textId="77777777" w:rsidTr="00920556">
        <w:tc>
          <w:tcPr>
            <w:tcW w:w="562" w:type="dxa"/>
            <w:shd w:val="clear" w:color="auto" w:fill="auto"/>
          </w:tcPr>
          <w:p w14:paraId="0D6D9AF0" w14:textId="49B6D884" w:rsidR="00184601" w:rsidRDefault="00920556" w:rsidP="00184601">
            <w:pPr>
              <w:rPr>
                <w:lang w:val="en-GB" w:eastAsia="ja-JP"/>
              </w:rPr>
            </w:pPr>
            <w:r>
              <w:rPr>
                <w:lang w:val="en-GB" w:eastAsia="ja-JP"/>
              </w:rPr>
              <w:t>D</w:t>
            </w:r>
          </w:p>
        </w:tc>
        <w:tc>
          <w:tcPr>
            <w:tcW w:w="8931" w:type="dxa"/>
            <w:shd w:val="clear" w:color="auto" w:fill="auto"/>
          </w:tcPr>
          <w:p w14:paraId="40DDB2EB" w14:textId="03755071" w:rsidR="00184601" w:rsidRDefault="00920556" w:rsidP="00184601">
            <w:pPr>
              <w:rPr>
                <w:lang w:val="en-GB" w:eastAsia="ja-JP"/>
              </w:rPr>
            </w:pPr>
            <w:r w:rsidRPr="00920556">
              <w:rPr>
                <w:lang w:val="en-GB" w:eastAsia="ja-JP"/>
              </w:rPr>
              <w:t>Diabetes Mellitus</w:t>
            </w:r>
          </w:p>
        </w:tc>
        <w:tc>
          <w:tcPr>
            <w:tcW w:w="850" w:type="dxa"/>
            <w:shd w:val="clear" w:color="auto" w:fill="auto"/>
          </w:tcPr>
          <w:p w14:paraId="1425B106" w14:textId="4B5174FB" w:rsidR="00184601" w:rsidRDefault="00920556" w:rsidP="00184601">
            <w:pPr>
              <w:rPr>
                <w:lang w:val="en-GB" w:eastAsia="ja-JP"/>
              </w:rPr>
            </w:pPr>
            <w:r>
              <w:rPr>
                <w:lang w:val="en-GB" w:eastAsia="ja-JP"/>
              </w:rPr>
              <w:t>1</w:t>
            </w:r>
          </w:p>
        </w:tc>
      </w:tr>
      <w:tr w:rsidR="00184601" w14:paraId="382662B9" w14:textId="77777777" w:rsidTr="00920556">
        <w:tc>
          <w:tcPr>
            <w:tcW w:w="562" w:type="dxa"/>
            <w:shd w:val="clear" w:color="auto" w:fill="auto"/>
          </w:tcPr>
          <w:p w14:paraId="288D2725" w14:textId="52B720A5" w:rsidR="00184601" w:rsidRDefault="00920556" w:rsidP="00184601">
            <w:pPr>
              <w:rPr>
                <w:lang w:val="en-GB" w:eastAsia="ja-JP"/>
              </w:rPr>
            </w:pPr>
            <w:r>
              <w:rPr>
                <w:lang w:val="en-GB" w:eastAsia="ja-JP"/>
              </w:rPr>
              <w:t>S</w:t>
            </w:r>
            <w:r w:rsidRPr="00920556">
              <w:rPr>
                <w:vertAlign w:val="subscript"/>
                <w:lang w:val="en-GB" w:eastAsia="ja-JP"/>
              </w:rPr>
              <w:t>2</w:t>
            </w:r>
          </w:p>
        </w:tc>
        <w:tc>
          <w:tcPr>
            <w:tcW w:w="8931" w:type="dxa"/>
            <w:shd w:val="clear" w:color="auto" w:fill="auto"/>
          </w:tcPr>
          <w:p w14:paraId="4A237814" w14:textId="12A90A44" w:rsidR="00184601" w:rsidRDefault="00920556" w:rsidP="00184601">
            <w:pPr>
              <w:rPr>
                <w:lang w:val="en-GB" w:eastAsia="ja-JP"/>
              </w:rPr>
            </w:pPr>
            <w:r w:rsidRPr="00920556">
              <w:rPr>
                <w:lang w:val="en-GB" w:eastAsia="ja-JP"/>
              </w:rPr>
              <w:t>Prior Stroke or TIA or thromboembolism</w:t>
            </w:r>
          </w:p>
        </w:tc>
        <w:tc>
          <w:tcPr>
            <w:tcW w:w="850" w:type="dxa"/>
            <w:shd w:val="clear" w:color="auto" w:fill="auto"/>
          </w:tcPr>
          <w:p w14:paraId="4DC2759A" w14:textId="0F01987A" w:rsidR="00184601" w:rsidRDefault="00920556" w:rsidP="00184601">
            <w:pPr>
              <w:rPr>
                <w:lang w:val="en-GB" w:eastAsia="ja-JP"/>
              </w:rPr>
            </w:pPr>
            <w:r>
              <w:rPr>
                <w:lang w:val="en-GB" w:eastAsia="ja-JP"/>
              </w:rPr>
              <w:t>2</w:t>
            </w:r>
          </w:p>
        </w:tc>
      </w:tr>
      <w:tr w:rsidR="00184601" w14:paraId="58C02D63" w14:textId="77777777" w:rsidTr="00920556">
        <w:tc>
          <w:tcPr>
            <w:tcW w:w="562" w:type="dxa"/>
            <w:shd w:val="clear" w:color="auto" w:fill="auto"/>
          </w:tcPr>
          <w:p w14:paraId="33A61B84" w14:textId="566C2C49" w:rsidR="00184601" w:rsidRDefault="00920556" w:rsidP="00184601">
            <w:pPr>
              <w:rPr>
                <w:lang w:val="en-GB" w:eastAsia="ja-JP"/>
              </w:rPr>
            </w:pPr>
            <w:r>
              <w:rPr>
                <w:lang w:val="en-GB" w:eastAsia="ja-JP"/>
              </w:rPr>
              <w:t>V</w:t>
            </w:r>
          </w:p>
        </w:tc>
        <w:tc>
          <w:tcPr>
            <w:tcW w:w="8931" w:type="dxa"/>
            <w:shd w:val="clear" w:color="auto" w:fill="auto"/>
          </w:tcPr>
          <w:p w14:paraId="067A554C" w14:textId="2C197C41" w:rsidR="00184601" w:rsidRDefault="00920556" w:rsidP="00184601">
            <w:pPr>
              <w:rPr>
                <w:lang w:val="en-GB" w:eastAsia="ja-JP"/>
              </w:rPr>
            </w:pPr>
            <w:r w:rsidRPr="00920556">
              <w:rPr>
                <w:lang w:val="en-GB" w:eastAsia="ja-JP"/>
              </w:rPr>
              <w:t>Vascular disease (e.g. peripheral artery disease, myocardial infarction, aortic plaque)</w:t>
            </w:r>
          </w:p>
        </w:tc>
        <w:tc>
          <w:tcPr>
            <w:tcW w:w="850" w:type="dxa"/>
            <w:shd w:val="clear" w:color="auto" w:fill="auto"/>
          </w:tcPr>
          <w:p w14:paraId="1E26FCE2" w14:textId="4B434B40" w:rsidR="00184601" w:rsidRDefault="00920556" w:rsidP="00184601">
            <w:pPr>
              <w:rPr>
                <w:lang w:val="en-GB" w:eastAsia="ja-JP"/>
              </w:rPr>
            </w:pPr>
            <w:r>
              <w:rPr>
                <w:lang w:val="en-GB" w:eastAsia="ja-JP"/>
              </w:rPr>
              <w:t>1</w:t>
            </w:r>
          </w:p>
        </w:tc>
      </w:tr>
      <w:tr w:rsidR="00184601" w14:paraId="34248363" w14:textId="77777777" w:rsidTr="00920556">
        <w:tc>
          <w:tcPr>
            <w:tcW w:w="562" w:type="dxa"/>
            <w:shd w:val="clear" w:color="auto" w:fill="auto"/>
          </w:tcPr>
          <w:p w14:paraId="5F9A0D26" w14:textId="0EEBDE44" w:rsidR="00184601" w:rsidRDefault="00920556" w:rsidP="00184601">
            <w:pPr>
              <w:rPr>
                <w:lang w:val="en-GB" w:eastAsia="ja-JP"/>
              </w:rPr>
            </w:pPr>
            <w:r>
              <w:rPr>
                <w:lang w:val="en-GB" w:eastAsia="ja-JP"/>
              </w:rPr>
              <w:t>A</w:t>
            </w:r>
          </w:p>
        </w:tc>
        <w:tc>
          <w:tcPr>
            <w:tcW w:w="8931" w:type="dxa"/>
            <w:shd w:val="clear" w:color="auto" w:fill="auto"/>
          </w:tcPr>
          <w:p w14:paraId="33F75102" w14:textId="05AD8F1C" w:rsidR="00184601" w:rsidRDefault="00920556" w:rsidP="00184601">
            <w:pPr>
              <w:rPr>
                <w:lang w:val="en-GB" w:eastAsia="ja-JP"/>
              </w:rPr>
            </w:pPr>
            <w:r w:rsidRPr="00920556">
              <w:rPr>
                <w:lang w:val="en-GB" w:eastAsia="ja-JP"/>
              </w:rPr>
              <w:t>Age 65–74 years</w:t>
            </w:r>
          </w:p>
        </w:tc>
        <w:tc>
          <w:tcPr>
            <w:tcW w:w="850" w:type="dxa"/>
            <w:shd w:val="clear" w:color="auto" w:fill="auto"/>
          </w:tcPr>
          <w:p w14:paraId="31EB8A47" w14:textId="6FAAA24D" w:rsidR="00184601" w:rsidRDefault="00920556" w:rsidP="00184601">
            <w:pPr>
              <w:rPr>
                <w:lang w:val="en-GB" w:eastAsia="ja-JP"/>
              </w:rPr>
            </w:pPr>
            <w:r>
              <w:rPr>
                <w:lang w:val="en-GB" w:eastAsia="ja-JP"/>
              </w:rPr>
              <w:t>1</w:t>
            </w:r>
          </w:p>
        </w:tc>
      </w:tr>
      <w:tr w:rsidR="00184601" w14:paraId="03ABA5C5" w14:textId="77777777" w:rsidTr="00920556">
        <w:tc>
          <w:tcPr>
            <w:tcW w:w="562" w:type="dxa"/>
            <w:shd w:val="clear" w:color="auto" w:fill="auto"/>
          </w:tcPr>
          <w:p w14:paraId="5EC176F7" w14:textId="09BA7FD8" w:rsidR="00184601" w:rsidRDefault="00920556" w:rsidP="00184601">
            <w:pPr>
              <w:rPr>
                <w:lang w:val="en-GB" w:eastAsia="ja-JP"/>
              </w:rPr>
            </w:pPr>
            <w:proofErr w:type="spellStart"/>
            <w:r>
              <w:rPr>
                <w:lang w:val="en-GB" w:eastAsia="ja-JP"/>
              </w:rPr>
              <w:t>Sc</w:t>
            </w:r>
            <w:proofErr w:type="spellEnd"/>
          </w:p>
        </w:tc>
        <w:tc>
          <w:tcPr>
            <w:tcW w:w="8931" w:type="dxa"/>
            <w:shd w:val="clear" w:color="auto" w:fill="auto"/>
          </w:tcPr>
          <w:p w14:paraId="3EFDCB28" w14:textId="1CD8B700" w:rsidR="00184601" w:rsidRDefault="00920556" w:rsidP="00184601">
            <w:pPr>
              <w:rPr>
                <w:lang w:val="en-GB" w:eastAsia="ja-JP"/>
              </w:rPr>
            </w:pPr>
            <w:r w:rsidRPr="00920556">
              <w:rPr>
                <w:lang w:val="en-GB" w:eastAsia="ja-JP"/>
              </w:rPr>
              <w:t>Sex category (i.e. female sex)</w:t>
            </w:r>
          </w:p>
        </w:tc>
        <w:tc>
          <w:tcPr>
            <w:tcW w:w="850" w:type="dxa"/>
            <w:shd w:val="clear" w:color="auto" w:fill="auto"/>
          </w:tcPr>
          <w:p w14:paraId="296786D0" w14:textId="00214BD4" w:rsidR="00184601" w:rsidRDefault="00920556" w:rsidP="00184601">
            <w:pPr>
              <w:rPr>
                <w:lang w:val="en-GB" w:eastAsia="ja-JP"/>
              </w:rPr>
            </w:pPr>
            <w:r>
              <w:rPr>
                <w:lang w:val="en-GB" w:eastAsia="ja-JP"/>
              </w:rPr>
              <w:t>1</w:t>
            </w:r>
          </w:p>
        </w:tc>
      </w:tr>
    </w:tbl>
    <w:p w14:paraId="0988C2E1" w14:textId="234BC9F6" w:rsidR="00184601" w:rsidRPr="00920556" w:rsidRDefault="00920556" w:rsidP="00184601">
      <w:pPr>
        <w:rPr>
          <w:sz w:val="18"/>
          <w:szCs w:val="18"/>
          <w:lang w:val="en-GB" w:eastAsia="ja-JP"/>
        </w:rPr>
      </w:pPr>
      <w:r w:rsidRPr="00920556">
        <w:rPr>
          <w:sz w:val="18"/>
          <w:szCs w:val="18"/>
          <w:lang w:val="en-GB" w:eastAsia="ja-JP"/>
        </w:rPr>
        <w:t xml:space="preserve">Source: </w:t>
      </w:r>
      <w:r w:rsidR="001E2BF9" w:rsidRPr="001E2BF9">
        <w:rPr>
          <w:sz w:val="18"/>
          <w:szCs w:val="18"/>
          <w:lang w:val="en-GB" w:eastAsia="ja-JP"/>
        </w:rPr>
        <w:t>Lip</w:t>
      </w:r>
      <w:r w:rsidR="001E2BF9">
        <w:rPr>
          <w:sz w:val="18"/>
          <w:szCs w:val="18"/>
          <w:lang w:val="en-GB" w:eastAsia="ja-JP"/>
        </w:rPr>
        <w:t xml:space="preserve"> et al. (2010), </w:t>
      </w:r>
      <w:proofErr w:type="spellStart"/>
      <w:r w:rsidR="001E2BF9" w:rsidRPr="001E2BF9">
        <w:rPr>
          <w:sz w:val="18"/>
          <w:szCs w:val="18"/>
          <w:lang w:val="en-GB" w:eastAsia="ja-JP"/>
        </w:rPr>
        <w:t>Friberg</w:t>
      </w:r>
      <w:proofErr w:type="spellEnd"/>
      <w:r w:rsidR="001E2BF9">
        <w:rPr>
          <w:sz w:val="18"/>
          <w:szCs w:val="18"/>
          <w:lang w:val="en-GB" w:eastAsia="ja-JP"/>
        </w:rPr>
        <w:t xml:space="preserve"> et al. (2013), </w:t>
      </w:r>
      <w:proofErr w:type="spellStart"/>
      <w:r w:rsidR="001E2BF9" w:rsidRPr="001E2BF9">
        <w:rPr>
          <w:sz w:val="18"/>
          <w:szCs w:val="18"/>
          <w:lang w:val="en-GB" w:eastAsia="ja-JP"/>
        </w:rPr>
        <w:t>Olesen</w:t>
      </w:r>
      <w:proofErr w:type="spellEnd"/>
      <w:r w:rsidR="001E2BF9">
        <w:rPr>
          <w:sz w:val="18"/>
          <w:szCs w:val="18"/>
          <w:lang w:val="en-GB" w:eastAsia="ja-JP"/>
        </w:rPr>
        <w:t xml:space="preserve"> et al. (2011)</w:t>
      </w:r>
    </w:p>
    <w:p w14:paraId="1113C7D5" w14:textId="3EE5EF53" w:rsidR="003F205F" w:rsidRDefault="003F205F">
      <w:pPr>
        <w:jc w:val="left"/>
      </w:pPr>
      <w:r>
        <w:br w:type="page"/>
      </w:r>
    </w:p>
    <w:p w14:paraId="161B1ECB" w14:textId="403221A8" w:rsidR="003F205F" w:rsidRDefault="003F205F" w:rsidP="006C09AE">
      <w:pPr>
        <w:rPr>
          <w:b/>
        </w:rPr>
      </w:pPr>
      <w:r w:rsidRPr="003F205F">
        <w:rPr>
          <w:b/>
        </w:rPr>
        <w:lastRenderedPageBreak/>
        <w:t>Appendix 2</w:t>
      </w:r>
      <w:r>
        <w:rPr>
          <w:b/>
        </w:rPr>
        <w:t xml:space="preserve">: Training </w:t>
      </w:r>
      <w:r w:rsidR="00184601">
        <w:rPr>
          <w:b/>
        </w:rPr>
        <w:t>requirements for</w:t>
      </w:r>
      <w:r w:rsidRPr="003F205F">
        <w:rPr>
          <w:b/>
        </w:rPr>
        <w:t xml:space="preserve"> insert</w:t>
      </w:r>
      <w:r>
        <w:rPr>
          <w:b/>
        </w:rPr>
        <w:t>ion</w:t>
      </w:r>
      <w:r w:rsidRPr="003F205F">
        <w:rPr>
          <w:b/>
        </w:rPr>
        <w:t xml:space="preserve"> and follow-up ILRs</w:t>
      </w:r>
    </w:p>
    <w:p w14:paraId="14BAFC95" w14:textId="4F99216F" w:rsidR="003F205F" w:rsidRDefault="003F205F" w:rsidP="003F205F">
      <w:r>
        <w:t xml:space="preserve">Attached PDF: </w:t>
      </w:r>
      <w:r w:rsidR="00184601" w:rsidRPr="00184601">
        <w:t xml:space="preserve">The Cardiac Society of Australia and New Zealand </w:t>
      </w:r>
      <w:r w:rsidR="00184601">
        <w:t xml:space="preserve">(CSANZ) (2013) </w:t>
      </w:r>
      <w:r w:rsidRPr="003F205F">
        <w:t>Guidelines for sub-specialty training in cardiac implantable electronic devices: selection, implantation and follow-up</w:t>
      </w:r>
      <w:r w:rsidR="00184601">
        <w:t>.</w:t>
      </w:r>
    </w:p>
    <w:p w14:paraId="5E420F8F" w14:textId="2C3DE0ED" w:rsidR="00184601" w:rsidRPr="003F205F" w:rsidRDefault="00D50812" w:rsidP="003F205F">
      <w:r>
        <w:object w:dxaOrig="1531" w:dyaOrig="990" w14:anchorId="716A25E9">
          <v:shape id="_x0000_i1026" type="#_x0000_t75" alt="Attached PDF: The Cardiac Society of Australia and New Zealand (CSANZ) (2013) Guidelines for sub-specialty training in cardiac implantable electronic devices: selection, implantation and follow-up." style="width:79.5pt;height:50.25pt" o:ole="">
            <v:imagedata r:id="rId36" o:title=""/>
          </v:shape>
          <o:OLEObject Type="Embed" ProgID="Acrobat.Document.11" ShapeID="_x0000_i1026" DrawAspect="Icon" ObjectID="_1545208202" r:id="rId37"/>
        </w:object>
      </w:r>
    </w:p>
    <w:sectPr w:rsidR="00184601" w:rsidRPr="003F205F" w:rsidSect="00D04147">
      <w:pgSz w:w="11906" w:h="16838"/>
      <w:pgMar w:top="1440" w:right="1440" w:bottom="1440"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D6B8F1" w15:done="0"/>
  <w15:commentEx w15:paraId="6DEF7DB3" w15:done="0"/>
  <w15:commentEx w15:paraId="2EC5A160" w15:done="0"/>
  <w15:commentEx w15:paraId="2FA2C209" w15:done="0"/>
  <w15:commentEx w15:paraId="6406407E" w15:done="0"/>
  <w15:commentEx w15:paraId="64F90D2E" w15:done="0"/>
  <w15:commentEx w15:paraId="0612B693" w15:done="0"/>
  <w15:commentEx w15:paraId="612C4B0E" w15:done="0"/>
  <w15:commentEx w15:paraId="0FA32AD5" w15:done="0"/>
  <w15:commentEx w15:paraId="006BE810" w15:done="0"/>
  <w15:commentEx w15:paraId="29196AAE" w15:done="0"/>
  <w15:commentEx w15:paraId="57A8A59D" w15:done="0"/>
  <w15:commentEx w15:paraId="1A33EDF6" w15:done="0"/>
  <w15:commentEx w15:paraId="2527718E" w15:done="0"/>
  <w15:commentEx w15:paraId="0BCB58D8" w15:done="0"/>
  <w15:commentEx w15:paraId="1A78AA17" w15:done="0"/>
  <w15:commentEx w15:paraId="2262E665" w15:done="0"/>
  <w15:commentEx w15:paraId="03E12384" w15:done="0"/>
  <w15:commentEx w15:paraId="3BFA2BD5" w15:done="0"/>
  <w15:commentEx w15:paraId="7264F94A" w15:done="0"/>
  <w15:commentEx w15:paraId="7F618110" w15:done="0"/>
  <w15:commentEx w15:paraId="7F61F1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76820" w14:textId="77777777" w:rsidR="001E559E" w:rsidRDefault="001E559E" w:rsidP="008B5AB2">
      <w:pPr>
        <w:spacing w:after="0" w:line="240" w:lineRule="auto"/>
      </w:pPr>
      <w:r>
        <w:separator/>
      </w:r>
    </w:p>
  </w:endnote>
  <w:endnote w:type="continuationSeparator" w:id="0">
    <w:p w14:paraId="3721ACB5" w14:textId="77777777" w:rsidR="001E559E" w:rsidRDefault="001E559E" w:rsidP="008B5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E4492" w14:textId="77777777" w:rsidR="00AA4090" w:rsidRDefault="00AA40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85105"/>
      <w:docPartObj>
        <w:docPartGallery w:val="Page Numbers (Bottom of Page)"/>
        <w:docPartUnique/>
      </w:docPartObj>
    </w:sdtPr>
    <w:sdtEndPr>
      <w:rPr>
        <w:noProof/>
      </w:rPr>
    </w:sdtEndPr>
    <w:sdtContent>
      <w:p w14:paraId="4E489129" w14:textId="5445A79A" w:rsidR="00AA4090" w:rsidRDefault="00AA4090">
        <w:pPr>
          <w:pStyle w:val="Footer"/>
          <w:jc w:val="center"/>
        </w:pPr>
        <w:r>
          <w:fldChar w:fldCharType="begin"/>
        </w:r>
        <w:r>
          <w:instrText xml:space="preserve"> PAGE   \* MERGEFORMAT </w:instrText>
        </w:r>
        <w:r>
          <w:fldChar w:fldCharType="separate"/>
        </w:r>
        <w:r w:rsidR="001E2DAD">
          <w:rPr>
            <w:noProof/>
          </w:rPr>
          <w:t>2</w:t>
        </w:r>
        <w:r>
          <w:rPr>
            <w:noProof/>
          </w:rPr>
          <w:fldChar w:fldCharType="end"/>
        </w:r>
      </w:p>
    </w:sdtContent>
  </w:sdt>
  <w:p w14:paraId="3429EE7D" w14:textId="4C53D76B" w:rsidR="00AA4090" w:rsidRDefault="00AA4090">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F0CB8" w14:textId="77777777" w:rsidR="00AA4090" w:rsidRDefault="00AA40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5E980" w14:textId="77777777" w:rsidR="001E559E" w:rsidRDefault="001E559E" w:rsidP="008B5AB2">
      <w:pPr>
        <w:spacing w:after="0" w:line="240" w:lineRule="auto"/>
      </w:pPr>
      <w:r>
        <w:separator/>
      </w:r>
    </w:p>
  </w:footnote>
  <w:footnote w:type="continuationSeparator" w:id="0">
    <w:p w14:paraId="100F931E" w14:textId="77777777" w:rsidR="001E559E" w:rsidRDefault="001E559E" w:rsidP="008B5AB2">
      <w:pPr>
        <w:spacing w:after="0" w:line="240" w:lineRule="auto"/>
      </w:pPr>
      <w:r>
        <w:continuationSeparator/>
      </w:r>
    </w:p>
  </w:footnote>
  <w:footnote w:id="1">
    <w:p w14:paraId="6750E782" w14:textId="77777777" w:rsidR="00D50812" w:rsidRDefault="00D50812" w:rsidP="00D50812">
      <w:pPr>
        <w:pStyle w:val="FootnoteText"/>
      </w:pPr>
      <w:r>
        <w:rPr>
          <w:rStyle w:val="FootnoteReference"/>
        </w:rPr>
        <w:footnoteRef/>
      </w:r>
      <w:r>
        <w:t xml:space="preserve"> </w:t>
      </w:r>
      <w:r w:rsidRPr="00F51D97">
        <w:t>https://informme.org.au/Guidelines/2017-Draft-Guidelines/</w:t>
      </w:r>
    </w:p>
  </w:footnote>
  <w:footnote w:id="2">
    <w:p w14:paraId="05EF9880" w14:textId="68E5C5EB" w:rsidR="00AA4090" w:rsidRDefault="00AA4090">
      <w:pPr>
        <w:pStyle w:val="FootnoteText"/>
      </w:pPr>
      <w:r>
        <w:rPr>
          <w:rStyle w:val="FootnoteReference"/>
        </w:rPr>
        <w:footnoteRef/>
      </w:r>
      <w:r>
        <w:t xml:space="preserve"> R-R intervals are the time between QRS complexes as measured in electrocardiography. They are used to calculate a person’s heart rate.</w:t>
      </w:r>
    </w:p>
  </w:footnote>
  <w:footnote w:id="3">
    <w:p w14:paraId="208C9770" w14:textId="36E1816C" w:rsidR="00AA4090" w:rsidRDefault="00AA4090">
      <w:pPr>
        <w:pStyle w:val="FootnoteText"/>
      </w:pPr>
      <w:r>
        <w:rPr>
          <w:rStyle w:val="FootnoteReference"/>
        </w:rPr>
        <w:footnoteRef/>
      </w:r>
      <w:r>
        <w:t xml:space="preserve"> P-waves are detected in electrocardiography and represent</w:t>
      </w:r>
      <w:r w:rsidRPr="00D1066A">
        <w:t xml:space="preserve"> atrial depolarization, which results in atrial contraction</w:t>
      </w:r>
      <w:r>
        <w:t xml:space="preserve">. </w:t>
      </w:r>
      <w:proofErr w:type="gramStart"/>
      <w:r>
        <w:t>An absence of p-waves, in addition to irregular R-R intervals, are</w:t>
      </w:r>
      <w:proofErr w:type="gramEnd"/>
      <w:r>
        <w:t xml:space="preserve"> </w:t>
      </w:r>
      <w:r w:rsidRPr="00D1066A">
        <w:t>well-established key electroca</w:t>
      </w:r>
      <w:r>
        <w:t>rdiographic characteristics of atrial fibrillation.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33E7C" w14:textId="386C849A" w:rsidR="00AA4090" w:rsidRDefault="001E2DAD">
    <w:pPr>
      <w:pStyle w:val="Header"/>
    </w:pPr>
    <w:r>
      <w:rPr>
        <w:noProof/>
      </w:rPr>
      <w:pict w14:anchorId="55B26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038141" o:spid="_x0000_s2050" type="#_x0000_t136" style="position:absolute;left:0;text-align:left;margin-left:0;margin-top:0;width:398.65pt;height:239.15pt;rotation:315;z-index:-25165516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B4A7C" w14:textId="703399E4" w:rsidR="00AA4090" w:rsidRDefault="001E2DAD">
    <w:pPr>
      <w:pStyle w:val="Header"/>
    </w:pPr>
    <w:r>
      <w:rPr>
        <w:noProof/>
      </w:rPr>
      <w:pict w14:anchorId="56615C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038142" o:spid="_x0000_s2051" type="#_x0000_t136" style="position:absolute;left:0;text-align:left;margin-left:0;margin-top:0;width:398.65pt;height:268.8pt;rotation:315;z-index:-25165312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4FED6" w14:textId="664C33FF" w:rsidR="00AA4090" w:rsidRDefault="001E2DAD">
    <w:pPr>
      <w:pStyle w:val="Header"/>
    </w:pPr>
    <w:r>
      <w:rPr>
        <w:noProof/>
      </w:rPr>
      <w:pict w14:anchorId="0C52F9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038140" o:spid="_x0000_s2049" type="#_x0000_t136" style="position:absolute;left:0;text-align:left;margin-left:0;margin-top:0;width:398.65pt;height:239.15pt;rotation:315;z-index:-25165721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B1901"/>
    <w:multiLevelType w:val="hybridMultilevel"/>
    <w:tmpl w:val="FD289BE6"/>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12C53B26"/>
    <w:multiLevelType w:val="hybridMultilevel"/>
    <w:tmpl w:val="9BD6E48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DDC40C7"/>
    <w:multiLevelType w:val="hybridMultilevel"/>
    <w:tmpl w:val="C616B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FB459D"/>
    <w:multiLevelType w:val="hybridMultilevel"/>
    <w:tmpl w:val="0C4C411A"/>
    <w:lvl w:ilvl="0" w:tplc="DDA8FD30">
      <w:start w:val="3"/>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00B75D0"/>
    <w:multiLevelType w:val="hybridMultilevel"/>
    <w:tmpl w:val="E18C5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1E764B"/>
    <w:multiLevelType w:val="hybridMultilevel"/>
    <w:tmpl w:val="B966ED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7F04C0A"/>
    <w:multiLevelType w:val="hybridMultilevel"/>
    <w:tmpl w:val="20EC5634"/>
    <w:lvl w:ilvl="0" w:tplc="0C090011">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2C3E0FC9"/>
    <w:multiLevelType w:val="hybridMultilevel"/>
    <w:tmpl w:val="8ACAD68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C5D2BB1"/>
    <w:multiLevelType w:val="hybridMultilevel"/>
    <w:tmpl w:val="AC84D8E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nsid w:val="32691382"/>
    <w:multiLevelType w:val="hybridMultilevel"/>
    <w:tmpl w:val="2D86C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4E751E3"/>
    <w:multiLevelType w:val="hybridMultilevel"/>
    <w:tmpl w:val="326007DE"/>
    <w:lvl w:ilvl="0" w:tplc="DCB827FC">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9CE5FB3"/>
    <w:multiLevelType w:val="hybridMultilevel"/>
    <w:tmpl w:val="EA6831A4"/>
    <w:lvl w:ilvl="0" w:tplc="86061892">
      <w:start w:val="5"/>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E78387D"/>
    <w:multiLevelType w:val="hybridMultilevel"/>
    <w:tmpl w:val="41A4A9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442C1FC0"/>
    <w:multiLevelType w:val="hybridMultilevel"/>
    <w:tmpl w:val="896689B6"/>
    <w:lvl w:ilvl="0" w:tplc="988815F2">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5F74A58"/>
    <w:multiLevelType w:val="hybridMultilevel"/>
    <w:tmpl w:val="5F36FE46"/>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4BDD33AF"/>
    <w:multiLevelType w:val="hybridMultilevel"/>
    <w:tmpl w:val="3522C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2AA0C40"/>
    <w:multiLevelType w:val="hybridMultilevel"/>
    <w:tmpl w:val="486E0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6C34D1B"/>
    <w:multiLevelType w:val="hybridMultilevel"/>
    <w:tmpl w:val="8092C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9566E93"/>
    <w:multiLevelType w:val="hybridMultilevel"/>
    <w:tmpl w:val="800E24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F9B75EB"/>
    <w:multiLevelType w:val="hybridMultilevel"/>
    <w:tmpl w:val="78DE3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4194FAB"/>
    <w:multiLevelType w:val="hybridMultilevel"/>
    <w:tmpl w:val="437A05AA"/>
    <w:lvl w:ilvl="0" w:tplc="988815F2">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39B4A3F"/>
    <w:multiLevelType w:val="hybridMultilevel"/>
    <w:tmpl w:val="17EE75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7A9B556A"/>
    <w:multiLevelType w:val="hybridMultilevel"/>
    <w:tmpl w:val="277E7D26"/>
    <w:lvl w:ilvl="0" w:tplc="B5B8FE9E">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7"/>
  </w:num>
  <w:num w:numId="3">
    <w:abstractNumId w:val="12"/>
  </w:num>
  <w:num w:numId="4">
    <w:abstractNumId w:val="8"/>
  </w:num>
  <w:num w:numId="5">
    <w:abstractNumId w:val="15"/>
  </w:num>
  <w:num w:numId="6">
    <w:abstractNumId w:val="14"/>
  </w:num>
  <w:num w:numId="7">
    <w:abstractNumId w:val="5"/>
  </w:num>
  <w:num w:numId="8">
    <w:abstractNumId w:val="16"/>
  </w:num>
  <w:num w:numId="9">
    <w:abstractNumId w:val="18"/>
  </w:num>
  <w:num w:numId="10">
    <w:abstractNumId w:val="17"/>
  </w:num>
  <w:num w:numId="11">
    <w:abstractNumId w:val="21"/>
  </w:num>
  <w:num w:numId="12">
    <w:abstractNumId w:val="3"/>
  </w:num>
  <w:num w:numId="13">
    <w:abstractNumId w:val="1"/>
  </w:num>
  <w:num w:numId="14">
    <w:abstractNumId w:val="11"/>
  </w:num>
  <w:num w:numId="15">
    <w:abstractNumId w:val="20"/>
  </w:num>
  <w:num w:numId="16">
    <w:abstractNumId w:val="13"/>
  </w:num>
  <w:num w:numId="17">
    <w:abstractNumId w:val="10"/>
  </w:num>
  <w:num w:numId="18">
    <w:abstractNumId w:val="9"/>
  </w:num>
  <w:num w:numId="19">
    <w:abstractNumId w:val="4"/>
  </w:num>
  <w:num w:numId="20">
    <w:abstractNumId w:val="19"/>
  </w:num>
  <w:num w:numId="21">
    <w:abstractNumId w:val="2"/>
  </w:num>
  <w:num w:numId="22">
    <w:abstractNumId w:val="6"/>
  </w:num>
  <w:num w:numId="23">
    <w:abstractNumId w:val="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minic Tilden">
    <w15:presenceInfo w15:providerId="AD" w15:userId="S-1-5-21-2424505088-1152974646-448469974-1132"/>
  </w15:person>
  <w15:person w15:author="Carmel Guarnieri">
    <w15:presenceInfo w15:providerId="None" w15:userId="Carmel Guarnieri"/>
  </w15:person>
  <w15:person w15:author="Janet Hiller">
    <w15:presenceInfo w15:providerId="AD" w15:userId="S-1-5-21-2432318650-2594138793-421060013-1527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AB2"/>
    <w:rsid w:val="000009CD"/>
    <w:rsid w:val="00002B82"/>
    <w:rsid w:val="000038DF"/>
    <w:rsid w:val="00003968"/>
    <w:rsid w:val="00003E90"/>
    <w:rsid w:val="00005F6E"/>
    <w:rsid w:val="0001025C"/>
    <w:rsid w:val="00010ABE"/>
    <w:rsid w:val="000124CB"/>
    <w:rsid w:val="00012B0B"/>
    <w:rsid w:val="00013D59"/>
    <w:rsid w:val="00014B06"/>
    <w:rsid w:val="00015472"/>
    <w:rsid w:val="00015AEC"/>
    <w:rsid w:val="00020036"/>
    <w:rsid w:val="00023374"/>
    <w:rsid w:val="0002470B"/>
    <w:rsid w:val="000319FE"/>
    <w:rsid w:val="00035FCB"/>
    <w:rsid w:val="000362EA"/>
    <w:rsid w:val="00036B20"/>
    <w:rsid w:val="00036CB0"/>
    <w:rsid w:val="000378F3"/>
    <w:rsid w:val="00044009"/>
    <w:rsid w:val="0004580D"/>
    <w:rsid w:val="0004695D"/>
    <w:rsid w:val="00046B8F"/>
    <w:rsid w:val="0004776D"/>
    <w:rsid w:val="000479D1"/>
    <w:rsid w:val="000511A6"/>
    <w:rsid w:val="000525A3"/>
    <w:rsid w:val="000554B2"/>
    <w:rsid w:val="00057050"/>
    <w:rsid w:val="00062172"/>
    <w:rsid w:val="00064ABA"/>
    <w:rsid w:val="00067C52"/>
    <w:rsid w:val="00071710"/>
    <w:rsid w:val="00074EB5"/>
    <w:rsid w:val="0008005C"/>
    <w:rsid w:val="00081787"/>
    <w:rsid w:val="000831A9"/>
    <w:rsid w:val="00083829"/>
    <w:rsid w:val="00090CA1"/>
    <w:rsid w:val="00091856"/>
    <w:rsid w:val="0009216A"/>
    <w:rsid w:val="00093985"/>
    <w:rsid w:val="000945D9"/>
    <w:rsid w:val="00097E99"/>
    <w:rsid w:val="000A2357"/>
    <w:rsid w:val="000A4299"/>
    <w:rsid w:val="000A54A4"/>
    <w:rsid w:val="000A567E"/>
    <w:rsid w:val="000A5713"/>
    <w:rsid w:val="000A5F8E"/>
    <w:rsid w:val="000A6A43"/>
    <w:rsid w:val="000B165B"/>
    <w:rsid w:val="000B25CB"/>
    <w:rsid w:val="000B2A29"/>
    <w:rsid w:val="000C1868"/>
    <w:rsid w:val="000C3498"/>
    <w:rsid w:val="000C5EB3"/>
    <w:rsid w:val="000C67AF"/>
    <w:rsid w:val="000D0D5A"/>
    <w:rsid w:val="000D474B"/>
    <w:rsid w:val="000D5060"/>
    <w:rsid w:val="000D5134"/>
    <w:rsid w:val="000D5304"/>
    <w:rsid w:val="000D707A"/>
    <w:rsid w:val="000D7D0B"/>
    <w:rsid w:val="000E1086"/>
    <w:rsid w:val="000E18A8"/>
    <w:rsid w:val="000E1C63"/>
    <w:rsid w:val="000E2E0F"/>
    <w:rsid w:val="000E55C8"/>
    <w:rsid w:val="000E5B7F"/>
    <w:rsid w:val="000E78DC"/>
    <w:rsid w:val="000E7ED8"/>
    <w:rsid w:val="000F0CBF"/>
    <w:rsid w:val="000F1E46"/>
    <w:rsid w:val="000F5096"/>
    <w:rsid w:val="001008C7"/>
    <w:rsid w:val="00100962"/>
    <w:rsid w:val="00101EF2"/>
    <w:rsid w:val="00102940"/>
    <w:rsid w:val="001040E4"/>
    <w:rsid w:val="0010453E"/>
    <w:rsid w:val="00104884"/>
    <w:rsid w:val="00104D6B"/>
    <w:rsid w:val="001059F4"/>
    <w:rsid w:val="00105C14"/>
    <w:rsid w:val="00107BF3"/>
    <w:rsid w:val="001100B6"/>
    <w:rsid w:val="001103BC"/>
    <w:rsid w:val="00111732"/>
    <w:rsid w:val="00111BFD"/>
    <w:rsid w:val="00115201"/>
    <w:rsid w:val="00115837"/>
    <w:rsid w:val="00116EDF"/>
    <w:rsid w:val="00121490"/>
    <w:rsid w:val="001236ED"/>
    <w:rsid w:val="001238DC"/>
    <w:rsid w:val="00123E36"/>
    <w:rsid w:val="00124B3A"/>
    <w:rsid w:val="00125D2E"/>
    <w:rsid w:val="00125D5A"/>
    <w:rsid w:val="00126EC3"/>
    <w:rsid w:val="00130A0D"/>
    <w:rsid w:val="00130A93"/>
    <w:rsid w:val="00132332"/>
    <w:rsid w:val="0013342C"/>
    <w:rsid w:val="00135266"/>
    <w:rsid w:val="00135562"/>
    <w:rsid w:val="00141DF4"/>
    <w:rsid w:val="001429DE"/>
    <w:rsid w:val="001438B6"/>
    <w:rsid w:val="00144521"/>
    <w:rsid w:val="001450CF"/>
    <w:rsid w:val="001507E5"/>
    <w:rsid w:val="00150D0D"/>
    <w:rsid w:val="0015278B"/>
    <w:rsid w:val="00152EAA"/>
    <w:rsid w:val="00156180"/>
    <w:rsid w:val="00157249"/>
    <w:rsid w:val="00160A75"/>
    <w:rsid w:val="00165BE2"/>
    <w:rsid w:val="00165F86"/>
    <w:rsid w:val="00166879"/>
    <w:rsid w:val="00167F61"/>
    <w:rsid w:val="001709EB"/>
    <w:rsid w:val="00170CA9"/>
    <w:rsid w:val="00171E86"/>
    <w:rsid w:val="0017723E"/>
    <w:rsid w:val="00180244"/>
    <w:rsid w:val="00180A18"/>
    <w:rsid w:val="00184601"/>
    <w:rsid w:val="001849CF"/>
    <w:rsid w:val="00185AC4"/>
    <w:rsid w:val="00187738"/>
    <w:rsid w:val="00190DDC"/>
    <w:rsid w:val="001918F5"/>
    <w:rsid w:val="0019229F"/>
    <w:rsid w:val="00192E8F"/>
    <w:rsid w:val="0019342F"/>
    <w:rsid w:val="00193926"/>
    <w:rsid w:val="00194551"/>
    <w:rsid w:val="001954AE"/>
    <w:rsid w:val="00196966"/>
    <w:rsid w:val="00197488"/>
    <w:rsid w:val="001A337F"/>
    <w:rsid w:val="001A7A92"/>
    <w:rsid w:val="001B0A21"/>
    <w:rsid w:val="001B473A"/>
    <w:rsid w:val="001C2EAA"/>
    <w:rsid w:val="001C6178"/>
    <w:rsid w:val="001C624A"/>
    <w:rsid w:val="001C64AD"/>
    <w:rsid w:val="001D157B"/>
    <w:rsid w:val="001D325A"/>
    <w:rsid w:val="001D3B88"/>
    <w:rsid w:val="001D4873"/>
    <w:rsid w:val="001D5A4B"/>
    <w:rsid w:val="001E2BF9"/>
    <w:rsid w:val="001E2DAD"/>
    <w:rsid w:val="001E3936"/>
    <w:rsid w:val="001E3B74"/>
    <w:rsid w:val="001E3FEC"/>
    <w:rsid w:val="001E559E"/>
    <w:rsid w:val="001E6C0A"/>
    <w:rsid w:val="001E7BFD"/>
    <w:rsid w:val="001F5AEC"/>
    <w:rsid w:val="001F5D01"/>
    <w:rsid w:val="001F70CB"/>
    <w:rsid w:val="002008C7"/>
    <w:rsid w:val="002015B2"/>
    <w:rsid w:val="00201A6F"/>
    <w:rsid w:val="00202E8E"/>
    <w:rsid w:val="002061C4"/>
    <w:rsid w:val="00206C7C"/>
    <w:rsid w:val="00212260"/>
    <w:rsid w:val="002127F1"/>
    <w:rsid w:val="00215B74"/>
    <w:rsid w:val="00215F54"/>
    <w:rsid w:val="00216A63"/>
    <w:rsid w:val="00221276"/>
    <w:rsid w:val="00223661"/>
    <w:rsid w:val="00223798"/>
    <w:rsid w:val="002246EB"/>
    <w:rsid w:val="00225410"/>
    <w:rsid w:val="00225DC6"/>
    <w:rsid w:val="002301EF"/>
    <w:rsid w:val="00230D42"/>
    <w:rsid w:val="00231800"/>
    <w:rsid w:val="00232ECE"/>
    <w:rsid w:val="00235DA8"/>
    <w:rsid w:val="002366BA"/>
    <w:rsid w:val="002371EC"/>
    <w:rsid w:val="00240B14"/>
    <w:rsid w:val="00241F4B"/>
    <w:rsid w:val="002436B0"/>
    <w:rsid w:val="002447EE"/>
    <w:rsid w:val="00247930"/>
    <w:rsid w:val="00251F0A"/>
    <w:rsid w:val="00253D2E"/>
    <w:rsid w:val="00260A5B"/>
    <w:rsid w:val="0026215A"/>
    <w:rsid w:val="00262D1E"/>
    <w:rsid w:val="00263B6C"/>
    <w:rsid w:val="00267C05"/>
    <w:rsid w:val="0027066C"/>
    <w:rsid w:val="00270BC9"/>
    <w:rsid w:val="00272B8C"/>
    <w:rsid w:val="00273BD6"/>
    <w:rsid w:val="00274232"/>
    <w:rsid w:val="002751BC"/>
    <w:rsid w:val="002753F6"/>
    <w:rsid w:val="00280F63"/>
    <w:rsid w:val="00282C1D"/>
    <w:rsid w:val="00283B94"/>
    <w:rsid w:val="00284599"/>
    <w:rsid w:val="002849BC"/>
    <w:rsid w:val="00284AF2"/>
    <w:rsid w:val="00285B52"/>
    <w:rsid w:val="002863F0"/>
    <w:rsid w:val="00294062"/>
    <w:rsid w:val="0029480C"/>
    <w:rsid w:val="0029500E"/>
    <w:rsid w:val="002A19DF"/>
    <w:rsid w:val="002A3A61"/>
    <w:rsid w:val="002A5D07"/>
    <w:rsid w:val="002B0636"/>
    <w:rsid w:val="002B4ABB"/>
    <w:rsid w:val="002C0952"/>
    <w:rsid w:val="002C120F"/>
    <w:rsid w:val="002C2D36"/>
    <w:rsid w:val="002C2EAF"/>
    <w:rsid w:val="002C3A17"/>
    <w:rsid w:val="002C4CF9"/>
    <w:rsid w:val="002C6A02"/>
    <w:rsid w:val="002C7DD3"/>
    <w:rsid w:val="002D56DB"/>
    <w:rsid w:val="002E0495"/>
    <w:rsid w:val="002E2578"/>
    <w:rsid w:val="002E26D0"/>
    <w:rsid w:val="002E3599"/>
    <w:rsid w:val="002E47D1"/>
    <w:rsid w:val="002E7CBA"/>
    <w:rsid w:val="002F1D8B"/>
    <w:rsid w:val="002F49D4"/>
    <w:rsid w:val="002F7A19"/>
    <w:rsid w:val="002F7A70"/>
    <w:rsid w:val="003024C9"/>
    <w:rsid w:val="00302A2B"/>
    <w:rsid w:val="00303574"/>
    <w:rsid w:val="0030438C"/>
    <w:rsid w:val="00304A79"/>
    <w:rsid w:val="00305530"/>
    <w:rsid w:val="003068B0"/>
    <w:rsid w:val="00306D35"/>
    <w:rsid w:val="00310015"/>
    <w:rsid w:val="003102C8"/>
    <w:rsid w:val="003105B6"/>
    <w:rsid w:val="00310951"/>
    <w:rsid w:val="00310BC5"/>
    <w:rsid w:val="00310EBD"/>
    <w:rsid w:val="003123C4"/>
    <w:rsid w:val="00315B05"/>
    <w:rsid w:val="00316316"/>
    <w:rsid w:val="00316953"/>
    <w:rsid w:val="003205B4"/>
    <w:rsid w:val="00322070"/>
    <w:rsid w:val="00332322"/>
    <w:rsid w:val="0033309F"/>
    <w:rsid w:val="00333368"/>
    <w:rsid w:val="0033347E"/>
    <w:rsid w:val="00335AD7"/>
    <w:rsid w:val="00336032"/>
    <w:rsid w:val="003431B4"/>
    <w:rsid w:val="00344029"/>
    <w:rsid w:val="003448DD"/>
    <w:rsid w:val="00345670"/>
    <w:rsid w:val="0034591D"/>
    <w:rsid w:val="003465BB"/>
    <w:rsid w:val="00346B19"/>
    <w:rsid w:val="003506BD"/>
    <w:rsid w:val="00350C8D"/>
    <w:rsid w:val="0035286F"/>
    <w:rsid w:val="003532A9"/>
    <w:rsid w:val="0035619F"/>
    <w:rsid w:val="00357EE1"/>
    <w:rsid w:val="00364F47"/>
    <w:rsid w:val="003655E8"/>
    <w:rsid w:val="00367AD7"/>
    <w:rsid w:val="00371666"/>
    <w:rsid w:val="003744DD"/>
    <w:rsid w:val="00375C93"/>
    <w:rsid w:val="0038116E"/>
    <w:rsid w:val="00381C4E"/>
    <w:rsid w:val="00383449"/>
    <w:rsid w:val="00384A6F"/>
    <w:rsid w:val="003864DD"/>
    <w:rsid w:val="00387FDF"/>
    <w:rsid w:val="00390357"/>
    <w:rsid w:val="00395CD1"/>
    <w:rsid w:val="00396B0E"/>
    <w:rsid w:val="003A008F"/>
    <w:rsid w:val="003A1381"/>
    <w:rsid w:val="003A57E3"/>
    <w:rsid w:val="003B20DB"/>
    <w:rsid w:val="003B5339"/>
    <w:rsid w:val="003C0429"/>
    <w:rsid w:val="003C087F"/>
    <w:rsid w:val="003C537D"/>
    <w:rsid w:val="003C62C6"/>
    <w:rsid w:val="003D062F"/>
    <w:rsid w:val="003D08CA"/>
    <w:rsid w:val="003D1E91"/>
    <w:rsid w:val="003D4848"/>
    <w:rsid w:val="003D5946"/>
    <w:rsid w:val="003D65F1"/>
    <w:rsid w:val="003E0EFF"/>
    <w:rsid w:val="003E1F3E"/>
    <w:rsid w:val="003E2141"/>
    <w:rsid w:val="003E2A70"/>
    <w:rsid w:val="003E2CBD"/>
    <w:rsid w:val="003E505E"/>
    <w:rsid w:val="003E5CA7"/>
    <w:rsid w:val="003F002C"/>
    <w:rsid w:val="003F1D65"/>
    <w:rsid w:val="003F205F"/>
    <w:rsid w:val="003F2860"/>
    <w:rsid w:val="003F38CD"/>
    <w:rsid w:val="003F53A2"/>
    <w:rsid w:val="00400489"/>
    <w:rsid w:val="00401729"/>
    <w:rsid w:val="00403C39"/>
    <w:rsid w:val="00406247"/>
    <w:rsid w:val="004111E2"/>
    <w:rsid w:val="00411599"/>
    <w:rsid w:val="00416724"/>
    <w:rsid w:val="00422C2C"/>
    <w:rsid w:val="004234B6"/>
    <w:rsid w:val="00423521"/>
    <w:rsid w:val="00424D97"/>
    <w:rsid w:val="00427063"/>
    <w:rsid w:val="00430A2C"/>
    <w:rsid w:val="00434CEE"/>
    <w:rsid w:val="004356B7"/>
    <w:rsid w:val="00440074"/>
    <w:rsid w:val="004402EF"/>
    <w:rsid w:val="004420A8"/>
    <w:rsid w:val="004444B6"/>
    <w:rsid w:val="00444878"/>
    <w:rsid w:val="00444F4C"/>
    <w:rsid w:val="0044562E"/>
    <w:rsid w:val="00447662"/>
    <w:rsid w:val="004507E2"/>
    <w:rsid w:val="00450F57"/>
    <w:rsid w:val="00452780"/>
    <w:rsid w:val="00457735"/>
    <w:rsid w:val="004628EB"/>
    <w:rsid w:val="00467B7C"/>
    <w:rsid w:val="004704C5"/>
    <w:rsid w:val="004709CD"/>
    <w:rsid w:val="00470DE4"/>
    <w:rsid w:val="00471DDB"/>
    <w:rsid w:val="004728BE"/>
    <w:rsid w:val="00473D54"/>
    <w:rsid w:val="004750DD"/>
    <w:rsid w:val="004770A7"/>
    <w:rsid w:val="004777DE"/>
    <w:rsid w:val="00477F22"/>
    <w:rsid w:val="004804C3"/>
    <w:rsid w:val="00482CAF"/>
    <w:rsid w:val="004852AA"/>
    <w:rsid w:val="00486B85"/>
    <w:rsid w:val="004902D5"/>
    <w:rsid w:val="00490967"/>
    <w:rsid w:val="0049249E"/>
    <w:rsid w:val="00493186"/>
    <w:rsid w:val="004967D2"/>
    <w:rsid w:val="0049771E"/>
    <w:rsid w:val="004A251F"/>
    <w:rsid w:val="004A5618"/>
    <w:rsid w:val="004A5E3D"/>
    <w:rsid w:val="004A75BB"/>
    <w:rsid w:val="004B00CB"/>
    <w:rsid w:val="004B0831"/>
    <w:rsid w:val="004C19C5"/>
    <w:rsid w:val="004C4410"/>
    <w:rsid w:val="004C559E"/>
    <w:rsid w:val="004C5EFF"/>
    <w:rsid w:val="004C5FA2"/>
    <w:rsid w:val="004C71A2"/>
    <w:rsid w:val="004C71B1"/>
    <w:rsid w:val="004C76C8"/>
    <w:rsid w:val="004D1328"/>
    <w:rsid w:val="004D36F0"/>
    <w:rsid w:val="004D3F35"/>
    <w:rsid w:val="004D5A10"/>
    <w:rsid w:val="004D722F"/>
    <w:rsid w:val="004E0E13"/>
    <w:rsid w:val="004E457C"/>
    <w:rsid w:val="004E4A23"/>
    <w:rsid w:val="004E6520"/>
    <w:rsid w:val="004F1B77"/>
    <w:rsid w:val="004F2C7E"/>
    <w:rsid w:val="004F3A7F"/>
    <w:rsid w:val="004F4E72"/>
    <w:rsid w:val="004F61F3"/>
    <w:rsid w:val="004F6277"/>
    <w:rsid w:val="004F7340"/>
    <w:rsid w:val="00501429"/>
    <w:rsid w:val="00502C00"/>
    <w:rsid w:val="005035DD"/>
    <w:rsid w:val="00506C14"/>
    <w:rsid w:val="00507C4E"/>
    <w:rsid w:val="005105C5"/>
    <w:rsid w:val="0051072E"/>
    <w:rsid w:val="00510816"/>
    <w:rsid w:val="00510C1F"/>
    <w:rsid w:val="005121CF"/>
    <w:rsid w:val="005126B3"/>
    <w:rsid w:val="00513518"/>
    <w:rsid w:val="00513E6E"/>
    <w:rsid w:val="00515DB6"/>
    <w:rsid w:val="0051654D"/>
    <w:rsid w:val="00517997"/>
    <w:rsid w:val="005224D5"/>
    <w:rsid w:val="005231EE"/>
    <w:rsid w:val="005236AF"/>
    <w:rsid w:val="005255DA"/>
    <w:rsid w:val="005264A3"/>
    <w:rsid w:val="00532D8C"/>
    <w:rsid w:val="00534248"/>
    <w:rsid w:val="00534469"/>
    <w:rsid w:val="00534498"/>
    <w:rsid w:val="00534590"/>
    <w:rsid w:val="0053591A"/>
    <w:rsid w:val="00543268"/>
    <w:rsid w:val="00543548"/>
    <w:rsid w:val="0054736A"/>
    <w:rsid w:val="0055455C"/>
    <w:rsid w:val="00555241"/>
    <w:rsid w:val="00561455"/>
    <w:rsid w:val="00561649"/>
    <w:rsid w:val="00563E57"/>
    <w:rsid w:val="0056402A"/>
    <w:rsid w:val="00565C4E"/>
    <w:rsid w:val="005661EC"/>
    <w:rsid w:val="00573107"/>
    <w:rsid w:val="005734BA"/>
    <w:rsid w:val="005740EE"/>
    <w:rsid w:val="0057504D"/>
    <w:rsid w:val="005750F4"/>
    <w:rsid w:val="005762D2"/>
    <w:rsid w:val="00577743"/>
    <w:rsid w:val="00581A8E"/>
    <w:rsid w:val="00582360"/>
    <w:rsid w:val="00583983"/>
    <w:rsid w:val="005850C5"/>
    <w:rsid w:val="005876D3"/>
    <w:rsid w:val="005930EC"/>
    <w:rsid w:val="005931F3"/>
    <w:rsid w:val="005965F4"/>
    <w:rsid w:val="00597108"/>
    <w:rsid w:val="005A09F1"/>
    <w:rsid w:val="005A12F6"/>
    <w:rsid w:val="005A17BF"/>
    <w:rsid w:val="005A23D8"/>
    <w:rsid w:val="005A371C"/>
    <w:rsid w:val="005A3758"/>
    <w:rsid w:val="005A4648"/>
    <w:rsid w:val="005B1F17"/>
    <w:rsid w:val="005B33C8"/>
    <w:rsid w:val="005B3A3F"/>
    <w:rsid w:val="005C2490"/>
    <w:rsid w:val="005C27F1"/>
    <w:rsid w:val="005C2D3B"/>
    <w:rsid w:val="005C4C16"/>
    <w:rsid w:val="005C5DDC"/>
    <w:rsid w:val="005C659E"/>
    <w:rsid w:val="005C6603"/>
    <w:rsid w:val="005C67C3"/>
    <w:rsid w:val="005D216C"/>
    <w:rsid w:val="005D774D"/>
    <w:rsid w:val="005E5FA7"/>
    <w:rsid w:val="005E6E9E"/>
    <w:rsid w:val="005F0093"/>
    <w:rsid w:val="005F0744"/>
    <w:rsid w:val="005F16AA"/>
    <w:rsid w:val="005F2013"/>
    <w:rsid w:val="005F49BC"/>
    <w:rsid w:val="005F5BA8"/>
    <w:rsid w:val="005F6DE4"/>
    <w:rsid w:val="005F76F1"/>
    <w:rsid w:val="005F7AEF"/>
    <w:rsid w:val="00600BEC"/>
    <w:rsid w:val="00602B41"/>
    <w:rsid w:val="00606831"/>
    <w:rsid w:val="00607914"/>
    <w:rsid w:val="00607D91"/>
    <w:rsid w:val="0061321C"/>
    <w:rsid w:val="00617D15"/>
    <w:rsid w:val="006261BD"/>
    <w:rsid w:val="00626DF7"/>
    <w:rsid w:val="00626FAF"/>
    <w:rsid w:val="006278F1"/>
    <w:rsid w:val="00627C5F"/>
    <w:rsid w:val="00627F4F"/>
    <w:rsid w:val="0063036F"/>
    <w:rsid w:val="00631F83"/>
    <w:rsid w:val="00632481"/>
    <w:rsid w:val="00632893"/>
    <w:rsid w:val="00633319"/>
    <w:rsid w:val="0063338D"/>
    <w:rsid w:val="0063467B"/>
    <w:rsid w:val="00634B94"/>
    <w:rsid w:val="00635CF8"/>
    <w:rsid w:val="00637293"/>
    <w:rsid w:val="00641B75"/>
    <w:rsid w:val="00643CDE"/>
    <w:rsid w:val="0064665C"/>
    <w:rsid w:val="00646734"/>
    <w:rsid w:val="006515A8"/>
    <w:rsid w:val="00651C3A"/>
    <w:rsid w:val="00652A65"/>
    <w:rsid w:val="00652C52"/>
    <w:rsid w:val="00652F6D"/>
    <w:rsid w:val="00653671"/>
    <w:rsid w:val="00654AA8"/>
    <w:rsid w:val="0066009E"/>
    <w:rsid w:val="006613AC"/>
    <w:rsid w:val="0066293C"/>
    <w:rsid w:val="00662F41"/>
    <w:rsid w:val="0066407B"/>
    <w:rsid w:val="0066539B"/>
    <w:rsid w:val="00666A13"/>
    <w:rsid w:val="00670A0C"/>
    <w:rsid w:val="0067352C"/>
    <w:rsid w:val="0067467C"/>
    <w:rsid w:val="00674949"/>
    <w:rsid w:val="0067619B"/>
    <w:rsid w:val="00680E95"/>
    <w:rsid w:val="00682C20"/>
    <w:rsid w:val="00683D70"/>
    <w:rsid w:val="00685E30"/>
    <w:rsid w:val="006950FF"/>
    <w:rsid w:val="006A056F"/>
    <w:rsid w:val="006A407A"/>
    <w:rsid w:val="006B1047"/>
    <w:rsid w:val="006B2E17"/>
    <w:rsid w:val="006B3D1D"/>
    <w:rsid w:val="006B4F34"/>
    <w:rsid w:val="006C09AE"/>
    <w:rsid w:val="006C193E"/>
    <w:rsid w:val="006C2515"/>
    <w:rsid w:val="006C2BA7"/>
    <w:rsid w:val="006C4514"/>
    <w:rsid w:val="006C50B1"/>
    <w:rsid w:val="006D0421"/>
    <w:rsid w:val="006D20CD"/>
    <w:rsid w:val="006D4A16"/>
    <w:rsid w:val="006D66ED"/>
    <w:rsid w:val="006D7F98"/>
    <w:rsid w:val="006E036F"/>
    <w:rsid w:val="006E052A"/>
    <w:rsid w:val="006E167D"/>
    <w:rsid w:val="006E359B"/>
    <w:rsid w:val="006E48AF"/>
    <w:rsid w:val="006E4B02"/>
    <w:rsid w:val="006E72F7"/>
    <w:rsid w:val="006E7C4B"/>
    <w:rsid w:val="006F0777"/>
    <w:rsid w:val="006F1D96"/>
    <w:rsid w:val="006F6397"/>
    <w:rsid w:val="0070127B"/>
    <w:rsid w:val="00702B57"/>
    <w:rsid w:val="0070501C"/>
    <w:rsid w:val="00711298"/>
    <w:rsid w:val="007113E8"/>
    <w:rsid w:val="00711AC8"/>
    <w:rsid w:val="00711F6E"/>
    <w:rsid w:val="00712204"/>
    <w:rsid w:val="00712958"/>
    <w:rsid w:val="00712DAB"/>
    <w:rsid w:val="00714EEC"/>
    <w:rsid w:val="007151FD"/>
    <w:rsid w:val="007175BC"/>
    <w:rsid w:val="0071773E"/>
    <w:rsid w:val="00720B58"/>
    <w:rsid w:val="007242EF"/>
    <w:rsid w:val="00724C34"/>
    <w:rsid w:val="00724D5A"/>
    <w:rsid w:val="0072616C"/>
    <w:rsid w:val="0073013C"/>
    <w:rsid w:val="0073102C"/>
    <w:rsid w:val="00731AF3"/>
    <w:rsid w:val="00731E4E"/>
    <w:rsid w:val="007322CA"/>
    <w:rsid w:val="00732394"/>
    <w:rsid w:val="00732EED"/>
    <w:rsid w:val="00734138"/>
    <w:rsid w:val="00735B9D"/>
    <w:rsid w:val="00736E32"/>
    <w:rsid w:val="007372A7"/>
    <w:rsid w:val="00740198"/>
    <w:rsid w:val="0074434D"/>
    <w:rsid w:val="00744D11"/>
    <w:rsid w:val="00745553"/>
    <w:rsid w:val="00747B00"/>
    <w:rsid w:val="00750F98"/>
    <w:rsid w:val="007572EA"/>
    <w:rsid w:val="00760BA0"/>
    <w:rsid w:val="00764969"/>
    <w:rsid w:val="0076539D"/>
    <w:rsid w:val="00766FEA"/>
    <w:rsid w:val="007673D6"/>
    <w:rsid w:val="00767C51"/>
    <w:rsid w:val="00770310"/>
    <w:rsid w:val="00771D31"/>
    <w:rsid w:val="00773952"/>
    <w:rsid w:val="00775B7E"/>
    <w:rsid w:val="007773F0"/>
    <w:rsid w:val="007774A1"/>
    <w:rsid w:val="007827EF"/>
    <w:rsid w:val="00790E09"/>
    <w:rsid w:val="007916D0"/>
    <w:rsid w:val="0079290E"/>
    <w:rsid w:val="00794D2A"/>
    <w:rsid w:val="007969EE"/>
    <w:rsid w:val="007972BA"/>
    <w:rsid w:val="0079765E"/>
    <w:rsid w:val="0079792F"/>
    <w:rsid w:val="00797BD2"/>
    <w:rsid w:val="007A075F"/>
    <w:rsid w:val="007A0ADC"/>
    <w:rsid w:val="007A0D20"/>
    <w:rsid w:val="007A0FF1"/>
    <w:rsid w:val="007A3506"/>
    <w:rsid w:val="007A5811"/>
    <w:rsid w:val="007A708F"/>
    <w:rsid w:val="007B015F"/>
    <w:rsid w:val="007B282A"/>
    <w:rsid w:val="007B30EB"/>
    <w:rsid w:val="007B3F03"/>
    <w:rsid w:val="007B557F"/>
    <w:rsid w:val="007B55C2"/>
    <w:rsid w:val="007C2A3A"/>
    <w:rsid w:val="007C3B75"/>
    <w:rsid w:val="007C4BF3"/>
    <w:rsid w:val="007C50DC"/>
    <w:rsid w:val="007C542F"/>
    <w:rsid w:val="007C68C0"/>
    <w:rsid w:val="007C6A3C"/>
    <w:rsid w:val="007D0755"/>
    <w:rsid w:val="007D42A2"/>
    <w:rsid w:val="007D47C7"/>
    <w:rsid w:val="007E1CF4"/>
    <w:rsid w:val="007E2B08"/>
    <w:rsid w:val="007E3746"/>
    <w:rsid w:val="007E6A6C"/>
    <w:rsid w:val="007E6EB4"/>
    <w:rsid w:val="007E7F0C"/>
    <w:rsid w:val="007F2D18"/>
    <w:rsid w:val="007F74FD"/>
    <w:rsid w:val="007F7E33"/>
    <w:rsid w:val="00801F03"/>
    <w:rsid w:val="00804189"/>
    <w:rsid w:val="00805A98"/>
    <w:rsid w:val="00806A0C"/>
    <w:rsid w:val="0080774C"/>
    <w:rsid w:val="00810E33"/>
    <w:rsid w:val="00811ACB"/>
    <w:rsid w:val="00811D6C"/>
    <w:rsid w:val="00813780"/>
    <w:rsid w:val="00814C6B"/>
    <w:rsid w:val="0081505C"/>
    <w:rsid w:val="00815817"/>
    <w:rsid w:val="00816EB7"/>
    <w:rsid w:val="00820E97"/>
    <w:rsid w:val="0082110A"/>
    <w:rsid w:val="00823863"/>
    <w:rsid w:val="00823A60"/>
    <w:rsid w:val="00823F9B"/>
    <w:rsid w:val="0082563E"/>
    <w:rsid w:val="00826B03"/>
    <w:rsid w:val="00826B35"/>
    <w:rsid w:val="0083189E"/>
    <w:rsid w:val="00832A11"/>
    <w:rsid w:val="00832B70"/>
    <w:rsid w:val="00832B89"/>
    <w:rsid w:val="00832DC2"/>
    <w:rsid w:val="008336B6"/>
    <w:rsid w:val="00834BF0"/>
    <w:rsid w:val="0083659A"/>
    <w:rsid w:val="00836CB7"/>
    <w:rsid w:val="0083735C"/>
    <w:rsid w:val="008373EC"/>
    <w:rsid w:val="00837845"/>
    <w:rsid w:val="00841147"/>
    <w:rsid w:val="00841190"/>
    <w:rsid w:val="008426D6"/>
    <w:rsid w:val="008428D8"/>
    <w:rsid w:val="008440A4"/>
    <w:rsid w:val="00844607"/>
    <w:rsid w:val="00846F5D"/>
    <w:rsid w:val="008513CD"/>
    <w:rsid w:val="008524ED"/>
    <w:rsid w:val="00856701"/>
    <w:rsid w:val="0086077E"/>
    <w:rsid w:val="0086269E"/>
    <w:rsid w:val="00865E84"/>
    <w:rsid w:val="0086640B"/>
    <w:rsid w:val="008700A4"/>
    <w:rsid w:val="00871C96"/>
    <w:rsid w:val="00871FD1"/>
    <w:rsid w:val="00873F71"/>
    <w:rsid w:val="00881F91"/>
    <w:rsid w:val="00887582"/>
    <w:rsid w:val="00890DBB"/>
    <w:rsid w:val="00891EFF"/>
    <w:rsid w:val="0089660D"/>
    <w:rsid w:val="008A0411"/>
    <w:rsid w:val="008A0EE2"/>
    <w:rsid w:val="008A6085"/>
    <w:rsid w:val="008A7599"/>
    <w:rsid w:val="008B26E4"/>
    <w:rsid w:val="008B3EA0"/>
    <w:rsid w:val="008B5AB2"/>
    <w:rsid w:val="008C21F3"/>
    <w:rsid w:val="008C2317"/>
    <w:rsid w:val="008C2321"/>
    <w:rsid w:val="008C39CC"/>
    <w:rsid w:val="008C4429"/>
    <w:rsid w:val="008C6161"/>
    <w:rsid w:val="008D1BB5"/>
    <w:rsid w:val="008D2A47"/>
    <w:rsid w:val="008D3DB6"/>
    <w:rsid w:val="008D6CB8"/>
    <w:rsid w:val="008E0412"/>
    <w:rsid w:val="008E3C86"/>
    <w:rsid w:val="008E48F2"/>
    <w:rsid w:val="008F1839"/>
    <w:rsid w:val="008F355A"/>
    <w:rsid w:val="008F3632"/>
    <w:rsid w:val="009009DD"/>
    <w:rsid w:val="00900F4E"/>
    <w:rsid w:val="00902269"/>
    <w:rsid w:val="00902C07"/>
    <w:rsid w:val="00904608"/>
    <w:rsid w:val="00907B5C"/>
    <w:rsid w:val="0091080A"/>
    <w:rsid w:val="0091098B"/>
    <w:rsid w:val="00912FD0"/>
    <w:rsid w:val="0091498F"/>
    <w:rsid w:val="00916099"/>
    <w:rsid w:val="00916992"/>
    <w:rsid w:val="00920556"/>
    <w:rsid w:val="00921218"/>
    <w:rsid w:val="00921D60"/>
    <w:rsid w:val="00922231"/>
    <w:rsid w:val="009239C9"/>
    <w:rsid w:val="00923D44"/>
    <w:rsid w:val="0092521F"/>
    <w:rsid w:val="0092707F"/>
    <w:rsid w:val="00930905"/>
    <w:rsid w:val="00930F1A"/>
    <w:rsid w:val="00931124"/>
    <w:rsid w:val="009319FF"/>
    <w:rsid w:val="00934AA8"/>
    <w:rsid w:val="00940A15"/>
    <w:rsid w:val="00941A95"/>
    <w:rsid w:val="00941C1B"/>
    <w:rsid w:val="00941DC8"/>
    <w:rsid w:val="00942313"/>
    <w:rsid w:val="00942B51"/>
    <w:rsid w:val="009434BD"/>
    <w:rsid w:val="009455AB"/>
    <w:rsid w:val="00945BEA"/>
    <w:rsid w:val="00946B50"/>
    <w:rsid w:val="00950259"/>
    <w:rsid w:val="009531E9"/>
    <w:rsid w:val="00953BD6"/>
    <w:rsid w:val="0095535F"/>
    <w:rsid w:val="00955978"/>
    <w:rsid w:val="00955E3E"/>
    <w:rsid w:val="00957630"/>
    <w:rsid w:val="009615CB"/>
    <w:rsid w:val="00963808"/>
    <w:rsid w:val="00963DC1"/>
    <w:rsid w:val="00963E11"/>
    <w:rsid w:val="0096431E"/>
    <w:rsid w:val="00964E7F"/>
    <w:rsid w:val="00965A78"/>
    <w:rsid w:val="009665AA"/>
    <w:rsid w:val="00971C79"/>
    <w:rsid w:val="009766E7"/>
    <w:rsid w:val="0097762F"/>
    <w:rsid w:val="009804F2"/>
    <w:rsid w:val="0098097D"/>
    <w:rsid w:val="00983963"/>
    <w:rsid w:val="00983F1B"/>
    <w:rsid w:val="00984874"/>
    <w:rsid w:val="00985C77"/>
    <w:rsid w:val="00990EFE"/>
    <w:rsid w:val="00990F8A"/>
    <w:rsid w:val="0099195A"/>
    <w:rsid w:val="009926DD"/>
    <w:rsid w:val="00992C2F"/>
    <w:rsid w:val="00992C4E"/>
    <w:rsid w:val="00994829"/>
    <w:rsid w:val="00995372"/>
    <w:rsid w:val="009973A1"/>
    <w:rsid w:val="009A086D"/>
    <w:rsid w:val="009A1068"/>
    <w:rsid w:val="009A1B62"/>
    <w:rsid w:val="009A1D72"/>
    <w:rsid w:val="009A6285"/>
    <w:rsid w:val="009A6A4E"/>
    <w:rsid w:val="009B1C09"/>
    <w:rsid w:val="009B20FD"/>
    <w:rsid w:val="009B2A39"/>
    <w:rsid w:val="009B3965"/>
    <w:rsid w:val="009B73B7"/>
    <w:rsid w:val="009B7728"/>
    <w:rsid w:val="009B7FC3"/>
    <w:rsid w:val="009C04D5"/>
    <w:rsid w:val="009C0761"/>
    <w:rsid w:val="009C104C"/>
    <w:rsid w:val="009C5107"/>
    <w:rsid w:val="009C6292"/>
    <w:rsid w:val="009D02BE"/>
    <w:rsid w:val="009D27AB"/>
    <w:rsid w:val="009D2C6A"/>
    <w:rsid w:val="009D57E8"/>
    <w:rsid w:val="009D5AFE"/>
    <w:rsid w:val="009E1474"/>
    <w:rsid w:val="009E14D1"/>
    <w:rsid w:val="009E2FEF"/>
    <w:rsid w:val="009E442B"/>
    <w:rsid w:val="009E4432"/>
    <w:rsid w:val="009E5306"/>
    <w:rsid w:val="009E678F"/>
    <w:rsid w:val="009E6D4C"/>
    <w:rsid w:val="009F0893"/>
    <w:rsid w:val="009F09B0"/>
    <w:rsid w:val="009F15BB"/>
    <w:rsid w:val="009F4028"/>
    <w:rsid w:val="009F4C52"/>
    <w:rsid w:val="009F5851"/>
    <w:rsid w:val="00A0148C"/>
    <w:rsid w:val="00A017AB"/>
    <w:rsid w:val="00A0185D"/>
    <w:rsid w:val="00A01ADA"/>
    <w:rsid w:val="00A02236"/>
    <w:rsid w:val="00A1025A"/>
    <w:rsid w:val="00A11556"/>
    <w:rsid w:val="00A123D5"/>
    <w:rsid w:val="00A12882"/>
    <w:rsid w:val="00A12E61"/>
    <w:rsid w:val="00A20029"/>
    <w:rsid w:val="00A203F2"/>
    <w:rsid w:val="00A216A0"/>
    <w:rsid w:val="00A24248"/>
    <w:rsid w:val="00A2584D"/>
    <w:rsid w:val="00A278BB"/>
    <w:rsid w:val="00A30EEB"/>
    <w:rsid w:val="00A31A42"/>
    <w:rsid w:val="00A32497"/>
    <w:rsid w:val="00A36D78"/>
    <w:rsid w:val="00A422A4"/>
    <w:rsid w:val="00A4245E"/>
    <w:rsid w:val="00A42487"/>
    <w:rsid w:val="00A425ED"/>
    <w:rsid w:val="00A42869"/>
    <w:rsid w:val="00A42CAD"/>
    <w:rsid w:val="00A45373"/>
    <w:rsid w:val="00A466AE"/>
    <w:rsid w:val="00A47A3B"/>
    <w:rsid w:val="00A50B4E"/>
    <w:rsid w:val="00A50C1A"/>
    <w:rsid w:val="00A50CD5"/>
    <w:rsid w:val="00A5104E"/>
    <w:rsid w:val="00A51513"/>
    <w:rsid w:val="00A54BC1"/>
    <w:rsid w:val="00A54D86"/>
    <w:rsid w:val="00A56221"/>
    <w:rsid w:val="00A564B8"/>
    <w:rsid w:val="00A571C3"/>
    <w:rsid w:val="00A61F23"/>
    <w:rsid w:val="00A6217B"/>
    <w:rsid w:val="00A62235"/>
    <w:rsid w:val="00A64ED9"/>
    <w:rsid w:val="00A65AF7"/>
    <w:rsid w:val="00A66A19"/>
    <w:rsid w:val="00A67404"/>
    <w:rsid w:val="00A71DCE"/>
    <w:rsid w:val="00A73862"/>
    <w:rsid w:val="00A7604D"/>
    <w:rsid w:val="00A80386"/>
    <w:rsid w:val="00A80B49"/>
    <w:rsid w:val="00A8383C"/>
    <w:rsid w:val="00A87CEE"/>
    <w:rsid w:val="00A926EF"/>
    <w:rsid w:val="00A95248"/>
    <w:rsid w:val="00A961FB"/>
    <w:rsid w:val="00A9639F"/>
    <w:rsid w:val="00AA19E7"/>
    <w:rsid w:val="00AA4090"/>
    <w:rsid w:val="00AA4649"/>
    <w:rsid w:val="00AB0C36"/>
    <w:rsid w:val="00AB1514"/>
    <w:rsid w:val="00AB5B57"/>
    <w:rsid w:val="00AB6509"/>
    <w:rsid w:val="00AC2860"/>
    <w:rsid w:val="00AC31C1"/>
    <w:rsid w:val="00AC52E0"/>
    <w:rsid w:val="00AC5EFA"/>
    <w:rsid w:val="00AC7653"/>
    <w:rsid w:val="00AD32DF"/>
    <w:rsid w:val="00AD3BB2"/>
    <w:rsid w:val="00AD447D"/>
    <w:rsid w:val="00AD47BE"/>
    <w:rsid w:val="00AD7636"/>
    <w:rsid w:val="00AE0978"/>
    <w:rsid w:val="00AE0A21"/>
    <w:rsid w:val="00AE102A"/>
    <w:rsid w:val="00AE1055"/>
    <w:rsid w:val="00AE11AE"/>
    <w:rsid w:val="00AE1C80"/>
    <w:rsid w:val="00AE41C7"/>
    <w:rsid w:val="00AE43D7"/>
    <w:rsid w:val="00AE4F2F"/>
    <w:rsid w:val="00AE5709"/>
    <w:rsid w:val="00AE59CF"/>
    <w:rsid w:val="00AE5B5A"/>
    <w:rsid w:val="00AF1A6F"/>
    <w:rsid w:val="00AF4544"/>
    <w:rsid w:val="00AF4D7D"/>
    <w:rsid w:val="00AF5B16"/>
    <w:rsid w:val="00B000EB"/>
    <w:rsid w:val="00B00456"/>
    <w:rsid w:val="00B0188A"/>
    <w:rsid w:val="00B02012"/>
    <w:rsid w:val="00B02903"/>
    <w:rsid w:val="00B02CA1"/>
    <w:rsid w:val="00B04433"/>
    <w:rsid w:val="00B04E0B"/>
    <w:rsid w:val="00B12158"/>
    <w:rsid w:val="00B12EBD"/>
    <w:rsid w:val="00B1593A"/>
    <w:rsid w:val="00B203D9"/>
    <w:rsid w:val="00B206CC"/>
    <w:rsid w:val="00B21CAD"/>
    <w:rsid w:val="00B21E27"/>
    <w:rsid w:val="00B222E3"/>
    <w:rsid w:val="00B225C8"/>
    <w:rsid w:val="00B23E30"/>
    <w:rsid w:val="00B23F76"/>
    <w:rsid w:val="00B24F95"/>
    <w:rsid w:val="00B25655"/>
    <w:rsid w:val="00B25D87"/>
    <w:rsid w:val="00B26588"/>
    <w:rsid w:val="00B26BB3"/>
    <w:rsid w:val="00B30777"/>
    <w:rsid w:val="00B31B75"/>
    <w:rsid w:val="00B336B1"/>
    <w:rsid w:val="00B33B4B"/>
    <w:rsid w:val="00B36E4D"/>
    <w:rsid w:val="00B3720F"/>
    <w:rsid w:val="00B41DF2"/>
    <w:rsid w:val="00B43B74"/>
    <w:rsid w:val="00B46186"/>
    <w:rsid w:val="00B46431"/>
    <w:rsid w:val="00B46F43"/>
    <w:rsid w:val="00B47E7C"/>
    <w:rsid w:val="00B5186C"/>
    <w:rsid w:val="00B53DCD"/>
    <w:rsid w:val="00B62AA4"/>
    <w:rsid w:val="00B6334E"/>
    <w:rsid w:val="00B6368B"/>
    <w:rsid w:val="00B652C9"/>
    <w:rsid w:val="00B6610B"/>
    <w:rsid w:val="00B666A8"/>
    <w:rsid w:val="00B66E75"/>
    <w:rsid w:val="00B67B02"/>
    <w:rsid w:val="00B731EA"/>
    <w:rsid w:val="00B764FA"/>
    <w:rsid w:val="00B80FEE"/>
    <w:rsid w:val="00B8251C"/>
    <w:rsid w:val="00B82AA5"/>
    <w:rsid w:val="00B833C9"/>
    <w:rsid w:val="00B866B4"/>
    <w:rsid w:val="00B878E7"/>
    <w:rsid w:val="00B91483"/>
    <w:rsid w:val="00B91BAA"/>
    <w:rsid w:val="00B923E6"/>
    <w:rsid w:val="00B92A73"/>
    <w:rsid w:val="00B96838"/>
    <w:rsid w:val="00B96CDC"/>
    <w:rsid w:val="00B96EC5"/>
    <w:rsid w:val="00B976F2"/>
    <w:rsid w:val="00B97834"/>
    <w:rsid w:val="00BA127C"/>
    <w:rsid w:val="00BA2D1F"/>
    <w:rsid w:val="00BA3CAA"/>
    <w:rsid w:val="00BA4584"/>
    <w:rsid w:val="00BA47E3"/>
    <w:rsid w:val="00BA4E5F"/>
    <w:rsid w:val="00BA74F3"/>
    <w:rsid w:val="00BB3F07"/>
    <w:rsid w:val="00BB669A"/>
    <w:rsid w:val="00BB76E1"/>
    <w:rsid w:val="00BB79F2"/>
    <w:rsid w:val="00BC402D"/>
    <w:rsid w:val="00BC4189"/>
    <w:rsid w:val="00BC4EFE"/>
    <w:rsid w:val="00BC7BD6"/>
    <w:rsid w:val="00BD3DA5"/>
    <w:rsid w:val="00BD6250"/>
    <w:rsid w:val="00BE0981"/>
    <w:rsid w:val="00BE1565"/>
    <w:rsid w:val="00BE23F6"/>
    <w:rsid w:val="00BE2F18"/>
    <w:rsid w:val="00BF057B"/>
    <w:rsid w:val="00BF072F"/>
    <w:rsid w:val="00BF0E78"/>
    <w:rsid w:val="00BF2568"/>
    <w:rsid w:val="00BF27FF"/>
    <w:rsid w:val="00BF2A7C"/>
    <w:rsid w:val="00BF6813"/>
    <w:rsid w:val="00BF7B43"/>
    <w:rsid w:val="00C01C35"/>
    <w:rsid w:val="00C04293"/>
    <w:rsid w:val="00C05BCA"/>
    <w:rsid w:val="00C061EB"/>
    <w:rsid w:val="00C10834"/>
    <w:rsid w:val="00C10881"/>
    <w:rsid w:val="00C13E36"/>
    <w:rsid w:val="00C15043"/>
    <w:rsid w:val="00C15468"/>
    <w:rsid w:val="00C1577C"/>
    <w:rsid w:val="00C16F9D"/>
    <w:rsid w:val="00C1716C"/>
    <w:rsid w:val="00C26BF2"/>
    <w:rsid w:val="00C35134"/>
    <w:rsid w:val="00C3576D"/>
    <w:rsid w:val="00C35BD7"/>
    <w:rsid w:val="00C35D03"/>
    <w:rsid w:val="00C35E4C"/>
    <w:rsid w:val="00C362F7"/>
    <w:rsid w:val="00C370F2"/>
    <w:rsid w:val="00C415F2"/>
    <w:rsid w:val="00C420DA"/>
    <w:rsid w:val="00C45539"/>
    <w:rsid w:val="00C46ED4"/>
    <w:rsid w:val="00C47245"/>
    <w:rsid w:val="00C47B5B"/>
    <w:rsid w:val="00C521B5"/>
    <w:rsid w:val="00C53D1F"/>
    <w:rsid w:val="00C54976"/>
    <w:rsid w:val="00C54A83"/>
    <w:rsid w:val="00C56F71"/>
    <w:rsid w:val="00C60092"/>
    <w:rsid w:val="00C60879"/>
    <w:rsid w:val="00C61ADB"/>
    <w:rsid w:val="00C62AC2"/>
    <w:rsid w:val="00C62DB7"/>
    <w:rsid w:val="00C64BC7"/>
    <w:rsid w:val="00C70584"/>
    <w:rsid w:val="00C70AC3"/>
    <w:rsid w:val="00C7160B"/>
    <w:rsid w:val="00C725AD"/>
    <w:rsid w:val="00C72D18"/>
    <w:rsid w:val="00C73A1E"/>
    <w:rsid w:val="00C7665B"/>
    <w:rsid w:val="00C8151A"/>
    <w:rsid w:val="00C81DCE"/>
    <w:rsid w:val="00C863B0"/>
    <w:rsid w:val="00C86EC3"/>
    <w:rsid w:val="00C874E0"/>
    <w:rsid w:val="00C9360C"/>
    <w:rsid w:val="00C93A04"/>
    <w:rsid w:val="00C9409F"/>
    <w:rsid w:val="00C9410E"/>
    <w:rsid w:val="00C96E68"/>
    <w:rsid w:val="00CA1B89"/>
    <w:rsid w:val="00CA3A93"/>
    <w:rsid w:val="00CA5685"/>
    <w:rsid w:val="00CA7A63"/>
    <w:rsid w:val="00CB6D49"/>
    <w:rsid w:val="00CC032E"/>
    <w:rsid w:val="00CC0701"/>
    <w:rsid w:val="00CC67D3"/>
    <w:rsid w:val="00CC6C1D"/>
    <w:rsid w:val="00CC7FC4"/>
    <w:rsid w:val="00CD1807"/>
    <w:rsid w:val="00CD319F"/>
    <w:rsid w:val="00CD37B5"/>
    <w:rsid w:val="00CD4EF9"/>
    <w:rsid w:val="00CD647B"/>
    <w:rsid w:val="00CD7748"/>
    <w:rsid w:val="00CD78E4"/>
    <w:rsid w:val="00CE2366"/>
    <w:rsid w:val="00CE23F4"/>
    <w:rsid w:val="00CE2D61"/>
    <w:rsid w:val="00CE34C8"/>
    <w:rsid w:val="00CE40B7"/>
    <w:rsid w:val="00CE607B"/>
    <w:rsid w:val="00CE6565"/>
    <w:rsid w:val="00CE6C29"/>
    <w:rsid w:val="00CE6C34"/>
    <w:rsid w:val="00CE76A8"/>
    <w:rsid w:val="00CF0CB4"/>
    <w:rsid w:val="00CF5829"/>
    <w:rsid w:val="00CF7A52"/>
    <w:rsid w:val="00CF7D75"/>
    <w:rsid w:val="00CF7F2C"/>
    <w:rsid w:val="00D00542"/>
    <w:rsid w:val="00D00CC4"/>
    <w:rsid w:val="00D00EF4"/>
    <w:rsid w:val="00D04147"/>
    <w:rsid w:val="00D051E5"/>
    <w:rsid w:val="00D0547F"/>
    <w:rsid w:val="00D1042D"/>
    <w:rsid w:val="00D1066A"/>
    <w:rsid w:val="00D1070C"/>
    <w:rsid w:val="00D116C7"/>
    <w:rsid w:val="00D122A2"/>
    <w:rsid w:val="00D16281"/>
    <w:rsid w:val="00D16A09"/>
    <w:rsid w:val="00D23F41"/>
    <w:rsid w:val="00D23FCF"/>
    <w:rsid w:val="00D26F23"/>
    <w:rsid w:val="00D278B7"/>
    <w:rsid w:val="00D27BD8"/>
    <w:rsid w:val="00D30208"/>
    <w:rsid w:val="00D30535"/>
    <w:rsid w:val="00D30B94"/>
    <w:rsid w:val="00D33A9E"/>
    <w:rsid w:val="00D340A0"/>
    <w:rsid w:val="00D35F82"/>
    <w:rsid w:val="00D372B8"/>
    <w:rsid w:val="00D3730E"/>
    <w:rsid w:val="00D37436"/>
    <w:rsid w:val="00D37529"/>
    <w:rsid w:val="00D37964"/>
    <w:rsid w:val="00D37C6D"/>
    <w:rsid w:val="00D415F1"/>
    <w:rsid w:val="00D427D4"/>
    <w:rsid w:val="00D4314F"/>
    <w:rsid w:val="00D4357A"/>
    <w:rsid w:val="00D43D33"/>
    <w:rsid w:val="00D4462B"/>
    <w:rsid w:val="00D452FD"/>
    <w:rsid w:val="00D45B83"/>
    <w:rsid w:val="00D46255"/>
    <w:rsid w:val="00D5001D"/>
    <w:rsid w:val="00D50812"/>
    <w:rsid w:val="00D51214"/>
    <w:rsid w:val="00D5202C"/>
    <w:rsid w:val="00D552F8"/>
    <w:rsid w:val="00D5560B"/>
    <w:rsid w:val="00D56E31"/>
    <w:rsid w:val="00D572C8"/>
    <w:rsid w:val="00D60C02"/>
    <w:rsid w:val="00D61CD4"/>
    <w:rsid w:val="00D638FA"/>
    <w:rsid w:val="00D63D5D"/>
    <w:rsid w:val="00D6781F"/>
    <w:rsid w:val="00D729E6"/>
    <w:rsid w:val="00D7331C"/>
    <w:rsid w:val="00D73552"/>
    <w:rsid w:val="00D744F9"/>
    <w:rsid w:val="00D74C68"/>
    <w:rsid w:val="00D760F3"/>
    <w:rsid w:val="00D80C1E"/>
    <w:rsid w:val="00D81E1C"/>
    <w:rsid w:val="00D81EC7"/>
    <w:rsid w:val="00D8299A"/>
    <w:rsid w:val="00D83440"/>
    <w:rsid w:val="00D8347C"/>
    <w:rsid w:val="00D83CFE"/>
    <w:rsid w:val="00D841F4"/>
    <w:rsid w:val="00D84B2A"/>
    <w:rsid w:val="00D8787B"/>
    <w:rsid w:val="00D900CB"/>
    <w:rsid w:val="00D90852"/>
    <w:rsid w:val="00D90AFD"/>
    <w:rsid w:val="00D90D29"/>
    <w:rsid w:val="00D90D8F"/>
    <w:rsid w:val="00D9424D"/>
    <w:rsid w:val="00DA05EF"/>
    <w:rsid w:val="00DA12BB"/>
    <w:rsid w:val="00DA34C5"/>
    <w:rsid w:val="00DA4927"/>
    <w:rsid w:val="00DA6B53"/>
    <w:rsid w:val="00DA7BB9"/>
    <w:rsid w:val="00DB07C3"/>
    <w:rsid w:val="00DB57F5"/>
    <w:rsid w:val="00DB5F5B"/>
    <w:rsid w:val="00DC02B4"/>
    <w:rsid w:val="00DC2EC4"/>
    <w:rsid w:val="00DC3B96"/>
    <w:rsid w:val="00DC4616"/>
    <w:rsid w:val="00DC52AC"/>
    <w:rsid w:val="00DC65DD"/>
    <w:rsid w:val="00DC7B81"/>
    <w:rsid w:val="00DC7BD4"/>
    <w:rsid w:val="00DD0FC1"/>
    <w:rsid w:val="00DD423D"/>
    <w:rsid w:val="00DD5FDD"/>
    <w:rsid w:val="00DD6409"/>
    <w:rsid w:val="00DD6424"/>
    <w:rsid w:val="00DE6F06"/>
    <w:rsid w:val="00DE7338"/>
    <w:rsid w:val="00DF26D4"/>
    <w:rsid w:val="00DF49DC"/>
    <w:rsid w:val="00DF587D"/>
    <w:rsid w:val="00DF5DC7"/>
    <w:rsid w:val="00DF6ED2"/>
    <w:rsid w:val="00DF7B54"/>
    <w:rsid w:val="00E0010C"/>
    <w:rsid w:val="00E005B5"/>
    <w:rsid w:val="00E0092B"/>
    <w:rsid w:val="00E027A4"/>
    <w:rsid w:val="00E1052F"/>
    <w:rsid w:val="00E20138"/>
    <w:rsid w:val="00E2138C"/>
    <w:rsid w:val="00E22C2C"/>
    <w:rsid w:val="00E2616E"/>
    <w:rsid w:val="00E26B51"/>
    <w:rsid w:val="00E31CEC"/>
    <w:rsid w:val="00E32E66"/>
    <w:rsid w:val="00E34F64"/>
    <w:rsid w:val="00E34FE3"/>
    <w:rsid w:val="00E35A1D"/>
    <w:rsid w:val="00E367D9"/>
    <w:rsid w:val="00E37FFB"/>
    <w:rsid w:val="00E40835"/>
    <w:rsid w:val="00E40A9B"/>
    <w:rsid w:val="00E44261"/>
    <w:rsid w:val="00E452CB"/>
    <w:rsid w:val="00E456E6"/>
    <w:rsid w:val="00E52F01"/>
    <w:rsid w:val="00E54C78"/>
    <w:rsid w:val="00E57BD9"/>
    <w:rsid w:val="00E60093"/>
    <w:rsid w:val="00E65DB2"/>
    <w:rsid w:val="00E6780E"/>
    <w:rsid w:val="00E70A60"/>
    <w:rsid w:val="00E70DC6"/>
    <w:rsid w:val="00E7192F"/>
    <w:rsid w:val="00E72A11"/>
    <w:rsid w:val="00E72A6D"/>
    <w:rsid w:val="00E72DA9"/>
    <w:rsid w:val="00E73C3C"/>
    <w:rsid w:val="00E741CD"/>
    <w:rsid w:val="00E74690"/>
    <w:rsid w:val="00E76F9A"/>
    <w:rsid w:val="00E83387"/>
    <w:rsid w:val="00E858F6"/>
    <w:rsid w:val="00E85EA0"/>
    <w:rsid w:val="00E91D17"/>
    <w:rsid w:val="00E9596B"/>
    <w:rsid w:val="00E95D14"/>
    <w:rsid w:val="00E96C55"/>
    <w:rsid w:val="00E97A85"/>
    <w:rsid w:val="00EA34CD"/>
    <w:rsid w:val="00EA42A8"/>
    <w:rsid w:val="00EA4A2B"/>
    <w:rsid w:val="00EA6FA5"/>
    <w:rsid w:val="00EB0179"/>
    <w:rsid w:val="00EB0B24"/>
    <w:rsid w:val="00EB10CC"/>
    <w:rsid w:val="00EB58CC"/>
    <w:rsid w:val="00EB662F"/>
    <w:rsid w:val="00EB7866"/>
    <w:rsid w:val="00EC1393"/>
    <w:rsid w:val="00EC3216"/>
    <w:rsid w:val="00EC4313"/>
    <w:rsid w:val="00EC4C09"/>
    <w:rsid w:val="00EC60C4"/>
    <w:rsid w:val="00ED0697"/>
    <w:rsid w:val="00ED06F0"/>
    <w:rsid w:val="00ED08F1"/>
    <w:rsid w:val="00ED13FB"/>
    <w:rsid w:val="00ED2A6B"/>
    <w:rsid w:val="00ED49F6"/>
    <w:rsid w:val="00ED4EDB"/>
    <w:rsid w:val="00ED5B9A"/>
    <w:rsid w:val="00ED6015"/>
    <w:rsid w:val="00EE14BC"/>
    <w:rsid w:val="00EE25CE"/>
    <w:rsid w:val="00EE2C88"/>
    <w:rsid w:val="00EE5369"/>
    <w:rsid w:val="00EE5CBD"/>
    <w:rsid w:val="00EE6870"/>
    <w:rsid w:val="00EF1AA1"/>
    <w:rsid w:val="00EF5287"/>
    <w:rsid w:val="00EF5952"/>
    <w:rsid w:val="00F00351"/>
    <w:rsid w:val="00F0102C"/>
    <w:rsid w:val="00F03D0C"/>
    <w:rsid w:val="00F04C72"/>
    <w:rsid w:val="00F11330"/>
    <w:rsid w:val="00F11440"/>
    <w:rsid w:val="00F11511"/>
    <w:rsid w:val="00F117FA"/>
    <w:rsid w:val="00F1269C"/>
    <w:rsid w:val="00F1406D"/>
    <w:rsid w:val="00F15AA6"/>
    <w:rsid w:val="00F17111"/>
    <w:rsid w:val="00F17CCB"/>
    <w:rsid w:val="00F205D5"/>
    <w:rsid w:val="00F207AA"/>
    <w:rsid w:val="00F21381"/>
    <w:rsid w:val="00F22D82"/>
    <w:rsid w:val="00F237DD"/>
    <w:rsid w:val="00F23F59"/>
    <w:rsid w:val="00F25615"/>
    <w:rsid w:val="00F2728B"/>
    <w:rsid w:val="00F3052E"/>
    <w:rsid w:val="00F31894"/>
    <w:rsid w:val="00F32240"/>
    <w:rsid w:val="00F3250E"/>
    <w:rsid w:val="00F331D9"/>
    <w:rsid w:val="00F33C09"/>
    <w:rsid w:val="00F351CA"/>
    <w:rsid w:val="00F36212"/>
    <w:rsid w:val="00F374A4"/>
    <w:rsid w:val="00F37837"/>
    <w:rsid w:val="00F42562"/>
    <w:rsid w:val="00F44CF1"/>
    <w:rsid w:val="00F45613"/>
    <w:rsid w:val="00F45D78"/>
    <w:rsid w:val="00F51D97"/>
    <w:rsid w:val="00F53F61"/>
    <w:rsid w:val="00F55114"/>
    <w:rsid w:val="00F55E14"/>
    <w:rsid w:val="00F5627C"/>
    <w:rsid w:val="00F57612"/>
    <w:rsid w:val="00F576A8"/>
    <w:rsid w:val="00F57BEA"/>
    <w:rsid w:val="00F6075B"/>
    <w:rsid w:val="00F6272A"/>
    <w:rsid w:val="00F62745"/>
    <w:rsid w:val="00F6774C"/>
    <w:rsid w:val="00F70071"/>
    <w:rsid w:val="00F71D60"/>
    <w:rsid w:val="00F7296F"/>
    <w:rsid w:val="00F80A9D"/>
    <w:rsid w:val="00F84D52"/>
    <w:rsid w:val="00F85C25"/>
    <w:rsid w:val="00F87673"/>
    <w:rsid w:val="00FA05FC"/>
    <w:rsid w:val="00FA0BE9"/>
    <w:rsid w:val="00FA22F1"/>
    <w:rsid w:val="00FA429E"/>
    <w:rsid w:val="00FA4CC1"/>
    <w:rsid w:val="00FB13D0"/>
    <w:rsid w:val="00FB1540"/>
    <w:rsid w:val="00FB2863"/>
    <w:rsid w:val="00FB2BD3"/>
    <w:rsid w:val="00FB3364"/>
    <w:rsid w:val="00FB444B"/>
    <w:rsid w:val="00FB48A2"/>
    <w:rsid w:val="00FB59B7"/>
    <w:rsid w:val="00FB6B7B"/>
    <w:rsid w:val="00FB74E2"/>
    <w:rsid w:val="00FC1BD6"/>
    <w:rsid w:val="00FC271E"/>
    <w:rsid w:val="00FC42A0"/>
    <w:rsid w:val="00FC4C9B"/>
    <w:rsid w:val="00FD0556"/>
    <w:rsid w:val="00FD0AB3"/>
    <w:rsid w:val="00FD1927"/>
    <w:rsid w:val="00FD5259"/>
    <w:rsid w:val="00FD6654"/>
    <w:rsid w:val="00FD759F"/>
    <w:rsid w:val="00FE0073"/>
    <w:rsid w:val="00FE13CB"/>
    <w:rsid w:val="00FE1712"/>
    <w:rsid w:val="00FF0D97"/>
    <w:rsid w:val="00FF2A01"/>
    <w:rsid w:val="00FF4729"/>
    <w:rsid w:val="00FF5025"/>
    <w:rsid w:val="00FF5922"/>
    <w:rsid w:val="00FF5A0D"/>
    <w:rsid w:val="00FF6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87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3F6"/>
    <w:pPr>
      <w:jc w:val="both"/>
    </w:pPr>
  </w:style>
  <w:style w:type="paragraph" w:styleId="Heading1">
    <w:name w:val="heading 1"/>
    <w:basedOn w:val="Normal"/>
    <w:next w:val="Normal"/>
    <w:link w:val="Heading1Char"/>
    <w:uiPriority w:val="9"/>
    <w:qFormat/>
    <w:rsid w:val="00DF26D4"/>
    <w:pPr>
      <w:keepNext/>
      <w:keepLines/>
      <w:numPr>
        <w:numId w:val="1"/>
      </w:numPr>
      <w:spacing w:before="480" w:after="240"/>
      <w:ind w:hanging="720"/>
      <w:outlineLvl w:val="0"/>
    </w:pPr>
    <w:rPr>
      <w:rFonts w:eastAsiaTheme="majorEastAsia" w:cstheme="majorBidi"/>
      <w:b/>
      <w:bCs/>
    </w:rPr>
  </w:style>
  <w:style w:type="paragraph" w:styleId="Heading2">
    <w:name w:val="heading 2"/>
    <w:basedOn w:val="Normal"/>
    <w:next w:val="Normal"/>
    <w:link w:val="Heading2Char"/>
    <w:uiPriority w:val="9"/>
    <w:unhideWhenUsed/>
    <w:qFormat/>
    <w:rsid w:val="00DF26D4"/>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rsid w:val="00DF26D4"/>
    <w:rPr>
      <w:rFonts w:ascii="Arial" w:hAnsi="Arial"/>
      <w:i/>
      <w:color w:val="0000FF"/>
      <w:sz w:val="18"/>
    </w:rPr>
  </w:style>
  <w:style w:type="table" w:styleId="TableGrid">
    <w:name w:val="Table Grid"/>
    <w:basedOn w:val="TableNormal"/>
    <w:uiPriority w:val="59"/>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EE2C88"/>
    <w:pPr>
      <w:keepNext/>
      <w:spacing w:after="40" w:line="240" w:lineRule="auto"/>
      <w:ind w:left="1440" w:hanging="1440"/>
    </w:pPr>
    <w:rPr>
      <w:rFonts w:ascii="Arial" w:eastAsia="Times New Roman" w:hAnsi="Arial" w:cs="Arial"/>
      <w:b/>
      <w:sz w:val="20"/>
      <w:lang w:val="en-GB" w:eastAsia="ja-JP"/>
    </w:rPr>
  </w:style>
  <w:style w:type="character" w:styleId="CommentReference">
    <w:name w:val="annotation reference"/>
    <w:basedOn w:val="DefaultParagraphFont"/>
    <w:uiPriority w:val="99"/>
    <w:semiHidden/>
    <w:unhideWhenUsed/>
    <w:rsid w:val="00F11440"/>
    <w:rPr>
      <w:sz w:val="16"/>
      <w:szCs w:val="16"/>
    </w:rPr>
  </w:style>
  <w:style w:type="paragraph" w:styleId="CommentText">
    <w:name w:val="annotation text"/>
    <w:basedOn w:val="Normal"/>
    <w:link w:val="CommentTextChar"/>
    <w:uiPriority w:val="99"/>
    <w:unhideWhenUsed/>
    <w:rsid w:val="00F11440"/>
    <w:pPr>
      <w:spacing w:line="240" w:lineRule="auto"/>
    </w:pPr>
    <w:rPr>
      <w:sz w:val="20"/>
      <w:szCs w:val="20"/>
    </w:rPr>
  </w:style>
  <w:style w:type="character" w:customStyle="1" w:styleId="CommentTextChar">
    <w:name w:val="Comment Text Char"/>
    <w:basedOn w:val="DefaultParagraphFont"/>
    <w:link w:val="CommentText"/>
    <w:uiPriority w:val="99"/>
    <w:rsid w:val="00F11440"/>
    <w:rPr>
      <w:sz w:val="20"/>
      <w:szCs w:val="20"/>
    </w:rPr>
  </w:style>
  <w:style w:type="paragraph" w:styleId="CommentSubject">
    <w:name w:val="annotation subject"/>
    <w:basedOn w:val="CommentText"/>
    <w:next w:val="CommentText"/>
    <w:link w:val="CommentSubjectChar"/>
    <w:uiPriority w:val="99"/>
    <w:semiHidden/>
    <w:unhideWhenUsed/>
    <w:rsid w:val="00F11440"/>
    <w:rPr>
      <w:b/>
      <w:bCs/>
    </w:rPr>
  </w:style>
  <w:style w:type="character" w:customStyle="1" w:styleId="CommentSubjectChar">
    <w:name w:val="Comment Subject Char"/>
    <w:basedOn w:val="CommentTextChar"/>
    <w:link w:val="CommentSubject"/>
    <w:uiPriority w:val="99"/>
    <w:semiHidden/>
    <w:rsid w:val="00F11440"/>
    <w:rPr>
      <w:b/>
      <w:bCs/>
      <w:sz w:val="20"/>
      <w:szCs w:val="20"/>
    </w:rPr>
  </w:style>
  <w:style w:type="character" w:styleId="Emphasis">
    <w:name w:val="Emphasis"/>
    <w:qFormat/>
    <w:rsid w:val="00423521"/>
    <w:rPr>
      <w:i/>
      <w:iCs/>
    </w:rPr>
  </w:style>
  <w:style w:type="paragraph" w:styleId="Title">
    <w:name w:val="Title"/>
    <w:basedOn w:val="Normal"/>
    <w:next w:val="Normal"/>
    <w:link w:val="TitleChar"/>
    <w:uiPriority w:val="10"/>
    <w:qFormat/>
    <w:rsid w:val="001877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7738"/>
    <w:rPr>
      <w:rFonts w:asciiTheme="majorHAnsi" w:eastAsiaTheme="majorEastAsia" w:hAnsiTheme="majorHAnsi" w:cstheme="majorBidi"/>
      <w:color w:val="17365D" w:themeColor="text2" w:themeShade="BF"/>
      <w:spacing w:val="5"/>
      <w:kern w:val="28"/>
      <w:sz w:val="52"/>
      <w:szCs w:val="52"/>
    </w:rPr>
  </w:style>
  <w:style w:type="paragraph" w:customStyle="1" w:styleId="beforeunorderedlist">
    <w:name w:val="before_unordered_list"/>
    <w:basedOn w:val="Normal"/>
    <w:rsid w:val="00DE6F06"/>
    <w:pPr>
      <w:spacing w:before="100" w:beforeAutospacing="1" w:after="0"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DF26D4"/>
    <w:rPr>
      <w:rFonts w:eastAsiaTheme="majorEastAsia" w:cstheme="majorBidi"/>
      <w:b/>
      <w:bCs/>
    </w:rPr>
  </w:style>
  <w:style w:type="paragraph" w:styleId="Revision">
    <w:name w:val="Revision"/>
    <w:hidden/>
    <w:uiPriority w:val="99"/>
    <w:semiHidden/>
    <w:rsid w:val="006E4B02"/>
    <w:pPr>
      <w:spacing w:after="0" w:line="240" w:lineRule="auto"/>
    </w:pPr>
  </w:style>
  <w:style w:type="paragraph" w:styleId="DocumentMap">
    <w:name w:val="Document Map"/>
    <w:basedOn w:val="Normal"/>
    <w:link w:val="DocumentMapChar"/>
    <w:uiPriority w:val="99"/>
    <w:semiHidden/>
    <w:unhideWhenUsed/>
    <w:rsid w:val="00DF26D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F26D4"/>
    <w:rPr>
      <w:rFonts w:ascii="Tahoma" w:hAnsi="Tahoma" w:cs="Tahoma"/>
      <w:sz w:val="16"/>
      <w:szCs w:val="16"/>
    </w:rPr>
  </w:style>
  <w:style w:type="character" w:customStyle="1" w:styleId="Heading2Char">
    <w:name w:val="Heading 2 Char"/>
    <w:basedOn w:val="DefaultParagraphFont"/>
    <w:link w:val="Heading2"/>
    <w:uiPriority w:val="9"/>
    <w:rsid w:val="00DF26D4"/>
    <w:rPr>
      <w:u w:val="single"/>
    </w:rPr>
  </w:style>
  <w:style w:type="paragraph" w:styleId="Quote">
    <w:name w:val="Quote"/>
    <w:basedOn w:val="Normal"/>
    <w:next w:val="Normal"/>
    <w:link w:val="QuoteChar"/>
    <w:uiPriority w:val="29"/>
    <w:qFormat/>
    <w:rsid w:val="00215B74"/>
    <w:pPr>
      <w:spacing w:line="240" w:lineRule="auto"/>
    </w:pPr>
    <w:rPr>
      <w:b/>
      <w:i/>
      <w:color w:val="548DD4" w:themeColor="text2" w:themeTint="99"/>
      <w:szCs w:val="20"/>
    </w:rPr>
  </w:style>
  <w:style w:type="character" w:customStyle="1" w:styleId="QuoteChar">
    <w:name w:val="Quote Char"/>
    <w:basedOn w:val="DefaultParagraphFont"/>
    <w:link w:val="Quote"/>
    <w:uiPriority w:val="29"/>
    <w:rsid w:val="00215B74"/>
    <w:rPr>
      <w:b/>
      <w:i/>
      <w:color w:val="548DD4" w:themeColor="text2" w:themeTint="99"/>
      <w:szCs w:val="20"/>
    </w:rPr>
  </w:style>
  <w:style w:type="paragraph" w:styleId="NoSpacing">
    <w:name w:val="No Spacing"/>
    <w:uiPriority w:val="1"/>
    <w:qFormat/>
    <w:rsid w:val="00DF26D4"/>
    <w:pPr>
      <w:spacing w:after="0" w:line="240" w:lineRule="auto"/>
    </w:pPr>
  </w:style>
  <w:style w:type="character" w:styleId="PlaceholderText">
    <w:name w:val="Placeholder Text"/>
    <w:basedOn w:val="DefaultParagraphFont"/>
    <w:uiPriority w:val="99"/>
    <w:semiHidden/>
    <w:rsid w:val="00A36D78"/>
    <w:rPr>
      <w:color w:val="808080"/>
    </w:rPr>
  </w:style>
  <w:style w:type="character" w:styleId="FollowedHyperlink">
    <w:name w:val="FollowedHyperlink"/>
    <w:basedOn w:val="DefaultParagraphFont"/>
    <w:uiPriority w:val="99"/>
    <w:semiHidden/>
    <w:unhideWhenUsed/>
    <w:rsid w:val="00101EF2"/>
    <w:rPr>
      <w:color w:val="800080" w:themeColor="followedHyperlink"/>
      <w:u w:val="single"/>
    </w:rPr>
  </w:style>
  <w:style w:type="paragraph" w:styleId="FootnoteText">
    <w:name w:val="footnote text"/>
    <w:basedOn w:val="Normal"/>
    <w:link w:val="FootnoteTextChar"/>
    <w:uiPriority w:val="99"/>
    <w:unhideWhenUsed/>
    <w:rsid w:val="00A0185D"/>
    <w:pPr>
      <w:spacing w:after="0" w:line="240" w:lineRule="auto"/>
    </w:pPr>
    <w:rPr>
      <w:sz w:val="20"/>
      <w:szCs w:val="20"/>
    </w:rPr>
  </w:style>
  <w:style w:type="character" w:customStyle="1" w:styleId="FootnoteTextChar">
    <w:name w:val="Footnote Text Char"/>
    <w:basedOn w:val="DefaultParagraphFont"/>
    <w:link w:val="FootnoteText"/>
    <w:uiPriority w:val="99"/>
    <w:rsid w:val="00A0185D"/>
    <w:rPr>
      <w:sz w:val="20"/>
      <w:szCs w:val="20"/>
    </w:rPr>
  </w:style>
  <w:style w:type="character" w:styleId="FootnoteReference">
    <w:name w:val="footnote reference"/>
    <w:basedOn w:val="DefaultParagraphFont"/>
    <w:uiPriority w:val="99"/>
    <w:unhideWhenUsed/>
    <w:rsid w:val="00A0185D"/>
    <w:rPr>
      <w:vertAlign w:val="superscript"/>
    </w:rPr>
  </w:style>
  <w:style w:type="paragraph" w:customStyle="1" w:styleId="TableText0">
    <w:name w:val="Table Text"/>
    <w:basedOn w:val="Normal"/>
    <w:link w:val="TableTextChar"/>
    <w:qFormat/>
    <w:rsid w:val="00EE2C88"/>
    <w:pPr>
      <w:keepNext/>
      <w:spacing w:before="40" w:after="40" w:line="312" w:lineRule="auto"/>
      <w:jc w:val="left"/>
    </w:pPr>
    <w:rPr>
      <w:rFonts w:ascii="Arial Narrow" w:eastAsia="SimSun" w:hAnsi="Arial Narrow" w:cs="Times New Roman"/>
      <w:sz w:val="18"/>
      <w:lang w:val="en-GB"/>
    </w:rPr>
  </w:style>
  <w:style w:type="character" w:customStyle="1" w:styleId="TableTextChar">
    <w:name w:val="Table Text Char"/>
    <w:link w:val="TableText0"/>
    <w:rsid w:val="00EE2C88"/>
    <w:rPr>
      <w:rFonts w:ascii="Arial Narrow" w:eastAsia="SimSun" w:hAnsi="Arial Narrow" w:cs="Times New Roman"/>
      <w:sz w:val="18"/>
      <w:lang w:val="en-GB"/>
    </w:rPr>
  </w:style>
  <w:style w:type="paragraph" w:customStyle="1" w:styleId="Default">
    <w:name w:val="Default"/>
    <w:rsid w:val="0004400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ixed-citation">
    <w:name w:val="mixed-citation"/>
    <w:basedOn w:val="DefaultParagraphFont"/>
    <w:rsid w:val="00BF7B43"/>
  </w:style>
  <w:style w:type="character" w:customStyle="1" w:styleId="ref-title">
    <w:name w:val="ref-title"/>
    <w:basedOn w:val="DefaultParagraphFont"/>
    <w:rsid w:val="00BF7B43"/>
  </w:style>
  <w:style w:type="character" w:customStyle="1" w:styleId="ref-journal">
    <w:name w:val="ref-journal"/>
    <w:basedOn w:val="DefaultParagraphFont"/>
    <w:rsid w:val="00BF7B43"/>
  </w:style>
  <w:style w:type="character" w:customStyle="1" w:styleId="ref-vol">
    <w:name w:val="ref-vol"/>
    <w:basedOn w:val="DefaultParagraphFont"/>
    <w:rsid w:val="00BF7B43"/>
  </w:style>
  <w:style w:type="character" w:customStyle="1" w:styleId="reference-text">
    <w:name w:val="reference-text"/>
    <w:basedOn w:val="DefaultParagraphFont"/>
    <w:rsid w:val="00262D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3F6"/>
    <w:pPr>
      <w:jc w:val="both"/>
    </w:pPr>
  </w:style>
  <w:style w:type="paragraph" w:styleId="Heading1">
    <w:name w:val="heading 1"/>
    <w:basedOn w:val="Normal"/>
    <w:next w:val="Normal"/>
    <w:link w:val="Heading1Char"/>
    <w:uiPriority w:val="9"/>
    <w:qFormat/>
    <w:rsid w:val="00DF26D4"/>
    <w:pPr>
      <w:keepNext/>
      <w:keepLines/>
      <w:numPr>
        <w:numId w:val="1"/>
      </w:numPr>
      <w:spacing w:before="480" w:after="240"/>
      <w:ind w:hanging="720"/>
      <w:outlineLvl w:val="0"/>
    </w:pPr>
    <w:rPr>
      <w:rFonts w:eastAsiaTheme="majorEastAsia" w:cstheme="majorBidi"/>
      <w:b/>
      <w:bCs/>
    </w:rPr>
  </w:style>
  <w:style w:type="paragraph" w:styleId="Heading2">
    <w:name w:val="heading 2"/>
    <w:basedOn w:val="Normal"/>
    <w:next w:val="Normal"/>
    <w:link w:val="Heading2Char"/>
    <w:uiPriority w:val="9"/>
    <w:unhideWhenUsed/>
    <w:qFormat/>
    <w:rsid w:val="00DF26D4"/>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rsid w:val="00DF26D4"/>
    <w:rPr>
      <w:rFonts w:ascii="Arial" w:hAnsi="Arial"/>
      <w:i/>
      <w:color w:val="0000FF"/>
      <w:sz w:val="18"/>
    </w:rPr>
  </w:style>
  <w:style w:type="table" w:styleId="TableGrid">
    <w:name w:val="Table Grid"/>
    <w:basedOn w:val="TableNormal"/>
    <w:uiPriority w:val="59"/>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EE2C88"/>
    <w:pPr>
      <w:keepNext/>
      <w:spacing w:after="40" w:line="240" w:lineRule="auto"/>
      <w:ind w:left="1440" w:hanging="1440"/>
    </w:pPr>
    <w:rPr>
      <w:rFonts w:ascii="Arial" w:eastAsia="Times New Roman" w:hAnsi="Arial" w:cs="Arial"/>
      <w:b/>
      <w:sz w:val="20"/>
      <w:lang w:val="en-GB" w:eastAsia="ja-JP"/>
    </w:rPr>
  </w:style>
  <w:style w:type="character" w:styleId="CommentReference">
    <w:name w:val="annotation reference"/>
    <w:basedOn w:val="DefaultParagraphFont"/>
    <w:uiPriority w:val="99"/>
    <w:semiHidden/>
    <w:unhideWhenUsed/>
    <w:rsid w:val="00F11440"/>
    <w:rPr>
      <w:sz w:val="16"/>
      <w:szCs w:val="16"/>
    </w:rPr>
  </w:style>
  <w:style w:type="paragraph" w:styleId="CommentText">
    <w:name w:val="annotation text"/>
    <w:basedOn w:val="Normal"/>
    <w:link w:val="CommentTextChar"/>
    <w:uiPriority w:val="99"/>
    <w:unhideWhenUsed/>
    <w:rsid w:val="00F11440"/>
    <w:pPr>
      <w:spacing w:line="240" w:lineRule="auto"/>
    </w:pPr>
    <w:rPr>
      <w:sz w:val="20"/>
      <w:szCs w:val="20"/>
    </w:rPr>
  </w:style>
  <w:style w:type="character" w:customStyle="1" w:styleId="CommentTextChar">
    <w:name w:val="Comment Text Char"/>
    <w:basedOn w:val="DefaultParagraphFont"/>
    <w:link w:val="CommentText"/>
    <w:uiPriority w:val="99"/>
    <w:rsid w:val="00F11440"/>
    <w:rPr>
      <w:sz w:val="20"/>
      <w:szCs w:val="20"/>
    </w:rPr>
  </w:style>
  <w:style w:type="paragraph" w:styleId="CommentSubject">
    <w:name w:val="annotation subject"/>
    <w:basedOn w:val="CommentText"/>
    <w:next w:val="CommentText"/>
    <w:link w:val="CommentSubjectChar"/>
    <w:uiPriority w:val="99"/>
    <w:semiHidden/>
    <w:unhideWhenUsed/>
    <w:rsid w:val="00F11440"/>
    <w:rPr>
      <w:b/>
      <w:bCs/>
    </w:rPr>
  </w:style>
  <w:style w:type="character" w:customStyle="1" w:styleId="CommentSubjectChar">
    <w:name w:val="Comment Subject Char"/>
    <w:basedOn w:val="CommentTextChar"/>
    <w:link w:val="CommentSubject"/>
    <w:uiPriority w:val="99"/>
    <w:semiHidden/>
    <w:rsid w:val="00F11440"/>
    <w:rPr>
      <w:b/>
      <w:bCs/>
      <w:sz w:val="20"/>
      <w:szCs w:val="20"/>
    </w:rPr>
  </w:style>
  <w:style w:type="character" w:styleId="Emphasis">
    <w:name w:val="Emphasis"/>
    <w:qFormat/>
    <w:rsid w:val="00423521"/>
    <w:rPr>
      <w:i/>
      <w:iCs/>
    </w:rPr>
  </w:style>
  <w:style w:type="paragraph" w:styleId="Title">
    <w:name w:val="Title"/>
    <w:basedOn w:val="Normal"/>
    <w:next w:val="Normal"/>
    <w:link w:val="TitleChar"/>
    <w:uiPriority w:val="10"/>
    <w:qFormat/>
    <w:rsid w:val="001877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7738"/>
    <w:rPr>
      <w:rFonts w:asciiTheme="majorHAnsi" w:eastAsiaTheme="majorEastAsia" w:hAnsiTheme="majorHAnsi" w:cstheme="majorBidi"/>
      <w:color w:val="17365D" w:themeColor="text2" w:themeShade="BF"/>
      <w:spacing w:val="5"/>
      <w:kern w:val="28"/>
      <w:sz w:val="52"/>
      <w:szCs w:val="52"/>
    </w:rPr>
  </w:style>
  <w:style w:type="paragraph" w:customStyle="1" w:styleId="beforeunorderedlist">
    <w:name w:val="before_unordered_list"/>
    <w:basedOn w:val="Normal"/>
    <w:rsid w:val="00DE6F06"/>
    <w:pPr>
      <w:spacing w:before="100" w:beforeAutospacing="1" w:after="0"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DF26D4"/>
    <w:rPr>
      <w:rFonts w:eastAsiaTheme="majorEastAsia" w:cstheme="majorBidi"/>
      <w:b/>
      <w:bCs/>
    </w:rPr>
  </w:style>
  <w:style w:type="paragraph" w:styleId="Revision">
    <w:name w:val="Revision"/>
    <w:hidden/>
    <w:uiPriority w:val="99"/>
    <w:semiHidden/>
    <w:rsid w:val="006E4B02"/>
    <w:pPr>
      <w:spacing w:after="0" w:line="240" w:lineRule="auto"/>
    </w:pPr>
  </w:style>
  <w:style w:type="paragraph" w:styleId="DocumentMap">
    <w:name w:val="Document Map"/>
    <w:basedOn w:val="Normal"/>
    <w:link w:val="DocumentMapChar"/>
    <w:uiPriority w:val="99"/>
    <w:semiHidden/>
    <w:unhideWhenUsed/>
    <w:rsid w:val="00DF26D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F26D4"/>
    <w:rPr>
      <w:rFonts w:ascii="Tahoma" w:hAnsi="Tahoma" w:cs="Tahoma"/>
      <w:sz w:val="16"/>
      <w:szCs w:val="16"/>
    </w:rPr>
  </w:style>
  <w:style w:type="character" w:customStyle="1" w:styleId="Heading2Char">
    <w:name w:val="Heading 2 Char"/>
    <w:basedOn w:val="DefaultParagraphFont"/>
    <w:link w:val="Heading2"/>
    <w:uiPriority w:val="9"/>
    <w:rsid w:val="00DF26D4"/>
    <w:rPr>
      <w:u w:val="single"/>
    </w:rPr>
  </w:style>
  <w:style w:type="paragraph" w:styleId="Quote">
    <w:name w:val="Quote"/>
    <w:basedOn w:val="Normal"/>
    <w:next w:val="Normal"/>
    <w:link w:val="QuoteChar"/>
    <w:uiPriority w:val="29"/>
    <w:qFormat/>
    <w:rsid w:val="00215B74"/>
    <w:pPr>
      <w:spacing w:line="240" w:lineRule="auto"/>
    </w:pPr>
    <w:rPr>
      <w:b/>
      <w:i/>
      <w:color w:val="548DD4" w:themeColor="text2" w:themeTint="99"/>
      <w:szCs w:val="20"/>
    </w:rPr>
  </w:style>
  <w:style w:type="character" w:customStyle="1" w:styleId="QuoteChar">
    <w:name w:val="Quote Char"/>
    <w:basedOn w:val="DefaultParagraphFont"/>
    <w:link w:val="Quote"/>
    <w:uiPriority w:val="29"/>
    <w:rsid w:val="00215B74"/>
    <w:rPr>
      <w:b/>
      <w:i/>
      <w:color w:val="548DD4" w:themeColor="text2" w:themeTint="99"/>
      <w:szCs w:val="20"/>
    </w:rPr>
  </w:style>
  <w:style w:type="paragraph" w:styleId="NoSpacing">
    <w:name w:val="No Spacing"/>
    <w:uiPriority w:val="1"/>
    <w:qFormat/>
    <w:rsid w:val="00DF26D4"/>
    <w:pPr>
      <w:spacing w:after="0" w:line="240" w:lineRule="auto"/>
    </w:pPr>
  </w:style>
  <w:style w:type="character" w:styleId="PlaceholderText">
    <w:name w:val="Placeholder Text"/>
    <w:basedOn w:val="DefaultParagraphFont"/>
    <w:uiPriority w:val="99"/>
    <w:semiHidden/>
    <w:rsid w:val="00A36D78"/>
    <w:rPr>
      <w:color w:val="808080"/>
    </w:rPr>
  </w:style>
  <w:style w:type="character" w:styleId="FollowedHyperlink">
    <w:name w:val="FollowedHyperlink"/>
    <w:basedOn w:val="DefaultParagraphFont"/>
    <w:uiPriority w:val="99"/>
    <w:semiHidden/>
    <w:unhideWhenUsed/>
    <w:rsid w:val="00101EF2"/>
    <w:rPr>
      <w:color w:val="800080" w:themeColor="followedHyperlink"/>
      <w:u w:val="single"/>
    </w:rPr>
  </w:style>
  <w:style w:type="paragraph" w:styleId="FootnoteText">
    <w:name w:val="footnote text"/>
    <w:basedOn w:val="Normal"/>
    <w:link w:val="FootnoteTextChar"/>
    <w:uiPriority w:val="99"/>
    <w:unhideWhenUsed/>
    <w:rsid w:val="00A0185D"/>
    <w:pPr>
      <w:spacing w:after="0" w:line="240" w:lineRule="auto"/>
    </w:pPr>
    <w:rPr>
      <w:sz w:val="20"/>
      <w:szCs w:val="20"/>
    </w:rPr>
  </w:style>
  <w:style w:type="character" w:customStyle="1" w:styleId="FootnoteTextChar">
    <w:name w:val="Footnote Text Char"/>
    <w:basedOn w:val="DefaultParagraphFont"/>
    <w:link w:val="FootnoteText"/>
    <w:uiPriority w:val="99"/>
    <w:rsid w:val="00A0185D"/>
    <w:rPr>
      <w:sz w:val="20"/>
      <w:szCs w:val="20"/>
    </w:rPr>
  </w:style>
  <w:style w:type="character" w:styleId="FootnoteReference">
    <w:name w:val="footnote reference"/>
    <w:basedOn w:val="DefaultParagraphFont"/>
    <w:uiPriority w:val="99"/>
    <w:unhideWhenUsed/>
    <w:rsid w:val="00A0185D"/>
    <w:rPr>
      <w:vertAlign w:val="superscript"/>
    </w:rPr>
  </w:style>
  <w:style w:type="paragraph" w:customStyle="1" w:styleId="TableText0">
    <w:name w:val="Table Text"/>
    <w:basedOn w:val="Normal"/>
    <w:link w:val="TableTextChar"/>
    <w:qFormat/>
    <w:rsid w:val="00EE2C88"/>
    <w:pPr>
      <w:keepNext/>
      <w:spacing w:before="40" w:after="40" w:line="312" w:lineRule="auto"/>
      <w:jc w:val="left"/>
    </w:pPr>
    <w:rPr>
      <w:rFonts w:ascii="Arial Narrow" w:eastAsia="SimSun" w:hAnsi="Arial Narrow" w:cs="Times New Roman"/>
      <w:sz w:val="18"/>
      <w:lang w:val="en-GB"/>
    </w:rPr>
  </w:style>
  <w:style w:type="character" w:customStyle="1" w:styleId="TableTextChar">
    <w:name w:val="Table Text Char"/>
    <w:link w:val="TableText0"/>
    <w:rsid w:val="00EE2C88"/>
    <w:rPr>
      <w:rFonts w:ascii="Arial Narrow" w:eastAsia="SimSun" w:hAnsi="Arial Narrow" w:cs="Times New Roman"/>
      <w:sz w:val="18"/>
      <w:lang w:val="en-GB"/>
    </w:rPr>
  </w:style>
  <w:style w:type="paragraph" w:customStyle="1" w:styleId="Default">
    <w:name w:val="Default"/>
    <w:rsid w:val="0004400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ixed-citation">
    <w:name w:val="mixed-citation"/>
    <w:basedOn w:val="DefaultParagraphFont"/>
    <w:rsid w:val="00BF7B43"/>
  </w:style>
  <w:style w:type="character" w:customStyle="1" w:styleId="ref-title">
    <w:name w:val="ref-title"/>
    <w:basedOn w:val="DefaultParagraphFont"/>
    <w:rsid w:val="00BF7B43"/>
  </w:style>
  <w:style w:type="character" w:customStyle="1" w:styleId="ref-journal">
    <w:name w:val="ref-journal"/>
    <w:basedOn w:val="DefaultParagraphFont"/>
    <w:rsid w:val="00BF7B43"/>
  </w:style>
  <w:style w:type="character" w:customStyle="1" w:styleId="ref-vol">
    <w:name w:val="ref-vol"/>
    <w:basedOn w:val="DefaultParagraphFont"/>
    <w:rsid w:val="00BF7B43"/>
  </w:style>
  <w:style w:type="character" w:customStyle="1" w:styleId="reference-text">
    <w:name w:val="reference-text"/>
    <w:basedOn w:val="DefaultParagraphFont"/>
    <w:rsid w:val="00262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2756">
      <w:bodyDiv w:val="1"/>
      <w:marLeft w:val="0"/>
      <w:marRight w:val="0"/>
      <w:marTop w:val="0"/>
      <w:marBottom w:val="0"/>
      <w:divBdr>
        <w:top w:val="none" w:sz="0" w:space="0" w:color="auto"/>
        <w:left w:val="none" w:sz="0" w:space="0" w:color="auto"/>
        <w:bottom w:val="none" w:sz="0" w:space="0" w:color="auto"/>
        <w:right w:val="none" w:sz="0" w:space="0" w:color="auto"/>
      </w:divBdr>
      <w:divsChild>
        <w:div w:id="261843365">
          <w:marLeft w:val="0"/>
          <w:marRight w:val="0"/>
          <w:marTop w:val="0"/>
          <w:marBottom w:val="0"/>
          <w:divBdr>
            <w:top w:val="none" w:sz="0" w:space="0" w:color="auto"/>
            <w:left w:val="none" w:sz="0" w:space="0" w:color="auto"/>
            <w:bottom w:val="none" w:sz="0" w:space="0" w:color="auto"/>
            <w:right w:val="none" w:sz="0" w:space="0" w:color="auto"/>
          </w:divBdr>
          <w:divsChild>
            <w:div w:id="568266976">
              <w:marLeft w:val="0"/>
              <w:marRight w:val="0"/>
              <w:marTop w:val="0"/>
              <w:marBottom w:val="0"/>
              <w:divBdr>
                <w:top w:val="none" w:sz="0" w:space="0" w:color="auto"/>
                <w:left w:val="none" w:sz="0" w:space="0" w:color="auto"/>
                <w:bottom w:val="none" w:sz="0" w:space="0" w:color="auto"/>
                <w:right w:val="none" w:sz="0" w:space="0" w:color="auto"/>
              </w:divBdr>
            </w:div>
            <w:div w:id="19471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299">
      <w:bodyDiv w:val="1"/>
      <w:marLeft w:val="0"/>
      <w:marRight w:val="0"/>
      <w:marTop w:val="0"/>
      <w:marBottom w:val="0"/>
      <w:divBdr>
        <w:top w:val="none" w:sz="0" w:space="0" w:color="auto"/>
        <w:left w:val="none" w:sz="0" w:space="0" w:color="auto"/>
        <w:bottom w:val="none" w:sz="0" w:space="0" w:color="auto"/>
        <w:right w:val="none" w:sz="0" w:space="0" w:color="auto"/>
      </w:divBdr>
      <w:divsChild>
        <w:div w:id="1422991949">
          <w:marLeft w:val="0"/>
          <w:marRight w:val="0"/>
          <w:marTop w:val="0"/>
          <w:marBottom w:val="0"/>
          <w:divBdr>
            <w:top w:val="none" w:sz="0" w:space="0" w:color="auto"/>
            <w:left w:val="none" w:sz="0" w:space="0" w:color="auto"/>
            <w:bottom w:val="none" w:sz="0" w:space="0" w:color="auto"/>
            <w:right w:val="none" w:sz="0" w:space="0" w:color="auto"/>
          </w:divBdr>
        </w:div>
      </w:divsChild>
    </w:div>
    <w:div w:id="132718534">
      <w:bodyDiv w:val="1"/>
      <w:marLeft w:val="0"/>
      <w:marRight w:val="0"/>
      <w:marTop w:val="0"/>
      <w:marBottom w:val="0"/>
      <w:divBdr>
        <w:top w:val="none" w:sz="0" w:space="0" w:color="auto"/>
        <w:left w:val="none" w:sz="0" w:space="0" w:color="auto"/>
        <w:bottom w:val="none" w:sz="0" w:space="0" w:color="auto"/>
        <w:right w:val="none" w:sz="0" w:space="0" w:color="auto"/>
      </w:divBdr>
    </w:div>
    <w:div w:id="176846415">
      <w:bodyDiv w:val="1"/>
      <w:marLeft w:val="0"/>
      <w:marRight w:val="0"/>
      <w:marTop w:val="0"/>
      <w:marBottom w:val="0"/>
      <w:divBdr>
        <w:top w:val="none" w:sz="0" w:space="0" w:color="auto"/>
        <w:left w:val="none" w:sz="0" w:space="0" w:color="auto"/>
        <w:bottom w:val="none" w:sz="0" w:space="0" w:color="auto"/>
        <w:right w:val="none" w:sz="0" w:space="0" w:color="auto"/>
      </w:divBdr>
      <w:divsChild>
        <w:div w:id="871842619">
          <w:marLeft w:val="0"/>
          <w:marRight w:val="0"/>
          <w:marTop w:val="0"/>
          <w:marBottom w:val="0"/>
          <w:divBdr>
            <w:top w:val="none" w:sz="0" w:space="0" w:color="auto"/>
            <w:left w:val="none" w:sz="0" w:space="0" w:color="auto"/>
            <w:bottom w:val="none" w:sz="0" w:space="0" w:color="auto"/>
            <w:right w:val="none" w:sz="0" w:space="0" w:color="auto"/>
          </w:divBdr>
        </w:div>
        <w:div w:id="1481386047">
          <w:marLeft w:val="0"/>
          <w:marRight w:val="0"/>
          <w:marTop w:val="0"/>
          <w:marBottom w:val="0"/>
          <w:divBdr>
            <w:top w:val="none" w:sz="0" w:space="0" w:color="auto"/>
            <w:left w:val="none" w:sz="0" w:space="0" w:color="auto"/>
            <w:bottom w:val="none" w:sz="0" w:space="0" w:color="auto"/>
            <w:right w:val="none" w:sz="0" w:space="0" w:color="auto"/>
          </w:divBdr>
        </w:div>
        <w:div w:id="435951442">
          <w:marLeft w:val="0"/>
          <w:marRight w:val="0"/>
          <w:marTop w:val="0"/>
          <w:marBottom w:val="0"/>
          <w:divBdr>
            <w:top w:val="none" w:sz="0" w:space="0" w:color="auto"/>
            <w:left w:val="none" w:sz="0" w:space="0" w:color="auto"/>
            <w:bottom w:val="none" w:sz="0" w:space="0" w:color="auto"/>
            <w:right w:val="none" w:sz="0" w:space="0" w:color="auto"/>
          </w:divBdr>
        </w:div>
        <w:div w:id="855388767">
          <w:marLeft w:val="0"/>
          <w:marRight w:val="0"/>
          <w:marTop w:val="0"/>
          <w:marBottom w:val="0"/>
          <w:divBdr>
            <w:top w:val="none" w:sz="0" w:space="0" w:color="auto"/>
            <w:left w:val="none" w:sz="0" w:space="0" w:color="auto"/>
            <w:bottom w:val="none" w:sz="0" w:space="0" w:color="auto"/>
            <w:right w:val="none" w:sz="0" w:space="0" w:color="auto"/>
          </w:divBdr>
        </w:div>
      </w:divsChild>
    </w:div>
    <w:div w:id="198058075">
      <w:bodyDiv w:val="1"/>
      <w:marLeft w:val="0"/>
      <w:marRight w:val="0"/>
      <w:marTop w:val="0"/>
      <w:marBottom w:val="0"/>
      <w:divBdr>
        <w:top w:val="none" w:sz="0" w:space="0" w:color="auto"/>
        <w:left w:val="none" w:sz="0" w:space="0" w:color="auto"/>
        <w:bottom w:val="none" w:sz="0" w:space="0" w:color="auto"/>
        <w:right w:val="none" w:sz="0" w:space="0" w:color="auto"/>
      </w:divBdr>
    </w:div>
    <w:div w:id="223949199">
      <w:bodyDiv w:val="1"/>
      <w:marLeft w:val="0"/>
      <w:marRight w:val="0"/>
      <w:marTop w:val="0"/>
      <w:marBottom w:val="0"/>
      <w:divBdr>
        <w:top w:val="none" w:sz="0" w:space="0" w:color="auto"/>
        <w:left w:val="none" w:sz="0" w:space="0" w:color="auto"/>
        <w:bottom w:val="none" w:sz="0" w:space="0" w:color="auto"/>
        <w:right w:val="none" w:sz="0" w:space="0" w:color="auto"/>
      </w:divBdr>
      <w:divsChild>
        <w:div w:id="1621955342">
          <w:marLeft w:val="0"/>
          <w:marRight w:val="0"/>
          <w:marTop w:val="0"/>
          <w:marBottom w:val="0"/>
          <w:divBdr>
            <w:top w:val="none" w:sz="0" w:space="0" w:color="auto"/>
            <w:left w:val="none" w:sz="0" w:space="0" w:color="auto"/>
            <w:bottom w:val="none" w:sz="0" w:space="0" w:color="auto"/>
            <w:right w:val="none" w:sz="0" w:space="0" w:color="auto"/>
          </w:divBdr>
        </w:div>
      </w:divsChild>
    </w:div>
    <w:div w:id="287705906">
      <w:bodyDiv w:val="1"/>
      <w:marLeft w:val="0"/>
      <w:marRight w:val="0"/>
      <w:marTop w:val="0"/>
      <w:marBottom w:val="0"/>
      <w:divBdr>
        <w:top w:val="none" w:sz="0" w:space="0" w:color="auto"/>
        <w:left w:val="none" w:sz="0" w:space="0" w:color="auto"/>
        <w:bottom w:val="none" w:sz="0" w:space="0" w:color="auto"/>
        <w:right w:val="none" w:sz="0" w:space="0" w:color="auto"/>
      </w:divBdr>
      <w:divsChild>
        <w:div w:id="732386123">
          <w:marLeft w:val="0"/>
          <w:marRight w:val="0"/>
          <w:marTop w:val="0"/>
          <w:marBottom w:val="0"/>
          <w:divBdr>
            <w:top w:val="none" w:sz="0" w:space="0" w:color="auto"/>
            <w:left w:val="none" w:sz="0" w:space="0" w:color="auto"/>
            <w:bottom w:val="none" w:sz="0" w:space="0" w:color="auto"/>
            <w:right w:val="none" w:sz="0" w:space="0" w:color="auto"/>
          </w:divBdr>
          <w:divsChild>
            <w:div w:id="864055315">
              <w:marLeft w:val="0"/>
              <w:marRight w:val="0"/>
              <w:marTop w:val="0"/>
              <w:marBottom w:val="0"/>
              <w:divBdr>
                <w:top w:val="none" w:sz="0" w:space="0" w:color="auto"/>
                <w:left w:val="none" w:sz="0" w:space="0" w:color="auto"/>
                <w:bottom w:val="none" w:sz="0" w:space="0" w:color="auto"/>
                <w:right w:val="none" w:sz="0" w:space="0" w:color="auto"/>
              </w:divBdr>
              <w:divsChild>
                <w:div w:id="1626503031">
                  <w:marLeft w:val="0"/>
                  <w:marRight w:val="0"/>
                  <w:marTop w:val="0"/>
                  <w:marBottom w:val="0"/>
                  <w:divBdr>
                    <w:top w:val="none" w:sz="0" w:space="0" w:color="auto"/>
                    <w:left w:val="none" w:sz="0" w:space="0" w:color="auto"/>
                    <w:bottom w:val="none" w:sz="0" w:space="0" w:color="auto"/>
                    <w:right w:val="none" w:sz="0" w:space="0" w:color="auto"/>
                  </w:divBdr>
                  <w:divsChild>
                    <w:div w:id="660547129">
                      <w:marLeft w:val="0"/>
                      <w:marRight w:val="0"/>
                      <w:marTop w:val="0"/>
                      <w:marBottom w:val="0"/>
                      <w:divBdr>
                        <w:top w:val="none" w:sz="0" w:space="0" w:color="auto"/>
                        <w:left w:val="none" w:sz="0" w:space="0" w:color="auto"/>
                        <w:bottom w:val="none" w:sz="0" w:space="0" w:color="auto"/>
                        <w:right w:val="none" w:sz="0" w:space="0" w:color="auto"/>
                      </w:divBdr>
                      <w:divsChild>
                        <w:div w:id="2006861847">
                          <w:marLeft w:val="0"/>
                          <w:marRight w:val="0"/>
                          <w:marTop w:val="0"/>
                          <w:marBottom w:val="0"/>
                          <w:divBdr>
                            <w:top w:val="none" w:sz="0" w:space="0" w:color="auto"/>
                            <w:left w:val="none" w:sz="0" w:space="0" w:color="auto"/>
                            <w:bottom w:val="none" w:sz="0" w:space="0" w:color="auto"/>
                            <w:right w:val="none" w:sz="0" w:space="0" w:color="auto"/>
                          </w:divBdr>
                          <w:divsChild>
                            <w:div w:id="196545737">
                              <w:marLeft w:val="0"/>
                              <w:marRight w:val="0"/>
                              <w:marTop w:val="0"/>
                              <w:marBottom w:val="0"/>
                              <w:divBdr>
                                <w:top w:val="none" w:sz="0" w:space="0" w:color="auto"/>
                                <w:left w:val="none" w:sz="0" w:space="0" w:color="auto"/>
                                <w:bottom w:val="none" w:sz="0" w:space="0" w:color="auto"/>
                                <w:right w:val="none" w:sz="0" w:space="0" w:color="auto"/>
                              </w:divBdr>
                              <w:divsChild>
                                <w:div w:id="1295063165">
                                  <w:marLeft w:val="0"/>
                                  <w:marRight w:val="0"/>
                                  <w:marTop w:val="0"/>
                                  <w:marBottom w:val="0"/>
                                  <w:divBdr>
                                    <w:top w:val="none" w:sz="0" w:space="0" w:color="auto"/>
                                    <w:left w:val="none" w:sz="0" w:space="0" w:color="auto"/>
                                    <w:bottom w:val="none" w:sz="0" w:space="0" w:color="auto"/>
                                    <w:right w:val="none" w:sz="0" w:space="0" w:color="auto"/>
                                  </w:divBdr>
                                  <w:divsChild>
                                    <w:div w:id="652300065">
                                      <w:marLeft w:val="0"/>
                                      <w:marRight w:val="0"/>
                                      <w:marTop w:val="0"/>
                                      <w:marBottom w:val="0"/>
                                      <w:divBdr>
                                        <w:top w:val="none" w:sz="0" w:space="0" w:color="auto"/>
                                        <w:left w:val="none" w:sz="0" w:space="0" w:color="auto"/>
                                        <w:bottom w:val="none" w:sz="0" w:space="0" w:color="auto"/>
                                        <w:right w:val="none" w:sz="0" w:space="0" w:color="auto"/>
                                      </w:divBdr>
                                      <w:divsChild>
                                        <w:div w:id="1354264898">
                                          <w:marLeft w:val="0"/>
                                          <w:marRight w:val="0"/>
                                          <w:marTop w:val="0"/>
                                          <w:marBottom w:val="0"/>
                                          <w:divBdr>
                                            <w:top w:val="none" w:sz="0" w:space="0" w:color="auto"/>
                                            <w:left w:val="none" w:sz="0" w:space="0" w:color="auto"/>
                                            <w:bottom w:val="none" w:sz="0" w:space="0" w:color="auto"/>
                                            <w:right w:val="none" w:sz="0" w:space="0" w:color="auto"/>
                                          </w:divBdr>
                                        </w:div>
                                        <w:div w:id="433019857">
                                          <w:marLeft w:val="0"/>
                                          <w:marRight w:val="0"/>
                                          <w:marTop w:val="0"/>
                                          <w:marBottom w:val="0"/>
                                          <w:divBdr>
                                            <w:top w:val="none" w:sz="0" w:space="0" w:color="auto"/>
                                            <w:left w:val="none" w:sz="0" w:space="0" w:color="auto"/>
                                            <w:bottom w:val="none" w:sz="0" w:space="0" w:color="auto"/>
                                            <w:right w:val="none" w:sz="0" w:space="0" w:color="auto"/>
                                          </w:divBdr>
                                        </w:div>
                                        <w:div w:id="196190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6322736">
      <w:bodyDiv w:val="1"/>
      <w:marLeft w:val="0"/>
      <w:marRight w:val="0"/>
      <w:marTop w:val="0"/>
      <w:marBottom w:val="0"/>
      <w:divBdr>
        <w:top w:val="none" w:sz="0" w:space="0" w:color="auto"/>
        <w:left w:val="none" w:sz="0" w:space="0" w:color="auto"/>
        <w:bottom w:val="none" w:sz="0" w:space="0" w:color="auto"/>
        <w:right w:val="none" w:sz="0" w:space="0" w:color="auto"/>
      </w:divBdr>
      <w:divsChild>
        <w:div w:id="2022272774">
          <w:marLeft w:val="0"/>
          <w:marRight w:val="0"/>
          <w:marTop w:val="0"/>
          <w:marBottom w:val="0"/>
          <w:divBdr>
            <w:top w:val="none" w:sz="0" w:space="0" w:color="auto"/>
            <w:left w:val="none" w:sz="0" w:space="0" w:color="auto"/>
            <w:bottom w:val="none" w:sz="0" w:space="0" w:color="auto"/>
            <w:right w:val="none" w:sz="0" w:space="0" w:color="auto"/>
          </w:divBdr>
        </w:div>
        <w:div w:id="1725525814">
          <w:marLeft w:val="0"/>
          <w:marRight w:val="0"/>
          <w:marTop w:val="0"/>
          <w:marBottom w:val="0"/>
          <w:divBdr>
            <w:top w:val="none" w:sz="0" w:space="0" w:color="auto"/>
            <w:left w:val="none" w:sz="0" w:space="0" w:color="auto"/>
            <w:bottom w:val="none" w:sz="0" w:space="0" w:color="auto"/>
            <w:right w:val="none" w:sz="0" w:space="0" w:color="auto"/>
          </w:divBdr>
          <w:divsChild>
            <w:div w:id="68166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20638">
      <w:bodyDiv w:val="1"/>
      <w:marLeft w:val="0"/>
      <w:marRight w:val="0"/>
      <w:marTop w:val="0"/>
      <w:marBottom w:val="0"/>
      <w:divBdr>
        <w:top w:val="none" w:sz="0" w:space="0" w:color="auto"/>
        <w:left w:val="none" w:sz="0" w:space="0" w:color="auto"/>
        <w:bottom w:val="none" w:sz="0" w:space="0" w:color="auto"/>
        <w:right w:val="none" w:sz="0" w:space="0" w:color="auto"/>
      </w:divBdr>
    </w:div>
    <w:div w:id="362294361">
      <w:bodyDiv w:val="1"/>
      <w:marLeft w:val="0"/>
      <w:marRight w:val="0"/>
      <w:marTop w:val="0"/>
      <w:marBottom w:val="0"/>
      <w:divBdr>
        <w:top w:val="none" w:sz="0" w:space="0" w:color="auto"/>
        <w:left w:val="none" w:sz="0" w:space="0" w:color="auto"/>
        <w:bottom w:val="none" w:sz="0" w:space="0" w:color="auto"/>
        <w:right w:val="none" w:sz="0" w:space="0" w:color="auto"/>
      </w:divBdr>
    </w:div>
    <w:div w:id="372928332">
      <w:bodyDiv w:val="1"/>
      <w:marLeft w:val="0"/>
      <w:marRight w:val="0"/>
      <w:marTop w:val="0"/>
      <w:marBottom w:val="0"/>
      <w:divBdr>
        <w:top w:val="none" w:sz="0" w:space="0" w:color="auto"/>
        <w:left w:val="none" w:sz="0" w:space="0" w:color="auto"/>
        <w:bottom w:val="none" w:sz="0" w:space="0" w:color="auto"/>
        <w:right w:val="none" w:sz="0" w:space="0" w:color="auto"/>
      </w:divBdr>
    </w:div>
    <w:div w:id="383143483">
      <w:bodyDiv w:val="1"/>
      <w:marLeft w:val="0"/>
      <w:marRight w:val="0"/>
      <w:marTop w:val="0"/>
      <w:marBottom w:val="0"/>
      <w:divBdr>
        <w:top w:val="none" w:sz="0" w:space="0" w:color="auto"/>
        <w:left w:val="none" w:sz="0" w:space="0" w:color="auto"/>
        <w:bottom w:val="none" w:sz="0" w:space="0" w:color="auto"/>
        <w:right w:val="none" w:sz="0" w:space="0" w:color="auto"/>
      </w:divBdr>
    </w:div>
    <w:div w:id="386340336">
      <w:bodyDiv w:val="1"/>
      <w:marLeft w:val="0"/>
      <w:marRight w:val="0"/>
      <w:marTop w:val="0"/>
      <w:marBottom w:val="0"/>
      <w:divBdr>
        <w:top w:val="none" w:sz="0" w:space="0" w:color="auto"/>
        <w:left w:val="none" w:sz="0" w:space="0" w:color="auto"/>
        <w:bottom w:val="none" w:sz="0" w:space="0" w:color="auto"/>
        <w:right w:val="none" w:sz="0" w:space="0" w:color="auto"/>
      </w:divBdr>
      <w:divsChild>
        <w:div w:id="1263685965">
          <w:marLeft w:val="0"/>
          <w:marRight w:val="0"/>
          <w:marTop w:val="0"/>
          <w:marBottom w:val="0"/>
          <w:divBdr>
            <w:top w:val="none" w:sz="0" w:space="0" w:color="auto"/>
            <w:left w:val="none" w:sz="0" w:space="0" w:color="auto"/>
            <w:bottom w:val="none" w:sz="0" w:space="0" w:color="auto"/>
            <w:right w:val="none" w:sz="0" w:space="0" w:color="auto"/>
          </w:divBdr>
        </w:div>
      </w:divsChild>
    </w:div>
    <w:div w:id="400643100">
      <w:bodyDiv w:val="1"/>
      <w:marLeft w:val="0"/>
      <w:marRight w:val="0"/>
      <w:marTop w:val="0"/>
      <w:marBottom w:val="0"/>
      <w:divBdr>
        <w:top w:val="none" w:sz="0" w:space="0" w:color="auto"/>
        <w:left w:val="none" w:sz="0" w:space="0" w:color="auto"/>
        <w:bottom w:val="none" w:sz="0" w:space="0" w:color="auto"/>
        <w:right w:val="none" w:sz="0" w:space="0" w:color="auto"/>
      </w:divBdr>
      <w:divsChild>
        <w:div w:id="428432179">
          <w:marLeft w:val="0"/>
          <w:marRight w:val="0"/>
          <w:marTop w:val="0"/>
          <w:marBottom w:val="0"/>
          <w:divBdr>
            <w:top w:val="none" w:sz="0" w:space="0" w:color="auto"/>
            <w:left w:val="none" w:sz="0" w:space="0" w:color="auto"/>
            <w:bottom w:val="none" w:sz="0" w:space="0" w:color="auto"/>
            <w:right w:val="none" w:sz="0" w:space="0" w:color="auto"/>
          </w:divBdr>
        </w:div>
        <w:div w:id="1170831335">
          <w:marLeft w:val="0"/>
          <w:marRight w:val="0"/>
          <w:marTop w:val="0"/>
          <w:marBottom w:val="0"/>
          <w:divBdr>
            <w:top w:val="none" w:sz="0" w:space="0" w:color="auto"/>
            <w:left w:val="none" w:sz="0" w:space="0" w:color="auto"/>
            <w:bottom w:val="none" w:sz="0" w:space="0" w:color="auto"/>
            <w:right w:val="none" w:sz="0" w:space="0" w:color="auto"/>
          </w:divBdr>
        </w:div>
      </w:divsChild>
    </w:div>
    <w:div w:id="410390494">
      <w:bodyDiv w:val="1"/>
      <w:marLeft w:val="0"/>
      <w:marRight w:val="0"/>
      <w:marTop w:val="0"/>
      <w:marBottom w:val="0"/>
      <w:divBdr>
        <w:top w:val="none" w:sz="0" w:space="0" w:color="auto"/>
        <w:left w:val="none" w:sz="0" w:space="0" w:color="auto"/>
        <w:bottom w:val="none" w:sz="0" w:space="0" w:color="auto"/>
        <w:right w:val="none" w:sz="0" w:space="0" w:color="auto"/>
      </w:divBdr>
    </w:div>
    <w:div w:id="426313992">
      <w:bodyDiv w:val="1"/>
      <w:marLeft w:val="0"/>
      <w:marRight w:val="0"/>
      <w:marTop w:val="0"/>
      <w:marBottom w:val="0"/>
      <w:divBdr>
        <w:top w:val="none" w:sz="0" w:space="0" w:color="auto"/>
        <w:left w:val="none" w:sz="0" w:space="0" w:color="auto"/>
        <w:bottom w:val="none" w:sz="0" w:space="0" w:color="auto"/>
        <w:right w:val="none" w:sz="0" w:space="0" w:color="auto"/>
      </w:divBdr>
      <w:divsChild>
        <w:div w:id="892808543">
          <w:marLeft w:val="0"/>
          <w:marRight w:val="0"/>
          <w:marTop w:val="0"/>
          <w:marBottom w:val="0"/>
          <w:divBdr>
            <w:top w:val="none" w:sz="0" w:space="0" w:color="auto"/>
            <w:left w:val="none" w:sz="0" w:space="0" w:color="auto"/>
            <w:bottom w:val="none" w:sz="0" w:space="0" w:color="auto"/>
            <w:right w:val="none" w:sz="0" w:space="0" w:color="auto"/>
          </w:divBdr>
        </w:div>
      </w:divsChild>
    </w:div>
    <w:div w:id="465895727">
      <w:bodyDiv w:val="1"/>
      <w:marLeft w:val="0"/>
      <w:marRight w:val="0"/>
      <w:marTop w:val="0"/>
      <w:marBottom w:val="0"/>
      <w:divBdr>
        <w:top w:val="none" w:sz="0" w:space="0" w:color="auto"/>
        <w:left w:val="none" w:sz="0" w:space="0" w:color="auto"/>
        <w:bottom w:val="none" w:sz="0" w:space="0" w:color="auto"/>
        <w:right w:val="none" w:sz="0" w:space="0" w:color="auto"/>
      </w:divBdr>
    </w:div>
    <w:div w:id="507646051">
      <w:bodyDiv w:val="1"/>
      <w:marLeft w:val="0"/>
      <w:marRight w:val="0"/>
      <w:marTop w:val="0"/>
      <w:marBottom w:val="0"/>
      <w:divBdr>
        <w:top w:val="none" w:sz="0" w:space="0" w:color="auto"/>
        <w:left w:val="none" w:sz="0" w:space="0" w:color="auto"/>
        <w:bottom w:val="none" w:sz="0" w:space="0" w:color="auto"/>
        <w:right w:val="none" w:sz="0" w:space="0" w:color="auto"/>
      </w:divBdr>
    </w:div>
    <w:div w:id="516308153">
      <w:bodyDiv w:val="1"/>
      <w:marLeft w:val="0"/>
      <w:marRight w:val="0"/>
      <w:marTop w:val="0"/>
      <w:marBottom w:val="0"/>
      <w:divBdr>
        <w:top w:val="none" w:sz="0" w:space="0" w:color="auto"/>
        <w:left w:val="none" w:sz="0" w:space="0" w:color="auto"/>
        <w:bottom w:val="none" w:sz="0" w:space="0" w:color="auto"/>
        <w:right w:val="none" w:sz="0" w:space="0" w:color="auto"/>
      </w:divBdr>
    </w:div>
    <w:div w:id="718937926">
      <w:bodyDiv w:val="1"/>
      <w:marLeft w:val="0"/>
      <w:marRight w:val="0"/>
      <w:marTop w:val="0"/>
      <w:marBottom w:val="0"/>
      <w:divBdr>
        <w:top w:val="none" w:sz="0" w:space="0" w:color="auto"/>
        <w:left w:val="none" w:sz="0" w:space="0" w:color="auto"/>
        <w:bottom w:val="none" w:sz="0" w:space="0" w:color="auto"/>
        <w:right w:val="none" w:sz="0" w:space="0" w:color="auto"/>
      </w:divBdr>
    </w:div>
    <w:div w:id="869537887">
      <w:bodyDiv w:val="1"/>
      <w:marLeft w:val="0"/>
      <w:marRight w:val="0"/>
      <w:marTop w:val="0"/>
      <w:marBottom w:val="0"/>
      <w:divBdr>
        <w:top w:val="none" w:sz="0" w:space="0" w:color="auto"/>
        <w:left w:val="none" w:sz="0" w:space="0" w:color="auto"/>
        <w:bottom w:val="none" w:sz="0" w:space="0" w:color="auto"/>
        <w:right w:val="none" w:sz="0" w:space="0" w:color="auto"/>
      </w:divBdr>
    </w:div>
    <w:div w:id="884489489">
      <w:bodyDiv w:val="1"/>
      <w:marLeft w:val="0"/>
      <w:marRight w:val="0"/>
      <w:marTop w:val="0"/>
      <w:marBottom w:val="0"/>
      <w:divBdr>
        <w:top w:val="none" w:sz="0" w:space="0" w:color="auto"/>
        <w:left w:val="none" w:sz="0" w:space="0" w:color="auto"/>
        <w:bottom w:val="none" w:sz="0" w:space="0" w:color="auto"/>
        <w:right w:val="none" w:sz="0" w:space="0" w:color="auto"/>
      </w:divBdr>
      <w:divsChild>
        <w:div w:id="806511104">
          <w:marLeft w:val="0"/>
          <w:marRight w:val="1"/>
          <w:marTop w:val="0"/>
          <w:marBottom w:val="0"/>
          <w:divBdr>
            <w:top w:val="none" w:sz="0" w:space="0" w:color="auto"/>
            <w:left w:val="none" w:sz="0" w:space="0" w:color="auto"/>
            <w:bottom w:val="none" w:sz="0" w:space="0" w:color="auto"/>
            <w:right w:val="none" w:sz="0" w:space="0" w:color="auto"/>
          </w:divBdr>
          <w:divsChild>
            <w:div w:id="717439776">
              <w:marLeft w:val="0"/>
              <w:marRight w:val="0"/>
              <w:marTop w:val="0"/>
              <w:marBottom w:val="0"/>
              <w:divBdr>
                <w:top w:val="none" w:sz="0" w:space="0" w:color="auto"/>
                <w:left w:val="none" w:sz="0" w:space="0" w:color="auto"/>
                <w:bottom w:val="none" w:sz="0" w:space="0" w:color="auto"/>
                <w:right w:val="none" w:sz="0" w:space="0" w:color="auto"/>
              </w:divBdr>
              <w:divsChild>
                <w:div w:id="1250850889">
                  <w:marLeft w:val="0"/>
                  <w:marRight w:val="1"/>
                  <w:marTop w:val="0"/>
                  <w:marBottom w:val="0"/>
                  <w:divBdr>
                    <w:top w:val="none" w:sz="0" w:space="0" w:color="auto"/>
                    <w:left w:val="none" w:sz="0" w:space="0" w:color="auto"/>
                    <w:bottom w:val="none" w:sz="0" w:space="0" w:color="auto"/>
                    <w:right w:val="none" w:sz="0" w:space="0" w:color="auto"/>
                  </w:divBdr>
                  <w:divsChild>
                    <w:div w:id="1305963619">
                      <w:marLeft w:val="0"/>
                      <w:marRight w:val="0"/>
                      <w:marTop w:val="0"/>
                      <w:marBottom w:val="0"/>
                      <w:divBdr>
                        <w:top w:val="none" w:sz="0" w:space="0" w:color="auto"/>
                        <w:left w:val="none" w:sz="0" w:space="0" w:color="auto"/>
                        <w:bottom w:val="none" w:sz="0" w:space="0" w:color="auto"/>
                        <w:right w:val="none" w:sz="0" w:space="0" w:color="auto"/>
                      </w:divBdr>
                      <w:divsChild>
                        <w:div w:id="1216046706">
                          <w:marLeft w:val="0"/>
                          <w:marRight w:val="0"/>
                          <w:marTop w:val="0"/>
                          <w:marBottom w:val="0"/>
                          <w:divBdr>
                            <w:top w:val="none" w:sz="0" w:space="0" w:color="auto"/>
                            <w:left w:val="none" w:sz="0" w:space="0" w:color="auto"/>
                            <w:bottom w:val="none" w:sz="0" w:space="0" w:color="auto"/>
                            <w:right w:val="none" w:sz="0" w:space="0" w:color="auto"/>
                          </w:divBdr>
                          <w:divsChild>
                            <w:div w:id="936980669">
                              <w:marLeft w:val="0"/>
                              <w:marRight w:val="0"/>
                              <w:marTop w:val="120"/>
                              <w:marBottom w:val="360"/>
                              <w:divBdr>
                                <w:top w:val="none" w:sz="0" w:space="0" w:color="auto"/>
                                <w:left w:val="none" w:sz="0" w:space="0" w:color="auto"/>
                                <w:bottom w:val="none" w:sz="0" w:space="0" w:color="auto"/>
                                <w:right w:val="none" w:sz="0" w:space="0" w:color="auto"/>
                              </w:divBdr>
                              <w:divsChild>
                                <w:div w:id="1803696848">
                                  <w:marLeft w:val="0"/>
                                  <w:marRight w:val="0"/>
                                  <w:marTop w:val="0"/>
                                  <w:marBottom w:val="0"/>
                                  <w:divBdr>
                                    <w:top w:val="none" w:sz="0" w:space="0" w:color="auto"/>
                                    <w:left w:val="none" w:sz="0" w:space="0" w:color="auto"/>
                                    <w:bottom w:val="none" w:sz="0" w:space="0" w:color="auto"/>
                                    <w:right w:val="none" w:sz="0" w:space="0" w:color="auto"/>
                                  </w:divBdr>
                                </w:div>
                                <w:div w:id="11657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367767">
      <w:bodyDiv w:val="1"/>
      <w:marLeft w:val="0"/>
      <w:marRight w:val="0"/>
      <w:marTop w:val="0"/>
      <w:marBottom w:val="0"/>
      <w:divBdr>
        <w:top w:val="none" w:sz="0" w:space="0" w:color="auto"/>
        <w:left w:val="none" w:sz="0" w:space="0" w:color="auto"/>
        <w:bottom w:val="none" w:sz="0" w:space="0" w:color="auto"/>
        <w:right w:val="none" w:sz="0" w:space="0" w:color="auto"/>
      </w:divBdr>
      <w:divsChild>
        <w:div w:id="1023440929">
          <w:marLeft w:val="0"/>
          <w:marRight w:val="0"/>
          <w:marTop w:val="0"/>
          <w:marBottom w:val="0"/>
          <w:divBdr>
            <w:top w:val="none" w:sz="0" w:space="0" w:color="auto"/>
            <w:left w:val="none" w:sz="0" w:space="0" w:color="auto"/>
            <w:bottom w:val="none" w:sz="0" w:space="0" w:color="auto"/>
            <w:right w:val="none" w:sz="0" w:space="0" w:color="auto"/>
          </w:divBdr>
        </w:div>
      </w:divsChild>
    </w:div>
    <w:div w:id="954141364">
      <w:bodyDiv w:val="1"/>
      <w:marLeft w:val="0"/>
      <w:marRight w:val="0"/>
      <w:marTop w:val="0"/>
      <w:marBottom w:val="0"/>
      <w:divBdr>
        <w:top w:val="none" w:sz="0" w:space="0" w:color="auto"/>
        <w:left w:val="none" w:sz="0" w:space="0" w:color="auto"/>
        <w:bottom w:val="none" w:sz="0" w:space="0" w:color="auto"/>
        <w:right w:val="none" w:sz="0" w:space="0" w:color="auto"/>
      </w:divBdr>
      <w:divsChild>
        <w:div w:id="1138450153">
          <w:marLeft w:val="0"/>
          <w:marRight w:val="0"/>
          <w:marTop w:val="0"/>
          <w:marBottom w:val="0"/>
          <w:divBdr>
            <w:top w:val="none" w:sz="0" w:space="0" w:color="auto"/>
            <w:left w:val="none" w:sz="0" w:space="0" w:color="auto"/>
            <w:bottom w:val="none" w:sz="0" w:space="0" w:color="auto"/>
            <w:right w:val="none" w:sz="0" w:space="0" w:color="auto"/>
          </w:divBdr>
          <w:divsChild>
            <w:div w:id="472068952">
              <w:marLeft w:val="0"/>
              <w:marRight w:val="0"/>
              <w:marTop w:val="100"/>
              <w:marBottom w:val="100"/>
              <w:divBdr>
                <w:top w:val="none" w:sz="0" w:space="0" w:color="auto"/>
                <w:left w:val="none" w:sz="0" w:space="0" w:color="auto"/>
                <w:bottom w:val="none" w:sz="0" w:space="0" w:color="auto"/>
                <w:right w:val="none" w:sz="0" w:space="0" w:color="auto"/>
              </w:divBdr>
              <w:divsChild>
                <w:div w:id="1303929867">
                  <w:marLeft w:val="0"/>
                  <w:marRight w:val="0"/>
                  <w:marTop w:val="0"/>
                  <w:marBottom w:val="0"/>
                  <w:divBdr>
                    <w:top w:val="none" w:sz="0" w:space="0" w:color="auto"/>
                    <w:left w:val="none" w:sz="0" w:space="0" w:color="auto"/>
                    <w:bottom w:val="none" w:sz="0" w:space="0" w:color="auto"/>
                    <w:right w:val="none" w:sz="0" w:space="0" w:color="auto"/>
                  </w:divBdr>
                  <w:divsChild>
                    <w:div w:id="427046501">
                      <w:marLeft w:val="0"/>
                      <w:marRight w:val="0"/>
                      <w:marTop w:val="0"/>
                      <w:marBottom w:val="0"/>
                      <w:divBdr>
                        <w:top w:val="none" w:sz="0" w:space="0" w:color="auto"/>
                        <w:left w:val="none" w:sz="0" w:space="0" w:color="auto"/>
                        <w:bottom w:val="none" w:sz="0" w:space="0" w:color="auto"/>
                        <w:right w:val="none" w:sz="0" w:space="0" w:color="auto"/>
                      </w:divBdr>
                      <w:divsChild>
                        <w:div w:id="1579441252">
                          <w:marLeft w:val="0"/>
                          <w:marRight w:val="0"/>
                          <w:marTop w:val="0"/>
                          <w:marBottom w:val="0"/>
                          <w:divBdr>
                            <w:top w:val="none" w:sz="0" w:space="0" w:color="auto"/>
                            <w:left w:val="none" w:sz="0" w:space="0" w:color="auto"/>
                            <w:bottom w:val="none" w:sz="0" w:space="0" w:color="auto"/>
                            <w:right w:val="none" w:sz="0" w:space="0" w:color="auto"/>
                          </w:divBdr>
                          <w:divsChild>
                            <w:div w:id="20632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231190">
      <w:bodyDiv w:val="1"/>
      <w:marLeft w:val="0"/>
      <w:marRight w:val="0"/>
      <w:marTop w:val="0"/>
      <w:marBottom w:val="0"/>
      <w:divBdr>
        <w:top w:val="none" w:sz="0" w:space="0" w:color="auto"/>
        <w:left w:val="none" w:sz="0" w:space="0" w:color="auto"/>
        <w:bottom w:val="none" w:sz="0" w:space="0" w:color="auto"/>
        <w:right w:val="none" w:sz="0" w:space="0" w:color="auto"/>
      </w:divBdr>
    </w:div>
    <w:div w:id="1006135741">
      <w:bodyDiv w:val="1"/>
      <w:marLeft w:val="0"/>
      <w:marRight w:val="0"/>
      <w:marTop w:val="0"/>
      <w:marBottom w:val="0"/>
      <w:divBdr>
        <w:top w:val="none" w:sz="0" w:space="0" w:color="auto"/>
        <w:left w:val="none" w:sz="0" w:space="0" w:color="auto"/>
        <w:bottom w:val="none" w:sz="0" w:space="0" w:color="auto"/>
        <w:right w:val="none" w:sz="0" w:space="0" w:color="auto"/>
      </w:divBdr>
      <w:divsChild>
        <w:div w:id="661159272">
          <w:marLeft w:val="0"/>
          <w:marRight w:val="0"/>
          <w:marTop w:val="0"/>
          <w:marBottom w:val="0"/>
          <w:divBdr>
            <w:top w:val="none" w:sz="0" w:space="0" w:color="auto"/>
            <w:left w:val="none" w:sz="0" w:space="0" w:color="auto"/>
            <w:bottom w:val="none" w:sz="0" w:space="0" w:color="auto"/>
            <w:right w:val="none" w:sz="0" w:space="0" w:color="auto"/>
          </w:divBdr>
        </w:div>
      </w:divsChild>
    </w:div>
    <w:div w:id="1052920025">
      <w:bodyDiv w:val="1"/>
      <w:marLeft w:val="0"/>
      <w:marRight w:val="0"/>
      <w:marTop w:val="0"/>
      <w:marBottom w:val="0"/>
      <w:divBdr>
        <w:top w:val="none" w:sz="0" w:space="0" w:color="auto"/>
        <w:left w:val="none" w:sz="0" w:space="0" w:color="auto"/>
        <w:bottom w:val="none" w:sz="0" w:space="0" w:color="auto"/>
        <w:right w:val="none" w:sz="0" w:space="0" w:color="auto"/>
      </w:divBdr>
    </w:div>
    <w:div w:id="1080560601">
      <w:bodyDiv w:val="1"/>
      <w:marLeft w:val="0"/>
      <w:marRight w:val="0"/>
      <w:marTop w:val="0"/>
      <w:marBottom w:val="0"/>
      <w:divBdr>
        <w:top w:val="none" w:sz="0" w:space="0" w:color="auto"/>
        <w:left w:val="none" w:sz="0" w:space="0" w:color="auto"/>
        <w:bottom w:val="none" w:sz="0" w:space="0" w:color="auto"/>
        <w:right w:val="none" w:sz="0" w:space="0" w:color="auto"/>
      </w:divBdr>
      <w:divsChild>
        <w:div w:id="721490458">
          <w:marLeft w:val="0"/>
          <w:marRight w:val="0"/>
          <w:marTop w:val="0"/>
          <w:marBottom w:val="0"/>
          <w:divBdr>
            <w:top w:val="none" w:sz="0" w:space="0" w:color="auto"/>
            <w:left w:val="none" w:sz="0" w:space="0" w:color="auto"/>
            <w:bottom w:val="none" w:sz="0" w:space="0" w:color="auto"/>
            <w:right w:val="none" w:sz="0" w:space="0" w:color="auto"/>
          </w:divBdr>
        </w:div>
        <w:div w:id="2143841723">
          <w:marLeft w:val="0"/>
          <w:marRight w:val="0"/>
          <w:marTop w:val="0"/>
          <w:marBottom w:val="0"/>
          <w:divBdr>
            <w:top w:val="none" w:sz="0" w:space="0" w:color="auto"/>
            <w:left w:val="none" w:sz="0" w:space="0" w:color="auto"/>
            <w:bottom w:val="none" w:sz="0" w:space="0" w:color="auto"/>
            <w:right w:val="none" w:sz="0" w:space="0" w:color="auto"/>
          </w:divBdr>
        </w:div>
      </w:divsChild>
    </w:div>
    <w:div w:id="1121190991">
      <w:bodyDiv w:val="1"/>
      <w:marLeft w:val="0"/>
      <w:marRight w:val="0"/>
      <w:marTop w:val="0"/>
      <w:marBottom w:val="0"/>
      <w:divBdr>
        <w:top w:val="none" w:sz="0" w:space="0" w:color="auto"/>
        <w:left w:val="none" w:sz="0" w:space="0" w:color="auto"/>
        <w:bottom w:val="none" w:sz="0" w:space="0" w:color="auto"/>
        <w:right w:val="none" w:sz="0" w:space="0" w:color="auto"/>
      </w:divBdr>
      <w:divsChild>
        <w:div w:id="132451250">
          <w:marLeft w:val="0"/>
          <w:marRight w:val="0"/>
          <w:marTop w:val="0"/>
          <w:marBottom w:val="0"/>
          <w:divBdr>
            <w:top w:val="none" w:sz="0" w:space="0" w:color="auto"/>
            <w:left w:val="none" w:sz="0" w:space="0" w:color="auto"/>
            <w:bottom w:val="none" w:sz="0" w:space="0" w:color="auto"/>
            <w:right w:val="none" w:sz="0" w:space="0" w:color="auto"/>
          </w:divBdr>
        </w:div>
      </w:divsChild>
    </w:div>
    <w:div w:id="1131628828">
      <w:bodyDiv w:val="1"/>
      <w:marLeft w:val="0"/>
      <w:marRight w:val="0"/>
      <w:marTop w:val="0"/>
      <w:marBottom w:val="0"/>
      <w:divBdr>
        <w:top w:val="none" w:sz="0" w:space="0" w:color="auto"/>
        <w:left w:val="none" w:sz="0" w:space="0" w:color="auto"/>
        <w:bottom w:val="none" w:sz="0" w:space="0" w:color="auto"/>
        <w:right w:val="none" w:sz="0" w:space="0" w:color="auto"/>
      </w:divBdr>
    </w:div>
    <w:div w:id="1152794331">
      <w:bodyDiv w:val="1"/>
      <w:marLeft w:val="0"/>
      <w:marRight w:val="0"/>
      <w:marTop w:val="0"/>
      <w:marBottom w:val="0"/>
      <w:divBdr>
        <w:top w:val="none" w:sz="0" w:space="0" w:color="auto"/>
        <w:left w:val="none" w:sz="0" w:space="0" w:color="auto"/>
        <w:bottom w:val="none" w:sz="0" w:space="0" w:color="auto"/>
        <w:right w:val="none" w:sz="0" w:space="0" w:color="auto"/>
      </w:divBdr>
    </w:div>
    <w:div w:id="1202329515">
      <w:bodyDiv w:val="1"/>
      <w:marLeft w:val="0"/>
      <w:marRight w:val="0"/>
      <w:marTop w:val="0"/>
      <w:marBottom w:val="0"/>
      <w:divBdr>
        <w:top w:val="none" w:sz="0" w:space="0" w:color="auto"/>
        <w:left w:val="none" w:sz="0" w:space="0" w:color="auto"/>
        <w:bottom w:val="none" w:sz="0" w:space="0" w:color="auto"/>
        <w:right w:val="none" w:sz="0" w:space="0" w:color="auto"/>
      </w:divBdr>
    </w:div>
    <w:div w:id="1237933301">
      <w:bodyDiv w:val="1"/>
      <w:marLeft w:val="0"/>
      <w:marRight w:val="0"/>
      <w:marTop w:val="0"/>
      <w:marBottom w:val="0"/>
      <w:divBdr>
        <w:top w:val="none" w:sz="0" w:space="0" w:color="auto"/>
        <w:left w:val="none" w:sz="0" w:space="0" w:color="auto"/>
        <w:bottom w:val="none" w:sz="0" w:space="0" w:color="auto"/>
        <w:right w:val="none" w:sz="0" w:space="0" w:color="auto"/>
      </w:divBdr>
    </w:div>
    <w:div w:id="1246066651">
      <w:bodyDiv w:val="1"/>
      <w:marLeft w:val="0"/>
      <w:marRight w:val="0"/>
      <w:marTop w:val="0"/>
      <w:marBottom w:val="0"/>
      <w:divBdr>
        <w:top w:val="none" w:sz="0" w:space="0" w:color="auto"/>
        <w:left w:val="none" w:sz="0" w:space="0" w:color="auto"/>
        <w:bottom w:val="none" w:sz="0" w:space="0" w:color="auto"/>
        <w:right w:val="none" w:sz="0" w:space="0" w:color="auto"/>
      </w:divBdr>
      <w:divsChild>
        <w:div w:id="686059953">
          <w:marLeft w:val="0"/>
          <w:marRight w:val="1"/>
          <w:marTop w:val="0"/>
          <w:marBottom w:val="0"/>
          <w:divBdr>
            <w:top w:val="none" w:sz="0" w:space="0" w:color="auto"/>
            <w:left w:val="none" w:sz="0" w:space="0" w:color="auto"/>
            <w:bottom w:val="none" w:sz="0" w:space="0" w:color="auto"/>
            <w:right w:val="none" w:sz="0" w:space="0" w:color="auto"/>
          </w:divBdr>
          <w:divsChild>
            <w:div w:id="515465330">
              <w:marLeft w:val="0"/>
              <w:marRight w:val="0"/>
              <w:marTop w:val="0"/>
              <w:marBottom w:val="0"/>
              <w:divBdr>
                <w:top w:val="none" w:sz="0" w:space="0" w:color="auto"/>
                <w:left w:val="none" w:sz="0" w:space="0" w:color="auto"/>
                <w:bottom w:val="none" w:sz="0" w:space="0" w:color="auto"/>
                <w:right w:val="none" w:sz="0" w:space="0" w:color="auto"/>
              </w:divBdr>
              <w:divsChild>
                <w:div w:id="790788736">
                  <w:marLeft w:val="0"/>
                  <w:marRight w:val="0"/>
                  <w:marTop w:val="0"/>
                  <w:marBottom w:val="0"/>
                  <w:divBdr>
                    <w:top w:val="none" w:sz="0" w:space="0" w:color="auto"/>
                    <w:left w:val="none" w:sz="0" w:space="0" w:color="auto"/>
                    <w:bottom w:val="none" w:sz="0" w:space="0" w:color="auto"/>
                    <w:right w:val="none" w:sz="0" w:space="0" w:color="auto"/>
                  </w:divBdr>
                  <w:divsChild>
                    <w:div w:id="1039548335">
                      <w:marLeft w:val="0"/>
                      <w:marRight w:val="0"/>
                      <w:marTop w:val="0"/>
                      <w:marBottom w:val="0"/>
                      <w:divBdr>
                        <w:top w:val="none" w:sz="0" w:space="0" w:color="auto"/>
                        <w:left w:val="none" w:sz="0" w:space="0" w:color="auto"/>
                        <w:bottom w:val="none" w:sz="0" w:space="0" w:color="auto"/>
                        <w:right w:val="none" w:sz="0" w:space="0" w:color="auto"/>
                      </w:divBdr>
                      <w:divsChild>
                        <w:div w:id="217278129">
                          <w:marLeft w:val="0"/>
                          <w:marRight w:val="0"/>
                          <w:marTop w:val="0"/>
                          <w:marBottom w:val="0"/>
                          <w:divBdr>
                            <w:top w:val="none" w:sz="0" w:space="0" w:color="auto"/>
                            <w:left w:val="none" w:sz="0" w:space="0" w:color="auto"/>
                            <w:bottom w:val="none" w:sz="0" w:space="0" w:color="auto"/>
                            <w:right w:val="none" w:sz="0" w:space="0" w:color="auto"/>
                          </w:divBdr>
                          <w:divsChild>
                            <w:div w:id="1502308666">
                              <w:marLeft w:val="0"/>
                              <w:marRight w:val="0"/>
                              <w:marTop w:val="0"/>
                              <w:marBottom w:val="0"/>
                              <w:divBdr>
                                <w:top w:val="none" w:sz="0" w:space="0" w:color="auto"/>
                                <w:left w:val="none" w:sz="0" w:space="0" w:color="auto"/>
                                <w:bottom w:val="none" w:sz="0" w:space="0" w:color="auto"/>
                                <w:right w:val="none" w:sz="0" w:space="0" w:color="auto"/>
                              </w:divBdr>
                              <w:divsChild>
                                <w:div w:id="1421871497">
                                  <w:marLeft w:val="0"/>
                                  <w:marRight w:val="0"/>
                                  <w:marTop w:val="185"/>
                                  <w:marBottom w:val="517"/>
                                  <w:divBdr>
                                    <w:top w:val="single" w:sz="36" w:space="6" w:color="97B0C8"/>
                                    <w:left w:val="none" w:sz="0" w:space="0" w:color="auto"/>
                                    <w:bottom w:val="none" w:sz="0" w:space="0" w:color="auto"/>
                                    <w:right w:val="none" w:sz="0" w:space="0" w:color="auto"/>
                                  </w:divBdr>
                                  <w:divsChild>
                                    <w:div w:id="6685705">
                                      <w:marLeft w:val="0"/>
                                      <w:marRight w:val="0"/>
                                      <w:marTop w:val="0"/>
                                      <w:marBottom w:val="0"/>
                                      <w:divBdr>
                                        <w:top w:val="none" w:sz="0" w:space="0" w:color="auto"/>
                                        <w:left w:val="none" w:sz="0" w:space="0" w:color="auto"/>
                                        <w:bottom w:val="none" w:sz="0" w:space="0" w:color="auto"/>
                                        <w:right w:val="none" w:sz="0" w:space="0" w:color="auto"/>
                                      </w:divBdr>
                                      <w:divsChild>
                                        <w:div w:id="470900466">
                                          <w:marLeft w:val="0"/>
                                          <w:marRight w:val="0"/>
                                          <w:marTop w:val="0"/>
                                          <w:marBottom w:val="0"/>
                                          <w:divBdr>
                                            <w:top w:val="none" w:sz="0" w:space="0" w:color="auto"/>
                                            <w:left w:val="none" w:sz="0" w:space="0" w:color="auto"/>
                                            <w:bottom w:val="none" w:sz="0" w:space="0" w:color="auto"/>
                                            <w:right w:val="none" w:sz="0" w:space="0" w:color="auto"/>
                                          </w:divBdr>
                                          <w:divsChild>
                                            <w:div w:id="1286696218">
                                              <w:marLeft w:val="0"/>
                                              <w:marRight w:val="0"/>
                                              <w:marTop w:val="0"/>
                                              <w:marBottom w:val="0"/>
                                              <w:divBdr>
                                                <w:top w:val="none" w:sz="0" w:space="0" w:color="auto"/>
                                                <w:left w:val="none" w:sz="0" w:space="0" w:color="auto"/>
                                                <w:bottom w:val="none" w:sz="0" w:space="0" w:color="auto"/>
                                                <w:right w:val="none" w:sz="0" w:space="0" w:color="auto"/>
                                              </w:divBdr>
                                              <w:divsChild>
                                                <w:div w:id="255482721">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0061593">
      <w:bodyDiv w:val="1"/>
      <w:marLeft w:val="0"/>
      <w:marRight w:val="0"/>
      <w:marTop w:val="0"/>
      <w:marBottom w:val="0"/>
      <w:divBdr>
        <w:top w:val="none" w:sz="0" w:space="0" w:color="auto"/>
        <w:left w:val="none" w:sz="0" w:space="0" w:color="auto"/>
        <w:bottom w:val="none" w:sz="0" w:space="0" w:color="auto"/>
        <w:right w:val="none" w:sz="0" w:space="0" w:color="auto"/>
      </w:divBdr>
    </w:div>
    <w:div w:id="1334261170">
      <w:bodyDiv w:val="1"/>
      <w:marLeft w:val="0"/>
      <w:marRight w:val="0"/>
      <w:marTop w:val="0"/>
      <w:marBottom w:val="0"/>
      <w:divBdr>
        <w:top w:val="none" w:sz="0" w:space="0" w:color="auto"/>
        <w:left w:val="none" w:sz="0" w:space="0" w:color="auto"/>
        <w:bottom w:val="none" w:sz="0" w:space="0" w:color="auto"/>
        <w:right w:val="none" w:sz="0" w:space="0" w:color="auto"/>
      </w:divBdr>
    </w:div>
    <w:div w:id="1347365183">
      <w:bodyDiv w:val="1"/>
      <w:marLeft w:val="0"/>
      <w:marRight w:val="0"/>
      <w:marTop w:val="0"/>
      <w:marBottom w:val="0"/>
      <w:divBdr>
        <w:top w:val="none" w:sz="0" w:space="0" w:color="auto"/>
        <w:left w:val="none" w:sz="0" w:space="0" w:color="auto"/>
        <w:bottom w:val="none" w:sz="0" w:space="0" w:color="auto"/>
        <w:right w:val="none" w:sz="0" w:space="0" w:color="auto"/>
      </w:divBdr>
    </w:div>
    <w:div w:id="1405451945">
      <w:bodyDiv w:val="1"/>
      <w:marLeft w:val="0"/>
      <w:marRight w:val="0"/>
      <w:marTop w:val="0"/>
      <w:marBottom w:val="0"/>
      <w:divBdr>
        <w:top w:val="none" w:sz="0" w:space="0" w:color="auto"/>
        <w:left w:val="none" w:sz="0" w:space="0" w:color="auto"/>
        <w:bottom w:val="none" w:sz="0" w:space="0" w:color="auto"/>
        <w:right w:val="none" w:sz="0" w:space="0" w:color="auto"/>
      </w:divBdr>
    </w:div>
    <w:div w:id="1409115459">
      <w:bodyDiv w:val="1"/>
      <w:marLeft w:val="0"/>
      <w:marRight w:val="0"/>
      <w:marTop w:val="0"/>
      <w:marBottom w:val="0"/>
      <w:divBdr>
        <w:top w:val="none" w:sz="0" w:space="0" w:color="auto"/>
        <w:left w:val="none" w:sz="0" w:space="0" w:color="auto"/>
        <w:bottom w:val="none" w:sz="0" w:space="0" w:color="auto"/>
        <w:right w:val="none" w:sz="0" w:space="0" w:color="auto"/>
      </w:divBdr>
    </w:div>
    <w:div w:id="1450933428">
      <w:bodyDiv w:val="1"/>
      <w:marLeft w:val="0"/>
      <w:marRight w:val="0"/>
      <w:marTop w:val="0"/>
      <w:marBottom w:val="0"/>
      <w:divBdr>
        <w:top w:val="none" w:sz="0" w:space="0" w:color="auto"/>
        <w:left w:val="none" w:sz="0" w:space="0" w:color="auto"/>
        <w:bottom w:val="none" w:sz="0" w:space="0" w:color="auto"/>
        <w:right w:val="none" w:sz="0" w:space="0" w:color="auto"/>
      </w:divBdr>
      <w:divsChild>
        <w:div w:id="1795443046">
          <w:marLeft w:val="0"/>
          <w:marRight w:val="0"/>
          <w:marTop w:val="0"/>
          <w:marBottom w:val="0"/>
          <w:divBdr>
            <w:top w:val="none" w:sz="0" w:space="0" w:color="auto"/>
            <w:left w:val="none" w:sz="0" w:space="0" w:color="auto"/>
            <w:bottom w:val="none" w:sz="0" w:space="0" w:color="auto"/>
            <w:right w:val="none" w:sz="0" w:space="0" w:color="auto"/>
          </w:divBdr>
        </w:div>
        <w:div w:id="2004579833">
          <w:marLeft w:val="0"/>
          <w:marRight w:val="0"/>
          <w:marTop w:val="0"/>
          <w:marBottom w:val="0"/>
          <w:divBdr>
            <w:top w:val="none" w:sz="0" w:space="0" w:color="auto"/>
            <w:left w:val="none" w:sz="0" w:space="0" w:color="auto"/>
            <w:bottom w:val="none" w:sz="0" w:space="0" w:color="auto"/>
            <w:right w:val="none" w:sz="0" w:space="0" w:color="auto"/>
          </w:divBdr>
        </w:div>
        <w:div w:id="145827845">
          <w:marLeft w:val="0"/>
          <w:marRight w:val="0"/>
          <w:marTop w:val="0"/>
          <w:marBottom w:val="0"/>
          <w:divBdr>
            <w:top w:val="none" w:sz="0" w:space="0" w:color="auto"/>
            <w:left w:val="none" w:sz="0" w:space="0" w:color="auto"/>
            <w:bottom w:val="none" w:sz="0" w:space="0" w:color="auto"/>
            <w:right w:val="none" w:sz="0" w:space="0" w:color="auto"/>
          </w:divBdr>
        </w:div>
      </w:divsChild>
    </w:div>
    <w:div w:id="1481654367">
      <w:bodyDiv w:val="1"/>
      <w:marLeft w:val="0"/>
      <w:marRight w:val="0"/>
      <w:marTop w:val="0"/>
      <w:marBottom w:val="0"/>
      <w:divBdr>
        <w:top w:val="none" w:sz="0" w:space="0" w:color="auto"/>
        <w:left w:val="none" w:sz="0" w:space="0" w:color="auto"/>
        <w:bottom w:val="none" w:sz="0" w:space="0" w:color="auto"/>
        <w:right w:val="none" w:sz="0" w:space="0" w:color="auto"/>
      </w:divBdr>
    </w:div>
    <w:div w:id="1575891995">
      <w:bodyDiv w:val="1"/>
      <w:marLeft w:val="0"/>
      <w:marRight w:val="0"/>
      <w:marTop w:val="0"/>
      <w:marBottom w:val="0"/>
      <w:divBdr>
        <w:top w:val="none" w:sz="0" w:space="0" w:color="auto"/>
        <w:left w:val="none" w:sz="0" w:space="0" w:color="auto"/>
        <w:bottom w:val="none" w:sz="0" w:space="0" w:color="auto"/>
        <w:right w:val="none" w:sz="0" w:space="0" w:color="auto"/>
      </w:divBdr>
      <w:divsChild>
        <w:div w:id="1494102192">
          <w:marLeft w:val="0"/>
          <w:marRight w:val="0"/>
          <w:marTop w:val="0"/>
          <w:marBottom w:val="0"/>
          <w:divBdr>
            <w:top w:val="none" w:sz="0" w:space="0" w:color="auto"/>
            <w:left w:val="none" w:sz="0" w:space="0" w:color="auto"/>
            <w:bottom w:val="none" w:sz="0" w:space="0" w:color="auto"/>
            <w:right w:val="none" w:sz="0" w:space="0" w:color="auto"/>
          </w:divBdr>
        </w:div>
        <w:div w:id="1962220275">
          <w:marLeft w:val="0"/>
          <w:marRight w:val="0"/>
          <w:marTop w:val="0"/>
          <w:marBottom w:val="0"/>
          <w:divBdr>
            <w:top w:val="none" w:sz="0" w:space="0" w:color="auto"/>
            <w:left w:val="none" w:sz="0" w:space="0" w:color="auto"/>
            <w:bottom w:val="none" w:sz="0" w:space="0" w:color="auto"/>
            <w:right w:val="none" w:sz="0" w:space="0" w:color="auto"/>
          </w:divBdr>
        </w:div>
      </w:divsChild>
    </w:div>
    <w:div w:id="1628655700">
      <w:bodyDiv w:val="1"/>
      <w:marLeft w:val="0"/>
      <w:marRight w:val="0"/>
      <w:marTop w:val="0"/>
      <w:marBottom w:val="0"/>
      <w:divBdr>
        <w:top w:val="none" w:sz="0" w:space="0" w:color="auto"/>
        <w:left w:val="none" w:sz="0" w:space="0" w:color="auto"/>
        <w:bottom w:val="none" w:sz="0" w:space="0" w:color="auto"/>
        <w:right w:val="none" w:sz="0" w:space="0" w:color="auto"/>
      </w:divBdr>
    </w:div>
    <w:div w:id="1631281526">
      <w:bodyDiv w:val="1"/>
      <w:marLeft w:val="0"/>
      <w:marRight w:val="0"/>
      <w:marTop w:val="0"/>
      <w:marBottom w:val="0"/>
      <w:divBdr>
        <w:top w:val="none" w:sz="0" w:space="0" w:color="auto"/>
        <w:left w:val="none" w:sz="0" w:space="0" w:color="auto"/>
        <w:bottom w:val="none" w:sz="0" w:space="0" w:color="auto"/>
        <w:right w:val="none" w:sz="0" w:space="0" w:color="auto"/>
      </w:divBdr>
    </w:div>
    <w:div w:id="1632788484">
      <w:bodyDiv w:val="1"/>
      <w:marLeft w:val="0"/>
      <w:marRight w:val="0"/>
      <w:marTop w:val="0"/>
      <w:marBottom w:val="0"/>
      <w:divBdr>
        <w:top w:val="none" w:sz="0" w:space="0" w:color="auto"/>
        <w:left w:val="none" w:sz="0" w:space="0" w:color="auto"/>
        <w:bottom w:val="none" w:sz="0" w:space="0" w:color="auto"/>
        <w:right w:val="none" w:sz="0" w:space="0" w:color="auto"/>
      </w:divBdr>
    </w:div>
    <w:div w:id="1640761378">
      <w:bodyDiv w:val="1"/>
      <w:marLeft w:val="0"/>
      <w:marRight w:val="0"/>
      <w:marTop w:val="0"/>
      <w:marBottom w:val="0"/>
      <w:divBdr>
        <w:top w:val="none" w:sz="0" w:space="0" w:color="auto"/>
        <w:left w:val="none" w:sz="0" w:space="0" w:color="auto"/>
        <w:bottom w:val="none" w:sz="0" w:space="0" w:color="auto"/>
        <w:right w:val="none" w:sz="0" w:space="0" w:color="auto"/>
      </w:divBdr>
      <w:divsChild>
        <w:div w:id="1566184041">
          <w:marLeft w:val="0"/>
          <w:marRight w:val="0"/>
          <w:marTop w:val="0"/>
          <w:marBottom w:val="0"/>
          <w:divBdr>
            <w:top w:val="none" w:sz="0" w:space="0" w:color="auto"/>
            <w:left w:val="none" w:sz="0" w:space="0" w:color="auto"/>
            <w:bottom w:val="none" w:sz="0" w:space="0" w:color="auto"/>
            <w:right w:val="none" w:sz="0" w:space="0" w:color="auto"/>
          </w:divBdr>
        </w:div>
      </w:divsChild>
    </w:div>
    <w:div w:id="1724256930">
      <w:bodyDiv w:val="1"/>
      <w:marLeft w:val="0"/>
      <w:marRight w:val="0"/>
      <w:marTop w:val="0"/>
      <w:marBottom w:val="0"/>
      <w:divBdr>
        <w:top w:val="none" w:sz="0" w:space="0" w:color="auto"/>
        <w:left w:val="none" w:sz="0" w:space="0" w:color="auto"/>
        <w:bottom w:val="none" w:sz="0" w:space="0" w:color="auto"/>
        <w:right w:val="none" w:sz="0" w:space="0" w:color="auto"/>
      </w:divBdr>
      <w:divsChild>
        <w:div w:id="1253398343">
          <w:marLeft w:val="360"/>
          <w:marRight w:val="0"/>
          <w:marTop w:val="0"/>
          <w:marBottom w:val="0"/>
          <w:divBdr>
            <w:top w:val="none" w:sz="0" w:space="0" w:color="auto"/>
            <w:left w:val="none" w:sz="0" w:space="0" w:color="auto"/>
            <w:bottom w:val="none" w:sz="0" w:space="0" w:color="auto"/>
            <w:right w:val="none" w:sz="0" w:space="0" w:color="auto"/>
          </w:divBdr>
        </w:div>
      </w:divsChild>
    </w:div>
    <w:div w:id="1742217660">
      <w:bodyDiv w:val="1"/>
      <w:marLeft w:val="0"/>
      <w:marRight w:val="0"/>
      <w:marTop w:val="0"/>
      <w:marBottom w:val="0"/>
      <w:divBdr>
        <w:top w:val="none" w:sz="0" w:space="0" w:color="auto"/>
        <w:left w:val="none" w:sz="0" w:space="0" w:color="auto"/>
        <w:bottom w:val="none" w:sz="0" w:space="0" w:color="auto"/>
        <w:right w:val="none" w:sz="0" w:space="0" w:color="auto"/>
      </w:divBdr>
      <w:divsChild>
        <w:div w:id="1150098717">
          <w:marLeft w:val="0"/>
          <w:marRight w:val="0"/>
          <w:marTop w:val="0"/>
          <w:marBottom w:val="0"/>
          <w:divBdr>
            <w:top w:val="none" w:sz="0" w:space="0" w:color="auto"/>
            <w:left w:val="none" w:sz="0" w:space="0" w:color="auto"/>
            <w:bottom w:val="none" w:sz="0" w:space="0" w:color="auto"/>
            <w:right w:val="none" w:sz="0" w:space="0" w:color="auto"/>
          </w:divBdr>
          <w:divsChild>
            <w:div w:id="192772533">
              <w:marLeft w:val="0"/>
              <w:marRight w:val="0"/>
              <w:marTop w:val="100"/>
              <w:marBottom w:val="100"/>
              <w:divBdr>
                <w:top w:val="none" w:sz="0" w:space="0" w:color="auto"/>
                <w:left w:val="none" w:sz="0" w:space="0" w:color="auto"/>
                <w:bottom w:val="none" w:sz="0" w:space="0" w:color="auto"/>
                <w:right w:val="none" w:sz="0" w:space="0" w:color="auto"/>
              </w:divBdr>
              <w:divsChild>
                <w:div w:id="59400589">
                  <w:marLeft w:val="0"/>
                  <w:marRight w:val="0"/>
                  <w:marTop w:val="0"/>
                  <w:marBottom w:val="0"/>
                  <w:divBdr>
                    <w:top w:val="none" w:sz="0" w:space="0" w:color="auto"/>
                    <w:left w:val="none" w:sz="0" w:space="0" w:color="auto"/>
                    <w:bottom w:val="none" w:sz="0" w:space="0" w:color="auto"/>
                    <w:right w:val="none" w:sz="0" w:space="0" w:color="auto"/>
                  </w:divBdr>
                  <w:divsChild>
                    <w:div w:id="1786149990">
                      <w:marLeft w:val="0"/>
                      <w:marRight w:val="0"/>
                      <w:marTop w:val="0"/>
                      <w:marBottom w:val="0"/>
                      <w:divBdr>
                        <w:top w:val="none" w:sz="0" w:space="0" w:color="auto"/>
                        <w:left w:val="none" w:sz="0" w:space="0" w:color="auto"/>
                        <w:bottom w:val="none" w:sz="0" w:space="0" w:color="auto"/>
                        <w:right w:val="none" w:sz="0" w:space="0" w:color="auto"/>
                      </w:divBdr>
                      <w:divsChild>
                        <w:div w:id="481313613">
                          <w:marLeft w:val="0"/>
                          <w:marRight w:val="0"/>
                          <w:marTop w:val="0"/>
                          <w:marBottom w:val="0"/>
                          <w:divBdr>
                            <w:top w:val="none" w:sz="0" w:space="0" w:color="auto"/>
                            <w:left w:val="none" w:sz="0" w:space="0" w:color="auto"/>
                            <w:bottom w:val="none" w:sz="0" w:space="0" w:color="auto"/>
                            <w:right w:val="none" w:sz="0" w:space="0" w:color="auto"/>
                          </w:divBdr>
                          <w:divsChild>
                            <w:div w:id="83179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454621">
      <w:bodyDiv w:val="1"/>
      <w:marLeft w:val="0"/>
      <w:marRight w:val="0"/>
      <w:marTop w:val="0"/>
      <w:marBottom w:val="0"/>
      <w:divBdr>
        <w:top w:val="none" w:sz="0" w:space="0" w:color="auto"/>
        <w:left w:val="none" w:sz="0" w:space="0" w:color="auto"/>
        <w:bottom w:val="none" w:sz="0" w:space="0" w:color="auto"/>
        <w:right w:val="none" w:sz="0" w:space="0" w:color="auto"/>
      </w:divBdr>
    </w:div>
    <w:div w:id="1783260153">
      <w:bodyDiv w:val="1"/>
      <w:marLeft w:val="0"/>
      <w:marRight w:val="0"/>
      <w:marTop w:val="0"/>
      <w:marBottom w:val="0"/>
      <w:divBdr>
        <w:top w:val="none" w:sz="0" w:space="0" w:color="auto"/>
        <w:left w:val="none" w:sz="0" w:space="0" w:color="auto"/>
        <w:bottom w:val="none" w:sz="0" w:space="0" w:color="auto"/>
        <w:right w:val="none" w:sz="0" w:space="0" w:color="auto"/>
      </w:divBdr>
      <w:divsChild>
        <w:div w:id="27998785">
          <w:marLeft w:val="0"/>
          <w:marRight w:val="0"/>
          <w:marTop w:val="0"/>
          <w:marBottom w:val="0"/>
          <w:divBdr>
            <w:top w:val="none" w:sz="0" w:space="0" w:color="auto"/>
            <w:left w:val="none" w:sz="0" w:space="0" w:color="auto"/>
            <w:bottom w:val="none" w:sz="0" w:space="0" w:color="auto"/>
            <w:right w:val="none" w:sz="0" w:space="0" w:color="auto"/>
          </w:divBdr>
        </w:div>
        <w:div w:id="1765808329">
          <w:marLeft w:val="0"/>
          <w:marRight w:val="0"/>
          <w:marTop w:val="0"/>
          <w:marBottom w:val="0"/>
          <w:divBdr>
            <w:top w:val="none" w:sz="0" w:space="0" w:color="auto"/>
            <w:left w:val="none" w:sz="0" w:space="0" w:color="auto"/>
            <w:bottom w:val="none" w:sz="0" w:space="0" w:color="auto"/>
            <w:right w:val="none" w:sz="0" w:space="0" w:color="auto"/>
          </w:divBdr>
        </w:div>
      </w:divsChild>
    </w:div>
    <w:div w:id="1805613704">
      <w:bodyDiv w:val="1"/>
      <w:marLeft w:val="0"/>
      <w:marRight w:val="0"/>
      <w:marTop w:val="0"/>
      <w:marBottom w:val="0"/>
      <w:divBdr>
        <w:top w:val="none" w:sz="0" w:space="0" w:color="auto"/>
        <w:left w:val="none" w:sz="0" w:space="0" w:color="auto"/>
        <w:bottom w:val="none" w:sz="0" w:space="0" w:color="auto"/>
        <w:right w:val="none" w:sz="0" w:space="0" w:color="auto"/>
      </w:divBdr>
    </w:div>
    <w:div w:id="1816338253">
      <w:bodyDiv w:val="1"/>
      <w:marLeft w:val="0"/>
      <w:marRight w:val="0"/>
      <w:marTop w:val="0"/>
      <w:marBottom w:val="0"/>
      <w:divBdr>
        <w:top w:val="none" w:sz="0" w:space="0" w:color="auto"/>
        <w:left w:val="none" w:sz="0" w:space="0" w:color="auto"/>
        <w:bottom w:val="none" w:sz="0" w:space="0" w:color="auto"/>
        <w:right w:val="none" w:sz="0" w:space="0" w:color="auto"/>
      </w:divBdr>
      <w:divsChild>
        <w:div w:id="1067220366">
          <w:marLeft w:val="0"/>
          <w:marRight w:val="0"/>
          <w:marTop w:val="0"/>
          <w:marBottom w:val="0"/>
          <w:divBdr>
            <w:top w:val="none" w:sz="0" w:space="0" w:color="auto"/>
            <w:left w:val="none" w:sz="0" w:space="0" w:color="auto"/>
            <w:bottom w:val="none" w:sz="0" w:space="0" w:color="auto"/>
            <w:right w:val="none" w:sz="0" w:space="0" w:color="auto"/>
          </w:divBdr>
          <w:divsChild>
            <w:div w:id="83916688">
              <w:marLeft w:val="0"/>
              <w:marRight w:val="0"/>
              <w:marTop w:val="0"/>
              <w:marBottom w:val="0"/>
              <w:divBdr>
                <w:top w:val="none" w:sz="0" w:space="0" w:color="auto"/>
                <w:left w:val="none" w:sz="0" w:space="0" w:color="auto"/>
                <w:bottom w:val="none" w:sz="0" w:space="0" w:color="auto"/>
                <w:right w:val="none" w:sz="0" w:space="0" w:color="auto"/>
              </w:divBdr>
            </w:div>
            <w:div w:id="1802189276">
              <w:marLeft w:val="0"/>
              <w:marRight w:val="0"/>
              <w:marTop w:val="0"/>
              <w:marBottom w:val="0"/>
              <w:divBdr>
                <w:top w:val="none" w:sz="0" w:space="0" w:color="auto"/>
                <w:left w:val="none" w:sz="0" w:space="0" w:color="auto"/>
                <w:bottom w:val="none" w:sz="0" w:space="0" w:color="auto"/>
                <w:right w:val="none" w:sz="0" w:space="0" w:color="auto"/>
              </w:divBdr>
            </w:div>
            <w:div w:id="964698055">
              <w:marLeft w:val="0"/>
              <w:marRight w:val="0"/>
              <w:marTop w:val="0"/>
              <w:marBottom w:val="0"/>
              <w:divBdr>
                <w:top w:val="none" w:sz="0" w:space="0" w:color="auto"/>
                <w:left w:val="none" w:sz="0" w:space="0" w:color="auto"/>
                <w:bottom w:val="none" w:sz="0" w:space="0" w:color="auto"/>
                <w:right w:val="none" w:sz="0" w:space="0" w:color="auto"/>
              </w:divBdr>
            </w:div>
            <w:div w:id="444690796">
              <w:marLeft w:val="0"/>
              <w:marRight w:val="0"/>
              <w:marTop w:val="0"/>
              <w:marBottom w:val="0"/>
              <w:divBdr>
                <w:top w:val="none" w:sz="0" w:space="0" w:color="auto"/>
                <w:left w:val="none" w:sz="0" w:space="0" w:color="auto"/>
                <w:bottom w:val="none" w:sz="0" w:space="0" w:color="auto"/>
                <w:right w:val="none" w:sz="0" w:space="0" w:color="auto"/>
              </w:divBdr>
            </w:div>
            <w:div w:id="1596280134">
              <w:marLeft w:val="0"/>
              <w:marRight w:val="0"/>
              <w:marTop w:val="0"/>
              <w:marBottom w:val="0"/>
              <w:divBdr>
                <w:top w:val="none" w:sz="0" w:space="0" w:color="auto"/>
                <w:left w:val="none" w:sz="0" w:space="0" w:color="auto"/>
                <w:bottom w:val="none" w:sz="0" w:space="0" w:color="auto"/>
                <w:right w:val="none" w:sz="0" w:space="0" w:color="auto"/>
              </w:divBdr>
            </w:div>
            <w:div w:id="486821835">
              <w:marLeft w:val="0"/>
              <w:marRight w:val="0"/>
              <w:marTop w:val="0"/>
              <w:marBottom w:val="0"/>
              <w:divBdr>
                <w:top w:val="none" w:sz="0" w:space="0" w:color="auto"/>
                <w:left w:val="none" w:sz="0" w:space="0" w:color="auto"/>
                <w:bottom w:val="none" w:sz="0" w:space="0" w:color="auto"/>
                <w:right w:val="none" w:sz="0" w:space="0" w:color="auto"/>
              </w:divBdr>
            </w:div>
            <w:div w:id="1002390259">
              <w:marLeft w:val="0"/>
              <w:marRight w:val="0"/>
              <w:marTop w:val="0"/>
              <w:marBottom w:val="0"/>
              <w:divBdr>
                <w:top w:val="none" w:sz="0" w:space="0" w:color="auto"/>
                <w:left w:val="none" w:sz="0" w:space="0" w:color="auto"/>
                <w:bottom w:val="none" w:sz="0" w:space="0" w:color="auto"/>
                <w:right w:val="none" w:sz="0" w:space="0" w:color="auto"/>
              </w:divBdr>
            </w:div>
            <w:div w:id="32770416">
              <w:marLeft w:val="0"/>
              <w:marRight w:val="0"/>
              <w:marTop w:val="0"/>
              <w:marBottom w:val="0"/>
              <w:divBdr>
                <w:top w:val="none" w:sz="0" w:space="0" w:color="auto"/>
                <w:left w:val="none" w:sz="0" w:space="0" w:color="auto"/>
                <w:bottom w:val="none" w:sz="0" w:space="0" w:color="auto"/>
                <w:right w:val="none" w:sz="0" w:space="0" w:color="auto"/>
              </w:divBdr>
            </w:div>
            <w:div w:id="255795031">
              <w:marLeft w:val="0"/>
              <w:marRight w:val="0"/>
              <w:marTop w:val="0"/>
              <w:marBottom w:val="0"/>
              <w:divBdr>
                <w:top w:val="none" w:sz="0" w:space="0" w:color="auto"/>
                <w:left w:val="none" w:sz="0" w:space="0" w:color="auto"/>
                <w:bottom w:val="none" w:sz="0" w:space="0" w:color="auto"/>
                <w:right w:val="none" w:sz="0" w:space="0" w:color="auto"/>
              </w:divBdr>
            </w:div>
            <w:div w:id="1394965089">
              <w:marLeft w:val="0"/>
              <w:marRight w:val="0"/>
              <w:marTop w:val="0"/>
              <w:marBottom w:val="0"/>
              <w:divBdr>
                <w:top w:val="none" w:sz="0" w:space="0" w:color="auto"/>
                <w:left w:val="none" w:sz="0" w:space="0" w:color="auto"/>
                <w:bottom w:val="none" w:sz="0" w:space="0" w:color="auto"/>
                <w:right w:val="none" w:sz="0" w:space="0" w:color="auto"/>
              </w:divBdr>
            </w:div>
            <w:div w:id="1973094400">
              <w:marLeft w:val="0"/>
              <w:marRight w:val="0"/>
              <w:marTop w:val="0"/>
              <w:marBottom w:val="0"/>
              <w:divBdr>
                <w:top w:val="none" w:sz="0" w:space="0" w:color="auto"/>
                <w:left w:val="none" w:sz="0" w:space="0" w:color="auto"/>
                <w:bottom w:val="none" w:sz="0" w:space="0" w:color="auto"/>
                <w:right w:val="none" w:sz="0" w:space="0" w:color="auto"/>
              </w:divBdr>
            </w:div>
            <w:div w:id="1750535652">
              <w:marLeft w:val="0"/>
              <w:marRight w:val="0"/>
              <w:marTop w:val="0"/>
              <w:marBottom w:val="0"/>
              <w:divBdr>
                <w:top w:val="none" w:sz="0" w:space="0" w:color="auto"/>
                <w:left w:val="none" w:sz="0" w:space="0" w:color="auto"/>
                <w:bottom w:val="none" w:sz="0" w:space="0" w:color="auto"/>
                <w:right w:val="none" w:sz="0" w:space="0" w:color="auto"/>
              </w:divBdr>
            </w:div>
            <w:div w:id="2111654217">
              <w:marLeft w:val="0"/>
              <w:marRight w:val="0"/>
              <w:marTop w:val="0"/>
              <w:marBottom w:val="0"/>
              <w:divBdr>
                <w:top w:val="none" w:sz="0" w:space="0" w:color="auto"/>
                <w:left w:val="none" w:sz="0" w:space="0" w:color="auto"/>
                <w:bottom w:val="none" w:sz="0" w:space="0" w:color="auto"/>
                <w:right w:val="none" w:sz="0" w:space="0" w:color="auto"/>
              </w:divBdr>
            </w:div>
            <w:div w:id="193855711">
              <w:marLeft w:val="0"/>
              <w:marRight w:val="0"/>
              <w:marTop w:val="0"/>
              <w:marBottom w:val="0"/>
              <w:divBdr>
                <w:top w:val="none" w:sz="0" w:space="0" w:color="auto"/>
                <w:left w:val="none" w:sz="0" w:space="0" w:color="auto"/>
                <w:bottom w:val="none" w:sz="0" w:space="0" w:color="auto"/>
                <w:right w:val="none" w:sz="0" w:space="0" w:color="auto"/>
              </w:divBdr>
            </w:div>
            <w:div w:id="1853760097">
              <w:marLeft w:val="0"/>
              <w:marRight w:val="0"/>
              <w:marTop w:val="0"/>
              <w:marBottom w:val="0"/>
              <w:divBdr>
                <w:top w:val="none" w:sz="0" w:space="0" w:color="auto"/>
                <w:left w:val="none" w:sz="0" w:space="0" w:color="auto"/>
                <w:bottom w:val="none" w:sz="0" w:space="0" w:color="auto"/>
                <w:right w:val="none" w:sz="0" w:space="0" w:color="auto"/>
              </w:divBdr>
            </w:div>
            <w:div w:id="2040927679">
              <w:marLeft w:val="0"/>
              <w:marRight w:val="0"/>
              <w:marTop w:val="0"/>
              <w:marBottom w:val="0"/>
              <w:divBdr>
                <w:top w:val="none" w:sz="0" w:space="0" w:color="auto"/>
                <w:left w:val="none" w:sz="0" w:space="0" w:color="auto"/>
                <w:bottom w:val="none" w:sz="0" w:space="0" w:color="auto"/>
                <w:right w:val="none" w:sz="0" w:space="0" w:color="auto"/>
              </w:divBdr>
            </w:div>
            <w:div w:id="1317221107">
              <w:marLeft w:val="0"/>
              <w:marRight w:val="0"/>
              <w:marTop w:val="0"/>
              <w:marBottom w:val="0"/>
              <w:divBdr>
                <w:top w:val="none" w:sz="0" w:space="0" w:color="auto"/>
                <w:left w:val="none" w:sz="0" w:space="0" w:color="auto"/>
                <w:bottom w:val="none" w:sz="0" w:space="0" w:color="auto"/>
                <w:right w:val="none" w:sz="0" w:space="0" w:color="auto"/>
              </w:divBdr>
            </w:div>
            <w:div w:id="457989689">
              <w:marLeft w:val="0"/>
              <w:marRight w:val="0"/>
              <w:marTop w:val="0"/>
              <w:marBottom w:val="0"/>
              <w:divBdr>
                <w:top w:val="none" w:sz="0" w:space="0" w:color="auto"/>
                <w:left w:val="none" w:sz="0" w:space="0" w:color="auto"/>
                <w:bottom w:val="none" w:sz="0" w:space="0" w:color="auto"/>
                <w:right w:val="none" w:sz="0" w:space="0" w:color="auto"/>
              </w:divBdr>
            </w:div>
            <w:div w:id="1606688392">
              <w:marLeft w:val="0"/>
              <w:marRight w:val="0"/>
              <w:marTop w:val="0"/>
              <w:marBottom w:val="0"/>
              <w:divBdr>
                <w:top w:val="none" w:sz="0" w:space="0" w:color="auto"/>
                <w:left w:val="none" w:sz="0" w:space="0" w:color="auto"/>
                <w:bottom w:val="none" w:sz="0" w:space="0" w:color="auto"/>
                <w:right w:val="none" w:sz="0" w:space="0" w:color="auto"/>
              </w:divBdr>
            </w:div>
            <w:div w:id="1695375368">
              <w:marLeft w:val="0"/>
              <w:marRight w:val="0"/>
              <w:marTop w:val="0"/>
              <w:marBottom w:val="0"/>
              <w:divBdr>
                <w:top w:val="none" w:sz="0" w:space="0" w:color="auto"/>
                <w:left w:val="none" w:sz="0" w:space="0" w:color="auto"/>
                <w:bottom w:val="none" w:sz="0" w:space="0" w:color="auto"/>
                <w:right w:val="none" w:sz="0" w:space="0" w:color="auto"/>
              </w:divBdr>
            </w:div>
            <w:div w:id="967705432">
              <w:marLeft w:val="0"/>
              <w:marRight w:val="0"/>
              <w:marTop w:val="0"/>
              <w:marBottom w:val="0"/>
              <w:divBdr>
                <w:top w:val="none" w:sz="0" w:space="0" w:color="auto"/>
                <w:left w:val="none" w:sz="0" w:space="0" w:color="auto"/>
                <w:bottom w:val="none" w:sz="0" w:space="0" w:color="auto"/>
                <w:right w:val="none" w:sz="0" w:space="0" w:color="auto"/>
              </w:divBdr>
            </w:div>
            <w:div w:id="1295335861">
              <w:marLeft w:val="0"/>
              <w:marRight w:val="0"/>
              <w:marTop w:val="0"/>
              <w:marBottom w:val="0"/>
              <w:divBdr>
                <w:top w:val="none" w:sz="0" w:space="0" w:color="auto"/>
                <w:left w:val="none" w:sz="0" w:space="0" w:color="auto"/>
                <w:bottom w:val="none" w:sz="0" w:space="0" w:color="auto"/>
                <w:right w:val="none" w:sz="0" w:space="0" w:color="auto"/>
              </w:divBdr>
            </w:div>
            <w:div w:id="1311135461">
              <w:marLeft w:val="0"/>
              <w:marRight w:val="0"/>
              <w:marTop w:val="0"/>
              <w:marBottom w:val="0"/>
              <w:divBdr>
                <w:top w:val="none" w:sz="0" w:space="0" w:color="auto"/>
                <w:left w:val="none" w:sz="0" w:space="0" w:color="auto"/>
                <w:bottom w:val="none" w:sz="0" w:space="0" w:color="auto"/>
                <w:right w:val="none" w:sz="0" w:space="0" w:color="auto"/>
              </w:divBdr>
            </w:div>
            <w:div w:id="986669941">
              <w:marLeft w:val="0"/>
              <w:marRight w:val="0"/>
              <w:marTop w:val="0"/>
              <w:marBottom w:val="0"/>
              <w:divBdr>
                <w:top w:val="none" w:sz="0" w:space="0" w:color="auto"/>
                <w:left w:val="none" w:sz="0" w:space="0" w:color="auto"/>
                <w:bottom w:val="none" w:sz="0" w:space="0" w:color="auto"/>
                <w:right w:val="none" w:sz="0" w:space="0" w:color="auto"/>
              </w:divBdr>
            </w:div>
            <w:div w:id="897786016">
              <w:marLeft w:val="0"/>
              <w:marRight w:val="0"/>
              <w:marTop w:val="0"/>
              <w:marBottom w:val="0"/>
              <w:divBdr>
                <w:top w:val="none" w:sz="0" w:space="0" w:color="auto"/>
                <w:left w:val="none" w:sz="0" w:space="0" w:color="auto"/>
                <w:bottom w:val="none" w:sz="0" w:space="0" w:color="auto"/>
                <w:right w:val="none" w:sz="0" w:space="0" w:color="auto"/>
              </w:divBdr>
            </w:div>
            <w:div w:id="856819499">
              <w:marLeft w:val="0"/>
              <w:marRight w:val="0"/>
              <w:marTop w:val="0"/>
              <w:marBottom w:val="0"/>
              <w:divBdr>
                <w:top w:val="none" w:sz="0" w:space="0" w:color="auto"/>
                <w:left w:val="none" w:sz="0" w:space="0" w:color="auto"/>
                <w:bottom w:val="none" w:sz="0" w:space="0" w:color="auto"/>
                <w:right w:val="none" w:sz="0" w:space="0" w:color="auto"/>
              </w:divBdr>
            </w:div>
            <w:div w:id="10230751">
              <w:marLeft w:val="0"/>
              <w:marRight w:val="0"/>
              <w:marTop w:val="0"/>
              <w:marBottom w:val="0"/>
              <w:divBdr>
                <w:top w:val="none" w:sz="0" w:space="0" w:color="auto"/>
                <w:left w:val="none" w:sz="0" w:space="0" w:color="auto"/>
                <w:bottom w:val="none" w:sz="0" w:space="0" w:color="auto"/>
                <w:right w:val="none" w:sz="0" w:space="0" w:color="auto"/>
              </w:divBdr>
            </w:div>
            <w:div w:id="1390300169">
              <w:marLeft w:val="0"/>
              <w:marRight w:val="0"/>
              <w:marTop w:val="0"/>
              <w:marBottom w:val="0"/>
              <w:divBdr>
                <w:top w:val="none" w:sz="0" w:space="0" w:color="auto"/>
                <w:left w:val="none" w:sz="0" w:space="0" w:color="auto"/>
                <w:bottom w:val="none" w:sz="0" w:space="0" w:color="auto"/>
                <w:right w:val="none" w:sz="0" w:space="0" w:color="auto"/>
              </w:divBdr>
            </w:div>
            <w:div w:id="513420869">
              <w:marLeft w:val="0"/>
              <w:marRight w:val="0"/>
              <w:marTop w:val="0"/>
              <w:marBottom w:val="0"/>
              <w:divBdr>
                <w:top w:val="none" w:sz="0" w:space="0" w:color="auto"/>
                <w:left w:val="none" w:sz="0" w:space="0" w:color="auto"/>
                <w:bottom w:val="none" w:sz="0" w:space="0" w:color="auto"/>
                <w:right w:val="none" w:sz="0" w:space="0" w:color="auto"/>
              </w:divBdr>
            </w:div>
            <w:div w:id="584219935">
              <w:marLeft w:val="0"/>
              <w:marRight w:val="0"/>
              <w:marTop w:val="0"/>
              <w:marBottom w:val="0"/>
              <w:divBdr>
                <w:top w:val="none" w:sz="0" w:space="0" w:color="auto"/>
                <w:left w:val="none" w:sz="0" w:space="0" w:color="auto"/>
                <w:bottom w:val="none" w:sz="0" w:space="0" w:color="auto"/>
                <w:right w:val="none" w:sz="0" w:space="0" w:color="auto"/>
              </w:divBdr>
            </w:div>
            <w:div w:id="1161234974">
              <w:marLeft w:val="0"/>
              <w:marRight w:val="0"/>
              <w:marTop w:val="0"/>
              <w:marBottom w:val="0"/>
              <w:divBdr>
                <w:top w:val="none" w:sz="0" w:space="0" w:color="auto"/>
                <w:left w:val="none" w:sz="0" w:space="0" w:color="auto"/>
                <w:bottom w:val="none" w:sz="0" w:space="0" w:color="auto"/>
                <w:right w:val="none" w:sz="0" w:space="0" w:color="auto"/>
              </w:divBdr>
            </w:div>
            <w:div w:id="690648767">
              <w:marLeft w:val="0"/>
              <w:marRight w:val="0"/>
              <w:marTop w:val="0"/>
              <w:marBottom w:val="0"/>
              <w:divBdr>
                <w:top w:val="none" w:sz="0" w:space="0" w:color="auto"/>
                <w:left w:val="none" w:sz="0" w:space="0" w:color="auto"/>
                <w:bottom w:val="none" w:sz="0" w:space="0" w:color="auto"/>
                <w:right w:val="none" w:sz="0" w:space="0" w:color="auto"/>
              </w:divBdr>
            </w:div>
            <w:div w:id="792871597">
              <w:marLeft w:val="0"/>
              <w:marRight w:val="0"/>
              <w:marTop w:val="0"/>
              <w:marBottom w:val="0"/>
              <w:divBdr>
                <w:top w:val="none" w:sz="0" w:space="0" w:color="auto"/>
                <w:left w:val="none" w:sz="0" w:space="0" w:color="auto"/>
                <w:bottom w:val="none" w:sz="0" w:space="0" w:color="auto"/>
                <w:right w:val="none" w:sz="0" w:space="0" w:color="auto"/>
              </w:divBdr>
            </w:div>
            <w:div w:id="1879736130">
              <w:marLeft w:val="0"/>
              <w:marRight w:val="0"/>
              <w:marTop w:val="0"/>
              <w:marBottom w:val="0"/>
              <w:divBdr>
                <w:top w:val="none" w:sz="0" w:space="0" w:color="auto"/>
                <w:left w:val="none" w:sz="0" w:space="0" w:color="auto"/>
                <w:bottom w:val="none" w:sz="0" w:space="0" w:color="auto"/>
                <w:right w:val="none" w:sz="0" w:space="0" w:color="auto"/>
              </w:divBdr>
            </w:div>
            <w:div w:id="971860944">
              <w:marLeft w:val="0"/>
              <w:marRight w:val="0"/>
              <w:marTop w:val="0"/>
              <w:marBottom w:val="0"/>
              <w:divBdr>
                <w:top w:val="none" w:sz="0" w:space="0" w:color="auto"/>
                <w:left w:val="none" w:sz="0" w:space="0" w:color="auto"/>
                <w:bottom w:val="none" w:sz="0" w:space="0" w:color="auto"/>
                <w:right w:val="none" w:sz="0" w:space="0" w:color="auto"/>
              </w:divBdr>
            </w:div>
            <w:div w:id="1055197956">
              <w:marLeft w:val="0"/>
              <w:marRight w:val="0"/>
              <w:marTop w:val="0"/>
              <w:marBottom w:val="0"/>
              <w:divBdr>
                <w:top w:val="none" w:sz="0" w:space="0" w:color="auto"/>
                <w:left w:val="none" w:sz="0" w:space="0" w:color="auto"/>
                <w:bottom w:val="none" w:sz="0" w:space="0" w:color="auto"/>
                <w:right w:val="none" w:sz="0" w:space="0" w:color="auto"/>
              </w:divBdr>
            </w:div>
            <w:div w:id="691343494">
              <w:marLeft w:val="0"/>
              <w:marRight w:val="0"/>
              <w:marTop w:val="0"/>
              <w:marBottom w:val="0"/>
              <w:divBdr>
                <w:top w:val="none" w:sz="0" w:space="0" w:color="auto"/>
                <w:left w:val="none" w:sz="0" w:space="0" w:color="auto"/>
                <w:bottom w:val="none" w:sz="0" w:space="0" w:color="auto"/>
                <w:right w:val="none" w:sz="0" w:space="0" w:color="auto"/>
              </w:divBdr>
            </w:div>
            <w:div w:id="1857839787">
              <w:marLeft w:val="0"/>
              <w:marRight w:val="0"/>
              <w:marTop w:val="0"/>
              <w:marBottom w:val="0"/>
              <w:divBdr>
                <w:top w:val="none" w:sz="0" w:space="0" w:color="auto"/>
                <w:left w:val="none" w:sz="0" w:space="0" w:color="auto"/>
                <w:bottom w:val="none" w:sz="0" w:space="0" w:color="auto"/>
                <w:right w:val="none" w:sz="0" w:space="0" w:color="auto"/>
              </w:divBdr>
            </w:div>
            <w:div w:id="1502575365">
              <w:marLeft w:val="0"/>
              <w:marRight w:val="0"/>
              <w:marTop w:val="0"/>
              <w:marBottom w:val="0"/>
              <w:divBdr>
                <w:top w:val="none" w:sz="0" w:space="0" w:color="auto"/>
                <w:left w:val="none" w:sz="0" w:space="0" w:color="auto"/>
                <w:bottom w:val="none" w:sz="0" w:space="0" w:color="auto"/>
                <w:right w:val="none" w:sz="0" w:space="0" w:color="auto"/>
              </w:divBdr>
            </w:div>
            <w:div w:id="174852795">
              <w:marLeft w:val="0"/>
              <w:marRight w:val="0"/>
              <w:marTop w:val="0"/>
              <w:marBottom w:val="0"/>
              <w:divBdr>
                <w:top w:val="none" w:sz="0" w:space="0" w:color="auto"/>
                <w:left w:val="none" w:sz="0" w:space="0" w:color="auto"/>
                <w:bottom w:val="none" w:sz="0" w:space="0" w:color="auto"/>
                <w:right w:val="none" w:sz="0" w:space="0" w:color="auto"/>
              </w:divBdr>
            </w:div>
            <w:div w:id="1060783891">
              <w:marLeft w:val="0"/>
              <w:marRight w:val="0"/>
              <w:marTop w:val="0"/>
              <w:marBottom w:val="0"/>
              <w:divBdr>
                <w:top w:val="none" w:sz="0" w:space="0" w:color="auto"/>
                <w:left w:val="none" w:sz="0" w:space="0" w:color="auto"/>
                <w:bottom w:val="none" w:sz="0" w:space="0" w:color="auto"/>
                <w:right w:val="none" w:sz="0" w:space="0" w:color="auto"/>
              </w:divBdr>
            </w:div>
            <w:div w:id="938833966">
              <w:marLeft w:val="0"/>
              <w:marRight w:val="0"/>
              <w:marTop w:val="0"/>
              <w:marBottom w:val="0"/>
              <w:divBdr>
                <w:top w:val="none" w:sz="0" w:space="0" w:color="auto"/>
                <w:left w:val="none" w:sz="0" w:space="0" w:color="auto"/>
                <w:bottom w:val="none" w:sz="0" w:space="0" w:color="auto"/>
                <w:right w:val="none" w:sz="0" w:space="0" w:color="auto"/>
              </w:divBdr>
            </w:div>
            <w:div w:id="755975033">
              <w:marLeft w:val="0"/>
              <w:marRight w:val="0"/>
              <w:marTop w:val="0"/>
              <w:marBottom w:val="0"/>
              <w:divBdr>
                <w:top w:val="none" w:sz="0" w:space="0" w:color="auto"/>
                <w:left w:val="none" w:sz="0" w:space="0" w:color="auto"/>
                <w:bottom w:val="none" w:sz="0" w:space="0" w:color="auto"/>
                <w:right w:val="none" w:sz="0" w:space="0" w:color="auto"/>
              </w:divBdr>
            </w:div>
            <w:div w:id="427577220">
              <w:marLeft w:val="0"/>
              <w:marRight w:val="0"/>
              <w:marTop w:val="0"/>
              <w:marBottom w:val="0"/>
              <w:divBdr>
                <w:top w:val="none" w:sz="0" w:space="0" w:color="auto"/>
                <w:left w:val="none" w:sz="0" w:space="0" w:color="auto"/>
                <w:bottom w:val="none" w:sz="0" w:space="0" w:color="auto"/>
                <w:right w:val="none" w:sz="0" w:space="0" w:color="auto"/>
              </w:divBdr>
            </w:div>
            <w:div w:id="641812806">
              <w:marLeft w:val="0"/>
              <w:marRight w:val="0"/>
              <w:marTop w:val="0"/>
              <w:marBottom w:val="0"/>
              <w:divBdr>
                <w:top w:val="none" w:sz="0" w:space="0" w:color="auto"/>
                <w:left w:val="none" w:sz="0" w:space="0" w:color="auto"/>
                <w:bottom w:val="none" w:sz="0" w:space="0" w:color="auto"/>
                <w:right w:val="none" w:sz="0" w:space="0" w:color="auto"/>
              </w:divBdr>
            </w:div>
            <w:div w:id="359626637">
              <w:marLeft w:val="0"/>
              <w:marRight w:val="0"/>
              <w:marTop w:val="0"/>
              <w:marBottom w:val="0"/>
              <w:divBdr>
                <w:top w:val="none" w:sz="0" w:space="0" w:color="auto"/>
                <w:left w:val="none" w:sz="0" w:space="0" w:color="auto"/>
                <w:bottom w:val="none" w:sz="0" w:space="0" w:color="auto"/>
                <w:right w:val="none" w:sz="0" w:space="0" w:color="auto"/>
              </w:divBdr>
            </w:div>
            <w:div w:id="275479367">
              <w:marLeft w:val="0"/>
              <w:marRight w:val="0"/>
              <w:marTop w:val="0"/>
              <w:marBottom w:val="0"/>
              <w:divBdr>
                <w:top w:val="none" w:sz="0" w:space="0" w:color="auto"/>
                <w:left w:val="none" w:sz="0" w:space="0" w:color="auto"/>
                <w:bottom w:val="none" w:sz="0" w:space="0" w:color="auto"/>
                <w:right w:val="none" w:sz="0" w:space="0" w:color="auto"/>
              </w:divBdr>
            </w:div>
            <w:div w:id="2116362117">
              <w:marLeft w:val="0"/>
              <w:marRight w:val="0"/>
              <w:marTop w:val="0"/>
              <w:marBottom w:val="0"/>
              <w:divBdr>
                <w:top w:val="none" w:sz="0" w:space="0" w:color="auto"/>
                <w:left w:val="none" w:sz="0" w:space="0" w:color="auto"/>
                <w:bottom w:val="none" w:sz="0" w:space="0" w:color="auto"/>
                <w:right w:val="none" w:sz="0" w:space="0" w:color="auto"/>
              </w:divBdr>
            </w:div>
            <w:div w:id="1193808254">
              <w:marLeft w:val="0"/>
              <w:marRight w:val="0"/>
              <w:marTop w:val="0"/>
              <w:marBottom w:val="0"/>
              <w:divBdr>
                <w:top w:val="none" w:sz="0" w:space="0" w:color="auto"/>
                <w:left w:val="none" w:sz="0" w:space="0" w:color="auto"/>
                <w:bottom w:val="none" w:sz="0" w:space="0" w:color="auto"/>
                <w:right w:val="none" w:sz="0" w:space="0" w:color="auto"/>
              </w:divBdr>
            </w:div>
            <w:div w:id="425003067">
              <w:marLeft w:val="0"/>
              <w:marRight w:val="0"/>
              <w:marTop w:val="0"/>
              <w:marBottom w:val="0"/>
              <w:divBdr>
                <w:top w:val="none" w:sz="0" w:space="0" w:color="auto"/>
                <w:left w:val="none" w:sz="0" w:space="0" w:color="auto"/>
                <w:bottom w:val="none" w:sz="0" w:space="0" w:color="auto"/>
                <w:right w:val="none" w:sz="0" w:space="0" w:color="auto"/>
              </w:divBdr>
            </w:div>
            <w:div w:id="1380857583">
              <w:marLeft w:val="0"/>
              <w:marRight w:val="0"/>
              <w:marTop w:val="0"/>
              <w:marBottom w:val="0"/>
              <w:divBdr>
                <w:top w:val="none" w:sz="0" w:space="0" w:color="auto"/>
                <w:left w:val="none" w:sz="0" w:space="0" w:color="auto"/>
                <w:bottom w:val="none" w:sz="0" w:space="0" w:color="auto"/>
                <w:right w:val="none" w:sz="0" w:space="0" w:color="auto"/>
              </w:divBdr>
            </w:div>
            <w:div w:id="383024392">
              <w:marLeft w:val="0"/>
              <w:marRight w:val="0"/>
              <w:marTop w:val="0"/>
              <w:marBottom w:val="0"/>
              <w:divBdr>
                <w:top w:val="none" w:sz="0" w:space="0" w:color="auto"/>
                <w:left w:val="none" w:sz="0" w:space="0" w:color="auto"/>
                <w:bottom w:val="none" w:sz="0" w:space="0" w:color="auto"/>
                <w:right w:val="none" w:sz="0" w:space="0" w:color="auto"/>
              </w:divBdr>
            </w:div>
            <w:div w:id="1288315995">
              <w:marLeft w:val="0"/>
              <w:marRight w:val="0"/>
              <w:marTop w:val="0"/>
              <w:marBottom w:val="0"/>
              <w:divBdr>
                <w:top w:val="none" w:sz="0" w:space="0" w:color="auto"/>
                <w:left w:val="none" w:sz="0" w:space="0" w:color="auto"/>
                <w:bottom w:val="none" w:sz="0" w:space="0" w:color="auto"/>
                <w:right w:val="none" w:sz="0" w:space="0" w:color="auto"/>
              </w:divBdr>
            </w:div>
            <w:div w:id="1203252969">
              <w:marLeft w:val="0"/>
              <w:marRight w:val="0"/>
              <w:marTop w:val="0"/>
              <w:marBottom w:val="0"/>
              <w:divBdr>
                <w:top w:val="none" w:sz="0" w:space="0" w:color="auto"/>
                <w:left w:val="none" w:sz="0" w:space="0" w:color="auto"/>
                <w:bottom w:val="none" w:sz="0" w:space="0" w:color="auto"/>
                <w:right w:val="none" w:sz="0" w:space="0" w:color="auto"/>
              </w:divBdr>
            </w:div>
            <w:div w:id="972641621">
              <w:marLeft w:val="0"/>
              <w:marRight w:val="0"/>
              <w:marTop w:val="0"/>
              <w:marBottom w:val="0"/>
              <w:divBdr>
                <w:top w:val="none" w:sz="0" w:space="0" w:color="auto"/>
                <w:left w:val="none" w:sz="0" w:space="0" w:color="auto"/>
                <w:bottom w:val="none" w:sz="0" w:space="0" w:color="auto"/>
                <w:right w:val="none" w:sz="0" w:space="0" w:color="auto"/>
              </w:divBdr>
            </w:div>
            <w:div w:id="810441885">
              <w:marLeft w:val="0"/>
              <w:marRight w:val="0"/>
              <w:marTop w:val="0"/>
              <w:marBottom w:val="0"/>
              <w:divBdr>
                <w:top w:val="none" w:sz="0" w:space="0" w:color="auto"/>
                <w:left w:val="none" w:sz="0" w:space="0" w:color="auto"/>
                <w:bottom w:val="none" w:sz="0" w:space="0" w:color="auto"/>
                <w:right w:val="none" w:sz="0" w:space="0" w:color="auto"/>
              </w:divBdr>
            </w:div>
            <w:div w:id="391126661">
              <w:marLeft w:val="0"/>
              <w:marRight w:val="0"/>
              <w:marTop w:val="0"/>
              <w:marBottom w:val="0"/>
              <w:divBdr>
                <w:top w:val="none" w:sz="0" w:space="0" w:color="auto"/>
                <w:left w:val="none" w:sz="0" w:space="0" w:color="auto"/>
                <w:bottom w:val="none" w:sz="0" w:space="0" w:color="auto"/>
                <w:right w:val="none" w:sz="0" w:space="0" w:color="auto"/>
              </w:divBdr>
            </w:div>
            <w:div w:id="1697265268">
              <w:marLeft w:val="0"/>
              <w:marRight w:val="0"/>
              <w:marTop w:val="0"/>
              <w:marBottom w:val="0"/>
              <w:divBdr>
                <w:top w:val="none" w:sz="0" w:space="0" w:color="auto"/>
                <w:left w:val="none" w:sz="0" w:space="0" w:color="auto"/>
                <w:bottom w:val="none" w:sz="0" w:space="0" w:color="auto"/>
                <w:right w:val="none" w:sz="0" w:space="0" w:color="auto"/>
              </w:divBdr>
            </w:div>
            <w:div w:id="543950772">
              <w:marLeft w:val="0"/>
              <w:marRight w:val="0"/>
              <w:marTop w:val="0"/>
              <w:marBottom w:val="0"/>
              <w:divBdr>
                <w:top w:val="none" w:sz="0" w:space="0" w:color="auto"/>
                <w:left w:val="none" w:sz="0" w:space="0" w:color="auto"/>
                <w:bottom w:val="none" w:sz="0" w:space="0" w:color="auto"/>
                <w:right w:val="none" w:sz="0" w:space="0" w:color="auto"/>
              </w:divBdr>
            </w:div>
            <w:div w:id="242180864">
              <w:marLeft w:val="0"/>
              <w:marRight w:val="0"/>
              <w:marTop w:val="0"/>
              <w:marBottom w:val="0"/>
              <w:divBdr>
                <w:top w:val="none" w:sz="0" w:space="0" w:color="auto"/>
                <w:left w:val="none" w:sz="0" w:space="0" w:color="auto"/>
                <w:bottom w:val="none" w:sz="0" w:space="0" w:color="auto"/>
                <w:right w:val="none" w:sz="0" w:space="0" w:color="auto"/>
              </w:divBdr>
            </w:div>
            <w:div w:id="314726431">
              <w:marLeft w:val="0"/>
              <w:marRight w:val="0"/>
              <w:marTop w:val="0"/>
              <w:marBottom w:val="0"/>
              <w:divBdr>
                <w:top w:val="none" w:sz="0" w:space="0" w:color="auto"/>
                <w:left w:val="none" w:sz="0" w:space="0" w:color="auto"/>
                <w:bottom w:val="none" w:sz="0" w:space="0" w:color="auto"/>
                <w:right w:val="none" w:sz="0" w:space="0" w:color="auto"/>
              </w:divBdr>
            </w:div>
            <w:div w:id="1341348025">
              <w:marLeft w:val="0"/>
              <w:marRight w:val="0"/>
              <w:marTop w:val="0"/>
              <w:marBottom w:val="0"/>
              <w:divBdr>
                <w:top w:val="none" w:sz="0" w:space="0" w:color="auto"/>
                <w:left w:val="none" w:sz="0" w:space="0" w:color="auto"/>
                <w:bottom w:val="none" w:sz="0" w:space="0" w:color="auto"/>
                <w:right w:val="none" w:sz="0" w:space="0" w:color="auto"/>
              </w:divBdr>
            </w:div>
            <w:div w:id="1139570789">
              <w:marLeft w:val="0"/>
              <w:marRight w:val="0"/>
              <w:marTop w:val="0"/>
              <w:marBottom w:val="0"/>
              <w:divBdr>
                <w:top w:val="none" w:sz="0" w:space="0" w:color="auto"/>
                <w:left w:val="none" w:sz="0" w:space="0" w:color="auto"/>
                <w:bottom w:val="none" w:sz="0" w:space="0" w:color="auto"/>
                <w:right w:val="none" w:sz="0" w:space="0" w:color="auto"/>
              </w:divBdr>
            </w:div>
            <w:div w:id="1718310152">
              <w:marLeft w:val="0"/>
              <w:marRight w:val="0"/>
              <w:marTop w:val="0"/>
              <w:marBottom w:val="0"/>
              <w:divBdr>
                <w:top w:val="none" w:sz="0" w:space="0" w:color="auto"/>
                <w:left w:val="none" w:sz="0" w:space="0" w:color="auto"/>
                <w:bottom w:val="none" w:sz="0" w:space="0" w:color="auto"/>
                <w:right w:val="none" w:sz="0" w:space="0" w:color="auto"/>
              </w:divBdr>
            </w:div>
            <w:div w:id="713695459">
              <w:marLeft w:val="0"/>
              <w:marRight w:val="0"/>
              <w:marTop w:val="0"/>
              <w:marBottom w:val="0"/>
              <w:divBdr>
                <w:top w:val="none" w:sz="0" w:space="0" w:color="auto"/>
                <w:left w:val="none" w:sz="0" w:space="0" w:color="auto"/>
                <w:bottom w:val="none" w:sz="0" w:space="0" w:color="auto"/>
                <w:right w:val="none" w:sz="0" w:space="0" w:color="auto"/>
              </w:divBdr>
            </w:div>
            <w:div w:id="655110756">
              <w:marLeft w:val="0"/>
              <w:marRight w:val="0"/>
              <w:marTop w:val="0"/>
              <w:marBottom w:val="0"/>
              <w:divBdr>
                <w:top w:val="none" w:sz="0" w:space="0" w:color="auto"/>
                <w:left w:val="none" w:sz="0" w:space="0" w:color="auto"/>
                <w:bottom w:val="none" w:sz="0" w:space="0" w:color="auto"/>
                <w:right w:val="none" w:sz="0" w:space="0" w:color="auto"/>
              </w:divBdr>
            </w:div>
            <w:div w:id="1215044459">
              <w:marLeft w:val="0"/>
              <w:marRight w:val="0"/>
              <w:marTop w:val="0"/>
              <w:marBottom w:val="0"/>
              <w:divBdr>
                <w:top w:val="none" w:sz="0" w:space="0" w:color="auto"/>
                <w:left w:val="none" w:sz="0" w:space="0" w:color="auto"/>
                <w:bottom w:val="none" w:sz="0" w:space="0" w:color="auto"/>
                <w:right w:val="none" w:sz="0" w:space="0" w:color="auto"/>
              </w:divBdr>
            </w:div>
            <w:div w:id="1875072965">
              <w:marLeft w:val="0"/>
              <w:marRight w:val="0"/>
              <w:marTop w:val="0"/>
              <w:marBottom w:val="0"/>
              <w:divBdr>
                <w:top w:val="none" w:sz="0" w:space="0" w:color="auto"/>
                <w:left w:val="none" w:sz="0" w:space="0" w:color="auto"/>
                <w:bottom w:val="none" w:sz="0" w:space="0" w:color="auto"/>
                <w:right w:val="none" w:sz="0" w:space="0" w:color="auto"/>
              </w:divBdr>
            </w:div>
            <w:div w:id="1398477268">
              <w:marLeft w:val="0"/>
              <w:marRight w:val="0"/>
              <w:marTop w:val="0"/>
              <w:marBottom w:val="0"/>
              <w:divBdr>
                <w:top w:val="none" w:sz="0" w:space="0" w:color="auto"/>
                <w:left w:val="none" w:sz="0" w:space="0" w:color="auto"/>
                <w:bottom w:val="none" w:sz="0" w:space="0" w:color="auto"/>
                <w:right w:val="none" w:sz="0" w:space="0" w:color="auto"/>
              </w:divBdr>
            </w:div>
            <w:div w:id="1869482918">
              <w:marLeft w:val="0"/>
              <w:marRight w:val="0"/>
              <w:marTop w:val="0"/>
              <w:marBottom w:val="0"/>
              <w:divBdr>
                <w:top w:val="none" w:sz="0" w:space="0" w:color="auto"/>
                <w:left w:val="none" w:sz="0" w:space="0" w:color="auto"/>
                <w:bottom w:val="none" w:sz="0" w:space="0" w:color="auto"/>
                <w:right w:val="none" w:sz="0" w:space="0" w:color="auto"/>
              </w:divBdr>
            </w:div>
            <w:div w:id="1715537700">
              <w:marLeft w:val="0"/>
              <w:marRight w:val="0"/>
              <w:marTop w:val="0"/>
              <w:marBottom w:val="0"/>
              <w:divBdr>
                <w:top w:val="none" w:sz="0" w:space="0" w:color="auto"/>
                <w:left w:val="none" w:sz="0" w:space="0" w:color="auto"/>
                <w:bottom w:val="none" w:sz="0" w:space="0" w:color="auto"/>
                <w:right w:val="none" w:sz="0" w:space="0" w:color="auto"/>
              </w:divBdr>
            </w:div>
            <w:div w:id="1770193228">
              <w:marLeft w:val="0"/>
              <w:marRight w:val="0"/>
              <w:marTop w:val="0"/>
              <w:marBottom w:val="0"/>
              <w:divBdr>
                <w:top w:val="none" w:sz="0" w:space="0" w:color="auto"/>
                <w:left w:val="none" w:sz="0" w:space="0" w:color="auto"/>
                <w:bottom w:val="none" w:sz="0" w:space="0" w:color="auto"/>
                <w:right w:val="none" w:sz="0" w:space="0" w:color="auto"/>
              </w:divBdr>
            </w:div>
            <w:div w:id="1444030785">
              <w:marLeft w:val="0"/>
              <w:marRight w:val="0"/>
              <w:marTop w:val="0"/>
              <w:marBottom w:val="0"/>
              <w:divBdr>
                <w:top w:val="none" w:sz="0" w:space="0" w:color="auto"/>
                <w:left w:val="none" w:sz="0" w:space="0" w:color="auto"/>
                <w:bottom w:val="none" w:sz="0" w:space="0" w:color="auto"/>
                <w:right w:val="none" w:sz="0" w:space="0" w:color="auto"/>
              </w:divBdr>
            </w:div>
            <w:div w:id="827019436">
              <w:marLeft w:val="0"/>
              <w:marRight w:val="0"/>
              <w:marTop w:val="0"/>
              <w:marBottom w:val="0"/>
              <w:divBdr>
                <w:top w:val="none" w:sz="0" w:space="0" w:color="auto"/>
                <w:left w:val="none" w:sz="0" w:space="0" w:color="auto"/>
                <w:bottom w:val="none" w:sz="0" w:space="0" w:color="auto"/>
                <w:right w:val="none" w:sz="0" w:space="0" w:color="auto"/>
              </w:divBdr>
            </w:div>
            <w:div w:id="1913466112">
              <w:marLeft w:val="0"/>
              <w:marRight w:val="0"/>
              <w:marTop w:val="0"/>
              <w:marBottom w:val="0"/>
              <w:divBdr>
                <w:top w:val="none" w:sz="0" w:space="0" w:color="auto"/>
                <w:left w:val="none" w:sz="0" w:space="0" w:color="auto"/>
                <w:bottom w:val="none" w:sz="0" w:space="0" w:color="auto"/>
                <w:right w:val="none" w:sz="0" w:space="0" w:color="auto"/>
              </w:divBdr>
            </w:div>
            <w:div w:id="2115399718">
              <w:marLeft w:val="0"/>
              <w:marRight w:val="0"/>
              <w:marTop w:val="0"/>
              <w:marBottom w:val="0"/>
              <w:divBdr>
                <w:top w:val="none" w:sz="0" w:space="0" w:color="auto"/>
                <w:left w:val="none" w:sz="0" w:space="0" w:color="auto"/>
                <w:bottom w:val="none" w:sz="0" w:space="0" w:color="auto"/>
                <w:right w:val="none" w:sz="0" w:space="0" w:color="auto"/>
              </w:divBdr>
            </w:div>
            <w:div w:id="2102219978">
              <w:marLeft w:val="0"/>
              <w:marRight w:val="0"/>
              <w:marTop w:val="0"/>
              <w:marBottom w:val="0"/>
              <w:divBdr>
                <w:top w:val="none" w:sz="0" w:space="0" w:color="auto"/>
                <w:left w:val="none" w:sz="0" w:space="0" w:color="auto"/>
                <w:bottom w:val="none" w:sz="0" w:space="0" w:color="auto"/>
                <w:right w:val="none" w:sz="0" w:space="0" w:color="auto"/>
              </w:divBdr>
            </w:div>
            <w:div w:id="1469937888">
              <w:marLeft w:val="0"/>
              <w:marRight w:val="0"/>
              <w:marTop w:val="0"/>
              <w:marBottom w:val="0"/>
              <w:divBdr>
                <w:top w:val="none" w:sz="0" w:space="0" w:color="auto"/>
                <w:left w:val="none" w:sz="0" w:space="0" w:color="auto"/>
                <w:bottom w:val="none" w:sz="0" w:space="0" w:color="auto"/>
                <w:right w:val="none" w:sz="0" w:space="0" w:color="auto"/>
              </w:divBdr>
            </w:div>
            <w:div w:id="1559511032">
              <w:marLeft w:val="0"/>
              <w:marRight w:val="0"/>
              <w:marTop w:val="0"/>
              <w:marBottom w:val="0"/>
              <w:divBdr>
                <w:top w:val="none" w:sz="0" w:space="0" w:color="auto"/>
                <w:left w:val="none" w:sz="0" w:space="0" w:color="auto"/>
                <w:bottom w:val="none" w:sz="0" w:space="0" w:color="auto"/>
                <w:right w:val="none" w:sz="0" w:space="0" w:color="auto"/>
              </w:divBdr>
            </w:div>
            <w:div w:id="690497535">
              <w:marLeft w:val="0"/>
              <w:marRight w:val="0"/>
              <w:marTop w:val="0"/>
              <w:marBottom w:val="0"/>
              <w:divBdr>
                <w:top w:val="none" w:sz="0" w:space="0" w:color="auto"/>
                <w:left w:val="none" w:sz="0" w:space="0" w:color="auto"/>
                <w:bottom w:val="none" w:sz="0" w:space="0" w:color="auto"/>
                <w:right w:val="none" w:sz="0" w:space="0" w:color="auto"/>
              </w:divBdr>
            </w:div>
            <w:div w:id="1829204745">
              <w:marLeft w:val="0"/>
              <w:marRight w:val="0"/>
              <w:marTop w:val="0"/>
              <w:marBottom w:val="0"/>
              <w:divBdr>
                <w:top w:val="none" w:sz="0" w:space="0" w:color="auto"/>
                <w:left w:val="none" w:sz="0" w:space="0" w:color="auto"/>
                <w:bottom w:val="none" w:sz="0" w:space="0" w:color="auto"/>
                <w:right w:val="none" w:sz="0" w:space="0" w:color="auto"/>
              </w:divBdr>
            </w:div>
            <w:div w:id="1306467295">
              <w:marLeft w:val="0"/>
              <w:marRight w:val="0"/>
              <w:marTop w:val="0"/>
              <w:marBottom w:val="0"/>
              <w:divBdr>
                <w:top w:val="none" w:sz="0" w:space="0" w:color="auto"/>
                <w:left w:val="none" w:sz="0" w:space="0" w:color="auto"/>
                <w:bottom w:val="none" w:sz="0" w:space="0" w:color="auto"/>
                <w:right w:val="none" w:sz="0" w:space="0" w:color="auto"/>
              </w:divBdr>
            </w:div>
            <w:div w:id="1308171457">
              <w:marLeft w:val="0"/>
              <w:marRight w:val="0"/>
              <w:marTop w:val="0"/>
              <w:marBottom w:val="0"/>
              <w:divBdr>
                <w:top w:val="none" w:sz="0" w:space="0" w:color="auto"/>
                <w:left w:val="none" w:sz="0" w:space="0" w:color="auto"/>
                <w:bottom w:val="none" w:sz="0" w:space="0" w:color="auto"/>
                <w:right w:val="none" w:sz="0" w:space="0" w:color="auto"/>
              </w:divBdr>
            </w:div>
            <w:div w:id="947665074">
              <w:marLeft w:val="0"/>
              <w:marRight w:val="0"/>
              <w:marTop w:val="0"/>
              <w:marBottom w:val="0"/>
              <w:divBdr>
                <w:top w:val="none" w:sz="0" w:space="0" w:color="auto"/>
                <w:left w:val="none" w:sz="0" w:space="0" w:color="auto"/>
                <w:bottom w:val="none" w:sz="0" w:space="0" w:color="auto"/>
                <w:right w:val="none" w:sz="0" w:space="0" w:color="auto"/>
              </w:divBdr>
            </w:div>
            <w:div w:id="368527159">
              <w:marLeft w:val="0"/>
              <w:marRight w:val="0"/>
              <w:marTop w:val="0"/>
              <w:marBottom w:val="0"/>
              <w:divBdr>
                <w:top w:val="none" w:sz="0" w:space="0" w:color="auto"/>
                <w:left w:val="none" w:sz="0" w:space="0" w:color="auto"/>
                <w:bottom w:val="none" w:sz="0" w:space="0" w:color="auto"/>
                <w:right w:val="none" w:sz="0" w:space="0" w:color="auto"/>
              </w:divBdr>
            </w:div>
            <w:div w:id="757481001">
              <w:marLeft w:val="0"/>
              <w:marRight w:val="0"/>
              <w:marTop w:val="0"/>
              <w:marBottom w:val="0"/>
              <w:divBdr>
                <w:top w:val="none" w:sz="0" w:space="0" w:color="auto"/>
                <w:left w:val="none" w:sz="0" w:space="0" w:color="auto"/>
                <w:bottom w:val="none" w:sz="0" w:space="0" w:color="auto"/>
                <w:right w:val="none" w:sz="0" w:space="0" w:color="auto"/>
              </w:divBdr>
            </w:div>
            <w:div w:id="961958270">
              <w:marLeft w:val="0"/>
              <w:marRight w:val="0"/>
              <w:marTop w:val="0"/>
              <w:marBottom w:val="0"/>
              <w:divBdr>
                <w:top w:val="none" w:sz="0" w:space="0" w:color="auto"/>
                <w:left w:val="none" w:sz="0" w:space="0" w:color="auto"/>
                <w:bottom w:val="none" w:sz="0" w:space="0" w:color="auto"/>
                <w:right w:val="none" w:sz="0" w:space="0" w:color="auto"/>
              </w:divBdr>
            </w:div>
            <w:div w:id="1866822418">
              <w:marLeft w:val="0"/>
              <w:marRight w:val="0"/>
              <w:marTop w:val="0"/>
              <w:marBottom w:val="0"/>
              <w:divBdr>
                <w:top w:val="none" w:sz="0" w:space="0" w:color="auto"/>
                <w:left w:val="none" w:sz="0" w:space="0" w:color="auto"/>
                <w:bottom w:val="none" w:sz="0" w:space="0" w:color="auto"/>
                <w:right w:val="none" w:sz="0" w:space="0" w:color="auto"/>
              </w:divBdr>
            </w:div>
            <w:div w:id="752706026">
              <w:marLeft w:val="0"/>
              <w:marRight w:val="0"/>
              <w:marTop w:val="0"/>
              <w:marBottom w:val="0"/>
              <w:divBdr>
                <w:top w:val="none" w:sz="0" w:space="0" w:color="auto"/>
                <w:left w:val="none" w:sz="0" w:space="0" w:color="auto"/>
                <w:bottom w:val="none" w:sz="0" w:space="0" w:color="auto"/>
                <w:right w:val="none" w:sz="0" w:space="0" w:color="auto"/>
              </w:divBdr>
            </w:div>
            <w:div w:id="1777099137">
              <w:marLeft w:val="0"/>
              <w:marRight w:val="0"/>
              <w:marTop w:val="0"/>
              <w:marBottom w:val="0"/>
              <w:divBdr>
                <w:top w:val="none" w:sz="0" w:space="0" w:color="auto"/>
                <w:left w:val="none" w:sz="0" w:space="0" w:color="auto"/>
                <w:bottom w:val="none" w:sz="0" w:space="0" w:color="auto"/>
                <w:right w:val="none" w:sz="0" w:space="0" w:color="auto"/>
              </w:divBdr>
            </w:div>
            <w:div w:id="751047575">
              <w:marLeft w:val="0"/>
              <w:marRight w:val="0"/>
              <w:marTop w:val="0"/>
              <w:marBottom w:val="0"/>
              <w:divBdr>
                <w:top w:val="none" w:sz="0" w:space="0" w:color="auto"/>
                <w:left w:val="none" w:sz="0" w:space="0" w:color="auto"/>
                <w:bottom w:val="none" w:sz="0" w:space="0" w:color="auto"/>
                <w:right w:val="none" w:sz="0" w:space="0" w:color="auto"/>
              </w:divBdr>
            </w:div>
            <w:div w:id="267591255">
              <w:marLeft w:val="0"/>
              <w:marRight w:val="0"/>
              <w:marTop w:val="0"/>
              <w:marBottom w:val="0"/>
              <w:divBdr>
                <w:top w:val="none" w:sz="0" w:space="0" w:color="auto"/>
                <w:left w:val="none" w:sz="0" w:space="0" w:color="auto"/>
                <w:bottom w:val="none" w:sz="0" w:space="0" w:color="auto"/>
                <w:right w:val="none" w:sz="0" w:space="0" w:color="auto"/>
              </w:divBdr>
            </w:div>
            <w:div w:id="2025666045">
              <w:marLeft w:val="0"/>
              <w:marRight w:val="0"/>
              <w:marTop w:val="0"/>
              <w:marBottom w:val="0"/>
              <w:divBdr>
                <w:top w:val="none" w:sz="0" w:space="0" w:color="auto"/>
                <w:left w:val="none" w:sz="0" w:space="0" w:color="auto"/>
                <w:bottom w:val="none" w:sz="0" w:space="0" w:color="auto"/>
                <w:right w:val="none" w:sz="0" w:space="0" w:color="auto"/>
              </w:divBdr>
            </w:div>
            <w:div w:id="984774698">
              <w:marLeft w:val="0"/>
              <w:marRight w:val="0"/>
              <w:marTop w:val="0"/>
              <w:marBottom w:val="0"/>
              <w:divBdr>
                <w:top w:val="none" w:sz="0" w:space="0" w:color="auto"/>
                <w:left w:val="none" w:sz="0" w:space="0" w:color="auto"/>
                <w:bottom w:val="none" w:sz="0" w:space="0" w:color="auto"/>
                <w:right w:val="none" w:sz="0" w:space="0" w:color="auto"/>
              </w:divBdr>
            </w:div>
            <w:div w:id="462888833">
              <w:marLeft w:val="0"/>
              <w:marRight w:val="0"/>
              <w:marTop w:val="0"/>
              <w:marBottom w:val="0"/>
              <w:divBdr>
                <w:top w:val="none" w:sz="0" w:space="0" w:color="auto"/>
                <w:left w:val="none" w:sz="0" w:space="0" w:color="auto"/>
                <w:bottom w:val="none" w:sz="0" w:space="0" w:color="auto"/>
                <w:right w:val="none" w:sz="0" w:space="0" w:color="auto"/>
              </w:divBdr>
            </w:div>
            <w:div w:id="934945929">
              <w:marLeft w:val="0"/>
              <w:marRight w:val="0"/>
              <w:marTop w:val="0"/>
              <w:marBottom w:val="0"/>
              <w:divBdr>
                <w:top w:val="none" w:sz="0" w:space="0" w:color="auto"/>
                <w:left w:val="none" w:sz="0" w:space="0" w:color="auto"/>
                <w:bottom w:val="none" w:sz="0" w:space="0" w:color="auto"/>
                <w:right w:val="none" w:sz="0" w:space="0" w:color="auto"/>
              </w:divBdr>
            </w:div>
            <w:div w:id="727263817">
              <w:marLeft w:val="0"/>
              <w:marRight w:val="0"/>
              <w:marTop w:val="0"/>
              <w:marBottom w:val="0"/>
              <w:divBdr>
                <w:top w:val="none" w:sz="0" w:space="0" w:color="auto"/>
                <w:left w:val="none" w:sz="0" w:space="0" w:color="auto"/>
                <w:bottom w:val="none" w:sz="0" w:space="0" w:color="auto"/>
                <w:right w:val="none" w:sz="0" w:space="0" w:color="auto"/>
              </w:divBdr>
            </w:div>
            <w:div w:id="1346902104">
              <w:marLeft w:val="0"/>
              <w:marRight w:val="0"/>
              <w:marTop w:val="0"/>
              <w:marBottom w:val="0"/>
              <w:divBdr>
                <w:top w:val="none" w:sz="0" w:space="0" w:color="auto"/>
                <w:left w:val="none" w:sz="0" w:space="0" w:color="auto"/>
                <w:bottom w:val="none" w:sz="0" w:space="0" w:color="auto"/>
                <w:right w:val="none" w:sz="0" w:space="0" w:color="auto"/>
              </w:divBdr>
            </w:div>
            <w:div w:id="1758095928">
              <w:marLeft w:val="0"/>
              <w:marRight w:val="0"/>
              <w:marTop w:val="0"/>
              <w:marBottom w:val="0"/>
              <w:divBdr>
                <w:top w:val="none" w:sz="0" w:space="0" w:color="auto"/>
                <w:left w:val="none" w:sz="0" w:space="0" w:color="auto"/>
                <w:bottom w:val="none" w:sz="0" w:space="0" w:color="auto"/>
                <w:right w:val="none" w:sz="0" w:space="0" w:color="auto"/>
              </w:divBdr>
            </w:div>
            <w:div w:id="400912883">
              <w:marLeft w:val="0"/>
              <w:marRight w:val="0"/>
              <w:marTop w:val="0"/>
              <w:marBottom w:val="0"/>
              <w:divBdr>
                <w:top w:val="none" w:sz="0" w:space="0" w:color="auto"/>
                <w:left w:val="none" w:sz="0" w:space="0" w:color="auto"/>
                <w:bottom w:val="none" w:sz="0" w:space="0" w:color="auto"/>
                <w:right w:val="none" w:sz="0" w:space="0" w:color="auto"/>
              </w:divBdr>
            </w:div>
            <w:div w:id="682902706">
              <w:marLeft w:val="0"/>
              <w:marRight w:val="0"/>
              <w:marTop w:val="0"/>
              <w:marBottom w:val="0"/>
              <w:divBdr>
                <w:top w:val="none" w:sz="0" w:space="0" w:color="auto"/>
                <w:left w:val="none" w:sz="0" w:space="0" w:color="auto"/>
                <w:bottom w:val="none" w:sz="0" w:space="0" w:color="auto"/>
                <w:right w:val="none" w:sz="0" w:space="0" w:color="auto"/>
              </w:divBdr>
            </w:div>
            <w:div w:id="1866823331">
              <w:marLeft w:val="0"/>
              <w:marRight w:val="0"/>
              <w:marTop w:val="0"/>
              <w:marBottom w:val="0"/>
              <w:divBdr>
                <w:top w:val="none" w:sz="0" w:space="0" w:color="auto"/>
                <w:left w:val="none" w:sz="0" w:space="0" w:color="auto"/>
                <w:bottom w:val="none" w:sz="0" w:space="0" w:color="auto"/>
                <w:right w:val="none" w:sz="0" w:space="0" w:color="auto"/>
              </w:divBdr>
            </w:div>
            <w:div w:id="2057389886">
              <w:marLeft w:val="0"/>
              <w:marRight w:val="0"/>
              <w:marTop w:val="0"/>
              <w:marBottom w:val="0"/>
              <w:divBdr>
                <w:top w:val="none" w:sz="0" w:space="0" w:color="auto"/>
                <w:left w:val="none" w:sz="0" w:space="0" w:color="auto"/>
                <w:bottom w:val="none" w:sz="0" w:space="0" w:color="auto"/>
                <w:right w:val="none" w:sz="0" w:space="0" w:color="auto"/>
              </w:divBdr>
            </w:div>
            <w:div w:id="913665899">
              <w:marLeft w:val="0"/>
              <w:marRight w:val="0"/>
              <w:marTop w:val="0"/>
              <w:marBottom w:val="0"/>
              <w:divBdr>
                <w:top w:val="none" w:sz="0" w:space="0" w:color="auto"/>
                <w:left w:val="none" w:sz="0" w:space="0" w:color="auto"/>
                <w:bottom w:val="none" w:sz="0" w:space="0" w:color="auto"/>
                <w:right w:val="none" w:sz="0" w:space="0" w:color="auto"/>
              </w:divBdr>
            </w:div>
            <w:div w:id="1963264117">
              <w:marLeft w:val="0"/>
              <w:marRight w:val="0"/>
              <w:marTop w:val="0"/>
              <w:marBottom w:val="0"/>
              <w:divBdr>
                <w:top w:val="none" w:sz="0" w:space="0" w:color="auto"/>
                <w:left w:val="none" w:sz="0" w:space="0" w:color="auto"/>
                <w:bottom w:val="none" w:sz="0" w:space="0" w:color="auto"/>
                <w:right w:val="none" w:sz="0" w:space="0" w:color="auto"/>
              </w:divBdr>
            </w:div>
            <w:div w:id="2126777121">
              <w:marLeft w:val="0"/>
              <w:marRight w:val="0"/>
              <w:marTop w:val="0"/>
              <w:marBottom w:val="0"/>
              <w:divBdr>
                <w:top w:val="none" w:sz="0" w:space="0" w:color="auto"/>
                <w:left w:val="none" w:sz="0" w:space="0" w:color="auto"/>
                <w:bottom w:val="none" w:sz="0" w:space="0" w:color="auto"/>
                <w:right w:val="none" w:sz="0" w:space="0" w:color="auto"/>
              </w:divBdr>
            </w:div>
            <w:div w:id="2125999073">
              <w:marLeft w:val="0"/>
              <w:marRight w:val="0"/>
              <w:marTop w:val="0"/>
              <w:marBottom w:val="0"/>
              <w:divBdr>
                <w:top w:val="none" w:sz="0" w:space="0" w:color="auto"/>
                <w:left w:val="none" w:sz="0" w:space="0" w:color="auto"/>
                <w:bottom w:val="none" w:sz="0" w:space="0" w:color="auto"/>
                <w:right w:val="none" w:sz="0" w:space="0" w:color="auto"/>
              </w:divBdr>
            </w:div>
            <w:div w:id="1740446440">
              <w:marLeft w:val="0"/>
              <w:marRight w:val="0"/>
              <w:marTop w:val="0"/>
              <w:marBottom w:val="0"/>
              <w:divBdr>
                <w:top w:val="none" w:sz="0" w:space="0" w:color="auto"/>
                <w:left w:val="none" w:sz="0" w:space="0" w:color="auto"/>
                <w:bottom w:val="none" w:sz="0" w:space="0" w:color="auto"/>
                <w:right w:val="none" w:sz="0" w:space="0" w:color="auto"/>
              </w:divBdr>
            </w:div>
            <w:div w:id="1442140735">
              <w:marLeft w:val="0"/>
              <w:marRight w:val="0"/>
              <w:marTop w:val="0"/>
              <w:marBottom w:val="0"/>
              <w:divBdr>
                <w:top w:val="none" w:sz="0" w:space="0" w:color="auto"/>
                <w:left w:val="none" w:sz="0" w:space="0" w:color="auto"/>
                <w:bottom w:val="none" w:sz="0" w:space="0" w:color="auto"/>
                <w:right w:val="none" w:sz="0" w:space="0" w:color="auto"/>
              </w:divBdr>
            </w:div>
            <w:div w:id="1365181115">
              <w:marLeft w:val="0"/>
              <w:marRight w:val="0"/>
              <w:marTop w:val="0"/>
              <w:marBottom w:val="0"/>
              <w:divBdr>
                <w:top w:val="none" w:sz="0" w:space="0" w:color="auto"/>
                <w:left w:val="none" w:sz="0" w:space="0" w:color="auto"/>
                <w:bottom w:val="none" w:sz="0" w:space="0" w:color="auto"/>
                <w:right w:val="none" w:sz="0" w:space="0" w:color="auto"/>
              </w:divBdr>
            </w:div>
            <w:div w:id="1207523373">
              <w:marLeft w:val="0"/>
              <w:marRight w:val="0"/>
              <w:marTop w:val="0"/>
              <w:marBottom w:val="0"/>
              <w:divBdr>
                <w:top w:val="none" w:sz="0" w:space="0" w:color="auto"/>
                <w:left w:val="none" w:sz="0" w:space="0" w:color="auto"/>
                <w:bottom w:val="none" w:sz="0" w:space="0" w:color="auto"/>
                <w:right w:val="none" w:sz="0" w:space="0" w:color="auto"/>
              </w:divBdr>
            </w:div>
            <w:div w:id="1537620685">
              <w:marLeft w:val="0"/>
              <w:marRight w:val="0"/>
              <w:marTop w:val="0"/>
              <w:marBottom w:val="0"/>
              <w:divBdr>
                <w:top w:val="none" w:sz="0" w:space="0" w:color="auto"/>
                <w:left w:val="none" w:sz="0" w:space="0" w:color="auto"/>
                <w:bottom w:val="none" w:sz="0" w:space="0" w:color="auto"/>
                <w:right w:val="none" w:sz="0" w:space="0" w:color="auto"/>
              </w:divBdr>
            </w:div>
            <w:div w:id="1411461556">
              <w:marLeft w:val="0"/>
              <w:marRight w:val="0"/>
              <w:marTop w:val="0"/>
              <w:marBottom w:val="0"/>
              <w:divBdr>
                <w:top w:val="none" w:sz="0" w:space="0" w:color="auto"/>
                <w:left w:val="none" w:sz="0" w:space="0" w:color="auto"/>
                <w:bottom w:val="none" w:sz="0" w:space="0" w:color="auto"/>
                <w:right w:val="none" w:sz="0" w:space="0" w:color="auto"/>
              </w:divBdr>
            </w:div>
            <w:div w:id="1554580204">
              <w:marLeft w:val="0"/>
              <w:marRight w:val="0"/>
              <w:marTop w:val="0"/>
              <w:marBottom w:val="0"/>
              <w:divBdr>
                <w:top w:val="none" w:sz="0" w:space="0" w:color="auto"/>
                <w:left w:val="none" w:sz="0" w:space="0" w:color="auto"/>
                <w:bottom w:val="none" w:sz="0" w:space="0" w:color="auto"/>
                <w:right w:val="none" w:sz="0" w:space="0" w:color="auto"/>
              </w:divBdr>
            </w:div>
            <w:div w:id="231082530">
              <w:marLeft w:val="0"/>
              <w:marRight w:val="0"/>
              <w:marTop w:val="0"/>
              <w:marBottom w:val="0"/>
              <w:divBdr>
                <w:top w:val="none" w:sz="0" w:space="0" w:color="auto"/>
                <w:left w:val="none" w:sz="0" w:space="0" w:color="auto"/>
                <w:bottom w:val="none" w:sz="0" w:space="0" w:color="auto"/>
                <w:right w:val="none" w:sz="0" w:space="0" w:color="auto"/>
              </w:divBdr>
            </w:div>
            <w:div w:id="1006008842">
              <w:marLeft w:val="0"/>
              <w:marRight w:val="0"/>
              <w:marTop w:val="0"/>
              <w:marBottom w:val="0"/>
              <w:divBdr>
                <w:top w:val="none" w:sz="0" w:space="0" w:color="auto"/>
                <w:left w:val="none" w:sz="0" w:space="0" w:color="auto"/>
                <w:bottom w:val="none" w:sz="0" w:space="0" w:color="auto"/>
                <w:right w:val="none" w:sz="0" w:space="0" w:color="auto"/>
              </w:divBdr>
            </w:div>
            <w:div w:id="276062881">
              <w:marLeft w:val="0"/>
              <w:marRight w:val="0"/>
              <w:marTop w:val="0"/>
              <w:marBottom w:val="0"/>
              <w:divBdr>
                <w:top w:val="none" w:sz="0" w:space="0" w:color="auto"/>
                <w:left w:val="none" w:sz="0" w:space="0" w:color="auto"/>
                <w:bottom w:val="none" w:sz="0" w:space="0" w:color="auto"/>
                <w:right w:val="none" w:sz="0" w:space="0" w:color="auto"/>
              </w:divBdr>
            </w:div>
            <w:div w:id="1569919333">
              <w:marLeft w:val="0"/>
              <w:marRight w:val="0"/>
              <w:marTop w:val="0"/>
              <w:marBottom w:val="0"/>
              <w:divBdr>
                <w:top w:val="none" w:sz="0" w:space="0" w:color="auto"/>
                <w:left w:val="none" w:sz="0" w:space="0" w:color="auto"/>
                <w:bottom w:val="none" w:sz="0" w:space="0" w:color="auto"/>
                <w:right w:val="none" w:sz="0" w:space="0" w:color="auto"/>
              </w:divBdr>
            </w:div>
            <w:div w:id="1249270481">
              <w:marLeft w:val="0"/>
              <w:marRight w:val="0"/>
              <w:marTop w:val="0"/>
              <w:marBottom w:val="0"/>
              <w:divBdr>
                <w:top w:val="none" w:sz="0" w:space="0" w:color="auto"/>
                <w:left w:val="none" w:sz="0" w:space="0" w:color="auto"/>
                <w:bottom w:val="none" w:sz="0" w:space="0" w:color="auto"/>
                <w:right w:val="none" w:sz="0" w:space="0" w:color="auto"/>
              </w:divBdr>
            </w:div>
            <w:div w:id="843474617">
              <w:marLeft w:val="0"/>
              <w:marRight w:val="0"/>
              <w:marTop w:val="0"/>
              <w:marBottom w:val="0"/>
              <w:divBdr>
                <w:top w:val="none" w:sz="0" w:space="0" w:color="auto"/>
                <w:left w:val="none" w:sz="0" w:space="0" w:color="auto"/>
                <w:bottom w:val="none" w:sz="0" w:space="0" w:color="auto"/>
                <w:right w:val="none" w:sz="0" w:space="0" w:color="auto"/>
              </w:divBdr>
            </w:div>
            <w:div w:id="2092702652">
              <w:marLeft w:val="0"/>
              <w:marRight w:val="0"/>
              <w:marTop w:val="0"/>
              <w:marBottom w:val="0"/>
              <w:divBdr>
                <w:top w:val="none" w:sz="0" w:space="0" w:color="auto"/>
                <w:left w:val="none" w:sz="0" w:space="0" w:color="auto"/>
                <w:bottom w:val="none" w:sz="0" w:space="0" w:color="auto"/>
                <w:right w:val="none" w:sz="0" w:space="0" w:color="auto"/>
              </w:divBdr>
            </w:div>
            <w:div w:id="11298822">
              <w:marLeft w:val="0"/>
              <w:marRight w:val="0"/>
              <w:marTop w:val="0"/>
              <w:marBottom w:val="0"/>
              <w:divBdr>
                <w:top w:val="none" w:sz="0" w:space="0" w:color="auto"/>
                <w:left w:val="none" w:sz="0" w:space="0" w:color="auto"/>
                <w:bottom w:val="none" w:sz="0" w:space="0" w:color="auto"/>
                <w:right w:val="none" w:sz="0" w:space="0" w:color="auto"/>
              </w:divBdr>
            </w:div>
            <w:div w:id="1466002996">
              <w:marLeft w:val="0"/>
              <w:marRight w:val="0"/>
              <w:marTop w:val="0"/>
              <w:marBottom w:val="0"/>
              <w:divBdr>
                <w:top w:val="none" w:sz="0" w:space="0" w:color="auto"/>
                <w:left w:val="none" w:sz="0" w:space="0" w:color="auto"/>
                <w:bottom w:val="none" w:sz="0" w:space="0" w:color="auto"/>
                <w:right w:val="none" w:sz="0" w:space="0" w:color="auto"/>
              </w:divBdr>
            </w:div>
            <w:div w:id="1698122968">
              <w:marLeft w:val="0"/>
              <w:marRight w:val="0"/>
              <w:marTop w:val="0"/>
              <w:marBottom w:val="0"/>
              <w:divBdr>
                <w:top w:val="none" w:sz="0" w:space="0" w:color="auto"/>
                <w:left w:val="none" w:sz="0" w:space="0" w:color="auto"/>
                <w:bottom w:val="none" w:sz="0" w:space="0" w:color="auto"/>
                <w:right w:val="none" w:sz="0" w:space="0" w:color="auto"/>
              </w:divBdr>
            </w:div>
            <w:div w:id="662856453">
              <w:marLeft w:val="0"/>
              <w:marRight w:val="0"/>
              <w:marTop w:val="0"/>
              <w:marBottom w:val="0"/>
              <w:divBdr>
                <w:top w:val="none" w:sz="0" w:space="0" w:color="auto"/>
                <w:left w:val="none" w:sz="0" w:space="0" w:color="auto"/>
                <w:bottom w:val="none" w:sz="0" w:space="0" w:color="auto"/>
                <w:right w:val="none" w:sz="0" w:space="0" w:color="auto"/>
              </w:divBdr>
            </w:div>
            <w:div w:id="1380780471">
              <w:marLeft w:val="0"/>
              <w:marRight w:val="0"/>
              <w:marTop w:val="0"/>
              <w:marBottom w:val="0"/>
              <w:divBdr>
                <w:top w:val="none" w:sz="0" w:space="0" w:color="auto"/>
                <w:left w:val="none" w:sz="0" w:space="0" w:color="auto"/>
                <w:bottom w:val="none" w:sz="0" w:space="0" w:color="auto"/>
                <w:right w:val="none" w:sz="0" w:space="0" w:color="auto"/>
              </w:divBdr>
            </w:div>
            <w:div w:id="1091857689">
              <w:marLeft w:val="0"/>
              <w:marRight w:val="0"/>
              <w:marTop w:val="0"/>
              <w:marBottom w:val="0"/>
              <w:divBdr>
                <w:top w:val="none" w:sz="0" w:space="0" w:color="auto"/>
                <w:left w:val="none" w:sz="0" w:space="0" w:color="auto"/>
                <w:bottom w:val="none" w:sz="0" w:space="0" w:color="auto"/>
                <w:right w:val="none" w:sz="0" w:space="0" w:color="auto"/>
              </w:divBdr>
            </w:div>
            <w:div w:id="65030015">
              <w:marLeft w:val="0"/>
              <w:marRight w:val="0"/>
              <w:marTop w:val="0"/>
              <w:marBottom w:val="0"/>
              <w:divBdr>
                <w:top w:val="none" w:sz="0" w:space="0" w:color="auto"/>
                <w:left w:val="none" w:sz="0" w:space="0" w:color="auto"/>
                <w:bottom w:val="none" w:sz="0" w:space="0" w:color="auto"/>
                <w:right w:val="none" w:sz="0" w:space="0" w:color="auto"/>
              </w:divBdr>
            </w:div>
            <w:div w:id="1970086788">
              <w:marLeft w:val="0"/>
              <w:marRight w:val="0"/>
              <w:marTop w:val="0"/>
              <w:marBottom w:val="0"/>
              <w:divBdr>
                <w:top w:val="none" w:sz="0" w:space="0" w:color="auto"/>
                <w:left w:val="none" w:sz="0" w:space="0" w:color="auto"/>
                <w:bottom w:val="none" w:sz="0" w:space="0" w:color="auto"/>
                <w:right w:val="none" w:sz="0" w:space="0" w:color="auto"/>
              </w:divBdr>
            </w:div>
            <w:div w:id="581061623">
              <w:marLeft w:val="0"/>
              <w:marRight w:val="0"/>
              <w:marTop w:val="0"/>
              <w:marBottom w:val="0"/>
              <w:divBdr>
                <w:top w:val="none" w:sz="0" w:space="0" w:color="auto"/>
                <w:left w:val="none" w:sz="0" w:space="0" w:color="auto"/>
                <w:bottom w:val="none" w:sz="0" w:space="0" w:color="auto"/>
                <w:right w:val="none" w:sz="0" w:space="0" w:color="auto"/>
              </w:divBdr>
            </w:div>
            <w:div w:id="1519655682">
              <w:marLeft w:val="0"/>
              <w:marRight w:val="0"/>
              <w:marTop w:val="0"/>
              <w:marBottom w:val="0"/>
              <w:divBdr>
                <w:top w:val="none" w:sz="0" w:space="0" w:color="auto"/>
                <w:left w:val="none" w:sz="0" w:space="0" w:color="auto"/>
                <w:bottom w:val="none" w:sz="0" w:space="0" w:color="auto"/>
                <w:right w:val="none" w:sz="0" w:space="0" w:color="auto"/>
              </w:divBdr>
            </w:div>
            <w:div w:id="906572464">
              <w:marLeft w:val="0"/>
              <w:marRight w:val="0"/>
              <w:marTop w:val="0"/>
              <w:marBottom w:val="0"/>
              <w:divBdr>
                <w:top w:val="none" w:sz="0" w:space="0" w:color="auto"/>
                <w:left w:val="none" w:sz="0" w:space="0" w:color="auto"/>
                <w:bottom w:val="none" w:sz="0" w:space="0" w:color="auto"/>
                <w:right w:val="none" w:sz="0" w:space="0" w:color="auto"/>
              </w:divBdr>
            </w:div>
            <w:div w:id="843016084">
              <w:marLeft w:val="0"/>
              <w:marRight w:val="0"/>
              <w:marTop w:val="0"/>
              <w:marBottom w:val="0"/>
              <w:divBdr>
                <w:top w:val="none" w:sz="0" w:space="0" w:color="auto"/>
                <w:left w:val="none" w:sz="0" w:space="0" w:color="auto"/>
                <w:bottom w:val="none" w:sz="0" w:space="0" w:color="auto"/>
                <w:right w:val="none" w:sz="0" w:space="0" w:color="auto"/>
              </w:divBdr>
            </w:div>
            <w:div w:id="1095438208">
              <w:marLeft w:val="0"/>
              <w:marRight w:val="0"/>
              <w:marTop w:val="0"/>
              <w:marBottom w:val="0"/>
              <w:divBdr>
                <w:top w:val="none" w:sz="0" w:space="0" w:color="auto"/>
                <w:left w:val="none" w:sz="0" w:space="0" w:color="auto"/>
                <w:bottom w:val="none" w:sz="0" w:space="0" w:color="auto"/>
                <w:right w:val="none" w:sz="0" w:space="0" w:color="auto"/>
              </w:divBdr>
            </w:div>
            <w:div w:id="694158452">
              <w:marLeft w:val="0"/>
              <w:marRight w:val="0"/>
              <w:marTop w:val="0"/>
              <w:marBottom w:val="0"/>
              <w:divBdr>
                <w:top w:val="none" w:sz="0" w:space="0" w:color="auto"/>
                <w:left w:val="none" w:sz="0" w:space="0" w:color="auto"/>
                <w:bottom w:val="none" w:sz="0" w:space="0" w:color="auto"/>
                <w:right w:val="none" w:sz="0" w:space="0" w:color="auto"/>
              </w:divBdr>
            </w:div>
            <w:div w:id="1587153159">
              <w:marLeft w:val="0"/>
              <w:marRight w:val="0"/>
              <w:marTop w:val="0"/>
              <w:marBottom w:val="0"/>
              <w:divBdr>
                <w:top w:val="none" w:sz="0" w:space="0" w:color="auto"/>
                <w:left w:val="none" w:sz="0" w:space="0" w:color="auto"/>
                <w:bottom w:val="none" w:sz="0" w:space="0" w:color="auto"/>
                <w:right w:val="none" w:sz="0" w:space="0" w:color="auto"/>
              </w:divBdr>
            </w:div>
            <w:div w:id="1521774118">
              <w:marLeft w:val="0"/>
              <w:marRight w:val="0"/>
              <w:marTop w:val="0"/>
              <w:marBottom w:val="0"/>
              <w:divBdr>
                <w:top w:val="none" w:sz="0" w:space="0" w:color="auto"/>
                <w:left w:val="none" w:sz="0" w:space="0" w:color="auto"/>
                <w:bottom w:val="none" w:sz="0" w:space="0" w:color="auto"/>
                <w:right w:val="none" w:sz="0" w:space="0" w:color="auto"/>
              </w:divBdr>
            </w:div>
            <w:div w:id="1047603898">
              <w:marLeft w:val="0"/>
              <w:marRight w:val="0"/>
              <w:marTop w:val="0"/>
              <w:marBottom w:val="0"/>
              <w:divBdr>
                <w:top w:val="none" w:sz="0" w:space="0" w:color="auto"/>
                <w:left w:val="none" w:sz="0" w:space="0" w:color="auto"/>
                <w:bottom w:val="none" w:sz="0" w:space="0" w:color="auto"/>
                <w:right w:val="none" w:sz="0" w:space="0" w:color="auto"/>
              </w:divBdr>
            </w:div>
            <w:div w:id="720985684">
              <w:marLeft w:val="0"/>
              <w:marRight w:val="0"/>
              <w:marTop w:val="0"/>
              <w:marBottom w:val="0"/>
              <w:divBdr>
                <w:top w:val="none" w:sz="0" w:space="0" w:color="auto"/>
                <w:left w:val="none" w:sz="0" w:space="0" w:color="auto"/>
                <w:bottom w:val="none" w:sz="0" w:space="0" w:color="auto"/>
                <w:right w:val="none" w:sz="0" w:space="0" w:color="auto"/>
              </w:divBdr>
            </w:div>
            <w:div w:id="1686712803">
              <w:marLeft w:val="0"/>
              <w:marRight w:val="0"/>
              <w:marTop w:val="0"/>
              <w:marBottom w:val="0"/>
              <w:divBdr>
                <w:top w:val="none" w:sz="0" w:space="0" w:color="auto"/>
                <w:left w:val="none" w:sz="0" w:space="0" w:color="auto"/>
                <w:bottom w:val="none" w:sz="0" w:space="0" w:color="auto"/>
                <w:right w:val="none" w:sz="0" w:space="0" w:color="auto"/>
              </w:divBdr>
            </w:div>
            <w:div w:id="1998143429">
              <w:marLeft w:val="0"/>
              <w:marRight w:val="0"/>
              <w:marTop w:val="0"/>
              <w:marBottom w:val="0"/>
              <w:divBdr>
                <w:top w:val="none" w:sz="0" w:space="0" w:color="auto"/>
                <w:left w:val="none" w:sz="0" w:space="0" w:color="auto"/>
                <w:bottom w:val="none" w:sz="0" w:space="0" w:color="auto"/>
                <w:right w:val="none" w:sz="0" w:space="0" w:color="auto"/>
              </w:divBdr>
            </w:div>
            <w:div w:id="284847194">
              <w:marLeft w:val="0"/>
              <w:marRight w:val="0"/>
              <w:marTop w:val="0"/>
              <w:marBottom w:val="0"/>
              <w:divBdr>
                <w:top w:val="none" w:sz="0" w:space="0" w:color="auto"/>
                <w:left w:val="none" w:sz="0" w:space="0" w:color="auto"/>
                <w:bottom w:val="none" w:sz="0" w:space="0" w:color="auto"/>
                <w:right w:val="none" w:sz="0" w:space="0" w:color="auto"/>
              </w:divBdr>
            </w:div>
            <w:div w:id="1557737878">
              <w:marLeft w:val="0"/>
              <w:marRight w:val="0"/>
              <w:marTop w:val="0"/>
              <w:marBottom w:val="0"/>
              <w:divBdr>
                <w:top w:val="none" w:sz="0" w:space="0" w:color="auto"/>
                <w:left w:val="none" w:sz="0" w:space="0" w:color="auto"/>
                <w:bottom w:val="none" w:sz="0" w:space="0" w:color="auto"/>
                <w:right w:val="none" w:sz="0" w:space="0" w:color="auto"/>
              </w:divBdr>
            </w:div>
            <w:div w:id="1716155687">
              <w:marLeft w:val="0"/>
              <w:marRight w:val="0"/>
              <w:marTop w:val="0"/>
              <w:marBottom w:val="0"/>
              <w:divBdr>
                <w:top w:val="none" w:sz="0" w:space="0" w:color="auto"/>
                <w:left w:val="none" w:sz="0" w:space="0" w:color="auto"/>
                <w:bottom w:val="none" w:sz="0" w:space="0" w:color="auto"/>
                <w:right w:val="none" w:sz="0" w:space="0" w:color="auto"/>
              </w:divBdr>
            </w:div>
            <w:div w:id="358288301">
              <w:marLeft w:val="0"/>
              <w:marRight w:val="0"/>
              <w:marTop w:val="0"/>
              <w:marBottom w:val="0"/>
              <w:divBdr>
                <w:top w:val="none" w:sz="0" w:space="0" w:color="auto"/>
                <w:left w:val="none" w:sz="0" w:space="0" w:color="auto"/>
                <w:bottom w:val="none" w:sz="0" w:space="0" w:color="auto"/>
                <w:right w:val="none" w:sz="0" w:space="0" w:color="auto"/>
              </w:divBdr>
            </w:div>
            <w:div w:id="2015456715">
              <w:marLeft w:val="0"/>
              <w:marRight w:val="0"/>
              <w:marTop w:val="0"/>
              <w:marBottom w:val="0"/>
              <w:divBdr>
                <w:top w:val="none" w:sz="0" w:space="0" w:color="auto"/>
                <w:left w:val="none" w:sz="0" w:space="0" w:color="auto"/>
                <w:bottom w:val="none" w:sz="0" w:space="0" w:color="auto"/>
                <w:right w:val="none" w:sz="0" w:space="0" w:color="auto"/>
              </w:divBdr>
            </w:div>
            <w:div w:id="824928701">
              <w:marLeft w:val="0"/>
              <w:marRight w:val="0"/>
              <w:marTop w:val="0"/>
              <w:marBottom w:val="0"/>
              <w:divBdr>
                <w:top w:val="none" w:sz="0" w:space="0" w:color="auto"/>
                <w:left w:val="none" w:sz="0" w:space="0" w:color="auto"/>
                <w:bottom w:val="none" w:sz="0" w:space="0" w:color="auto"/>
                <w:right w:val="none" w:sz="0" w:space="0" w:color="auto"/>
              </w:divBdr>
            </w:div>
            <w:div w:id="403453589">
              <w:marLeft w:val="0"/>
              <w:marRight w:val="0"/>
              <w:marTop w:val="0"/>
              <w:marBottom w:val="0"/>
              <w:divBdr>
                <w:top w:val="none" w:sz="0" w:space="0" w:color="auto"/>
                <w:left w:val="none" w:sz="0" w:space="0" w:color="auto"/>
                <w:bottom w:val="none" w:sz="0" w:space="0" w:color="auto"/>
                <w:right w:val="none" w:sz="0" w:space="0" w:color="auto"/>
              </w:divBdr>
            </w:div>
            <w:div w:id="51079647">
              <w:marLeft w:val="0"/>
              <w:marRight w:val="0"/>
              <w:marTop w:val="0"/>
              <w:marBottom w:val="0"/>
              <w:divBdr>
                <w:top w:val="none" w:sz="0" w:space="0" w:color="auto"/>
                <w:left w:val="none" w:sz="0" w:space="0" w:color="auto"/>
                <w:bottom w:val="none" w:sz="0" w:space="0" w:color="auto"/>
                <w:right w:val="none" w:sz="0" w:space="0" w:color="auto"/>
              </w:divBdr>
            </w:div>
            <w:div w:id="975838565">
              <w:marLeft w:val="0"/>
              <w:marRight w:val="0"/>
              <w:marTop w:val="0"/>
              <w:marBottom w:val="0"/>
              <w:divBdr>
                <w:top w:val="none" w:sz="0" w:space="0" w:color="auto"/>
                <w:left w:val="none" w:sz="0" w:space="0" w:color="auto"/>
                <w:bottom w:val="none" w:sz="0" w:space="0" w:color="auto"/>
                <w:right w:val="none" w:sz="0" w:space="0" w:color="auto"/>
              </w:divBdr>
            </w:div>
            <w:div w:id="1001079447">
              <w:marLeft w:val="0"/>
              <w:marRight w:val="0"/>
              <w:marTop w:val="0"/>
              <w:marBottom w:val="0"/>
              <w:divBdr>
                <w:top w:val="none" w:sz="0" w:space="0" w:color="auto"/>
                <w:left w:val="none" w:sz="0" w:space="0" w:color="auto"/>
                <w:bottom w:val="none" w:sz="0" w:space="0" w:color="auto"/>
                <w:right w:val="none" w:sz="0" w:space="0" w:color="auto"/>
              </w:divBdr>
            </w:div>
            <w:div w:id="879249650">
              <w:marLeft w:val="0"/>
              <w:marRight w:val="0"/>
              <w:marTop w:val="0"/>
              <w:marBottom w:val="0"/>
              <w:divBdr>
                <w:top w:val="none" w:sz="0" w:space="0" w:color="auto"/>
                <w:left w:val="none" w:sz="0" w:space="0" w:color="auto"/>
                <w:bottom w:val="none" w:sz="0" w:space="0" w:color="auto"/>
                <w:right w:val="none" w:sz="0" w:space="0" w:color="auto"/>
              </w:divBdr>
            </w:div>
            <w:div w:id="149295984">
              <w:marLeft w:val="0"/>
              <w:marRight w:val="0"/>
              <w:marTop w:val="0"/>
              <w:marBottom w:val="0"/>
              <w:divBdr>
                <w:top w:val="none" w:sz="0" w:space="0" w:color="auto"/>
                <w:left w:val="none" w:sz="0" w:space="0" w:color="auto"/>
                <w:bottom w:val="none" w:sz="0" w:space="0" w:color="auto"/>
                <w:right w:val="none" w:sz="0" w:space="0" w:color="auto"/>
              </w:divBdr>
            </w:div>
            <w:div w:id="1175341638">
              <w:marLeft w:val="0"/>
              <w:marRight w:val="0"/>
              <w:marTop w:val="0"/>
              <w:marBottom w:val="0"/>
              <w:divBdr>
                <w:top w:val="none" w:sz="0" w:space="0" w:color="auto"/>
                <w:left w:val="none" w:sz="0" w:space="0" w:color="auto"/>
                <w:bottom w:val="none" w:sz="0" w:space="0" w:color="auto"/>
                <w:right w:val="none" w:sz="0" w:space="0" w:color="auto"/>
              </w:divBdr>
            </w:div>
            <w:div w:id="1910309064">
              <w:marLeft w:val="0"/>
              <w:marRight w:val="0"/>
              <w:marTop w:val="0"/>
              <w:marBottom w:val="0"/>
              <w:divBdr>
                <w:top w:val="none" w:sz="0" w:space="0" w:color="auto"/>
                <w:left w:val="none" w:sz="0" w:space="0" w:color="auto"/>
                <w:bottom w:val="none" w:sz="0" w:space="0" w:color="auto"/>
                <w:right w:val="none" w:sz="0" w:space="0" w:color="auto"/>
              </w:divBdr>
            </w:div>
            <w:div w:id="188417463">
              <w:marLeft w:val="0"/>
              <w:marRight w:val="0"/>
              <w:marTop w:val="0"/>
              <w:marBottom w:val="0"/>
              <w:divBdr>
                <w:top w:val="none" w:sz="0" w:space="0" w:color="auto"/>
                <w:left w:val="none" w:sz="0" w:space="0" w:color="auto"/>
                <w:bottom w:val="none" w:sz="0" w:space="0" w:color="auto"/>
                <w:right w:val="none" w:sz="0" w:space="0" w:color="auto"/>
              </w:divBdr>
            </w:div>
            <w:div w:id="914167398">
              <w:marLeft w:val="0"/>
              <w:marRight w:val="0"/>
              <w:marTop w:val="0"/>
              <w:marBottom w:val="0"/>
              <w:divBdr>
                <w:top w:val="none" w:sz="0" w:space="0" w:color="auto"/>
                <w:left w:val="none" w:sz="0" w:space="0" w:color="auto"/>
                <w:bottom w:val="none" w:sz="0" w:space="0" w:color="auto"/>
                <w:right w:val="none" w:sz="0" w:space="0" w:color="auto"/>
              </w:divBdr>
            </w:div>
            <w:div w:id="1129590387">
              <w:marLeft w:val="0"/>
              <w:marRight w:val="0"/>
              <w:marTop w:val="0"/>
              <w:marBottom w:val="0"/>
              <w:divBdr>
                <w:top w:val="none" w:sz="0" w:space="0" w:color="auto"/>
                <w:left w:val="none" w:sz="0" w:space="0" w:color="auto"/>
                <w:bottom w:val="none" w:sz="0" w:space="0" w:color="auto"/>
                <w:right w:val="none" w:sz="0" w:space="0" w:color="auto"/>
              </w:divBdr>
            </w:div>
            <w:div w:id="151288996">
              <w:marLeft w:val="0"/>
              <w:marRight w:val="0"/>
              <w:marTop w:val="0"/>
              <w:marBottom w:val="0"/>
              <w:divBdr>
                <w:top w:val="none" w:sz="0" w:space="0" w:color="auto"/>
                <w:left w:val="none" w:sz="0" w:space="0" w:color="auto"/>
                <w:bottom w:val="none" w:sz="0" w:space="0" w:color="auto"/>
                <w:right w:val="none" w:sz="0" w:space="0" w:color="auto"/>
              </w:divBdr>
            </w:div>
            <w:div w:id="1413549073">
              <w:marLeft w:val="0"/>
              <w:marRight w:val="0"/>
              <w:marTop w:val="0"/>
              <w:marBottom w:val="0"/>
              <w:divBdr>
                <w:top w:val="none" w:sz="0" w:space="0" w:color="auto"/>
                <w:left w:val="none" w:sz="0" w:space="0" w:color="auto"/>
                <w:bottom w:val="none" w:sz="0" w:space="0" w:color="auto"/>
                <w:right w:val="none" w:sz="0" w:space="0" w:color="auto"/>
              </w:divBdr>
            </w:div>
            <w:div w:id="1767770356">
              <w:marLeft w:val="0"/>
              <w:marRight w:val="0"/>
              <w:marTop w:val="0"/>
              <w:marBottom w:val="0"/>
              <w:divBdr>
                <w:top w:val="none" w:sz="0" w:space="0" w:color="auto"/>
                <w:left w:val="none" w:sz="0" w:space="0" w:color="auto"/>
                <w:bottom w:val="none" w:sz="0" w:space="0" w:color="auto"/>
                <w:right w:val="none" w:sz="0" w:space="0" w:color="auto"/>
              </w:divBdr>
            </w:div>
            <w:div w:id="36516313">
              <w:marLeft w:val="0"/>
              <w:marRight w:val="0"/>
              <w:marTop w:val="0"/>
              <w:marBottom w:val="0"/>
              <w:divBdr>
                <w:top w:val="none" w:sz="0" w:space="0" w:color="auto"/>
                <w:left w:val="none" w:sz="0" w:space="0" w:color="auto"/>
                <w:bottom w:val="none" w:sz="0" w:space="0" w:color="auto"/>
                <w:right w:val="none" w:sz="0" w:space="0" w:color="auto"/>
              </w:divBdr>
            </w:div>
            <w:div w:id="1492677094">
              <w:marLeft w:val="0"/>
              <w:marRight w:val="0"/>
              <w:marTop w:val="0"/>
              <w:marBottom w:val="0"/>
              <w:divBdr>
                <w:top w:val="none" w:sz="0" w:space="0" w:color="auto"/>
                <w:left w:val="none" w:sz="0" w:space="0" w:color="auto"/>
                <w:bottom w:val="none" w:sz="0" w:space="0" w:color="auto"/>
                <w:right w:val="none" w:sz="0" w:space="0" w:color="auto"/>
              </w:divBdr>
            </w:div>
            <w:div w:id="580716301">
              <w:marLeft w:val="0"/>
              <w:marRight w:val="0"/>
              <w:marTop w:val="0"/>
              <w:marBottom w:val="0"/>
              <w:divBdr>
                <w:top w:val="none" w:sz="0" w:space="0" w:color="auto"/>
                <w:left w:val="none" w:sz="0" w:space="0" w:color="auto"/>
                <w:bottom w:val="none" w:sz="0" w:space="0" w:color="auto"/>
                <w:right w:val="none" w:sz="0" w:space="0" w:color="auto"/>
              </w:divBdr>
            </w:div>
            <w:div w:id="160433356">
              <w:marLeft w:val="0"/>
              <w:marRight w:val="0"/>
              <w:marTop w:val="0"/>
              <w:marBottom w:val="0"/>
              <w:divBdr>
                <w:top w:val="none" w:sz="0" w:space="0" w:color="auto"/>
                <w:left w:val="none" w:sz="0" w:space="0" w:color="auto"/>
                <w:bottom w:val="none" w:sz="0" w:space="0" w:color="auto"/>
                <w:right w:val="none" w:sz="0" w:space="0" w:color="auto"/>
              </w:divBdr>
            </w:div>
            <w:div w:id="250167052">
              <w:marLeft w:val="0"/>
              <w:marRight w:val="0"/>
              <w:marTop w:val="0"/>
              <w:marBottom w:val="0"/>
              <w:divBdr>
                <w:top w:val="none" w:sz="0" w:space="0" w:color="auto"/>
                <w:left w:val="none" w:sz="0" w:space="0" w:color="auto"/>
                <w:bottom w:val="none" w:sz="0" w:space="0" w:color="auto"/>
                <w:right w:val="none" w:sz="0" w:space="0" w:color="auto"/>
              </w:divBdr>
            </w:div>
            <w:div w:id="1407610980">
              <w:marLeft w:val="0"/>
              <w:marRight w:val="0"/>
              <w:marTop w:val="0"/>
              <w:marBottom w:val="0"/>
              <w:divBdr>
                <w:top w:val="none" w:sz="0" w:space="0" w:color="auto"/>
                <w:left w:val="none" w:sz="0" w:space="0" w:color="auto"/>
                <w:bottom w:val="none" w:sz="0" w:space="0" w:color="auto"/>
                <w:right w:val="none" w:sz="0" w:space="0" w:color="auto"/>
              </w:divBdr>
            </w:div>
            <w:div w:id="1731881661">
              <w:marLeft w:val="0"/>
              <w:marRight w:val="0"/>
              <w:marTop w:val="0"/>
              <w:marBottom w:val="0"/>
              <w:divBdr>
                <w:top w:val="none" w:sz="0" w:space="0" w:color="auto"/>
                <w:left w:val="none" w:sz="0" w:space="0" w:color="auto"/>
                <w:bottom w:val="none" w:sz="0" w:space="0" w:color="auto"/>
                <w:right w:val="none" w:sz="0" w:space="0" w:color="auto"/>
              </w:divBdr>
            </w:div>
            <w:div w:id="1955089002">
              <w:marLeft w:val="0"/>
              <w:marRight w:val="0"/>
              <w:marTop w:val="0"/>
              <w:marBottom w:val="0"/>
              <w:divBdr>
                <w:top w:val="none" w:sz="0" w:space="0" w:color="auto"/>
                <w:left w:val="none" w:sz="0" w:space="0" w:color="auto"/>
                <w:bottom w:val="none" w:sz="0" w:space="0" w:color="auto"/>
                <w:right w:val="none" w:sz="0" w:space="0" w:color="auto"/>
              </w:divBdr>
            </w:div>
            <w:div w:id="1906840507">
              <w:marLeft w:val="0"/>
              <w:marRight w:val="0"/>
              <w:marTop w:val="0"/>
              <w:marBottom w:val="0"/>
              <w:divBdr>
                <w:top w:val="none" w:sz="0" w:space="0" w:color="auto"/>
                <w:left w:val="none" w:sz="0" w:space="0" w:color="auto"/>
                <w:bottom w:val="none" w:sz="0" w:space="0" w:color="auto"/>
                <w:right w:val="none" w:sz="0" w:space="0" w:color="auto"/>
              </w:divBdr>
            </w:div>
            <w:div w:id="1964731862">
              <w:marLeft w:val="0"/>
              <w:marRight w:val="0"/>
              <w:marTop w:val="0"/>
              <w:marBottom w:val="0"/>
              <w:divBdr>
                <w:top w:val="none" w:sz="0" w:space="0" w:color="auto"/>
                <w:left w:val="none" w:sz="0" w:space="0" w:color="auto"/>
                <w:bottom w:val="none" w:sz="0" w:space="0" w:color="auto"/>
                <w:right w:val="none" w:sz="0" w:space="0" w:color="auto"/>
              </w:divBdr>
            </w:div>
            <w:div w:id="1299534534">
              <w:marLeft w:val="0"/>
              <w:marRight w:val="0"/>
              <w:marTop w:val="0"/>
              <w:marBottom w:val="0"/>
              <w:divBdr>
                <w:top w:val="none" w:sz="0" w:space="0" w:color="auto"/>
                <w:left w:val="none" w:sz="0" w:space="0" w:color="auto"/>
                <w:bottom w:val="none" w:sz="0" w:space="0" w:color="auto"/>
                <w:right w:val="none" w:sz="0" w:space="0" w:color="auto"/>
              </w:divBdr>
            </w:div>
            <w:div w:id="459299224">
              <w:marLeft w:val="0"/>
              <w:marRight w:val="0"/>
              <w:marTop w:val="0"/>
              <w:marBottom w:val="0"/>
              <w:divBdr>
                <w:top w:val="none" w:sz="0" w:space="0" w:color="auto"/>
                <w:left w:val="none" w:sz="0" w:space="0" w:color="auto"/>
                <w:bottom w:val="none" w:sz="0" w:space="0" w:color="auto"/>
                <w:right w:val="none" w:sz="0" w:space="0" w:color="auto"/>
              </w:divBdr>
            </w:div>
            <w:div w:id="794913211">
              <w:marLeft w:val="0"/>
              <w:marRight w:val="0"/>
              <w:marTop w:val="0"/>
              <w:marBottom w:val="0"/>
              <w:divBdr>
                <w:top w:val="none" w:sz="0" w:space="0" w:color="auto"/>
                <w:left w:val="none" w:sz="0" w:space="0" w:color="auto"/>
                <w:bottom w:val="none" w:sz="0" w:space="0" w:color="auto"/>
                <w:right w:val="none" w:sz="0" w:space="0" w:color="auto"/>
              </w:divBdr>
            </w:div>
            <w:div w:id="1321497682">
              <w:marLeft w:val="0"/>
              <w:marRight w:val="0"/>
              <w:marTop w:val="0"/>
              <w:marBottom w:val="0"/>
              <w:divBdr>
                <w:top w:val="none" w:sz="0" w:space="0" w:color="auto"/>
                <w:left w:val="none" w:sz="0" w:space="0" w:color="auto"/>
                <w:bottom w:val="none" w:sz="0" w:space="0" w:color="auto"/>
                <w:right w:val="none" w:sz="0" w:space="0" w:color="auto"/>
              </w:divBdr>
            </w:div>
            <w:div w:id="198322661">
              <w:marLeft w:val="0"/>
              <w:marRight w:val="0"/>
              <w:marTop w:val="0"/>
              <w:marBottom w:val="0"/>
              <w:divBdr>
                <w:top w:val="none" w:sz="0" w:space="0" w:color="auto"/>
                <w:left w:val="none" w:sz="0" w:space="0" w:color="auto"/>
                <w:bottom w:val="none" w:sz="0" w:space="0" w:color="auto"/>
                <w:right w:val="none" w:sz="0" w:space="0" w:color="auto"/>
              </w:divBdr>
            </w:div>
            <w:div w:id="1037195399">
              <w:marLeft w:val="0"/>
              <w:marRight w:val="0"/>
              <w:marTop w:val="0"/>
              <w:marBottom w:val="0"/>
              <w:divBdr>
                <w:top w:val="none" w:sz="0" w:space="0" w:color="auto"/>
                <w:left w:val="none" w:sz="0" w:space="0" w:color="auto"/>
                <w:bottom w:val="none" w:sz="0" w:space="0" w:color="auto"/>
                <w:right w:val="none" w:sz="0" w:space="0" w:color="auto"/>
              </w:divBdr>
            </w:div>
            <w:div w:id="1708067664">
              <w:marLeft w:val="0"/>
              <w:marRight w:val="0"/>
              <w:marTop w:val="0"/>
              <w:marBottom w:val="0"/>
              <w:divBdr>
                <w:top w:val="none" w:sz="0" w:space="0" w:color="auto"/>
                <w:left w:val="none" w:sz="0" w:space="0" w:color="auto"/>
                <w:bottom w:val="none" w:sz="0" w:space="0" w:color="auto"/>
                <w:right w:val="none" w:sz="0" w:space="0" w:color="auto"/>
              </w:divBdr>
            </w:div>
            <w:div w:id="296447601">
              <w:marLeft w:val="0"/>
              <w:marRight w:val="0"/>
              <w:marTop w:val="0"/>
              <w:marBottom w:val="0"/>
              <w:divBdr>
                <w:top w:val="none" w:sz="0" w:space="0" w:color="auto"/>
                <w:left w:val="none" w:sz="0" w:space="0" w:color="auto"/>
                <w:bottom w:val="none" w:sz="0" w:space="0" w:color="auto"/>
                <w:right w:val="none" w:sz="0" w:space="0" w:color="auto"/>
              </w:divBdr>
            </w:div>
            <w:div w:id="319119396">
              <w:marLeft w:val="0"/>
              <w:marRight w:val="0"/>
              <w:marTop w:val="0"/>
              <w:marBottom w:val="0"/>
              <w:divBdr>
                <w:top w:val="none" w:sz="0" w:space="0" w:color="auto"/>
                <w:left w:val="none" w:sz="0" w:space="0" w:color="auto"/>
                <w:bottom w:val="none" w:sz="0" w:space="0" w:color="auto"/>
                <w:right w:val="none" w:sz="0" w:space="0" w:color="auto"/>
              </w:divBdr>
            </w:div>
            <w:div w:id="1696729049">
              <w:marLeft w:val="0"/>
              <w:marRight w:val="0"/>
              <w:marTop w:val="0"/>
              <w:marBottom w:val="0"/>
              <w:divBdr>
                <w:top w:val="none" w:sz="0" w:space="0" w:color="auto"/>
                <w:left w:val="none" w:sz="0" w:space="0" w:color="auto"/>
                <w:bottom w:val="none" w:sz="0" w:space="0" w:color="auto"/>
                <w:right w:val="none" w:sz="0" w:space="0" w:color="auto"/>
              </w:divBdr>
            </w:div>
            <w:div w:id="489827742">
              <w:marLeft w:val="0"/>
              <w:marRight w:val="0"/>
              <w:marTop w:val="0"/>
              <w:marBottom w:val="0"/>
              <w:divBdr>
                <w:top w:val="none" w:sz="0" w:space="0" w:color="auto"/>
                <w:left w:val="none" w:sz="0" w:space="0" w:color="auto"/>
                <w:bottom w:val="none" w:sz="0" w:space="0" w:color="auto"/>
                <w:right w:val="none" w:sz="0" w:space="0" w:color="auto"/>
              </w:divBdr>
            </w:div>
            <w:div w:id="150878961">
              <w:marLeft w:val="0"/>
              <w:marRight w:val="0"/>
              <w:marTop w:val="0"/>
              <w:marBottom w:val="0"/>
              <w:divBdr>
                <w:top w:val="none" w:sz="0" w:space="0" w:color="auto"/>
                <w:left w:val="none" w:sz="0" w:space="0" w:color="auto"/>
                <w:bottom w:val="none" w:sz="0" w:space="0" w:color="auto"/>
                <w:right w:val="none" w:sz="0" w:space="0" w:color="auto"/>
              </w:divBdr>
            </w:div>
            <w:div w:id="1516768591">
              <w:marLeft w:val="0"/>
              <w:marRight w:val="0"/>
              <w:marTop w:val="0"/>
              <w:marBottom w:val="0"/>
              <w:divBdr>
                <w:top w:val="none" w:sz="0" w:space="0" w:color="auto"/>
                <w:left w:val="none" w:sz="0" w:space="0" w:color="auto"/>
                <w:bottom w:val="none" w:sz="0" w:space="0" w:color="auto"/>
                <w:right w:val="none" w:sz="0" w:space="0" w:color="auto"/>
              </w:divBdr>
            </w:div>
            <w:div w:id="202253341">
              <w:marLeft w:val="0"/>
              <w:marRight w:val="0"/>
              <w:marTop w:val="0"/>
              <w:marBottom w:val="0"/>
              <w:divBdr>
                <w:top w:val="none" w:sz="0" w:space="0" w:color="auto"/>
                <w:left w:val="none" w:sz="0" w:space="0" w:color="auto"/>
                <w:bottom w:val="none" w:sz="0" w:space="0" w:color="auto"/>
                <w:right w:val="none" w:sz="0" w:space="0" w:color="auto"/>
              </w:divBdr>
            </w:div>
            <w:div w:id="262610609">
              <w:marLeft w:val="0"/>
              <w:marRight w:val="0"/>
              <w:marTop w:val="0"/>
              <w:marBottom w:val="0"/>
              <w:divBdr>
                <w:top w:val="none" w:sz="0" w:space="0" w:color="auto"/>
                <w:left w:val="none" w:sz="0" w:space="0" w:color="auto"/>
                <w:bottom w:val="none" w:sz="0" w:space="0" w:color="auto"/>
                <w:right w:val="none" w:sz="0" w:space="0" w:color="auto"/>
              </w:divBdr>
            </w:div>
            <w:div w:id="1858158700">
              <w:marLeft w:val="0"/>
              <w:marRight w:val="0"/>
              <w:marTop w:val="0"/>
              <w:marBottom w:val="0"/>
              <w:divBdr>
                <w:top w:val="none" w:sz="0" w:space="0" w:color="auto"/>
                <w:left w:val="none" w:sz="0" w:space="0" w:color="auto"/>
                <w:bottom w:val="none" w:sz="0" w:space="0" w:color="auto"/>
                <w:right w:val="none" w:sz="0" w:space="0" w:color="auto"/>
              </w:divBdr>
            </w:div>
            <w:div w:id="368385841">
              <w:marLeft w:val="0"/>
              <w:marRight w:val="0"/>
              <w:marTop w:val="0"/>
              <w:marBottom w:val="0"/>
              <w:divBdr>
                <w:top w:val="none" w:sz="0" w:space="0" w:color="auto"/>
                <w:left w:val="none" w:sz="0" w:space="0" w:color="auto"/>
                <w:bottom w:val="none" w:sz="0" w:space="0" w:color="auto"/>
                <w:right w:val="none" w:sz="0" w:space="0" w:color="auto"/>
              </w:divBdr>
            </w:div>
            <w:div w:id="969821478">
              <w:marLeft w:val="0"/>
              <w:marRight w:val="0"/>
              <w:marTop w:val="0"/>
              <w:marBottom w:val="0"/>
              <w:divBdr>
                <w:top w:val="none" w:sz="0" w:space="0" w:color="auto"/>
                <w:left w:val="none" w:sz="0" w:space="0" w:color="auto"/>
                <w:bottom w:val="none" w:sz="0" w:space="0" w:color="auto"/>
                <w:right w:val="none" w:sz="0" w:space="0" w:color="auto"/>
              </w:divBdr>
            </w:div>
            <w:div w:id="1200320341">
              <w:marLeft w:val="0"/>
              <w:marRight w:val="0"/>
              <w:marTop w:val="0"/>
              <w:marBottom w:val="0"/>
              <w:divBdr>
                <w:top w:val="none" w:sz="0" w:space="0" w:color="auto"/>
                <w:left w:val="none" w:sz="0" w:space="0" w:color="auto"/>
                <w:bottom w:val="none" w:sz="0" w:space="0" w:color="auto"/>
                <w:right w:val="none" w:sz="0" w:space="0" w:color="auto"/>
              </w:divBdr>
            </w:div>
            <w:div w:id="1272392299">
              <w:marLeft w:val="0"/>
              <w:marRight w:val="0"/>
              <w:marTop w:val="0"/>
              <w:marBottom w:val="0"/>
              <w:divBdr>
                <w:top w:val="none" w:sz="0" w:space="0" w:color="auto"/>
                <w:left w:val="none" w:sz="0" w:space="0" w:color="auto"/>
                <w:bottom w:val="none" w:sz="0" w:space="0" w:color="auto"/>
                <w:right w:val="none" w:sz="0" w:space="0" w:color="auto"/>
              </w:divBdr>
            </w:div>
            <w:div w:id="1717075189">
              <w:marLeft w:val="0"/>
              <w:marRight w:val="0"/>
              <w:marTop w:val="0"/>
              <w:marBottom w:val="0"/>
              <w:divBdr>
                <w:top w:val="none" w:sz="0" w:space="0" w:color="auto"/>
                <w:left w:val="none" w:sz="0" w:space="0" w:color="auto"/>
                <w:bottom w:val="none" w:sz="0" w:space="0" w:color="auto"/>
                <w:right w:val="none" w:sz="0" w:space="0" w:color="auto"/>
              </w:divBdr>
            </w:div>
            <w:div w:id="2037076350">
              <w:marLeft w:val="0"/>
              <w:marRight w:val="0"/>
              <w:marTop w:val="0"/>
              <w:marBottom w:val="0"/>
              <w:divBdr>
                <w:top w:val="none" w:sz="0" w:space="0" w:color="auto"/>
                <w:left w:val="none" w:sz="0" w:space="0" w:color="auto"/>
                <w:bottom w:val="none" w:sz="0" w:space="0" w:color="auto"/>
                <w:right w:val="none" w:sz="0" w:space="0" w:color="auto"/>
              </w:divBdr>
            </w:div>
            <w:div w:id="1997757228">
              <w:marLeft w:val="0"/>
              <w:marRight w:val="0"/>
              <w:marTop w:val="0"/>
              <w:marBottom w:val="0"/>
              <w:divBdr>
                <w:top w:val="none" w:sz="0" w:space="0" w:color="auto"/>
                <w:left w:val="none" w:sz="0" w:space="0" w:color="auto"/>
                <w:bottom w:val="none" w:sz="0" w:space="0" w:color="auto"/>
                <w:right w:val="none" w:sz="0" w:space="0" w:color="auto"/>
              </w:divBdr>
            </w:div>
            <w:div w:id="1460033231">
              <w:marLeft w:val="0"/>
              <w:marRight w:val="0"/>
              <w:marTop w:val="0"/>
              <w:marBottom w:val="0"/>
              <w:divBdr>
                <w:top w:val="none" w:sz="0" w:space="0" w:color="auto"/>
                <w:left w:val="none" w:sz="0" w:space="0" w:color="auto"/>
                <w:bottom w:val="none" w:sz="0" w:space="0" w:color="auto"/>
                <w:right w:val="none" w:sz="0" w:space="0" w:color="auto"/>
              </w:divBdr>
            </w:div>
            <w:div w:id="1712874170">
              <w:marLeft w:val="0"/>
              <w:marRight w:val="0"/>
              <w:marTop w:val="0"/>
              <w:marBottom w:val="0"/>
              <w:divBdr>
                <w:top w:val="none" w:sz="0" w:space="0" w:color="auto"/>
                <w:left w:val="none" w:sz="0" w:space="0" w:color="auto"/>
                <w:bottom w:val="none" w:sz="0" w:space="0" w:color="auto"/>
                <w:right w:val="none" w:sz="0" w:space="0" w:color="auto"/>
              </w:divBdr>
            </w:div>
            <w:div w:id="398404967">
              <w:marLeft w:val="0"/>
              <w:marRight w:val="0"/>
              <w:marTop w:val="0"/>
              <w:marBottom w:val="0"/>
              <w:divBdr>
                <w:top w:val="none" w:sz="0" w:space="0" w:color="auto"/>
                <w:left w:val="none" w:sz="0" w:space="0" w:color="auto"/>
                <w:bottom w:val="none" w:sz="0" w:space="0" w:color="auto"/>
                <w:right w:val="none" w:sz="0" w:space="0" w:color="auto"/>
              </w:divBdr>
            </w:div>
            <w:div w:id="1822190419">
              <w:marLeft w:val="0"/>
              <w:marRight w:val="0"/>
              <w:marTop w:val="0"/>
              <w:marBottom w:val="0"/>
              <w:divBdr>
                <w:top w:val="none" w:sz="0" w:space="0" w:color="auto"/>
                <w:left w:val="none" w:sz="0" w:space="0" w:color="auto"/>
                <w:bottom w:val="none" w:sz="0" w:space="0" w:color="auto"/>
                <w:right w:val="none" w:sz="0" w:space="0" w:color="auto"/>
              </w:divBdr>
            </w:div>
            <w:div w:id="92633954">
              <w:marLeft w:val="0"/>
              <w:marRight w:val="0"/>
              <w:marTop w:val="0"/>
              <w:marBottom w:val="0"/>
              <w:divBdr>
                <w:top w:val="none" w:sz="0" w:space="0" w:color="auto"/>
                <w:left w:val="none" w:sz="0" w:space="0" w:color="auto"/>
                <w:bottom w:val="none" w:sz="0" w:space="0" w:color="auto"/>
                <w:right w:val="none" w:sz="0" w:space="0" w:color="auto"/>
              </w:divBdr>
            </w:div>
            <w:div w:id="49576964">
              <w:marLeft w:val="0"/>
              <w:marRight w:val="0"/>
              <w:marTop w:val="0"/>
              <w:marBottom w:val="0"/>
              <w:divBdr>
                <w:top w:val="none" w:sz="0" w:space="0" w:color="auto"/>
                <w:left w:val="none" w:sz="0" w:space="0" w:color="auto"/>
                <w:bottom w:val="none" w:sz="0" w:space="0" w:color="auto"/>
                <w:right w:val="none" w:sz="0" w:space="0" w:color="auto"/>
              </w:divBdr>
            </w:div>
            <w:div w:id="1171723876">
              <w:marLeft w:val="0"/>
              <w:marRight w:val="0"/>
              <w:marTop w:val="0"/>
              <w:marBottom w:val="0"/>
              <w:divBdr>
                <w:top w:val="none" w:sz="0" w:space="0" w:color="auto"/>
                <w:left w:val="none" w:sz="0" w:space="0" w:color="auto"/>
                <w:bottom w:val="none" w:sz="0" w:space="0" w:color="auto"/>
                <w:right w:val="none" w:sz="0" w:space="0" w:color="auto"/>
              </w:divBdr>
            </w:div>
            <w:div w:id="2093162489">
              <w:marLeft w:val="0"/>
              <w:marRight w:val="0"/>
              <w:marTop w:val="0"/>
              <w:marBottom w:val="0"/>
              <w:divBdr>
                <w:top w:val="none" w:sz="0" w:space="0" w:color="auto"/>
                <w:left w:val="none" w:sz="0" w:space="0" w:color="auto"/>
                <w:bottom w:val="none" w:sz="0" w:space="0" w:color="auto"/>
                <w:right w:val="none" w:sz="0" w:space="0" w:color="auto"/>
              </w:divBdr>
            </w:div>
            <w:div w:id="669065868">
              <w:marLeft w:val="0"/>
              <w:marRight w:val="0"/>
              <w:marTop w:val="0"/>
              <w:marBottom w:val="0"/>
              <w:divBdr>
                <w:top w:val="none" w:sz="0" w:space="0" w:color="auto"/>
                <w:left w:val="none" w:sz="0" w:space="0" w:color="auto"/>
                <w:bottom w:val="none" w:sz="0" w:space="0" w:color="auto"/>
                <w:right w:val="none" w:sz="0" w:space="0" w:color="auto"/>
              </w:divBdr>
            </w:div>
            <w:div w:id="1538466979">
              <w:marLeft w:val="0"/>
              <w:marRight w:val="0"/>
              <w:marTop w:val="0"/>
              <w:marBottom w:val="0"/>
              <w:divBdr>
                <w:top w:val="none" w:sz="0" w:space="0" w:color="auto"/>
                <w:left w:val="none" w:sz="0" w:space="0" w:color="auto"/>
                <w:bottom w:val="none" w:sz="0" w:space="0" w:color="auto"/>
                <w:right w:val="none" w:sz="0" w:space="0" w:color="auto"/>
              </w:divBdr>
            </w:div>
            <w:div w:id="77096332">
              <w:marLeft w:val="0"/>
              <w:marRight w:val="0"/>
              <w:marTop w:val="0"/>
              <w:marBottom w:val="0"/>
              <w:divBdr>
                <w:top w:val="none" w:sz="0" w:space="0" w:color="auto"/>
                <w:left w:val="none" w:sz="0" w:space="0" w:color="auto"/>
                <w:bottom w:val="none" w:sz="0" w:space="0" w:color="auto"/>
                <w:right w:val="none" w:sz="0" w:space="0" w:color="auto"/>
              </w:divBdr>
            </w:div>
            <w:div w:id="1483811733">
              <w:marLeft w:val="0"/>
              <w:marRight w:val="0"/>
              <w:marTop w:val="0"/>
              <w:marBottom w:val="0"/>
              <w:divBdr>
                <w:top w:val="none" w:sz="0" w:space="0" w:color="auto"/>
                <w:left w:val="none" w:sz="0" w:space="0" w:color="auto"/>
                <w:bottom w:val="none" w:sz="0" w:space="0" w:color="auto"/>
                <w:right w:val="none" w:sz="0" w:space="0" w:color="auto"/>
              </w:divBdr>
            </w:div>
            <w:div w:id="385682547">
              <w:marLeft w:val="0"/>
              <w:marRight w:val="0"/>
              <w:marTop w:val="0"/>
              <w:marBottom w:val="0"/>
              <w:divBdr>
                <w:top w:val="none" w:sz="0" w:space="0" w:color="auto"/>
                <w:left w:val="none" w:sz="0" w:space="0" w:color="auto"/>
                <w:bottom w:val="none" w:sz="0" w:space="0" w:color="auto"/>
                <w:right w:val="none" w:sz="0" w:space="0" w:color="auto"/>
              </w:divBdr>
            </w:div>
            <w:div w:id="573784474">
              <w:marLeft w:val="0"/>
              <w:marRight w:val="0"/>
              <w:marTop w:val="0"/>
              <w:marBottom w:val="0"/>
              <w:divBdr>
                <w:top w:val="none" w:sz="0" w:space="0" w:color="auto"/>
                <w:left w:val="none" w:sz="0" w:space="0" w:color="auto"/>
                <w:bottom w:val="none" w:sz="0" w:space="0" w:color="auto"/>
                <w:right w:val="none" w:sz="0" w:space="0" w:color="auto"/>
              </w:divBdr>
            </w:div>
            <w:div w:id="1033187008">
              <w:marLeft w:val="0"/>
              <w:marRight w:val="0"/>
              <w:marTop w:val="0"/>
              <w:marBottom w:val="0"/>
              <w:divBdr>
                <w:top w:val="none" w:sz="0" w:space="0" w:color="auto"/>
                <w:left w:val="none" w:sz="0" w:space="0" w:color="auto"/>
                <w:bottom w:val="none" w:sz="0" w:space="0" w:color="auto"/>
                <w:right w:val="none" w:sz="0" w:space="0" w:color="auto"/>
              </w:divBdr>
            </w:div>
            <w:div w:id="73743337">
              <w:marLeft w:val="0"/>
              <w:marRight w:val="0"/>
              <w:marTop w:val="0"/>
              <w:marBottom w:val="0"/>
              <w:divBdr>
                <w:top w:val="none" w:sz="0" w:space="0" w:color="auto"/>
                <w:left w:val="none" w:sz="0" w:space="0" w:color="auto"/>
                <w:bottom w:val="none" w:sz="0" w:space="0" w:color="auto"/>
                <w:right w:val="none" w:sz="0" w:space="0" w:color="auto"/>
              </w:divBdr>
            </w:div>
            <w:div w:id="1826048918">
              <w:marLeft w:val="0"/>
              <w:marRight w:val="0"/>
              <w:marTop w:val="0"/>
              <w:marBottom w:val="0"/>
              <w:divBdr>
                <w:top w:val="none" w:sz="0" w:space="0" w:color="auto"/>
                <w:left w:val="none" w:sz="0" w:space="0" w:color="auto"/>
                <w:bottom w:val="none" w:sz="0" w:space="0" w:color="auto"/>
                <w:right w:val="none" w:sz="0" w:space="0" w:color="auto"/>
              </w:divBdr>
            </w:div>
            <w:div w:id="1656908805">
              <w:marLeft w:val="0"/>
              <w:marRight w:val="0"/>
              <w:marTop w:val="0"/>
              <w:marBottom w:val="0"/>
              <w:divBdr>
                <w:top w:val="none" w:sz="0" w:space="0" w:color="auto"/>
                <w:left w:val="none" w:sz="0" w:space="0" w:color="auto"/>
                <w:bottom w:val="none" w:sz="0" w:space="0" w:color="auto"/>
                <w:right w:val="none" w:sz="0" w:space="0" w:color="auto"/>
              </w:divBdr>
            </w:div>
            <w:div w:id="431321309">
              <w:marLeft w:val="0"/>
              <w:marRight w:val="0"/>
              <w:marTop w:val="0"/>
              <w:marBottom w:val="0"/>
              <w:divBdr>
                <w:top w:val="none" w:sz="0" w:space="0" w:color="auto"/>
                <w:left w:val="none" w:sz="0" w:space="0" w:color="auto"/>
                <w:bottom w:val="none" w:sz="0" w:space="0" w:color="auto"/>
                <w:right w:val="none" w:sz="0" w:space="0" w:color="auto"/>
              </w:divBdr>
            </w:div>
            <w:div w:id="1816875744">
              <w:marLeft w:val="0"/>
              <w:marRight w:val="0"/>
              <w:marTop w:val="0"/>
              <w:marBottom w:val="0"/>
              <w:divBdr>
                <w:top w:val="none" w:sz="0" w:space="0" w:color="auto"/>
                <w:left w:val="none" w:sz="0" w:space="0" w:color="auto"/>
                <w:bottom w:val="none" w:sz="0" w:space="0" w:color="auto"/>
                <w:right w:val="none" w:sz="0" w:space="0" w:color="auto"/>
              </w:divBdr>
            </w:div>
            <w:div w:id="2047287344">
              <w:marLeft w:val="0"/>
              <w:marRight w:val="0"/>
              <w:marTop w:val="0"/>
              <w:marBottom w:val="0"/>
              <w:divBdr>
                <w:top w:val="none" w:sz="0" w:space="0" w:color="auto"/>
                <w:left w:val="none" w:sz="0" w:space="0" w:color="auto"/>
                <w:bottom w:val="none" w:sz="0" w:space="0" w:color="auto"/>
                <w:right w:val="none" w:sz="0" w:space="0" w:color="auto"/>
              </w:divBdr>
            </w:div>
            <w:div w:id="1825773524">
              <w:marLeft w:val="0"/>
              <w:marRight w:val="0"/>
              <w:marTop w:val="0"/>
              <w:marBottom w:val="0"/>
              <w:divBdr>
                <w:top w:val="none" w:sz="0" w:space="0" w:color="auto"/>
                <w:left w:val="none" w:sz="0" w:space="0" w:color="auto"/>
                <w:bottom w:val="none" w:sz="0" w:space="0" w:color="auto"/>
                <w:right w:val="none" w:sz="0" w:space="0" w:color="auto"/>
              </w:divBdr>
            </w:div>
            <w:div w:id="760563318">
              <w:marLeft w:val="0"/>
              <w:marRight w:val="0"/>
              <w:marTop w:val="0"/>
              <w:marBottom w:val="0"/>
              <w:divBdr>
                <w:top w:val="none" w:sz="0" w:space="0" w:color="auto"/>
                <w:left w:val="none" w:sz="0" w:space="0" w:color="auto"/>
                <w:bottom w:val="none" w:sz="0" w:space="0" w:color="auto"/>
                <w:right w:val="none" w:sz="0" w:space="0" w:color="auto"/>
              </w:divBdr>
            </w:div>
            <w:div w:id="773206014">
              <w:marLeft w:val="0"/>
              <w:marRight w:val="0"/>
              <w:marTop w:val="0"/>
              <w:marBottom w:val="0"/>
              <w:divBdr>
                <w:top w:val="none" w:sz="0" w:space="0" w:color="auto"/>
                <w:left w:val="none" w:sz="0" w:space="0" w:color="auto"/>
                <w:bottom w:val="none" w:sz="0" w:space="0" w:color="auto"/>
                <w:right w:val="none" w:sz="0" w:space="0" w:color="auto"/>
              </w:divBdr>
            </w:div>
            <w:div w:id="1264726972">
              <w:marLeft w:val="0"/>
              <w:marRight w:val="0"/>
              <w:marTop w:val="0"/>
              <w:marBottom w:val="0"/>
              <w:divBdr>
                <w:top w:val="none" w:sz="0" w:space="0" w:color="auto"/>
                <w:left w:val="none" w:sz="0" w:space="0" w:color="auto"/>
                <w:bottom w:val="none" w:sz="0" w:space="0" w:color="auto"/>
                <w:right w:val="none" w:sz="0" w:space="0" w:color="auto"/>
              </w:divBdr>
            </w:div>
            <w:div w:id="1132476093">
              <w:marLeft w:val="0"/>
              <w:marRight w:val="0"/>
              <w:marTop w:val="0"/>
              <w:marBottom w:val="0"/>
              <w:divBdr>
                <w:top w:val="none" w:sz="0" w:space="0" w:color="auto"/>
                <w:left w:val="none" w:sz="0" w:space="0" w:color="auto"/>
                <w:bottom w:val="none" w:sz="0" w:space="0" w:color="auto"/>
                <w:right w:val="none" w:sz="0" w:space="0" w:color="auto"/>
              </w:divBdr>
            </w:div>
            <w:div w:id="1992323021">
              <w:marLeft w:val="0"/>
              <w:marRight w:val="0"/>
              <w:marTop w:val="0"/>
              <w:marBottom w:val="0"/>
              <w:divBdr>
                <w:top w:val="none" w:sz="0" w:space="0" w:color="auto"/>
                <w:left w:val="none" w:sz="0" w:space="0" w:color="auto"/>
                <w:bottom w:val="none" w:sz="0" w:space="0" w:color="auto"/>
                <w:right w:val="none" w:sz="0" w:space="0" w:color="auto"/>
              </w:divBdr>
            </w:div>
            <w:div w:id="1031878743">
              <w:marLeft w:val="0"/>
              <w:marRight w:val="0"/>
              <w:marTop w:val="0"/>
              <w:marBottom w:val="0"/>
              <w:divBdr>
                <w:top w:val="none" w:sz="0" w:space="0" w:color="auto"/>
                <w:left w:val="none" w:sz="0" w:space="0" w:color="auto"/>
                <w:bottom w:val="none" w:sz="0" w:space="0" w:color="auto"/>
                <w:right w:val="none" w:sz="0" w:space="0" w:color="auto"/>
              </w:divBdr>
            </w:div>
            <w:div w:id="52580777">
              <w:marLeft w:val="0"/>
              <w:marRight w:val="0"/>
              <w:marTop w:val="0"/>
              <w:marBottom w:val="0"/>
              <w:divBdr>
                <w:top w:val="none" w:sz="0" w:space="0" w:color="auto"/>
                <w:left w:val="none" w:sz="0" w:space="0" w:color="auto"/>
                <w:bottom w:val="none" w:sz="0" w:space="0" w:color="auto"/>
                <w:right w:val="none" w:sz="0" w:space="0" w:color="auto"/>
              </w:divBdr>
            </w:div>
            <w:div w:id="1348218001">
              <w:marLeft w:val="0"/>
              <w:marRight w:val="0"/>
              <w:marTop w:val="0"/>
              <w:marBottom w:val="0"/>
              <w:divBdr>
                <w:top w:val="none" w:sz="0" w:space="0" w:color="auto"/>
                <w:left w:val="none" w:sz="0" w:space="0" w:color="auto"/>
                <w:bottom w:val="none" w:sz="0" w:space="0" w:color="auto"/>
                <w:right w:val="none" w:sz="0" w:space="0" w:color="auto"/>
              </w:divBdr>
            </w:div>
            <w:div w:id="1003510099">
              <w:marLeft w:val="0"/>
              <w:marRight w:val="0"/>
              <w:marTop w:val="0"/>
              <w:marBottom w:val="0"/>
              <w:divBdr>
                <w:top w:val="none" w:sz="0" w:space="0" w:color="auto"/>
                <w:left w:val="none" w:sz="0" w:space="0" w:color="auto"/>
                <w:bottom w:val="none" w:sz="0" w:space="0" w:color="auto"/>
                <w:right w:val="none" w:sz="0" w:space="0" w:color="auto"/>
              </w:divBdr>
            </w:div>
            <w:div w:id="1993564514">
              <w:marLeft w:val="0"/>
              <w:marRight w:val="0"/>
              <w:marTop w:val="0"/>
              <w:marBottom w:val="0"/>
              <w:divBdr>
                <w:top w:val="none" w:sz="0" w:space="0" w:color="auto"/>
                <w:left w:val="none" w:sz="0" w:space="0" w:color="auto"/>
                <w:bottom w:val="none" w:sz="0" w:space="0" w:color="auto"/>
                <w:right w:val="none" w:sz="0" w:space="0" w:color="auto"/>
              </w:divBdr>
            </w:div>
            <w:div w:id="488137997">
              <w:marLeft w:val="0"/>
              <w:marRight w:val="0"/>
              <w:marTop w:val="0"/>
              <w:marBottom w:val="0"/>
              <w:divBdr>
                <w:top w:val="none" w:sz="0" w:space="0" w:color="auto"/>
                <w:left w:val="none" w:sz="0" w:space="0" w:color="auto"/>
                <w:bottom w:val="none" w:sz="0" w:space="0" w:color="auto"/>
                <w:right w:val="none" w:sz="0" w:space="0" w:color="auto"/>
              </w:divBdr>
            </w:div>
            <w:div w:id="932323639">
              <w:marLeft w:val="0"/>
              <w:marRight w:val="0"/>
              <w:marTop w:val="0"/>
              <w:marBottom w:val="0"/>
              <w:divBdr>
                <w:top w:val="none" w:sz="0" w:space="0" w:color="auto"/>
                <w:left w:val="none" w:sz="0" w:space="0" w:color="auto"/>
                <w:bottom w:val="none" w:sz="0" w:space="0" w:color="auto"/>
                <w:right w:val="none" w:sz="0" w:space="0" w:color="auto"/>
              </w:divBdr>
            </w:div>
            <w:div w:id="1573931344">
              <w:marLeft w:val="0"/>
              <w:marRight w:val="0"/>
              <w:marTop w:val="0"/>
              <w:marBottom w:val="0"/>
              <w:divBdr>
                <w:top w:val="none" w:sz="0" w:space="0" w:color="auto"/>
                <w:left w:val="none" w:sz="0" w:space="0" w:color="auto"/>
                <w:bottom w:val="none" w:sz="0" w:space="0" w:color="auto"/>
                <w:right w:val="none" w:sz="0" w:space="0" w:color="auto"/>
              </w:divBdr>
            </w:div>
            <w:div w:id="703554419">
              <w:marLeft w:val="0"/>
              <w:marRight w:val="0"/>
              <w:marTop w:val="0"/>
              <w:marBottom w:val="0"/>
              <w:divBdr>
                <w:top w:val="none" w:sz="0" w:space="0" w:color="auto"/>
                <w:left w:val="none" w:sz="0" w:space="0" w:color="auto"/>
                <w:bottom w:val="none" w:sz="0" w:space="0" w:color="auto"/>
                <w:right w:val="none" w:sz="0" w:space="0" w:color="auto"/>
              </w:divBdr>
            </w:div>
            <w:div w:id="1505583896">
              <w:marLeft w:val="0"/>
              <w:marRight w:val="0"/>
              <w:marTop w:val="0"/>
              <w:marBottom w:val="0"/>
              <w:divBdr>
                <w:top w:val="none" w:sz="0" w:space="0" w:color="auto"/>
                <w:left w:val="none" w:sz="0" w:space="0" w:color="auto"/>
                <w:bottom w:val="none" w:sz="0" w:space="0" w:color="auto"/>
                <w:right w:val="none" w:sz="0" w:space="0" w:color="auto"/>
              </w:divBdr>
            </w:div>
            <w:div w:id="1101217899">
              <w:marLeft w:val="0"/>
              <w:marRight w:val="0"/>
              <w:marTop w:val="0"/>
              <w:marBottom w:val="0"/>
              <w:divBdr>
                <w:top w:val="none" w:sz="0" w:space="0" w:color="auto"/>
                <w:left w:val="none" w:sz="0" w:space="0" w:color="auto"/>
                <w:bottom w:val="none" w:sz="0" w:space="0" w:color="auto"/>
                <w:right w:val="none" w:sz="0" w:space="0" w:color="auto"/>
              </w:divBdr>
            </w:div>
            <w:div w:id="1782336797">
              <w:marLeft w:val="0"/>
              <w:marRight w:val="0"/>
              <w:marTop w:val="0"/>
              <w:marBottom w:val="0"/>
              <w:divBdr>
                <w:top w:val="none" w:sz="0" w:space="0" w:color="auto"/>
                <w:left w:val="none" w:sz="0" w:space="0" w:color="auto"/>
                <w:bottom w:val="none" w:sz="0" w:space="0" w:color="auto"/>
                <w:right w:val="none" w:sz="0" w:space="0" w:color="auto"/>
              </w:divBdr>
            </w:div>
            <w:div w:id="1591965011">
              <w:marLeft w:val="0"/>
              <w:marRight w:val="0"/>
              <w:marTop w:val="0"/>
              <w:marBottom w:val="0"/>
              <w:divBdr>
                <w:top w:val="none" w:sz="0" w:space="0" w:color="auto"/>
                <w:left w:val="none" w:sz="0" w:space="0" w:color="auto"/>
                <w:bottom w:val="none" w:sz="0" w:space="0" w:color="auto"/>
                <w:right w:val="none" w:sz="0" w:space="0" w:color="auto"/>
              </w:divBdr>
            </w:div>
            <w:div w:id="705060270">
              <w:marLeft w:val="0"/>
              <w:marRight w:val="0"/>
              <w:marTop w:val="0"/>
              <w:marBottom w:val="0"/>
              <w:divBdr>
                <w:top w:val="none" w:sz="0" w:space="0" w:color="auto"/>
                <w:left w:val="none" w:sz="0" w:space="0" w:color="auto"/>
                <w:bottom w:val="none" w:sz="0" w:space="0" w:color="auto"/>
                <w:right w:val="none" w:sz="0" w:space="0" w:color="auto"/>
              </w:divBdr>
            </w:div>
            <w:div w:id="2113427511">
              <w:marLeft w:val="0"/>
              <w:marRight w:val="0"/>
              <w:marTop w:val="0"/>
              <w:marBottom w:val="0"/>
              <w:divBdr>
                <w:top w:val="none" w:sz="0" w:space="0" w:color="auto"/>
                <w:left w:val="none" w:sz="0" w:space="0" w:color="auto"/>
                <w:bottom w:val="none" w:sz="0" w:space="0" w:color="auto"/>
                <w:right w:val="none" w:sz="0" w:space="0" w:color="auto"/>
              </w:divBdr>
            </w:div>
            <w:div w:id="1559631991">
              <w:marLeft w:val="0"/>
              <w:marRight w:val="0"/>
              <w:marTop w:val="0"/>
              <w:marBottom w:val="0"/>
              <w:divBdr>
                <w:top w:val="none" w:sz="0" w:space="0" w:color="auto"/>
                <w:left w:val="none" w:sz="0" w:space="0" w:color="auto"/>
                <w:bottom w:val="none" w:sz="0" w:space="0" w:color="auto"/>
                <w:right w:val="none" w:sz="0" w:space="0" w:color="auto"/>
              </w:divBdr>
            </w:div>
            <w:div w:id="567350484">
              <w:marLeft w:val="0"/>
              <w:marRight w:val="0"/>
              <w:marTop w:val="0"/>
              <w:marBottom w:val="0"/>
              <w:divBdr>
                <w:top w:val="none" w:sz="0" w:space="0" w:color="auto"/>
                <w:left w:val="none" w:sz="0" w:space="0" w:color="auto"/>
                <w:bottom w:val="none" w:sz="0" w:space="0" w:color="auto"/>
                <w:right w:val="none" w:sz="0" w:space="0" w:color="auto"/>
              </w:divBdr>
            </w:div>
            <w:div w:id="416638887">
              <w:marLeft w:val="0"/>
              <w:marRight w:val="0"/>
              <w:marTop w:val="0"/>
              <w:marBottom w:val="0"/>
              <w:divBdr>
                <w:top w:val="none" w:sz="0" w:space="0" w:color="auto"/>
                <w:left w:val="none" w:sz="0" w:space="0" w:color="auto"/>
                <w:bottom w:val="none" w:sz="0" w:space="0" w:color="auto"/>
                <w:right w:val="none" w:sz="0" w:space="0" w:color="auto"/>
              </w:divBdr>
            </w:div>
            <w:div w:id="194579416">
              <w:marLeft w:val="0"/>
              <w:marRight w:val="0"/>
              <w:marTop w:val="0"/>
              <w:marBottom w:val="0"/>
              <w:divBdr>
                <w:top w:val="none" w:sz="0" w:space="0" w:color="auto"/>
                <w:left w:val="none" w:sz="0" w:space="0" w:color="auto"/>
                <w:bottom w:val="none" w:sz="0" w:space="0" w:color="auto"/>
                <w:right w:val="none" w:sz="0" w:space="0" w:color="auto"/>
              </w:divBdr>
            </w:div>
            <w:div w:id="1883008699">
              <w:marLeft w:val="0"/>
              <w:marRight w:val="0"/>
              <w:marTop w:val="0"/>
              <w:marBottom w:val="0"/>
              <w:divBdr>
                <w:top w:val="none" w:sz="0" w:space="0" w:color="auto"/>
                <w:left w:val="none" w:sz="0" w:space="0" w:color="auto"/>
                <w:bottom w:val="none" w:sz="0" w:space="0" w:color="auto"/>
                <w:right w:val="none" w:sz="0" w:space="0" w:color="auto"/>
              </w:divBdr>
            </w:div>
            <w:div w:id="703865154">
              <w:marLeft w:val="0"/>
              <w:marRight w:val="0"/>
              <w:marTop w:val="0"/>
              <w:marBottom w:val="0"/>
              <w:divBdr>
                <w:top w:val="none" w:sz="0" w:space="0" w:color="auto"/>
                <w:left w:val="none" w:sz="0" w:space="0" w:color="auto"/>
                <w:bottom w:val="none" w:sz="0" w:space="0" w:color="auto"/>
                <w:right w:val="none" w:sz="0" w:space="0" w:color="auto"/>
              </w:divBdr>
            </w:div>
            <w:div w:id="2038658537">
              <w:marLeft w:val="0"/>
              <w:marRight w:val="0"/>
              <w:marTop w:val="0"/>
              <w:marBottom w:val="0"/>
              <w:divBdr>
                <w:top w:val="none" w:sz="0" w:space="0" w:color="auto"/>
                <w:left w:val="none" w:sz="0" w:space="0" w:color="auto"/>
                <w:bottom w:val="none" w:sz="0" w:space="0" w:color="auto"/>
                <w:right w:val="none" w:sz="0" w:space="0" w:color="auto"/>
              </w:divBdr>
            </w:div>
            <w:div w:id="567499286">
              <w:marLeft w:val="0"/>
              <w:marRight w:val="0"/>
              <w:marTop w:val="0"/>
              <w:marBottom w:val="0"/>
              <w:divBdr>
                <w:top w:val="none" w:sz="0" w:space="0" w:color="auto"/>
                <w:left w:val="none" w:sz="0" w:space="0" w:color="auto"/>
                <w:bottom w:val="none" w:sz="0" w:space="0" w:color="auto"/>
                <w:right w:val="none" w:sz="0" w:space="0" w:color="auto"/>
              </w:divBdr>
            </w:div>
            <w:div w:id="570582033">
              <w:marLeft w:val="0"/>
              <w:marRight w:val="0"/>
              <w:marTop w:val="0"/>
              <w:marBottom w:val="0"/>
              <w:divBdr>
                <w:top w:val="none" w:sz="0" w:space="0" w:color="auto"/>
                <w:left w:val="none" w:sz="0" w:space="0" w:color="auto"/>
                <w:bottom w:val="none" w:sz="0" w:space="0" w:color="auto"/>
                <w:right w:val="none" w:sz="0" w:space="0" w:color="auto"/>
              </w:divBdr>
            </w:div>
            <w:div w:id="103891146">
              <w:marLeft w:val="0"/>
              <w:marRight w:val="0"/>
              <w:marTop w:val="0"/>
              <w:marBottom w:val="0"/>
              <w:divBdr>
                <w:top w:val="none" w:sz="0" w:space="0" w:color="auto"/>
                <w:left w:val="none" w:sz="0" w:space="0" w:color="auto"/>
                <w:bottom w:val="none" w:sz="0" w:space="0" w:color="auto"/>
                <w:right w:val="none" w:sz="0" w:space="0" w:color="auto"/>
              </w:divBdr>
            </w:div>
            <w:div w:id="82216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8128">
      <w:bodyDiv w:val="1"/>
      <w:marLeft w:val="0"/>
      <w:marRight w:val="0"/>
      <w:marTop w:val="0"/>
      <w:marBottom w:val="0"/>
      <w:divBdr>
        <w:top w:val="none" w:sz="0" w:space="0" w:color="auto"/>
        <w:left w:val="none" w:sz="0" w:space="0" w:color="auto"/>
        <w:bottom w:val="none" w:sz="0" w:space="0" w:color="auto"/>
        <w:right w:val="none" w:sz="0" w:space="0" w:color="auto"/>
      </w:divBdr>
    </w:div>
    <w:div w:id="1975597450">
      <w:bodyDiv w:val="1"/>
      <w:marLeft w:val="0"/>
      <w:marRight w:val="0"/>
      <w:marTop w:val="0"/>
      <w:marBottom w:val="0"/>
      <w:divBdr>
        <w:top w:val="none" w:sz="0" w:space="0" w:color="auto"/>
        <w:left w:val="none" w:sz="0" w:space="0" w:color="auto"/>
        <w:bottom w:val="none" w:sz="0" w:space="0" w:color="auto"/>
        <w:right w:val="none" w:sz="0" w:space="0" w:color="auto"/>
      </w:divBdr>
    </w:div>
    <w:div w:id="1985891628">
      <w:bodyDiv w:val="1"/>
      <w:marLeft w:val="0"/>
      <w:marRight w:val="0"/>
      <w:marTop w:val="0"/>
      <w:marBottom w:val="0"/>
      <w:divBdr>
        <w:top w:val="none" w:sz="0" w:space="0" w:color="auto"/>
        <w:left w:val="none" w:sz="0" w:space="0" w:color="auto"/>
        <w:bottom w:val="none" w:sz="0" w:space="0" w:color="auto"/>
        <w:right w:val="none" w:sz="0" w:space="0" w:color="auto"/>
      </w:divBdr>
      <w:divsChild>
        <w:div w:id="33426996">
          <w:marLeft w:val="0"/>
          <w:marRight w:val="0"/>
          <w:marTop w:val="0"/>
          <w:marBottom w:val="0"/>
          <w:divBdr>
            <w:top w:val="none" w:sz="0" w:space="0" w:color="auto"/>
            <w:left w:val="none" w:sz="0" w:space="0" w:color="auto"/>
            <w:bottom w:val="none" w:sz="0" w:space="0" w:color="auto"/>
            <w:right w:val="none" w:sz="0" w:space="0" w:color="auto"/>
          </w:divBdr>
        </w:div>
      </w:divsChild>
    </w:div>
    <w:div w:id="2041127965">
      <w:bodyDiv w:val="1"/>
      <w:marLeft w:val="0"/>
      <w:marRight w:val="0"/>
      <w:marTop w:val="0"/>
      <w:marBottom w:val="0"/>
      <w:divBdr>
        <w:top w:val="none" w:sz="0" w:space="0" w:color="auto"/>
        <w:left w:val="none" w:sz="0" w:space="0" w:color="auto"/>
        <w:bottom w:val="none" w:sz="0" w:space="0" w:color="auto"/>
        <w:right w:val="none" w:sz="0" w:space="0" w:color="auto"/>
      </w:divBdr>
    </w:div>
    <w:div w:id="2056737857">
      <w:bodyDiv w:val="1"/>
      <w:marLeft w:val="0"/>
      <w:marRight w:val="0"/>
      <w:marTop w:val="0"/>
      <w:marBottom w:val="0"/>
      <w:divBdr>
        <w:top w:val="none" w:sz="0" w:space="0" w:color="auto"/>
        <w:left w:val="none" w:sz="0" w:space="0" w:color="auto"/>
        <w:bottom w:val="none" w:sz="0" w:space="0" w:color="auto"/>
        <w:right w:val="none" w:sz="0" w:space="0" w:color="auto"/>
      </w:divBdr>
    </w:div>
    <w:div w:id="2058510625">
      <w:bodyDiv w:val="1"/>
      <w:marLeft w:val="0"/>
      <w:marRight w:val="0"/>
      <w:marTop w:val="0"/>
      <w:marBottom w:val="0"/>
      <w:divBdr>
        <w:top w:val="none" w:sz="0" w:space="0" w:color="auto"/>
        <w:left w:val="none" w:sz="0" w:space="0" w:color="auto"/>
        <w:bottom w:val="none" w:sz="0" w:space="0" w:color="auto"/>
        <w:right w:val="none" w:sz="0" w:space="0" w:color="auto"/>
      </w:divBdr>
    </w:div>
    <w:div w:id="2075153828">
      <w:bodyDiv w:val="1"/>
      <w:marLeft w:val="0"/>
      <w:marRight w:val="0"/>
      <w:marTop w:val="0"/>
      <w:marBottom w:val="0"/>
      <w:divBdr>
        <w:top w:val="none" w:sz="0" w:space="0" w:color="auto"/>
        <w:left w:val="none" w:sz="0" w:space="0" w:color="auto"/>
        <w:bottom w:val="none" w:sz="0" w:space="0" w:color="auto"/>
        <w:right w:val="none" w:sz="0" w:space="0" w:color="auto"/>
      </w:divBdr>
    </w:div>
    <w:div w:id="210287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hyperlink" Target="http://www.ebs.tga.gov.a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http://www.ncbi.nlm.nih.gov/pubmed/?term=Crijns%20HJ%5BAuthor%5D&amp;cauthor=true&amp;cauthor_uid=19762550" TargetMode="External"/><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png"/><Relationship Id="rId25" Type="http://schemas.openxmlformats.org/officeDocument/2006/relationships/footer" Target="footer3.xml"/><Relationship Id="rId33" Type="http://schemas.openxmlformats.org/officeDocument/2006/relationships/hyperlink" Target="http://www.ncbi.nlm.nih.gov/pubmed/?term=Lane%20DA%5BAuthor%5D&amp;cauthor=true&amp;cauthor_uid=1976255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29" Type="http://schemas.openxmlformats.org/officeDocument/2006/relationships/hyperlink" Target="http://www.health.gov.au/internet/main/publishing.nsf/content/prostheses-list-pdf.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3.xml"/><Relationship Id="rId32" Type="http://schemas.openxmlformats.org/officeDocument/2006/relationships/hyperlink" Target="http://www.ncbi.nlm.nih.gov/pubmed/?term=Pisters%20R%5BAuthor%5D&amp;cauthor=true&amp;cauthor_uid=19762550" TargetMode="External"/><Relationship Id="rId37"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https://www.dropbox.com/s/u5bowhhog8jh3zv/ANZ%20LINQ%20Insertion%20Procedure%20%5B1088-032014%5D.mp4?dl=0" TargetMode="External"/><Relationship Id="rId23" Type="http://schemas.openxmlformats.org/officeDocument/2006/relationships/footer" Target="footer2.xml"/><Relationship Id="rId28" Type="http://schemas.openxmlformats.org/officeDocument/2006/relationships/image" Target="media/image10.png"/><Relationship Id="rId36" Type="http://schemas.openxmlformats.org/officeDocument/2006/relationships/image" Target="media/image11.emf"/><Relationship Id="rId10" Type="http://schemas.openxmlformats.org/officeDocument/2006/relationships/hyperlink" Target="http://www.msac.gov.au/" TargetMode="External"/><Relationship Id="rId19" Type="http://schemas.openxmlformats.org/officeDocument/2006/relationships/image" Target="media/image8.png"/><Relationship Id="rId31" Type="http://schemas.openxmlformats.org/officeDocument/2006/relationships/hyperlink" Target="http://www.ncbi.nlm.nih.gov/pubmed/?term=Nieuwlaat%20R%5BAuthor%5D&amp;cauthor=true&amp;cauthor_uid=1976255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image" Target="media/image9.png"/><Relationship Id="rId30" Type="http://schemas.openxmlformats.org/officeDocument/2006/relationships/hyperlink" Target="http://www.ncbi.nlm.nih.gov/pubmed/?term=Lip%20GY%5BAuthor%5D&amp;cauthor=true&amp;cauthor_uid=19762550" TargetMode="External"/><Relationship Id="rId35" Type="http://schemas.openxmlformats.org/officeDocument/2006/relationships/hyperlink" Target="http://www.uptodate.com/" TargetMode="External"/><Relationship Id="rId43"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B5F9D-4AE4-41DB-9CC8-EDE9578A4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11458</Words>
  <Characters>65314</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1443 Final Protocol</vt:lpstr>
    </vt:vector>
  </TitlesOfParts>
  <Company/>
  <LinksUpToDate>false</LinksUpToDate>
  <CharactersWithSpaces>76619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1443 Final Protocol</dc:title>
  <dc:creator/>
  <cp:lastModifiedBy/>
  <cp:revision>1</cp:revision>
  <dcterms:created xsi:type="dcterms:W3CDTF">2017-01-06T00:43:00Z</dcterms:created>
  <dcterms:modified xsi:type="dcterms:W3CDTF">2017-01-06T00:44:00Z</dcterms:modified>
</cp:coreProperties>
</file>