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E5067" w14:textId="77777777" w:rsidR="001B78F5" w:rsidRPr="001B78F5" w:rsidRDefault="001B78F5" w:rsidP="001B78F5">
      <w:pPr>
        <w:jc w:val="center"/>
      </w:pPr>
      <w:r w:rsidRPr="001B78F5">
        <w:rPr>
          <w:b/>
          <w:noProof/>
          <w:lang w:eastAsia="en-AU"/>
        </w:rPr>
        <w:drawing>
          <wp:inline distT="0" distB="0" distL="0" distR="0" wp14:anchorId="264E52DA" wp14:editId="264E52DB">
            <wp:extent cx="1897077" cy="1257300"/>
            <wp:effectExtent l="0" t="0" r="8255" b="0"/>
            <wp:docPr id="1" name="Picture 1"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64E5068" w14:textId="77777777" w:rsidR="001B78F5" w:rsidRPr="005303C7" w:rsidRDefault="001B78F5" w:rsidP="001B78F5">
      <w:pPr>
        <w:jc w:val="center"/>
        <w:rPr>
          <w:sz w:val="36"/>
          <w:szCs w:val="36"/>
        </w:rPr>
      </w:pPr>
    </w:p>
    <w:p w14:paraId="264E5069" w14:textId="77777777" w:rsidR="001B78F5" w:rsidRPr="001B78F5" w:rsidRDefault="00434B13" w:rsidP="001B78F5">
      <w:pPr>
        <w:spacing w:before="180"/>
        <w:jc w:val="center"/>
        <w:rPr>
          <w:rFonts w:ascii="Arial" w:hAnsi="Arial" w:cs="Arial"/>
          <w:b/>
          <w:sz w:val="36"/>
          <w:szCs w:val="36"/>
        </w:rPr>
      </w:pPr>
      <w:hyperlink r:id="rId11" w:history="1">
        <w:r w:rsidR="001B78F5" w:rsidRPr="001B78F5">
          <w:rPr>
            <w:rFonts w:ascii="Arial" w:hAnsi="Arial" w:cs="Arial"/>
            <w:b/>
            <w:color w:val="0000FF" w:themeColor="hyperlink"/>
            <w:sz w:val="36"/>
            <w:szCs w:val="36"/>
          </w:rPr>
          <w:t>MEDICAL SERVICES ADVISORY COMMITTEE</w:t>
        </w:r>
      </w:hyperlink>
      <w:r w:rsidR="001B78F5" w:rsidRPr="001B78F5">
        <w:rPr>
          <w:rFonts w:ascii="Arial" w:hAnsi="Arial" w:cs="Arial"/>
          <w:b/>
          <w:sz w:val="36"/>
          <w:szCs w:val="36"/>
        </w:rPr>
        <w:t xml:space="preserve"> </w:t>
      </w:r>
    </w:p>
    <w:p w14:paraId="264E506A" w14:textId="77777777" w:rsidR="001B78F5" w:rsidRPr="005303C7" w:rsidRDefault="001B78F5" w:rsidP="001B78F5">
      <w:pPr>
        <w:spacing w:before="180"/>
        <w:jc w:val="center"/>
        <w:rPr>
          <w:rFonts w:ascii="Arial" w:hAnsi="Arial" w:cs="Arial"/>
          <w:b/>
          <w:sz w:val="36"/>
          <w:szCs w:val="36"/>
        </w:rPr>
      </w:pPr>
    </w:p>
    <w:p w14:paraId="264E506B" w14:textId="64054985" w:rsidR="002F3790" w:rsidRPr="002F3790" w:rsidRDefault="002F3790" w:rsidP="002F3790">
      <w:pPr>
        <w:spacing w:before="180"/>
        <w:jc w:val="center"/>
        <w:rPr>
          <w:rFonts w:ascii="Arial" w:hAnsi="Arial" w:cs="Arial"/>
          <w:b/>
          <w:sz w:val="36"/>
          <w:szCs w:val="36"/>
        </w:rPr>
      </w:pPr>
      <w:r w:rsidRPr="002F3790">
        <w:rPr>
          <w:rFonts w:ascii="Arial" w:hAnsi="Arial" w:cs="Arial"/>
          <w:b/>
          <w:sz w:val="36"/>
          <w:szCs w:val="36"/>
        </w:rPr>
        <w:t xml:space="preserve">PD-L1 </w:t>
      </w:r>
      <w:r w:rsidR="00367936" w:rsidRPr="00367936">
        <w:rPr>
          <w:rFonts w:ascii="Arial" w:hAnsi="Arial" w:cs="Arial"/>
          <w:b/>
          <w:sz w:val="36"/>
          <w:szCs w:val="36"/>
        </w:rPr>
        <w:t>(Programmed Death</w:t>
      </w:r>
      <w:r w:rsidR="00F65E80">
        <w:rPr>
          <w:rFonts w:ascii="Arial" w:hAnsi="Arial" w:cs="Arial"/>
          <w:b/>
          <w:sz w:val="36"/>
          <w:szCs w:val="36"/>
        </w:rPr>
        <w:t xml:space="preserve"> 1 Ligand) immunohistochemistry</w:t>
      </w:r>
      <w:r w:rsidRPr="002F3790">
        <w:rPr>
          <w:rFonts w:ascii="Arial" w:hAnsi="Arial" w:cs="Arial"/>
          <w:b/>
          <w:sz w:val="36"/>
          <w:szCs w:val="36"/>
        </w:rPr>
        <w:t xml:space="preserve"> testing for access to pembrolizumab in</w:t>
      </w:r>
      <w:r>
        <w:rPr>
          <w:rFonts w:ascii="Arial" w:hAnsi="Arial" w:cs="Arial"/>
          <w:b/>
          <w:sz w:val="36"/>
          <w:szCs w:val="36"/>
        </w:rPr>
        <w:t xml:space="preserve"> </w:t>
      </w:r>
      <w:r w:rsidRPr="002F3790">
        <w:rPr>
          <w:rFonts w:ascii="Arial" w:hAnsi="Arial" w:cs="Arial"/>
          <w:b/>
          <w:sz w:val="36"/>
          <w:szCs w:val="36"/>
        </w:rPr>
        <w:t xml:space="preserve">patients with recurrent or progressive metastatic </w:t>
      </w:r>
      <w:r w:rsidR="00367936" w:rsidRPr="00367936">
        <w:rPr>
          <w:rFonts w:ascii="Arial" w:hAnsi="Arial" w:cs="Arial"/>
          <w:b/>
          <w:sz w:val="36"/>
          <w:szCs w:val="36"/>
        </w:rPr>
        <w:t>or locally advanced/</w:t>
      </w:r>
      <w:proofErr w:type="spellStart"/>
      <w:r w:rsidR="00367936" w:rsidRPr="00367936">
        <w:rPr>
          <w:rFonts w:ascii="Arial" w:hAnsi="Arial" w:cs="Arial"/>
          <w:b/>
          <w:sz w:val="36"/>
          <w:szCs w:val="36"/>
        </w:rPr>
        <w:t>unresectable</w:t>
      </w:r>
      <w:proofErr w:type="spellEnd"/>
      <w:r w:rsidRPr="00367936">
        <w:rPr>
          <w:rFonts w:ascii="Arial" w:hAnsi="Arial" w:cs="Arial"/>
          <w:b/>
          <w:sz w:val="36"/>
          <w:szCs w:val="36"/>
        </w:rPr>
        <w:t xml:space="preserve"> </w:t>
      </w:r>
      <w:r w:rsidRPr="002F3790">
        <w:rPr>
          <w:rFonts w:ascii="Arial" w:hAnsi="Arial" w:cs="Arial"/>
          <w:b/>
          <w:sz w:val="36"/>
          <w:szCs w:val="36"/>
        </w:rPr>
        <w:t>bladder cancer that has recurred or progressed following platinum-based chemotherapy</w:t>
      </w:r>
    </w:p>
    <w:p w14:paraId="264E506C" w14:textId="77777777" w:rsidR="001B78F5" w:rsidRPr="001B78F5" w:rsidRDefault="001B78F5" w:rsidP="001B78F5">
      <w:pPr>
        <w:spacing w:before="180"/>
        <w:jc w:val="center"/>
        <w:rPr>
          <w:rFonts w:ascii="Arial" w:hAnsi="Arial" w:cs="Arial"/>
          <w:b/>
          <w:sz w:val="36"/>
          <w:szCs w:val="36"/>
        </w:rPr>
      </w:pPr>
    </w:p>
    <w:p w14:paraId="264E506D" w14:textId="77777777" w:rsidR="001B78F5" w:rsidRPr="001B78F5" w:rsidRDefault="001B78F5" w:rsidP="001B78F5">
      <w:pPr>
        <w:spacing w:before="180"/>
        <w:jc w:val="center"/>
        <w:rPr>
          <w:rFonts w:ascii="Arial" w:hAnsi="Arial" w:cs="Arial"/>
          <w:b/>
          <w:sz w:val="36"/>
          <w:szCs w:val="36"/>
        </w:rPr>
      </w:pPr>
      <w:r w:rsidRPr="001B78F5">
        <w:rPr>
          <w:rFonts w:ascii="Arial" w:hAnsi="Arial" w:cs="Arial"/>
          <w:b/>
          <w:sz w:val="36"/>
          <w:szCs w:val="36"/>
        </w:rPr>
        <w:t>Protocol</w:t>
      </w:r>
      <w:r w:rsidR="002F3790">
        <w:rPr>
          <w:rFonts w:ascii="Arial" w:hAnsi="Arial" w:cs="Arial"/>
          <w:b/>
          <w:sz w:val="36"/>
          <w:szCs w:val="36"/>
        </w:rPr>
        <w:t xml:space="preserve"> 1445</w:t>
      </w:r>
    </w:p>
    <w:p w14:paraId="264E506E" w14:textId="77777777" w:rsidR="001B78F5" w:rsidRPr="006C1751" w:rsidRDefault="001B78F5" w:rsidP="001B78F5">
      <w:pPr>
        <w:jc w:val="center"/>
        <w:rPr>
          <w:sz w:val="144"/>
          <w:szCs w:val="144"/>
        </w:rPr>
      </w:pPr>
    </w:p>
    <w:p w14:paraId="264E506F" w14:textId="77777777" w:rsidR="001B78F5" w:rsidRPr="001B78F5" w:rsidRDefault="002F3790" w:rsidP="001B78F5">
      <w:pPr>
        <w:jc w:val="right"/>
        <w:rPr>
          <w:sz w:val="36"/>
          <w:szCs w:val="36"/>
        </w:rPr>
      </w:pPr>
      <w:r>
        <w:rPr>
          <w:sz w:val="36"/>
          <w:szCs w:val="36"/>
        </w:rPr>
        <w:t>April 2016</w:t>
      </w:r>
    </w:p>
    <w:p w14:paraId="264E5070" w14:textId="77777777" w:rsidR="001B78F5" w:rsidRPr="001B78F5" w:rsidRDefault="001B78F5" w:rsidP="001B78F5">
      <w:pPr>
        <w:rPr>
          <w:rFonts w:ascii="Arial" w:hAnsi="Arial" w:cs="Arial"/>
          <w:sz w:val="20"/>
          <w:szCs w:val="20"/>
        </w:rPr>
      </w:pPr>
      <w:r w:rsidRPr="001B78F5">
        <w:rPr>
          <w:rFonts w:ascii="Arial" w:hAnsi="Arial" w:cs="Arial"/>
          <w:sz w:val="20"/>
          <w:szCs w:val="20"/>
        </w:rPr>
        <w:br w:type="page"/>
      </w:r>
    </w:p>
    <w:p w14:paraId="264E5071" w14:textId="77777777" w:rsidR="001B78F5" w:rsidRDefault="001B78F5" w:rsidP="001B78F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lastRenderedPageBreak/>
        <w:t>Purpose of application</w:t>
      </w:r>
      <w:bookmarkStart w:id="0" w:name="_GoBack"/>
      <w:bookmarkEnd w:id="0"/>
    </w:p>
    <w:p w14:paraId="264E5072" w14:textId="77777777" w:rsidR="008C751B" w:rsidRDefault="008C751B" w:rsidP="00067BF9"/>
    <w:p w14:paraId="264E5073" w14:textId="4B9BC400" w:rsidR="0051713C" w:rsidRDefault="008C751B" w:rsidP="004315DF">
      <w:r w:rsidRPr="00223E10">
        <w:t xml:space="preserve">This application is requesting a Medicare Benefits Schedule (MBS) listing for testing of Programmed Death 1 Ligand (PD-L1) expression in patients with recurrent or progressive metastatic </w:t>
      </w:r>
      <w:r w:rsidR="00367936" w:rsidRPr="00367936">
        <w:t>or locally advanced/</w:t>
      </w:r>
      <w:proofErr w:type="spellStart"/>
      <w:r w:rsidR="00367936" w:rsidRPr="00367936">
        <w:t>unresectable</w:t>
      </w:r>
      <w:proofErr w:type="spellEnd"/>
      <w:r w:rsidR="00155AC8">
        <w:t xml:space="preserve"> </w:t>
      </w:r>
      <w:r w:rsidRPr="00223E10">
        <w:t xml:space="preserve">bladder cancer that has recurred or progressed following platinum-based chemotherapy.  </w:t>
      </w:r>
      <w:r w:rsidR="00EA51F0">
        <w:t>Depending on the results of trials currently underway, i</w:t>
      </w:r>
      <w:r w:rsidR="003E0F74">
        <w:t xml:space="preserve">t is </w:t>
      </w:r>
      <w:r w:rsidR="00EA51F0">
        <w:t xml:space="preserve">anticipated </w:t>
      </w:r>
      <w:r w:rsidR="003E0F74">
        <w:t xml:space="preserve">that testing </w:t>
      </w:r>
      <w:r w:rsidR="00EA51F0">
        <w:t xml:space="preserve">for </w:t>
      </w:r>
      <w:r w:rsidR="003E0F74">
        <w:t xml:space="preserve">PD-L1 expression </w:t>
      </w:r>
      <w:r w:rsidR="00EA51F0">
        <w:t xml:space="preserve">levels </w:t>
      </w:r>
      <w:r w:rsidR="003E0F74">
        <w:t xml:space="preserve">in </w:t>
      </w:r>
      <w:r w:rsidR="00EA51F0">
        <w:t xml:space="preserve">these </w:t>
      </w:r>
      <w:r w:rsidR="003E0F74">
        <w:t xml:space="preserve">patients </w:t>
      </w:r>
      <w:r w:rsidR="00EA51F0">
        <w:t xml:space="preserve">could be required in order to be eligible for treatment with </w:t>
      </w:r>
      <w:r w:rsidR="003E0F74">
        <w:t>pembrolizuma</w:t>
      </w:r>
      <w:r w:rsidR="006C1751">
        <w:t>b.</w:t>
      </w:r>
    </w:p>
    <w:p w14:paraId="264E5074" w14:textId="3D76DE02" w:rsidR="008C751B" w:rsidRPr="00223E10" w:rsidRDefault="00EB7DA5" w:rsidP="00067BF9">
      <w:r>
        <w:t xml:space="preserve">Pembrolizumab is a </w:t>
      </w:r>
      <w:r>
        <w:rPr>
          <w:rFonts w:cstheme="minorHAnsi"/>
        </w:rPr>
        <w:t>highly selective humanis</w:t>
      </w:r>
      <w:r w:rsidRPr="001B78F5" w:rsidDel="00034006">
        <w:rPr>
          <w:rFonts w:cstheme="minorHAnsi"/>
        </w:rPr>
        <w:t xml:space="preserve">ed monoclonal antibody </w:t>
      </w:r>
      <w:r>
        <w:rPr>
          <w:rFonts w:cstheme="minorHAnsi"/>
        </w:rPr>
        <w:t>that targets the PD-1 receptor.</w:t>
      </w:r>
      <w:r w:rsidRPr="001B78F5" w:rsidDel="00034006">
        <w:rPr>
          <w:rFonts w:cstheme="minorHAnsi"/>
        </w:rPr>
        <w:t xml:space="preserve"> </w:t>
      </w:r>
      <w:r w:rsidR="00C0577C">
        <w:t>A randomised c</w:t>
      </w:r>
      <w:r w:rsidR="0051713C">
        <w:t>linical trial</w:t>
      </w:r>
      <w:r w:rsidR="009B4372">
        <w:t>, KEYNOTE-045</w:t>
      </w:r>
      <w:r w:rsidR="003E0F74">
        <w:t xml:space="preserve"> (KN045)</w:t>
      </w:r>
      <w:r w:rsidR="009B4372">
        <w:t>,</w:t>
      </w:r>
      <w:r w:rsidR="00C0577C">
        <w:t xml:space="preserve"> to determine comparative efficacy and safety of pembrolizumab monotherapy to standard of care in this setting </w:t>
      </w:r>
      <w:r w:rsidR="00745EDE">
        <w:t xml:space="preserve">is currently </w:t>
      </w:r>
      <w:r w:rsidR="0051713C">
        <w:t>underway</w:t>
      </w:r>
      <w:r w:rsidR="00C0577C">
        <w:t>.</w:t>
      </w:r>
      <w:r w:rsidR="0051713C">
        <w:t xml:space="preserve"> </w:t>
      </w:r>
      <w:r w:rsidR="003E0F74" w:rsidRPr="009A72D0">
        <w:rPr>
          <w:rFonts w:cstheme="minorHAnsi"/>
          <w:color w:val="000000" w:themeColor="text1"/>
          <w:shd w:val="clear" w:color="auto" w:fill="FFFFFF"/>
        </w:rPr>
        <w:t xml:space="preserve">Patients </w:t>
      </w:r>
      <w:r w:rsidR="003E0F74">
        <w:rPr>
          <w:rFonts w:cstheme="minorHAnsi"/>
          <w:color w:val="000000" w:themeColor="text1"/>
          <w:shd w:val="clear" w:color="auto" w:fill="FFFFFF"/>
        </w:rPr>
        <w:t>are</w:t>
      </w:r>
      <w:r w:rsidR="003E0F74" w:rsidRPr="009A72D0">
        <w:rPr>
          <w:rFonts w:cstheme="minorHAnsi"/>
          <w:color w:val="000000" w:themeColor="text1"/>
          <w:shd w:val="clear" w:color="auto" w:fill="FFFFFF"/>
        </w:rPr>
        <w:t xml:space="preserve"> enrolled into the KN045 study irrespective of </w:t>
      </w:r>
      <w:r w:rsidR="00EA51F0">
        <w:rPr>
          <w:rFonts w:cstheme="minorHAnsi"/>
          <w:color w:val="000000" w:themeColor="text1"/>
          <w:shd w:val="clear" w:color="auto" w:fill="FFFFFF"/>
        </w:rPr>
        <w:t xml:space="preserve">their </w:t>
      </w:r>
      <w:r w:rsidR="003E0F74" w:rsidRPr="009A72D0">
        <w:rPr>
          <w:rFonts w:cstheme="minorHAnsi"/>
          <w:color w:val="000000" w:themeColor="text1"/>
          <w:shd w:val="clear" w:color="auto" w:fill="FFFFFF"/>
        </w:rPr>
        <w:t xml:space="preserve">PD-L1 </w:t>
      </w:r>
      <w:r w:rsidR="00EA51F0">
        <w:rPr>
          <w:rFonts w:cstheme="minorHAnsi"/>
          <w:color w:val="000000" w:themeColor="text1"/>
          <w:shd w:val="clear" w:color="auto" w:fill="FFFFFF"/>
        </w:rPr>
        <w:t>expression levels</w:t>
      </w:r>
      <w:r w:rsidR="003E0F74" w:rsidRPr="009A72D0">
        <w:rPr>
          <w:rFonts w:cstheme="minorHAnsi"/>
          <w:color w:val="000000" w:themeColor="text1"/>
          <w:shd w:val="clear" w:color="auto" w:fill="FFFFFF"/>
        </w:rPr>
        <w:t>, i</w:t>
      </w:r>
      <w:r w:rsidR="003E0F74">
        <w:rPr>
          <w:rFonts w:cstheme="minorHAnsi"/>
          <w:color w:val="000000" w:themeColor="text1"/>
          <w:shd w:val="clear" w:color="auto" w:fill="FFFFFF"/>
        </w:rPr>
        <w:t>.</w:t>
      </w:r>
      <w:r w:rsidR="003E0F74" w:rsidRPr="009A72D0">
        <w:rPr>
          <w:rFonts w:cstheme="minorHAnsi"/>
          <w:color w:val="000000" w:themeColor="text1"/>
          <w:shd w:val="clear" w:color="auto" w:fill="FFFFFF"/>
        </w:rPr>
        <w:t>e. all</w:t>
      </w:r>
      <w:r w:rsidR="003E0F74">
        <w:rPr>
          <w:rFonts w:cstheme="minorHAnsi"/>
          <w:color w:val="000000" w:themeColor="text1"/>
          <w:shd w:val="clear" w:color="auto" w:fill="FFFFFF"/>
        </w:rPr>
        <w:t xml:space="preserve"> </w:t>
      </w:r>
      <w:r w:rsidR="003E0F74" w:rsidRPr="009A72D0">
        <w:rPr>
          <w:rFonts w:cstheme="minorHAnsi"/>
          <w:color w:val="000000" w:themeColor="text1"/>
          <w:shd w:val="clear" w:color="auto" w:fill="FFFFFF"/>
        </w:rPr>
        <w:t>comers</w:t>
      </w:r>
      <w:r w:rsidR="00EA51F0">
        <w:rPr>
          <w:rFonts w:cstheme="minorHAnsi"/>
          <w:color w:val="000000" w:themeColor="text1"/>
          <w:shd w:val="clear" w:color="auto" w:fill="FFFFFF"/>
        </w:rPr>
        <w:t>. H</w:t>
      </w:r>
      <w:r>
        <w:rPr>
          <w:rFonts w:cstheme="minorHAnsi"/>
          <w:color w:val="000000" w:themeColor="text1"/>
          <w:shd w:val="clear" w:color="auto" w:fill="FFFFFF"/>
        </w:rPr>
        <w:t>owever</w:t>
      </w:r>
      <w:r w:rsidR="00EA51F0">
        <w:rPr>
          <w:rFonts w:cstheme="minorHAnsi"/>
          <w:color w:val="000000" w:themeColor="text1"/>
          <w:shd w:val="clear" w:color="auto" w:fill="FFFFFF"/>
        </w:rPr>
        <w:t>,</w:t>
      </w:r>
      <w:r>
        <w:rPr>
          <w:rFonts w:cstheme="minorHAnsi"/>
          <w:color w:val="000000" w:themeColor="text1"/>
          <w:shd w:val="clear" w:color="auto" w:fill="FFFFFF"/>
        </w:rPr>
        <w:t xml:space="preserve"> there </w:t>
      </w:r>
      <w:r w:rsidR="00CE02A7">
        <w:rPr>
          <w:rFonts w:cstheme="minorHAnsi"/>
          <w:color w:val="000000" w:themeColor="text1"/>
          <w:shd w:val="clear" w:color="auto" w:fill="FFFFFF"/>
        </w:rPr>
        <w:t>is</w:t>
      </w:r>
      <w:r>
        <w:rPr>
          <w:rFonts w:cstheme="minorHAnsi"/>
          <w:color w:val="000000" w:themeColor="text1"/>
          <w:shd w:val="clear" w:color="auto" w:fill="FFFFFF"/>
        </w:rPr>
        <w:t xml:space="preserve"> a biological rationale that suggests pembrolizumab </w:t>
      </w:r>
      <w:r w:rsidR="00CE02A7">
        <w:rPr>
          <w:rFonts w:cstheme="minorHAnsi"/>
          <w:color w:val="000000" w:themeColor="text1"/>
          <w:shd w:val="clear" w:color="auto" w:fill="FFFFFF"/>
        </w:rPr>
        <w:t>could</w:t>
      </w:r>
      <w:r>
        <w:rPr>
          <w:rFonts w:cstheme="minorHAnsi"/>
          <w:color w:val="000000" w:themeColor="text1"/>
          <w:shd w:val="clear" w:color="auto" w:fill="FFFFFF"/>
        </w:rPr>
        <w:t xml:space="preserve"> be more effective in PD-L1 positive patients</w:t>
      </w:r>
      <w:r w:rsidR="003E0F74" w:rsidRPr="009A72D0">
        <w:rPr>
          <w:rFonts w:cstheme="minorHAnsi"/>
          <w:color w:val="000000" w:themeColor="text1"/>
          <w:shd w:val="clear" w:color="auto" w:fill="FFFFFF"/>
        </w:rPr>
        <w:t xml:space="preserve">. The </w:t>
      </w:r>
      <w:r w:rsidR="003E0F74">
        <w:rPr>
          <w:rFonts w:cstheme="minorHAnsi"/>
          <w:color w:val="000000" w:themeColor="text1"/>
          <w:shd w:val="clear" w:color="auto" w:fill="FFFFFF"/>
        </w:rPr>
        <w:t xml:space="preserve">PD-L1 </w:t>
      </w:r>
      <w:proofErr w:type="spellStart"/>
      <w:r w:rsidR="0060714E" w:rsidRPr="001B78F5">
        <w:t>immunohistochemical</w:t>
      </w:r>
      <w:proofErr w:type="spellEnd"/>
      <w:r w:rsidR="003E0F74">
        <w:rPr>
          <w:rFonts w:cstheme="minorHAnsi"/>
          <w:color w:val="000000" w:themeColor="text1"/>
          <w:shd w:val="clear" w:color="auto" w:fill="FFFFFF"/>
        </w:rPr>
        <w:t xml:space="preserve"> 22C3 </w:t>
      </w:r>
      <w:proofErr w:type="spellStart"/>
      <w:r w:rsidR="003E0F74">
        <w:rPr>
          <w:rFonts w:cstheme="minorHAnsi"/>
          <w:color w:val="000000" w:themeColor="text1"/>
          <w:shd w:val="clear" w:color="auto" w:fill="FFFFFF"/>
        </w:rPr>
        <w:t>pharmDx</w:t>
      </w:r>
      <w:proofErr w:type="spellEnd"/>
      <w:r w:rsidR="003E0F74">
        <w:rPr>
          <w:rFonts w:cstheme="minorHAnsi"/>
          <w:color w:val="000000" w:themeColor="text1"/>
          <w:shd w:val="clear" w:color="auto" w:fill="FFFFFF"/>
        </w:rPr>
        <w:t xml:space="preserve"> Market Ready Assay will be used to determine </w:t>
      </w:r>
      <w:r w:rsidR="003E0F74" w:rsidRPr="009A72D0">
        <w:rPr>
          <w:rFonts w:cstheme="minorHAnsi"/>
          <w:color w:val="000000" w:themeColor="text1"/>
          <w:shd w:val="clear" w:color="auto" w:fill="FFFFFF"/>
        </w:rPr>
        <w:t>PD-L1 expression in tumo</w:t>
      </w:r>
      <w:r w:rsidR="003E0F74">
        <w:rPr>
          <w:rFonts w:cstheme="minorHAnsi"/>
          <w:color w:val="000000" w:themeColor="text1"/>
          <w:shd w:val="clear" w:color="auto" w:fill="FFFFFF"/>
        </w:rPr>
        <w:t>u</w:t>
      </w:r>
      <w:r w:rsidR="003E0F74" w:rsidRPr="009A72D0">
        <w:rPr>
          <w:rFonts w:cstheme="minorHAnsi"/>
          <w:color w:val="000000" w:themeColor="text1"/>
          <w:shd w:val="clear" w:color="auto" w:fill="FFFFFF"/>
        </w:rPr>
        <w:t xml:space="preserve">r tissue </w:t>
      </w:r>
      <w:r w:rsidR="003E0F74">
        <w:rPr>
          <w:rFonts w:cstheme="minorHAnsi"/>
          <w:color w:val="000000" w:themeColor="text1"/>
          <w:shd w:val="clear" w:color="auto" w:fill="FFFFFF"/>
        </w:rPr>
        <w:t>in order to</w:t>
      </w:r>
      <w:r w:rsidR="003E0F74" w:rsidRPr="009A72D0">
        <w:rPr>
          <w:rFonts w:cstheme="minorHAnsi"/>
          <w:color w:val="000000" w:themeColor="text1"/>
          <w:shd w:val="clear" w:color="auto" w:fill="FFFFFF"/>
        </w:rPr>
        <w:t xml:space="preserve"> explore</w:t>
      </w:r>
      <w:r w:rsidR="003E0F74">
        <w:rPr>
          <w:rFonts w:cstheme="minorHAnsi"/>
          <w:color w:val="000000" w:themeColor="text1"/>
          <w:shd w:val="clear" w:color="auto" w:fill="FFFFFF"/>
        </w:rPr>
        <w:t xml:space="preserve"> </w:t>
      </w:r>
      <w:r w:rsidR="003E0F74" w:rsidRPr="009A72D0">
        <w:rPr>
          <w:rFonts w:cstheme="minorHAnsi"/>
          <w:color w:val="000000" w:themeColor="text1"/>
          <w:shd w:val="clear" w:color="auto" w:fill="FFFFFF"/>
        </w:rPr>
        <w:t>the relationship between tumo</w:t>
      </w:r>
      <w:r w:rsidR="003E0F74">
        <w:rPr>
          <w:rFonts w:cstheme="minorHAnsi"/>
          <w:color w:val="000000" w:themeColor="text1"/>
          <w:shd w:val="clear" w:color="auto" w:fill="FFFFFF"/>
        </w:rPr>
        <w:t>u</w:t>
      </w:r>
      <w:r w:rsidR="003E0F74" w:rsidRPr="009A72D0">
        <w:rPr>
          <w:rFonts w:cstheme="minorHAnsi"/>
          <w:color w:val="000000" w:themeColor="text1"/>
          <w:shd w:val="clear" w:color="auto" w:fill="FFFFFF"/>
        </w:rPr>
        <w:t>r PD-L1 expression and response to treatment with</w:t>
      </w:r>
      <w:r w:rsidR="003E0F74">
        <w:rPr>
          <w:rFonts w:cstheme="minorHAnsi"/>
          <w:color w:val="000000" w:themeColor="text1"/>
          <w:shd w:val="clear" w:color="auto" w:fill="FFFFFF"/>
        </w:rPr>
        <w:t xml:space="preserve"> pembrolizumab. </w:t>
      </w:r>
      <w:r w:rsidR="003E0F74">
        <w:t>The results of this</w:t>
      </w:r>
      <w:r w:rsidR="00745EDE">
        <w:t xml:space="preserve"> study will inform</w:t>
      </w:r>
      <w:r w:rsidR="0051713C" w:rsidRPr="0051713C">
        <w:t xml:space="preserve"> whether </w:t>
      </w:r>
      <w:r w:rsidR="00C0577C">
        <w:t xml:space="preserve">eligibility </w:t>
      </w:r>
      <w:r w:rsidR="00745EDE">
        <w:t xml:space="preserve">to </w:t>
      </w:r>
      <w:r w:rsidR="00C0577C">
        <w:t xml:space="preserve">use </w:t>
      </w:r>
      <w:r w:rsidR="00C0577C" w:rsidRPr="0051713C">
        <w:t xml:space="preserve">pembrolizumab </w:t>
      </w:r>
      <w:r w:rsidR="00745EDE">
        <w:t xml:space="preserve">for the treatment of </w:t>
      </w:r>
      <w:r w:rsidR="00C0577C" w:rsidRPr="004B0E44">
        <w:t xml:space="preserve">recurrent or progressive metastatic </w:t>
      </w:r>
      <w:r w:rsidR="00367936" w:rsidRPr="00367936">
        <w:t>or locally advanced/</w:t>
      </w:r>
      <w:proofErr w:type="spellStart"/>
      <w:r w:rsidR="006505A3" w:rsidRPr="00367936">
        <w:t>unresectable</w:t>
      </w:r>
      <w:proofErr w:type="spellEnd"/>
      <w:r w:rsidR="006505A3">
        <w:t xml:space="preserve"> </w:t>
      </w:r>
      <w:r w:rsidR="00C0577C" w:rsidRPr="004B0E44">
        <w:t xml:space="preserve">bladder cancer </w:t>
      </w:r>
      <w:r w:rsidR="00C0577C">
        <w:t>require</w:t>
      </w:r>
      <w:r w:rsidR="00745EDE">
        <w:t>s</w:t>
      </w:r>
      <w:r w:rsidR="00C0577C">
        <w:t xml:space="preserve"> </w:t>
      </w:r>
      <w:r w:rsidR="00745EDE">
        <w:t xml:space="preserve">prior </w:t>
      </w:r>
      <w:r w:rsidR="00C0577C">
        <w:t>testing for PD-L1</w:t>
      </w:r>
      <w:r w:rsidR="00745EDE">
        <w:t xml:space="preserve"> expression levels. </w:t>
      </w:r>
      <w:r w:rsidR="00C0577C" w:rsidRPr="0051713C">
        <w:t xml:space="preserve"> </w:t>
      </w:r>
      <w:r w:rsidR="008C751B" w:rsidRPr="00223E10">
        <w:t xml:space="preserve">This application </w:t>
      </w:r>
      <w:r w:rsidR="001735BA">
        <w:t>is being lodged in case</w:t>
      </w:r>
      <w:r w:rsidR="003E0B82">
        <w:t xml:space="preserve"> </w:t>
      </w:r>
      <w:r w:rsidR="001735BA">
        <w:t xml:space="preserve">it is required to </w:t>
      </w:r>
      <w:r w:rsidR="008C751B" w:rsidRPr="00223E10">
        <w:t>support a co-dependent technology submission for access to pembrolizu</w:t>
      </w:r>
      <w:r w:rsidR="00900639">
        <w:t>mab in patients with metastatic</w:t>
      </w:r>
      <w:r w:rsidR="008C751B" w:rsidRPr="00223E10">
        <w:t xml:space="preserve"> </w:t>
      </w:r>
      <w:r w:rsidR="001360D1" w:rsidRPr="001360D1">
        <w:t>or locally advanced/</w:t>
      </w:r>
      <w:proofErr w:type="spellStart"/>
      <w:r w:rsidR="001360D1" w:rsidRPr="001360D1">
        <w:t>unresectable</w:t>
      </w:r>
      <w:proofErr w:type="spellEnd"/>
      <w:r w:rsidR="008C751B" w:rsidRPr="00223E10">
        <w:t xml:space="preserve"> bladder cancer who </w:t>
      </w:r>
      <w:r w:rsidR="00745EDE">
        <w:t xml:space="preserve">express </w:t>
      </w:r>
      <w:r w:rsidR="008C751B" w:rsidRPr="00223E10">
        <w:t>PD-L1.</w:t>
      </w:r>
    </w:p>
    <w:p w14:paraId="264E5075" w14:textId="77777777" w:rsidR="008C751B" w:rsidRPr="00223E10" w:rsidRDefault="008C751B" w:rsidP="00067BF9">
      <w:pPr>
        <w:rPr>
          <w:rFonts w:eastAsiaTheme="majorEastAsia"/>
          <w:bCs/>
        </w:rPr>
      </w:pPr>
      <w:r w:rsidRPr="00223E10">
        <w:t xml:space="preserve">This is the third application that MSD has made for PD-L1 testing.  The </w:t>
      </w:r>
      <w:r w:rsidR="00223E10" w:rsidRPr="00223E10">
        <w:t>previous</w:t>
      </w:r>
      <w:r w:rsidRPr="00223E10">
        <w:t xml:space="preserve"> application</w:t>
      </w:r>
      <w:r w:rsidR="00223E10" w:rsidRPr="00223E10">
        <w:t>s</w:t>
      </w:r>
      <w:r w:rsidRPr="00223E10">
        <w:t xml:space="preserve"> w</w:t>
      </w:r>
      <w:r w:rsidR="00223E10" w:rsidRPr="00223E10">
        <w:t>ere</w:t>
      </w:r>
      <w:r w:rsidRPr="00223E10">
        <w:t xml:space="preserve"> </w:t>
      </w:r>
      <w:r w:rsidR="00223E10" w:rsidRPr="00223E10">
        <w:t>m</w:t>
      </w:r>
      <w:r w:rsidRPr="00223E10">
        <w:t>ade to support a co-dependent technology submission for access to pembrolizumab in PD-L1</w:t>
      </w:r>
      <w:r w:rsidR="00900639">
        <w:t xml:space="preserve"> positive</w:t>
      </w:r>
      <w:r w:rsidRPr="00223E10">
        <w:t xml:space="preserve"> non-small cell lung cancer patients</w:t>
      </w:r>
      <w:r w:rsidR="00231B3E">
        <w:t xml:space="preserve"> (Application 1414 and 1440)</w:t>
      </w:r>
      <w:r w:rsidR="00223E10" w:rsidRPr="00223E10">
        <w:t xml:space="preserve">. </w:t>
      </w:r>
      <w:r w:rsidRPr="00223E10">
        <w:t xml:space="preserve"> </w:t>
      </w:r>
    </w:p>
    <w:p w14:paraId="264E5076" w14:textId="602039C1" w:rsidR="00223E10" w:rsidRDefault="001B78F5" w:rsidP="00223E10">
      <w:pPr>
        <w:spacing w:before="120" w:after="120"/>
        <w:rPr>
          <w:rFonts w:cstheme="minorHAnsi"/>
        </w:rPr>
      </w:pPr>
      <w:r w:rsidRPr="00223E10">
        <w:rPr>
          <w:rFonts w:cstheme="minorHAnsi"/>
        </w:rPr>
        <w:t xml:space="preserve">To provide context for the remainder of this application, the next two sections will outline the proposed role of the PD-1 pathway in </w:t>
      </w:r>
      <w:r w:rsidR="00223E10" w:rsidRPr="00223E10">
        <w:rPr>
          <w:rFonts w:cstheme="minorHAnsi"/>
        </w:rPr>
        <w:t>metastatic bladder cancer</w:t>
      </w:r>
      <w:r w:rsidRPr="00223E10">
        <w:rPr>
          <w:rFonts w:cstheme="minorHAnsi"/>
        </w:rPr>
        <w:t xml:space="preserve"> and clinical trial data highlighting a potential predictive role of PD-L1 expression in determining response to pembrolizumab in </w:t>
      </w:r>
      <w:r w:rsidR="00745EDE">
        <w:rPr>
          <w:rFonts w:cstheme="minorHAnsi"/>
        </w:rPr>
        <w:t>this setting</w:t>
      </w:r>
      <w:r w:rsidRPr="00223E10">
        <w:rPr>
          <w:rFonts w:cstheme="minorHAnsi"/>
        </w:rPr>
        <w:t xml:space="preserve">. </w:t>
      </w:r>
    </w:p>
    <w:p w14:paraId="264E5077" w14:textId="77777777" w:rsidR="001B78F5" w:rsidRPr="001B78F5" w:rsidRDefault="001B78F5" w:rsidP="00223E10">
      <w:pPr>
        <w:spacing w:before="120" w:after="12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t>Population and medical condition eligible for the proposed medical services</w:t>
      </w:r>
    </w:p>
    <w:p w14:paraId="264E5078" w14:textId="77777777" w:rsidR="001B78F5" w:rsidRPr="001B78F5" w:rsidRDefault="00CF2312" w:rsidP="001B78F5">
      <w:pPr>
        <w:keepNext/>
        <w:keepLines/>
        <w:spacing w:before="200"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Bladder</w:t>
      </w:r>
      <w:r w:rsidR="001B78F5" w:rsidRPr="001B78F5">
        <w:rPr>
          <w:rFonts w:asciiTheme="majorHAnsi" w:eastAsiaTheme="majorEastAsia" w:hAnsiTheme="majorHAnsi" w:cstheme="majorBidi"/>
          <w:b/>
          <w:bCs/>
          <w:color w:val="4F81BD" w:themeColor="accent1"/>
          <w:sz w:val="26"/>
          <w:szCs w:val="26"/>
        </w:rPr>
        <w:t xml:space="preserve"> cancer</w:t>
      </w:r>
    </w:p>
    <w:p w14:paraId="264E5079" w14:textId="77777777" w:rsidR="00E13BEA" w:rsidRPr="00E13BEA" w:rsidRDefault="00AC1B65" w:rsidP="00CF2312">
      <w:pPr>
        <w:spacing w:after="0"/>
        <w:rPr>
          <w:rFonts w:cstheme="minorHAnsi"/>
        </w:rPr>
      </w:pPr>
      <w:r w:rsidRPr="00E13BEA">
        <w:rPr>
          <w:rFonts w:cstheme="minorHAnsi"/>
        </w:rPr>
        <w:t xml:space="preserve">Bladder </w:t>
      </w:r>
      <w:r w:rsidR="001B78F5" w:rsidRPr="00E13BEA">
        <w:rPr>
          <w:rFonts w:cstheme="minorHAnsi"/>
        </w:rPr>
        <w:t xml:space="preserve">cancer is the </w:t>
      </w:r>
      <w:r w:rsidRPr="00E13BEA">
        <w:rPr>
          <w:rFonts w:cstheme="minorHAnsi"/>
        </w:rPr>
        <w:t>10</w:t>
      </w:r>
      <w:r w:rsidR="001B78F5" w:rsidRPr="00E13BEA">
        <w:rPr>
          <w:rFonts w:cstheme="minorHAnsi"/>
          <w:vertAlign w:val="superscript"/>
        </w:rPr>
        <w:t>th</w:t>
      </w:r>
      <w:r w:rsidR="001B78F5" w:rsidRPr="00E13BEA">
        <w:rPr>
          <w:rFonts w:cstheme="minorHAnsi"/>
        </w:rPr>
        <w:t xml:space="preserve"> most commonly diagnosed cancer</w:t>
      </w:r>
      <w:r w:rsidRPr="00E13BEA">
        <w:rPr>
          <w:rFonts w:cstheme="minorHAnsi"/>
        </w:rPr>
        <w:t xml:space="preserve"> in Australia</w:t>
      </w:r>
      <w:r w:rsidR="001B78F5" w:rsidRPr="00E13BEA">
        <w:rPr>
          <w:rFonts w:cstheme="minorHAnsi"/>
        </w:rPr>
        <w:t xml:space="preserve">, with </w:t>
      </w:r>
      <w:r w:rsidRPr="00E13BEA">
        <w:rPr>
          <w:rFonts w:cstheme="minorHAnsi"/>
        </w:rPr>
        <w:t xml:space="preserve">approximately 2,800 </w:t>
      </w:r>
      <w:proofErr w:type="gramStart"/>
      <w:r w:rsidRPr="00E13BEA">
        <w:rPr>
          <w:rFonts w:cstheme="minorHAnsi"/>
        </w:rPr>
        <w:t>patients</w:t>
      </w:r>
      <w:proofErr w:type="gramEnd"/>
      <w:r w:rsidRPr="00E13BEA">
        <w:rPr>
          <w:rFonts w:cstheme="minorHAnsi"/>
        </w:rPr>
        <w:t xml:space="preserve"> diagnosed each year</w:t>
      </w:r>
      <w:r w:rsidR="001C4194" w:rsidRPr="00E13BEA">
        <w:rPr>
          <w:rFonts w:cstheme="minorHAnsi"/>
        </w:rPr>
        <w:t xml:space="preserve"> and </w:t>
      </w:r>
      <w:r w:rsidR="00B12CE5" w:rsidRPr="00E13BEA">
        <w:rPr>
          <w:rFonts w:cstheme="minorHAnsi"/>
        </w:rPr>
        <w:t>account</w:t>
      </w:r>
      <w:r w:rsidR="001C4194" w:rsidRPr="00E13BEA">
        <w:rPr>
          <w:rFonts w:cstheme="minorHAnsi"/>
        </w:rPr>
        <w:t>ing</w:t>
      </w:r>
      <w:r w:rsidR="00B12CE5" w:rsidRPr="00E13BEA">
        <w:rPr>
          <w:rFonts w:cstheme="minorHAnsi"/>
        </w:rPr>
        <w:t xml:space="preserve"> for</w:t>
      </w:r>
      <w:r w:rsidR="001B78F5" w:rsidRPr="00E13BEA">
        <w:rPr>
          <w:rFonts w:cstheme="minorHAnsi"/>
        </w:rPr>
        <w:t xml:space="preserve"> </w:t>
      </w:r>
      <w:r w:rsidR="00B12CE5" w:rsidRPr="00E13BEA">
        <w:rPr>
          <w:rFonts w:cstheme="minorHAnsi"/>
        </w:rPr>
        <w:t>1,140</w:t>
      </w:r>
      <w:r w:rsidR="001C4194" w:rsidRPr="00E13BEA">
        <w:rPr>
          <w:rFonts w:cstheme="minorHAnsi"/>
        </w:rPr>
        <w:t xml:space="preserve"> </w:t>
      </w:r>
      <w:r w:rsidR="001B78F5" w:rsidRPr="00E13BEA">
        <w:rPr>
          <w:rFonts w:cstheme="minorHAnsi"/>
        </w:rPr>
        <w:t>deaths</w:t>
      </w:r>
      <w:r w:rsidR="001C4194" w:rsidRPr="00E13BEA">
        <w:rPr>
          <w:rFonts w:cstheme="minorHAnsi"/>
        </w:rPr>
        <w:t xml:space="preserve"> in 2015</w:t>
      </w:r>
      <w:bookmarkStart w:id="1" w:name="_Ref447783216"/>
      <w:r w:rsidR="001C4194" w:rsidRPr="00E13BEA">
        <w:rPr>
          <w:rFonts w:cstheme="minorHAnsi"/>
          <w:vertAlign w:val="superscript"/>
        </w:rPr>
        <w:footnoteReference w:id="2"/>
      </w:r>
      <w:bookmarkEnd w:id="1"/>
      <w:r w:rsidR="001B78F5" w:rsidRPr="00E13BEA">
        <w:rPr>
          <w:rFonts w:cstheme="minorHAnsi"/>
        </w:rPr>
        <w:t>.</w:t>
      </w:r>
      <w:r w:rsidR="00B12CE5" w:rsidRPr="00E13BEA">
        <w:rPr>
          <w:rFonts w:cstheme="minorHAnsi"/>
        </w:rPr>
        <w:t xml:space="preserve"> </w:t>
      </w:r>
      <w:r w:rsidR="0055692A" w:rsidRPr="00E13BEA">
        <w:rPr>
          <w:rFonts w:cstheme="minorHAnsi"/>
        </w:rPr>
        <w:t>Bladder cancer</w:t>
      </w:r>
      <w:r w:rsidR="001B78F5" w:rsidRPr="00E13BEA">
        <w:rPr>
          <w:rFonts w:cstheme="minorHAnsi"/>
        </w:rPr>
        <w:t xml:space="preserve"> accounts for approximately </w:t>
      </w:r>
      <w:r w:rsidR="0055692A" w:rsidRPr="00E13BEA">
        <w:rPr>
          <w:rFonts w:cstheme="minorHAnsi"/>
        </w:rPr>
        <w:t>2</w:t>
      </w:r>
      <w:r w:rsidR="001B78F5" w:rsidRPr="00E13BEA">
        <w:rPr>
          <w:rFonts w:cstheme="minorHAnsi"/>
        </w:rPr>
        <w:t xml:space="preserve">% of all </w:t>
      </w:r>
      <w:r w:rsidR="0055692A" w:rsidRPr="00E13BEA">
        <w:rPr>
          <w:rFonts w:cstheme="minorHAnsi"/>
        </w:rPr>
        <w:t>new cancers in Australia</w:t>
      </w:r>
      <w:r w:rsidR="00E13BEA" w:rsidRPr="00E13BEA">
        <w:rPr>
          <w:rFonts w:cstheme="minorHAnsi"/>
        </w:rPr>
        <w:t xml:space="preserve"> and is </w:t>
      </w:r>
      <w:r w:rsidR="00CF2312">
        <w:rPr>
          <w:rFonts w:cstheme="minorHAnsi"/>
        </w:rPr>
        <w:t>one of only a few</w:t>
      </w:r>
      <w:r w:rsidR="00E13BEA" w:rsidRPr="00E13BEA">
        <w:rPr>
          <w:rFonts w:cstheme="minorHAnsi"/>
        </w:rPr>
        <w:t xml:space="preserve"> cancer</w:t>
      </w:r>
      <w:r w:rsidR="00CF2312">
        <w:rPr>
          <w:rFonts w:cstheme="minorHAnsi"/>
        </w:rPr>
        <w:t>s</w:t>
      </w:r>
      <w:r w:rsidR="00E13BEA" w:rsidRPr="00E13BEA">
        <w:rPr>
          <w:rFonts w:cstheme="minorHAnsi"/>
        </w:rPr>
        <w:t xml:space="preserve"> in Australia in which overall</w:t>
      </w:r>
      <w:r w:rsidR="00CF2312">
        <w:rPr>
          <w:rFonts w:cstheme="minorHAnsi"/>
        </w:rPr>
        <w:t xml:space="preserve"> </w:t>
      </w:r>
      <w:r w:rsidR="00E13BEA" w:rsidRPr="00E13BEA">
        <w:rPr>
          <w:rFonts w:cstheme="minorHAnsi"/>
        </w:rPr>
        <w:t xml:space="preserve">survival has declined over the last thirty years. The five-year overall survival rate has fallen from </w:t>
      </w:r>
      <w:r w:rsidR="00CF2312">
        <w:rPr>
          <w:rFonts w:cstheme="minorHAnsi"/>
        </w:rPr>
        <w:t>67 to 53</w:t>
      </w:r>
      <w:r w:rsidR="00E13BEA" w:rsidRPr="00E13BEA">
        <w:rPr>
          <w:rFonts w:cstheme="minorHAnsi"/>
        </w:rPr>
        <w:t xml:space="preserve"> per cent </w:t>
      </w:r>
      <w:r w:rsidR="00CF2312">
        <w:rPr>
          <w:rFonts w:cstheme="minorHAnsi"/>
        </w:rPr>
        <w:t>between 1982 and 2011</w:t>
      </w:r>
      <w:r w:rsidR="00E13BEA">
        <w:rPr>
          <w:rStyle w:val="FootnoteReference"/>
          <w:rFonts w:cstheme="minorHAnsi"/>
        </w:rPr>
        <w:footnoteReference w:id="3"/>
      </w:r>
      <w:r w:rsidR="00E13BEA" w:rsidRPr="00E13BEA">
        <w:rPr>
          <w:rFonts w:cstheme="minorHAnsi"/>
        </w:rPr>
        <w:t xml:space="preserve">. </w:t>
      </w:r>
    </w:p>
    <w:p w14:paraId="264E507A"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lastRenderedPageBreak/>
        <w:t>Role of the Programmed Death-1 pathway as a therapeutic target in cancer</w:t>
      </w:r>
    </w:p>
    <w:p w14:paraId="264E507B" w14:textId="3E2774D3" w:rsidR="001B78F5" w:rsidRPr="001B78F5" w:rsidRDefault="001B78F5" w:rsidP="005C5C84">
      <w:pPr>
        <w:spacing w:before="120" w:after="0"/>
        <w:rPr>
          <w:rFonts w:cstheme="minorHAnsi"/>
        </w:rPr>
      </w:pPr>
      <w:r w:rsidRPr="001B78F5">
        <w:rPr>
          <w:rFonts w:cstheme="minorHAnsi"/>
        </w:rPr>
        <w:t xml:space="preserve">In recent years, it has become apparent that cancers are </w:t>
      </w:r>
      <w:r w:rsidR="00705B56">
        <w:rPr>
          <w:rFonts w:cstheme="minorHAnsi"/>
        </w:rPr>
        <w:t>recognised</w:t>
      </w:r>
      <w:r w:rsidRPr="001B78F5">
        <w:rPr>
          <w:rFonts w:cstheme="minorHAnsi"/>
        </w:rPr>
        <w:t xml:space="preserve"> by </w:t>
      </w:r>
      <w:r w:rsidR="00653105">
        <w:rPr>
          <w:rFonts w:cstheme="minorHAnsi"/>
        </w:rPr>
        <w:t>the</w:t>
      </w:r>
      <w:r w:rsidRPr="001B78F5">
        <w:rPr>
          <w:rFonts w:cstheme="minorHAnsi"/>
        </w:rPr>
        <w:t xml:space="preserve"> human immune system and that under certain circumstances the immune system can obliterate tumours.  Recently, the PD-1 pathway has emerged as a major immune checkpoint by which tumours suppress lymphocyte function.  This pathway consists of PD-1, a protein expressed on activated immune cell types such as T cells and B cells, and its ligands, PD-L1 and PD-L2 which are expressed on many tumours.  Cancer cells drive high expression levels of PD-L1 on their surface, allowing activation of the inhibitory PD-1 receptor on any T cells that infiltrate the tumour microenvironment, effectively switching those cells off.  Indeed, up-regulation of PD-L1 expression levels has been demonstrated in many different cancer types (e</w:t>
      </w:r>
      <w:r w:rsidR="00496E71">
        <w:rPr>
          <w:rFonts w:cstheme="minorHAnsi"/>
        </w:rPr>
        <w:t>.</w:t>
      </w:r>
      <w:r w:rsidRPr="001B78F5">
        <w:rPr>
          <w:rFonts w:cstheme="minorHAnsi"/>
        </w:rPr>
        <w:t>g</w:t>
      </w:r>
      <w:r w:rsidR="00496E71">
        <w:rPr>
          <w:rFonts w:cstheme="minorHAnsi"/>
        </w:rPr>
        <w:t>.</w:t>
      </w:r>
      <w:r w:rsidRPr="001B78F5">
        <w:rPr>
          <w:rFonts w:cstheme="minorHAnsi"/>
        </w:rPr>
        <w:t xml:space="preserve"> </w:t>
      </w:r>
      <w:r w:rsidR="001C4194">
        <w:rPr>
          <w:rFonts w:cstheme="minorHAnsi"/>
        </w:rPr>
        <w:t xml:space="preserve">bladder cancer [64%], </w:t>
      </w:r>
      <w:r w:rsidRPr="001B78F5">
        <w:rPr>
          <w:rFonts w:cstheme="minorHAnsi"/>
        </w:rPr>
        <w:t xml:space="preserve">melanoma [40%-100%], NSCLC [35%-95%], and multiple </w:t>
      </w:r>
      <w:r w:rsidR="001A640E">
        <w:rPr>
          <w:rFonts w:cstheme="minorHAnsi"/>
        </w:rPr>
        <w:t>m</w:t>
      </w:r>
      <w:r w:rsidRPr="001B78F5">
        <w:rPr>
          <w:rFonts w:cstheme="minorHAnsi"/>
        </w:rPr>
        <w:t>yeloma [93%])</w:t>
      </w:r>
      <w:r w:rsidR="003E0B82">
        <w:rPr>
          <w:rFonts w:cstheme="minorHAnsi"/>
        </w:rPr>
        <w:t xml:space="preserve"> </w:t>
      </w:r>
      <w:r w:rsidRPr="001B78F5">
        <w:rPr>
          <w:rFonts w:cstheme="minorHAnsi"/>
        </w:rPr>
        <w:t>(</w:t>
      </w:r>
      <w:proofErr w:type="spellStart"/>
      <w:r w:rsidR="00705B56">
        <w:rPr>
          <w:rFonts w:cstheme="minorHAnsi"/>
        </w:rPr>
        <w:t>Plimack</w:t>
      </w:r>
      <w:proofErr w:type="spellEnd"/>
      <w:r w:rsidR="00705B56">
        <w:rPr>
          <w:rFonts w:cstheme="minorHAnsi"/>
        </w:rPr>
        <w:t xml:space="preserve"> et al 2015, </w:t>
      </w:r>
      <w:r w:rsidRPr="001B78F5">
        <w:rPr>
          <w:rFonts w:cstheme="minorHAnsi"/>
        </w:rPr>
        <w:t xml:space="preserve">Hino et al, 2010, Wang et al, 2011, Dong et al, 2002, </w:t>
      </w:r>
      <w:proofErr w:type="spellStart"/>
      <w:r w:rsidRPr="001B78F5">
        <w:rPr>
          <w:rFonts w:cstheme="minorHAnsi"/>
        </w:rPr>
        <w:t>Konishi</w:t>
      </w:r>
      <w:proofErr w:type="spellEnd"/>
      <w:r w:rsidRPr="001B78F5">
        <w:rPr>
          <w:rFonts w:cstheme="minorHAnsi"/>
        </w:rPr>
        <w:t xml:space="preserve"> et al, 2004, Liu et al, 2007, Patel et al, 2015).  </w:t>
      </w:r>
    </w:p>
    <w:p w14:paraId="264E507C" w14:textId="153E0BC6" w:rsidR="001B78F5" w:rsidRPr="001B78F5" w:rsidRDefault="001B78F5" w:rsidP="001B78F5">
      <w:pPr>
        <w:spacing w:before="120" w:after="120"/>
        <w:rPr>
          <w:rFonts w:cstheme="minorHAnsi"/>
        </w:rPr>
      </w:pPr>
      <w:r w:rsidRPr="001B78F5">
        <w:rPr>
          <w:rFonts w:cstheme="minorHAnsi"/>
        </w:rPr>
        <w:t>It has been proposed that immunotherapy targeting this pathway may be a potential cancer treatment modality.  Hence several molecules targeting this pathway</w:t>
      </w:r>
      <w:r w:rsidR="00496E71">
        <w:rPr>
          <w:rFonts w:cstheme="minorHAnsi"/>
        </w:rPr>
        <w:t>,</w:t>
      </w:r>
      <w:r w:rsidRPr="001B78F5">
        <w:rPr>
          <w:rFonts w:cstheme="minorHAnsi"/>
        </w:rPr>
        <w:t xml:space="preserve"> </w:t>
      </w:r>
      <w:r w:rsidR="00496E71">
        <w:rPr>
          <w:rFonts w:cstheme="minorHAnsi"/>
        </w:rPr>
        <w:t>including</w:t>
      </w:r>
      <w:r w:rsidR="00496E71" w:rsidRPr="001B78F5">
        <w:rPr>
          <w:rFonts w:cstheme="minorHAnsi"/>
        </w:rPr>
        <w:t xml:space="preserve"> pembrolizumab</w:t>
      </w:r>
      <w:r w:rsidR="00496E71">
        <w:rPr>
          <w:rFonts w:cstheme="minorHAnsi"/>
        </w:rPr>
        <w:t>,</w:t>
      </w:r>
      <w:r w:rsidR="00496E71" w:rsidRPr="001B78F5">
        <w:rPr>
          <w:rFonts w:cstheme="minorHAnsi"/>
        </w:rPr>
        <w:t xml:space="preserve"> </w:t>
      </w:r>
      <w:r w:rsidRPr="001B78F5">
        <w:rPr>
          <w:rFonts w:cstheme="minorHAnsi"/>
        </w:rPr>
        <w:t xml:space="preserve">are currently under clinical development in </w:t>
      </w:r>
      <w:r w:rsidR="004A4D78">
        <w:rPr>
          <w:rFonts w:cstheme="minorHAnsi"/>
        </w:rPr>
        <w:t>bladder cancer</w:t>
      </w:r>
      <w:r w:rsidRPr="001B78F5">
        <w:rPr>
          <w:rFonts w:cstheme="minorHAnsi"/>
        </w:rPr>
        <w:t>.</w:t>
      </w:r>
    </w:p>
    <w:p w14:paraId="264E507D" w14:textId="77777777" w:rsidR="001B78F5" w:rsidRPr="001B78F5" w:rsidDel="00034006"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sidDel="00034006">
        <w:rPr>
          <w:rFonts w:asciiTheme="majorHAnsi" w:eastAsiaTheme="majorEastAsia" w:hAnsiTheme="majorHAnsi" w:cstheme="majorBidi"/>
          <w:b/>
          <w:bCs/>
          <w:color w:val="4F81BD" w:themeColor="accent1"/>
          <w:sz w:val="26"/>
          <w:szCs w:val="26"/>
        </w:rPr>
        <w:t>Pembrolizumab mechanism of action</w:t>
      </w:r>
    </w:p>
    <w:p w14:paraId="264E507E" w14:textId="77777777" w:rsidR="001B78F5" w:rsidRPr="001B78F5" w:rsidRDefault="001B78F5" w:rsidP="001B78F5">
      <w:pPr>
        <w:spacing w:before="120" w:after="120"/>
        <w:rPr>
          <w:rFonts w:cstheme="minorHAnsi"/>
        </w:rPr>
      </w:pPr>
      <w:r w:rsidRPr="001B78F5" w:rsidDel="00034006">
        <w:rPr>
          <w:rFonts w:cstheme="minorHAnsi"/>
        </w:rPr>
        <w:t>Pembrolizumab is a pot</w:t>
      </w:r>
      <w:r w:rsidR="00705B56">
        <w:rPr>
          <w:rFonts w:cstheme="minorHAnsi"/>
        </w:rPr>
        <w:t>ent and highly selective humanis</w:t>
      </w:r>
      <w:r w:rsidRPr="001B78F5" w:rsidDel="00034006">
        <w:rPr>
          <w:rFonts w:cstheme="minorHAnsi"/>
        </w:rPr>
        <w:t>ed monoclonal antibody (</w:t>
      </w:r>
      <w:proofErr w:type="spellStart"/>
      <w:r w:rsidRPr="001B78F5" w:rsidDel="00034006">
        <w:rPr>
          <w:rFonts w:cstheme="minorHAnsi"/>
        </w:rPr>
        <w:t>mAb</w:t>
      </w:r>
      <w:proofErr w:type="spellEnd"/>
      <w:r w:rsidRPr="001B78F5" w:rsidDel="00034006">
        <w:rPr>
          <w:rFonts w:cstheme="minorHAnsi"/>
        </w:rPr>
        <w:t>) designed to target the programmed death-1 receptor and thus directly block the interaction between PD-1 and its ligands, PD-L1 and PD-L2. This blockade enhances functional activity of the target lymphocytes to facilitate tumour regression and ultimately immune rejection. Pembrolizumab only potentiates existing immune responses in the presence of antigen and does not non-specifically activate T cells.</w:t>
      </w:r>
    </w:p>
    <w:p w14:paraId="264E507F"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Testing for PD-L1 expression</w:t>
      </w:r>
    </w:p>
    <w:p w14:paraId="264E5080" w14:textId="77777777" w:rsidR="001B78F5" w:rsidRDefault="001B78F5" w:rsidP="001B78F5">
      <w:r w:rsidRPr="001B78F5">
        <w:t xml:space="preserve">PD-L1 expression in </w:t>
      </w:r>
      <w:r w:rsidR="00B702FC">
        <w:t>bladder cancer</w:t>
      </w:r>
      <w:r w:rsidRPr="001B78F5">
        <w:t xml:space="preserve"> tumour biopsies can be assessed using </w:t>
      </w:r>
      <w:proofErr w:type="spellStart"/>
      <w:r w:rsidRPr="001B78F5">
        <w:t>immunohistochemical</w:t>
      </w:r>
      <w:proofErr w:type="spellEnd"/>
      <w:r w:rsidRPr="001B78F5">
        <w:t xml:space="preserve"> (IHC) testing with antibodies that bind specifically to the PD-L1 protein. </w:t>
      </w:r>
    </w:p>
    <w:p w14:paraId="264E5085" w14:textId="271BD249" w:rsidR="003E0B82" w:rsidRPr="003E0B82" w:rsidRDefault="002B37AD" w:rsidP="002B37AD">
      <w:r>
        <w:t>The</w:t>
      </w:r>
      <w:r w:rsidRPr="00B73ABF">
        <w:t xml:space="preserve"> </w:t>
      </w:r>
      <w:r w:rsidR="00B73ABF" w:rsidRPr="00B73ABF">
        <w:t xml:space="preserve">PD-L1 assay used during the pembrolizumab </w:t>
      </w:r>
      <w:r w:rsidR="00B73ABF">
        <w:t>bladder cancer</w:t>
      </w:r>
      <w:r w:rsidR="00B73ABF" w:rsidRPr="00B73ABF">
        <w:t xml:space="preserve"> clinical development program</w:t>
      </w:r>
      <w:r>
        <w:t xml:space="preserve"> is known as the </w:t>
      </w:r>
      <w:r w:rsidR="00B73ABF" w:rsidRPr="00B73ABF">
        <w:t xml:space="preserve">PD-L1 IHC 22C3 </w:t>
      </w:r>
      <w:proofErr w:type="spellStart"/>
      <w:r w:rsidR="00B73ABF" w:rsidRPr="00B73ABF">
        <w:t>pharmDx</w:t>
      </w:r>
      <w:proofErr w:type="spellEnd"/>
      <w:r w:rsidR="00B73ABF" w:rsidRPr="00B73ABF">
        <w:t xml:space="preserve"> </w:t>
      </w:r>
      <w:proofErr w:type="gramStart"/>
      <w:r w:rsidR="003E0B82">
        <w:t>Market  Ready</w:t>
      </w:r>
      <w:proofErr w:type="gramEnd"/>
      <w:r w:rsidR="003E0B82">
        <w:t xml:space="preserve"> Assay </w:t>
      </w:r>
      <w:r w:rsidR="00B73ABF">
        <w:t xml:space="preserve">(developed by </w:t>
      </w:r>
      <w:proofErr w:type="spellStart"/>
      <w:r w:rsidR="00B73ABF">
        <w:t>Dako</w:t>
      </w:r>
      <w:proofErr w:type="spellEnd"/>
      <w:r w:rsidR="00B73ABF">
        <w:t>)</w:t>
      </w:r>
      <w:r>
        <w:t xml:space="preserve">. </w:t>
      </w:r>
      <w:r w:rsidR="003E0B82" w:rsidRPr="003E0B82">
        <w:t>This assay was used to assess PD-L1 expression in bladder cancer tu</w:t>
      </w:r>
      <w:r w:rsidR="009E6826">
        <w:t>mour biopsies in the KEYNOTE 045</w:t>
      </w:r>
      <w:r w:rsidR="003E0B82" w:rsidRPr="003E0B82">
        <w:t xml:space="preserve"> (KN0</w:t>
      </w:r>
      <w:r w:rsidR="009E6826">
        <w:t>45</w:t>
      </w:r>
      <w:r w:rsidR="003E0B82" w:rsidRPr="003E0B82">
        <w:t>) clinical study.</w:t>
      </w:r>
    </w:p>
    <w:p w14:paraId="264E5088" w14:textId="6E029B6D" w:rsidR="009E6826" w:rsidRDefault="002B37AD" w:rsidP="004315DF">
      <w:pPr>
        <w:spacing w:after="0"/>
      </w:pPr>
      <w:r>
        <w:t>This</w:t>
      </w:r>
      <w:r w:rsidR="00B73ABF" w:rsidRPr="00B73ABF">
        <w:t xml:space="preserve"> assay test use</w:t>
      </w:r>
      <w:r w:rsidR="0054050D">
        <w:t>s</w:t>
      </w:r>
      <w:r w:rsidR="00B73ABF" w:rsidRPr="00B73ABF">
        <w:t xml:space="preserve"> the mouse anti-human monoclonal antibody (clone 22C3). </w:t>
      </w:r>
      <w:r w:rsidR="009E6826" w:rsidRPr="009E6826">
        <w:t xml:space="preserve">The PD-L1 IHC 22C3 </w:t>
      </w:r>
      <w:proofErr w:type="spellStart"/>
      <w:r w:rsidR="009E6826" w:rsidRPr="009E6826">
        <w:t>pharmDx</w:t>
      </w:r>
      <w:proofErr w:type="spellEnd"/>
      <w:r w:rsidR="009E6826" w:rsidRPr="009E6826">
        <w:t xml:space="preserve"> Market Ready Assay (developed by </w:t>
      </w:r>
      <w:proofErr w:type="spellStart"/>
      <w:r w:rsidR="009E6826" w:rsidRPr="009E6826">
        <w:t>Dako</w:t>
      </w:r>
      <w:proofErr w:type="spellEnd"/>
      <w:r w:rsidR="009E6826">
        <w:t>) noted above</w:t>
      </w:r>
      <w:r w:rsidR="009E6826" w:rsidRPr="009E6826">
        <w:t xml:space="preserve"> </w:t>
      </w:r>
      <w:r w:rsidR="009E6826">
        <w:t xml:space="preserve">is the same as </w:t>
      </w:r>
      <w:r w:rsidR="00745EDE">
        <w:t xml:space="preserve">that </w:t>
      </w:r>
      <w:r w:rsidR="009E6826">
        <w:t xml:space="preserve">proposed </w:t>
      </w:r>
      <w:r w:rsidR="00745EDE">
        <w:t xml:space="preserve">for testing of PD-L1 expression levels </w:t>
      </w:r>
      <w:r w:rsidR="009E6826">
        <w:t xml:space="preserve">in Applications 1414 and 1440 </w:t>
      </w:r>
      <w:r w:rsidR="00745EDE">
        <w:t>(NSCLC)</w:t>
      </w:r>
      <w:r w:rsidR="009E6826">
        <w:t>.</w:t>
      </w:r>
    </w:p>
    <w:p w14:paraId="760C4875" w14:textId="399500B9" w:rsidR="00496E71" w:rsidRDefault="00496E71" w:rsidP="004315DF">
      <w:pPr>
        <w:spacing w:after="0"/>
      </w:pPr>
    </w:p>
    <w:p w14:paraId="6184AAB0" w14:textId="166124F1" w:rsidR="00496E71" w:rsidRDefault="00496E71" w:rsidP="004315DF">
      <w:pPr>
        <w:spacing w:after="0"/>
      </w:pPr>
      <w:r>
        <w:t xml:space="preserve">If a co-dependent submission for access to pembrolizumab in </w:t>
      </w:r>
      <w:r w:rsidR="001360D1" w:rsidRPr="001360D1">
        <w:t>metastatic or locally advanced/</w:t>
      </w:r>
      <w:proofErr w:type="spellStart"/>
      <w:r w:rsidR="001360D1" w:rsidRPr="001360D1">
        <w:t>unresectable</w:t>
      </w:r>
      <w:proofErr w:type="spellEnd"/>
      <w:r>
        <w:t xml:space="preserve"> bladder cancer were to be made in the future, this would rely predominantly on information from KN045, wherein PD-L1 expression testing was assessed using the market ready assay.</w:t>
      </w:r>
    </w:p>
    <w:p w14:paraId="264E5089" w14:textId="77777777" w:rsidR="003744BF" w:rsidRDefault="003744BF" w:rsidP="004315DF">
      <w:pPr>
        <w:spacing w:after="0"/>
        <w:rPr>
          <w:rFonts w:asciiTheme="majorHAnsi" w:eastAsiaTheme="majorEastAsia" w:hAnsiTheme="majorHAnsi" w:cstheme="majorBidi"/>
          <w:b/>
          <w:bCs/>
          <w:color w:val="4F81BD" w:themeColor="accent1"/>
          <w:sz w:val="26"/>
          <w:szCs w:val="26"/>
        </w:rPr>
      </w:pPr>
    </w:p>
    <w:p w14:paraId="264E508A" w14:textId="09AD4F16" w:rsidR="001B78F5" w:rsidRPr="001B78F5" w:rsidRDefault="001B78F5" w:rsidP="004315DF">
      <w:pPr>
        <w:spacing w:after="0"/>
        <w:rPr>
          <w:rFonts w:asciiTheme="majorHAnsi" w:eastAsiaTheme="majorEastAsia" w:hAnsiTheme="majorHAnsi" w:cstheme="minorHAns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 xml:space="preserve">Prevalence and prognostic value of PD-L1 expression in </w:t>
      </w:r>
      <w:r w:rsidR="00A66D76">
        <w:rPr>
          <w:rFonts w:asciiTheme="majorHAnsi" w:eastAsiaTheme="majorEastAsia" w:hAnsiTheme="majorHAnsi" w:cstheme="majorBidi"/>
          <w:b/>
          <w:bCs/>
          <w:color w:val="4F81BD" w:themeColor="accent1"/>
          <w:sz w:val="26"/>
          <w:szCs w:val="26"/>
        </w:rPr>
        <w:t xml:space="preserve">bladder </w:t>
      </w:r>
      <w:r w:rsidR="00C330B6">
        <w:rPr>
          <w:rFonts w:asciiTheme="majorHAnsi" w:eastAsiaTheme="majorEastAsia" w:hAnsiTheme="majorHAnsi" w:cstheme="majorBidi"/>
          <w:b/>
          <w:bCs/>
          <w:color w:val="4F81BD" w:themeColor="accent1"/>
          <w:sz w:val="26"/>
          <w:szCs w:val="26"/>
        </w:rPr>
        <w:t>cancer</w:t>
      </w:r>
      <w:r w:rsidRPr="001B78F5">
        <w:rPr>
          <w:rFonts w:asciiTheme="majorHAnsi" w:eastAsiaTheme="majorEastAsia" w:hAnsiTheme="majorHAnsi" w:cstheme="minorHAnsi"/>
          <w:b/>
          <w:bCs/>
          <w:color w:val="4F81BD" w:themeColor="accent1"/>
          <w:sz w:val="26"/>
          <w:szCs w:val="26"/>
        </w:rPr>
        <w:t xml:space="preserve"> </w:t>
      </w:r>
    </w:p>
    <w:p w14:paraId="32D5F4F1" w14:textId="4D312884" w:rsidR="00A66D76" w:rsidRDefault="001B78F5" w:rsidP="001B78F5">
      <w:pPr>
        <w:spacing w:before="120" w:after="120"/>
        <w:rPr>
          <w:rFonts w:cstheme="minorHAnsi"/>
        </w:rPr>
      </w:pPr>
      <w:r w:rsidRPr="001B78F5">
        <w:rPr>
          <w:rFonts w:cstheme="minorHAnsi"/>
        </w:rPr>
        <w:t xml:space="preserve">As PD-L1 is a relatively new biomarker, </w:t>
      </w:r>
      <w:r w:rsidR="00A66D76">
        <w:rPr>
          <w:rFonts w:cstheme="minorHAnsi"/>
        </w:rPr>
        <w:t xml:space="preserve">information specific to </w:t>
      </w:r>
      <w:r w:rsidR="00B702FC">
        <w:rPr>
          <w:rFonts w:cstheme="minorHAnsi"/>
        </w:rPr>
        <w:t>bladder cancer</w:t>
      </w:r>
      <w:r w:rsidR="00A66D76">
        <w:rPr>
          <w:rFonts w:cstheme="minorHAnsi"/>
        </w:rPr>
        <w:t xml:space="preserve"> is limited</w:t>
      </w:r>
      <w:r w:rsidRPr="001B78F5">
        <w:rPr>
          <w:rFonts w:cstheme="minorHAnsi"/>
        </w:rPr>
        <w:t>.</w:t>
      </w:r>
      <w:r w:rsidR="00A66D76">
        <w:rPr>
          <w:rFonts w:cstheme="minorHAnsi"/>
        </w:rPr>
        <w:t xml:space="preserve"> </w:t>
      </w:r>
      <w:r w:rsidRPr="00B855CF">
        <w:rPr>
          <w:rFonts w:cstheme="minorHAnsi"/>
        </w:rPr>
        <w:t xml:space="preserve">In terms of prevalence, </w:t>
      </w:r>
      <w:r w:rsidR="000A10B7">
        <w:rPr>
          <w:rFonts w:cstheme="minorHAnsi"/>
        </w:rPr>
        <w:t xml:space="preserve">in </w:t>
      </w:r>
      <w:r w:rsidR="00525487">
        <w:rPr>
          <w:rFonts w:cstheme="minorHAnsi"/>
        </w:rPr>
        <w:t>KEYNOTE 012 (</w:t>
      </w:r>
      <w:r w:rsidR="000A10B7">
        <w:rPr>
          <w:rFonts w:cstheme="minorHAnsi"/>
        </w:rPr>
        <w:t>KN012</w:t>
      </w:r>
      <w:r w:rsidR="00525487">
        <w:rPr>
          <w:rFonts w:cstheme="minorHAnsi"/>
        </w:rPr>
        <w:t>)</w:t>
      </w:r>
      <w:r w:rsidRPr="00B855CF">
        <w:rPr>
          <w:rFonts w:cstheme="minorHAnsi"/>
        </w:rPr>
        <w:t xml:space="preserve"> </w:t>
      </w:r>
      <w:r w:rsidR="000A10B7">
        <w:rPr>
          <w:rFonts w:cstheme="minorHAnsi"/>
        </w:rPr>
        <w:t xml:space="preserve">it was observed </w:t>
      </w:r>
      <w:r w:rsidRPr="00B855CF">
        <w:rPr>
          <w:rFonts w:cstheme="minorHAnsi"/>
        </w:rPr>
        <w:t>that approximately 6</w:t>
      </w:r>
      <w:r w:rsidR="00B855CF" w:rsidRPr="00B855CF">
        <w:rPr>
          <w:rFonts w:cstheme="minorHAnsi"/>
        </w:rPr>
        <w:t>4</w:t>
      </w:r>
      <w:r w:rsidRPr="00B855CF">
        <w:rPr>
          <w:rFonts w:cstheme="minorHAnsi"/>
        </w:rPr>
        <w:t xml:space="preserve">% of </w:t>
      </w:r>
      <w:r w:rsidR="00B855CF" w:rsidRPr="00B855CF">
        <w:rPr>
          <w:rFonts w:cstheme="minorHAnsi"/>
        </w:rPr>
        <w:t>advanced/metastatic bladder cancer patients</w:t>
      </w:r>
      <w:r w:rsidRPr="00B855CF">
        <w:rPr>
          <w:rFonts w:cstheme="minorHAnsi"/>
        </w:rPr>
        <w:t xml:space="preserve"> screened </w:t>
      </w:r>
      <w:r w:rsidR="00B855CF" w:rsidRPr="00B855CF">
        <w:rPr>
          <w:rFonts w:cstheme="minorHAnsi"/>
        </w:rPr>
        <w:t>were</w:t>
      </w:r>
      <w:r w:rsidRPr="00B855CF">
        <w:rPr>
          <w:rFonts w:cstheme="minorHAnsi"/>
        </w:rPr>
        <w:t xml:space="preserve"> PD-L1 positive (≥1% PD-L1 expression) (</w:t>
      </w:r>
      <w:proofErr w:type="spellStart"/>
      <w:r w:rsidR="00B855CF" w:rsidRPr="00B855CF">
        <w:rPr>
          <w:rFonts w:cstheme="minorHAnsi"/>
        </w:rPr>
        <w:t>Plimack</w:t>
      </w:r>
      <w:proofErr w:type="spellEnd"/>
      <w:r w:rsidRPr="00B855CF">
        <w:rPr>
          <w:rFonts w:cstheme="minorHAnsi"/>
        </w:rPr>
        <w:t xml:space="preserve"> et al, 2015).  </w:t>
      </w:r>
    </w:p>
    <w:p w14:paraId="264E508C" w14:textId="1E41C0B6" w:rsidR="001B78F5" w:rsidRPr="001B78F5" w:rsidRDefault="001B78F5" w:rsidP="001B78F5">
      <w:pPr>
        <w:spacing w:before="120" w:after="120"/>
        <w:rPr>
          <w:rFonts w:cstheme="minorHAnsi"/>
        </w:rPr>
      </w:pPr>
      <w:r w:rsidRPr="00B855CF">
        <w:rPr>
          <w:rFonts w:cstheme="minorHAnsi"/>
        </w:rPr>
        <w:lastRenderedPageBreak/>
        <w:t xml:space="preserve">MSD is committed to providing an overview of </w:t>
      </w:r>
      <w:r w:rsidR="00A66D76">
        <w:rPr>
          <w:rFonts w:cstheme="minorHAnsi"/>
        </w:rPr>
        <w:t xml:space="preserve">available literature on </w:t>
      </w:r>
      <w:r w:rsidRPr="00B855CF">
        <w:rPr>
          <w:rFonts w:cstheme="minorHAnsi"/>
        </w:rPr>
        <w:t xml:space="preserve">prevalence and prognostic </w:t>
      </w:r>
      <w:r w:rsidR="00A66D76">
        <w:rPr>
          <w:rFonts w:cstheme="minorHAnsi"/>
        </w:rPr>
        <w:t xml:space="preserve">value of </w:t>
      </w:r>
      <w:r w:rsidRPr="00B855CF">
        <w:rPr>
          <w:rFonts w:cstheme="minorHAnsi"/>
        </w:rPr>
        <w:t xml:space="preserve">PD-L1 in </w:t>
      </w:r>
      <w:r w:rsidR="00B855CF" w:rsidRPr="00B855CF">
        <w:rPr>
          <w:rFonts w:cstheme="minorHAnsi"/>
        </w:rPr>
        <w:t xml:space="preserve">advanced/metastatic bladder cancer </w:t>
      </w:r>
      <w:r w:rsidRPr="00B855CF">
        <w:rPr>
          <w:rFonts w:cstheme="minorHAnsi"/>
        </w:rPr>
        <w:t xml:space="preserve">as part of </w:t>
      </w:r>
      <w:r w:rsidR="000A10B7">
        <w:rPr>
          <w:rFonts w:cstheme="minorHAnsi"/>
        </w:rPr>
        <w:t xml:space="preserve">the </w:t>
      </w:r>
      <w:r w:rsidRPr="00B855CF">
        <w:rPr>
          <w:rFonts w:cstheme="minorHAnsi"/>
        </w:rPr>
        <w:t>co-dependent submission.</w:t>
      </w:r>
    </w:p>
    <w:p w14:paraId="264E508D"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Proposed patient population</w:t>
      </w:r>
    </w:p>
    <w:p w14:paraId="264E508E" w14:textId="1345652C" w:rsidR="001B78F5" w:rsidRPr="001B78F5" w:rsidRDefault="001B78F5" w:rsidP="001B78F5">
      <w:pPr>
        <w:rPr>
          <w:rFonts w:cstheme="minorHAnsi"/>
        </w:rPr>
      </w:pPr>
      <w:r w:rsidRPr="001B78F5">
        <w:rPr>
          <w:rFonts w:cstheme="minorHAnsi"/>
        </w:rPr>
        <w:t xml:space="preserve">The patient population which would benefit from PD-L1 testing are </w:t>
      </w:r>
      <w:r w:rsidR="00B702FC">
        <w:rPr>
          <w:rFonts w:cstheme="minorHAnsi"/>
        </w:rPr>
        <w:t xml:space="preserve">those </w:t>
      </w:r>
      <w:r w:rsidR="00B702FC" w:rsidRPr="00B702FC">
        <w:rPr>
          <w:rFonts w:cstheme="minorHAnsi"/>
        </w:rPr>
        <w:t xml:space="preserve">with metastatic </w:t>
      </w:r>
      <w:r w:rsidR="00916BA9" w:rsidRPr="00916BA9">
        <w:rPr>
          <w:rFonts w:cstheme="minorHAnsi"/>
        </w:rPr>
        <w:t>or locally advanced/</w:t>
      </w:r>
      <w:proofErr w:type="spellStart"/>
      <w:r w:rsidR="00916BA9" w:rsidRPr="00916BA9">
        <w:rPr>
          <w:rFonts w:cstheme="minorHAnsi"/>
        </w:rPr>
        <w:t>unresectable</w:t>
      </w:r>
      <w:proofErr w:type="spellEnd"/>
      <w:r w:rsidR="00B702FC" w:rsidRPr="00B702FC">
        <w:rPr>
          <w:rFonts w:cstheme="minorHAnsi"/>
        </w:rPr>
        <w:t xml:space="preserve"> bladder cance</w:t>
      </w:r>
      <w:r w:rsidR="005E69EA">
        <w:rPr>
          <w:rFonts w:cstheme="minorHAnsi"/>
        </w:rPr>
        <w:t>r</w:t>
      </w:r>
      <w:r w:rsidR="005E69EA" w:rsidRPr="005E69EA">
        <w:t xml:space="preserve"> </w:t>
      </w:r>
      <w:r w:rsidR="005E69EA">
        <w:t xml:space="preserve">which </w:t>
      </w:r>
      <w:r w:rsidR="005E69EA" w:rsidRPr="005E69EA">
        <w:rPr>
          <w:rFonts w:cstheme="minorHAnsi"/>
        </w:rPr>
        <w:t>has recurred or progressed following</w:t>
      </w:r>
      <w:r w:rsidR="005E69EA">
        <w:rPr>
          <w:rFonts w:cstheme="minorHAnsi"/>
        </w:rPr>
        <w:t xml:space="preserve"> </w:t>
      </w:r>
      <w:r w:rsidR="005E69EA" w:rsidRPr="005E69EA">
        <w:rPr>
          <w:rFonts w:cstheme="minorHAnsi"/>
        </w:rPr>
        <w:t>platinum-based chemotherapy</w:t>
      </w:r>
      <w:r w:rsidR="005E69EA">
        <w:rPr>
          <w:rFonts w:cstheme="minorHAnsi"/>
        </w:rPr>
        <w:t xml:space="preserve">. </w:t>
      </w:r>
      <w:r w:rsidR="00E75D5C">
        <w:rPr>
          <w:rFonts w:cstheme="minorHAnsi"/>
        </w:rPr>
        <w:t xml:space="preserve"> </w:t>
      </w:r>
      <w:r w:rsidRPr="001B78F5">
        <w:rPr>
          <w:rFonts w:cstheme="minorHAnsi"/>
        </w:rPr>
        <w:t xml:space="preserve">The outcome of this test </w:t>
      </w:r>
      <w:r w:rsidR="00B7702A">
        <w:rPr>
          <w:rFonts w:cstheme="minorHAnsi"/>
        </w:rPr>
        <w:t xml:space="preserve">would </w:t>
      </w:r>
      <w:r w:rsidRPr="001B78F5">
        <w:rPr>
          <w:rFonts w:cstheme="minorHAnsi"/>
        </w:rPr>
        <w:t>determine eligib</w:t>
      </w:r>
      <w:r w:rsidR="00B7702A">
        <w:rPr>
          <w:rFonts w:cstheme="minorHAnsi"/>
        </w:rPr>
        <w:t>i</w:t>
      </w:r>
      <w:r w:rsidRPr="001B78F5">
        <w:rPr>
          <w:rFonts w:cstheme="minorHAnsi"/>
        </w:rPr>
        <w:t>l</w:t>
      </w:r>
      <w:r w:rsidR="00B7702A">
        <w:rPr>
          <w:rFonts w:cstheme="minorHAnsi"/>
        </w:rPr>
        <w:t>ity</w:t>
      </w:r>
      <w:r w:rsidRPr="001B78F5">
        <w:rPr>
          <w:rFonts w:cstheme="minorHAnsi"/>
        </w:rPr>
        <w:t xml:space="preserve"> for subsequent treatment with pembrolizumab</w:t>
      </w:r>
      <w:r w:rsidR="00B7702A">
        <w:rPr>
          <w:rFonts w:cstheme="minorHAnsi"/>
        </w:rPr>
        <w:t>, in the circumstance that MSD were to lodge a co-dependent submission</w:t>
      </w:r>
      <w:r w:rsidRPr="001B78F5">
        <w:rPr>
          <w:rFonts w:cstheme="minorHAnsi"/>
        </w:rPr>
        <w:t xml:space="preserve">. </w:t>
      </w:r>
    </w:p>
    <w:p w14:paraId="264E508F" w14:textId="77777777" w:rsidR="001B78F5" w:rsidRPr="001B78F5" w:rsidRDefault="001B78F5" w:rsidP="001B78F5">
      <w:pPr>
        <w:keepNext/>
        <w:keepLines/>
        <w:spacing w:before="200" w:after="0"/>
        <w:outlineLvl w:val="1"/>
        <w:rPr>
          <w:rFonts w:ascii="Arial" w:eastAsiaTheme="majorEastAsia" w:hAnsi="Arial" w:cs="Arial"/>
          <w:b/>
          <w:bCs/>
          <w:color w:val="4F81BD" w:themeColor="accent1"/>
          <w:sz w:val="26"/>
          <w:szCs w:val="26"/>
        </w:rPr>
      </w:pPr>
      <w:r w:rsidRPr="001B78F5">
        <w:rPr>
          <w:rFonts w:asciiTheme="majorHAnsi" w:eastAsiaTheme="majorEastAsia" w:hAnsiTheme="majorHAnsi" w:cstheme="majorBidi"/>
          <w:b/>
          <w:bCs/>
          <w:color w:val="4F81BD" w:themeColor="accent1"/>
          <w:sz w:val="26"/>
          <w:szCs w:val="26"/>
        </w:rPr>
        <w:t>Evidence for the proposed population</w:t>
      </w:r>
    </w:p>
    <w:p w14:paraId="7810A2B3" w14:textId="307B9E9F" w:rsidR="00790EEA" w:rsidRDefault="00790EEA" w:rsidP="002138B3">
      <w:pPr>
        <w:keepNext/>
        <w:keepLines/>
        <w:spacing w:after="0"/>
        <w:outlineLvl w:val="2"/>
        <w:rPr>
          <w:rFonts w:cstheme="minorHAnsi"/>
        </w:rPr>
      </w:pPr>
      <w:r>
        <w:rPr>
          <w:rFonts w:cstheme="minorHAnsi"/>
        </w:rPr>
        <w:t xml:space="preserve">The KN012 clinical trial was the first </w:t>
      </w:r>
      <w:r w:rsidRPr="00790EEA">
        <w:rPr>
          <w:rFonts w:cstheme="minorHAnsi"/>
        </w:rPr>
        <w:t xml:space="preserve">study confirming that pembrolizumab has activity in </w:t>
      </w:r>
      <w:r>
        <w:rPr>
          <w:rFonts w:cstheme="minorHAnsi"/>
        </w:rPr>
        <w:t xml:space="preserve">advanced/metastatic </w:t>
      </w:r>
      <w:r w:rsidRPr="00790EEA">
        <w:rPr>
          <w:rFonts w:cstheme="minorHAnsi"/>
        </w:rPr>
        <w:t>bladder</w:t>
      </w:r>
      <w:r>
        <w:rPr>
          <w:rFonts w:cstheme="minorHAnsi"/>
        </w:rPr>
        <w:t xml:space="preserve"> cancer. It was a Phase I study</w:t>
      </w:r>
      <w:r w:rsidRPr="00790EEA">
        <w:t xml:space="preserve"> </w:t>
      </w:r>
      <w:r w:rsidRPr="00790EEA">
        <w:rPr>
          <w:rFonts w:cstheme="minorHAnsi"/>
        </w:rPr>
        <w:t>assess</w:t>
      </w:r>
      <w:r>
        <w:rPr>
          <w:rFonts w:cstheme="minorHAnsi"/>
        </w:rPr>
        <w:t>ing</w:t>
      </w:r>
      <w:r w:rsidRPr="00790EEA">
        <w:rPr>
          <w:rFonts w:cstheme="minorHAnsi"/>
        </w:rPr>
        <w:t xml:space="preserve"> the antitumor activity and safety of pembrolizumab in patients with recurrent or metastatic </w:t>
      </w:r>
      <w:r w:rsidR="006C1751">
        <w:rPr>
          <w:rFonts w:cstheme="minorHAnsi"/>
        </w:rPr>
        <w:t>PD-L1 positive bladder cancer.</w:t>
      </w:r>
    </w:p>
    <w:p w14:paraId="073624E9" w14:textId="0BBE1F4C" w:rsidR="00790EEA" w:rsidRDefault="00790EEA" w:rsidP="00790EEA">
      <w:pPr>
        <w:keepNext/>
        <w:keepLines/>
        <w:spacing w:before="200" w:after="0"/>
        <w:outlineLvl w:val="2"/>
        <w:rPr>
          <w:rFonts w:cstheme="minorHAnsi"/>
        </w:rPr>
      </w:pPr>
      <w:r w:rsidRPr="00790EEA">
        <w:rPr>
          <w:rFonts w:cstheme="minorHAnsi"/>
        </w:rPr>
        <w:t xml:space="preserve">Patients with advanced/metastatic bladder cancer that has recurred or progressed following platinum-based chemotherapy present a challenge at this stage of the disease as a variety of chemotherapeutic agents used in this setting provide a generally poor prognosis where responses are uncommon or occur at very low rates. </w:t>
      </w:r>
      <w:r>
        <w:rPr>
          <w:rFonts w:cstheme="minorHAnsi"/>
        </w:rPr>
        <w:t xml:space="preserve">Hence, considering the dismal outcomes of the currently available treatments, a </w:t>
      </w:r>
      <w:r w:rsidRPr="00790EEA">
        <w:rPr>
          <w:rFonts w:cstheme="minorHAnsi"/>
        </w:rPr>
        <w:t>comparative study</w:t>
      </w:r>
      <w:r>
        <w:rPr>
          <w:rFonts w:cstheme="minorHAnsi"/>
        </w:rPr>
        <w:t>, KN045</w:t>
      </w:r>
      <w:r w:rsidRPr="00790EEA">
        <w:rPr>
          <w:rFonts w:cstheme="minorHAnsi"/>
        </w:rPr>
        <w:t xml:space="preserve"> was designed to comp</w:t>
      </w:r>
      <w:r w:rsidR="00FD5C1E">
        <w:rPr>
          <w:rFonts w:cstheme="minorHAnsi"/>
        </w:rPr>
        <w:t>are the</w:t>
      </w:r>
      <w:r w:rsidRPr="00790EEA">
        <w:rPr>
          <w:rFonts w:cstheme="minorHAnsi"/>
        </w:rPr>
        <w:t xml:space="preserve"> benefit of pembro</w:t>
      </w:r>
      <w:r w:rsidR="00FD5C1E">
        <w:rPr>
          <w:rFonts w:cstheme="minorHAnsi"/>
        </w:rPr>
        <w:t>lizumab</w:t>
      </w:r>
      <w:r w:rsidRPr="00790EEA">
        <w:rPr>
          <w:rFonts w:cstheme="minorHAnsi"/>
        </w:rPr>
        <w:t xml:space="preserve"> relative to </w:t>
      </w:r>
      <w:r w:rsidR="00FD5C1E">
        <w:rPr>
          <w:rFonts w:cstheme="minorHAnsi"/>
        </w:rPr>
        <w:t xml:space="preserve">the standard of care </w:t>
      </w:r>
      <w:r w:rsidRPr="00790EEA">
        <w:rPr>
          <w:rFonts w:cstheme="minorHAnsi"/>
        </w:rPr>
        <w:t>in an all comer population</w:t>
      </w:r>
      <w:r w:rsidR="00FD5C1E">
        <w:rPr>
          <w:rFonts w:cstheme="minorHAnsi"/>
        </w:rPr>
        <w:t>.</w:t>
      </w:r>
    </w:p>
    <w:p w14:paraId="311FF77B" w14:textId="02D186AE" w:rsidR="003F4FED" w:rsidRDefault="003F4FED" w:rsidP="00790EEA">
      <w:pPr>
        <w:keepNext/>
        <w:keepLines/>
        <w:spacing w:before="200" w:after="0"/>
        <w:outlineLvl w:val="2"/>
        <w:rPr>
          <w:rFonts w:cstheme="minorHAnsi"/>
        </w:rPr>
      </w:pPr>
      <w:r>
        <w:rPr>
          <w:rFonts w:cstheme="minorHAnsi"/>
        </w:rPr>
        <w:t xml:space="preserve">The data from KN045 will provide the evidence to support a future submission for the reimbursement of </w:t>
      </w:r>
      <w:r w:rsidRPr="003F4FED">
        <w:rPr>
          <w:rFonts w:cstheme="minorHAnsi"/>
        </w:rPr>
        <w:t>pembrolizumab as a second line therapy in PD-L1 positive patients with recurrent or metastatic bladder cancer</w:t>
      </w:r>
      <w:r>
        <w:rPr>
          <w:rFonts w:cstheme="minorHAnsi"/>
        </w:rPr>
        <w:t>.</w:t>
      </w:r>
    </w:p>
    <w:p w14:paraId="264E50BB" w14:textId="66A9DBB5" w:rsidR="002B51AB" w:rsidRDefault="002B51AB" w:rsidP="002B51AB">
      <w:pPr>
        <w:keepNext/>
        <w:keepLines/>
        <w:spacing w:before="200" w:after="0"/>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Keynote 045</w:t>
      </w:r>
    </w:p>
    <w:p w14:paraId="264E50BE" w14:textId="684704C6" w:rsidR="002B51AB" w:rsidRDefault="00B855CF" w:rsidP="004315DF">
      <w:pPr>
        <w:spacing w:before="120" w:after="0"/>
      </w:pPr>
      <w:r>
        <w:t>KN045 is a P</w:t>
      </w:r>
      <w:r w:rsidR="002B51AB">
        <w:t xml:space="preserve">hase III </w:t>
      </w:r>
      <w:r w:rsidR="00705B56">
        <w:t>randomised</w:t>
      </w:r>
      <w:r w:rsidR="002B51AB">
        <w:t xml:space="preserve"> </w:t>
      </w:r>
      <w:r>
        <w:t xml:space="preserve">clinical </w:t>
      </w:r>
      <w:r w:rsidR="002B51AB">
        <w:t>trial of pembrolizumab versus standard of care treatment in subjects</w:t>
      </w:r>
      <w:r w:rsidR="002778B2">
        <w:t xml:space="preserve"> </w:t>
      </w:r>
      <w:r w:rsidR="002B51AB">
        <w:t xml:space="preserve">with recurrent metastatic </w:t>
      </w:r>
      <w:r w:rsidR="00815E3C" w:rsidRPr="00815E3C">
        <w:t>or locally advanced/</w:t>
      </w:r>
      <w:proofErr w:type="spellStart"/>
      <w:r w:rsidR="006505A3" w:rsidRPr="00815E3C">
        <w:t>unresectable</w:t>
      </w:r>
      <w:proofErr w:type="spellEnd"/>
      <w:r w:rsidR="006505A3">
        <w:t xml:space="preserve"> </w:t>
      </w:r>
      <w:r w:rsidR="002B51AB">
        <w:t>bladder cancer who experience progression after a platinum-based regimen.</w:t>
      </w:r>
      <w:r w:rsidR="00841E2C">
        <w:t xml:space="preserve"> </w:t>
      </w:r>
      <w:r w:rsidR="001F1876">
        <w:t xml:space="preserve">This clinical trial is still underway and in the case that MSD decides to lodge a </w:t>
      </w:r>
      <w:r w:rsidR="001F1876" w:rsidRPr="001F1876">
        <w:t xml:space="preserve">co-dependent submission to support listing of pembrolizumab as a second line therapy in </w:t>
      </w:r>
      <w:r w:rsidR="001F1876">
        <w:t xml:space="preserve">PD-L1 positive </w:t>
      </w:r>
      <w:r w:rsidR="001F1876" w:rsidRPr="001F1876">
        <w:t>patients with recurrent or metastatic bladder cancer</w:t>
      </w:r>
      <w:r w:rsidR="001F1876">
        <w:t>, then</w:t>
      </w:r>
      <w:r w:rsidR="001F1876" w:rsidRPr="001F1876">
        <w:t xml:space="preserve"> </w:t>
      </w:r>
      <w:r w:rsidR="001F1876">
        <w:t>d</w:t>
      </w:r>
      <w:r w:rsidR="002B51AB" w:rsidRPr="001B78F5">
        <w:t>ata from KN0</w:t>
      </w:r>
      <w:r w:rsidR="002B51AB">
        <w:t>45</w:t>
      </w:r>
      <w:r w:rsidR="002B51AB" w:rsidRPr="001B78F5">
        <w:t xml:space="preserve"> will represent the pivotal evidence </w:t>
      </w:r>
      <w:r w:rsidR="001F1876">
        <w:t xml:space="preserve">provided. </w:t>
      </w:r>
      <w:r w:rsidR="002B51AB" w:rsidRPr="001B78F5">
        <w:t xml:space="preserve"> </w:t>
      </w:r>
    </w:p>
    <w:p w14:paraId="264E50C0" w14:textId="25DDACB1" w:rsidR="002B51AB" w:rsidRDefault="002B51AB" w:rsidP="002138B3">
      <w:pPr>
        <w:spacing w:after="0"/>
        <w:rPr>
          <w:rFonts w:cstheme="minorHAnsi"/>
        </w:rPr>
      </w:pPr>
      <w:r>
        <w:rPr>
          <w:rFonts w:ascii="Calibri" w:hAnsi="Calibri" w:cs="Calibri"/>
        </w:rPr>
        <w:t xml:space="preserve">Patients are enrolled into the KN045 study irrespective of PD-L1 tumour status, </w:t>
      </w:r>
      <w:proofErr w:type="spellStart"/>
      <w:r>
        <w:rPr>
          <w:rFonts w:ascii="Calibri" w:hAnsi="Calibri" w:cs="Calibri"/>
        </w:rPr>
        <w:t>ie</w:t>
      </w:r>
      <w:proofErr w:type="spellEnd"/>
      <w:r w:rsidR="002778B2">
        <w:rPr>
          <w:rFonts w:ascii="Calibri" w:hAnsi="Calibri" w:cs="Calibri"/>
        </w:rPr>
        <w:t>.</w:t>
      </w:r>
      <w:r>
        <w:rPr>
          <w:rFonts w:ascii="Calibri" w:hAnsi="Calibri" w:cs="Calibri"/>
        </w:rPr>
        <w:t xml:space="preserve"> </w:t>
      </w:r>
      <w:proofErr w:type="gramStart"/>
      <w:r>
        <w:rPr>
          <w:rFonts w:ascii="Calibri" w:hAnsi="Calibri" w:cs="Calibri"/>
        </w:rPr>
        <w:t>all-comers</w:t>
      </w:r>
      <w:proofErr w:type="gramEnd"/>
      <w:r>
        <w:rPr>
          <w:rFonts w:ascii="Calibri" w:hAnsi="Calibri" w:cs="Calibri"/>
        </w:rPr>
        <w:t xml:space="preserve">. The </w:t>
      </w:r>
      <w:r w:rsidRPr="00146180">
        <w:rPr>
          <w:rFonts w:ascii="Calibri" w:hAnsi="Calibri" w:cs="Calibri"/>
        </w:rPr>
        <w:t>PD-L1 status will be determined</w:t>
      </w:r>
      <w:r>
        <w:rPr>
          <w:rFonts w:ascii="Calibri" w:hAnsi="Calibri" w:cs="Calibri"/>
        </w:rPr>
        <w:t xml:space="preserve"> </w:t>
      </w:r>
      <w:r w:rsidRPr="00146180">
        <w:rPr>
          <w:rFonts w:ascii="Calibri" w:hAnsi="Calibri" w:cs="Calibri"/>
        </w:rPr>
        <w:t>using</w:t>
      </w:r>
      <w:r>
        <w:rPr>
          <w:rFonts w:ascii="Calibri" w:hAnsi="Calibri" w:cs="Calibri"/>
        </w:rPr>
        <w:t xml:space="preserve"> the</w:t>
      </w:r>
      <w:r w:rsidRPr="00146180">
        <w:rPr>
          <w:rFonts w:ascii="Calibri" w:hAnsi="Calibri" w:cs="Calibri"/>
        </w:rPr>
        <w:t xml:space="preserve"> PD-L1 IH</w:t>
      </w:r>
      <w:r>
        <w:rPr>
          <w:rFonts w:ascii="Calibri" w:hAnsi="Calibri" w:cs="Calibri"/>
        </w:rPr>
        <w:t xml:space="preserve">C 22C3 </w:t>
      </w:r>
      <w:proofErr w:type="spellStart"/>
      <w:r>
        <w:rPr>
          <w:rFonts w:ascii="Calibri" w:hAnsi="Calibri" w:cs="Calibri"/>
        </w:rPr>
        <w:t>pharmDx</w:t>
      </w:r>
      <w:proofErr w:type="spellEnd"/>
      <w:r>
        <w:rPr>
          <w:rFonts w:ascii="Calibri" w:hAnsi="Calibri" w:cs="Calibri"/>
        </w:rPr>
        <w:t xml:space="preserve"> </w:t>
      </w:r>
      <w:r w:rsidR="001F1876">
        <w:rPr>
          <w:rFonts w:ascii="Calibri" w:hAnsi="Calibri" w:cs="Calibri"/>
        </w:rPr>
        <w:t>Market Ready A</w:t>
      </w:r>
      <w:r>
        <w:rPr>
          <w:rFonts w:ascii="Calibri" w:hAnsi="Calibri" w:cs="Calibri"/>
        </w:rPr>
        <w:t>ssay</w:t>
      </w:r>
      <w:r w:rsidR="00B31F38">
        <w:rPr>
          <w:rFonts w:ascii="Calibri" w:hAnsi="Calibri" w:cs="Calibri"/>
        </w:rPr>
        <w:t xml:space="preserve"> prior to randomisation</w:t>
      </w:r>
      <w:r>
        <w:rPr>
          <w:rFonts w:ascii="Calibri" w:hAnsi="Calibri" w:cs="Calibri"/>
        </w:rPr>
        <w:t xml:space="preserve">. In addition, </w:t>
      </w:r>
      <w:r w:rsidRPr="00146180">
        <w:rPr>
          <w:rFonts w:ascii="Calibri" w:hAnsi="Calibri" w:cs="Calibri"/>
        </w:rPr>
        <w:t xml:space="preserve">evaluation of clinical efficacy in all-comers and in PD-L1 positive patients will be </w:t>
      </w:r>
      <w:r>
        <w:rPr>
          <w:rFonts w:ascii="Calibri" w:hAnsi="Calibri" w:cs="Calibri"/>
        </w:rPr>
        <w:t xml:space="preserve">a </w:t>
      </w:r>
      <w:r w:rsidR="002778B2">
        <w:rPr>
          <w:rFonts w:ascii="Calibri" w:hAnsi="Calibri" w:cs="Calibri"/>
        </w:rPr>
        <w:t>primary objective</w:t>
      </w:r>
      <w:r>
        <w:rPr>
          <w:rFonts w:ascii="Calibri" w:hAnsi="Calibri" w:cs="Calibri"/>
        </w:rPr>
        <w:t xml:space="preserve"> </w:t>
      </w:r>
      <w:r w:rsidRPr="00146180">
        <w:rPr>
          <w:rFonts w:ascii="Calibri" w:hAnsi="Calibri" w:cs="Calibri"/>
        </w:rPr>
        <w:t>of the study.</w:t>
      </w:r>
      <w:r w:rsidR="00086AF6">
        <w:rPr>
          <w:rFonts w:ascii="Calibri" w:hAnsi="Calibri" w:cs="Calibri"/>
        </w:rPr>
        <w:t xml:space="preserve"> </w:t>
      </w:r>
      <w:r w:rsidRPr="001B78F5">
        <w:rPr>
          <w:rFonts w:cstheme="minorHAnsi"/>
        </w:rPr>
        <w:t>Key characteristics of the KN0</w:t>
      </w:r>
      <w:r>
        <w:rPr>
          <w:rFonts w:cstheme="minorHAnsi"/>
        </w:rPr>
        <w:t>45</w:t>
      </w:r>
      <w:r w:rsidRPr="001B78F5">
        <w:rPr>
          <w:rFonts w:cstheme="minorHAnsi"/>
        </w:rPr>
        <w:t xml:space="preserve"> trial are outlined in </w:t>
      </w:r>
      <w:r w:rsidR="003F4FED">
        <w:rPr>
          <w:rFonts w:cstheme="minorHAnsi"/>
        </w:rPr>
        <w:fldChar w:fldCharType="begin"/>
      </w:r>
      <w:r w:rsidR="003F4FED">
        <w:rPr>
          <w:rFonts w:cstheme="minorHAnsi"/>
        </w:rPr>
        <w:instrText xml:space="preserve"> REF _Ref447890596 \h </w:instrText>
      </w:r>
      <w:r w:rsidR="003F4FED">
        <w:rPr>
          <w:rFonts w:cstheme="minorHAnsi"/>
        </w:rPr>
      </w:r>
      <w:r w:rsidR="003F4FED">
        <w:rPr>
          <w:rFonts w:cstheme="minorHAnsi"/>
        </w:rPr>
        <w:fldChar w:fldCharType="separate"/>
      </w:r>
      <w:r w:rsidR="003F4FED" w:rsidRPr="001B78F5">
        <w:rPr>
          <w:b/>
        </w:rPr>
        <w:t xml:space="preserve">Table </w:t>
      </w:r>
      <w:r w:rsidR="003F4FED">
        <w:rPr>
          <w:b/>
          <w:noProof/>
        </w:rPr>
        <w:t>1</w:t>
      </w:r>
      <w:r w:rsidR="003F4FED">
        <w:rPr>
          <w:rFonts w:cstheme="minorHAnsi"/>
        </w:rPr>
        <w:fldChar w:fldCharType="end"/>
      </w:r>
      <w:r w:rsidRPr="001B78F5">
        <w:rPr>
          <w:rFonts w:cstheme="minorHAnsi"/>
        </w:rPr>
        <w:t>.</w:t>
      </w:r>
    </w:p>
    <w:p w14:paraId="1E0261D4" w14:textId="77777777" w:rsidR="006C1751" w:rsidRDefault="006C1751">
      <w:pPr>
        <w:rPr>
          <w:b/>
        </w:rPr>
      </w:pPr>
      <w:bookmarkStart w:id="2" w:name="_Ref447890596"/>
      <w:r>
        <w:rPr>
          <w:b/>
        </w:rPr>
        <w:br w:type="page"/>
      </w:r>
    </w:p>
    <w:p w14:paraId="264E50D0" w14:textId="11810751" w:rsidR="002B51AB" w:rsidRPr="001B78F5" w:rsidRDefault="002B51AB" w:rsidP="002B51AB">
      <w:pPr>
        <w:spacing w:after="0"/>
        <w:rPr>
          <w:b/>
        </w:rPr>
      </w:pPr>
      <w:r w:rsidRPr="001B78F5">
        <w:rPr>
          <w:b/>
        </w:rPr>
        <w:lastRenderedPageBreak/>
        <w:t xml:space="preserve">Table </w:t>
      </w:r>
      <w:r w:rsidR="003F4FED">
        <w:rPr>
          <w:b/>
        </w:rPr>
        <w:t>1</w:t>
      </w:r>
      <w:r w:rsidRPr="001B78F5">
        <w:rPr>
          <w:b/>
        </w:rPr>
        <w:t>: Trial design for Keynote 0</w:t>
      </w:r>
      <w:r>
        <w:rPr>
          <w:b/>
        </w:rPr>
        <w:t>45</w:t>
      </w:r>
      <w:bookmarkEnd w:id="2"/>
    </w:p>
    <w:tbl>
      <w:tblPr>
        <w:tblStyle w:val="TableGrid"/>
        <w:tblpPr w:leftFromText="180" w:rightFromText="180" w:vertAnchor="text" w:horzAnchor="margin" w:tblpX="-176" w:tblpY="80"/>
        <w:tblW w:w="5095" w:type="pct"/>
        <w:tblLayout w:type="fixed"/>
        <w:tblLook w:val="0420" w:firstRow="1" w:lastRow="0" w:firstColumn="0" w:lastColumn="0" w:noHBand="0" w:noVBand="1"/>
        <w:tblCaption w:val="Table 2: Trial design for Keynote 010"/>
      </w:tblPr>
      <w:tblGrid>
        <w:gridCol w:w="1242"/>
        <w:gridCol w:w="2960"/>
        <w:gridCol w:w="2249"/>
        <w:gridCol w:w="2989"/>
      </w:tblGrid>
      <w:tr w:rsidR="002B51AB" w:rsidRPr="001B78F5" w14:paraId="264E50D5" w14:textId="77777777" w:rsidTr="004315DF">
        <w:trPr>
          <w:trHeight w:val="561"/>
          <w:tblHeader/>
        </w:trPr>
        <w:tc>
          <w:tcPr>
            <w:tcW w:w="658" w:type="pct"/>
            <w:hideMark/>
          </w:tcPr>
          <w:p w14:paraId="264E50D1" w14:textId="77777777" w:rsidR="002B51AB" w:rsidRPr="001B78F5" w:rsidRDefault="002B51AB" w:rsidP="00B11ABF">
            <w:pPr>
              <w:rPr>
                <w:rFonts w:ascii="Calibri" w:hAnsi="Calibri" w:cs="Arial"/>
                <w:b/>
                <w:sz w:val="20"/>
                <w:szCs w:val="20"/>
                <w:lang w:val="en-GB" w:eastAsia="ja-JP"/>
              </w:rPr>
            </w:pPr>
            <w:r w:rsidRPr="001B78F5">
              <w:rPr>
                <w:rFonts w:ascii="Calibri" w:hAnsi="Calibri" w:cs="Arial"/>
                <w:b/>
                <w:sz w:val="20"/>
                <w:szCs w:val="20"/>
                <w:lang w:val="en-GB" w:eastAsia="ja-JP"/>
              </w:rPr>
              <w:t>Trial</w:t>
            </w:r>
          </w:p>
        </w:tc>
        <w:tc>
          <w:tcPr>
            <w:tcW w:w="1568" w:type="pct"/>
            <w:hideMark/>
          </w:tcPr>
          <w:p w14:paraId="264E50D2" w14:textId="77777777" w:rsidR="002B51AB" w:rsidRPr="001B78F5" w:rsidRDefault="002B51AB" w:rsidP="00B11ABF">
            <w:pPr>
              <w:rPr>
                <w:rFonts w:ascii="Calibri" w:hAnsi="Calibri" w:cs="Arial"/>
                <w:b/>
                <w:sz w:val="20"/>
                <w:szCs w:val="20"/>
                <w:lang w:val="en-GB" w:eastAsia="ja-JP"/>
              </w:rPr>
            </w:pPr>
            <w:r w:rsidRPr="001B78F5">
              <w:rPr>
                <w:rFonts w:ascii="Calibri" w:hAnsi="Calibri" w:cs="Arial"/>
                <w:b/>
                <w:sz w:val="20"/>
                <w:szCs w:val="20"/>
                <w:lang w:val="en-GB" w:eastAsia="ja-JP"/>
              </w:rPr>
              <w:t>Patient population</w:t>
            </w:r>
          </w:p>
        </w:tc>
        <w:tc>
          <w:tcPr>
            <w:tcW w:w="1191" w:type="pct"/>
            <w:hideMark/>
          </w:tcPr>
          <w:p w14:paraId="264E50D3" w14:textId="77777777" w:rsidR="002B51AB" w:rsidRPr="001B78F5" w:rsidRDefault="002B51AB" w:rsidP="00B11ABF">
            <w:pPr>
              <w:rPr>
                <w:rFonts w:ascii="Calibri" w:hAnsi="Calibri" w:cs="Arial"/>
                <w:b/>
                <w:sz w:val="20"/>
                <w:szCs w:val="20"/>
                <w:lang w:val="en-GB" w:eastAsia="ja-JP"/>
              </w:rPr>
            </w:pPr>
            <w:r w:rsidRPr="001B78F5">
              <w:rPr>
                <w:rFonts w:ascii="Calibri" w:hAnsi="Calibri" w:cs="Arial"/>
                <w:b/>
                <w:sz w:val="20"/>
                <w:szCs w:val="20"/>
                <w:lang w:val="en-GB" w:eastAsia="ja-JP"/>
              </w:rPr>
              <w:t>Study design</w:t>
            </w:r>
          </w:p>
        </w:tc>
        <w:tc>
          <w:tcPr>
            <w:tcW w:w="1583" w:type="pct"/>
            <w:hideMark/>
          </w:tcPr>
          <w:p w14:paraId="264E50D4" w14:textId="77777777" w:rsidR="002B51AB" w:rsidRPr="001B78F5" w:rsidRDefault="002B51AB" w:rsidP="00B11ABF">
            <w:pPr>
              <w:rPr>
                <w:rFonts w:ascii="Calibri" w:hAnsi="Calibri" w:cs="Arial"/>
                <w:b/>
                <w:sz w:val="20"/>
                <w:szCs w:val="20"/>
                <w:lang w:val="en-GB" w:eastAsia="ja-JP"/>
              </w:rPr>
            </w:pPr>
            <w:r w:rsidRPr="001B78F5">
              <w:rPr>
                <w:rFonts w:ascii="Calibri" w:hAnsi="Calibri" w:cs="Arial"/>
                <w:b/>
                <w:sz w:val="20"/>
                <w:szCs w:val="20"/>
                <w:lang w:val="en-GB" w:eastAsia="ja-JP"/>
              </w:rPr>
              <w:t>Sample Size and Endpoints</w:t>
            </w:r>
          </w:p>
        </w:tc>
      </w:tr>
      <w:tr w:rsidR="002B51AB" w:rsidRPr="001B78F5" w14:paraId="264E50F6" w14:textId="77777777" w:rsidTr="007001F5">
        <w:trPr>
          <w:trHeight w:val="3104"/>
        </w:trPr>
        <w:tc>
          <w:tcPr>
            <w:tcW w:w="658" w:type="pct"/>
            <w:hideMark/>
          </w:tcPr>
          <w:p w14:paraId="264E50D6" w14:textId="77777777" w:rsidR="002B51AB" w:rsidRPr="001B78F5" w:rsidRDefault="002B51AB" w:rsidP="00B11ABF">
            <w:pPr>
              <w:rPr>
                <w:rFonts w:ascii="Calibri" w:hAnsi="Calibri" w:cs="Arial"/>
                <w:sz w:val="20"/>
                <w:szCs w:val="20"/>
                <w:lang w:val="en-GB" w:eastAsia="ja-JP"/>
              </w:rPr>
            </w:pPr>
            <w:r>
              <w:rPr>
                <w:rFonts w:ascii="Calibri" w:hAnsi="Calibri" w:cs="Arial"/>
                <w:sz w:val="20"/>
                <w:szCs w:val="20"/>
                <w:lang w:val="en-GB" w:eastAsia="ja-JP"/>
              </w:rPr>
              <w:t>Keynote 045</w:t>
            </w:r>
          </w:p>
          <w:p w14:paraId="264E50D7" w14:textId="77777777" w:rsidR="002B51AB" w:rsidRPr="001B78F5" w:rsidRDefault="002B51AB" w:rsidP="00B11ABF">
            <w:pPr>
              <w:rPr>
                <w:rFonts w:ascii="Calibri" w:hAnsi="Calibri" w:cs="Arial"/>
                <w:sz w:val="20"/>
                <w:szCs w:val="20"/>
                <w:lang w:val="en-GB" w:eastAsia="ja-JP"/>
              </w:rPr>
            </w:pPr>
          </w:p>
        </w:tc>
        <w:tc>
          <w:tcPr>
            <w:tcW w:w="1568" w:type="pct"/>
            <w:hideMark/>
          </w:tcPr>
          <w:p w14:paraId="264E50D9" w14:textId="77777777" w:rsidR="00423D84" w:rsidRPr="00423D84" w:rsidRDefault="00423D84" w:rsidP="00384B12">
            <w:pPr>
              <w:numPr>
                <w:ilvl w:val="0"/>
                <w:numId w:val="10"/>
              </w:numPr>
              <w:rPr>
                <w:rFonts w:ascii="Calibri" w:hAnsi="Calibri" w:cs="Arial"/>
                <w:sz w:val="20"/>
                <w:szCs w:val="20"/>
                <w:lang w:val="en-GB" w:eastAsia="ja-JP"/>
              </w:rPr>
            </w:pPr>
            <w:r w:rsidRPr="00423D84">
              <w:rPr>
                <w:rFonts w:ascii="Calibri" w:hAnsi="Calibri" w:cs="Arial"/>
                <w:sz w:val="20"/>
                <w:szCs w:val="20"/>
                <w:lang w:val="en-GB" w:eastAsia="ja-JP"/>
              </w:rPr>
              <w:t>Metastatic or locally</w:t>
            </w:r>
          </w:p>
          <w:p w14:paraId="264E50DA" w14:textId="77777777" w:rsidR="00423D84" w:rsidRDefault="00423D84" w:rsidP="00D7164A">
            <w:pPr>
              <w:ind w:left="360"/>
              <w:rPr>
                <w:rFonts w:ascii="Calibri" w:hAnsi="Calibri" w:cs="Arial"/>
                <w:sz w:val="20"/>
                <w:szCs w:val="20"/>
                <w:lang w:val="en-GB" w:eastAsia="ja-JP"/>
              </w:rPr>
            </w:pPr>
            <w:proofErr w:type="gramStart"/>
            <w:r w:rsidRPr="00423D84">
              <w:rPr>
                <w:rFonts w:ascii="Calibri" w:hAnsi="Calibri" w:cs="Arial"/>
                <w:sz w:val="20"/>
                <w:szCs w:val="20"/>
                <w:lang w:val="en-GB" w:eastAsia="ja-JP"/>
              </w:rPr>
              <w:t>advanced</w:t>
            </w:r>
            <w:r>
              <w:rPr>
                <w:rFonts w:ascii="Calibri" w:hAnsi="Calibri" w:cs="Arial"/>
                <w:sz w:val="20"/>
                <w:szCs w:val="20"/>
                <w:lang w:val="en-GB" w:eastAsia="ja-JP"/>
              </w:rPr>
              <w:t>/</w:t>
            </w:r>
            <w:proofErr w:type="spellStart"/>
            <w:r>
              <w:rPr>
                <w:rFonts w:ascii="Calibri" w:hAnsi="Calibri" w:cs="Arial"/>
                <w:sz w:val="20"/>
                <w:szCs w:val="20"/>
                <w:lang w:val="en-GB" w:eastAsia="ja-JP"/>
              </w:rPr>
              <w:t>unresectable</w:t>
            </w:r>
            <w:proofErr w:type="spellEnd"/>
            <w:proofErr w:type="gramEnd"/>
            <w:r>
              <w:rPr>
                <w:rFonts w:ascii="Calibri" w:hAnsi="Calibri" w:cs="Arial"/>
                <w:sz w:val="20"/>
                <w:szCs w:val="20"/>
                <w:lang w:val="en-GB" w:eastAsia="ja-JP"/>
              </w:rPr>
              <w:t xml:space="preserve"> </w:t>
            </w:r>
            <w:proofErr w:type="spellStart"/>
            <w:r>
              <w:rPr>
                <w:rFonts w:ascii="Calibri" w:hAnsi="Calibri" w:cs="Arial"/>
                <w:sz w:val="20"/>
                <w:szCs w:val="20"/>
                <w:lang w:val="en-GB" w:eastAsia="ja-JP"/>
              </w:rPr>
              <w:t>urothelial</w:t>
            </w:r>
            <w:proofErr w:type="spellEnd"/>
            <w:r>
              <w:rPr>
                <w:rFonts w:ascii="Calibri" w:hAnsi="Calibri" w:cs="Arial"/>
                <w:sz w:val="20"/>
                <w:szCs w:val="20"/>
                <w:lang w:val="en-GB" w:eastAsia="ja-JP"/>
              </w:rPr>
              <w:t xml:space="preserve"> cancer.</w:t>
            </w:r>
          </w:p>
          <w:p w14:paraId="264E50DB" w14:textId="77777777" w:rsidR="00423D84" w:rsidRPr="00423D84" w:rsidRDefault="00423D84" w:rsidP="00384B12">
            <w:pPr>
              <w:numPr>
                <w:ilvl w:val="0"/>
                <w:numId w:val="10"/>
              </w:numPr>
              <w:rPr>
                <w:rFonts w:ascii="Calibri" w:hAnsi="Calibri" w:cs="Arial"/>
                <w:sz w:val="20"/>
                <w:szCs w:val="20"/>
                <w:lang w:val="en-GB" w:eastAsia="ja-JP"/>
              </w:rPr>
            </w:pPr>
            <w:r w:rsidRPr="00423D84">
              <w:rPr>
                <w:rFonts w:ascii="Calibri" w:hAnsi="Calibri" w:cs="Arial"/>
                <w:sz w:val="20"/>
                <w:szCs w:val="20"/>
                <w:lang w:val="en-GB" w:eastAsia="ja-JP"/>
              </w:rPr>
              <w:t xml:space="preserve">Histologically or </w:t>
            </w:r>
            <w:proofErr w:type="spellStart"/>
            <w:r w:rsidRPr="00423D84">
              <w:rPr>
                <w:rFonts w:ascii="Calibri" w:hAnsi="Calibri" w:cs="Arial"/>
                <w:sz w:val="20"/>
                <w:szCs w:val="20"/>
                <w:lang w:val="en-GB" w:eastAsia="ja-JP"/>
              </w:rPr>
              <w:t>cytologically</w:t>
            </w:r>
            <w:proofErr w:type="spellEnd"/>
            <w:r w:rsidRPr="00423D84">
              <w:rPr>
                <w:rFonts w:ascii="Calibri" w:hAnsi="Calibri" w:cs="Arial"/>
                <w:sz w:val="20"/>
                <w:szCs w:val="20"/>
                <w:lang w:val="en-GB" w:eastAsia="ja-JP"/>
              </w:rPr>
              <w:t xml:space="preserve">-confirmed diagnosis of </w:t>
            </w:r>
            <w:proofErr w:type="spellStart"/>
            <w:r w:rsidRPr="00423D84">
              <w:rPr>
                <w:rFonts w:ascii="Calibri" w:hAnsi="Calibri" w:cs="Arial"/>
                <w:sz w:val="20"/>
                <w:szCs w:val="20"/>
                <w:lang w:val="en-GB" w:eastAsia="ja-JP"/>
              </w:rPr>
              <w:t>urothelial</w:t>
            </w:r>
            <w:proofErr w:type="spellEnd"/>
            <w:r w:rsidRPr="00423D84">
              <w:rPr>
                <w:rFonts w:ascii="Calibri" w:hAnsi="Calibri" w:cs="Arial"/>
                <w:sz w:val="20"/>
                <w:szCs w:val="20"/>
                <w:lang w:val="en-GB" w:eastAsia="ja-JP"/>
              </w:rPr>
              <w:t xml:space="preserve"> cancer of the renal pelvis, ureter, bladder, or urethra.</w:t>
            </w:r>
          </w:p>
          <w:p w14:paraId="264E50DC" w14:textId="77777777" w:rsidR="00423D84" w:rsidRDefault="00423D84" w:rsidP="00384B12">
            <w:pPr>
              <w:numPr>
                <w:ilvl w:val="0"/>
                <w:numId w:val="10"/>
              </w:numPr>
              <w:rPr>
                <w:rFonts w:ascii="Calibri" w:hAnsi="Calibri" w:cs="Arial"/>
                <w:sz w:val="20"/>
                <w:szCs w:val="20"/>
                <w:lang w:val="en-GB" w:eastAsia="ja-JP"/>
              </w:rPr>
            </w:pPr>
            <w:r w:rsidRPr="00423D84">
              <w:rPr>
                <w:rFonts w:ascii="Calibri" w:hAnsi="Calibri" w:cs="Arial"/>
                <w:sz w:val="20"/>
                <w:szCs w:val="20"/>
                <w:lang w:val="en-GB" w:eastAsia="ja-JP"/>
              </w:rPr>
              <w:t xml:space="preserve">Both transitional cell and mixed transitional/non-transitional cell </w:t>
            </w:r>
            <w:proofErr w:type="spellStart"/>
            <w:r w:rsidRPr="00423D84">
              <w:rPr>
                <w:rFonts w:ascii="Calibri" w:hAnsi="Calibri" w:cs="Arial"/>
                <w:sz w:val="20"/>
                <w:szCs w:val="20"/>
                <w:lang w:val="en-GB" w:eastAsia="ja-JP"/>
              </w:rPr>
              <w:t>histologies</w:t>
            </w:r>
            <w:proofErr w:type="spellEnd"/>
            <w:r w:rsidRPr="00423D84">
              <w:rPr>
                <w:rFonts w:ascii="Calibri" w:hAnsi="Calibri" w:cs="Arial"/>
                <w:sz w:val="20"/>
                <w:szCs w:val="20"/>
                <w:lang w:val="en-GB" w:eastAsia="ja-JP"/>
              </w:rPr>
              <w:t xml:space="preserve"> are allowed, but transitional cell carcinoma must be the predominant histology.</w:t>
            </w:r>
          </w:p>
          <w:p w14:paraId="264E50DD" w14:textId="77777777" w:rsidR="00423D84" w:rsidRPr="00423D84" w:rsidRDefault="00423D84" w:rsidP="00384B12">
            <w:pPr>
              <w:numPr>
                <w:ilvl w:val="0"/>
                <w:numId w:val="10"/>
              </w:numPr>
              <w:rPr>
                <w:rFonts w:ascii="Calibri" w:hAnsi="Calibri" w:cs="Arial"/>
                <w:sz w:val="20"/>
                <w:szCs w:val="20"/>
                <w:lang w:val="en-GB" w:eastAsia="ja-JP"/>
              </w:rPr>
            </w:pPr>
            <w:r w:rsidRPr="00423D84">
              <w:rPr>
                <w:rFonts w:ascii="Calibri" w:hAnsi="Calibri" w:cs="Arial"/>
                <w:sz w:val="20"/>
                <w:szCs w:val="20"/>
                <w:lang w:eastAsia="ja-JP"/>
              </w:rPr>
              <w:t xml:space="preserve">Have had progression or recurrence of </w:t>
            </w:r>
            <w:proofErr w:type="spellStart"/>
            <w:r w:rsidRPr="00423D84">
              <w:rPr>
                <w:rFonts w:ascii="Calibri" w:hAnsi="Calibri" w:cs="Arial"/>
                <w:sz w:val="20"/>
                <w:szCs w:val="20"/>
                <w:lang w:eastAsia="ja-JP"/>
              </w:rPr>
              <w:t>urothelial</w:t>
            </w:r>
            <w:proofErr w:type="spellEnd"/>
            <w:r w:rsidRPr="00423D84">
              <w:rPr>
                <w:rFonts w:ascii="Calibri" w:hAnsi="Calibri" w:cs="Arial"/>
                <w:sz w:val="20"/>
                <w:szCs w:val="20"/>
                <w:lang w:eastAsia="ja-JP"/>
              </w:rPr>
              <w:t xml:space="preserve"> cancer following receipt of a first</w:t>
            </w:r>
            <w:r w:rsidR="009956EB">
              <w:rPr>
                <w:rFonts w:ascii="Calibri" w:hAnsi="Calibri" w:cs="Arial"/>
                <w:sz w:val="20"/>
                <w:szCs w:val="20"/>
                <w:lang w:eastAsia="ja-JP"/>
              </w:rPr>
              <w:t xml:space="preserve"> </w:t>
            </w:r>
            <w:r w:rsidRPr="00423D84">
              <w:rPr>
                <w:rFonts w:ascii="Calibri" w:hAnsi="Calibri" w:cs="Arial"/>
                <w:sz w:val="20"/>
                <w:szCs w:val="20"/>
                <w:lang w:eastAsia="ja-JP"/>
              </w:rPr>
              <w:t>line platinum-containing regimen</w:t>
            </w:r>
          </w:p>
          <w:p w14:paraId="264E50DE" w14:textId="77777777" w:rsidR="002B51AB" w:rsidRDefault="002B51AB" w:rsidP="004315DF">
            <w:pPr>
              <w:ind w:left="360"/>
              <w:rPr>
                <w:rFonts w:ascii="Calibri" w:hAnsi="Calibri" w:cs="Arial"/>
                <w:sz w:val="20"/>
                <w:szCs w:val="20"/>
                <w:lang w:val="en-GB" w:eastAsia="ja-JP"/>
              </w:rPr>
            </w:pPr>
          </w:p>
          <w:p w14:paraId="264E50DF" w14:textId="77777777" w:rsidR="00423D84" w:rsidRPr="001B78F5" w:rsidRDefault="00423D84" w:rsidP="004315DF">
            <w:pPr>
              <w:ind w:left="360"/>
              <w:rPr>
                <w:rFonts w:ascii="Calibri" w:hAnsi="Calibri" w:cs="Arial"/>
                <w:sz w:val="20"/>
                <w:szCs w:val="20"/>
                <w:lang w:val="en-GB" w:eastAsia="ja-JP"/>
              </w:rPr>
            </w:pPr>
          </w:p>
        </w:tc>
        <w:tc>
          <w:tcPr>
            <w:tcW w:w="1191" w:type="pct"/>
            <w:hideMark/>
          </w:tcPr>
          <w:p w14:paraId="264E50E0" w14:textId="77777777" w:rsidR="002B51AB" w:rsidRPr="001B78F5" w:rsidRDefault="002B51AB" w:rsidP="00B11ABF">
            <w:pPr>
              <w:rPr>
                <w:rFonts w:ascii="Calibri" w:hAnsi="Calibri" w:cs="Arial"/>
                <w:sz w:val="20"/>
                <w:szCs w:val="20"/>
                <w:lang w:val="en-GB" w:eastAsia="ja-JP"/>
              </w:rPr>
            </w:pPr>
            <w:r>
              <w:rPr>
                <w:rFonts w:ascii="Calibri" w:hAnsi="Calibri" w:cs="Arial"/>
                <w:sz w:val="20"/>
                <w:szCs w:val="20"/>
                <w:lang w:val="en-GB" w:eastAsia="ja-JP"/>
              </w:rPr>
              <w:t xml:space="preserve">Phase </w:t>
            </w:r>
            <w:r w:rsidRPr="001B78F5">
              <w:rPr>
                <w:rFonts w:ascii="Calibri" w:hAnsi="Calibri" w:cs="Arial"/>
                <w:sz w:val="20"/>
                <w:szCs w:val="20"/>
                <w:lang w:val="en-GB" w:eastAsia="ja-JP"/>
              </w:rPr>
              <w:t>III</w:t>
            </w:r>
            <w:r>
              <w:rPr>
                <w:rFonts w:ascii="Calibri" w:hAnsi="Calibri" w:cs="Arial"/>
                <w:sz w:val="20"/>
                <w:szCs w:val="20"/>
                <w:lang w:val="en-GB" w:eastAsia="ja-JP"/>
              </w:rPr>
              <w:t xml:space="preserve"> study</w:t>
            </w:r>
          </w:p>
          <w:p w14:paraId="264E50E1" w14:textId="77777777" w:rsidR="002B51AB" w:rsidRPr="001B78F5" w:rsidRDefault="002B51AB" w:rsidP="00B11ABF">
            <w:pPr>
              <w:rPr>
                <w:rFonts w:ascii="Calibri" w:hAnsi="Calibri" w:cs="Arial"/>
                <w:sz w:val="20"/>
                <w:szCs w:val="20"/>
                <w:lang w:val="en-GB" w:eastAsia="ja-JP"/>
              </w:rPr>
            </w:pPr>
            <w:r>
              <w:rPr>
                <w:rFonts w:ascii="Calibri" w:hAnsi="Calibri" w:cs="Arial"/>
                <w:sz w:val="20"/>
                <w:szCs w:val="20"/>
                <w:lang w:val="en-GB" w:eastAsia="ja-JP"/>
              </w:rPr>
              <w:t>Randomis</w:t>
            </w:r>
            <w:r w:rsidRPr="001B78F5">
              <w:rPr>
                <w:rFonts w:ascii="Calibri" w:hAnsi="Calibri" w:cs="Arial"/>
                <w:sz w:val="20"/>
                <w:szCs w:val="20"/>
                <w:lang w:val="en-GB" w:eastAsia="ja-JP"/>
              </w:rPr>
              <w:t>ed (1:1)</w:t>
            </w:r>
          </w:p>
          <w:p w14:paraId="264E50E2" w14:textId="77777777" w:rsidR="002B51AB" w:rsidRDefault="002B51AB" w:rsidP="00384B12">
            <w:pPr>
              <w:numPr>
                <w:ilvl w:val="0"/>
                <w:numId w:val="9"/>
              </w:numPr>
              <w:rPr>
                <w:rFonts w:ascii="Calibri" w:hAnsi="Calibri" w:cs="Arial"/>
                <w:sz w:val="20"/>
                <w:szCs w:val="20"/>
                <w:lang w:val="en-GB" w:eastAsia="ja-JP"/>
              </w:rPr>
            </w:pPr>
            <w:r w:rsidRPr="001B78F5">
              <w:rPr>
                <w:rFonts w:ascii="Calibri" w:hAnsi="Calibri" w:cs="Arial"/>
                <w:sz w:val="20"/>
                <w:szCs w:val="20"/>
                <w:lang w:val="en-GB" w:eastAsia="ja-JP"/>
              </w:rPr>
              <w:t>Pembrolizumab</w:t>
            </w:r>
          </w:p>
          <w:p w14:paraId="264E50E3" w14:textId="77777777" w:rsidR="002B51AB" w:rsidRPr="001B78F5" w:rsidRDefault="002B51AB" w:rsidP="00B11ABF">
            <w:pPr>
              <w:ind w:left="360"/>
              <w:rPr>
                <w:rFonts w:ascii="Calibri" w:hAnsi="Calibri" w:cs="Arial"/>
                <w:sz w:val="20"/>
                <w:szCs w:val="20"/>
                <w:lang w:val="en-GB" w:eastAsia="ja-JP"/>
              </w:rPr>
            </w:pPr>
            <w:r>
              <w:rPr>
                <w:rFonts w:ascii="Calibri" w:hAnsi="Calibri" w:cs="Arial"/>
                <w:sz w:val="20"/>
                <w:szCs w:val="20"/>
                <w:lang w:val="en-GB" w:eastAsia="ja-JP"/>
              </w:rPr>
              <w:t>200mg</w:t>
            </w:r>
            <w:r w:rsidRPr="00034CB7">
              <w:rPr>
                <w:rFonts w:ascii="Calibri" w:hAnsi="Calibri" w:cs="Arial"/>
                <w:sz w:val="20"/>
                <w:szCs w:val="20"/>
                <w:lang w:val="en-GB" w:eastAsia="ja-JP"/>
              </w:rPr>
              <w:t xml:space="preserve"> Q3W</w:t>
            </w:r>
          </w:p>
          <w:p w14:paraId="264E50E4" w14:textId="77777777" w:rsidR="002B51AB" w:rsidRPr="001B78F5" w:rsidRDefault="002B51AB" w:rsidP="00384B12">
            <w:pPr>
              <w:numPr>
                <w:ilvl w:val="0"/>
                <w:numId w:val="9"/>
              </w:numPr>
              <w:rPr>
                <w:rFonts w:ascii="Calibri" w:hAnsi="Calibri" w:cs="Arial"/>
                <w:sz w:val="20"/>
                <w:szCs w:val="20"/>
                <w:lang w:val="en-GB" w:eastAsia="ja-JP"/>
              </w:rPr>
            </w:pPr>
            <w:r>
              <w:rPr>
                <w:rFonts w:ascii="Calibri" w:hAnsi="Calibri" w:cs="Arial"/>
                <w:sz w:val="20"/>
                <w:szCs w:val="20"/>
                <w:lang w:val="en-GB" w:eastAsia="ja-JP"/>
              </w:rPr>
              <w:t>Inves</w:t>
            </w:r>
            <w:r w:rsidR="00841E2C">
              <w:rPr>
                <w:rFonts w:ascii="Calibri" w:hAnsi="Calibri" w:cs="Arial"/>
                <w:sz w:val="20"/>
                <w:szCs w:val="20"/>
                <w:lang w:val="en-GB" w:eastAsia="ja-JP"/>
              </w:rPr>
              <w:t>t</w:t>
            </w:r>
            <w:r>
              <w:rPr>
                <w:rFonts w:ascii="Calibri" w:hAnsi="Calibri" w:cs="Arial"/>
                <w:sz w:val="20"/>
                <w:szCs w:val="20"/>
                <w:lang w:val="en-GB" w:eastAsia="ja-JP"/>
              </w:rPr>
              <w:t xml:space="preserve">igator’s choice of </w:t>
            </w:r>
            <w:r>
              <w:t xml:space="preserve"> </w:t>
            </w:r>
            <w:r w:rsidRPr="00034CB7">
              <w:rPr>
                <w:rFonts w:ascii="Calibri" w:hAnsi="Calibri" w:cs="Arial"/>
                <w:sz w:val="20"/>
                <w:szCs w:val="20"/>
                <w:lang w:val="en-GB" w:eastAsia="ja-JP"/>
              </w:rPr>
              <w:t>standard of care</w:t>
            </w:r>
            <w:r>
              <w:rPr>
                <w:rFonts w:ascii="Calibri" w:hAnsi="Calibri" w:cs="Arial"/>
                <w:sz w:val="20"/>
                <w:szCs w:val="20"/>
                <w:lang w:val="en-GB" w:eastAsia="ja-JP"/>
              </w:rPr>
              <w:t>:</w:t>
            </w:r>
          </w:p>
          <w:p w14:paraId="264E50E5" w14:textId="77777777" w:rsidR="002B51AB" w:rsidRPr="00035BBF" w:rsidRDefault="002B51AB" w:rsidP="00384B12">
            <w:pPr>
              <w:numPr>
                <w:ilvl w:val="0"/>
                <w:numId w:val="18"/>
              </w:numPr>
              <w:rPr>
                <w:rFonts w:ascii="Calibri" w:hAnsi="Calibri" w:cs="Arial"/>
                <w:sz w:val="20"/>
                <w:szCs w:val="20"/>
                <w:lang w:val="en-GB" w:eastAsia="ja-JP"/>
              </w:rPr>
            </w:pPr>
            <w:r w:rsidRPr="00035BBF">
              <w:rPr>
                <w:rFonts w:ascii="Calibri" w:hAnsi="Calibri" w:cs="Arial"/>
                <w:sz w:val="20"/>
                <w:szCs w:val="20"/>
                <w:lang w:val="en-GB" w:eastAsia="ja-JP"/>
              </w:rPr>
              <w:t xml:space="preserve">Paclitaxel </w:t>
            </w:r>
          </w:p>
          <w:p w14:paraId="264E50E6" w14:textId="77777777" w:rsidR="002B51AB" w:rsidRDefault="002B51AB" w:rsidP="00B11ABF">
            <w:pPr>
              <w:ind w:left="360"/>
              <w:rPr>
                <w:rFonts w:ascii="Calibri" w:hAnsi="Calibri" w:cs="Arial"/>
                <w:sz w:val="20"/>
                <w:szCs w:val="20"/>
                <w:lang w:val="en-GB" w:eastAsia="ja-JP"/>
              </w:rPr>
            </w:pPr>
            <w:r w:rsidRPr="00035BBF">
              <w:rPr>
                <w:rFonts w:ascii="Calibri" w:hAnsi="Calibri" w:cs="Arial"/>
                <w:sz w:val="20"/>
                <w:szCs w:val="20"/>
                <w:lang w:val="en-GB" w:eastAsia="ja-JP"/>
              </w:rPr>
              <w:t>175 mg/m</w:t>
            </w:r>
            <w:r w:rsidRPr="00035BBF">
              <w:rPr>
                <w:rFonts w:ascii="Calibri" w:hAnsi="Calibri" w:cs="Arial"/>
                <w:sz w:val="20"/>
                <w:szCs w:val="20"/>
                <w:vertAlign w:val="superscript"/>
                <w:lang w:val="en-GB" w:eastAsia="ja-JP"/>
              </w:rPr>
              <w:t>2</w:t>
            </w:r>
            <w:r w:rsidRPr="00035BBF">
              <w:rPr>
                <w:rFonts w:ascii="Calibri" w:hAnsi="Calibri" w:cs="Arial"/>
                <w:sz w:val="20"/>
                <w:szCs w:val="20"/>
                <w:lang w:val="en-GB" w:eastAsia="ja-JP"/>
              </w:rPr>
              <w:t xml:space="preserve"> IV </w:t>
            </w:r>
            <w:r>
              <w:rPr>
                <w:rFonts w:ascii="Calibri" w:hAnsi="Calibri" w:cs="Arial"/>
                <w:sz w:val="20"/>
                <w:szCs w:val="20"/>
                <w:lang w:val="en-GB" w:eastAsia="ja-JP"/>
              </w:rPr>
              <w:t>Q3W or</w:t>
            </w:r>
          </w:p>
          <w:p w14:paraId="264E50E7" w14:textId="77777777" w:rsidR="002B51AB" w:rsidRPr="00035BBF" w:rsidRDefault="002B51AB" w:rsidP="00384B12">
            <w:pPr>
              <w:numPr>
                <w:ilvl w:val="0"/>
                <w:numId w:val="19"/>
              </w:numPr>
              <w:rPr>
                <w:rFonts w:ascii="Calibri" w:hAnsi="Calibri" w:cs="Arial"/>
                <w:sz w:val="20"/>
                <w:szCs w:val="20"/>
                <w:lang w:val="en-GB" w:eastAsia="ja-JP"/>
              </w:rPr>
            </w:pPr>
            <w:proofErr w:type="spellStart"/>
            <w:r w:rsidRPr="00035BBF">
              <w:rPr>
                <w:rFonts w:ascii="Calibri" w:hAnsi="Calibri" w:cs="Arial"/>
                <w:sz w:val="20"/>
                <w:szCs w:val="20"/>
                <w:lang w:val="en-GB" w:eastAsia="ja-JP"/>
              </w:rPr>
              <w:t>Docetaxel</w:t>
            </w:r>
            <w:proofErr w:type="spellEnd"/>
            <w:r w:rsidRPr="00035BBF">
              <w:rPr>
                <w:rFonts w:ascii="Calibri" w:hAnsi="Calibri" w:cs="Arial"/>
                <w:sz w:val="20"/>
                <w:szCs w:val="20"/>
                <w:lang w:val="en-GB" w:eastAsia="ja-JP"/>
              </w:rPr>
              <w:t xml:space="preserve"> </w:t>
            </w:r>
          </w:p>
          <w:p w14:paraId="264E50E8" w14:textId="77777777" w:rsidR="002B51AB" w:rsidRDefault="002B51AB" w:rsidP="00B11ABF">
            <w:pPr>
              <w:ind w:left="360"/>
              <w:rPr>
                <w:rFonts w:ascii="Calibri" w:hAnsi="Calibri" w:cs="Arial"/>
                <w:sz w:val="20"/>
                <w:szCs w:val="20"/>
                <w:lang w:val="en-GB" w:eastAsia="ja-JP"/>
              </w:rPr>
            </w:pPr>
            <w:r w:rsidRPr="00035BBF">
              <w:rPr>
                <w:rFonts w:ascii="Calibri" w:hAnsi="Calibri" w:cs="Arial"/>
                <w:sz w:val="20"/>
                <w:szCs w:val="20"/>
                <w:lang w:val="en-GB" w:eastAsia="ja-JP"/>
              </w:rPr>
              <w:t>75 mg/m</w:t>
            </w:r>
            <w:r w:rsidRPr="00035BBF">
              <w:rPr>
                <w:rFonts w:ascii="Calibri" w:hAnsi="Calibri" w:cs="Arial"/>
                <w:sz w:val="20"/>
                <w:szCs w:val="20"/>
                <w:vertAlign w:val="superscript"/>
                <w:lang w:val="en-GB" w:eastAsia="ja-JP"/>
              </w:rPr>
              <w:t>2</w:t>
            </w:r>
            <w:r w:rsidRPr="00035BBF">
              <w:rPr>
                <w:rFonts w:ascii="Calibri" w:hAnsi="Calibri" w:cs="Arial"/>
                <w:sz w:val="20"/>
                <w:szCs w:val="20"/>
                <w:lang w:val="en-GB" w:eastAsia="ja-JP"/>
              </w:rPr>
              <w:t xml:space="preserve"> IV </w:t>
            </w:r>
            <w:r>
              <w:rPr>
                <w:rFonts w:ascii="Calibri" w:hAnsi="Calibri" w:cs="Arial"/>
                <w:sz w:val="20"/>
                <w:szCs w:val="20"/>
                <w:lang w:val="en-GB" w:eastAsia="ja-JP"/>
              </w:rPr>
              <w:t>Q3W or</w:t>
            </w:r>
          </w:p>
          <w:p w14:paraId="264E50E9" w14:textId="77777777" w:rsidR="002B51AB" w:rsidRPr="00035BBF" w:rsidRDefault="002B51AB" w:rsidP="00384B12">
            <w:pPr>
              <w:numPr>
                <w:ilvl w:val="0"/>
                <w:numId w:val="20"/>
              </w:numPr>
              <w:rPr>
                <w:rFonts w:ascii="Calibri" w:hAnsi="Calibri" w:cs="Arial"/>
                <w:sz w:val="20"/>
                <w:szCs w:val="20"/>
                <w:lang w:val="en-GB" w:eastAsia="ja-JP"/>
              </w:rPr>
            </w:pPr>
            <w:proofErr w:type="spellStart"/>
            <w:r w:rsidRPr="00035BBF">
              <w:rPr>
                <w:rFonts w:ascii="Calibri" w:hAnsi="Calibri" w:cs="Arial"/>
                <w:sz w:val="20"/>
                <w:szCs w:val="20"/>
                <w:lang w:val="en-GB" w:eastAsia="ja-JP"/>
              </w:rPr>
              <w:t>Vinflunine</w:t>
            </w:r>
            <w:proofErr w:type="spellEnd"/>
            <w:r w:rsidRPr="00035BBF">
              <w:rPr>
                <w:rFonts w:ascii="Calibri" w:hAnsi="Calibri" w:cs="Arial"/>
                <w:sz w:val="20"/>
                <w:szCs w:val="20"/>
                <w:lang w:val="en-GB" w:eastAsia="ja-JP"/>
              </w:rPr>
              <w:t xml:space="preserve"> </w:t>
            </w:r>
          </w:p>
          <w:p w14:paraId="264E50EA" w14:textId="77777777" w:rsidR="002B51AB" w:rsidRPr="001B78F5" w:rsidRDefault="002B51AB" w:rsidP="00B11ABF">
            <w:pPr>
              <w:ind w:left="360"/>
              <w:rPr>
                <w:rFonts w:ascii="Calibri" w:hAnsi="Calibri" w:cs="Arial"/>
                <w:sz w:val="20"/>
                <w:szCs w:val="20"/>
                <w:lang w:val="en-GB" w:eastAsia="ja-JP"/>
              </w:rPr>
            </w:pPr>
            <w:r w:rsidRPr="00035BBF">
              <w:rPr>
                <w:rFonts w:ascii="Calibri" w:hAnsi="Calibri" w:cs="Arial"/>
                <w:sz w:val="20"/>
                <w:szCs w:val="20"/>
                <w:lang w:val="en-GB" w:eastAsia="ja-JP"/>
              </w:rPr>
              <w:t>320 mg/m</w:t>
            </w:r>
            <w:r w:rsidRPr="00035BBF">
              <w:rPr>
                <w:rFonts w:ascii="Calibri" w:hAnsi="Calibri" w:cs="Arial"/>
                <w:sz w:val="20"/>
                <w:szCs w:val="20"/>
                <w:vertAlign w:val="superscript"/>
                <w:lang w:val="en-GB" w:eastAsia="ja-JP"/>
              </w:rPr>
              <w:t>2</w:t>
            </w:r>
            <w:r w:rsidRPr="00035BBF">
              <w:rPr>
                <w:rFonts w:ascii="Calibri" w:hAnsi="Calibri" w:cs="Arial"/>
                <w:sz w:val="20"/>
                <w:szCs w:val="20"/>
                <w:lang w:val="en-GB" w:eastAsia="ja-JP"/>
              </w:rPr>
              <w:t xml:space="preserve"> IV </w:t>
            </w:r>
            <w:r>
              <w:rPr>
                <w:rFonts w:ascii="Calibri" w:hAnsi="Calibri" w:cs="Arial"/>
                <w:sz w:val="20"/>
                <w:szCs w:val="20"/>
                <w:lang w:val="en-GB" w:eastAsia="ja-JP"/>
              </w:rPr>
              <w:t>Q3W</w:t>
            </w:r>
          </w:p>
        </w:tc>
        <w:tc>
          <w:tcPr>
            <w:tcW w:w="1583" w:type="pct"/>
            <w:shd w:val="clear" w:color="auto" w:fill="FFFFFF" w:themeFill="background1"/>
            <w:hideMark/>
          </w:tcPr>
          <w:p w14:paraId="264E50EB" w14:textId="77777777" w:rsidR="002B51AB" w:rsidRPr="001B78F5" w:rsidRDefault="002B51AB" w:rsidP="00B11ABF">
            <w:pPr>
              <w:rPr>
                <w:rFonts w:ascii="Calibri" w:hAnsi="Calibri" w:cs="Arial"/>
                <w:sz w:val="20"/>
                <w:szCs w:val="20"/>
                <w:lang w:val="en-GB" w:eastAsia="ja-JP"/>
              </w:rPr>
            </w:pPr>
            <w:r>
              <w:rPr>
                <w:rFonts w:ascii="Calibri" w:hAnsi="Calibri" w:cs="Arial"/>
                <w:sz w:val="20"/>
                <w:szCs w:val="20"/>
                <w:lang w:val="en-GB" w:eastAsia="ja-JP"/>
              </w:rPr>
              <w:t xml:space="preserve">Estimated Patient </w:t>
            </w:r>
            <w:r w:rsidR="00705B56">
              <w:rPr>
                <w:rFonts w:ascii="Calibri" w:hAnsi="Calibri" w:cs="Arial"/>
                <w:sz w:val="20"/>
                <w:szCs w:val="20"/>
                <w:lang w:val="en-GB" w:eastAsia="ja-JP"/>
              </w:rPr>
              <w:t>Enrolment</w:t>
            </w:r>
            <w:r>
              <w:rPr>
                <w:rFonts w:ascii="Calibri" w:hAnsi="Calibri" w:cs="Arial"/>
                <w:sz w:val="20"/>
                <w:szCs w:val="20"/>
                <w:lang w:val="en-GB" w:eastAsia="ja-JP"/>
              </w:rPr>
              <w:t xml:space="preserve"> = 470</w:t>
            </w:r>
          </w:p>
          <w:p w14:paraId="264E50EC" w14:textId="77777777" w:rsidR="002B51AB" w:rsidRDefault="002B51AB" w:rsidP="00B11ABF">
            <w:pPr>
              <w:rPr>
                <w:rFonts w:ascii="Calibri" w:hAnsi="Calibri" w:cs="Arial"/>
                <w:sz w:val="20"/>
                <w:szCs w:val="20"/>
                <w:lang w:val="en-GB" w:eastAsia="ja-JP"/>
              </w:rPr>
            </w:pPr>
          </w:p>
          <w:p w14:paraId="264E50ED" w14:textId="77777777" w:rsidR="002B51AB" w:rsidRPr="00F74F22" w:rsidRDefault="002B51AB" w:rsidP="00B11ABF">
            <w:pPr>
              <w:rPr>
                <w:rFonts w:ascii="Calibri" w:hAnsi="Calibri" w:cs="Arial"/>
                <w:sz w:val="20"/>
                <w:szCs w:val="20"/>
                <w:lang w:val="en-GB" w:eastAsia="ja-JP"/>
              </w:rPr>
            </w:pPr>
            <w:r w:rsidRPr="00F74F22">
              <w:rPr>
                <w:rFonts w:ascii="Calibri" w:hAnsi="Calibri" w:cs="Arial"/>
                <w:sz w:val="20"/>
                <w:szCs w:val="20"/>
                <w:lang w:val="en-GB" w:eastAsia="ja-JP"/>
              </w:rPr>
              <w:t>Primary endpoint</w:t>
            </w:r>
          </w:p>
          <w:p w14:paraId="264E50EE" w14:textId="77777777" w:rsidR="002B51AB" w:rsidRPr="003D37C8" w:rsidRDefault="002B51AB" w:rsidP="00384B12">
            <w:pPr>
              <w:numPr>
                <w:ilvl w:val="0"/>
                <w:numId w:val="11"/>
              </w:numPr>
              <w:tabs>
                <w:tab w:val="num" w:pos="720"/>
              </w:tabs>
              <w:spacing w:line="276" w:lineRule="auto"/>
              <w:rPr>
                <w:rFonts w:ascii="Calibri" w:hAnsi="Calibri" w:cs="Arial"/>
                <w:sz w:val="20"/>
                <w:szCs w:val="20"/>
                <w:lang w:eastAsia="ja-JP"/>
              </w:rPr>
            </w:pPr>
            <w:r w:rsidRPr="003D37C8">
              <w:rPr>
                <w:rFonts w:ascii="Calibri" w:hAnsi="Calibri" w:cs="Arial"/>
                <w:sz w:val="20"/>
                <w:szCs w:val="20"/>
                <w:lang w:val="en-US" w:eastAsia="ja-JP"/>
              </w:rPr>
              <w:t xml:space="preserve">OS </w:t>
            </w:r>
          </w:p>
          <w:p w14:paraId="264E50EF" w14:textId="77777777" w:rsidR="002B51AB" w:rsidRDefault="002B51AB" w:rsidP="00384B12">
            <w:pPr>
              <w:pStyle w:val="ListParagraph"/>
              <w:numPr>
                <w:ilvl w:val="0"/>
                <w:numId w:val="11"/>
              </w:numPr>
              <w:rPr>
                <w:rFonts w:ascii="Calibri" w:hAnsi="Calibri" w:cs="Arial"/>
                <w:sz w:val="20"/>
                <w:szCs w:val="20"/>
                <w:lang w:val="en-US" w:eastAsia="ja-JP"/>
              </w:rPr>
            </w:pPr>
            <w:r w:rsidRPr="003D37C8">
              <w:rPr>
                <w:rFonts w:ascii="Calibri" w:hAnsi="Calibri" w:cs="Arial"/>
                <w:sz w:val="20"/>
                <w:szCs w:val="20"/>
                <w:lang w:val="en-US" w:eastAsia="ja-JP"/>
              </w:rPr>
              <w:t xml:space="preserve">PFS </w:t>
            </w:r>
          </w:p>
          <w:p w14:paraId="264E50F0" w14:textId="77777777" w:rsidR="002B51AB" w:rsidRPr="003D37C8" w:rsidRDefault="002B51AB" w:rsidP="00B11ABF">
            <w:pPr>
              <w:pStyle w:val="ListParagraph"/>
              <w:ind w:left="360"/>
              <w:rPr>
                <w:rFonts w:ascii="Calibri" w:hAnsi="Calibri" w:cs="Arial"/>
                <w:sz w:val="20"/>
                <w:szCs w:val="20"/>
                <w:lang w:val="en-US" w:eastAsia="ja-JP"/>
              </w:rPr>
            </w:pPr>
          </w:p>
          <w:p w14:paraId="264E50F1" w14:textId="77777777" w:rsidR="002B51AB" w:rsidRPr="002778B2" w:rsidRDefault="002B51AB" w:rsidP="00B11ABF">
            <w:pPr>
              <w:rPr>
                <w:rFonts w:ascii="Calibri" w:hAnsi="Calibri" w:cs="Arial"/>
                <w:sz w:val="20"/>
                <w:szCs w:val="20"/>
                <w:lang w:val="en-GB" w:eastAsia="ja-JP"/>
              </w:rPr>
            </w:pPr>
            <w:r w:rsidRPr="002778B2">
              <w:rPr>
                <w:rFonts w:ascii="Calibri" w:hAnsi="Calibri" w:cs="Arial"/>
                <w:sz w:val="20"/>
                <w:szCs w:val="20"/>
                <w:lang w:val="en-GB" w:eastAsia="ja-JP"/>
              </w:rPr>
              <w:t>Secondary endpoints</w:t>
            </w:r>
          </w:p>
          <w:p w14:paraId="264E50F2" w14:textId="77777777" w:rsidR="002B51AB" w:rsidRPr="002778B2" w:rsidRDefault="002B51AB" w:rsidP="00384B12">
            <w:pPr>
              <w:numPr>
                <w:ilvl w:val="0"/>
                <w:numId w:val="11"/>
              </w:numPr>
              <w:tabs>
                <w:tab w:val="num" w:pos="720"/>
              </w:tabs>
              <w:rPr>
                <w:rFonts w:ascii="Calibri" w:hAnsi="Calibri" w:cs="Arial"/>
                <w:sz w:val="20"/>
                <w:szCs w:val="20"/>
                <w:lang w:eastAsia="ja-JP"/>
              </w:rPr>
            </w:pPr>
            <w:r w:rsidRPr="002778B2">
              <w:rPr>
                <w:rFonts w:ascii="Calibri" w:hAnsi="Calibri" w:cs="Arial"/>
                <w:sz w:val="20"/>
                <w:szCs w:val="20"/>
                <w:lang w:val="en-US" w:eastAsia="ja-JP"/>
              </w:rPr>
              <w:t>ORR</w:t>
            </w:r>
          </w:p>
          <w:p w14:paraId="264E50F3" w14:textId="77777777" w:rsidR="002B51AB" w:rsidRPr="002778B2" w:rsidRDefault="002778B2" w:rsidP="00384B12">
            <w:pPr>
              <w:numPr>
                <w:ilvl w:val="0"/>
                <w:numId w:val="11"/>
              </w:numPr>
              <w:tabs>
                <w:tab w:val="num" w:pos="720"/>
              </w:tabs>
              <w:rPr>
                <w:rFonts w:ascii="Calibri" w:hAnsi="Calibri" w:cs="Arial"/>
                <w:sz w:val="20"/>
                <w:szCs w:val="20"/>
                <w:lang w:eastAsia="ja-JP"/>
              </w:rPr>
            </w:pPr>
            <w:r w:rsidRPr="002778B2">
              <w:rPr>
                <w:rFonts w:ascii="Calibri" w:hAnsi="Calibri" w:cs="Arial"/>
                <w:sz w:val="20"/>
                <w:szCs w:val="20"/>
                <w:lang w:val="en-US" w:eastAsia="ja-JP"/>
              </w:rPr>
              <w:t>Duration of Response (</w:t>
            </w:r>
            <w:r w:rsidR="002B51AB" w:rsidRPr="002778B2">
              <w:rPr>
                <w:rFonts w:ascii="Calibri" w:hAnsi="Calibri" w:cs="Arial"/>
                <w:sz w:val="20"/>
                <w:szCs w:val="20"/>
                <w:lang w:val="en-US" w:eastAsia="ja-JP"/>
              </w:rPr>
              <w:t>DOR</w:t>
            </w:r>
            <w:r w:rsidRPr="002778B2">
              <w:rPr>
                <w:rFonts w:ascii="Calibri" w:hAnsi="Calibri" w:cs="Arial"/>
                <w:sz w:val="20"/>
                <w:szCs w:val="20"/>
                <w:lang w:val="en-US" w:eastAsia="ja-JP"/>
              </w:rPr>
              <w:t>)</w:t>
            </w:r>
          </w:p>
          <w:p w14:paraId="264E50F4" w14:textId="77777777" w:rsidR="002B51AB" w:rsidRPr="002778B2" w:rsidRDefault="002B51AB" w:rsidP="00384B12">
            <w:pPr>
              <w:numPr>
                <w:ilvl w:val="0"/>
                <w:numId w:val="11"/>
              </w:numPr>
              <w:rPr>
                <w:rFonts w:ascii="Calibri" w:hAnsi="Calibri" w:cs="Arial"/>
                <w:sz w:val="20"/>
                <w:szCs w:val="20"/>
                <w:lang w:val="en-GB" w:eastAsia="ja-JP"/>
              </w:rPr>
            </w:pPr>
            <w:r w:rsidRPr="002778B2">
              <w:rPr>
                <w:rFonts w:ascii="Calibri" w:hAnsi="Calibri" w:cs="Arial"/>
                <w:sz w:val="20"/>
                <w:szCs w:val="20"/>
                <w:lang w:val="en-US" w:eastAsia="ja-JP"/>
              </w:rPr>
              <w:t>Safety</w:t>
            </w:r>
          </w:p>
          <w:p w14:paraId="264E50F5" w14:textId="77777777" w:rsidR="002B51AB" w:rsidRPr="00067BF9" w:rsidRDefault="002B51AB" w:rsidP="00067BF9">
            <w:pPr>
              <w:rPr>
                <w:rFonts w:ascii="Calibri" w:hAnsi="Calibri" w:cs="Arial"/>
                <w:sz w:val="20"/>
                <w:szCs w:val="20"/>
                <w:lang w:val="en-GB" w:eastAsia="ja-JP"/>
              </w:rPr>
            </w:pPr>
          </w:p>
        </w:tc>
      </w:tr>
    </w:tbl>
    <w:p w14:paraId="2601318B" w14:textId="3F143BEB" w:rsidR="003F4FED" w:rsidRDefault="003F4FED" w:rsidP="003F4FED">
      <w:pPr>
        <w:keepNext/>
        <w:keepLines/>
        <w:spacing w:before="200" w:after="0"/>
        <w:outlineLvl w:val="3"/>
        <w:rPr>
          <w:rFonts w:asciiTheme="majorHAnsi" w:eastAsiaTheme="majorEastAsia" w:hAnsiTheme="majorHAnsi" w:cstheme="majorBidi"/>
          <w:b/>
          <w:bCs/>
          <w:i/>
          <w:iCs/>
          <w:color w:val="4F81BD" w:themeColor="accent1"/>
        </w:rPr>
      </w:pPr>
      <w:r w:rsidRPr="003F4FED">
        <w:rPr>
          <w:rFonts w:asciiTheme="majorHAnsi" w:eastAsiaTheme="majorEastAsia" w:hAnsiTheme="majorHAnsi" w:cstheme="majorBidi"/>
          <w:b/>
          <w:bCs/>
          <w:i/>
          <w:iCs/>
          <w:color w:val="4F81BD" w:themeColor="accent1"/>
        </w:rPr>
        <w:t>Biomarker analysis to determine the relationship between PD-L1 expression and response to pembrolizumab in KN045</w:t>
      </w:r>
    </w:p>
    <w:p w14:paraId="264E50F9" w14:textId="4ACE4CE9" w:rsidR="00DF59BC" w:rsidRDefault="00DF59BC" w:rsidP="00DF59BC">
      <w:pPr>
        <w:spacing w:after="0"/>
      </w:pPr>
      <w:r>
        <w:t xml:space="preserve">The PD-L1 IHC 22C3 </w:t>
      </w:r>
      <w:proofErr w:type="spellStart"/>
      <w:r>
        <w:t>pharmDx</w:t>
      </w:r>
      <w:proofErr w:type="spellEnd"/>
      <w:r>
        <w:t xml:space="preserve"> </w:t>
      </w:r>
      <w:r w:rsidR="00646CB7">
        <w:t>Market Ready Assay</w:t>
      </w:r>
      <w:r>
        <w:t xml:space="preserve">, developed by </w:t>
      </w:r>
      <w:proofErr w:type="spellStart"/>
      <w:r>
        <w:t>Dako</w:t>
      </w:r>
      <w:proofErr w:type="spellEnd"/>
      <w:r>
        <w:t>, was used to assess PD-L1 expression in bladder cancer tumour biopsies. The assay used</w:t>
      </w:r>
      <w:r w:rsidRPr="00DF59BC">
        <w:t xml:space="preserve"> the mouse anti-human monoclonal antibody (clone 22C3)</w:t>
      </w:r>
      <w:r>
        <w:t xml:space="preserve"> to detect PD-L1 in either an archival FFPE tumour sample or newly obtained core or excisional biopsy.</w:t>
      </w:r>
      <w:r w:rsidR="00646CB7">
        <w:t xml:space="preserve"> The choice of whether an </w:t>
      </w:r>
      <w:r w:rsidR="00646CB7" w:rsidRPr="00646CB7">
        <w:t>archival FFPE tumour sample</w:t>
      </w:r>
      <w:r w:rsidR="00646CB7">
        <w:t xml:space="preserve">, </w:t>
      </w:r>
      <w:r w:rsidR="00646CB7" w:rsidRPr="00646CB7">
        <w:t>newly obtained core or excisional biopsy</w:t>
      </w:r>
      <w:r w:rsidR="00646CB7">
        <w:t xml:space="preserve"> was to be used for PD-L1 testing was made by the treating clinician in the study.</w:t>
      </w:r>
    </w:p>
    <w:p w14:paraId="25D5E29C" w14:textId="77777777" w:rsidR="00045B4E" w:rsidRDefault="00045B4E" w:rsidP="00DF59BC">
      <w:pPr>
        <w:spacing w:after="0"/>
      </w:pPr>
    </w:p>
    <w:p w14:paraId="264E50FB" w14:textId="0BCB46B1" w:rsidR="009A72D0" w:rsidRDefault="009A72D0" w:rsidP="009A72D0">
      <w:pPr>
        <w:spacing w:after="0"/>
        <w:rPr>
          <w:rFonts w:cstheme="minorHAnsi"/>
          <w:color w:val="000000" w:themeColor="text1"/>
          <w:shd w:val="clear" w:color="auto" w:fill="FFFFFF"/>
        </w:rPr>
      </w:pPr>
      <w:r w:rsidRPr="009A72D0">
        <w:rPr>
          <w:rFonts w:cstheme="minorHAnsi"/>
          <w:color w:val="000000" w:themeColor="text1"/>
          <w:shd w:val="clear" w:color="auto" w:fill="FFFFFF"/>
        </w:rPr>
        <w:t xml:space="preserve">Patients </w:t>
      </w:r>
      <w:r w:rsidR="00FF2D1F">
        <w:rPr>
          <w:rFonts w:cstheme="minorHAnsi"/>
          <w:color w:val="000000" w:themeColor="text1"/>
          <w:shd w:val="clear" w:color="auto" w:fill="FFFFFF"/>
        </w:rPr>
        <w:t>are</w:t>
      </w:r>
      <w:r w:rsidR="00FF2D1F" w:rsidRPr="009A72D0">
        <w:rPr>
          <w:rFonts w:cstheme="minorHAnsi"/>
          <w:color w:val="000000" w:themeColor="text1"/>
          <w:shd w:val="clear" w:color="auto" w:fill="FFFFFF"/>
        </w:rPr>
        <w:t xml:space="preserve"> </w:t>
      </w:r>
      <w:r w:rsidRPr="009A72D0">
        <w:rPr>
          <w:rFonts w:cstheme="minorHAnsi"/>
          <w:color w:val="000000" w:themeColor="text1"/>
          <w:shd w:val="clear" w:color="auto" w:fill="FFFFFF"/>
        </w:rPr>
        <w:t>enrolled into the KN045 study irrespective of PD-L1 tumour status, i</w:t>
      </w:r>
      <w:r w:rsidR="00ED50DB">
        <w:rPr>
          <w:rFonts w:cstheme="minorHAnsi"/>
          <w:color w:val="000000" w:themeColor="text1"/>
          <w:shd w:val="clear" w:color="auto" w:fill="FFFFFF"/>
        </w:rPr>
        <w:t>.</w:t>
      </w:r>
      <w:r w:rsidRPr="009A72D0">
        <w:rPr>
          <w:rFonts w:cstheme="minorHAnsi"/>
          <w:color w:val="000000" w:themeColor="text1"/>
          <w:shd w:val="clear" w:color="auto" w:fill="FFFFFF"/>
        </w:rPr>
        <w:t>e. all</w:t>
      </w:r>
      <w:r w:rsidR="00ED50DB">
        <w:rPr>
          <w:rFonts w:cstheme="minorHAnsi"/>
          <w:color w:val="000000" w:themeColor="text1"/>
          <w:shd w:val="clear" w:color="auto" w:fill="FFFFFF"/>
        </w:rPr>
        <w:t xml:space="preserve"> </w:t>
      </w:r>
      <w:r w:rsidRPr="009A72D0">
        <w:rPr>
          <w:rFonts w:cstheme="minorHAnsi"/>
          <w:color w:val="000000" w:themeColor="text1"/>
          <w:shd w:val="clear" w:color="auto" w:fill="FFFFFF"/>
        </w:rPr>
        <w:t xml:space="preserve">comers. The </w:t>
      </w:r>
      <w:r w:rsidR="00306411">
        <w:rPr>
          <w:rFonts w:cstheme="minorHAnsi"/>
          <w:color w:val="000000" w:themeColor="text1"/>
          <w:shd w:val="clear" w:color="auto" w:fill="FFFFFF"/>
        </w:rPr>
        <w:t xml:space="preserve">PD-L1 IHC 22C3 </w:t>
      </w:r>
      <w:proofErr w:type="spellStart"/>
      <w:r w:rsidR="00306411">
        <w:rPr>
          <w:rFonts w:cstheme="minorHAnsi"/>
          <w:color w:val="000000" w:themeColor="text1"/>
          <w:shd w:val="clear" w:color="auto" w:fill="FFFFFF"/>
        </w:rPr>
        <w:t>pharmDx</w:t>
      </w:r>
      <w:proofErr w:type="spellEnd"/>
      <w:r w:rsidR="00306411">
        <w:rPr>
          <w:rFonts w:cstheme="minorHAnsi"/>
          <w:color w:val="000000" w:themeColor="text1"/>
          <w:shd w:val="clear" w:color="auto" w:fill="FFFFFF"/>
        </w:rPr>
        <w:t xml:space="preserve"> Market Ready Assay</w:t>
      </w:r>
      <w:r>
        <w:rPr>
          <w:rFonts w:cstheme="minorHAnsi"/>
          <w:color w:val="000000" w:themeColor="text1"/>
          <w:shd w:val="clear" w:color="auto" w:fill="FFFFFF"/>
        </w:rPr>
        <w:t xml:space="preserve"> will be used to determine </w:t>
      </w:r>
      <w:r w:rsidRPr="009A72D0">
        <w:rPr>
          <w:rFonts w:cstheme="minorHAnsi"/>
          <w:color w:val="000000" w:themeColor="text1"/>
          <w:shd w:val="clear" w:color="auto" w:fill="FFFFFF"/>
        </w:rPr>
        <w:t>PD-L1 expression in tumo</w:t>
      </w:r>
      <w:r>
        <w:rPr>
          <w:rFonts w:cstheme="minorHAnsi"/>
          <w:color w:val="000000" w:themeColor="text1"/>
          <w:shd w:val="clear" w:color="auto" w:fill="FFFFFF"/>
        </w:rPr>
        <w:t>u</w:t>
      </w:r>
      <w:r w:rsidRPr="009A72D0">
        <w:rPr>
          <w:rFonts w:cstheme="minorHAnsi"/>
          <w:color w:val="000000" w:themeColor="text1"/>
          <w:shd w:val="clear" w:color="auto" w:fill="FFFFFF"/>
        </w:rPr>
        <w:t xml:space="preserve">r tissue </w:t>
      </w:r>
      <w:r>
        <w:rPr>
          <w:rFonts w:cstheme="minorHAnsi"/>
          <w:color w:val="000000" w:themeColor="text1"/>
          <w:shd w:val="clear" w:color="auto" w:fill="FFFFFF"/>
        </w:rPr>
        <w:t>in order to</w:t>
      </w:r>
      <w:r w:rsidRPr="009A72D0">
        <w:rPr>
          <w:rFonts w:cstheme="minorHAnsi"/>
          <w:color w:val="000000" w:themeColor="text1"/>
          <w:shd w:val="clear" w:color="auto" w:fill="FFFFFF"/>
        </w:rPr>
        <w:t xml:space="preserve"> explore</w:t>
      </w:r>
      <w:r>
        <w:rPr>
          <w:rFonts w:cstheme="minorHAnsi"/>
          <w:color w:val="000000" w:themeColor="text1"/>
          <w:shd w:val="clear" w:color="auto" w:fill="FFFFFF"/>
        </w:rPr>
        <w:t xml:space="preserve"> </w:t>
      </w:r>
      <w:r w:rsidRPr="009A72D0">
        <w:rPr>
          <w:rFonts w:cstheme="minorHAnsi"/>
          <w:color w:val="000000" w:themeColor="text1"/>
          <w:shd w:val="clear" w:color="auto" w:fill="FFFFFF"/>
        </w:rPr>
        <w:t>the relationship between tumo</w:t>
      </w:r>
      <w:r>
        <w:rPr>
          <w:rFonts w:cstheme="minorHAnsi"/>
          <w:color w:val="000000" w:themeColor="text1"/>
          <w:shd w:val="clear" w:color="auto" w:fill="FFFFFF"/>
        </w:rPr>
        <w:t>u</w:t>
      </w:r>
      <w:r w:rsidRPr="009A72D0">
        <w:rPr>
          <w:rFonts w:cstheme="minorHAnsi"/>
          <w:color w:val="000000" w:themeColor="text1"/>
          <w:shd w:val="clear" w:color="auto" w:fill="FFFFFF"/>
        </w:rPr>
        <w:t>r PD-L1 expression and response to treatment with</w:t>
      </w:r>
      <w:r w:rsidR="00423D84">
        <w:rPr>
          <w:rFonts w:cstheme="minorHAnsi"/>
          <w:color w:val="000000" w:themeColor="text1"/>
          <w:shd w:val="clear" w:color="auto" w:fill="FFFFFF"/>
        </w:rPr>
        <w:t xml:space="preserve"> </w:t>
      </w:r>
      <w:r w:rsidR="00ED50DB">
        <w:rPr>
          <w:rFonts w:cstheme="minorHAnsi"/>
          <w:color w:val="000000" w:themeColor="text1"/>
          <w:shd w:val="clear" w:color="auto" w:fill="FFFFFF"/>
        </w:rPr>
        <w:t>p</w:t>
      </w:r>
      <w:r>
        <w:rPr>
          <w:rFonts w:cstheme="minorHAnsi"/>
          <w:color w:val="000000" w:themeColor="text1"/>
          <w:shd w:val="clear" w:color="auto" w:fill="FFFFFF"/>
        </w:rPr>
        <w:t>embrolizumab.</w:t>
      </w:r>
    </w:p>
    <w:p w14:paraId="264E50FC" w14:textId="77777777" w:rsidR="009A72D0" w:rsidRDefault="009A72D0" w:rsidP="009A72D0">
      <w:pPr>
        <w:spacing w:after="0"/>
        <w:rPr>
          <w:rFonts w:cstheme="minorHAnsi"/>
          <w:color w:val="000000" w:themeColor="text1"/>
          <w:shd w:val="clear" w:color="auto" w:fill="FFFFFF"/>
        </w:rPr>
      </w:pPr>
    </w:p>
    <w:p w14:paraId="264E5104" w14:textId="5A683C9E" w:rsidR="00B85141" w:rsidRDefault="009A72D0" w:rsidP="003B3740">
      <w:pPr>
        <w:rPr>
          <w:rFonts w:cstheme="minorHAnsi"/>
        </w:rPr>
      </w:pPr>
      <w:r w:rsidRPr="009A72D0">
        <w:rPr>
          <w:rFonts w:cstheme="minorHAnsi"/>
        </w:rPr>
        <w:t>Biomarker analysis was performed on new samples (preferred) or archival samples collected.</w:t>
      </w:r>
      <w:r w:rsidR="001E46C1">
        <w:rPr>
          <w:rFonts w:cstheme="minorHAnsi"/>
        </w:rPr>
        <w:t xml:space="preserve"> </w:t>
      </w:r>
      <w:r w:rsidR="001E46C1" w:rsidRPr="001E46C1">
        <w:rPr>
          <w:rFonts w:cstheme="minorHAnsi"/>
        </w:rPr>
        <w:t>The</w:t>
      </w:r>
      <w:r w:rsidR="009956EB">
        <w:rPr>
          <w:rFonts w:cstheme="minorHAnsi"/>
        </w:rPr>
        <w:t xml:space="preserve"> </w:t>
      </w:r>
      <w:r w:rsidR="001E46C1" w:rsidRPr="001E46C1">
        <w:rPr>
          <w:rFonts w:cstheme="minorHAnsi"/>
        </w:rPr>
        <w:t>choice of whether new samples (preferred) or archival samples w</w:t>
      </w:r>
      <w:r w:rsidR="009956EB">
        <w:rPr>
          <w:rFonts w:cstheme="minorHAnsi"/>
        </w:rPr>
        <w:t>ere</w:t>
      </w:r>
      <w:r w:rsidR="001E46C1" w:rsidRPr="001E46C1">
        <w:rPr>
          <w:rFonts w:cstheme="minorHAnsi"/>
        </w:rPr>
        <w:t xml:space="preserve"> to be used for PD-L1 testing was made by the treating clinician in the study. </w:t>
      </w:r>
      <w:r w:rsidR="00C24CD5" w:rsidRPr="00C24CD5">
        <w:rPr>
          <w:rFonts w:cstheme="minorHAnsi"/>
          <w:bCs/>
        </w:rPr>
        <w:t xml:space="preserve">New </w:t>
      </w:r>
      <w:r w:rsidR="00C24CD5">
        <w:rPr>
          <w:rFonts w:cstheme="minorHAnsi"/>
          <w:bCs/>
        </w:rPr>
        <w:t>t</w:t>
      </w:r>
      <w:r w:rsidR="00C24CD5" w:rsidRPr="00D7164A">
        <w:rPr>
          <w:rFonts w:cstheme="minorHAnsi"/>
          <w:bCs/>
        </w:rPr>
        <w:t xml:space="preserve">umour </w:t>
      </w:r>
      <w:r w:rsidR="00C24CD5">
        <w:rPr>
          <w:rFonts w:cstheme="minorHAnsi"/>
          <w:bCs/>
        </w:rPr>
        <w:t>t</w:t>
      </w:r>
      <w:r w:rsidR="00C24CD5" w:rsidRPr="00D7164A">
        <w:rPr>
          <w:rFonts w:cstheme="minorHAnsi"/>
          <w:bCs/>
        </w:rPr>
        <w:t>issue</w:t>
      </w:r>
      <w:r w:rsidR="00C24CD5">
        <w:rPr>
          <w:rFonts w:cstheme="minorHAnsi"/>
          <w:bCs/>
        </w:rPr>
        <w:t xml:space="preserve"> s</w:t>
      </w:r>
      <w:r w:rsidR="00C24CD5" w:rsidRPr="00D7164A">
        <w:rPr>
          <w:rFonts w:cstheme="minorHAnsi"/>
          <w:bCs/>
        </w:rPr>
        <w:t xml:space="preserve">amples </w:t>
      </w:r>
      <w:r w:rsidR="00C24CD5">
        <w:rPr>
          <w:rFonts w:cstheme="minorHAnsi"/>
          <w:bCs/>
        </w:rPr>
        <w:t>were</w:t>
      </w:r>
      <w:r w:rsidR="00C24CD5" w:rsidRPr="00D7164A">
        <w:rPr>
          <w:rFonts w:cstheme="minorHAnsi"/>
        </w:rPr>
        <w:t xml:space="preserve"> </w:t>
      </w:r>
      <w:r w:rsidR="009956EB">
        <w:rPr>
          <w:rFonts w:cstheme="minorHAnsi"/>
        </w:rPr>
        <w:t xml:space="preserve">to </w:t>
      </w:r>
      <w:r w:rsidR="00C24CD5" w:rsidRPr="00D7164A">
        <w:rPr>
          <w:rFonts w:cstheme="minorHAnsi"/>
        </w:rPr>
        <w:t>be obtained by performing a core n</w:t>
      </w:r>
      <w:r w:rsidR="00C24CD5" w:rsidRPr="00C24CD5">
        <w:rPr>
          <w:rFonts w:cstheme="minorHAnsi"/>
        </w:rPr>
        <w:t>eedle biopsy or surgical biopsy</w:t>
      </w:r>
      <w:r w:rsidR="00382F15">
        <w:rPr>
          <w:rFonts w:cstheme="minorHAnsi"/>
        </w:rPr>
        <w:t xml:space="preserve"> and </w:t>
      </w:r>
      <w:r w:rsidR="00382F15">
        <w:rPr>
          <w:rFonts w:cstheme="minorHAnsi"/>
          <w:bCs/>
        </w:rPr>
        <w:t>a</w:t>
      </w:r>
      <w:r w:rsidR="00107A63" w:rsidRPr="00107A63">
        <w:rPr>
          <w:rFonts w:cstheme="minorHAnsi"/>
          <w:bCs/>
        </w:rPr>
        <w:t>rchival t</w:t>
      </w:r>
      <w:r w:rsidR="00C24CD5" w:rsidRPr="00D7164A">
        <w:rPr>
          <w:rFonts w:cstheme="minorHAnsi"/>
          <w:bCs/>
        </w:rPr>
        <w:t>umou</w:t>
      </w:r>
      <w:r w:rsidR="00107A63" w:rsidRPr="00107A63">
        <w:rPr>
          <w:rFonts w:cstheme="minorHAnsi"/>
          <w:bCs/>
        </w:rPr>
        <w:t>r t</w:t>
      </w:r>
      <w:r w:rsidR="00C24CD5" w:rsidRPr="00D7164A">
        <w:rPr>
          <w:rFonts w:cstheme="minorHAnsi"/>
          <w:bCs/>
        </w:rPr>
        <w:t>issue samples</w:t>
      </w:r>
      <w:r w:rsidR="00107A63" w:rsidRPr="00107A63">
        <w:rPr>
          <w:rFonts w:cstheme="minorHAnsi"/>
          <w:bCs/>
        </w:rPr>
        <w:t xml:space="preserve"> were </w:t>
      </w:r>
      <w:r w:rsidR="00382F15">
        <w:rPr>
          <w:rFonts w:cstheme="minorHAnsi"/>
          <w:bCs/>
        </w:rPr>
        <w:t>provided</w:t>
      </w:r>
      <w:r w:rsidR="00107A63" w:rsidRPr="00107A63">
        <w:rPr>
          <w:rFonts w:cstheme="minorHAnsi"/>
          <w:bCs/>
        </w:rPr>
        <w:t xml:space="preserve"> as either</w:t>
      </w:r>
      <w:r w:rsidR="00C24CD5" w:rsidRPr="00D7164A">
        <w:rPr>
          <w:rFonts w:cstheme="minorHAnsi"/>
          <w:bCs/>
        </w:rPr>
        <w:t xml:space="preserve"> </w:t>
      </w:r>
      <w:r w:rsidR="00C24CD5" w:rsidRPr="00D7164A">
        <w:rPr>
          <w:rFonts w:cstheme="minorHAnsi"/>
        </w:rPr>
        <w:t>FFPE tissue block</w:t>
      </w:r>
      <w:r w:rsidR="00107A63" w:rsidRPr="00107A63">
        <w:rPr>
          <w:rFonts w:cstheme="minorHAnsi"/>
        </w:rPr>
        <w:t>s or cut slides.</w:t>
      </w:r>
      <w:r w:rsidR="00C24CD5" w:rsidRPr="00D7164A">
        <w:rPr>
          <w:rFonts w:cstheme="minorHAnsi"/>
        </w:rPr>
        <w:t xml:space="preserve"> </w:t>
      </w:r>
      <w:r w:rsidR="00C24CD5">
        <w:rPr>
          <w:rFonts w:cstheme="minorHAnsi"/>
        </w:rPr>
        <w:t xml:space="preserve">Tumour tissue biopsies were obtained from either the </w:t>
      </w:r>
      <w:r w:rsidR="00C24CD5" w:rsidRPr="00C24CD5">
        <w:rPr>
          <w:rFonts w:cstheme="minorHAnsi"/>
        </w:rPr>
        <w:t>primary tumour location</w:t>
      </w:r>
      <w:r w:rsidR="00382F15">
        <w:rPr>
          <w:rFonts w:cstheme="minorHAnsi"/>
        </w:rPr>
        <w:t xml:space="preserve"> (</w:t>
      </w:r>
      <w:r w:rsidR="00382F15" w:rsidRPr="00382F15">
        <w:rPr>
          <w:rFonts w:cstheme="minorHAnsi"/>
        </w:rPr>
        <w:t>muscle invasive disease</w:t>
      </w:r>
      <w:r w:rsidR="00382F15">
        <w:rPr>
          <w:rFonts w:cstheme="minorHAnsi"/>
        </w:rPr>
        <w:t xml:space="preserve">) </w:t>
      </w:r>
      <w:r w:rsidR="00C24CD5" w:rsidRPr="00C24CD5">
        <w:rPr>
          <w:rFonts w:cstheme="minorHAnsi"/>
        </w:rPr>
        <w:t>or the distant metastases</w:t>
      </w:r>
      <w:r w:rsidR="00107A63">
        <w:rPr>
          <w:rFonts w:cstheme="minorHAnsi"/>
        </w:rPr>
        <w:t xml:space="preserve"> which had not been previously irradiated</w:t>
      </w:r>
      <w:r w:rsidR="00C24CD5">
        <w:rPr>
          <w:rFonts w:cstheme="minorHAnsi"/>
        </w:rPr>
        <w:t xml:space="preserve">. </w:t>
      </w:r>
    </w:p>
    <w:p w14:paraId="264E5105" w14:textId="00E20AF0" w:rsidR="003B3740" w:rsidRDefault="004361E3" w:rsidP="003B3740">
      <w:pPr>
        <w:spacing w:after="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S</w:t>
      </w:r>
      <w:r w:rsidR="00CD0B80" w:rsidRPr="00CD0B80">
        <w:rPr>
          <w:rFonts w:asciiTheme="majorHAnsi" w:eastAsiaTheme="majorEastAsia" w:hAnsiTheme="majorHAnsi" w:cstheme="majorBidi"/>
          <w:b/>
          <w:bCs/>
          <w:i/>
          <w:iCs/>
          <w:color w:val="4F81BD" w:themeColor="accent1"/>
        </w:rPr>
        <w:t>coring m</w:t>
      </w:r>
      <w:r w:rsidR="00BD4E95" w:rsidRPr="00CD0B80">
        <w:rPr>
          <w:rFonts w:asciiTheme="majorHAnsi" w:eastAsiaTheme="majorEastAsia" w:hAnsiTheme="majorHAnsi" w:cstheme="majorBidi"/>
          <w:b/>
          <w:bCs/>
          <w:i/>
          <w:iCs/>
          <w:color w:val="4F81BD" w:themeColor="accent1"/>
        </w:rPr>
        <w:t>ethod</w:t>
      </w:r>
      <w:r w:rsidR="00CD0B80" w:rsidRPr="00CD0B80">
        <w:rPr>
          <w:rFonts w:asciiTheme="majorHAnsi" w:eastAsiaTheme="majorEastAsia" w:hAnsiTheme="majorHAnsi" w:cstheme="majorBidi"/>
          <w:b/>
          <w:bCs/>
          <w:i/>
          <w:iCs/>
          <w:color w:val="4F81BD" w:themeColor="accent1"/>
        </w:rPr>
        <w:t xml:space="preserve"> and PD-L1 expression cut point selection </w:t>
      </w:r>
      <w:r w:rsidR="00CD0B80">
        <w:rPr>
          <w:rFonts w:asciiTheme="majorHAnsi" w:eastAsiaTheme="majorEastAsia" w:hAnsiTheme="majorHAnsi" w:cstheme="majorBidi"/>
          <w:b/>
          <w:bCs/>
          <w:i/>
          <w:iCs/>
          <w:color w:val="4F81BD" w:themeColor="accent1"/>
        </w:rPr>
        <w:t>in</w:t>
      </w:r>
      <w:r w:rsidR="00CD0B80" w:rsidRPr="00CD0B80">
        <w:rPr>
          <w:rFonts w:asciiTheme="majorHAnsi" w:eastAsiaTheme="majorEastAsia" w:hAnsiTheme="majorHAnsi" w:cstheme="majorBidi"/>
          <w:b/>
          <w:bCs/>
          <w:i/>
          <w:iCs/>
          <w:color w:val="4F81BD" w:themeColor="accent1"/>
        </w:rPr>
        <w:t xml:space="preserve"> KN045</w:t>
      </w:r>
    </w:p>
    <w:p w14:paraId="424C2CEE" w14:textId="2942C090" w:rsidR="00FF2D1F" w:rsidRDefault="004361E3" w:rsidP="003B3740">
      <w:pPr>
        <w:spacing w:after="0"/>
      </w:pPr>
      <w:r w:rsidRPr="004361E3">
        <w:t xml:space="preserve">To establish the scoring method and PD-L1 expression cut point of the PD-L1 IHC 22C3 </w:t>
      </w:r>
      <w:proofErr w:type="spellStart"/>
      <w:r w:rsidRPr="004361E3">
        <w:t>pharmDx</w:t>
      </w:r>
      <w:proofErr w:type="spellEnd"/>
      <w:r w:rsidRPr="004361E3">
        <w:t xml:space="preserve"> Market Ready Assay in advanced/metastatic bladder cancer in the KN045 study, </w:t>
      </w:r>
      <w:r w:rsidR="00FF2D1F">
        <w:t>t</w:t>
      </w:r>
      <w:r w:rsidR="00FF2D1F" w:rsidRPr="00FF2D1F">
        <w:t>he combined positive score (CPS) scoring method</w:t>
      </w:r>
      <w:r w:rsidR="00FF2D1F">
        <w:t xml:space="preserve"> was used.</w:t>
      </w:r>
    </w:p>
    <w:p w14:paraId="56BD8023" w14:textId="77777777" w:rsidR="00FF2D1F" w:rsidRDefault="00FF2D1F" w:rsidP="003B3740">
      <w:pPr>
        <w:spacing w:after="0"/>
      </w:pPr>
    </w:p>
    <w:p w14:paraId="6B7BB5B3" w14:textId="23A3F2F0" w:rsidR="00FF2D1F" w:rsidRDefault="00FF2D1F" w:rsidP="003B3740">
      <w:pPr>
        <w:spacing w:after="0"/>
      </w:pPr>
      <w:r>
        <w:lastRenderedPageBreak/>
        <w:t xml:space="preserve">The </w:t>
      </w:r>
      <w:r w:rsidRPr="00FF2D1F">
        <w:t>combined positive score (CPS) scoring method</w:t>
      </w:r>
      <w:r>
        <w:t xml:space="preserve"> was developed using tumour tissue samples from the KN012 study</w:t>
      </w:r>
      <w:r w:rsidR="00D73FAB">
        <w:t xml:space="preserve">, and </w:t>
      </w:r>
      <w:r w:rsidR="00B33453">
        <w:t>incorporates the scoring of inflammatory cells in addition to tumo</w:t>
      </w:r>
      <w:r w:rsidR="00D73FAB">
        <w:t>u</w:t>
      </w:r>
      <w:r w:rsidR="00B33453">
        <w:t xml:space="preserve">r cells. </w:t>
      </w:r>
      <w:r w:rsidR="00D73FAB">
        <w:t xml:space="preserve">This scoring approach was chosen as </w:t>
      </w:r>
      <w:r w:rsidR="00B33453">
        <w:t xml:space="preserve">in the case of bladder cancer, </w:t>
      </w:r>
      <w:r w:rsidR="00815E3C">
        <w:t>investigations</w:t>
      </w:r>
      <w:r w:rsidR="00B33453">
        <w:t xml:space="preserve"> </w:t>
      </w:r>
      <w:r w:rsidR="00F42DE2">
        <w:t>suggest t</w:t>
      </w:r>
      <w:r w:rsidR="00B33453">
        <w:t xml:space="preserve">hat </w:t>
      </w:r>
      <w:r w:rsidR="00D73FAB">
        <w:t xml:space="preserve">incorporating </w:t>
      </w:r>
      <w:r w:rsidR="00B33453">
        <w:t xml:space="preserve">presence of PD-L1 expression in inflammatory cells </w:t>
      </w:r>
      <w:r w:rsidR="00D73FAB">
        <w:t>could help improve performance of the test</w:t>
      </w:r>
      <w:r>
        <w:t>.</w:t>
      </w:r>
    </w:p>
    <w:p w14:paraId="32D13BB3" w14:textId="77777777" w:rsidR="00FF2D1F" w:rsidRDefault="00FF2D1F" w:rsidP="003B3740">
      <w:pPr>
        <w:spacing w:after="0"/>
      </w:pPr>
    </w:p>
    <w:p w14:paraId="335E40EA" w14:textId="49F98531" w:rsidR="00001582" w:rsidRDefault="00B33453" w:rsidP="0080175C">
      <w:pPr>
        <w:spacing w:after="0"/>
      </w:pPr>
      <w:r w:rsidRPr="00B33453">
        <w:t>Patients are</w:t>
      </w:r>
      <w:r w:rsidR="00001582">
        <w:t xml:space="preserve"> </w:t>
      </w:r>
      <w:r w:rsidRPr="00B33453">
        <w:t xml:space="preserve">enrolled </w:t>
      </w:r>
      <w:r w:rsidR="00001582">
        <w:t xml:space="preserve">in the KN045 study </w:t>
      </w:r>
      <w:r w:rsidRPr="00B33453">
        <w:t xml:space="preserve">on an all-comers basis, i.e. irrespective of their PD-L1 status. </w:t>
      </w:r>
      <w:r w:rsidR="00001582">
        <w:t>The scoring method of CPS with associated cut</w:t>
      </w:r>
      <w:r w:rsidR="004C3BFE">
        <w:t xml:space="preserve"> </w:t>
      </w:r>
      <w:r w:rsidR="00001582">
        <w:t xml:space="preserve">point of ≥1% described above has been analytically validated for application in the KN-045 study. </w:t>
      </w:r>
    </w:p>
    <w:p w14:paraId="2D631A97" w14:textId="77777777" w:rsidR="00001582" w:rsidRDefault="00001582" w:rsidP="00001582">
      <w:pPr>
        <w:spacing w:after="0"/>
      </w:pPr>
    </w:p>
    <w:p w14:paraId="4A684D87" w14:textId="078F1E30" w:rsidR="00FF2D1F" w:rsidRDefault="0080175C" w:rsidP="003B3740">
      <w:pPr>
        <w:spacing w:after="0"/>
      </w:pPr>
      <w:r>
        <w:t xml:space="preserve">CPS </w:t>
      </w:r>
      <w:r w:rsidRPr="0080175C">
        <w:t xml:space="preserve">≥1% </w:t>
      </w:r>
      <w:r>
        <w:t>data as well as i</w:t>
      </w:r>
      <w:r w:rsidR="00FF2D1F" w:rsidRPr="00FF2D1F">
        <w:t xml:space="preserve">nformation on </w:t>
      </w:r>
      <w:r w:rsidR="00FF2D1F">
        <w:t xml:space="preserve">the </w:t>
      </w:r>
      <w:r w:rsidR="00FF2D1F" w:rsidRPr="00FF2D1F">
        <w:t xml:space="preserve">development and validation of </w:t>
      </w:r>
      <w:r w:rsidR="00FF2D1F">
        <w:t xml:space="preserve">the </w:t>
      </w:r>
      <w:r w:rsidR="00FF2D1F" w:rsidRPr="00FF2D1F">
        <w:t>test will be presented for MSAC’s consideration in the co-dependent technology submission.</w:t>
      </w:r>
    </w:p>
    <w:p w14:paraId="264E511B" w14:textId="4F37C30E" w:rsidR="001B78F5" w:rsidRPr="001B78F5" w:rsidRDefault="001B78F5" w:rsidP="00BD4E95">
      <w:pPr>
        <w:keepNext/>
        <w:keepLines/>
        <w:spacing w:before="200" w:after="0"/>
        <w:outlineLvl w:val="3"/>
        <w:rPr>
          <w:rFonts w:asciiTheme="majorHAnsi" w:eastAsiaTheme="majorEastAsia" w:hAnsiTheme="majorHAnsi" w:cstheme="majorBidi"/>
          <w:b/>
          <w:bCs/>
          <w:i/>
          <w:iCs/>
          <w:color w:val="4F81BD" w:themeColor="accent1"/>
        </w:rPr>
      </w:pPr>
      <w:r w:rsidRPr="001B78F5">
        <w:rPr>
          <w:rFonts w:asciiTheme="majorHAnsi" w:eastAsiaTheme="majorEastAsia" w:hAnsiTheme="majorHAnsi" w:cstheme="majorBidi"/>
          <w:b/>
          <w:bCs/>
          <w:i/>
          <w:iCs/>
          <w:color w:val="4F81BD" w:themeColor="accent1"/>
        </w:rPr>
        <w:t>Biomarker validation of PD-L1 expression</w:t>
      </w:r>
    </w:p>
    <w:p w14:paraId="264E511C" w14:textId="77777777" w:rsidR="00862158" w:rsidRDefault="00714426" w:rsidP="00FB168F">
      <w:pPr>
        <w:rPr>
          <w:rFonts w:eastAsiaTheme="majorEastAsia" w:cstheme="minorHAnsi"/>
          <w:bCs/>
          <w:color w:val="000000" w:themeColor="text1"/>
        </w:rPr>
      </w:pPr>
      <w:r>
        <w:rPr>
          <w:rFonts w:eastAsiaTheme="majorEastAsia" w:cstheme="minorHAnsi"/>
          <w:bCs/>
          <w:color w:val="000000" w:themeColor="text1"/>
        </w:rPr>
        <w:t xml:space="preserve">A summary of information on </w:t>
      </w:r>
      <w:r w:rsidR="00862158">
        <w:rPr>
          <w:rFonts w:eastAsiaTheme="majorEastAsia" w:cstheme="minorHAnsi"/>
          <w:bCs/>
          <w:color w:val="000000" w:themeColor="text1"/>
        </w:rPr>
        <w:t xml:space="preserve">PD-L1 </w:t>
      </w:r>
      <w:r>
        <w:rPr>
          <w:rFonts w:eastAsiaTheme="majorEastAsia" w:cstheme="minorHAnsi"/>
          <w:bCs/>
          <w:color w:val="000000" w:themeColor="text1"/>
        </w:rPr>
        <w:t>b</w:t>
      </w:r>
      <w:r w:rsidRPr="00714426">
        <w:rPr>
          <w:rFonts w:eastAsiaTheme="majorEastAsia" w:cstheme="minorHAnsi"/>
          <w:bCs/>
          <w:color w:val="000000" w:themeColor="text1"/>
        </w:rPr>
        <w:t>iomarker testing analytical validation</w:t>
      </w:r>
      <w:r>
        <w:rPr>
          <w:rFonts w:eastAsiaTheme="majorEastAsia" w:cstheme="minorHAnsi"/>
          <w:bCs/>
          <w:color w:val="000000" w:themeColor="text1"/>
        </w:rPr>
        <w:t xml:space="preserve"> for the </w:t>
      </w:r>
      <w:r w:rsidR="00862158" w:rsidRPr="00862158">
        <w:rPr>
          <w:rFonts w:eastAsiaTheme="majorEastAsia" w:cstheme="minorHAnsi"/>
          <w:bCs/>
          <w:color w:val="000000" w:themeColor="text1"/>
        </w:rPr>
        <w:t xml:space="preserve">PD-L1 IHC 22C3 </w:t>
      </w:r>
      <w:proofErr w:type="spellStart"/>
      <w:r w:rsidR="00862158" w:rsidRPr="00862158">
        <w:rPr>
          <w:rFonts w:eastAsiaTheme="majorEastAsia" w:cstheme="minorHAnsi"/>
          <w:bCs/>
          <w:color w:val="000000" w:themeColor="text1"/>
        </w:rPr>
        <w:t>pharmDx</w:t>
      </w:r>
      <w:proofErr w:type="spellEnd"/>
      <w:r w:rsidR="00862158" w:rsidRPr="00862158">
        <w:rPr>
          <w:rFonts w:eastAsiaTheme="majorEastAsia" w:cstheme="minorHAnsi"/>
          <w:bCs/>
          <w:color w:val="000000" w:themeColor="text1"/>
        </w:rPr>
        <w:t xml:space="preserve"> Market Ready Assay</w:t>
      </w:r>
      <w:r w:rsidR="00862158">
        <w:rPr>
          <w:rFonts w:eastAsiaTheme="majorEastAsia" w:cstheme="minorHAnsi"/>
          <w:bCs/>
          <w:color w:val="000000" w:themeColor="text1"/>
        </w:rPr>
        <w:t xml:space="preserve"> </w:t>
      </w:r>
      <w:r w:rsidRPr="00714426">
        <w:rPr>
          <w:rFonts w:eastAsiaTheme="majorEastAsia" w:cstheme="minorHAnsi"/>
          <w:bCs/>
          <w:color w:val="000000" w:themeColor="text1"/>
        </w:rPr>
        <w:t xml:space="preserve">will be presented for MSAC’s consideration in the co-dependent technology submission. </w:t>
      </w:r>
    </w:p>
    <w:p w14:paraId="264E511D" w14:textId="77777777" w:rsidR="001B78F5" w:rsidRPr="001B78F5" w:rsidRDefault="001B78F5" w:rsidP="001B78F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t>Intervention – proposed medical service</w:t>
      </w:r>
    </w:p>
    <w:p w14:paraId="264E511E"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Description of proposed medical service</w:t>
      </w:r>
    </w:p>
    <w:p w14:paraId="264E511F" w14:textId="77777777" w:rsidR="001B78F5" w:rsidRPr="001B78F5" w:rsidRDefault="001B78F5" w:rsidP="001B78F5">
      <w:r w:rsidRPr="001B78F5">
        <w:t xml:space="preserve">The </w:t>
      </w:r>
      <w:r w:rsidRPr="001B78F5">
        <w:rPr>
          <w:rFonts w:cs="Arial"/>
        </w:rPr>
        <w:t xml:space="preserve">PD-L1 22C3 </w:t>
      </w:r>
      <w:proofErr w:type="spellStart"/>
      <w:r w:rsidRPr="001B78F5">
        <w:rPr>
          <w:rFonts w:cs="Arial"/>
        </w:rPr>
        <w:t>pharmDx</w:t>
      </w:r>
      <w:proofErr w:type="spellEnd"/>
      <w:r w:rsidRPr="001B78F5">
        <w:rPr>
          <w:rFonts w:cs="Arial"/>
        </w:rPr>
        <w:t xml:space="preserve"> assay</w:t>
      </w:r>
      <w:r w:rsidRPr="001B78F5">
        <w:t xml:space="preserve"> </w:t>
      </w:r>
      <w:r w:rsidR="00306411">
        <w:t xml:space="preserve">Market Ready Assay </w:t>
      </w:r>
      <w:r w:rsidRPr="001B78F5">
        <w:t xml:space="preserve">will be made commercially available in Australia.  TGA registration of the </w:t>
      </w:r>
      <w:r w:rsidR="00306411" w:rsidRPr="00306411">
        <w:t xml:space="preserve">PD-L1 22C3 </w:t>
      </w:r>
      <w:proofErr w:type="spellStart"/>
      <w:r w:rsidR="00306411" w:rsidRPr="00306411">
        <w:t>pharmDx</w:t>
      </w:r>
      <w:proofErr w:type="spellEnd"/>
      <w:r w:rsidR="00306411" w:rsidRPr="00306411">
        <w:t xml:space="preserve"> assay Market Ready Assay</w:t>
      </w:r>
      <w:r w:rsidRPr="001B78F5">
        <w:t xml:space="preserve">, including any applicable registered trademark, is being undertaken by </w:t>
      </w:r>
      <w:proofErr w:type="spellStart"/>
      <w:r w:rsidRPr="001B78F5">
        <w:t>Dako</w:t>
      </w:r>
      <w:proofErr w:type="spellEnd"/>
      <w:r w:rsidRPr="001B78F5">
        <w:t>.  Registration is pending but is scheduled to be completed prior to consideration of the co-dependent technology submission by MSAC.</w:t>
      </w:r>
    </w:p>
    <w:p w14:paraId="264E5121" w14:textId="77777777" w:rsidR="001B78F5" w:rsidRPr="001B78F5" w:rsidRDefault="00B11ABF" w:rsidP="001B78F5">
      <w:r>
        <w:t xml:space="preserve">Detailed information of the </w:t>
      </w:r>
      <w:r w:rsidR="00306411" w:rsidRPr="00306411">
        <w:t xml:space="preserve">PD-L1 22C3 </w:t>
      </w:r>
      <w:proofErr w:type="spellStart"/>
      <w:r w:rsidR="00306411" w:rsidRPr="00306411">
        <w:t>pharmDx</w:t>
      </w:r>
      <w:proofErr w:type="spellEnd"/>
      <w:r w:rsidR="00306411" w:rsidRPr="00306411">
        <w:t xml:space="preserve"> assay Market Ready Assay </w:t>
      </w:r>
      <w:r w:rsidR="001B78F5" w:rsidRPr="001B78F5">
        <w:t>kit components</w:t>
      </w:r>
      <w:r w:rsidRPr="00B11ABF">
        <w:t xml:space="preserve"> </w:t>
      </w:r>
      <w:r>
        <w:t>as well as its</w:t>
      </w:r>
      <w:r w:rsidRPr="00B11ABF">
        <w:t xml:space="preserve"> performance studies</w:t>
      </w:r>
      <w:r w:rsidR="001B78F5" w:rsidRPr="001B78F5">
        <w:t xml:space="preserve"> will be presented for MSAC’s consideration in the co-dependent technology submission. </w:t>
      </w:r>
    </w:p>
    <w:p w14:paraId="264E5122"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Proposed MBS listing</w:t>
      </w:r>
    </w:p>
    <w:p w14:paraId="264E5123" w14:textId="77777777" w:rsidR="00B11ABF" w:rsidRDefault="00B11ABF" w:rsidP="001B78F5">
      <w:r w:rsidRPr="00B11ABF">
        <w:t>This is the third application that MSD has made for PD-L1 testing</w:t>
      </w:r>
      <w:r w:rsidR="00F76ED0">
        <w:t xml:space="preserve"> where the</w:t>
      </w:r>
      <w:r w:rsidRPr="00B11ABF">
        <w:t xml:space="preserve"> previous applications were made to support a co-dependent technology submission for a</w:t>
      </w:r>
      <w:r w:rsidR="001B5D98">
        <w:t>ccess to pembrolizumab in PD-L1 positive</w:t>
      </w:r>
      <w:r w:rsidRPr="00B11ABF">
        <w:t xml:space="preserve"> non-small cell lung cancer patients. </w:t>
      </w:r>
      <w:r w:rsidR="00F76ED0">
        <w:t xml:space="preserve">Taking this into account, </w:t>
      </w:r>
      <w:r w:rsidR="00F76ED0" w:rsidRPr="00F76ED0">
        <w:t xml:space="preserve">MSD has </w:t>
      </w:r>
      <w:r w:rsidR="00F76ED0">
        <w:t xml:space="preserve">previously </w:t>
      </w:r>
      <w:r w:rsidR="00F76ED0" w:rsidRPr="00F76ED0">
        <w:t xml:space="preserve">received advice from the Department that a new MBS item number should be used as a placeholder through the assessment process. </w:t>
      </w:r>
      <w:r w:rsidR="00F76ED0">
        <w:t xml:space="preserve">MSD proposes that the same process is maintained for </w:t>
      </w:r>
      <w:r w:rsidR="001B5D98">
        <w:t xml:space="preserve">the purpose of this assessment </w:t>
      </w:r>
      <w:r w:rsidR="00F76ED0">
        <w:t>as t</w:t>
      </w:r>
      <w:r w:rsidR="00F76ED0" w:rsidRPr="00F76ED0">
        <w:t>his arrangement provides MSAC with the flexibility to recommend a new MBS item number be created specifically for PD-L1 testing associated with access to pembrolizumab, should they deem it necessary.</w:t>
      </w:r>
    </w:p>
    <w:tbl>
      <w:tblPr>
        <w:tblStyle w:val="TableGrid"/>
        <w:tblW w:w="0" w:type="auto"/>
        <w:tblLook w:val="04A0" w:firstRow="1" w:lastRow="0" w:firstColumn="1" w:lastColumn="0" w:noHBand="0" w:noVBand="1"/>
        <w:tblCaption w:val="Proposed MBS listing"/>
      </w:tblPr>
      <w:tblGrid>
        <w:gridCol w:w="9264"/>
      </w:tblGrid>
      <w:tr w:rsidR="001B78F5" w:rsidRPr="001B78F5" w14:paraId="264E512B" w14:textId="77777777" w:rsidTr="008C751B">
        <w:trPr>
          <w:tblHeader/>
        </w:trPr>
        <w:tc>
          <w:tcPr>
            <w:tcW w:w="9264" w:type="dxa"/>
          </w:tcPr>
          <w:p w14:paraId="264E5124" w14:textId="77777777" w:rsidR="001B78F5" w:rsidRPr="001B78F5" w:rsidRDefault="001B78F5" w:rsidP="001B78F5">
            <w:pPr>
              <w:rPr>
                <w:rFonts w:ascii="Calibri" w:hAnsi="Calibri" w:cs="Arial"/>
                <w:sz w:val="20"/>
                <w:szCs w:val="20"/>
                <w:lang w:val="en-GB" w:eastAsia="ja-JP"/>
              </w:rPr>
            </w:pPr>
          </w:p>
          <w:p w14:paraId="264E5125" w14:textId="77777777" w:rsidR="001B78F5" w:rsidRPr="001B78F5" w:rsidRDefault="001B78F5" w:rsidP="001B78F5">
            <w:pPr>
              <w:rPr>
                <w:rFonts w:ascii="Calibri" w:hAnsi="Calibri" w:cs="Arial"/>
                <w:sz w:val="20"/>
                <w:szCs w:val="20"/>
                <w:lang w:val="en-GB" w:eastAsia="ja-JP"/>
              </w:rPr>
            </w:pPr>
            <w:r w:rsidRPr="001B78F5">
              <w:rPr>
                <w:rFonts w:ascii="Calibri" w:hAnsi="Calibri" w:cs="Arial"/>
                <w:sz w:val="20"/>
                <w:szCs w:val="20"/>
                <w:lang w:val="en-GB" w:eastAsia="ja-JP"/>
              </w:rPr>
              <w:t>Category 6 – Pathology Services</w:t>
            </w:r>
          </w:p>
          <w:p w14:paraId="264E5126" w14:textId="77777777" w:rsidR="001B78F5" w:rsidRPr="001B78F5" w:rsidRDefault="001B78F5" w:rsidP="001B78F5">
            <w:pPr>
              <w:rPr>
                <w:rFonts w:ascii="Calibri" w:hAnsi="Calibri" w:cs="Arial"/>
                <w:sz w:val="20"/>
                <w:szCs w:val="20"/>
                <w:lang w:val="en-GB" w:eastAsia="ja-JP"/>
              </w:rPr>
            </w:pPr>
            <w:r w:rsidRPr="001B78F5">
              <w:rPr>
                <w:rFonts w:ascii="Calibri" w:hAnsi="Calibri" w:cs="Arial"/>
                <w:sz w:val="20"/>
                <w:szCs w:val="20"/>
                <w:lang w:val="en-GB" w:eastAsia="ja-JP"/>
              </w:rPr>
              <w:t>MBS item number</w:t>
            </w:r>
          </w:p>
          <w:p w14:paraId="264E5127" w14:textId="77777777" w:rsidR="001B78F5" w:rsidRPr="001B78F5" w:rsidRDefault="001B78F5" w:rsidP="001B78F5">
            <w:pPr>
              <w:rPr>
                <w:rFonts w:ascii="Calibri" w:hAnsi="Calibri" w:cs="Arial"/>
                <w:sz w:val="20"/>
                <w:szCs w:val="20"/>
                <w:lang w:val="en-GB" w:eastAsia="ja-JP"/>
              </w:rPr>
            </w:pPr>
          </w:p>
          <w:p w14:paraId="264E5128" w14:textId="77777777" w:rsidR="001B78F5" w:rsidRPr="001B78F5" w:rsidRDefault="001B78F5" w:rsidP="001B78F5">
            <w:pPr>
              <w:rPr>
                <w:rFonts w:ascii="Calibri" w:hAnsi="Calibri" w:cs="Arial"/>
                <w:sz w:val="20"/>
                <w:szCs w:val="20"/>
                <w:lang w:val="en-GB" w:eastAsia="ja-JP"/>
              </w:rPr>
            </w:pPr>
            <w:proofErr w:type="spellStart"/>
            <w:r w:rsidRPr="001B78F5">
              <w:rPr>
                <w:rFonts w:ascii="Calibri" w:hAnsi="Calibri" w:cs="Arial"/>
                <w:sz w:val="20"/>
                <w:szCs w:val="20"/>
                <w:lang w:val="en-GB" w:eastAsia="ja-JP"/>
              </w:rPr>
              <w:t>Immunohistochemical</w:t>
            </w:r>
            <w:proofErr w:type="spellEnd"/>
            <w:r w:rsidRPr="001B78F5">
              <w:rPr>
                <w:rFonts w:ascii="Calibri" w:hAnsi="Calibri" w:cs="Arial"/>
                <w:sz w:val="20"/>
                <w:szCs w:val="20"/>
                <w:lang w:val="en-GB" w:eastAsia="ja-JP"/>
              </w:rPr>
              <w:t xml:space="preserve"> examination of biopsy material</w:t>
            </w:r>
            <w:r w:rsidR="00D7164A">
              <w:t xml:space="preserve"> </w:t>
            </w:r>
            <w:r w:rsidRPr="001B78F5">
              <w:rPr>
                <w:rFonts w:ascii="Calibri" w:hAnsi="Calibri" w:cs="Arial"/>
                <w:sz w:val="20"/>
                <w:szCs w:val="20"/>
                <w:lang w:val="en-GB" w:eastAsia="ja-JP"/>
              </w:rPr>
              <w:t xml:space="preserve">by </w:t>
            </w:r>
            <w:proofErr w:type="spellStart"/>
            <w:r w:rsidRPr="001B78F5">
              <w:rPr>
                <w:rFonts w:ascii="Calibri" w:hAnsi="Calibri" w:cs="Arial"/>
                <w:sz w:val="20"/>
                <w:szCs w:val="20"/>
                <w:lang w:val="en-GB" w:eastAsia="ja-JP"/>
              </w:rPr>
              <w:t>immunoperoxidase</w:t>
            </w:r>
            <w:proofErr w:type="spellEnd"/>
            <w:r w:rsidRPr="001B78F5">
              <w:rPr>
                <w:rFonts w:ascii="Calibri" w:hAnsi="Calibri" w:cs="Arial"/>
                <w:sz w:val="20"/>
                <w:szCs w:val="20"/>
                <w:lang w:val="en-GB" w:eastAsia="ja-JP"/>
              </w:rPr>
              <w:t xml:space="preserve"> or other labelled antibody techniques using the PD-L1 antibody to determine if the requirements relating to programmed cell death ligand 1 (PD-L1) status for access pembrolizumab under the Pharmaceutical Benefits Scheme (PBS) are fulfilled.</w:t>
            </w:r>
            <w:r w:rsidRPr="001B78F5" w:rsidDel="002349B2">
              <w:rPr>
                <w:rFonts w:ascii="Calibri" w:hAnsi="Calibri" w:cs="Arial"/>
                <w:sz w:val="20"/>
                <w:szCs w:val="20"/>
                <w:lang w:val="en-GB" w:eastAsia="ja-JP"/>
              </w:rPr>
              <w:t xml:space="preserve"> </w:t>
            </w:r>
          </w:p>
          <w:p w14:paraId="264E5129" w14:textId="77777777" w:rsidR="001B78F5" w:rsidRPr="001B78F5" w:rsidRDefault="001B78F5" w:rsidP="001B78F5">
            <w:pPr>
              <w:rPr>
                <w:rFonts w:ascii="Calibri" w:hAnsi="Calibri" w:cs="Arial"/>
                <w:sz w:val="20"/>
                <w:szCs w:val="20"/>
                <w:lang w:val="en-GB" w:eastAsia="ja-JP"/>
              </w:rPr>
            </w:pPr>
          </w:p>
          <w:p w14:paraId="264E512A" w14:textId="77777777" w:rsidR="001B78F5" w:rsidRPr="001B78F5" w:rsidRDefault="001B78F5" w:rsidP="001B78F5">
            <w:pPr>
              <w:rPr>
                <w:rFonts w:ascii="Calibri" w:hAnsi="Calibri" w:cs="Arial"/>
                <w:sz w:val="20"/>
                <w:szCs w:val="20"/>
                <w:lang w:val="en-GB" w:eastAsia="ja-JP"/>
              </w:rPr>
            </w:pPr>
            <w:r w:rsidRPr="001B78F5">
              <w:rPr>
                <w:rFonts w:ascii="Calibri" w:hAnsi="Calibri" w:cs="Arial"/>
                <w:b/>
                <w:sz w:val="20"/>
                <w:szCs w:val="20"/>
                <w:lang w:val="en-GB" w:eastAsia="ja-JP"/>
              </w:rPr>
              <w:t>Fee:</w:t>
            </w:r>
            <w:r w:rsidRPr="001B78F5">
              <w:rPr>
                <w:rFonts w:ascii="Calibri" w:hAnsi="Calibri" w:cs="Arial"/>
                <w:sz w:val="20"/>
                <w:szCs w:val="20"/>
                <w:lang w:val="en-GB" w:eastAsia="ja-JP"/>
              </w:rPr>
              <w:t xml:space="preserve">  To be determined  </w:t>
            </w:r>
            <w:r w:rsidRPr="001B78F5">
              <w:rPr>
                <w:rFonts w:ascii="Calibri" w:hAnsi="Calibri" w:cs="Arial"/>
                <w:b/>
                <w:sz w:val="20"/>
                <w:szCs w:val="20"/>
                <w:lang w:val="en-GB" w:eastAsia="ja-JP"/>
              </w:rPr>
              <w:t>Benefit:</w:t>
            </w:r>
            <w:r w:rsidRPr="001B78F5">
              <w:rPr>
                <w:rFonts w:ascii="Calibri" w:hAnsi="Calibri" w:cs="Arial"/>
                <w:sz w:val="20"/>
                <w:szCs w:val="20"/>
                <w:lang w:val="en-GB" w:eastAsia="ja-JP"/>
              </w:rPr>
              <w:t xml:space="preserve">  To be determined</w:t>
            </w:r>
          </w:p>
        </w:tc>
      </w:tr>
    </w:tbl>
    <w:p w14:paraId="264E512C" w14:textId="77777777" w:rsidR="00F76ED0" w:rsidRPr="00941D33" w:rsidRDefault="00F76ED0" w:rsidP="00941D33">
      <w:pPr>
        <w:rPr>
          <w:rFonts w:asciiTheme="majorHAnsi" w:eastAsiaTheme="majorEastAsia" w:hAnsiTheme="majorHAnsi" w:cstheme="majorBidi"/>
          <w:b/>
          <w:bCs/>
          <w:color w:val="4F81BD" w:themeColor="accent1"/>
          <w:sz w:val="26"/>
          <w:szCs w:val="26"/>
        </w:rPr>
      </w:pPr>
    </w:p>
    <w:p w14:paraId="264E5130" w14:textId="141D9DB4" w:rsidR="001B78F5" w:rsidRPr="001B78F5" w:rsidRDefault="00862158" w:rsidP="001B78F5">
      <w:pPr>
        <w:keepNext/>
        <w:keepLines/>
        <w:spacing w:before="200"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E</w:t>
      </w:r>
      <w:r w:rsidR="001B78F5" w:rsidRPr="00941D33">
        <w:rPr>
          <w:rFonts w:asciiTheme="majorHAnsi" w:eastAsiaTheme="majorEastAsia" w:hAnsiTheme="majorHAnsi" w:cstheme="majorBidi"/>
          <w:b/>
          <w:bCs/>
          <w:color w:val="4F81BD" w:themeColor="accent1"/>
          <w:sz w:val="26"/>
          <w:szCs w:val="26"/>
        </w:rPr>
        <w:t>xpected</w:t>
      </w:r>
      <w:r w:rsidR="001B78F5" w:rsidRPr="001B78F5">
        <w:rPr>
          <w:rFonts w:asciiTheme="majorHAnsi" w:eastAsiaTheme="majorEastAsia" w:hAnsiTheme="majorHAnsi" w:cstheme="majorBidi"/>
          <w:b/>
          <w:bCs/>
          <w:color w:val="4F81BD" w:themeColor="accent1"/>
          <w:sz w:val="26"/>
          <w:szCs w:val="26"/>
        </w:rPr>
        <w:t xml:space="preserve"> utilisation</w:t>
      </w:r>
    </w:p>
    <w:p w14:paraId="264E5131" w14:textId="7F8887A5" w:rsidR="001B78F5" w:rsidRPr="00D512A2" w:rsidRDefault="001B78F5" w:rsidP="001B78F5">
      <w:r w:rsidRPr="00D512A2">
        <w:t xml:space="preserve">An estimate of the size of the testing population is provided </w:t>
      </w:r>
      <w:r w:rsidR="004E7E9C" w:rsidRPr="00D512A2">
        <w:t xml:space="preserve">in </w:t>
      </w:r>
      <w:r w:rsidR="004E7E9C" w:rsidRPr="00D512A2">
        <w:rPr>
          <w:b/>
        </w:rPr>
        <w:t xml:space="preserve">Table </w:t>
      </w:r>
      <w:r w:rsidR="002712A5">
        <w:rPr>
          <w:b/>
        </w:rPr>
        <w:t>2</w:t>
      </w:r>
      <w:r w:rsidR="004E7E9C" w:rsidRPr="00D512A2">
        <w:t xml:space="preserve"> </w:t>
      </w:r>
      <w:r w:rsidRPr="00D512A2">
        <w:t>below</w:t>
      </w:r>
      <w:r w:rsidRPr="00D512A2">
        <w:rPr>
          <w:rFonts w:ascii="Arial" w:hAnsi="Arial" w:cs="Arial"/>
        </w:rPr>
        <w:t xml:space="preserve">.  </w:t>
      </w:r>
      <w:r w:rsidR="0080175C" w:rsidRPr="00E66681">
        <w:rPr>
          <w:rFonts w:cstheme="minorHAnsi"/>
        </w:rPr>
        <w:t>Th</w:t>
      </w:r>
      <w:r w:rsidR="0080175C">
        <w:rPr>
          <w:rFonts w:cstheme="minorHAnsi"/>
        </w:rPr>
        <w:t>e expected utilis</w:t>
      </w:r>
      <w:r w:rsidR="0029261B">
        <w:rPr>
          <w:rFonts w:cstheme="minorHAnsi"/>
        </w:rPr>
        <w:t>ation analysis and data will be verified and presented for MSAC’s considerations in the co-dependant submission.</w:t>
      </w:r>
    </w:p>
    <w:p w14:paraId="264E5132" w14:textId="7AE2AEC9" w:rsidR="001B78F5" w:rsidRDefault="001B78F5" w:rsidP="001B78F5">
      <w:pPr>
        <w:spacing w:after="0"/>
        <w:rPr>
          <w:b/>
        </w:rPr>
      </w:pPr>
      <w:r w:rsidRPr="00D512A2">
        <w:rPr>
          <w:b/>
        </w:rPr>
        <w:t xml:space="preserve">Table </w:t>
      </w:r>
      <w:r w:rsidR="002712A5">
        <w:rPr>
          <w:b/>
        </w:rPr>
        <w:t>2</w:t>
      </w:r>
      <w:r w:rsidRPr="00D512A2">
        <w:rPr>
          <w:b/>
        </w:rPr>
        <w:t xml:space="preserve">:  Incidence of </w:t>
      </w:r>
      <w:r w:rsidR="004E7E9C" w:rsidRPr="00D512A2">
        <w:rPr>
          <w:b/>
        </w:rPr>
        <w:t>metastatic bladder cancer</w:t>
      </w:r>
    </w:p>
    <w:tbl>
      <w:tblPr>
        <w:tblStyle w:val="TableGrid"/>
        <w:tblW w:w="0" w:type="auto"/>
        <w:tblLook w:val="04A0" w:firstRow="1" w:lastRow="0" w:firstColumn="1" w:lastColumn="0" w:noHBand="0" w:noVBand="1"/>
        <w:tblCaption w:val="Incidence and percentage of cases"/>
      </w:tblPr>
      <w:tblGrid>
        <w:gridCol w:w="4632"/>
        <w:gridCol w:w="4632"/>
      </w:tblGrid>
      <w:tr w:rsidR="00434B13" w:rsidRPr="00D512A2" w14:paraId="436C2EAC" w14:textId="77777777" w:rsidTr="00434B13">
        <w:trPr>
          <w:tblHeader/>
        </w:trPr>
        <w:tc>
          <w:tcPr>
            <w:tcW w:w="4632" w:type="dxa"/>
          </w:tcPr>
          <w:p w14:paraId="62B5D200" w14:textId="77777777" w:rsidR="00434B13" w:rsidRPr="00D512A2" w:rsidRDefault="00434B13" w:rsidP="00434B13">
            <w:pPr>
              <w:rPr>
                <w:rFonts w:ascii="Calibri" w:hAnsi="Calibri" w:cs="Arial"/>
                <w:sz w:val="20"/>
                <w:szCs w:val="20"/>
                <w:lang w:val="en-GB" w:eastAsia="ja-JP"/>
              </w:rPr>
            </w:pPr>
            <w:r>
              <w:rPr>
                <w:rFonts w:ascii="Calibri" w:hAnsi="Calibri" w:cs="Arial"/>
                <w:sz w:val="20"/>
                <w:szCs w:val="20"/>
                <w:lang w:val="en-GB" w:eastAsia="ja-JP"/>
              </w:rPr>
              <w:t>Incidence: Estimated n</w:t>
            </w:r>
            <w:r w:rsidRPr="00186C12">
              <w:rPr>
                <w:rFonts w:ascii="Calibri" w:hAnsi="Calibri" w:cs="Arial"/>
                <w:sz w:val="20"/>
                <w:szCs w:val="20"/>
                <w:lang w:val="en-GB" w:eastAsia="ja-JP"/>
              </w:rPr>
              <w:t>o.</w:t>
            </w:r>
            <w:r w:rsidRPr="00D512A2">
              <w:rPr>
                <w:rFonts w:ascii="Calibri" w:hAnsi="Calibri" w:cs="Arial"/>
                <w:sz w:val="20"/>
                <w:szCs w:val="20"/>
                <w:lang w:val="en-GB" w:eastAsia="ja-JP"/>
              </w:rPr>
              <w:t xml:space="preserve"> of patients </w:t>
            </w:r>
            <w:r>
              <w:rPr>
                <w:rFonts w:ascii="Calibri" w:hAnsi="Calibri" w:cs="Arial"/>
                <w:sz w:val="20"/>
                <w:szCs w:val="20"/>
                <w:lang w:val="en-GB" w:eastAsia="ja-JP"/>
              </w:rPr>
              <w:t>diagnosed with</w:t>
            </w:r>
            <w:r w:rsidRPr="00D512A2">
              <w:rPr>
                <w:rFonts w:ascii="Calibri" w:hAnsi="Calibri" w:cs="Arial"/>
                <w:sz w:val="20"/>
                <w:szCs w:val="20"/>
                <w:lang w:val="en-GB" w:eastAsia="ja-JP"/>
              </w:rPr>
              <w:t xml:space="preserve"> bladder cancer (</w:t>
            </w:r>
            <w:r w:rsidRPr="00186C12">
              <w:rPr>
                <w:rFonts w:ascii="Calibri" w:hAnsi="Calibri" w:cs="Arial"/>
                <w:sz w:val="20"/>
                <w:szCs w:val="20"/>
                <w:lang w:val="en-GB" w:eastAsia="ja-JP"/>
              </w:rPr>
              <w:t>includ</w:t>
            </w:r>
            <w:r>
              <w:rPr>
                <w:rFonts w:ascii="Calibri" w:hAnsi="Calibri" w:cs="Arial"/>
                <w:sz w:val="20"/>
                <w:szCs w:val="20"/>
                <w:lang w:val="en-GB" w:eastAsia="ja-JP"/>
              </w:rPr>
              <w:t>es</w:t>
            </w:r>
            <w:r w:rsidRPr="00186C12">
              <w:rPr>
                <w:rFonts w:ascii="Calibri" w:hAnsi="Calibri" w:cs="Arial"/>
                <w:sz w:val="20"/>
                <w:szCs w:val="20"/>
                <w:lang w:val="en-GB" w:eastAsia="ja-JP"/>
              </w:rPr>
              <w:t xml:space="preserve"> all stages</w:t>
            </w:r>
            <w:r>
              <w:rPr>
                <w:rFonts w:ascii="Calibri" w:hAnsi="Calibri" w:cs="Arial"/>
                <w:sz w:val="20"/>
                <w:szCs w:val="20"/>
                <w:lang w:val="en-GB" w:eastAsia="ja-JP"/>
              </w:rPr>
              <w:t>)</w:t>
            </w:r>
            <w:r w:rsidRPr="00186C12">
              <w:rPr>
                <w:rFonts w:ascii="Calibri" w:hAnsi="Calibri" w:cs="Arial"/>
                <w:sz w:val="20"/>
                <w:szCs w:val="20"/>
                <w:lang w:val="en-GB" w:eastAsia="ja-JP"/>
              </w:rPr>
              <w:t xml:space="preserve"> (20</w:t>
            </w:r>
            <w:r>
              <w:rPr>
                <w:rFonts w:ascii="Calibri" w:hAnsi="Calibri" w:cs="Arial"/>
                <w:sz w:val="20"/>
                <w:szCs w:val="20"/>
                <w:lang w:val="en-GB" w:eastAsia="ja-JP"/>
              </w:rPr>
              <w:t>15</w:t>
            </w:r>
            <w:r w:rsidRPr="00D512A2">
              <w:rPr>
                <w:rFonts w:ascii="Calibri" w:hAnsi="Calibri" w:cs="Arial"/>
                <w:sz w:val="20"/>
                <w:szCs w:val="20"/>
                <w:lang w:val="en-GB" w:eastAsia="ja-JP"/>
              </w:rPr>
              <w:t>)</w:t>
            </w:r>
          </w:p>
        </w:tc>
        <w:tc>
          <w:tcPr>
            <w:tcW w:w="4632" w:type="dxa"/>
          </w:tcPr>
          <w:p w14:paraId="74462E53" w14:textId="77777777" w:rsidR="00434B13" w:rsidRPr="00D512A2" w:rsidRDefault="00434B13" w:rsidP="00434B13">
            <w:pPr>
              <w:rPr>
                <w:rFonts w:ascii="Calibri" w:hAnsi="Calibri" w:cs="Arial"/>
                <w:sz w:val="20"/>
                <w:szCs w:val="20"/>
                <w:lang w:val="en-GB" w:eastAsia="ja-JP"/>
              </w:rPr>
            </w:pPr>
            <w:r>
              <w:rPr>
                <w:rFonts w:ascii="Calibri" w:hAnsi="Calibri" w:cs="Arial"/>
                <w:sz w:val="20"/>
                <w:szCs w:val="20"/>
                <w:lang w:val="en-GB" w:eastAsia="ja-JP"/>
              </w:rPr>
              <w:t>2,80</w:t>
            </w:r>
            <w:r w:rsidRPr="004063F6">
              <w:rPr>
                <w:rFonts w:ascii="Calibri" w:hAnsi="Calibri" w:cs="Arial"/>
                <w:sz w:val="20"/>
                <w:szCs w:val="20"/>
                <w:lang w:val="en-GB" w:eastAsia="ja-JP"/>
              </w:rPr>
              <w:t>0</w:t>
            </w:r>
            <w:r>
              <w:rPr>
                <w:rFonts w:ascii="Calibri" w:hAnsi="Calibri" w:cs="Arial"/>
                <w:sz w:val="20"/>
                <w:szCs w:val="20"/>
                <w:vertAlign w:val="superscript"/>
                <w:lang w:val="en-GB" w:eastAsia="ja-JP"/>
              </w:rPr>
              <w:t>1</w:t>
            </w:r>
          </w:p>
        </w:tc>
      </w:tr>
      <w:tr w:rsidR="00434B13" w:rsidRPr="00D512A2" w14:paraId="7458D9E2" w14:textId="77777777" w:rsidTr="00434B13">
        <w:trPr>
          <w:tblHeader/>
        </w:trPr>
        <w:tc>
          <w:tcPr>
            <w:tcW w:w="4632" w:type="dxa"/>
          </w:tcPr>
          <w:p w14:paraId="28475461" w14:textId="77777777" w:rsidR="00434B13" w:rsidRPr="00D512A2" w:rsidRDefault="00434B13" w:rsidP="00434B13">
            <w:pPr>
              <w:rPr>
                <w:rFonts w:ascii="Calibri" w:hAnsi="Calibri" w:cs="Arial"/>
                <w:sz w:val="20"/>
                <w:szCs w:val="20"/>
                <w:lang w:val="en-GB" w:eastAsia="ja-JP"/>
              </w:rPr>
            </w:pPr>
            <w:r w:rsidRPr="00D512A2">
              <w:rPr>
                <w:rFonts w:ascii="Calibri" w:hAnsi="Calibri" w:cs="Arial"/>
                <w:sz w:val="20"/>
                <w:szCs w:val="20"/>
                <w:lang w:val="en-GB" w:eastAsia="ja-JP"/>
              </w:rPr>
              <w:t xml:space="preserve">Percentage of cases diagnosed with </w:t>
            </w:r>
            <w:r w:rsidRPr="004063F6">
              <w:rPr>
                <w:rFonts w:ascii="Calibri" w:hAnsi="Calibri" w:cs="Arial"/>
                <w:sz w:val="20"/>
                <w:szCs w:val="20"/>
                <w:lang w:val="en-GB" w:eastAsia="ja-JP"/>
              </w:rPr>
              <w:t>regional or locally advanced</w:t>
            </w:r>
            <w:r w:rsidRPr="00D512A2">
              <w:rPr>
                <w:rFonts w:ascii="Calibri" w:hAnsi="Calibri" w:cs="Arial"/>
                <w:sz w:val="20"/>
                <w:szCs w:val="20"/>
                <w:lang w:val="en-GB" w:eastAsia="ja-JP"/>
              </w:rPr>
              <w:t xml:space="preserve"> bladder cancer </w:t>
            </w:r>
            <w:r>
              <w:rPr>
                <w:rFonts w:ascii="Calibri" w:hAnsi="Calibri" w:cs="Arial"/>
                <w:sz w:val="20"/>
                <w:szCs w:val="20"/>
                <w:lang w:val="en-GB" w:eastAsia="ja-JP"/>
              </w:rPr>
              <w:t>that have progressed following chemotherapy</w:t>
            </w:r>
          </w:p>
        </w:tc>
        <w:tc>
          <w:tcPr>
            <w:tcW w:w="4632" w:type="dxa"/>
          </w:tcPr>
          <w:p w14:paraId="537CC330" w14:textId="77777777" w:rsidR="00434B13" w:rsidRPr="00D512A2" w:rsidRDefault="00434B13" w:rsidP="00434B13">
            <w:pPr>
              <w:rPr>
                <w:rFonts w:ascii="Calibri" w:hAnsi="Calibri" w:cs="Arial"/>
                <w:sz w:val="20"/>
                <w:szCs w:val="20"/>
                <w:lang w:val="en-GB" w:eastAsia="ja-JP"/>
              </w:rPr>
            </w:pPr>
            <w:r>
              <w:rPr>
                <w:rFonts w:ascii="Calibri" w:hAnsi="Calibri" w:cs="Arial"/>
                <w:sz w:val="20"/>
                <w:szCs w:val="20"/>
                <w:lang w:val="en-GB" w:eastAsia="ja-JP"/>
              </w:rPr>
              <w:t>10-20%</w:t>
            </w:r>
            <w:r w:rsidRPr="00D512A2">
              <w:rPr>
                <w:rFonts w:ascii="Calibri" w:hAnsi="Calibri" w:cs="Arial"/>
                <w:sz w:val="20"/>
                <w:szCs w:val="20"/>
                <w:vertAlign w:val="superscript"/>
                <w:lang w:val="en-GB" w:eastAsia="ja-JP"/>
              </w:rPr>
              <w:t>2</w:t>
            </w:r>
          </w:p>
        </w:tc>
      </w:tr>
    </w:tbl>
    <w:p w14:paraId="0FAB9DF4" w14:textId="77777777" w:rsidR="00434B13" w:rsidRPr="00434B13" w:rsidRDefault="00434B13" w:rsidP="00434B13">
      <w:pPr>
        <w:rPr>
          <w:sz w:val="12"/>
          <w:szCs w:val="12"/>
        </w:rPr>
      </w:pPr>
    </w:p>
    <w:tbl>
      <w:tblPr>
        <w:tblStyle w:val="TableGrid"/>
        <w:tblW w:w="0" w:type="auto"/>
        <w:tblLook w:val="04A0" w:firstRow="1" w:lastRow="0" w:firstColumn="1" w:lastColumn="0" w:noHBand="0" w:noVBand="1"/>
        <w:tblCaption w:val="Estimates and cancer deaths"/>
      </w:tblPr>
      <w:tblGrid>
        <w:gridCol w:w="4632"/>
        <w:gridCol w:w="4632"/>
      </w:tblGrid>
      <w:tr w:rsidR="00434B13" w:rsidRPr="00D512A2" w14:paraId="0DF16257" w14:textId="77777777" w:rsidTr="00434B13">
        <w:trPr>
          <w:tblHeader/>
        </w:trPr>
        <w:tc>
          <w:tcPr>
            <w:tcW w:w="4632" w:type="dxa"/>
          </w:tcPr>
          <w:p w14:paraId="45D74DDE" w14:textId="77777777" w:rsidR="00434B13" w:rsidRPr="00D512A2" w:rsidRDefault="00434B13" w:rsidP="00434B13">
            <w:pPr>
              <w:rPr>
                <w:rFonts w:ascii="Calibri" w:hAnsi="Calibri" w:cs="Arial"/>
                <w:sz w:val="20"/>
                <w:szCs w:val="20"/>
                <w:lang w:val="en-GB" w:eastAsia="ja-JP"/>
              </w:rPr>
            </w:pPr>
            <w:r>
              <w:rPr>
                <w:rFonts w:ascii="Calibri" w:hAnsi="Calibri" w:cs="Arial"/>
                <w:sz w:val="20"/>
                <w:szCs w:val="20"/>
                <w:lang w:val="en-GB" w:eastAsia="ja-JP"/>
              </w:rPr>
              <w:t xml:space="preserve">Estimate no. of </w:t>
            </w:r>
            <w:r w:rsidRPr="00AF56AD">
              <w:rPr>
                <w:rFonts w:ascii="Calibri" w:hAnsi="Calibri" w:cs="Arial"/>
                <w:sz w:val="20"/>
                <w:szCs w:val="20"/>
                <w:lang w:val="en-GB" w:eastAsia="ja-JP"/>
              </w:rPr>
              <w:t xml:space="preserve">cases diagnosed with </w:t>
            </w:r>
            <w:r w:rsidRPr="00D36746">
              <w:rPr>
                <w:rFonts w:ascii="Calibri" w:hAnsi="Calibri" w:cs="Arial"/>
                <w:sz w:val="20"/>
                <w:szCs w:val="20"/>
                <w:lang w:val="en-GB" w:eastAsia="ja-JP"/>
              </w:rPr>
              <w:t>regional or locally advanced bladder cancer</w:t>
            </w:r>
            <w:r>
              <w:rPr>
                <w:rFonts w:ascii="Calibri" w:hAnsi="Calibri" w:cs="Arial"/>
                <w:sz w:val="20"/>
                <w:szCs w:val="20"/>
                <w:lang w:val="en-GB" w:eastAsia="ja-JP"/>
              </w:rPr>
              <w:t xml:space="preserve"> </w:t>
            </w:r>
            <w:r w:rsidRPr="00815E3C">
              <w:rPr>
                <w:rFonts w:ascii="Calibri" w:hAnsi="Calibri" w:cs="Arial"/>
                <w:sz w:val="20"/>
                <w:szCs w:val="20"/>
                <w:lang w:val="en-GB" w:eastAsia="ja-JP"/>
              </w:rPr>
              <w:t>that have progressed following chemotherapy</w:t>
            </w:r>
          </w:p>
        </w:tc>
        <w:tc>
          <w:tcPr>
            <w:tcW w:w="4632" w:type="dxa"/>
          </w:tcPr>
          <w:p w14:paraId="6FD30846" w14:textId="77777777" w:rsidR="00434B13" w:rsidRPr="00D512A2" w:rsidRDefault="00434B13" w:rsidP="00434B13">
            <w:pPr>
              <w:rPr>
                <w:rFonts w:ascii="Calibri" w:hAnsi="Calibri" w:cs="Arial"/>
                <w:sz w:val="20"/>
                <w:szCs w:val="20"/>
                <w:lang w:val="en-GB" w:eastAsia="ja-JP"/>
              </w:rPr>
            </w:pPr>
            <w:r>
              <w:rPr>
                <w:rFonts w:ascii="Calibri" w:hAnsi="Calibri" w:cs="Arial"/>
                <w:sz w:val="20"/>
                <w:szCs w:val="20"/>
                <w:lang w:val="en-GB" w:eastAsia="ja-JP"/>
              </w:rPr>
              <w:t>280-560</w:t>
            </w:r>
          </w:p>
        </w:tc>
      </w:tr>
      <w:tr w:rsidR="00434B13" w:rsidRPr="00D512A2" w14:paraId="6CF968BB" w14:textId="77777777" w:rsidTr="00434B13">
        <w:trPr>
          <w:tblHeader/>
        </w:trPr>
        <w:tc>
          <w:tcPr>
            <w:tcW w:w="4632" w:type="dxa"/>
          </w:tcPr>
          <w:p w14:paraId="00564F4B" w14:textId="77777777" w:rsidR="00434B13" w:rsidRPr="00D512A2" w:rsidRDefault="00434B13" w:rsidP="00434B13">
            <w:pPr>
              <w:rPr>
                <w:rFonts w:ascii="Calibri" w:hAnsi="Calibri" w:cs="Arial"/>
                <w:sz w:val="20"/>
                <w:szCs w:val="20"/>
                <w:lang w:val="en-GB" w:eastAsia="ja-JP"/>
              </w:rPr>
            </w:pPr>
            <w:r w:rsidRPr="00D512A2">
              <w:rPr>
                <w:rFonts w:ascii="Calibri" w:hAnsi="Calibri" w:cs="Arial"/>
                <w:sz w:val="20"/>
                <w:szCs w:val="20"/>
                <w:lang w:val="en-GB" w:eastAsia="ja-JP"/>
              </w:rPr>
              <w:t>No. of bladder cancer deaths (2015)(proxy for no. of patients with advanced/metastatic disease)</w:t>
            </w:r>
          </w:p>
        </w:tc>
        <w:tc>
          <w:tcPr>
            <w:tcW w:w="4632" w:type="dxa"/>
          </w:tcPr>
          <w:p w14:paraId="0A2C9FC1" w14:textId="77777777" w:rsidR="00434B13" w:rsidRPr="00D512A2" w:rsidRDefault="00434B13" w:rsidP="00434B13">
            <w:pPr>
              <w:rPr>
                <w:rFonts w:ascii="Calibri" w:hAnsi="Calibri" w:cs="Arial"/>
                <w:sz w:val="20"/>
                <w:szCs w:val="20"/>
                <w:lang w:val="en-GB" w:eastAsia="ja-JP"/>
              </w:rPr>
            </w:pPr>
            <w:r w:rsidRPr="00D512A2">
              <w:rPr>
                <w:rFonts w:ascii="Calibri" w:hAnsi="Calibri" w:cs="Arial"/>
                <w:sz w:val="20"/>
                <w:szCs w:val="20"/>
                <w:lang w:val="en-GB" w:eastAsia="ja-JP"/>
              </w:rPr>
              <w:t>1,140</w:t>
            </w:r>
            <w:r w:rsidRPr="00D512A2">
              <w:rPr>
                <w:rFonts w:ascii="Calibri" w:hAnsi="Calibri" w:cs="Arial"/>
                <w:sz w:val="20"/>
                <w:szCs w:val="20"/>
                <w:vertAlign w:val="superscript"/>
                <w:lang w:val="en-GB" w:eastAsia="ja-JP"/>
              </w:rPr>
              <w:t>3</w:t>
            </w:r>
          </w:p>
        </w:tc>
      </w:tr>
    </w:tbl>
    <w:p w14:paraId="3733D04D" w14:textId="77777777" w:rsidR="00434B13" w:rsidRPr="00434B13" w:rsidRDefault="00434B13" w:rsidP="00434B13">
      <w:pPr>
        <w:rPr>
          <w:sz w:val="12"/>
          <w:szCs w:val="12"/>
        </w:rPr>
      </w:pPr>
    </w:p>
    <w:tbl>
      <w:tblPr>
        <w:tblStyle w:val="TableGrid"/>
        <w:tblW w:w="0" w:type="auto"/>
        <w:tblLook w:val="04A0" w:firstRow="1" w:lastRow="0" w:firstColumn="1" w:lastColumn="0" w:noHBand="0" w:noVBand="1"/>
        <w:tblCaption w:val="Total estimate"/>
      </w:tblPr>
      <w:tblGrid>
        <w:gridCol w:w="4632"/>
        <w:gridCol w:w="4632"/>
      </w:tblGrid>
      <w:tr w:rsidR="00434B13" w:rsidRPr="00D512A2" w14:paraId="53F5BE6E" w14:textId="77777777" w:rsidTr="00434B13">
        <w:trPr>
          <w:tblHeader/>
        </w:trPr>
        <w:tc>
          <w:tcPr>
            <w:tcW w:w="4632" w:type="dxa"/>
          </w:tcPr>
          <w:p w14:paraId="59CAE6A0" w14:textId="77777777" w:rsidR="00434B13" w:rsidRPr="00D512A2" w:rsidRDefault="00434B13" w:rsidP="00434B13">
            <w:pPr>
              <w:rPr>
                <w:rFonts w:ascii="Calibri" w:hAnsi="Calibri" w:cs="Arial"/>
                <w:sz w:val="20"/>
                <w:szCs w:val="20"/>
                <w:lang w:val="en-GB" w:eastAsia="ja-JP"/>
              </w:rPr>
            </w:pPr>
            <w:r w:rsidRPr="00E66681">
              <w:rPr>
                <w:rFonts w:ascii="Calibri" w:hAnsi="Calibri" w:cs="Arial"/>
                <w:b/>
                <w:sz w:val="20"/>
                <w:szCs w:val="20"/>
                <w:lang w:val="en-GB" w:eastAsia="ja-JP"/>
              </w:rPr>
              <w:t>Total estimate</w:t>
            </w:r>
            <w:r w:rsidRPr="00D512A2">
              <w:rPr>
                <w:rFonts w:ascii="Calibri" w:hAnsi="Calibri" w:cs="Arial"/>
                <w:sz w:val="20"/>
                <w:szCs w:val="20"/>
                <w:lang w:val="en-GB" w:eastAsia="ja-JP"/>
              </w:rPr>
              <w:t xml:space="preserve"> of </w:t>
            </w:r>
            <w:r w:rsidRPr="00E66681">
              <w:rPr>
                <w:rFonts w:ascii="Calibri" w:hAnsi="Calibri" w:cs="Arial"/>
                <w:b/>
                <w:sz w:val="20"/>
                <w:szCs w:val="20"/>
                <w:lang w:val="en-GB" w:eastAsia="ja-JP"/>
              </w:rPr>
              <w:t xml:space="preserve">no. </w:t>
            </w:r>
            <w:r>
              <w:rPr>
                <w:rFonts w:ascii="Calibri" w:hAnsi="Calibri" w:cs="Arial"/>
                <w:b/>
                <w:sz w:val="20"/>
                <w:szCs w:val="20"/>
                <w:lang w:val="en-GB" w:eastAsia="ja-JP"/>
              </w:rPr>
              <w:t xml:space="preserve">of </w:t>
            </w:r>
            <w:r w:rsidRPr="00E66681">
              <w:rPr>
                <w:rFonts w:ascii="Calibri" w:hAnsi="Calibri" w:cs="Arial"/>
                <w:b/>
                <w:sz w:val="20"/>
                <w:szCs w:val="20"/>
                <w:lang w:val="en-GB" w:eastAsia="ja-JP"/>
              </w:rPr>
              <w:t>p</w:t>
            </w:r>
            <w:r>
              <w:rPr>
                <w:rFonts w:ascii="Calibri" w:hAnsi="Calibri" w:cs="Arial"/>
                <w:b/>
                <w:sz w:val="20"/>
                <w:szCs w:val="20"/>
                <w:lang w:val="en-GB" w:eastAsia="ja-JP"/>
              </w:rPr>
              <w:t>a</w:t>
            </w:r>
            <w:r w:rsidRPr="00E66681">
              <w:rPr>
                <w:rFonts w:ascii="Calibri" w:hAnsi="Calibri" w:cs="Arial"/>
                <w:b/>
                <w:sz w:val="20"/>
                <w:szCs w:val="20"/>
                <w:lang w:val="en-GB" w:eastAsia="ja-JP"/>
              </w:rPr>
              <w:t>t</w:t>
            </w:r>
            <w:r>
              <w:rPr>
                <w:rFonts w:ascii="Calibri" w:hAnsi="Calibri" w:cs="Arial"/>
                <w:b/>
                <w:sz w:val="20"/>
                <w:szCs w:val="20"/>
                <w:lang w:val="en-GB" w:eastAsia="ja-JP"/>
              </w:rPr>
              <w:t>ient</w:t>
            </w:r>
            <w:r w:rsidRPr="00E66681">
              <w:rPr>
                <w:rFonts w:ascii="Calibri" w:hAnsi="Calibri" w:cs="Arial"/>
                <w:b/>
                <w:sz w:val="20"/>
                <w:szCs w:val="20"/>
                <w:lang w:val="en-GB" w:eastAsia="ja-JP"/>
              </w:rPr>
              <w:t>s</w:t>
            </w:r>
            <w:r w:rsidRPr="00D512A2">
              <w:rPr>
                <w:rFonts w:ascii="Calibri" w:hAnsi="Calibri" w:cs="Arial"/>
                <w:sz w:val="20"/>
                <w:szCs w:val="20"/>
                <w:lang w:val="en-GB" w:eastAsia="ja-JP"/>
              </w:rPr>
              <w:t xml:space="preserve"> of with advanced/metastatic bladder cancer </w:t>
            </w:r>
            <w:r>
              <w:rPr>
                <w:rFonts w:ascii="Calibri" w:hAnsi="Calibri" w:cs="Arial"/>
                <w:b/>
                <w:sz w:val="20"/>
                <w:szCs w:val="20"/>
                <w:lang w:eastAsia="ja-JP"/>
              </w:rPr>
              <w:t xml:space="preserve">and </w:t>
            </w:r>
            <w:r w:rsidRPr="00E66681">
              <w:rPr>
                <w:rFonts w:ascii="Calibri" w:hAnsi="Calibri" w:cs="Arial"/>
                <w:b/>
                <w:sz w:val="20"/>
                <w:szCs w:val="20"/>
                <w:lang w:eastAsia="ja-JP"/>
              </w:rPr>
              <w:t>locally advanced/</w:t>
            </w:r>
            <w:proofErr w:type="spellStart"/>
            <w:r w:rsidRPr="00E66681">
              <w:rPr>
                <w:rFonts w:ascii="Calibri" w:hAnsi="Calibri" w:cs="Arial"/>
                <w:b/>
                <w:sz w:val="20"/>
                <w:szCs w:val="20"/>
                <w:lang w:eastAsia="ja-JP"/>
              </w:rPr>
              <w:t>unresectable</w:t>
            </w:r>
            <w:proofErr w:type="spellEnd"/>
            <w:r w:rsidRPr="00E66681">
              <w:rPr>
                <w:rFonts w:ascii="Calibri" w:hAnsi="Calibri" w:cs="Arial"/>
                <w:b/>
                <w:sz w:val="20"/>
                <w:szCs w:val="20"/>
                <w:lang w:eastAsia="ja-JP"/>
              </w:rPr>
              <w:t xml:space="preserve"> bladder </w:t>
            </w:r>
            <w:r w:rsidRPr="00E66681">
              <w:rPr>
                <w:rFonts w:ascii="Calibri" w:hAnsi="Calibri" w:cs="Arial"/>
                <w:b/>
                <w:sz w:val="20"/>
                <w:szCs w:val="20"/>
                <w:lang w:val="en-GB" w:eastAsia="ja-JP"/>
              </w:rPr>
              <w:t xml:space="preserve">cancer that have progressed following chemotherapy </w:t>
            </w:r>
            <w:r w:rsidRPr="00D512A2">
              <w:rPr>
                <w:rFonts w:ascii="Calibri" w:hAnsi="Calibri" w:cs="Arial"/>
                <w:sz w:val="20"/>
                <w:szCs w:val="20"/>
                <w:lang w:val="en-GB" w:eastAsia="ja-JP"/>
              </w:rPr>
              <w:t>eligible for PD-L1 testing</w:t>
            </w:r>
            <w:r w:rsidRPr="00E66681">
              <w:rPr>
                <w:rFonts w:ascii="Calibri" w:hAnsi="Calibri" w:cs="Arial"/>
                <w:b/>
                <w:sz w:val="20"/>
                <w:szCs w:val="20"/>
                <w:lang w:val="en-GB" w:eastAsia="ja-JP"/>
              </w:rPr>
              <w:t xml:space="preserve"> (2015)</w:t>
            </w:r>
          </w:p>
        </w:tc>
        <w:tc>
          <w:tcPr>
            <w:tcW w:w="4632" w:type="dxa"/>
          </w:tcPr>
          <w:p w14:paraId="57FE5AFF" w14:textId="77777777" w:rsidR="00434B13" w:rsidRPr="00D512A2" w:rsidRDefault="00434B13" w:rsidP="00434B13">
            <w:pPr>
              <w:rPr>
                <w:rFonts w:ascii="Calibri" w:hAnsi="Calibri" w:cs="Arial"/>
                <w:sz w:val="20"/>
                <w:szCs w:val="20"/>
                <w:lang w:val="en-GB" w:eastAsia="ja-JP"/>
              </w:rPr>
            </w:pPr>
            <w:r w:rsidRPr="00E66681">
              <w:rPr>
                <w:rFonts w:ascii="Calibri" w:hAnsi="Calibri" w:cs="Arial"/>
                <w:b/>
                <w:sz w:val="20"/>
                <w:szCs w:val="20"/>
                <w:lang w:val="en-GB" w:eastAsia="ja-JP"/>
              </w:rPr>
              <w:t>1420-1700</w:t>
            </w:r>
          </w:p>
        </w:tc>
      </w:tr>
    </w:tbl>
    <w:p w14:paraId="264E513F" w14:textId="0529095B" w:rsidR="001B78F5" w:rsidRPr="00D512A2" w:rsidRDefault="001B78F5" w:rsidP="001B78F5">
      <w:pPr>
        <w:spacing w:after="0"/>
        <w:rPr>
          <w:rFonts w:cs="Arial"/>
          <w:sz w:val="16"/>
          <w:szCs w:val="16"/>
        </w:rPr>
      </w:pPr>
      <w:r w:rsidRPr="00D512A2">
        <w:rPr>
          <w:rFonts w:cs="Arial"/>
          <w:sz w:val="16"/>
          <w:szCs w:val="16"/>
          <w:vertAlign w:val="superscript"/>
        </w:rPr>
        <w:t>1</w:t>
      </w:r>
      <w:r w:rsidRPr="00D512A2">
        <w:rPr>
          <w:rFonts w:cs="Arial"/>
          <w:sz w:val="16"/>
          <w:szCs w:val="16"/>
        </w:rPr>
        <w:t>Cancer in Australia:  a</w:t>
      </w:r>
      <w:r w:rsidR="008541F8" w:rsidRPr="00D512A2">
        <w:rPr>
          <w:rFonts w:cs="Arial"/>
          <w:sz w:val="16"/>
          <w:szCs w:val="16"/>
        </w:rPr>
        <w:t xml:space="preserve">n overview 2014, AIHW, Table </w:t>
      </w:r>
      <w:proofErr w:type="gramStart"/>
      <w:r w:rsidR="008541F8" w:rsidRPr="00D512A2">
        <w:rPr>
          <w:rFonts w:cs="Arial"/>
          <w:sz w:val="16"/>
          <w:szCs w:val="16"/>
        </w:rPr>
        <w:t>B4(</w:t>
      </w:r>
      <w:proofErr w:type="gramEnd"/>
      <w:r w:rsidR="00186C12">
        <w:rPr>
          <w:rFonts w:cs="Arial"/>
          <w:sz w:val="16"/>
          <w:szCs w:val="16"/>
        </w:rPr>
        <w:t>4</w:t>
      </w:r>
      <w:r w:rsidR="008541F8" w:rsidRPr="00D512A2">
        <w:rPr>
          <w:rFonts w:cs="Arial"/>
          <w:sz w:val="16"/>
          <w:szCs w:val="16"/>
        </w:rPr>
        <w:t xml:space="preserve">)  </w:t>
      </w:r>
      <w:proofErr w:type="spellStart"/>
      <w:r w:rsidR="008541F8" w:rsidRPr="00D512A2">
        <w:rPr>
          <w:rFonts w:cs="Arial"/>
          <w:sz w:val="16"/>
          <w:szCs w:val="16"/>
        </w:rPr>
        <w:t>Pg</w:t>
      </w:r>
      <w:proofErr w:type="spellEnd"/>
      <w:r w:rsidR="008541F8" w:rsidRPr="00D512A2">
        <w:rPr>
          <w:rFonts w:cs="Arial"/>
          <w:sz w:val="16"/>
          <w:szCs w:val="16"/>
        </w:rPr>
        <w:t xml:space="preserve"> </w:t>
      </w:r>
      <w:r w:rsidR="00186C12">
        <w:rPr>
          <w:rFonts w:cs="Arial"/>
          <w:sz w:val="16"/>
          <w:szCs w:val="16"/>
        </w:rPr>
        <w:t>92</w:t>
      </w:r>
      <w:r w:rsidRPr="00D512A2">
        <w:rPr>
          <w:rFonts w:cs="Arial"/>
          <w:sz w:val="16"/>
          <w:szCs w:val="16"/>
        </w:rPr>
        <w:t xml:space="preserve"> of document, </w:t>
      </w:r>
      <w:r w:rsidR="00186C12" w:rsidRPr="00186C12">
        <w:rPr>
          <w:rFonts w:cs="Arial"/>
          <w:sz w:val="16"/>
          <w:szCs w:val="16"/>
        </w:rPr>
        <w:t>Cancer in Australia:  an overview 2014, AIHW</w:t>
      </w:r>
      <w:r w:rsidRPr="00D512A2">
        <w:rPr>
          <w:rFonts w:cs="Arial"/>
          <w:sz w:val="16"/>
          <w:szCs w:val="16"/>
        </w:rPr>
        <w:t xml:space="preserve"> [accessed </w:t>
      </w:r>
      <w:r w:rsidR="00186C12">
        <w:rPr>
          <w:rFonts w:cs="Arial"/>
          <w:sz w:val="16"/>
          <w:szCs w:val="16"/>
        </w:rPr>
        <w:t>27 May</w:t>
      </w:r>
      <w:r w:rsidR="008541F8" w:rsidRPr="00D512A2">
        <w:rPr>
          <w:rFonts w:cs="Arial"/>
          <w:sz w:val="16"/>
          <w:szCs w:val="16"/>
        </w:rPr>
        <w:t xml:space="preserve"> 2016</w:t>
      </w:r>
      <w:r w:rsidRPr="00D512A2">
        <w:rPr>
          <w:rFonts w:cs="Arial"/>
          <w:sz w:val="16"/>
          <w:szCs w:val="16"/>
        </w:rPr>
        <w:t>]</w:t>
      </w:r>
    </w:p>
    <w:p w14:paraId="28841608" w14:textId="25754AA1" w:rsidR="001B76B7" w:rsidRDefault="00AF56AD" w:rsidP="00AA56D3">
      <w:pPr>
        <w:spacing w:after="0"/>
        <w:rPr>
          <w:rFonts w:cs="Arial"/>
          <w:sz w:val="16"/>
          <w:szCs w:val="16"/>
          <w:vertAlign w:val="superscript"/>
        </w:rPr>
      </w:pPr>
      <w:r>
        <w:rPr>
          <w:rFonts w:cs="Arial"/>
          <w:sz w:val="16"/>
          <w:szCs w:val="16"/>
          <w:vertAlign w:val="superscript"/>
        </w:rPr>
        <w:t>2</w:t>
      </w:r>
      <w:r w:rsidR="001B76B7" w:rsidRPr="001B76B7">
        <w:rPr>
          <w:rFonts w:cs="Arial"/>
          <w:sz w:val="16"/>
          <w:szCs w:val="16"/>
          <w:vertAlign w:val="superscript"/>
        </w:rPr>
        <w:t xml:space="preserve"> </w:t>
      </w:r>
      <w:r w:rsidR="001B76B7" w:rsidRPr="00E66681">
        <w:rPr>
          <w:rFonts w:cs="Arial"/>
          <w:sz w:val="16"/>
          <w:szCs w:val="16"/>
        </w:rPr>
        <w:t>Data derived from Clinician input</w:t>
      </w:r>
    </w:p>
    <w:p w14:paraId="264E5141" w14:textId="77777777" w:rsidR="00AA56D3" w:rsidRDefault="001B78F5" w:rsidP="00AA56D3">
      <w:pPr>
        <w:spacing w:after="0"/>
        <w:rPr>
          <w:rFonts w:cs="Arial"/>
          <w:sz w:val="16"/>
          <w:szCs w:val="16"/>
        </w:rPr>
      </w:pPr>
      <w:r w:rsidRPr="00D512A2">
        <w:rPr>
          <w:rFonts w:cs="Arial"/>
          <w:sz w:val="16"/>
          <w:szCs w:val="16"/>
          <w:vertAlign w:val="superscript"/>
        </w:rPr>
        <w:t>3</w:t>
      </w:r>
      <w:r w:rsidR="00AA56D3" w:rsidRPr="00D512A2">
        <w:rPr>
          <w:rFonts w:cs="Arial"/>
          <w:sz w:val="16"/>
          <w:szCs w:val="16"/>
        </w:rPr>
        <w:t xml:space="preserve">Cancer in Australia:  an overview 2014, AIHW, Table </w:t>
      </w:r>
      <w:proofErr w:type="gramStart"/>
      <w:r w:rsidR="00AA56D3" w:rsidRPr="00D512A2">
        <w:rPr>
          <w:rFonts w:cs="Arial"/>
          <w:sz w:val="16"/>
          <w:szCs w:val="16"/>
        </w:rPr>
        <w:t>B4(</w:t>
      </w:r>
      <w:proofErr w:type="gramEnd"/>
      <w:r w:rsidR="00AA56D3" w:rsidRPr="00D512A2">
        <w:rPr>
          <w:rFonts w:cs="Arial"/>
          <w:sz w:val="16"/>
          <w:szCs w:val="16"/>
        </w:rPr>
        <w:t xml:space="preserve">a), </w:t>
      </w:r>
      <w:proofErr w:type="spellStart"/>
      <w:r w:rsidR="00AA56D3" w:rsidRPr="00D512A2">
        <w:rPr>
          <w:rFonts w:cs="Arial"/>
          <w:sz w:val="16"/>
          <w:szCs w:val="16"/>
        </w:rPr>
        <w:t>Pg</w:t>
      </w:r>
      <w:proofErr w:type="spellEnd"/>
      <w:r w:rsidR="00AA56D3" w:rsidRPr="00D512A2">
        <w:rPr>
          <w:rFonts w:cs="Arial"/>
          <w:sz w:val="16"/>
          <w:szCs w:val="16"/>
        </w:rPr>
        <w:t xml:space="preserve"> 92 of document, AIHW Cancer in Australia an overview [accessed 7th April 2016]</w:t>
      </w:r>
    </w:p>
    <w:p w14:paraId="2389BC60" w14:textId="77777777" w:rsidR="00434B13" w:rsidRDefault="00434B13" w:rsidP="00AA56D3">
      <w:pPr>
        <w:spacing w:after="0"/>
        <w:rPr>
          <w:rFonts w:asciiTheme="majorHAnsi" w:eastAsiaTheme="majorEastAsia" w:hAnsiTheme="majorHAnsi" w:cstheme="majorBidi"/>
          <w:b/>
          <w:bCs/>
          <w:color w:val="4F81BD" w:themeColor="accent1"/>
          <w:sz w:val="26"/>
          <w:szCs w:val="26"/>
        </w:rPr>
      </w:pPr>
    </w:p>
    <w:p w14:paraId="264E5142" w14:textId="77777777" w:rsidR="001B78F5" w:rsidRPr="001B78F5" w:rsidRDefault="001B78F5" w:rsidP="00AA56D3">
      <w:pPr>
        <w:spacing w:after="0"/>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Reference standard</w:t>
      </w:r>
    </w:p>
    <w:p w14:paraId="315D3343" w14:textId="5BF652B9" w:rsidR="00905CB2" w:rsidRDefault="001B78F5" w:rsidP="001B78F5">
      <w:r w:rsidRPr="001B78F5">
        <w:t xml:space="preserve">Currently there are no commercially available diagnostic kits for </w:t>
      </w:r>
      <w:r w:rsidR="00905CB2" w:rsidRPr="001B78F5">
        <w:t xml:space="preserve">testing </w:t>
      </w:r>
      <w:r w:rsidR="00905CB2">
        <w:t xml:space="preserve">of </w:t>
      </w:r>
      <w:r w:rsidRPr="001B78F5">
        <w:t>PD-L1</w:t>
      </w:r>
      <w:r w:rsidR="00905CB2">
        <w:t xml:space="preserve"> expression levels</w:t>
      </w:r>
      <w:r w:rsidRPr="001B78F5">
        <w:t xml:space="preserve">.  Thus, PD-L1 testing is not currently being carried out on patients in Australia, apart from testing in the clinical trial or research setting. As PD-L1 testing is not part of the current treatment algorithm for </w:t>
      </w:r>
      <w:r w:rsidR="00F76ED0" w:rsidRPr="00F76ED0">
        <w:t xml:space="preserve">advanced/metastatic bladder cancer </w:t>
      </w:r>
      <w:r w:rsidRPr="001B78F5">
        <w:t xml:space="preserve">patients, there is no reference standard for PD-L1 testing on the Medical Benefits Scheme.  </w:t>
      </w:r>
    </w:p>
    <w:p w14:paraId="18B5A70B" w14:textId="688663E9" w:rsidR="00905CB2" w:rsidRDefault="00905CB2" w:rsidP="001B78F5">
      <w:r>
        <w:t xml:space="preserve">This application </w:t>
      </w:r>
      <w:r w:rsidR="001B78F5" w:rsidRPr="001B78F5">
        <w:t>propose</w:t>
      </w:r>
      <w:r>
        <w:t>s</w:t>
      </w:r>
      <w:r w:rsidR="001B78F5" w:rsidRPr="001B78F5">
        <w:t xml:space="preserve"> that </w:t>
      </w:r>
      <w:r w:rsidR="00FA68BA">
        <w:t>the</w:t>
      </w:r>
      <w:r>
        <w:t xml:space="preserve"> </w:t>
      </w:r>
      <w:r w:rsidR="001B78F5" w:rsidRPr="001B78F5">
        <w:t xml:space="preserve">co-dependent technology submission </w:t>
      </w:r>
      <w:r w:rsidR="00FA68BA">
        <w:t>for access</w:t>
      </w:r>
      <w:r w:rsidR="00FA68BA" w:rsidRPr="00FA68BA">
        <w:t xml:space="preserve"> to pembrolizumab in patients with recurrent or progressive metastatic or locally advanced/</w:t>
      </w:r>
      <w:proofErr w:type="spellStart"/>
      <w:r w:rsidR="00FA68BA" w:rsidRPr="00FA68BA">
        <w:t>unresectable</w:t>
      </w:r>
      <w:proofErr w:type="spellEnd"/>
      <w:r w:rsidR="00A6017C">
        <w:t xml:space="preserve"> </w:t>
      </w:r>
      <w:r w:rsidR="00FA68BA" w:rsidRPr="00FA68BA">
        <w:t>metastatic bladder cancer that has recurred or progressed following platinum-based chemotherapy</w:t>
      </w:r>
      <w:r w:rsidR="001B78F5" w:rsidRPr="001B78F5">
        <w:t xml:space="preserve"> nominates PD-L1 testing using the </w:t>
      </w:r>
      <w:r w:rsidR="00306411" w:rsidRPr="00306411">
        <w:t xml:space="preserve">PD-L1 22C3 </w:t>
      </w:r>
      <w:proofErr w:type="spellStart"/>
      <w:r w:rsidR="00306411" w:rsidRPr="00306411">
        <w:t>pharmDx</w:t>
      </w:r>
      <w:proofErr w:type="spellEnd"/>
      <w:r w:rsidR="00306411" w:rsidRPr="00306411">
        <w:t xml:space="preserve"> assay Market Ready Assay</w:t>
      </w:r>
      <w:r w:rsidR="00387FAF">
        <w:t>, given its role in screening patients</w:t>
      </w:r>
      <w:r w:rsidR="00306411" w:rsidRPr="00306411">
        <w:t xml:space="preserve"> </w:t>
      </w:r>
      <w:r w:rsidR="00947742">
        <w:t xml:space="preserve">in </w:t>
      </w:r>
      <w:r w:rsidR="00387FAF">
        <w:t xml:space="preserve">the </w:t>
      </w:r>
      <w:r w:rsidR="00947742">
        <w:t>KN045</w:t>
      </w:r>
      <w:r w:rsidR="00387FAF">
        <w:t xml:space="preserve"> study</w:t>
      </w:r>
      <w:r w:rsidR="001B78F5" w:rsidRPr="001B78F5">
        <w:t xml:space="preserve"> as the “evidentiary standard”. </w:t>
      </w:r>
    </w:p>
    <w:p w14:paraId="264E5144" w14:textId="0BD61376" w:rsidR="00C473DA" w:rsidRDefault="00C473DA" w:rsidP="001B78F5">
      <w:r w:rsidRPr="00C473DA">
        <w:lastRenderedPageBreak/>
        <w:t xml:space="preserve">Detailed information of the </w:t>
      </w:r>
      <w:r w:rsidR="00306411" w:rsidRPr="00306411">
        <w:t xml:space="preserve">PD-L1 22C3 </w:t>
      </w:r>
      <w:proofErr w:type="spellStart"/>
      <w:r w:rsidR="00306411" w:rsidRPr="00306411">
        <w:t>pharmDx</w:t>
      </w:r>
      <w:proofErr w:type="spellEnd"/>
      <w:r w:rsidR="00306411" w:rsidRPr="00306411">
        <w:t xml:space="preserve"> assay Market Ready Assay </w:t>
      </w:r>
      <w:r w:rsidRPr="00C473DA">
        <w:t>kit components as well as its performance studies will be presented for MSAC’s consideration in the co-dependent technology submission.</w:t>
      </w:r>
    </w:p>
    <w:p w14:paraId="264E5145"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Delivery of proposed medical test</w:t>
      </w:r>
    </w:p>
    <w:p w14:paraId="07E2C3D4" w14:textId="029FAA59" w:rsidR="00E66681" w:rsidRDefault="0029261B" w:rsidP="001B78F5">
      <w:pPr>
        <w:keepNext/>
        <w:keepLines/>
        <w:spacing w:before="200" w:after="0"/>
        <w:outlineLvl w:val="2"/>
        <w:rPr>
          <w:rFonts w:cstheme="minorHAnsi"/>
        </w:rPr>
      </w:pPr>
      <w:r>
        <w:rPr>
          <w:rFonts w:cstheme="minorHAnsi"/>
        </w:rPr>
        <w:t xml:space="preserve">In the </w:t>
      </w:r>
      <w:r w:rsidR="006505A3">
        <w:rPr>
          <w:rFonts w:cstheme="minorHAnsi"/>
        </w:rPr>
        <w:t>manag</w:t>
      </w:r>
      <w:r w:rsidR="00A6017C">
        <w:rPr>
          <w:rFonts w:cstheme="minorHAnsi"/>
        </w:rPr>
        <w:t>e</w:t>
      </w:r>
      <w:r w:rsidR="006505A3">
        <w:rPr>
          <w:rFonts w:cstheme="minorHAnsi"/>
        </w:rPr>
        <w:t>ment</w:t>
      </w:r>
      <w:r>
        <w:rPr>
          <w:rFonts w:cstheme="minorHAnsi"/>
        </w:rPr>
        <w:t xml:space="preserve"> of bladder cancer, the taking of biopsy specimens is currently </w:t>
      </w:r>
      <w:r w:rsidRPr="00874D36">
        <w:rPr>
          <w:rFonts w:cstheme="minorHAnsi"/>
        </w:rPr>
        <w:t>part of standard</w:t>
      </w:r>
      <w:r>
        <w:rPr>
          <w:rFonts w:cstheme="minorHAnsi"/>
        </w:rPr>
        <w:t xml:space="preserve"> practice and diagnostic work-up. </w:t>
      </w:r>
    </w:p>
    <w:p w14:paraId="264E5146" w14:textId="77777777" w:rsidR="001B78F5" w:rsidRPr="001B78F5" w:rsidRDefault="001B78F5" w:rsidP="001B78F5">
      <w:pPr>
        <w:keepNext/>
        <w:keepLines/>
        <w:spacing w:before="200" w:after="0"/>
        <w:outlineLvl w:val="2"/>
        <w:rPr>
          <w:rFonts w:asciiTheme="majorHAnsi" w:eastAsiaTheme="majorEastAsia" w:hAnsiTheme="majorHAnsi" w:cstheme="majorBidi"/>
          <w:b/>
          <w:bCs/>
          <w:color w:val="4F81BD" w:themeColor="accent1"/>
        </w:rPr>
      </w:pPr>
      <w:r w:rsidRPr="001B78F5">
        <w:rPr>
          <w:rFonts w:asciiTheme="majorHAnsi" w:eastAsiaTheme="majorEastAsia" w:hAnsiTheme="majorHAnsi" w:cstheme="majorBidi"/>
          <w:b/>
          <w:bCs/>
          <w:color w:val="4F81BD" w:themeColor="accent1"/>
        </w:rPr>
        <w:t>Where service would be delivered</w:t>
      </w:r>
    </w:p>
    <w:p w14:paraId="264E5147" w14:textId="06B3C947" w:rsidR="001B78F5" w:rsidRPr="001B78F5" w:rsidRDefault="001B78F5" w:rsidP="001B78F5">
      <w:pPr>
        <w:spacing w:before="120" w:after="120"/>
        <w:rPr>
          <w:rFonts w:cstheme="minorHAnsi"/>
        </w:rPr>
      </w:pPr>
      <w:r w:rsidRPr="00E91164">
        <w:rPr>
          <w:rFonts w:cstheme="minorHAnsi"/>
        </w:rPr>
        <w:t xml:space="preserve">As IHC </w:t>
      </w:r>
      <w:r w:rsidR="0060714E">
        <w:rPr>
          <w:rFonts w:cstheme="minorHAnsi"/>
        </w:rPr>
        <w:t>testing</w:t>
      </w:r>
      <w:r w:rsidRPr="00E91164">
        <w:rPr>
          <w:rFonts w:cstheme="minorHAnsi"/>
        </w:rPr>
        <w:t xml:space="preserve"> is a common procedure</w:t>
      </w:r>
      <w:r w:rsidR="00954894">
        <w:rPr>
          <w:rFonts w:cstheme="minorHAnsi"/>
        </w:rPr>
        <w:t xml:space="preserve"> </w:t>
      </w:r>
      <w:r w:rsidRPr="00E91164">
        <w:rPr>
          <w:rFonts w:cstheme="minorHAnsi"/>
        </w:rPr>
        <w:t xml:space="preserve"> </w:t>
      </w:r>
      <w:r w:rsidR="00954894" w:rsidRPr="00954894">
        <w:rPr>
          <w:rFonts w:cstheme="minorHAnsi"/>
        </w:rPr>
        <w:t>and as PD-L1 expression is anticipated to be</w:t>
      </w:r>
      <w:r w:rsidR="00954894">
        <w:rPr>
          <w:rFonts w:cstheme="minorHAnsi"/>
        </w:rPr>
        <w:t xml:space="preserve"> frequently</w:t>
      </w:r>
      <w:r w:rsidR="00954894" w:rsidRPr="00954894">
        <w:rPr>
          <w:rFonts w:cstheme="minorHAnsi"/>
        </w:rPr>
        <w:t xml:space="preserve"> identified </w:t>
      </w:r>
      <w:r w:rsidR="00954894">
        <w:rPr>
          <w:rFonts w:cstheme="minorHAnsi"/>
        </w:rPr>
        <w:t>(</w:t>
      </w:r>
      <w:r w:rsidR="00954894" w:rsidRPr="00954894">
        <w:rPr>
          <w:rFonts w:cstheme="minorHAnsi"/>
        </w:rPr>
        <w:t>6</w:t>
      </w:r>
      <w:r w:rsidR="00954894">
        <w:rPr>
          <w:rFonts w:cstheme="minorHAnsi"/>
        </w:rPr>
        <w:t>4.2</w:t>
      </w:r>
      <w:r w:rsidR="00954894" w:rsidRPr="00954894">
        <w:rPr>
          <w:rFonts w:cstheme="minorHAnsi"/>
        </w:rPr>
        <w:t xml:space="preserve">% of </w:t>
      </w:r>
      <w:r w:rsidR="00954894">
        <w:rPr>
          <w:rFonts w:cstheme="minorHAnsi"/>
        </w:rPr>
        <w:t xml:space="preserve">cases for ≥1% PD-L1 expression: </w:t>
      </w:r>
      <w:proofErr w:type="spellStart"/>
      <w:r w:rsidR="00954894">
        <w:rPr>
          <w:rFonts w:cstheme="minorHAnsi"/>
        </w:rPr>
        <w:t>Plimack</w:t>
      </w:r>
      <w:proofErr w:type="spellEnd"/>
      <w:r w:rsidR="00954894" w:rsidRPr="00954894">
        <w:rPr>
          <w:rFonts w:cstheme="minorHAnsi"/>
        </w:rPr>
        <w:t xml:space="preserve"> et al</w:t>
      </w:r>
      <w:r w:rsidR="00954894">
        <w:rPr>
          <w:rFonts w:cstheme="minorHAnsi"/>
        </w:rPr>
        <w:t>.</w:t>
      </w:r>
      <w:r w:rsidR="00954894" w:rsidRPr="00954894">
        <w:rPr>
          <w:rFonts w:cstheme="minorHAnsi"/>
        </w:rPr>
        <w:t xml:space="preserve"> 2015</w:t>
      </w:r>
      <w:r w:rsidR="00954894">
        <w:rPr>
          <w:rFonts w:cstheme="minorHAnsi"/>
        </w:rPr>
        <w:t>),</w:t>
      </w:r>
      <w:r w:rsidRPr="00E91164">
        <w:rPr>
          <w:rFonts w:cstheme="minorHAnsi"/>
        </w:rPr>
        <w:t xml:space="preserve"> </w:t>
      </w:r>
      <w:r w:rsidRPr="001B78F5">
        <w:rPr>
          <w:rFonts w:cstheme="minorHAnsi"/>
        </w:rPr>
        <w:t>it is proposed that PD-L1 IHC testing be eligible to be carried out in any pathology laboratory holding the appropriate accreditation to claim pathology services through the MBS.</w:t>
      </w:r>
      <w:r w:rsidR="002010DF">
        <w:rPr>
          <w:rFonts w:cstheme="minorHAnsi"/>
        </w:rPr>
        <w:t xml:space="preserve"> </w:t>
      </w:r>
      <w:r w:rsidRPr="001B78F5">
        <w:rPr>
          <w:rFonts w:cstheme="minorHAnsi"/>
        </w:rPr>
        <w:t xml:space="preserve">In practice, it is anticipated that the majority of PD-L1 testing would occur in pathology laboratories associated with a public hospital.  </w:t>
      </w:r>
    </w:p>
    <w:p w14:paraId="264E5148" w14:textId="77777777" w:rsidR="001B78F5" w:rsidRPr="001B78F5" w:rsidRDefault="001B78F5" w:rsidP="001B78F5">
      <w:pPr>
        <w:spacing w:before="120" w:after="120"/>
        <w:rPr>
          <w:rFonts w:cstheme="minorHAnsi"/>
        </w:rPr>
      </w:pPr>
      <w:r w:rsidRPr="001B78F5">
        <w:rPr>
          <w:rFonts w:cstheme="minorHAnsi"/>
        </w:rPr>
        <w:t>Consistent with introduction of diagnostic tests associated with access to other targeted therapies, pathologist training and quality assurance programs would be expected to be developed with respect to delivery of diagnostic tests for access to treatments targeting the PD-1 pathway on the PBS.</w:t>
      </w:r>
    </w:p>
    <w:p w14:paraId="264E5149" w14:textId="77777777" w:rsidR="001B78F5" w:rsidRPr="001B78F5" w:rsidRDefault="001B78F5" w:rsidP="001B78F5">
      <w:pPr>
        <w:keepNext/>
        <w:keepLines/>
        <w:spacing w:before="200" w:after="0"/>
        <w:outlineLvl w:val="2"/>
        <w:rPr>
          <w:rFonts w:asciiTheme="majorHAnsi" w:eastAsiaTheme="majorEastAsia" w:hAnsiTheme="majorHAnsi" w:cstheme="majorBidi"/>
          <w:b/>
          <w:bCs/>
          <w:color w:val="4F81BD" w:themeColor="accent1"/>
        </w:rPr>
      </w:pPr>
      <w:r w:rsidRPr="001B78F5">
        <w:rPr>
          <w:rFonts w:asciiTheme="majorHAnsi" w:eastAsiaTheme="majorEastAsia" w:hAnsiTheme="majorHAnsi" w:cstheme="majorBidi"/>
          <w:b/>
          <w:bCs/>
          <w:color w:val="4F81BD" w:themeColor="accent1"/>
        </w:rPr>
        <w:t>By whom</w:t>
      </w:r>
    </w:p>
    <w:p w14:paraId="264E514A" w14:textId="77777777" w:rsidR="001B78F5" w:rsidRPr="001B78F5" w:rsidRDefault="001B78F5" w:rsidP="001B78F5">
      <w:pPr>
        <w:spacing w:before="120" w:after="120"/>
        <w:rPr>
          <w:rFonts w:cstheme="minorHAnsi"/>
        </w:rPr>
      </w:pPr>
      <w:r w:rsidRPr="001B78F5">
        <w:rPr>
          <w:rFonts w:cstheme="minorHAnsi"/>
        </w:rPr>
        <w:t xml:space="preserve">A certified pathologist would be responsible for conducting the test and reporting the results.  </w:t>
      </w:r>
    </w:p>
    <w:p w14:paraId="264E514B" w14:textId="77777777" w:rsidR="00C473DA" w:rsidRDefault="001B78F5" w:rsidP="00C473DA">
      <w:pPr>
        <w:keepNext/>
        <w:keepLines/>
        <w:spacing w:before="200" w:after="0"/>
        <w:outlineLvl w:val="2"/>
        <w:rPr>
          <w:rFonts w:asciiTheme="majorHAnsi" w:eastAsiaTheme="majorEastAsia" w:hAnsiTheme="majorHAnsi" w:cstheme="majorBidi"/>
          <w:b/>
          <w:bCs/>
          <w:color w:val="4F81BD" w:themeColor="accent1"/>
        </w:rPr>
      </w:pPr>
      <w:r w:rsidRPr="001B78F5">
        <w:rPr>
          <w:rFonts w:asciiTheme="majorHAnsi" w:eastAsiaTheme="majorEastAsia" w:hAnsiTheme="majorHAnsi" w:cstheme="majorBidi"/>
          <w:b/>
          <w:bCs/>
          <w:color w:val="4F81BD" w:themeColor="accent1"/>
        </w:rPr>
        <w:t>Frequency of testing</w:t>
      </w:r>
      <w:r w:rsidR="005F2104">
        <w:rPr>
          <w:rFonts w:asciiTheme="majorHAnsi" w:eastAsiaTheme="majorEastAsia" w:hAnsiTheme="majorHAnsi" w:cstheme="majorBidi"/>
          <w:b/>
          <w:bCs/>
          <w:color w:val="4F81BD" w:themeColor="accent1"/>
        </w:rPr>
        <w:t xml:space="preserve"> and sample considerations</w:t>
      </w:r>
    </w:p>
    <w:p w14:paraId="264E514C" w14:textId="2BE5B061" w:rsidR="001B78F5" w:rsidRPr="001B78F5" w:rsidRDefault="00C473DA" w:rsidP="001B78F5">
      <w:pPr>
        <w:spacing w:before="120" w:after="120"/>
        <w:rPr>
          <w:rFonts w:cstheme="minorHAnsi"/>
        </w:rPr>
      </w:pPr>
      <w:r>
        <w:rPr>
          <w:rFonts w:cstheme="minorHAnsi"/>
        </w:rPr>
        <w:t>As per the protocols for the KN012 and KN045 studies, only one</w:t>
      </w:r>
      <w:r w:rsidR="001B78F5" w:rsidRPr="001B78F5">
        <w:rPr>
          <w:rFonts w:cstheme="minorHAnsi"/>
        </w:rPr>
        <w:t xml:space="preserve"> PD-L1 test </w:t>
      </w:r>
      <w:r w:rsidR="002010DF">
        <w:rPr>
          <w:rFonts w:cstheme="minorHAnsi"/>
        </w:rPr>
        <w:t xml:space="preserve">was required </w:t>
      </w:r>
      <w:r w:rsidR="001B78F5" w:rsidRPr="001B78F5">
        <w:rPr>
          <w:rFonts w:cstheme="minorHAnsi"/>
        </w:rPr>
        <w:t xml:space="preserve">through the course of their disease.  </w:t>
      </w:r>
      <w:r w:rsidR="00905CB2">
        <w:rPr>
          <w:rFonts w:cstheme="minorHAnsi"/>
        </w:rPr>
        <w:t>T</w:t>
      </w:r>
      <w:r>
        <w:rPr>
          <w:rFonts w:cstheme="minorHAnsi"/>
        </w:rPr>
        <w:t>he</w:t>
      </w:r>
      <w:r w:rsidRPr="00C473DA">
        <w:rPr>
          <w:rFonts w:cstheme="minorHAnsi"/>
        </w:rPr>
        <w:t xml:space="preserve"> </w:t>
      </w:r>
      <w:r w:rsidR="001B78F5" w:rsidRPr="001B78F5">
        <w:rPr>
          <w:rFonts w:cstheme="minorHAnsi"/>
        </w:rPr>
        <w:t xml:space="preserve">test </w:t>
      </w:r>
      <w:r w:rsidR="00905CB2">
        <w:rPr>
          <w:rFonts w:cstheme="minorHAnsi"/>
        </w:rPr>
        <w:t xml:space="preserve">would be </w:t>
      </w:r>
      <w:r w:rsidR="001B78F5" w:rsidRPr="001B78F5">
        <w:rPr>
          <w:rFonts w:cstheme="minorHAnsi"/>
        </w:rPr>
        <w:t>undertaken prior to commencement of pembrolizumab to enable identification of those patients most likely to benefit from treatment</w:t>
      </w:r>
      <w:r w:rsidR="00905CB2">
        <w:rPr>
          <w:rFonts w:cstheme="minorHAnsi"/>
        </w:rPr>
        <w:t xml:space="preserve"> (see </w:t>
      </w:r>
      <w:r w:rsidR="001B78F5" w:rsidRPr="00764432">
        <w:rPr>
          <w:rFonts w:cstheme="minorHAnsi"/>
        </w:rPr>
        <w:t xml:space="preserve">section entitled </w:t>
      </w:r>
      <w:r w:rsidR="001B78F5" w:rsidRPr="00764432">
        <w:rPr>
          <w:rFonts w:cstheme="minorHAnsi"/>
          <w:b/>
        </w:rPr>
        <w:t>Clinical Management Algorithm</w:t>
      </w:r>
      <w:r w:rsidR="00905CB2" w:rsidRPr="0009100E">
        <w:rPr>
          <w:rFonts w:cstheme="minorHAnsi"/>
        </w:rPr>
        <w:t>)</w:t>
      </w:r>
      <w:r w:rsidR="002010DF">
        <w:rPr>
          <w:rFonts w:cstheme="minorHAnsi"/>
          <w:b/>
        </w:rPr>
        <w:t xml:space="preserve">. </w:t>
      </w:r>
      <w:r w:rsidR="00764432">
        <w:rPr>
          <w:rFonts w:cstheme="minorHAnsi"/>
          <w:b/>
        </w:rPr>
        <w:t xml:space="preserve"> </w:t>
      </w:r>
      <w:r w:rsidR="001B78F5" w:rsidRPr="001B78F5">
        <w:rPr>
          <w:rFonts w:cstheme="minorHAnsi"/>
        </w:rPr>
        <w:t xml:space="preserve">There is </w:t>
      </w:r>
      <w:r>
        <w:rPr>
          <w:rFonts w:cstheme="minorHAnsi"/>
        </w:rPr>
        <w:t xml:space="preserve">currently </w:t>
      </w:r>
      <w:r w:rsidR="001B78F5" w:rsidRPr="001B78F5">
        <w:rPr>
          <w:rFonts w:cstheme="minorHAnsi"/>
        </w:rPr>
        <w:t>no known role for PD-L1 testing in monitoring a patient’s response to pembrolizumab treatment.</w:t>
      </w:r>
      <w:r w:rsidR="005F2104">
        <w:rPr>
          <w:rFonts w:cstheme="minorHAnsi"/>
        </w:rPr>
        <w:t xml:space="preserve"> As </w:t>
      </w:r>
      <w:r w:rsidR="00002E04">
        <w:rPr>
          <w:rFonts w:cstheme="minorHAnsi"/>
        </w:rPr>
        <w:t xml:space="preserve">mentioned previously, </w:t>
      </w:r>
      <w:r w:rsidR="005F2104">
        <w:rPr>
          <w:rFonts w:cstheme="minorHAnsi"/>
        </w:rPr>
        <w:t xml:space="preserve">KN-045 will include patients enrolled on the basis of </w:t>
      </w:r>
      <w:r w:rsidR="00EB2B3C" w:rsidRPr="00EB2B3C">
        <w:rPr>
          <w:rFonts w:cstheme="minorHAnsi"/>
        </w:rPr>
        <w:t>archival or newly obtained</w:t>
      </w:r>
      <w:r w:rsidR="00EB2B3C">
        <w:rPr>
          <w:rFonts w:cstheme="minorHAnsi"/>
        </w:rPr>
        <w:t xml:space="preserve"> biopsy tissue</w:t>
      </w:r>
      <w:r w:rsidR="00002E04">
        <w:rPr>
          <w:rFonts w:cstheme="minorHAnsi"/>
        </w:rPr>
        <w:t xml:space="preserve">. This information will be used to help inform the type of sample required for PD-L1 expression testing. </w:t>
      </w:r>
      <w:r w:rsidR="00EB2B3C" w:rsidRPr="00EB2B3C">
        <w:rPr>
          <w:rFonts w:cstheme="minorHAnsi"/>
        </w:rPr>
        <w:t xml:space="preserve">MSD </w:t>
      </w:r>
      <w:r w:rsidR="00EB2B3C">
        <w:rPr>
          <w:rFonts w:cstheme="minorHAnsi"/>
        </w:rPr>
        <w:t xml:space="preserve">will </w:t>
      </w:r>
      <w:r w:rsidR="00EB2B3C" w:rsidRPr="00EB2B3C">
        <w:rPr>
          <w:rFonts w:cstheme="minorHAnsi"/>
        </w:rPr>
        <w:t xml:space="preserve">present </w:t>
      </w:r>
      <w:r w:rsidR="00EB2B3C">
        <w:rPr>
          <w:rFonts w:cstheme="minorHAnsi"/>
        </w:rPr>
        <w:t xml:space="preserve">this information </w:t>
      </w:r>
      <w:r w:rsidR="00EB2B3C" w:rsidRPr="00EB2B3C">
        <w:rPr>
          <w:rFonts w:cstheme="minorHAnsi"/>
        </w:rPr>
        <w:t xml:space="preserve">for MSAC’s consideration </w:t>
      </w:r>
      <w:r w:rsidR="00002E04">
        <w:rPr>
          <w:rFonts w:cstheme="minorHAnsi"/>
        </w:rPr>
        <w:t xml:space="preserve">as part of a </w:t>
      </w:r>
      <w:r w:rsidR="00EB2B3C" w:rsidRPr="00EB2B3C">
        <w:rPr>
          <w:rFonts w:cstheme="minorHAnsi"/>
        </w:rPr>
        <w:t>co-dependent technology submission</w:t>
      </w:r>
      <w:r w:rsidR="00EB2B3C">
        <w:rPr>
          <w:rFonts w:cstheme="minorHAnsi"/>
        </w:rPr>
        <w:t>.</w:t>
      </w:r>
      <w:r w:rsidR="00AF4900">
        <w:rPr>
          <w:rFonts w:cstheme="minorHAnsi"/>
        </w:rPr>
        <w:t xml:space="preserve"> </w:t>
      </w:r>
      <w:r w:rsidR="00AF4900">
        <w:t xml:space="preserve">In addition, the application will seek to provide information on other relevant sample considerations as needed. These </w:t>
      </w:r>
      <w:r w:rsidR="00E34C03">
        <w:t xml:space="preserve">could </w:t>
      </w:r>
      <w:r w:rsidR="00BC56F2">
        <w:t>include</w:t>
      </w:r>
      <w:r w:rsidR="00AF4900">
        <w:t xml:space="preserve"> information on</w:t>
      </w:r>
      <w:r w:rsidR="00BC56F2">
        <w:t>:</w:t>
      </w:r>
      <w:r w:rsidR="00F118FA">
        <w:t xml:space="preserve"> </w:t>
      </w:r>
    </w:p>
    <w:p w14:paraId="3F71317B" w14:textId="57720D3D" w:rsidR="00F118FA" w:rsidRDefault="00F118FA" w:rsidP="00F118FA">
      <w:pPr>
        <w:pStyle w:val="ListParagraph"/>
        <w:numPr>
          <w:ilvl w:val="1"/>
          <w:numId w:val="33"/>
        </w:numPr>
      </w:pPr>
      <w:r w:rsidRPr="00F118FA">
        <w:t>Biopsy location</w:t>
      </w:r>
    </w:p>
    <w:p w14:paraId="1FE4C877" w14:textId="7566B3FB" w:rsidR="00BC56F2" w:rsidRDefault="00AF4900" w:rsidP="00F118FA">
      <w:pPr>
        <w:pStyle w:val="ListParagraph"/>
        <w:numPr>
          <w:ilvl w:val="1"/>
          <w:numId w:val="33"/>
        </w:numPr>
      </w:pPr>
      <w:r>
        <w:t xml:space="preserve">Type of </w:t>
      </w:r>
      <w:r w:rsidR="00BC56F2">
        <w:t xml:space="preserve">tissue </w:t>
      </w:r>
      <w:r>
        <w:t xml:space="preserve">(e.g. </w:t>
      </w:r>
      <w:r w:rsidRPr="00EB2B3C">
        <w:rPr>
          <w:rFonts w:cstheme="minorHAnsi"/>
        </w:rPr>
        <w:t>archival or newly obtained</w:t>
      </w:r>
      <w:r>
        <w:rPr>
          <w:rFonts w:cstheme="minorHAnsi"/>
        </w:rPr>
        <w:t>)</w:t>
      </w:r>
    </w:p>
    <w:p w14:paraId="2ADD3D37" w14:textId="0CBEEB6A" w:rsidR="00BC56F2" w:rsidRDefault="00AF4900" w:rsidP="00F118FA">
      <w:pPr>
        <w:pStyle w:val="ListParagraph"/>
        <w:numPr>
          <w:ilvl w:val="1"/>
          <w:numId w:val="33"/>
        </w:numPr>
      </w:pPr>
      <w:r>
        <w:t xml:space="preserve">Impact of prior exposure to treatment (e.g. </w:t>
      </w:r>
      <w:r w:rsidR="00BC56F2">
        <w:t xml:space="preserve">radiation </w:t>
      </w:r>
      <w:r>
        <w:t xml:space="preserve">or </w:t>
      </w:r>
      <w:r w:rsidR="00BC56F2" w:rsidRPr="00F8146C">
        <w:t xml:space="preserve"> chemotherapy</w:t>
      </w:r>
      <w:r>
        <w:t>)</w:t>
      </w:r>
      <w:r w:rsidR="00BC56F2" w:rsidRPr="00F8146C">
        <w:t xml:space="preserve">  </w:t>
      </w:r>
    </w:p>
    <w:p w14:paraId="3A1758FB" w14:textId="77777777" w:rsidR="006C1751" w:rsidRDefault="006C1751">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264E514D" w14:textId="33C8D16F" w:rsidR="001B78F5" w:rsidRPr="001B78F5" w:rsidRDefault="001B78F5" w:rsidP="001B78F5">
      <w:pPr>
        <w:spacing w:before="120" w:after="120"/>
        <w:rPr>
          <w:b/>
          <w:sz w:val="24"/>
          <w:szCs w:val="24"/>
        </w:rPr>
      </w:pPr>
      <w:r w:rsidRPr="001B78F5">
        <w:rPr>
          <w:rFonts w:asciiTheme="majorHAnsi" w:eastAsiaTheme="majorEastAsia" w:hAnsiTheme="majorHAnsi" w:cstheme="majorBidi"/>
          <w:b/>
          <w:bCs/>
          <w:color w:val="365F91" w:themeColor="accent1" w:themeShade="BF"/>
          <w:sz w:val="28"/>
          <w:szCs w:val="28"/>
        </w:rPr>
        <w:lastRenderedPageBreak/>
        <w:t>Co-dependent information</w:t>
      </w:r>
      <w:r w:rsidRPr="001B78F5">
        <w:rPr>
          <w:b/>
          <w:sz w:val="24"/>
          <w:szCs w:val="24"/>
        </w:rPr>
        <w:t xml:space="preserve"> </w:t>
      </w:r>
    </w:p>
    <w:p w14:paraId="264E514E"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Co-dependent drug</w:t>
      </w:r>
    </w:p>
    <w:p w14:paraId="264E514F" w14:textId="77777777" w:rsidR="001B78F5" w:rsidRPr="001B78F5" w:rsidRDefault="001B78F5" w:rsidP="001B78F5">
      <w:pPr>
        <w:spacing w:before="120" w:after="120"/>
        <w:rPr>
          <w:rFonts w:cstheme="minorHAnsi"/>
        </w:rPr>
      </w:pPr>
      <w:r w:rsidRPr="001B78F5">
        <w:rPr>
          <w:rFonts w:cstheme="minorHAnsi"/>
        </w:rPr>
        <w:t xml:space="preserve">Pembrolizumab is the </w:t>
      </w:r>
      <w:r w:rsidR="009A4816">
        <w:rPr>
          <w:rFonts w:cstheme="minorHAnsi"/>
        </w:rPr>
        <w:t xml:space="preserve">proposed </w:t>
      </w:r>
      <w:r w:rsidRPr="001B78F5">
        <w:rPr>
          <w:rFonts w:cstheme="minorHAnsi"/>
        </w:rPr>
        <w:t>co-dependent pharmaceutical medicine.  It has not yet been submitted to the PBAC for the treatment of advanced</w:t>
      </w:r>
      <w:r w:rsidR="00C473DA">
        <w:rPr>
          <w:rFonts w:cstheme="minorHAnsi"/>
        </w:rPr>
        <w:t>/metastatic bladder cancer</w:t>
      </w:r>
      <w:r w:rsidRPr="001B78F5">
        <w:rPr>
          <w:rFonts w:cstheme="minorHAnsi"/>
        </w:rPr>
        <w:t>, but will be in the future.</w:t>
      </w:r>
    </w:p>
    <w:p w14:paraId="264E5151" w14:textId="3A5E3A29" w:rsidR="001B78F5" w:rsidRDefault="00C473DA" w:rsidP="00905CB2">
      <w:pPr>
        <w:rPr>
          <w:lang w:eastAsia="en-AU"/>
        </w:rPr>
      </w:pPr>
      <w:r>
        <w:rPr>
          <w:rFonts w:cstheme="minorHAnsi"/>
          <w:lang w:eastAsia="en-AU"/>
        </w:rPr>
        <w:t>T</w:t>
      </w:r>
      <w:r w:rsidR="001B78F5" w:rsidRPr="001B78F5">
        <w:rPr>
          <w:rFonts w:cstheme="minorHAnsi"/>
          <w:lang w:eastAsia="en-AU"/>
        </w:rPr>
        <w:t xml:space="preserve">he proposed reimbursement for pembrolizumab is </w:t>
      </w:r>
      <w:r>
        <w:rPr>
          <w:rFonts w:cstheme="minorHAnsi"/>
          <w:lang w:eastAsia="en-AU"/>
        </w:rPr>
        <w:t xml:space="preserve">for the treatment of </w:t>
      </w:r>
      <w:r w:rsidRPr="00C473DA">
        <w:rPr>
          <w:rFonts w:cstheme="minorHAnsi"/>
          <w:lang w:eastAsia="en-AU"/>
        </w:rPr>
        <w:t xml:space="preserve">patients with metastatic </w:t>
      </w:r>
      <w:r w:rsidR="00815E3C" w:rsidRPr="00815E3C">
        <w:rPr>
          <w:rFonts w:cstheme="minorHAnsi"/>
          <w:lang w:eastAsia="en-AU"/>
        </w:rPr>
        <w:t>or locally advanced/</w:t>
      </w:r>
      <w:proofErr w:type="spellStart"/>
      <w:r w:rsidR="00815E3C" w:rsidRPr="00815E3C">
        <w:rPr>
          <w:rFonts w:cstheme="minorHAnsi"/>
          <w:lang w:eastAsia="en-AU"/>
        </w:rPr>
        <w:t>unresectable</w:t>
      </w:r>
      <w:proofErr w:type="spellEnd"/>
      <w:r w:rsidR="00815E3C" w:rsidRPr="00815E3C">
        <w:rPr>
          <w:rFonts w:cstheme="minorHAnsi"/>
          <w:lang w:eastAsia="en-AU"/>
        </w:rPr>
        <w:t xml:space="preserve"> </w:t>
      </w:r>
      <w:r w:rsidRPr="00C473DA">
        <w:rPr>
          <w:rFonts w:cstheme="minorHAnsi"/>
          <w:lang w:eastAsia="en-AU"/>
        </w:rPr>
        <w:t>bladder cancer that has recurred or progressed following platinum-based chemotherapy</w:t>
      </w:r>
      <w:r w:rsidR="00905CB2">
        <w:rPr>
          <w:rFonts w:cstheme="minorHAnsi"/>
          <w:lang w:eastAsia="en-AU"/>
        </w:rPr>
        <w:t xml:space="preserve">. </w:t>
      </w:r>
    </w:p>
    <w:p w14:paraId="264E5152" w14:textId="77777777" w:rsidR="001B78F5" w:rsidRPr="001B78F5" w:rsidRDefault="001B78F5" w:rsidP="001B78F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t xml:space="preserve">Comparator </w:t>
      </w:r>
    </w:p>
    <w:p w14:paraId="264E5153"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ED50DB">
        <w:rPr>
          <w:rFonts w:asciiTheme="majorHAnsi" w:eastAsiaTheme="majorEastAsia" w:hAnsiTheme="majorHAnsi" w:cstheme="majorBidi"/>
          <w:b/>
          <w:bCs/>
          <w:color w:val="4F81BD" w:themeColor="accent1"/>
          <w:sz w:val="26"/>
          <w:szCs w:val="26"/>
        </w:rPr>
        <w:t>Test</w:t>
      </w:r>
    </w:p>
    <w:p w14:paraId="70D72E77" w14:textId="75DC9FD5" w:rsidR="006A3EED" w:rsidRDefault="006A3EED" w:rsidP="00387FAF">
      <w:r w:rsidRPr="006A3EED">
        <w:t>In the current treatment algorithm for advanced/metastatic bladder cancer, there is no PD-L1 testing for patients with advanced/metastatic bladder cancer that has recurred or progressed following platinum-based chemotherapy. The</w:t>
      </w:r>
      <w:r>
        <w:t>refore, for the purposes of the submission, the</w:t>
      </w:r>
      <w:r w:rsidRPr="006A3EED">
        <w:t xml:space="preserve"> comparator </w:t>
      </w:r>
      <w:r>
        <w:t>will be</w:t>
      </w:r>
      <w:r w:rsidRPr="006A3EED">
        <w:t xml:space="preserve"> ‘no PD-L1 testing’.</w:t>
      </w:r>
    </w:p>
    <w:p w14:paraId="245807A6" w14:textId="4C5409B3" w:rsidR="00387FAF" w:rsidRDefault="00387FAF" w:rsidP="001B78F5">
      <w:r w:rsidRPr="00387FAF">
        <w:t xml:space="preserve">As part of </w:t>
      </w:r>
      <w:r w:rsidR="00B12AFC">
        <w:t>the</w:t>
      </w:r>
      <w:r w:rsidRPr="00387FAF">
        <w:t xml:space="preserve"> submission, </w:t>
      </w:r>
      <w:r>
        <w:t>MSD will</w:t>
      </w:r>
      <w:r w:rsidRPr="00387FAF">
        <w:t xml:space="preserve"> </w:t>
      </w:r>
      <w:r>
        <w:t xml:space="preserve">collate any information </w:t>
      </w:r>
      <w:r w:rsidRPr="00387FAF">
        <w:t xml:space="preserve">in the public domain relative to other </w:t>
      </w:r>
      <w:r>
        <w:t xml:space="preserve">PD-L1 </w:t>
      </w:r>
      <w:r w:rsidRPr="00387FAF">
        <w:t>tests that might be available</w:t>
      </w:r>
      <w:r w:rsidR="00B12AFC" w:rsidRPr="00B12AFC">
        <w:t xml:space="preserve"> </w:t>
      </w:r>
      <w:r w:rsidR="00B12AFC">
        <w:t xml:space="preserve">and </w:t>
      </w:r>
      <w:r w:rsidR="00B12AFC" w:rsidRPr="00B12AFC">
        <w:t>present</w:t>
      </w:r>
      <w:r w:rsidR="00B12AFC">
        <w:t xml:space="preserve"> them</w:t>
      </w:r>
      <w:r w:rsidR="00B12AFC" w:rsidRPr="00B12AFC">
        <w:t xml:space="preserve"> for MSAC’s consideration in the co-dependent technology submission.</w:t>
      </w:r>
    </w:p>
    <w:p w14:paraId="264E5156" w14:textId="49BDF5BF"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Drug</w:t>
      </w:r>
    </w:p>
    <w:p w14:paraId="06D4EAB0" w14:textId="23D2FCA7" w:rsidR="002712A5" w:rsidRDefault="001B78F5" w:rsidP="002712A5">
      <w:r w:rsidRPr="001B78F5">
        <w:t xml:space="preserve">In patients with advanced or metastatic </w:t>
      </w:r>
      <w:r w:rsidR="00906239">
        <w:t>bladder cancer</w:t>
      </w:r>
      <w:r w:rsidRPr="001B78F5">
        <w:t xml:space="preserve">, after failure of platinum-based </w:t>
      </w:r>
      <w:r w:rsidR="00906239">
        <w:t xml:space="preserve">chemotherapy, there is currently no </w:t>
      </w:r>
      <w:r w:rsidR="000A0A4E">
        <w:t xml:space="preserve">defined </w:t>
      </w:r>
      <w:r w:rsidR="00906239">
        <w:t>standard of care in second line</w:t>
      </w:r>
      <w:r w:rsidR="000A0A4E">
        <w:t>, but</w:t>
      </w:r>
      <w:r w:rsidR="00906239">
        <w:t xml:space="preserve"> paclitaxel or </w:t>
      </w:r>
      <w:proofErr w:type="spellStart"/>
      <w:r w:rsidR="00906239">
        <w:t>docetaxel</w:t>
      </w:r>
      <w:proofErr w:type="spellEnd"/>
      <w:r w:rsidR="00906239">
        <w:t xml:space="preserve"> monotherapy </w:t>
      </w:r>
      <w:r w:rsidR="00906239" w:rsidRPr="00906239">
        <w:t xml:space="preserve">are </w:t>
      </w:r>
      <w:r w:rsidR="000A0A4E">
        <w:t>commonly used</w:t>
      </w:r>
      <w:r w:rsidR="00906239" w:rsidRPr="00906239">
        <w:t xml:space="preserve"> treatment options</w:t>
      </w:r>
      <w:r w:rsidR="00906239">
        <w:t>.</w:t>
      </w:r>
      <w:r w:rsidR="002712A5" w:rsidRPr="002712A5">
        <w:t xml:space="preserve"> </w:t>
      </w:r>
      <w:r w:rsidR="00FB67E7" w:rsidRPr="00FB67E7">
        <w:t>Treatment with vinflunine is not commonly</w:t>
      </w:r>
      <w:r w:rsidR="00FB67E7">
        <w:t xml:space="preserve"> </w:t>
      </w:r>
      <w:r w:rsidR="00FB67E7" w:rsidRPr="00FB67E7">
        <w:t>used especially as it is not PBS listed.</w:t>
      </w:r>
    </w:p>
    <w:p w14:paraId="561CEC09" w14:textId="70334CE2" w:rsidR="00FB67E7" w:rsidRDefault="002D1259" w:rsidP="002712A5">
      <w:r w:rsidRPr="002D1259">
        <w:t xml:space="preserve">Patients with advanced/metastatic bladder cancer that has recurred or progressed following platinum-based chemotherapy present a challenge </w:t>
      </w:r>
      <w:r w:rsidR="00AF4900">
        <w:t xml:space="preserve">since </w:t>
      </w:r>
      <w:r w:rsidRPr="002D1259">
        <w:t xml:space="preserve">at this stage of </w:t>
      </w:r>
      <w:r w:rsidR="001B78F5" w:rsidRPr="001B78F5">
        <w:t xml:space="preserve">the </w:t>
      </w:r>
      <w:r w:rsidRPr="002D1259">
        <w:t>disease</w:t>
      </w:r>
      <w:r w:rsidR="00AF4900">
        <w:t xml:space="preserve"> they generally have a very poor prognosis</w:t>
      </w:r>
      <w:r w:rsidR="00FB67E7">
        <w:t xml:space="preserve">. </w:t>
      </w:r>
      <w:r w:rsidR="00AF4900">
        <w:t xml:space="preserve">In addition, efficacy of existing chemotherapy agents is quite poor </w:t>
      </w:r>
      <w:r w:rsidR="00FB67E7">
        <w:t xml:space="preserve">and </w:t>
      </w:r>
      <w:r w:rsidR="00AF4900">
        <w:t xml:space="preserve">very few </w:t>
      </w:r>
      <w:r w:rsidR="00FB67E7" w:rsidRPr="00FB67E7">
        <w:t>patients are treated beyond</w:t>
      </w:r>
      <w:r w:rsidR="00FB67E7">
        <w:t xml:space="preserve"> </w:t>
      </w:r>
      <w:r w:rsidR="00FB67E7" w:rsidRPr="00FB67E7">
        <w:t>second line</w:t>
      </w:r>
      <w:r w:rsidR="00FB67E7">
        <w:t>.</w:t>
      </w:r>
    </w:p>
    <w:p w14:paraId="0C7FE21D" w14:textId="7B197F78" w:rsidR="002D1259" w:rsidRDefault="006505A3" w:rsidP="002712A5">
      <w:r>
        <w:t>In the case where a patient was to progress from second line therapy with</w:t>
      </w:r>
      <w:r w:rsidR="001B78F5" w:rsidRPr="001B78F5">
        <w:t xml:space="preserve"> pembrolizumab</w:t>
      </w:r>
      <w:r>
        <w:t>, taking into account the</w:t>
      </w:r>
      <w:r w:rsidR="000A3948">
        <w:t>ir</w:t>
      </w:r>
      <w:r>
        <w:t xml:space="preserve"> state of health and the</w:t>
      </w:r>
      <w:r w:rsidRPr="002D1259">
        <w:t xml:space="preserve"> dismal outcomes of the currently available treatments</w:t>
      </w:r>
      <w:r>
        <w:t xml:space="preserve">, expert clinical advice suggests that it is unlikely that the patient </w:t>
      </w:r>
      <w:r w:rsidR="00AF4900">
        <w:t>w</w:t>
      </w:r>
      <w:r>
        <w:t xml:space="preserve">ould tolerate  </w:t>
      </w:r>
      <w:r w:rsidR="00AF4900">
        <w:t xml:space="preserve">subsequent lines of </w:t>
      </w:r>
      <w:r>
        <w:t>chemotherapy.</w:t>
      </w:r>
      <w:r w:rsidR="00AF4900">
        <w:t xml:space="preserve"> </w:t>
      </w:r>
      <w:r w:rsidR="000A3948">
        <w:t xml:space="preserve">Based on this advice, it is thought that pembrolizumab will be considered as a replacement therapy in future clinical management algorithms. </w:t>
      </w:r>
    </w:p>
    <w:p w14:paraId="264E5158" w14:textId="7F180CFB" w:rsidR="001B78F5" w:rsidRPr="001B78F5" w:rsidRDefault="000A3948" w:rsidP="001B78F5">
      <w:r>
        <w:t>T</w:t>
      </w:r>
      <w:r w:rsidR="002712A5">
        <w:t xml:space="preserve">he relevant comparator </w:t>
      </w:r>
      <w:r w:rsidR="002712A5" w:rsidRPr="002712A5">
        <w:t xml:space="preserve">in the second line treatment of patients with advanced or metastatic bladder cancer </w:t>
      </w:r>
      <w:r>
        <w:t xml:space="preserve">is therefore thought to be one or more of paclitaxel and </w:t>
      </w:r>
      <w:proofErr w:type="spellStart"/>
      <w:r>
        <w:t>docetaxel</w:t>
      </w:r>
      <w:proofErr w:type="spellEnd"/>
      <w:r>
        <w:t xml:space="preserve">. This </w:t>
      </w:r>
      <w:r w:rsidR="002712A5">
        <w:t xml:space="preserve">will be </w:t>
      </w:r>
      <w:r w:rsidR="00525487">
        <w:t xml:space="preserve">later </w:t>
      </w:r>
      <w:r w:rsidR="002712A5">
        <w:t>confirmed and justification for this choice will be provided as part of the future submission.</w:t>
      </w:r>
    </w:p>
    <w:p w14:paraId="236C98F1" w14:textId="4297845F" w:rsidR="00547CBB" w:rsidRDefault="001B78F5" w:rsidP="00547CBB">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lastRenderedPageBreak/>
        <w:t>Co-dependence</w:t>
      </w:r>
    </w:p>
    <w:p w14:paraId="54880227" w14:textId="1DDE8187" w:rsidR="00B12AFC" w:rsidRDefault="00B12AFC" w:rsidP="00547CBB">
      <w:pPr>
        <w:keepNext/>
        <w:keepLines/>
        <w:spacing w:before="200" w:after="0"/>
        <w:outlineLvl w:val="1"/>
      </w:pPr>
      <w:r w:rsidRPr="00B12AFC">
        <w:t xml:space="preserve">This application is being lodged in </w:t>
      </w:r>
      <w:r w:rsidR="00547CBB">
        <w:t xml:space="preserve">the </w:t>
      </w:r>
      <w:r w:rsidRPr="00B12AFC">
        <w:t>case it is required to support a co-dependent technology submission for access to pembrolizumab in patients with advanced/metastatic bladder cancer who express PD-L1.</w:t>
      </w:r>
    </w:p>
    <w:p w14:paraId="57E240D8" w14:textId="58B700BA" w:rsidR="00547CBB" w:rsidRDefault="00547CBB" w:rsidP="00547CBB">
      <w:pPr>
        <w:keepNext/>
        <w:keepLines/>
        <w:spacing w:before="200" w:after="0"/>
        <w:outlineLvl w:val="1"/>
      </w:pPr>
      <w:r w:rsidRPr="00547CBB">
        <w:t xml:space="preserve">If this is the case, then the MSAC submission will present comparative </w:t>
      </w:r>
      <w:r w:rsidR="006A3EED">
        <w:t xml:space="preserve">effectiveness and safety </w:t>
      </w:r>
      <w:r w:rsidRPr="00547CBB">
        <w:t xml:space="preserve">outcomes and cost effectiveness </w:t>
      </w:r>
      <w:r w:rsidR="00156B47">
        <w:t>of</w:t>
      </w:r>
      <w:r w:rsidRPr="00547CBB">
        <w:t xml:space="preserve"> pembrolizumab versus standard of care</w:t>
      </w:r>
      <w:r w:rsidR="00156B47">
        <w:t xml:space="preserve"> in a PD-L1 positive population as well as an “all</w:t>
      </w:r>
      <w:r w:rsidR="00A6017C">
        <w:t>-</w:t>
      </w:r>
      <w:r w:rsidR="00156B47">
        <w:t>comers” population</w:t>
      </w:r>
      <w:r w:rsidRPr="00547CBB">
        <w:t>.</w:t>
      </w:r>
    </w:p>
    <w:p w14:paraId="0F2C4D7E" w14:textId="77777777" w:rsidR="007001F5" w:rsidRDefault="007001F5" w:rsidP="002712A5">
      <w:pPr>
        <w:contextualSpacing/>
        <w:rPr>
          <w:rFonts w:asciiTheme="majorHAnsi" w:eastAsiaTheme="majorEastAsia" w:hAnsiTheme="majorHAnsi" w:cstheme="majorBidi"/>
          <w:b/>
          <w:bCs/>
          <w:color w:val="365F91" w:themeColor="accent1" w:themeShade="BF"/>
          <w:sz w:val="28"/>
          <w:szCs w:val="28"/>
        </w:rPr>
      </w:pPr>
    </w:p>
    <w:p w14:paraId="264E515E" w14:textId="7A35DA84" w:rsidR="001B78F5" w:rsidRPr="001B78F5" w:rsidRDefault="001B78F5" w:rsidP="002712A5">
      <w:pPr>
        <w:contextualSpacing/>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t>Clinical claim for the proposed medical service</w:t>
      </w:r>
    </w:p>
    <w:p w14:paraId="264E515F" w14:textId="77777777" w:rsidR="001B78F5" w:rsidRPr="001B78F5" w:rsidRDefault="001B78F5" w:rsidP="001B78F5">
      <w:pPr>
        <w:spacing w:before="120" w:after="120"/>
        <w:rPr>
          <w:rFonts w:cstheme="minorHAnsi"/>
        </w:rPr>
      </w:pPr>
      <w:r w:rsidRPr="00D512A2">
        <w:rPr>
          <w:rFonts w:cstheme="minorHAnsi"/>
        </w:rPr>
        <w:t>The hypothesis being tested in the KN0</w:t>
      </w:r>
      <w:r w:rsidR="006A77AB" w:rsidRPr="00D512A2">
        <w:rPr>
          <w:rFonts w:cstheme="minorHAnsi"/>
        </w:rPr>
        <w:t>45</w:t>
      </w:r>
      <w:r w:rsidRPr="00D512A2">
        <w:rPr>
          <w:rFonts w:cstheme="minorHAnsi"/>
        </w:rPr>
        <w:t xml:space="preserve"> clinical trial is that PD-L1 testing followed by treatment with pembrolizumab in PD-L1 positive patients is associated with improved health outcomes. It will be driven by two factors:</w:t>
      </w:r>
    </w:p>
    <w:p w14:paraId="264E5160" w14:textId="77777777" w:rsidR="001B78F5" w:rsidRPr="001B78F5" w:rsidRDefault="001B78F5" w:rsidP="001B78F5">
      <w:pPr>
        <w:spacing w:before="120" w:after="120"/>
        <w:rPr>
          <w:rFonts w:cstheme="minorHAnsi"/>
        </w:rPr>
      </w:pPr>
      <w:r w:rsidRPr="001B78F5">
        <w:rPr>
          <w:rFonts w:cstheme="minorHAnsi"/>
        </w:rPr>
        <w:t>1.</w:t>
      </w:r>
      <w:r w:rsidRPr="001B78F5">
        <w:rPr>
          <w:rFonts w:cstheme="minorHAnsi"/>
        </w:rPr>
        <w:tab/>
        <w:t>Acceptable safety and analytical performance of PD-L1 test. (To be assessed by MSAC.)</w:t>
      </w:r>
    </w:p>
    <w:p w14:paraId="264E5161" w14:textId="77777777" w:rsidR="001B78F5" w:rsidRPr="001B78F5" w:rsidRDefault="001B78F5" w:rsidP="001B78F5">
      <w:pPr>
        <w:spacing w:before="120" w:after="120"/>
        <w:ind w:left="720" w:hanging="720"/>
        <w:rPr>
          <w:rFonts w:cstheme="minorHAnsi"/>
        </w:rPr>
      </w:pPr>
      <w:r w:rsidRPr="001B78F5">
        <w:rPr>
          <w:rFonts w:cstheme="minorHAnsi"/>
        </w:rPr>
        <w:t>2.</w:t>
      </w:r>
      <w:r w:rsidRPr="001B78F5">
        <w:rPr>
          <w:rFonts w:cstheme="minorHAnsi"/>
        </w:rPr>
        <w:tab/>
        <w:t>Superior effectiveness with acceptable safety of treating PD-L1 positive patients with pembrolizumab relative to standard of care. (To be assessed by PBAC).</w:t>
      </w:r>
    </w:p>
    <w:p w14:paraId="264E5162" w14:textId="77777777" w:rsidR="001B78F5" w:rsidRPr="001B78F5" w:rsidRDefault="001B78F5" w:rsidP="005303C7">
      <w:pPr>
        <w:rPr>
          <w:rFonts w:cstheme="minorHAnsi"/>
        </w:rPr>
      </w:pPr>
      <w:r w:rsidRPr="001B78F5">
        <w:rPr>
          <w:rFonts w:cstheme="minorHAnsi"/>
        </w:rPr>
        <w:t>The final clinical claim made in the reimbursement submission will be dr</w:t>
      </w:r>
      <w:r w:rsidR="006A77AB">
        <w:rPr>
          <w:rFonts w:cstheme="minorHAnsi"/>
        </w:rPr>
        <w:t>iven by the results of the KN045</w:t>
      </w:r>
      <w:r w:rsidRPr="001B78F5">
        <w:rPr>
          <w:rFonts w:cstheme="minorHAnsi"/>
        </w:rPr>
        <w:t>.</w:t>
      </w:r>
    </w:p>
    <w:p w14:paraId="264E5163" w14:textId="77777777" w:rsidR="001B78F5" w:rsidRPr="001B78F5" w:rsidRDefault="001B78F5" w:rsidP="005303C7">
      <w:pPr>
        <w:keepNext/>
        <w:keepLines/>
        <w:spacing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t>Expected health outcomes relating to the medical service</w:t>
      </w:r>
    </w:p>
    <w:p w14:paraId="264E5164"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PD-L1 Test Outcomes</w:t>
      </w:r>
    </w:p>
    <w:p w14:paraId="264E5165" w14:textId="77777777" w:rsidR="00D073CE" w:rsidRPr="00547CBB" w:rsidRDefault="00D073CE" w:rsidP="00D073CE">
      <w:pPr>
        <w:rPr>
          <w:spacing w:val="-1"/>
        </w:rPr>
      </w:pPr>
      <w:r w:rsidRPr="00547CBB">
        <w:rPr>
          <w:spacing w:val="-1"/>
        </w:rPr>
        <w:t>Outcome measures suitable to assess the analytic performance of PD-L1 IHC testing include:</w:t>
      </w:r>
    </w:p>
    <w:p w14:paraId="264E5166" w14:textId="77777777" w:rsidR="00D073CE" w:rsidRPr="00547CBB" w:rsidRDefault="00D073CE" w:rsidP="00384B12">
      <w:pPr>
        <w:numPr>
          <w:ilvl w:val="0"/>
          <w:numId w:val="3"/>
        </w:numPr>
        <w:contextualSpacing/>
        <w:rPr>
          <w:spacing w:val="-1"/>
        </w:rPr>
      </w:pPr>
      <w:r w:rsidRPr="00547CBB">
        <w:rPr>
          <w:spacing w:val="-1"/>
        </w:rPr>
        <w:t>Sensitivity</w:t>
      </w:r>
    </w:p>
    <w:p w14:paraId="264E5167" w14:textId="77777777" w:rsidR="00D073CE" w:rsidRPr="00547CBB" w:rsidRDefault="00D073CE" w:rsidP="00384B12">
      <w:pPr>
        <w:numPr>
          <w:ilvl w:val="0"/>
          <w:numId w:val="3"/>
        </w:numPr>
        <w:contextualSpacing/>
        <w:rPr>
          <w:spacing w:val="-1"/>
        </w:rPr>
      </w:pPr>
      <w:r w:rsidRPr="00547CBB">
        <w:rPr>
          <w:spacing w:val="-1"/>
        </w:rPr>
        <w:t>Specificity</w:t>
      </w:r>
    </w:p>
    <w:p w14:paraId="260BD68F" w14:textId="77777777" w:rsidR="00507408" w:rsidRPr="00507408" w:rsidRDefault="00507408" w:rsidP="00507408">
      <w:pPr>
        <w:numPr>
          <w:ilvl w:val="0"/>
          <w:numId w:val="3"/>
        </w:numPr>
        <w:contextualSpacing/>
        <w:rPr>
          <w:spacing w:val="-1"/>
        </w:rPr>
      </w:pPr>
      <w:r w:rsidRPr="00507408">
        <w:rPr>
          <w:spacing w:val="-1"/>
        </w:rPr>
        <w:t>Positive Predictive Value</w:t>
      </w:r>
    </w:p>
    <w:p w14:paraId="1C6C7404" w14:textId="6A61D9A8" w:rsidR="00507408" w:rsidRPr="00507408" w:rsidRDefault="00507408" w:rsidP="00507408">
      <w:pPr>
        <w:numPr>
          <w:ilvl w:val="0"/>
          <w:numId w:val="3"/>
        </w:numPr>
        <w:contextualSpacing/>
        <w:rPr>
          <w:spacing w:val="-1"/>
        </w:rPr>
      </w:pPr>
      <w:r w:rsidRPr="00507408">
        <w:rPr>
          <w:spacing w:val="-1"/>
        </w:rPr>
        <w:t xml:space="preserve">Negative Predictive Value </w:t>
      </w:r>
    </w:p>
    <w:p w14:paraId="66AFBDD5" w14:textId="77777777" w:rsidR="00547CBB" w:rsidRPr="00547CBB" w:rsidRDefault="00D073CE" w:rsidP="00384B12">
      <w:pPr>
        <w:numPr>
          <w:ilvl w:val="0"/>
          <w:numId w:val="4"/>
        </w:numPr>
        <w:contextualSpacing/>
        <w:rPr>
          <w:spacing w:val="-1"/>
        </w:rPr>
      </w:pPr>
      <w:r w:rsidRPr="00547CBB">
        <w:rPr>
          <w:spacing w:val="-1"/>
        </w:rPr>
        <w:t>Precision</w:t>
      </w:r>
    </w:p>
    <w:p w14:paraId="18765C15" w14:textId="20056DA0" w:rsidR="00507408" w:rsidRDefault="00507408" w:rsidP="00E66681">
      <w:pPr>
        <w:ind w:left="720"/>
        <w:contextualSpacing/>
        <w:rPr>
          <w:spacing w:val="-1"/>
        </w:rPr>
      </w:pPr>
    </w:p>
    <w:p w14:paraId="481B2C4E" w14:textId="77777777" w:rsidR="00507408" w:rsidRDefault="00507408" w:rsidP="00507408">
      <w:r>
        <w:t>Measure of Clinical Utility of PD-L1 test</w:t>
      </w:r>
    </w:p>
    <w:p w14:paraId="264E5168" w14:textId="7B9C6CCA" w:rsidR="00D073CE" w:rsidRPr="00C12355" w:rsidRDefault="00507408" w:rsidP="00C12355">
      <w:pPr>
        <w:numPr>
          <w:ilvl w:val="0"/>
          <w:numId w:val="5"/>
        </w:numPr>
        <w:rPr>
          <w:spacing w:val="-1"/>
        </w:rPr>
      </w:pPr>
      <w:r>
        <w:t xml:space="preserve">Health outcomes with </w:t>
      </w:r>
      <w:proofErr w:type="gramStart"/>
      <w:r>
        <w:t>pembrolizumab  in</w:t>
      </w:r>
      <w:proofErr w:type="gramEnd"/>
      <w:r>
        <w:t xml:space="preserve"> advanced/metastatic bladder cancer population whose tumours express PD-L1</w:t>
      </w:r>
      <w:r w:rsidR="000E125E">
        <w:t xml:space="preserve"> (PD-L1 positive)</w:t>
      </w:r>
      <w:r>
        <w:t xml:space="preserve"> compared to health outcomes with pembrolizumab </w:t>
      </w:r>
      <w:r w:rsidR="000E125E">
        <w:t>in advanced/metastatic bladder cancer population (all comers).</w:t>
      </w:r>
    </w:p>
    <w:p w14:paraId="264E516C" w14:textId="54DF4C39" w:rsidR="00D073CE" w:rsidRPr="00547CBB" w:rsidRDefault="00D073CE" w:rsidP="00D073CE">
      <w:pPr>
        <w:rPr>
          <w:spacing w:val="-1"/>
        </w:rPr>
      </w:pPr>
      <w:r w:rsidRPr="00547CBB">
        <w:t>Other considerations</w:t>
      </w:r>
    </w:p>
    <w:p w14:paraId="264E516D" w14:textId="77777777" w:rsidR="00D073CE" w:rsidRPr="00547CBB" w:rsidRDefault="00D073CE" w:rsidP="00384B12">
      <w:pPr>
        <w:numPr>
          <w:ilvl w:val="0"/>
          <w:numId w:val="5"/>
        </w:numPr>
        <w:contextualSpacing/>
        <w:rPr>
          <w:spacing w:val="-1"/>
        </w:rPr>
      </w:pPr>
      <w:r w:rsidRPr="00547CBB">
        <w:rPr>
          <w:spacing w:val="-1"/>
        </w:rPr>
        <w:t>Rates of re-biopsy</w:t>
      </w:r>
    </w:p>
    <w:p w14:paraId="30354ADC" w14:textId="2F33DBE2" w:rsidR="00507408" w:rsidRPr="00507408" w:rsidRDefault="00507408" w:rsidP="00E66681">
      <w:pPr>
        <w:numPr>
          <w:ilvl w:val="0"/>
          <w:numId w:val="5"/>
        </w:numPr>
        <w:spacing w:after="0"/>
        <w:rPr>
          <w:spacing w:val="-1"/>
        </w:rPr>
      </w:pPr>
      <w:r w:rsidRPr="00507408">
        <w:rPr>
          <w:spacing w:val="-1"/>
        </w:rPr>
        <w:t>Rates of re-testing</w:t>
      </w:r>
    </w:p>
    <w:p w14:paraId="264E516E" w14:textId="77777777" w:rsidR="00D073CE" w:rsidRPr="00547CBB" w:rsidRDefault="00D073CE" w:rsidP="00384B12">
      <w:pPr>
        <w:numPr>
          <w:ilvl w:val="0"/>
          <w:numId w:val="5"/>
        </w:numPr>
        <w:contextualSpacing/>
        <w:rPr>
          <w:spacing w:val="-1"/>
        </w:rPr>
      </w:pPr>
      <w:r w:rsidRPr="00547CBB">
        <w:rPr>
          <w:spacing w:val="-1"/>
        </w:rPr>
        <w:t>Anticipated test turnaround time.</w:t>
      </w:r>
    </w:p>
    <w:p w14:paraId="264E516F" w14:textId="77777777" w:rsidR="00D073CE" w:rsidRPr="00547CBB" w:rsidRDefault="00D073CE" w:rsidP="00384B12">
      <w:pPr>
        <w:numPr>
          <w:ilvl w:val="0"/>
          <w:numId w:val="6"/>
        </w:numPr>
        <w:contextualSpacing/>
        <w:rPr>
          <w:spacing w:val="-1"/>
        </w:rPr>
      </w:pPr>
      <w:r w:rsidRPr="00547CBB">
        <w:rPr>
          <w:spacing w:val="-1"/>
        </w:rPr>
        <w:t>The estimated number of patients being tested</w:t>
      </w:r>
    </w:p>
    <w:p w14:paraId="264E5170" w14:textId="77777777" w:rsidR="00D073CE" w:rsidRPr="00547CBB" w:rsidRDefault="00D073CE" w:rsidP="00384B12">
      <w:pPr>
        <w:numPr>
          <w:ilvl w:val="0"/>
          <w:numId w:val="6"/>
        </w:numPr>
        <w:contextualSpacing/>
        <w:rPr>
          <w:spacing w:val="-1"/>
        </w:rPr>
      </w:pPr>
      <w:r w:rsidRPr="00547CBB">
        <w:rPr>
          <w:spacing w:val="-1"/>
        </w:rPr>
        <w:t>The number of patients tested per case of PD-L1 positive result detected</w:t>
      </w:r>
    </w:p>
    <w:p w14:paraId="264E5171" w14:textId="77777777" w:rsidR="00D073CE" w:rsidRPr="00547CBB" w:rsidRDefault="00D073CE" w:rsidP="00384B12">
      <w:pPr>
        <w:numPr>
          <w:ilvl w:val="0"/>
          <w:numId w:val="6"/>
        </w:numPr>
        <w:contextualSpacing/>
        <w:rPr>
          <w:spacing w:val="-1"/>
        </w:rPr>
      </w:pPr>
      <w:r w:rsidRPr="00547CBB">
        <w:rPr>
          <w:spacing w:val="-1"/>
        </w:rPr>
        <w:t xml:space="preserve">The number of patients tested per case of PD-L1 positive result treated with pembrolizumab </w:t>
      </w:r>
    </w:p>
    <w:p w14:paraId="264E5172" w14:textId="77777777" w:rsidR="00D073CE" w:rsidRPr="00547CBB" w:rsidRDefault="00D073CE" w:rsidP="00384B12">
      <w:pPr>
        <w:numPr>
          <w:ilvl w:val="0"/>
          <w:numId w:val="6"/>
        </w:numPr>
        <w:contextualSpacing/>
        <w:rPr>
          <w:spacing w:val="-1"/>
        </w:rPr>
      </w:pPr>
      <w:r w:rsidRPr="00547CBB">
        <w:rPr>
          <w:spacing w:val="-1"/>
        </w:rPr>
        <w:t>The cost of testing per case of PD-L1 positive advanced/metastatic bladder cancer detected</w:t>
      </w:r>
    </w:p>
    <w:p w14:paraId="264E5173" w14:textId="77777777" w:rsidR="00D073CE" w:rsidRDefault="00D073CE" w:rsidP="00384B12">
      <w:pPr>
        <w:numPr>
          <w:ilvl w:val="0"/>
          <w:numId w:val="6"/>
        </w:numPr>
        <w:contextualSpacing/>
        <w:rPr>
          <w:spacing w:val="-1"/>
        </w:rPr>
      </w:pPr>
      <w:r w:rsidRPr="00547CBB">
        <w:rPr>
          <w:spacing w:val="-1"/>
        </w:rPr>
        <w:lastRenderedPageBreak/>
        <w:t>The cost of testing per case of PD-L1 positive advanced/metastatic bladder cancer treated with pembrolizumab.</w:t>
      </w:r>
    </w:p>
    <w:p w14:paraId="4C20159F" w14:textId="47ADE4A2" w:rsidR="00045B4E" w:rsidRDefault="00045B4E" w:rsidP="005303C7">
      <w:pPr>
        <w:ind w:left="360"/>
        <w:contextualSpacing/>
        <w:rPr>
          <w:spacing w:val="-1"/>
        </w:rPr>
      </w:pPr>
    </w:p>
    <w:p w14:paraId="264E5175" w14:textId="39426132" w:rsidR="00C506C4" w:rsidRDefault="00D073CE" w:rsidP="00FB168F">
      <w:pPr>
        <w:keepNext/>
        <w:keepLines/>
        <w:spacing w:before="200" w:after="0"/>
        <w:outlineLvl w:val="2"/>
        <w:rPr>
          <w:rFonts w:eastAsiaTheme="majorEastAsia" w:cstheme="minorHAnsi"/>
          <w:bCs/>
          <w:color w:val="000000" w:themeColor="text1"/>
        </w:rPr>
      </w:pPr>
      <w:r w:rsidRPr="00547CBB">
        <w:rPr>
          <w:rFonts w:eastAsiaTheme="majorEastAsia" w:cstheme="minorHAnsi"/>
          <w:bCs/>
          <w:color w:val="000000" w:themeColor="text1"/>
        </w:rPr>
        <w:t>Information belonging to the above headings</w:t>
      </w:r>
      <w:r w:rsidR="00C506C4" w:rsidRPr="00547CBB">
        <w:rPr>
          <w:rFonts w:eastAsiaTheme="majorEastAsia" w:cstheme="minorHAnsi"/>
          <w:bCs/>
          <w:color w:val="000000" w:themeColor="text1"/>
        </w:rPr>
        <w:t xml:space="preserve"> on PD-L1 test outcomes for the use of the PD-L1 IHC 22C3 </w:t>
      </w:r>
      <w:proofErr w:type="spellStart"/>
      <w:r w:rsidR="00C506C4" w:rsidRPr="00547CBB">
        <w:rPr>
          <w:rFonts w:eastAsiaTheme="majorEastAsia" w:cstheme="minorHAnsi"/>
          <w:bCs/>
          <w:color w:val="000000" w:themeColor="text1"/>
        </w:rPr>
        <w:t>pharmDx</w:t>
      </w:r>
      <w:proofErr w:type="spellEnd"/>
      <w:r w:rsidR="00C506C4" w:rsidRPr="00547CBB">
        <w:rPr>
          <w:rFonts w:eastAsiaTheme="majorEastAsia" w:cstheme="minorHAnsi"/>
          <w:bCs/>
          <w:color w:val="000000" w:themeColor="text1"/>
        </w:rPr>
        <w:t xml:space="preserve"> Market Ready Assay for access to pembrolizumab in patients with recurrent or progressive metastatic bladder cancer that has recurred or progressed following platinum-based chemotherapy will be presented for MSAC’s consideration in the co-dependent technology submission.</w:t>
      </w:r>
    </w:p>
    <w:p w14:paraId="0AA69AED" w14:textId="645D6E4D" w:rsidR="00045B4E" w:rsidRDefault="00045B4E" w:rsidP="005D56DD">
      <w:pPr>
        <w:keepNext/>
        <w:keepLines/>
        <w:spacing w:after="0"/>
        <w:outlineLvl w:val="1"/>
        <w:rPr>
          <w:rFonts w:asciiTheme="majorHAnsi" w:eastAsiaTheme="majorEastAsia" w:hAnsiTheme="majorHAnsi" w:cstheme="majorBidi"/>
          <w:b/>
          <w:bCs/>
          <w:color w:val="4F81BD" w:themeColor="accent1"/>
          <w:sz w:val="26"/>
          <w:szCs w:val="26"/>
        </w:rPr>
      </w:pPr>
    </w:p>
    <w:p w14:paraId="264E5177" w14:textId="77777777" w:rsidR="001B78F5" w:rsidRPr="001B78F5" w:rsidRDefault="001B78F5" w:rsidP="005D56DD">
      <w:pPr>
        <w:keepNext/>
        <w:keepLines/>
        <w:spacing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Drug Outcomes</w:t>
      </w:r>
    </w:p>
    <w:p w14:paraId="264E5178" w14:textId="77777777" w:rsidR="001B78F5" w:rsidRPr="001B78F5" w:rsidRDefault="001B78F5" w:rsidP="001B78F5">
      <w:pPr>
        <w:rPr>
          <w:spacing w:val="-1"/>
        </w:rPr>
      </w:pPr>
      <w:r w:rsidRPr="001B78F5">
        <w:rPr>
          <w:spacing w:val="-1"/>
        </w:rPr>
        <w:t>Measures of clinical efficacy for pembrolizumab include:</w:t>
      </w:r>
    </w:p>
    <w:p w14:paraId="264E5179" w14:textId="77777777" w:rsidR="001B78F5" w:rsidRPr="001B78F5" w:rsidRDefault="001B78F5" w:rsidP="001B78F5">
      <w:pPr>
        <w:rPr>
          <w:spacing w:val="-1"/>
        </w:rPr>
      </w:pPr>
      <w:r w:rsidRPr="001B78F5">
        <w:rPr>
          <w:spacing w:val="-1"/>
        </w:rPr>
        <w:t>Primary outcome:</w:t>
      </w:r>
    </w:p>
    <w:p w14:paraId="264E517A"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 xml:space="preserve">Overall survival </w:t>
      </w:r>
    </w:p>
    <w:p w14:paraId="264E517B"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 xml:space="preserve">Progression free survival </w:t>
      </w:r>
    </w:p>
    <w:p w14:paraId="264E517C"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Safety and tolerability.</w:t>
      </w:r>
    </w:p>
    <w:p w14:paraId="264E517D" w14:textId="77777777" w:rsidR="001B78F5" w:rsidRPr="001B78F5" w:rsidRDefault="001B78F5" w:rsidP="001B78F5">
      <w:pPr>
        <w:rPr>
          <w:rFonts w:cstheme="minorHAnsi"/>
          <w:spacing w:val="-1"/>
        </w:rPr>
      </w:pPr>
      <w:r w:rsidRPr="001B78F5">
        <w:rPr>
          <w:rFonts w:cstheme="minorHAnsi"/>
          <w:spacing w:val="-1"/>
        </w:rPr>
        <w:t>Secondary outcomes</w:t>
      </w:r>
    </w:p>
    <w:p w14:paraId="264E517E" w14:textId="77777777" w:rsidR="001B78F5" w:rsidRPr="001B78F5" w:rsidRDefault="001B78F5" w:rsidP="00384B12">
      <w:pPr>
        <w:numPr>
          <w:ilvl w:val="0"/>
          <w:numId w:val="7"/>
        </w:numPr>
        <w:contextualSpacing/>
        <w:rPr>
          <w:rFonts w:cstheme="minorHAnsi"/>
          <w:b/>
          <w:spacing w:val="-1"/>
        </w:rPr>
      </w:pPr>
      <w:r w:rsidRPr="001B78F5">
        <w:rPr>
          <w:rFonts w:cstheme="minorHAnsi"/>
          <w:spacing w:val="-1"/>
        </w:rPr>
        <w:t>Objective tumour response rates (</w:t>
      </w:r>
      <w:r w:rsidRPr="001B78F5">
        <w:rPr>
          <w:rFonts w:cstheme="minorHAnsi"/>
        </w:rPr>
        <w:t>complete response or partial response according to RECIST criteria)</w:t>
      </w:r>
    </w:p>
    <w:p w14:paraId="264E517F"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Quality of life</w:t>
      </w:r>
    </w:p>
    <w:p w14:paraId="264E5180"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Disease control rate (response rate + rate of stable disease)</w:t>
      </w:r>
    </w:p>
    <w:p w14:paraId="264E5181"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Duration of response</w:t>
      </w:r>
    </w:p>
    <w:p w14:paraId="264E5182"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Rate of disease progression</w:t>
      </w:r>
    </w:p>
    <w:p w14:paraId="264E5183"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Time to progression</w:t>
      </w:r>
    </w:p>
    <w:p w14:paraId="0989FEB0" w14:textId="77777777" w:rsidR="00045B4E" w:rsidRDefault="00045B4E" w:rsidP="001B78F5">
      <w:pPr>
        <w:keepNext/>
        <w:keepLines/>
        <w:spacing w:before="200" w:after="0"/>
        <w:outlineLvl w:val="1"/>
        <w:rPr>
          <w:rFonts w:asciiTheme="majorHAnsi" w:eastAsiaTheme="majorEastAsia" w:hAnsiTheme="majorHAnsi" w:cstheme="majorBidi"/>
          <w:b/>
          <w:bCs/>
          <w:color w:val="4F81BD" w:themeColor="accent1"/>
          <w:sz w:val="26"/>
          <w:szCs w:val="26"/>
        </w:rPr>
      </w:pPr>
      <w:bookmarkStart w:id="3" w:name="_Ref418513871"/>
    </w:p>
    <w:p w14:paraId="264E5184"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Risks to patient</w:t>
      </w:r>
      <w:bookmarkEnd w:id="3"/>
    </w:p>
    <w:p w14:paraId="264E5185" w14:textId="77777777" w:rsidR="001B78F5" w:rsidRPr="00874D36" w:rsidRDefault="001B78F5" w:rsidP="001B78F5">
      <w:pPr>
        <w:spacing w:before="120" w:after="120"/>
        <w:rPr>
          <w:rFonts w:cstheme="minorHAnsi"/>
        </w:rPr>
      </w:pPr>
      <w:r w:rsidRPr="00874D36">
        <w:rPr>
          <w:rFonts w:cstheme="minorHAnsi"/>
        </w:rPr>
        <w:t>PD-L1 testing is performed on tissue slices taken from a biopsy specimen obtained as part of standard diagnostic work-up and thus, in itself, does not incur any risks to patient.</w:t>
      </w:r>
    </w:p>
    <w:p w14:paraId="264E5186" w14:textId="7FA3D009" w:rsidR="001B78F5" w:rsidRPr="00B92802" w:rsidRDefault="001B78F5" w:rsidP="00731D8E">
      <w:pPr>
        <w:spacing w:before="120" w:after="120"/>
        <w:rPr>
          <w:rFonts w:cstheme="minorHAnsi"/>
        </w:rPr>
      </w:pPr>
      <w:r w:rsidRPr="00175CC9">
        <w:rPr>
          <w:rFonts w:cstheme="minorHAnsi"/>
        </w:rPr>
        <w:t xml:space="preserve">The main risk to patient would occur if a re-biopsy is required in order to obtain tissue to perform the IHC test.  </w:t>
      </w:r>
      <w:r w:rsidR="00175CC9" w:rsidRPr="00175CC9">
        <w:rPr>
          <w:rFonts w:cstheme="minorHAnsi"/>
        </w:rPr>
        <w:t xml:space="preserve">Cystoscopies performed to obtain biopsies </w:t>
      </w:r>
      <w:r w:rsidRPr="00175CC9">
        <w:rPr>
          <w:rFonts w:cstheme="minorHAnsi"/>
        </w:rPr>
        <w:t xml:space="preserve">can result in complications such as </w:t>
      </w:r>
      <w:r w:rsidR="00175CC9" w:rsidRPr="00175CC9">
        <w:rPr>
          <w:rFonts w:cstheme="minorHAnsi"/>
        </w:rPr>
        <w:t xml:space="preserve">damage to the urethra; damage to the bladder by puncturing the bladder wall; swelling at the exit of the bladder which may stop the passage of urine; bacteria may get into the blood stream with the development of septicaemia; bleeding; burning and scalding of urine for a few days after the procedure. </w:t>
      </w:r>
      <w:r w:rsidR="00175CC9">
        <w:rPr>
          <w:rFonts w:cstheme="minorHAnsi"/>
        </w:rPr>
        <w:t>The</w:t>
      </w:r>
      <w:r w:rsidRPr="00175CC9">
        <w:rPr>
          <w:rFonts w:cstheme="minorHAnsi"/>
        </w:rPr>
        <w:t xml:space="preserve"> </w:t>
      </w:r>
      <w:r w:rsidR="00175CC9" w:rsidRPr="00175CC9">
        <w:rPr>
          <w:rFonts w:cstheme="minorHAnsi"/>
        </w:rPr>
        <w:t xml:space="preserve">rate of incidence of these </w:t>
      </w:r>
      <w:r w:rsidRPr="00175CC9">
        <w:rPr>
          <w:rFonts w:cstheme="minorHAnsi"/>
        </w:rPr>
        <w:t xml:space="preserve">complications </w:t>
      </w:r>
      <w:r w:rsidR="00175CC9" w:rsidRPr="00175CC9">
        <w:rPr>
          <w:rFonts w:cstheme="minorHAnsi"/>
        </w:rPr>
        <w:t xml:space="preserve">is considered low. </w:t>
      </w:r>
      <w:r w:rsidR="00731D8E">
        <w:rPr>
          <w:rFonts w:cstheme="minorHAnsi"/>
        </w:rPr>
        <w:t>In addition to this, the majority of patients at this stage of the disease (advanced/m</w:t>
      </w:r>
      <w:r w:rsidR="00731D8E" w:rsidRPr="00731D8E">
        <w:rPr>
          <w:rFonts w:cstheme="minorHAnsi"/>
        </w:rPr>
        <w:t xml:space="preserve">etastatic </w:t>
      </w:r>
      <w:r w:rsidR="00731D8E">
        <w:rPr>
          <w:rFonts w:cstheme="minorHAnsi"/>
        </w:rPr>
        <w:t>bladder</w:t>
      </w:r>
      <w:r w:rsidR="00731D8E" w:rsidRPr="00731D8E">
        <w:rPr>
          <w:rFonts w:cstheme="minorHAnsi"/>
        </w:rPr>
        <w:t xml:space="preserve"> cancer that has recurred or progressed following platinum-based chemotherapy</w:t>
      </w:r>
      <w:r w:rsidR="00731D8E">
        <w:rPr>
          <w:rFonts w:cstheme="minorHAnsi"/>
        </w:rPr>
        <w:t>) have undergone a cystectomy (removal of the bladder) where a cy</w:t>
      </w:r>
      <w:r w:rsidR="007A090B">
        <w:rPr>
          <w:rFonts w:cstheme="minorHAnsi"/>
        </w:rPr>
        <w:t>s</w:t>
      </w:r>
      <w:r w:rsidR="00731D8E">
        <w:rPr>
          <w:rFonts w:cstheme="minorHAnsi"/>
        </w:rPr>
        <w:t>toscopy can no longer be performed.</w:t>
      </w:r>
      <w:r w:rsidR="00731D8E" w:rsidRPr="00731D8E">
        <w:rPr>
          <w:rFonts w:cstheme="minorHAnsi"/>
        </w:rPr>
        <w:t xml:space="preserve"> </w:t>
      </w:r>
      <w:r w:rsidR="007A090B">
        <w:rPr>
          <w:rFonts w:cstheme="minorHAnsi"/>
        </w:rPr>
        <w:t xml:space="preserve">In this case where a patient </w:t>
      </w:r>
      <w:r w:rsidR="00D2786D">
        <w:rPr>
          <w:rFonts w:cstheme="minorHAnsi"/>
        </w:rPr>
        <w:t>h</w:t>
      </w:r>
      <w:r w:rsidR="007A090B">
        <w:rPr>
          <w:rFonts w:cstheme="minorHAnsi"/>
        </w:rPr>
        <w:t xml:space="preserve">as undergone a cystectomy, the biopsy sample would be taken from a distant metastatic site. </w:t>
      </w:r>
      <w:r w:rsidRPr="00175CC9">
        <w:rPr>
          <w:rFonts w:cstheme="minorHAnsi"/>
        </w:rPr>
        <w:t>A re-biopsy would be required in two circumstances:</w:t>
      </w:r>
    </w:p>
    <w:p w14:paraId="264E5187" w14:textId="77777777" w:rsidR="001B78F5" w:rsidRPr="00045B4E" w:rsidRDefault="001B78F5" w:rsidP="005303C7">
      <w:pPr>
        <w:pStyle w:val="ListParagraph"/>
        <w:numPr>
          <w:ilvl w:val="0"/>
          <w:numId w:val="9"/>
        </w:numPr>
        <w:spacing w:before="120" w:after="120"/>
        <w:rPr>
          <w:rFonts w:cstheme="minorHAnsi"/>
        </w:rPr>
      </w:pPr>
      <w:r w:rsidRPr="00045B4E">
        <w:rPr>
          <w:rFonts w:cstheme="minorHAnsi"/>
        </w:rPr>
        <w:t>If insufficient tissue is retrieved from the initial biopsy to undertake the desired biomarker tests.  However, it is unlikely that the re-biopsy would be required specifically to undertake PD-L1 testing alone as IHC only uses a small amount of tissue</w:t>
      </w:r>
      <w:r w:rsidR="00B92802" w:rsidRPr="00045B4E">
        <w:rPr>
          <w:rFonts w:cstheme="minorHAnsi"/>
        </w:rPr>
        <w:t xml:space="preserve"> equivalent to a </w:t>
      </w:r>
      <w:r w:rsidRPr="00045B4E">
        <w:rPr>
          <w:rFonts w:cstheme="minorHAnsi"/>
        </w:rPr>
        <w:t xml:space="preserve">4 micron section.  Instead </w:t>
      </w:r>
      <w:r w:rsidRPr="00045B4E">
        <w:rPr>
          <w:rFonts w:cstheme="minorHAnsi"/>
        </w:rPr>
        <w:lastRenderedPageBreak/>
        <w:t>the re-biopsy would be required to undertake all biomarker tests relevant to the patient.  Hence there would be no increase in re-biopsy rate in this instance.</w:t>
      </w:r>
    </w:p>
    <w:p w14:paraId="6CABE1D5" w14:textId="77777777" w:rsidR="007001F5" w:rsidRDefault="007001F5" w:rsidP="00D47F90">
      <w:pPr>
        <w:pStyle w:val="ListParagraph"/>
        <w:keepNext/>
        <w:keepLines/>
        <w:spacing w:before="200" w:after="0"/>
        <w:ind w:left="360"/>
        <w:outlineLvl w:val="1"/>
        <w:rPr>
          <w:rFonts w:cstheme="minorHAnsi"/>
        </w:rPr>
      </w:pPr>
    </w:p>
    <w:p w14:paraId="55448A02" w14:textId="4CEB669E" w:rsidR="00AD463A" w:rsidRPr="00AD463A" w:rsidRDefault="001B78F5" w:rsidP="008F2AAC">
      <w:pPr>
        <w:pStyle w:val="ListParagraph"/>
        <w:keepNext/>
        <w:keepLines/>
        <w:numPr>
          <w:ilvl w:val="0"/>
          <w:numId w:val="9"/>
        </w:numPr>
        <w:spacing w:before="200" w:after="0"/>
        <w:outlineLvl w:val="1"/>
        <w:rPr>
          <w:rFonts w:cstheme="minorHAnsi"/>
        </w:rPr>
      </w:pPr>
      <w:r w:rsidRPr="00AD463A">
        <w:rPr>
          <w:rFonts w:cstheme="minorHAnsi"/>
        </w:rPr>
        <w:t xml:space="preserve">If MSAC recommend PD-L1 testing </w:t>
      </w:r>
      <w:proofErr w:type="gramStart"/>
      <w:r w:rsidRPr="00AD463A">
        <w:rPr>
          <w:rFonts w:cstheme="minorHAnsi"/>
        </w:rPr>
        <w:t>be</w:t>
      </w:r>
      <w:proofErr w:type="gramEnd"/>
      <w:r w:rsidRPr="00AD463A">
        <w:rPr>
          <w:rFonts w:cstheme="minorHAnsi"/>
        </w:rPr>
        <w:t xml:space="preserve"> performed on newly obtained tissue after failure of platinum-based chemotherapy</w:t>
      </w:r>
      <w:r w:rsidR="00F06878" w:rsidRPr="00AD463A">
        <w:rPr>
          <w:rFonts w:cstheme="minorHAnsi"/>
        </w:rPr>
        <w:t>.</w:t>
      </w:r>
      <w:r w:rsidRPr="00AD463A">
        <w:rPr>
          <w:rFonts w:cstheme="minorHAnsi"/>
        </w:rPr>
        <w:t xml:space="preserve"> In this situation all patients who have failed platinum-based chemotherapy (and thus would be eligible for pembrolizumab) would be required to undergo an additional biopsy to source fresh tissue for PD-L1 testing. In this scenario these re-biopsies would be additional to the current standard of care.</w:t>
      </w:r>
      <w:r w:rsidR="00547CBB" w:rsidRPr="00AD463A">
        <w:rPr>
          <w:rFonts w:cstheme="minorHAnsi"/>
        </w:rPr>
        <w:t xml:space="preserve"> If MSAC recommend PD-L1 testing be performed on archival tissue samples after failure of platinum-based chemotherapy, then in this situation all patients who have failed platinum-based chemotherapy (and thus would be eligible for pembrolizumab) would not be required to undergo an additional</w:t>
      </w:r>
      <w:r w:rsidR="00525487">
        <w:rPr>
          <w:rFonts w:cstheme="minorHAnsi"/>
        </w:rPr>
        <w:t xml:space="preserve"> biopsy</w:t>
      </w:r>
      <w:r w:rsidR="00547CBB" w:rsidRPr="00AD463A">
        <w:rPr>
          <w:rFonts w:cstheme="minorHAnsi"/>
        </w:rPr>
        <w:t>.</w:t>
      </w:r>
    </w:p>
    <w:p w14:paraId="264E518A" w14:textId="416F5DB2" w:rsidR="001B78F5" w:rsidRPr="00547CBB" w:rsidRDefault="001B78F5" w:rsidP="00547CBB">
      <w:pPr>
        <w:keepNext/>
        <w:keepLines/>
        <w:spacing w:before="200" w:after="0"/>
        <w:outlineLvl w:val="1"/>
        <w:rPr>
          <w:rFonts w:asciiTheme="majorHAnsi" w:eastAsiaTheme="majorEastAsia" w:hAnsiTheme="majorHAnsi" w:cstheme="majorBidi"/>
          <w:b/>
          <w:bCs/>
          <w:color w:val="4F81BD" w:themeColor="accent1"/>
          <w:sz w:val="26"/>
          <w:szCs w:val="26"/>
        </w:rPr>
      </w:pPr>
      <w:r w:rsidRPr="00547CBB">
        <w:rPr>
          <w:rFonts w:asciiTheme="majorHAnsi" w:eastAsiaTheme="majorEastAsia" w:hAnsiTheme="majorHAnsi" w:cstheme="majorBidi"/>
          <w:b/>
          <w:bCs/>
          <w:color w:val="4F81BD" w:themeColor="accent1"/>
          <w:sz w:val="26"/>
          <w:szCs w:val="26"/>
        </w:rPr>
        <w:t>Type of economic evaluation</w:t>
      </w:r>
    </w:p>
    <w:p w14:paraId="264E518B" w14:textId="77777777" w:rsidR="001B78F5" w:rsidRPr="001B78F5" w:rsidRDefault="001B78F5" w:rsidP="001B78F5">
      <w:pPr>
        <w:rPr>
          <w:rFonts w:cs="Arial"/>
        </w:rPr>
      </w:pPr>
      <w:r w:rsidRPr="001B78F5">
        <w:rPr>
          <w:rFonts w:cs="Arial"/>
        </w:rPr>
        <w:t>The decision regarding the structure of the economic evaluation will be made in consideration o</w:t>
      </w:r>
      <w:r w:rsidR="006A77AB">
        <w:rPr>
          <w:rFonts w:cs="Arial"/>
        </w:rPr>
        <w:t>f the data reported in the KN045</w:t>
      </w:r>
      <w:r w:rsidRPr="001B78F5">
        <w:rPr>
          <w:rFonts w:cs="Arial"/>
        </w:rPr>
        <w:t xml:space="preserve"> clinical trial, and the determination of which patient sub group(s) are reported as deriving the most clinical benefit from treatment with pembrolizumab.</w:t>
      </w:r>
    </w:p>
    <w:p w14:paraId="264E518C" w14:textId="77777777" w:rsidR="001B78F5" w:rsidRPr="001B78F5" w:rsidRDefault="006A77AB" w:rsidP="001B78F5">
      <w:pPr>
        <w:rPr>
          <w:rFonts w:cs="Arial"/>
        </w:rPr>
      </w:pPr>
      <w:r>
        <w:rPr>
          <w:rFonts w:cs="Arial"/>
        </w:rPr>
        <w:t>In the context of the KN045</w:t>
      </w:r>
      <w:r w:rsidR="001B78F5" w:rsidRPr="001B78F5">
        <w:rPr>
          <w:rFonts w:cs="Arial"/>
        </w:rPr>
        <w:t xml:space="preserve"> being designed as a superiority trial, it is anticipated that a cost-utility evaluation will be presented.</w:t>
      </w:r>
    </w:p>
    <w:p w14:paraId="264E518D" w14:textId="77777777" w:rsidR="001B78F5" w:rsidRPr="001B78F5" w:rsidRDefault="00941D33" w:rsidP="001B78F5">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Fee for the proposed medical </w:t>
      </w:r>
      <w:r w:rsidR="001B78F5" w:rsidRPr="001B78F5">
        <w:rPr>
          <w:rFonts w:asciiTheme="majorHAnsi" w:eastAsiaTheme="majorEastAsia" w:hAnsiTheme="majorHAnsi" w:cstheme="majorBidi"/>
          <w:b/>
          <w:bCs/>
          <w:color w:val="365F91" w:themeColor="accent1" w:themeShade="BF"/>
          <w:sz w:val="28"/>
          <w:szCs w:val="28"/>
        </w:rPr>
        <w:t>service</w:t>
      </w:r>
    </w:p>
    <w:p w14:paraId="264E518E"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Proposed funding</w:t>
      </w:r>
    </w:p>
    <w:p w14:paraId="264E518F" w14:textId="77777777" w:rsidR="001B78F5" w:rsidRPr="001B78F5" w:rsidRDefault="001B78F5" w:rsidP="001B78F5">
      <w:pPr>
        <w:spacing w:before="120" w:after="120"/>
        <w:rPr>
          <w:rFonts w:cstheme="minorHAnsi"/>
        </w:rPr>
      </w:pPr>
      <w:r w:rsidRPr="001B78F5">
        <w:rPr>
          <w:rFonts w:cstheme="minorHAnsi"/>
        </w:rPr>
        <w:t>It is proposed that PD-L1 testing should be a “pathologist determinable test”, in line with all other IHC tests.</w:t>
      </w:r>
    </w:p>
    <w:p w14:paraId="264E5190"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Direct costs of equipment/resources used with service</w:t>
      </w:r>
    </w:p>
    <w:p w14:paraId="4A94CD62" w14:textId="77777777" w:rsidR="00086AF6" w:rsidRDefault="001B78F5" w:rsidP="002138B3">
      <w:pPr>
        <w:spacing w:before="120" w:after="120"/>
      </w:pPr>
      <w:r w:rsidRPr="001B78F5">
        <w:t>IHC testing is a well</w:t>
      </w:r>
      <w:r w:rsidR="00ED2B35">
        <w:t>-</w:t>
      </w:r>
      <w:r w:rsidRPr="001B78F5">
        <w:t>established technique in all major pathology labs. Laboratories already have the platform infrastructure and reagents to perform PD-L1 IHC testing.  The PD-L1 antibody is the only additional resource required.</w:t>
      </w:r>
    </w:p>
    <w:p w14:paraId="433B75ED" w14:textId="77777777" w:rsidR="00086AF6" w:rsidRPr="001B78F5" w:rsidRDefault="001B78F5" w:rsidP="00086AF6">
      <w:pPr>
        <w:keepNext/>
        <w:keepLines/>
        <w:spacing w:before="200" w:after="0"/>
        <w:outlineLvl w:val="1"/>
        <w:rPr>
          <w:rFonts w:asciiTheme="majorHAnsi" w:eastAsiaTheme="majorEastAsia" w:hAnsiTheme="majorHAnsi" w:cstheme="majorBidi"/>
          <w:b/>
          <w:bCs/>
          <w:color w:val="4F81BD" w:themeColor="accent1"/>
          <w:sz w:val="26"/>
          <w:szCs w:val="26"/>
        </w:rPr>
      </w:pPr>
      <w:r w:rsidRPr="001B78F5">
        <w:t xml:space="preserve"> </w:t>
      </w:r>
      <w:r w:rsidR="00086AF6" w:rsidRPr="001B78F5">
        <w:rPr>
          <w:rFonts w:asciiTheme="majorHAnsi" w:eastAsiaTheme="majorEastAsia" w:hAnsiTheme="majorHAnsi" w:cstheme="majorBidi"/>
          <w:b/>
          <w:bCs/>
          <w:color w:val="4F81BD" w:themeColor="accent1"/>
          <w:sz w:val="26"/>
          <w:szCs w:val="26"/>
        </w:rPr>
        <w:t>The proposed fee</w:t>
      </w:r>
    </w:p>
    <w:p w14:paraId="5B27ED52" w14:textId="77777777" w:rsidR="00086AF6" w:rsidRPr="001B78F5" w:rsidRDefault="00086AF6" w:rsidP="00086AF6">
      <w:r w:rsidRPr="001B78F5">
        <w:t>The final fee request has yet to be determined. It is expected to be consistent with other fees for immunohistochemistry and will be based on consideration of the capital and the labour components required for pathologists to undertake PD-L1 testing and report the results.</w:t>
      </w:r>
      <w:r w:rsidR="00821C57">
        <w:t xml:space="preserve"> </w:t>
      </w:r>
      <w:r w:rsidR="00821C57" w:rsidRPr="00821C57">
        <w:t xml:space="preserve">MSD will present </w:t>
      </w:r>
      <w:r w:rsidR="00821C57">
        <w:t>the required</w:t>
      </w:r>
      <w:r w:rsidR="00821C57" w:rsidRPr="00821C57">
        <w:t xml:space="preserve"> information on the </w:t>
      </w:r>
      <w:r w:rsidR="00821C57">
        <w:t>proposed fee</w:t>
      </w:r>
      <w:r w:rsidR="00821C57" w:rsidRPr="00821C57">
        <w:t xml:space="preserve"> for MSAC’s consideration in the co-dependent technology submission</w:t>
      </w:r>
      <w:r w:rsidR="00821C57">
        <w:t>.</w:t>
      </w:r>
    </w:p>
    <w:p w14:paraId="64D95A9C" w14:textId="4436CD9B" w:rsidR="00086AF6" w:rsidRDefault="001B78F5" w:rsidP="002138B3">
      <w:pPr>
        <w:spacing w:before="120" w:after="120"/>
        <w:rPr>
          <w:rFonts w:asciiTheme="majorHAnsi" w:eastAsiaTheme="majorEastAsia" w:hAnsiTheme="majorHAnsi" w:cstheme="majorBidi"/>
          <w:b/>
          <w:bCs/>
          <w:color w:val="4F81BD" w:themeColor="accent1"/>
          <w:sz w:val="26"/>
          <w:szCs w:val="26"/>
        </w:rPr>
        <w:sectPr w:rsidR="00086AF6" w:rsidSect="002138B3">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992" w:left="1440" w:header="709" w:footer="709" w:gutter="0"/>
          <w:cols w:space="708"/>
          <w:docGrid w:linePitch="360"/>
        </w:sectPr>
      </w:pPr>
      <w:r w:rsidRPr="001B78F5">
        <w:t xml:space="preserve"> </w:t>
      </w:r>
    </w:p>
    <w:p w14:paraId="264E5194" w14:textId="77777777" w:rsidR="001B78F5" w:rsidRPr="001B78F5" w:rsidRDefault="001B78F5" w:rsidP="002138B3">
      <w:pPr>
        <w:keepNext/>
        <w:keepLines/>
        <w:spacing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lastRenderedPageBreak/>
        <w:t xml:space="preserve">Clinical Management Algorithm - clinical place for the proposed intervention </w:t>
      </w:r>
    </w:p>
    <w:p w14:paraId="264E5195"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Current treatment algorithm</w:t>
      </w:r>
    </w:p>
    <w:p w14:paraId="264E5196" w14:textId="66AB904B" w:rsidR="001B78F5" w:rsidRPr="006357BA" w:rsidRDefault="001B78F5" w:rsidP="006357BA">
      <w:pPr>
        <w:rPr>
          <w:rFonts w:cstheme="minorHAnsi"/>
        </w:rPr>
      </w:pPr>
      <w:r w:rsidRPr="006357BA">
        <w:t>The current treatment a</w:t>
      </w:r>
      <w:r w:rsidR="006A77AB" w:rsidRPr="006357BA">
        <w:t>lgorithm is o</w:t>
      </w:r>
      <w:r w:rsidR="006357BA" w:rsidRPr="006357BA">
        <w:t xml:space="preserve">utlined in </w:t>
      </w:r>
      <w:r w:rsidR="006357BA" w:rsidRPr="006357BA">
        <w:rPr>
          <w:b/>
        </w:rPr>
        <w:t xml:space="preserve">Figure </w:t>
      </w:r>
      <w:r w:rsidR="002712A5">
        <w:rPr>
          <w:b/>
        </w:rPr>
        <w:t>1</w:t>
      </w:r>
      <w:r w:rsidR="006357BA" w:rsidRPr="006357BA">
        <w:t xml:space="preserve">.  </w:t>
      </w:r>
      <w:r w:rsidRPr="006357BA">
        <w:t>For the purposes of this algorith</w:t>
      </w:r>
      <w:r w:rsidR="004D24F2" w:rsidRPr="006357BA">
        <w:t>m, the sponsor has assumed that</w:t>
      </w:r>
      <w:r w:rsidR="006357BA" w:rsidRPr="006357BA">
        <w:t xml:space="preserve"> when </w:t>
      </w:r>
      <w:r w:rsidRPr="006357BA">
        <w:rPr>
          <w:rFonts w:cstheme="minorHAnsi"/>
        </w:rPr>
        <w:t xml:space="preserve">patients progress following </w:t>
      </w:r>
      <w:r w:rsidR="006357BA" w:rsidRPr="006357BA">
        <w:rPr>
          <w:rFonts w:cstheme="minorHAnsi"/>
        </w:rPr>
        <w:t>any of the first line therapy options</w:t>
      </w:r>
      <w:r w:rsidRPr="006357BA">
        <w:rPr>
          <w:rFonts w:cstheme="minorHAnsi"/>
        </w:rPr>
        <w:t xml:space="preserve">, the majority are </w:t>
      </w:r>
      <w:r w:rsidR="006357BA" w:rsidRPr="006357BA">
        <w:rPr>
          <w:rFonts w:cstheme="minorHAnsi"/>
        </w:rPr>
        <w:t xml:space="preserve">then </w:t>
      </w:r>
      <w:r w:rsidRPr="006357BA">
        <w:rPr>
          <w:rFonts w:cstheme="minorHAnsi"/>
        </w:rPr>
        <w:t xml:space="preserve">treated with </w:t>
      </w:r>
      <w:r w:rsidR="00525487">
        <w:rPr>
          <w:rFonts w:cstheme="minorHAnsi"/>
        </w:rPr>
        <w:t xml:space="preserve">either </w:t>
      </w:r>
      <w:r w:rsidR="006357BA" w:rsidRPr="006357BA">
        <w:rPr>
          <w:rFonts w:cstheme="minorHAnsi"/>
        </w:rPr>
        <w:t>paclitaxel</w:t>
      </w:r>
      <w:r w:rsidR="00525487">
        <w:rPr>
          <w:rFonts w:cstheme="minorHAnsi"/>
        </w:rPr>
        <w:t xml:space="preserve"> or </w:t>
      </w:r>
      <w:proofErr w:type="spellStart"/>
      <w:r w:rsidR="00525487">
        <w:rPr>
          <w:rFonts w:cstheme="minorHAnsi"/>
        </w:rPr>
        <w:t>d</w:t>
      </w:r>
      <w:r w:rsidR="006357BA" w:rsidRPr="006357BA">
        <w:rPr>
          <w:rFonts w:cstheme="minorHAnsi"/>
        </w:rPr>
        <w:t>ocetaxel</w:t>
      </w:r>
      <w:proofErr w:type="spellEnd"/>
      <w:r w:rsidR="006357BA" w:rsidRPr="006357BA">
        <w:rPr>
          <w:rFonts w:cstheme="minorHAnsi"/>
        </w:rPr>
        <w:t xml:space="preserve"> </w:t>
      </w:r>
      <w:r w:rsidR="00525487">
        <w:rPr>
          <w:rFonts w:cstheme="minorHAnsi"/>
        </w:rPr>
        <w:t>monotherapy</w:t>
      </w:r>
      <w:r w:rsidR="00B9479A">
        <w:rPr>
          <w:rFonts w:cstheme="minorHAnsi"/>
        </w:rPr>
        <w:t>. Treatment with</w:t>
      </w:r>
      <w:r w:rsidRPr="006357BA">
        <w:rPr>
          <w:rFonts w:cstheme="minorHAnsi"/>
        </w:rPr>
        <w:t xml:space="preserve"> </w:t>
      </w:r>
      <w:r w:rsidR="006357BA" w:rsidRPr="006357BA">
        <w:rPr>
          <w:rFonts w:cstheme="minorHAnsi"/>
        </w:rPr>
        <w:t xml:space="preserve">vinflunine is not </w:t>
      </w:r>
      <w:r w:rsidR="00B9479A">
        <w:rPr>
          <w:rFonts w:cstheme="minorHAnsi"/>
        </w:rPr>
        <w:t>commonly</w:t>
      </w:r>
      <w:r w:rsidR="006357BA" w:rsidRPr="006357BA">
        <w:rPr>
          <w:rFonts w:cstheme="minorHAnsi"/>
        </w:rPr>
        <w:t xml:space="preserve"> used especially as it is </w:t>
      </w:r>
      <w:r w:rsidR="00525487">
        <w:rPr>
          <w:rFonts w:cstheme="minorHAnsi"/>
        </w:rPr>
        <w:t xml:space="preserve">not </w:t>
      </w:r>
      <w:r w:rsidR="006357BA" w:rsidRPr="006357BA">
        <w:rPr>
          <w:rFonts w:cstheme="minorHAnsi"/>
        </w:rPr>
        <w:t>PBS listed.</w:t>
      </w:r>
    </w:p>
    <w:p w14:paraId="264E5197"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Future treatment algorithms</w:t>
      </w:r>
    </w:p>
    <w:p w14:paraId="21AF6A1B" w14:textId="3A67F83C" w:rsidR="00547CBB" w:rsidRDefault="001B78F5" w:rsidP="001B78F5">
      <w:pPr>
        <w:rPr>
          <w:rFonts w:cstheme="minorHAnsi"/>
          <w:szCs w:val="20"/>
        </w:rPr>
      </w:pPr>
      <w:r w:rsidRPr="001B78F5">
        <w:rPr>
          <w:rFonts w:cstheme="minorHAnsi"/>
          <w:szCs w:val="20"/>
        </w:rPr>
        <w:t xml:space="preserve">The optimal placement of PD-L1 testing in the treatment algorithm for </w:t>
      </w:r>
      <w:r w:rsidR="002A4DDD">
        <w:rPr>
          <w:rFonts w:cstheme="minorHAnsi"/>
          <w:szCs w:val="20"/>
        </w:rPr>
        <w:t>advanced/metastatic bladder cancer</w:t>
      </w:r>
      <w:r w:rsidRPr="001B78F5">
        <w:rPr>
          <w:rFonts w:cstheme="minorHAnsi"/>
          <w:szCs w:val="20"/>
        </w:rPr>
        <w:t xml:space="preserve"> is to be determined. </w:t>
      </w:r>
      <w:r w:rsidR="00547CBB">
        <w:rPr>
          <w:rFonts w:cstheme="minorHAnsi"/>
          <w:szCs w:val="20"/>
        </w:rPr>
        <w:t>This will be</w:t>
      </w:r>
      <w:r w:rsidR="00547CBB" w:rsidRPr="00547CBB">
        <w:rPr>
          <w:rFonts w:cstheme="minorHAnsi"/>
          <w:szCs w:val="20"/>
        </w:rPr>
        <w:t xml:space="preserve"> determined in consultation with clinical experts, pathologists, and a review of the clinical data.</w:t>
      </w:r>
      <w:r w:rsidRPr="001B78F5">
        <w:rPr>
          <w:rFonts w:cstheme="minorHAnsi"/>
          <w:szCs w:val="20"/>
        </w:rPr>
        <w:t xml:space="preserve"> </w:t>
      </w:r>
    </w:p>
    <w:p w14:paraId="264E519C" w14:textId="2E8AB3C3" w:rsidR="00D57A8F" w:rsidRDefault="00547CBB" w:rsidP="001B78F5">
      <w:r>
        <w:t>T</w:t>
      </w:r>
      <w:r w:rsidR="001B78F5" w:rsidRPr="001B78F5">
        <w:t>h</w:t>
      </w:r>
      <w:r w:rsidR="00D57A8F">
        <w:t>e</w:t>
      </w:r>
      <w:r w:rsidR="001B78F5" w:rsidRPr="001B78F5">
        <w:t xml:space="preserve"> </w:t>
      </w:r>
      <w:r w:rsidR="00D57A8F">
        <w:t>following</w:t>
      </w:r>
      <w:r w:rsidR="001B78F5" w:rsidRPr="001B78F5">
        <w:t xml:space="preserve"> </w:t>
      </w:r>
      <w:r>
        <w:t xml:space="preserve">are </w:t>
      </w:r>
      <w:r w:rsidR="001B78F5" w:rsidRPr="001B78F5">
        <w:t>scenario</w:t>
      </w:r>
      <w:r>
        <w:t>s</w:t>
      </w:r>
      <w:r w:rsidR="001B78F5" w:rsidRPr="001B78F5">
        <w:t xml:space="preserve"> regardi</w:t>
      </w:r>
      <w:r w:rsidR="006357BA">
        <w:t xml:space="preserve">ng the </w:t>
      </w:r>
      <w:r>
        <w:t xml:space="preserve">possible </w:t>
      </w:r>
      <w:r w:rsidR="006357BA">
        <w:t>timing of the PD-L1 test</w:t>
      </w:r>
      <w:r w:rsidR="00D57A8F">
        <w:t>:</w:t>
      </w:r>
    </w:p>
    <w:p w14:paraId="10F605CF" w14:textId="0D9B43A6" w:rsidR="00462C4E" w:rsidRPr="00045B4E" w:rsidRDefault="001B78F5" w:rsidP="00384B12">
      <w:pPr>
        <w:numPr>
          <w:ilvl w:val="1"/>
          <w:numId w:val="2"/>
        </w:numPr>
        <w:contextualSpacing/>
      </w:pPr>
      <w:r w:rsidRPr="00045B4E">
        <w:t>Testing performed on a newly obtained biopsy obtained after failure of platinum based therap</w:t>
      </w:r>
      <w:r w:rsidR="00D57A8F" w:rsidRPr="00045B4E">
        <w:t xml:space="preserve">y (shown in </w:t>
      </w:r>
      <w:r w:rsidR="00D57A8F" w:rsidRPr="005303C7">
        <w:rPr>
          <w:b/>
        </w:rPr>
        <w:t xml:space="preserve">Figure </w:t>
      </w:r>
      <w:r w:rsidR="002712A5" w:rsidRPr="005303C7">
        <w:rPr>
          <w:b/>
        </w:rPr>
        <w:t>2</w:t>
      </w:r>
      <w:r w:rsidR="00D57A8F" w:rsidRPr="005303C7">
        <w:t>)</w:t>
      </w:r>
    </w:p>
    <w:p w14:paraId="498E54CB" w14:textId="022D3D3E" w:rsidR="00462C4E" w:rsidRDefault="00462C4E" w:rsidP="00462C4E">
      <w:pPr>
        <w:numPr>
          <w:ilvl w:val="1"/>
          <w:numId w:val="2"/>
        </w:numPr>
        <w:contextualSpacing/>
      </w:pPr>
      <w:r w:rsidRPr="00045B4E">
        <w:t xml:space="preserve">Testing performed on an archival tumour tissue sample after failure of platinum based therapy (shown in </w:t>
      </w:r>
      <w:r w:rsidRPr="005303C7">
        <w:rPr>
          <w:b/>
        </w:rPr>
        <w:t>Figure</w:t>
      </w:r>
      <w:r w:rsidR="002712A5" w:rsidRPr="005303C7">
        <w:rPr>
          <w:b/>
        </w:rPr>
        <w:t xml:space="preserve"> 3</w:t>
      </w:r>
      <w:r w:rsidRPr="005303C7">
        <w:t>)</w:t>
      </w:r>
    </w:p>
    <w:p w14:paraId="07F03AF4" w14:textId="77777777" w:rsidR="000F464D" w:rsidRDefault="000F464D" w:rsidP="001B78F5">
      <w:pPr>
        <w:keepNext/>
        <w:spacing w:after="40" w:line="240" w:lineRule="auto"/>
        <w:ind w:left="709" w:hanging="709"/>
        <w:rPr>
          <w:rFonts w:ascii="Arial Narrow" w:eastAsia="Times New Roman" w:hAnsi="Arial Narrow" w:cs="Tahoma"/>
          <w:b/>
          <w:sz w:val="20"/>
          <w:szCs w:val="20"/>
          <w:lang w:val="en-GB" w:eastAsia="ja-JP"/>
        </w:rPr>
      </w:pPr>
      <w:bookmarkStart w:id="4" w:name="_Ref418074784"/>
      <w:r>
        <w:rPr>
          <w:rFonts w:ascii="Arial Narrow" w:eastAsia="Times New Roman" w:hAnsi="Arial Narrow" w:cs="Tahoma"/>
          <w:b/>
          <w:sz w:val="20"/>
          <w:szCs w:val="20"/>
          <w:lang w:val="en-GB" w:eastAsia="ja-JP"/>
        </w:rPr>
        <w:br w:type="page"/>
      </w:r>
    </w:p>
    <w:p w14:paraId="264E519E" w14:textId="1B117633" w:rsidR="001B78F5" w:rsidRPr="001B78F5" w:rsidRDefault="001B78F5" w:rsidP="001B78F5">
      <w:pPr>
        <w:keepNext/>
        <w:spacing w:after="40" w:line="240" w:lineRule="auto"/>
        <w:ind w:left="709" w:hanging="709"/>
        <w:rPr>
          <w:rFonts w:ascii="Arial Narrow" w:eastAsia="Times New Roman" w:hAnsi="Arial Narrow" w:cs="Tahoma"/>
          <w:b/>
          <w:sz w:val="20"/>
          <w:szCs w:val="20"/>
          <w:lang w:val="en-GB" w:eastAsia="ja-JP"/>
        </w:rPr>
      </w:pPr>
      <w:r w:rsidRPr="00D512A2">
        <w:rPr>
          <w:rFonts w:ascii="Arial Narrow" w:eastAsia="Times New Roman" w:hAnsi="Arial Narrow" w:cs="Tahoma"/>
          <w:b/>
          <w:sz w:val="20"/>
          <w:szCs w:val="20"/>
          <w:lang w:val="en-GB" w:eastAsia="ja-JP"/>
        </w:rPr>
        <w:lastRenderedPageBreak/>
        <w:t xml:space="preserve">Figure </w:t>
      </w:r>
      <w:r w:rsidR="002712A5">
        <w:rPr>
          <w:rFonts w:ascii="Arial Narrow" w:eastAsia="Times New Roman" w:hAnsi="Arial Narrow" w:cs="Tahoma"/>
          <w:b/>
          <w:sz w:val="20"/>
          <w:szCs w:val="20"/>
          <w:lang w:val="en-GB" w:eastAsia="ja-JP"/>
        </w:rPr>
        <w:t>1</w:t>
      </w:r>
      <w:r w:rsidRPr="00D512A2">
        <w:rPr>
          <w:rFonts w:ascii="Arial Narrow" w:eastAsia="Times New Roman" w:hAnsi="Arial Narrow" w:cs="Tahoma"/>
          <w:b/>
          <w:sz w:val="20"/>
          <w:szCs w:val="20"/>
          <w:lang w:val="en-GB" w:eastAsia="ja-JP"/>
        </w:rPr>
        <w:t>:  Current treatment algorithm</w:t>
      </w:r>
    </w:p>
    <w:bookmarkEnd w:id="4"/>
    <w:p w14:paraId="264E51A0" w14:textId="48EF3719" w:rsidR="001B78F5" w:rsidRPr="001B78F5" w:rsidRDefault="000F464D" w:rsidP="001B78F5">
      <w:pPr>
        <w:spacing w:before="120" w:after="120"/>
        <w:rPr>
          <w:rFonts w:ascii="Arial" w:hAnsi="Arial" w:cs="Arial"/>
          <w:color w:val="FF0000"/>
        </w:rPr>
        <w:sectPr w:rsidR="001B78F5" w:rsidRPr="001B78F5" w:rsidSect="005303C7">
          <w:pgSz w:w="16838" w:h="11906" w:orient="landscape"/>
          <w:pgMar w:top="1440" w:right="1276" w:bottom="1418" w:left="992" w:header="709" w:footer="709" w:gutter="0"/>
          <w:cols w:space="708"/>
          <w:docGrid w:linePitch="360"/>
        </w:sectPr>
      </w:pPr>
      <w:r>
        <w:rPr>
          <w:rFonts w:ascii="Arial" w:hAnsi="Arial" w:cs="Arial"/>
          <w:noProof/>
          <w:color w:val="FF0000"/>
          <w:lang w:eastAsia="en-AU"/>
        </w:rPr>
        <w:drawing>
          <wp:inline distT="0" distB="0" distL="0" distR="0" wp14:anchorId="78EF028A" wp14:editId="5876CC84">
            <wp:extent cx="9248775" cy="4267200"/>
            <wp:effectExtent l="0" t="0" r="9525" b="0"/>
            <wp:docPr id="4" name="Picture 4" title="Current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48775" cy="4267200"/>
                    </a:xfrm>
                    <a:prstGeom prst="rect">
                      <a:avLst/>
                    </a:prstGeom>
                    <a:noFill/>
                    <a:ln>
                      <a:noFill/>
                    </a:ln>
                  </pic:spPr>
                </pic:pic>
              </a:graphicData>
            </a:graphic>
          </wp:inline>
        </w:drawing>
      </w:r>
    </w:p>
    <w:p w14:paraId="264E51A2" w14:textId="162F0C2C" w:rsidR="00525438" w:rsidRDefault="00525438" w:rsidP="001B78F5">
      <w:pPr>
        <w:keepNext/>
        <w:keepLines/>
        <w:spacing w:before="480" w:after="0"/>
        <w:outlineLvl w:val="0"/>
        <w:rPr>
          <w:rFonts w:ascii="Arial Narrow" w:eastAsia="Times New Roman" w:hAnsi="Arial Narrow" w:cs="Tahoma"/>
          <w:b/>
          <w:sz w:val="20"/>
          <w:szCs w:val="20"/>
          <w:lang w:val="en-GB" w:eastAsia="ja-JP"/>
        </w:rPr>
      </w:pPr>
      <w:r w:rsidRPr="005303C7">
        <w:rPr>
          <w:rFonts w:ascii="Arial Narrow" w:eastAsia="Times New Roman" w:hAnsi="Arial Narrow" w:cs="Tahoma"/>
          <w:b/>
          <w:sz w:val="20"/>
          <w:szCs w:val="20"/>
          <w:lang w:val="en-GB" w:eastAsia="ja-JP"/>
        </w:rPr>
        <w:lastRenderedPageBreak/>
        <w:t xml:space="preserve">Figure </w:t>
      </w:r>
      <w:r w:rsidR="002712A5" w:rsidRPr="005303C7">
        <w:rPr>
          <w:rFonts w:ascii="Arial Narrow" w:eastAsia="Times New Roman" w:hAnsi="Arial Narrow" w:cs="Tahoma"/>
          <w:b/>
          <w:sz w:val="20"/>
          <w:szCs w:val="20"/>
          <w:lang w:val="en-GB" w:eastAsia="ja-JP"/>
        </w:rPr>
        <w:t>2</w:t>
      </w:r>
      <w:r w:rsidRPr="005303C7">
        <w:rPr>
          <w:rFonts w:ascii="Arial Narrow" w:eastAsia="Times New Roman" w:hAnsi="Arial Narrow" w:cs="Tahoma"/>
          <w:b/>
          <w:sz w:val="20"/>
          <w:szCs w:val="20"/>
          <w:lang w:val="en-GB" w:eastAsia="ja-JP"/>
        </w:rPr>
        <w:t>:</w:t>
      </w:r>
      <w:r w:rsidRPr="00045B4E">
        <w:rPr>
          <w:rFonts w:ascii="Arial Narrow" w:eastAsia="Times New Roman" w:hAnsi="Arial Narrow" w:cs="Tahoma"/>
          <w:b/>
          <w:sz w:val="20"/>
          <w:szCs w:val="20"/>
          <w:lang w:val="en-GB" w:eastAsia="ja-JP"/>
        </w:rPr>
        <w:t xml:space="preserve">  Treatment</w:t>
      </w:r>
      <w:r w:rsidRPr="00525438">
        <w:rPr>
          <w:rFonts w:ascii="Arial Narrow" w:eastAsia="Times New Roman" w:hAnsi="Arial Narrow" w:cs="Tahoma"/>
          <w:b/>
          <w:sz w:val="20"/>
          <w:szCs w:val="20"/>
          <w:lang w:val="en-GB" w:eastAsia="ja-JP"/>
        </w:rPr>
        <w:t xml:space="preserve"> algorithm showing PD-L1 testing after failure of platinum-based therapy using newly obtained tissue from new biopsy and pembrolizumab treatment</w:t>
      </w:r>
    </w:p>
    <w:p w14:paraId="25F2A1D8" w14:textId="2805CE5C" w:rsidR="00434B13" w:rsidRDefault="00434B13" w:rsidP="001B78F5">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eastAsia="en-AU"/>
        </w:rPr>
        <w:drawing>
          <wp:inline distT="0" distB="0" distL="0" distR="0" wp14:anchorId="4DD9A3F2" wp14:editId="39CBEF02">
            <wp:extent cx="9239250" cy="4883150"/>
            <wp:effectExtent l="0" t="0" r="0" b="0"/>
            <wp:docPr id="2" name="Picture 2" title="Treatment algorithm showing PD-L1 testing after failure of platinum-based therapy using newly obtained tissue from new biopsy and pembrolizumab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1156"/>
                    <a:stretch/>
                  </pic:blipFill>
                  <pic:spPr bwMode="auto">
                    <a:xfrm>
                      <a:off x="0" y="0"/>
                      <a:ext cx="9239250" cy="4883150"/>
                    </a:xfrm>
                    <a:prstGeom prst="rect">
                      <a:avLst/>
                    </a:prstGeom>
                    <a:noFill/>
                    <a:ln>
                      <a:noFill/>
                    </a:ln>
                    <a:extLst>
                      <a:ext uri="{53640926-AAD7-44D8-BBD7-CCE9431645EC}">
                        <a14:shadowObscured xmlns:a14="http://schemas.microsoft.com/office/drawing/2010/main"/>
                      </a:ext>
                    </a:extLst>
                  </pic:spPr>
                </pic:pic>
              </a:graphicData>
            </a:graphic>
          </wp:inline>
        </w:drawing>
      </w:r>
    </w:p>
    <w:p w14:paraId="71BE13B3" w14:textId="302EE619" w:rsidR="000F464D" w:rsidRDefault="00462C4E" w:rsidP="001B78F5">
      <w:pPr>
        <w:keepNext/>
        <w:keepLines/>
        <w:spacing w:before="480" w:after="0"/>
        <w:outlineLvl w:val="0"/>
        <w:rPr>
          <w:rFonts w:ascii="Arial Narrow" w:eastAsiaTheme="majorEastAsia" w:hAnsi="Arial Narrow" w:cstheme="majorBidi"/>
          <w:b/>
          <w:bCs/>
          <w:color w:val="000000" w:themeColor="text1"/>
          <w:sz w:val="20"/>
          <w:szCs w:val="20"/>
        </w:rPr>
      </w:pPr>
      <w:r w:rsidRPr="005303C7">
        <w:rPr>
          <w:rFonts w:ascii="Arial Narrow" w:eastAsiaTheme="majorEastAsia" w:hAnsi="Arial Narrow" w:cstheme="majorBidi"/>
          <w:b/>
          <w:bCs/>
          <w:color w:val="000000" w:themeColor="text1"/>
          <w:sz w:val="20"/>
          <w:szCs w:val="20"/>
        </w:rPr>
        <w:lastRenderedPageBreak/>
        <w:t>Figure 3:</w:t>
      </w:r>
      <w:r w:rsidRPr="00045B4E">
        <w:rPr>
          <w:rFonts w:ascii="Arial Narrow" w:eastAsiaTheme="majorEastAsia" w:hAnsi="Arial Narrow" w:cstheme="majorBidi"/>
          <w:b/>
          <w:bCs/>
          <w:color w:val="000000" w:themeColor="text1"/>
          <w:sz w:val="20"/>
          <w:szCs w:val="20"/>
        </w:rPr>
        <w:t xml:space="preserve">  Treatment</w:t>
      </w:r>
      <w:r w:rsidRPr="002712A5">
        <w:rPr>
          <w:rFonts w:ascii="Arial Narrow" w:eastAsiaTheme="majorEastAsia" w:hAnsi="Arial Narrow" w:cstheme="majorBidi"/>
          <w:b/>
          <w:bCs/>
          <w:color w:val="000000" w:themeColor="text1"/>
          <w:sz w:val="20"/>
          <w:szCs w:val="20"/>
        </w:rPr>
        <w:t xml:space="preserve"> algorithm showing PD-L1 testing after failure of platinum-based therapy using </w:t>
      </w:r>
      <w:r w:rsidR="00145C92">
        <w:rPr>
          <w:rFonts w:ascii="Arial Narrow" w:eastAsiaTheme="majorEastAsia" w:hAnsi="Arial Narrow" w:cstheme="majorBidi"/>
          <w:b/>
          <w:bCs/>
          <w:color w:val="000000" w:themeColor="text1"/>
          <w:sz w:val="20"/>
          <w:szCs w:val="20"/>
        </w:rPr>
        <w:t>archival tumour tissue sample</w:t>
      </w:r>
      <w:r w:rsidRPr="002712A5">
        <w:rPr>
          <w:rFonts w:ascii="Arial Narrow" w:eastAsiaTheme="majorEastAsia" w:hAnsi="Arial Narrow" w:cstheme="majorBidi"/>
          <w:b/>
          <w:bCs/>
          <w:color w:val="000000" w:themeColor="text1"/>
          <w:sz w:val="20"/>
          <w:szCs w:val="20"/>
        </w:rPr>
        <w:t xml:space="preserve"> and pembrolizumab treatment</w:t>
      </w:r>
    </w:p>
    <w:p w14:paraId="78389380" w14:textId="2D5727ED" w:rsidR="000F464D" w:rsidRDefault="000F464D" w:rsidP="000F464D">
      <w:pPr>
        <w:rPr>
          <w:rFonts w:ascii="Arial Narrow" w:eastAsiaTheme="majorEastAsia" w:hAnsi="Arial Narrow" w:cstheme="majorBidi"/>
          <w:sz w:val="20"/>
          <w:szCs w:val="20"/>
        </w:rPr>
      </w:pPr>
      <w:r>
        <w:rPr>
          <w:rFonts w:ascii="Arial Narrow" w:eastAsiaTheme="majorEastAsia" w:hAnsi="Arial Narrow" w:cstheme="majorBidi"/>
          <w:noProof/>
          <w:sz w:val="20"/>
          <w:szCs w:val="20"/>
          <w:lang w:eastAsia="en-AU"/>
        </w:rPr>
        <w:drawing>
          <wp:inline distT="0" distB="0" distL="0" distR="0" wp14:anchorId="5C74CF76" wp14:editId="211E915A">
            <wp:extent cx="9248775" cy="5257800"/>
            <wp:effectExtent l="0" t="0" r="9525" b="0"/>
            <wp:docPr id="3" name="Picture 3" title=":  Treatment algorithm showing PD-L1 testing after failure of platinum-based therapy using archival tumour tissue sample and pembrolizumab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48775" cy="5257800"/>
                    </a:xfrm>
                    <a:prstGeom prst="rect">
                      <a:avLst/>
                    </a:prstGeom>
                    <a:noFill/>
                    <a:ln>
                      <a:noFill/>
                    </a:ln>
                  </pic:spPr>
                </pic:pic>
              </a:graphicData>
            </a:graphic>
          </wp:inline>
        </w:drawing>
      </w:r>
    </w:p>
    <w:p w14:paraId="0E8E5AF5" w14:textId="06441EA8" w:rsidR="000F464D" w:rsidRDefault="000F464D" w:rsidP="000F464D">
      <w:pPr>
        <w:rPr>
          <w:rFonts w:ascii="Arial Narrow" w:eastAsiaTheme="majorEastAsia" w:hAnsi="Arial Narrow" w:cstheme="majorBidi"/>
          <w:sz w:val="20"/>
          <w:szCs w:val="20"/>
        </w:rPr>
      </w:pPr>
    </w:p>
    <w:p w14:paraId="7E58C89A" w14:textId="77777777" w:rsidR="000F464D" w:rsidRPr="000F464D" w:rsidRDefault="000F464D" w:rsidP="000F464D">
      <w:pPr>
        <w:rPr>
          <w:rFonts w:ascii="Arial Narrow" w:eastAsiaTheme="majorEastAsia" w:hAnsi="Arial Narrow" w:cstheme="majorBidi"/>
          <w:sz w:val="20"/>
          <w:szCs w:val="20"/>
        </w:rPr>
        <w:sectPr w:rsidR="000F464D" w:rsidRPr="000F464D" w:rsidSect="005C5C84">
          <w:pgSz w:w="16838" w:h="11906" w:orient="landscape"/>
          <w:pgMar w:top="1418" w:right="993" w:bottom="1440" w:left="1276" w:header="708" w:footer="708" w:gutter="0"/>
          <w:cols w:space="708"/>
          <w:docGrid w:linePitch="360"/>
        </w:sectPr>
      </w:pPr>
    </w:p>
    <w:p w14:paraId="264E51A3" w14:textId="05C6B8C2" w:rsidR="001B78F5" w:rsidRPr="001B78F5" w:rsidRDefault="004A0A28" w:rsidP="00C12355">
      <w:pPr>
        <w:keepNext/>
        <w:keepLines/>
        <w:spacing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R</w:t>
      </w:r>
      <w:r w:rsidR="001B78F5" w:rsidRPr="001B78F5">
        <w:rPr>
          <w:rFonts w:asciiTheme="majorHAnsi" w:eastAsiaTheme="majorEastAsia" w:hAnsiTheme="majorHAnsi" w:cstheme="majorBidi"/>
          <w:b/>
          <w:bCs/>
          <w:color w:val="365F91" w:themeColor="accent1" w:themeShade="BF"/>
          <w:sz w:val="28"/>
          <w:szCs w:val="28"/>
        </w:rPr>
        <w:t>egulatory Information</w:t>
      </w:r>
    </w:p>
    <w:p w14:paraId="264E51A4" w14:textId="77777777" w:rsidR="001B78F5" w:rsidRPr="001B78F5" w:rsidRDefault="001B78F5" w:rsidP="001B78F5">
      <w:pPr>
        <w:spacing w:before="120" w:after="120"/>
        <w:rPr>
          <w:rFonts w:cstheme="minorHAnsi"/>
        </w:rPr>
      </w:pPr>
      <w:r w:rsidRPr="001B78F5">
        <w:rPr>
          <w:rFonts w:cstheme="minorHAnsi"/>
        </w:rPr>
        <w:t xml:space="preserve">Regarding the PD-L1 testing, the regulatory process will be managed by </w:t>
      </w:r>
      <w:proofErr w:type="spellStart"/>
      <w:r w:rsidRPr="001B78F5">
        <w:rPr>
          <w:rFonts w:cstheme="minorHAnsi"/>
        </w:rPr>
        <w:t>Dako</w:t>
      </w:r>
      <w:proofErr w:type="spellEnd"/>
      <w:r w:rsidRPr="001B78F5">
        <w:rPr>
          <w:rFonts w:cstheme="minorHAnsi"/>
        </w:rPr>
        <w:t xml:space="preserve">.  Regulatory approval of the PD-L1 test is expected prior to MSAC consideration of the co-dependent technology submission. </w:t>
      </w:r>
    </w:p>
    <w:p w14:paraId="264E51A5" w14:textId="77777777" w:rsidR="001B78F5" w:rsidRPr="001B78F5" w:rsidRDefault="001B78F5" w:rsidP="001B78F5">
      <w:pPr>
        <w:spacing w:before="120" w:after="120"/>
        <w:rPr>
          <w:rFonts w:cstheme="minorHAnsi"/>
        </w:rPr>
      </w:pPr>
      <w:r w:rsidRPr="001B78F5">
        <w:rPr>
          <w:rFonts w:cstheme="minorHAnsi"/>
        </w:rPr>
        <w:t xml:space="preserve">Pembrolizumab is currently TGA-approved as a treatment for </w:t>
      </w:r>
      <w:r w:rsidR="002A4DDD">
        <w:rPr>
          <w:rFonts w:cstheme="minorHAnsi"/>
        </w:rPr>
        <w:t xml:space="preserve">metastatic </w:t>
      </w:r>
      <w:r w:rsidRPr="001B78F5">
        <w:rPr>
          <w:rFonts w:cstheme="minorHAnsi"/>
        </w:rPr>
        <w:t xml:space="preserve">melanoma regardless of PD-L1 status (ARTG ID: 226597). MSD anticipates filing for an expanded TGA indication to include patients with </w:t>
      </w:r>
      <w:r w:rsidR="002A4DDD">
        <w:rPr>
          <w:rFonts w:cstheme="minorHAnsi"/>
        </w:rPr>
        <w:t>advanced/metastatic bladder cancer</w:t>
      </w:r>
      <w:r w:rsidRPr="001B78F5">
        <w:rPr>
          <w:rFonts w:cstheme="minorHAnsi"/>
        </w:rPr>
        <w:t xml:space="preserve"> under the parallel TGA and PBAC assessment process. </w:t>
      </w:r>
    </w:p>
    <w:p w14:paraId="264E51A6" w14:textId="77777777" w:rsidR="001B78F5" w:rsidRPr="001B78F5" w:rsidRDefault="001B78F5" w:rsidP="001B78F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t>Decision analytic</w:t>
      </w:r>
    </w:p>
    <w:p w14:paraId="264E51A7" w14:textId="3C6C1F10" w:rsidR="001B78F5" w:rsidRPr="001B78F5" w:rsidRDefault="001B78F5" w:rsidP="001B78F5">
      <w:r w:rsidRPr="001B78F5">
        <w:t xml:space="preserve">An assessment of the cost-effectiveness of introducing PD-L1 testing to determine patient eligibility to pembrolizumab should take into account the parameters outlined in </w:t>
      </w:r>
      <w:bookmarkStart w:id="5" w:name="_Ref283297696"/>
      <w:r w:rsidRPr="001B78F5">
        <w:fldChar w:fldCharType="begin"/>
      </w:r>
      <w:r w:rsidRPr="001B78F5">
        <w:instrText xml:space="preserve"> REF _Ref418501900 \h  \* MERGEFORMAT </w:instrText>
      </w:r>
      <w:r w:rsidRPr="001B78F5">
        <w:fldChar w:fldCharType="separate"/>
      </w:r>
      <w:r w:rsidR="00525438" w:rsidRPr="005C5C84">
        <w:t xml:space="preserve">Table </w:t>
      </w:r>
      <w:r w:rsidRPr="001B78F5">
        <w:fldChar w:fldCharType="end"/>
      </w:r>
      <w:r w:rsidR="00A23A8C">
        <w:t>3</w:t>
      </w:r>
      <w:r w:rsidR="00F06878">
        <w:t xml:space="preserve"> </w:t>
      </w:r>
      <w:r w:rsidRPr="001B78F5">
        <w:t xml:space="preserve">and </w:t>
      </w:r>
      <w:r w:rsidR="00F06878">
        <w:t xml:space="preserve">Table </w:t>
      </w:r>
      <w:r w:rsidR="00A23A8C">
        <w:t>5</w:t>
      </w:r>
      <w:r w:rsidR="00F06878">
        <w:t>.</w:t>
      </w:r>
    </w:p>
    <w:p w14:paraId="264E51A8" w14:textId="0EC13BB5" w:rsidR="001B78F5" w:rsidRPr="001B78F5" w:rsidRDefault="001B78F5" w:rsidP="001B78F5">
      <w:pPr>
        <w:spacing w:after="0"/>
        <w:rPr>
          <w:b/>
        </w:rPr>
      </w:pPr>
      <w:bookmarkStart w:id="6" w:name="_Ref418501900"/>
      <w:bookmarkEnd w:id="5"/>
      <w:r w:rsidRPr="001B78F5">
        <w:rPr>
          <w:b/>
        </w:rPr>
        <w:t xml:space="preserve">Table </w:t>
      </w:r>
      <w:bookmarkEnd w:id="6"/>
      <w:r w:rsidR="002712A5">
        <w:rPr>
          <w:b/>
        </w:rPr>
        <w:t>3</w:t>
      </w:r>
      <w:r w:rsidRPr="001B78F5">
        <w:rPr>
          <w:b/>
        </w:rPr>
        <w:t>:  Summary of PICO to define research question</w:t>
      </w:r>
    </w:p>
    <w:tbl>
      <w:tblPr>
        <w:tblStyle w:val="TableGrid"/>
        <w:tblW w:w="5000" w:type="pct"/>
        <w:tblLook w:val="04A0" w:firstRow="1" w:lastRow="0" w:firstColumn="1" w:lastColumn="0" w:noHBand="0" w:noVBand="1"/>
        <w:tblCaption w:val="Table 1 - Summary of PICO to define research question"/>
      </w:tblPr>
      <w:tblGrid>
        <w:gridCol w:w="2234"/>
        <w:gridCol w:w="7030"/>
      </w:tblGrid>
      <w:tr w:rsidR="001B78F5" w:rsidRPr="001B78F5" w14:paraId="264E51AB" w14:textId="77777777" w:rsidTr="008C751B">
        <w:trPr>
          <w:cantSplit/>
          <w:tblHeader/>
        </w:trPr>
        <w:tc>
          <w:tcPr>
            <w:tcW w:w="1206" w:type="pct"/>
          </w:tcPr>
          <w:p w14:paraId="264E51A9" w14:textId="77777777" w:rsidR="001B78F5" w:rsidRPr="00F06878" w:rsidRDefault="001B78F5" w:rsidP="001B78F5">
            <w:pPr>
              <w:spacing w:line="480" w:lineRule="auto"/>
              <w:jc w:val="center"/>
              <w:rPr>
                <w:rFonts w:cstheme="minorHAnsi"/>
                <w:b/>
              </w:rPr>
            </w:pPr>
            <w:r w:rsidRPr="00F06878">
              <w:rPr>
                <w:rFonts w:cstheme="minorHAnsi"/>
                <w:b/>
              </w:rPr>
              <w:t>PICO</w:t>
            </w:r>
          </w:p>
        </w:tc>
        <w:tc>
          <w:tcPr>
            <w:tcW w:w="3794" w:type="pct"/>
          </w:tcPr>
          <w:p w14:paraId="264E51AA" w14:textId="77777777" w:rsidR="001B78F5" w:rsidRPr="00F06878" w:rsidRDefault="001B78F5" w:rsidP="001B78F5">
            <w:pPr>
              <w:spacing w:line="480" w:lineRule="auto"/>
              <w:jc w:val="center"/>
              <w:rPr>
                <w:rFonts w:cstheme="minorHAnsi"/>
                <w:b/>
              </w:rPr>
            </w:pPr>
            <w:r w:rsidRPr="00F06878">
              <w:rPr>
                <w:rFonts w:cstheme="minorHAnsi"/>
                <w:b/>
              </w:rPr>
              <w:t>Comments</w:t>
            </w:r>
          </w:p>
        </w:tc>
      </w:tr>
      <w:tr w:rsidR="001B78F5" w:rsidRPr="001B78F5" w14:paraId="264E51AE" w14:textId="77777777" w:rsidTr="008C751B">
        <w:tc>
          <w:tcPr>
            <w:tcW w:w="1206" w:type="pct"/>
          </w:tcPr>
          <w:p w14:paraId="264E51AC" w14:textId="77777777" w:rsidR="001B78F5" w:rsidRPr="001B78F5" w:rsidRDefault="001B78F5" w:rsidP="001B78F5">
            <w:pPr>
              <w:spacing w:line="480" w:lineRule="auto"/>
              <w:rPr>
                <w:rFonts w:cstheme="minorHAnsi"/>
              </w:rPr>
            </w:pPr>
            <w:r w:rsidRPr="001B78F5">
              <w:rPr>
                <w:rFonts w:cstheme="minorHAnsi"/>
              </w:rPr>
              <w:t>Patients</w:t>
            </w:r>
          </w:p>
        </w:tc>
        <w:tc>
          <w:tcPr>
            <w:tcW w:w="3794" w:type="pct"/>
          </w:tcPr>
          <w:p w14:paraId="264E51AD" w14:textId="3FF5FDDC" w:rsidR="001B78F5" w:rsidRPr="001B78F5" w:rsidRDefault="001B78F5" w:rsidP="002A4DDD">
            <w:pPr>
              <w:rPr>
                <w:rFonts w:cstheme="minorHAnsi"/>
                <w:color w:val="0070C0"/>
              </w:rPr>
            </w:pPr>
            <w:r w:rsidRPr="001B78F5">
              <w:rPr>
                <w:rFonts w:cstheme="minorHAnsi"/>
              </w:rPr>
              <w:t xml:space="preserve">Patients with </w:t>
            </w:r>
            <w:r w:rsidR="00B9479A" w:rsidRPr="00B9479A">
              <w:rPr>
                <w:rFonts w:cstheme="minorHAnsi"/>
              </w:rPr>
              <w:t>recurrent</w:t>
            </w:r>
            <w:r w:rsidRPr="001B78F5">
              <w:rPr>
                <w:rFonts w:cstheme="minorHAnsi"/>
              </w:rPr>
              <w:t xml:space="preserve"> or </w:t>
            </w:r>
            <w:r w:rsidR="00B9479A" w:rsidRPr="00B9479A">
              <w:rPr>
                <w:rFonts w:cstheme="minorHAnsi"/>
              </w:rPr>
              <w:t xml:space="preserve">progressive </w:t>
            </w:r>
            <w:r w:rsidRPr="001B78F5">
              <w:rPr>
                <w:rFonts w:cstheme="minorHAnsi"/>
              </w:rPr>
              <w:t xml:space="preserve">metastatic </w:t>
            </w:r>
            <w:r w:rsidR="00B9479A" w:rsidRPr="00B9479A">
              <w:rPr>
                <w:rFonts w:cstheme="minorHAnsi"/>
              </w:rPr>
              <w:t>or locally advanced/</w:t>
            </w:r>
            <w:proofErr w:type="spellStart"/>
            <w:r w:rsidR="00B9479A" w:rsidRPr="00B9479A">
              <w:rPr>
                <w:rFonts w:cstheme="minorHAnsi"/>
              </w:rPr>
              <w:t>unresectablemetastatic</w:t>
            </w:r>
            <w:proofErr w:type="spellEnd"/>
            <w:r w:rsidR="00B9479A" w:rsidRPr="00B9479A">
              <w:rPr>
                <w:rFonts w:cstheme="minorHAnsi"/>
              </w:rPr>
              <w:t xml:space="preserve"> </w:t>
            </w:r>
            <w:r w:rsidR="002A4DDD">
              <w:rPr>
                <w:rFonts w:cstheme="minorHAnsi"/>
              </w:rPr>
              <w:t>bladder cancer</w:t>
            </w:r>
            <w:r w:rsidR="00B9479A" w:rsidRPr="00B9479A">
              <w:rPr>
                <w:rFonts w:cstheme="minorHAnsi"/>
              </w:rPr>
              <w:t xml:space="preserve"> that has recurred or progressed following platinum-based chemotherapy</w:t>
            </w:r>
          </w:p>
        </w:tc>
      </w:tr>
      <w:tr w:rsidR="001B78F5" w:rsidRPr="001B78F5" w14:paraId="264E51B6" w14:textId="77777777" w:rsidTr="008C751B">
        <w:tc>
          <w:tcPr>
            <w:tcW w:w="1206" w:type="pct"/>
          </w:tcPr>
          <w:p w14:paraId="264E51AF" w14:textId="77777777" w:rsidR="001B78F5" w:rsidRPr="001B78F5" w:rsidRDefault="001B78F5" w:rsidP="001B78F5">
            <w:pPr>
              <w:spacing w:line="480" w:lineRule="auto"/>
              <w:rPr>
                <w:rFonts w:cstheme="minorHAnsi"/>
                <w:color w:val="0070C0"/>
              </w:rPr>
            </w:pPr>
            <w:r w:rsidRPr="001B78F5">
              <w:rPr>
                <w:rFonts w:cstheme="minorHAnsi"/>
              </w:rPr>
              <w:t>Intervention</w:t>
            </w:r>
          </w:p>
        </w:tc>
        <w:tc>
          <w:tcPr>
            <w:tcW w:w="3794" w:type="pct"/>
          </w:tcPr>
          <w:p w14:paraId="264E51B0" w14:textId="77777777" w:rsidR="001B78F5" w:rsidRPr="001B78F5" w:rsidRDefault="001B78F5" w:rsidP="001B78F5">
            <w:pPr>
              <w:rPr>
                <w:rFonts w:cstheme="minorHAnsi"/>
                <w:b/>
              </w:rPr>
            </w:pPr>
            <w:r w:rsidRPr="001B78F5">
              <w:rPr>
                <w:rFonts w:cstheme="minorHAnsi"/>
                <w:b/>
              </w:rPr>
              <w:t>Test</w:t>
            </w:r>
          </w:p>
          <w:p w14:paraId="264E51B1" w14:textId="77777777" w:rsidR="001B78F5" w:rsidRPr="001B78F5" w:rsidRDefault="001B78F5" w:rsidP="001B78F5">
            <w:pPr>
              <w:rPr>
                <w:rFonts w:cstheme="minorHAnsi"/>
              </w:rPr>
            </w:pPr>
            <w:r w:rsidRPr="001B78F5">
              <w:rPr>
                <w:rFonts w:cstheme="minorHAnsi"/>
              </w:rPr>
              <w:t>Immunohistochemistry testing for PD-L1 to determine if the proposed PBS requirements relating to access to pembrolizumab are fulfilled</w:t>
            </w:r>
          </w:p>
          <w:p w14:paraId="264E51B2" w14:textId="77777777" w:rsidR="001B78F5" w:rsidRPr="001B78F5" w:rsidRDefault="001B78F5" w:rsidP="001B78F5">
            <w:pPr>
              <w:rPr>
                <w:rFonts w:cstheme="minorHAnsi"/>
                <w:b/>
              </w:rPr>
            </w:pPr>
            <w:r w:rsidRPr="001B78F5">
              <w:rPr>
                <w:rFonts w:cstheme="minorHAnsi"/>
                <w:b/>
              </w:rPr>
              <w:t>Drug</w:t>
            </w:r>
          </w:p>
          <w:p w14:paraId="264E51B3" w14:textId="77777777" w:rsidR="001B78F5" w:rsidRPr="001B78F5" w:rsidRDefault="001B78F5" w:rsidP="001B78F5">
            <w:r w:rsidRPr="001B78F5">
              <w:t>Pembrolizumab treatment for PD-L1 positive patients</w:t>
            </w:r>
          </w:p>
          <w:p w14:paraId="264E51B4" w14:textId="77777777" w:rsidR="001B78F5" w:rsidRPr="001B78F5" w:rsidRDefault="001B78F5" w:rsidP="001B78F5">
            <w:pPr>
              <w:rPr>
                <w:b/>
              </w:rPr>
            </w:pPr>
            <w:r w:rsidRPr="001B78F5">
              <w:rPr>
                <w:b/>
              </w:rPr>
              <w:t>Co-dependence</w:t>
            </w:r>
          </w:p>
          <w:p w14:paraId="264E51B5" w14:textId="77777777" w:rsidR="001B78F5" w:rsidRPr="001B78F5" w:rsidRDefault="001B78F5" w:rsidP="001B78F5">
            <w:r w:rsidRPr="001B78F5">
              <w:t>Access to pembrolizumab in patients who fulfil the PBS requirements with regards to PD-L1 expression status determined by PD-L1 IHC testing.</w:t>
            </w:r>
          </w:p>
        </w:tc>
      </w:tr>
      <w:tr w:rsidR="001B78F5" w:rsidRPr="001B78F5" w14:paraId="264E51C1" w14:textId="77777777" w:rsidTr="008C751B">
        <w:tc>
          <w:tcPr>
            <w:tcW w:w="1206" w:type="pct"/>
          </w:tcPr>
          <w:p w14:paraId="264E51B7" w14:textId="77777777" w:rsidR="001B78F5" w:rsidRPr="001B78F5" w:rsidRDefault="001B78F5" w:rsidP="001B78F5">
            <w:pPr>
              <w:spacing w:line="480" w:lineRule="auto"/>
              <w:rPr>
                <w:rFonts w:cstheme="minorHAnsi"/>
                <w:color w:val="0070C0"/>
              </w:rPr>
            </w:pPr>
            <w:r w:rsidRPr="001B78F5">
              <w:rPr>
                <w:rFonts w:cstheme="minorHAnsi"/>
              </w:rPr>
              <w:t>Comparator</w:t>
            </w:r>
          </w:p>
        </w:tc>
        <w:tc>
          <w:tcPr>
            <w:tcW w:w="3794" w:type="pct"/>
          </w:tcPr>
          <w:p w14:paraId="264E51B8" w14:textId="77777777" w:rsidR="001B78F5" w:rsidRPr="001B78F5" w:rsidRDefault="001B78F5" w:rsidP="001B78F5">
            <w:pPr>
              <w:rPr>
                <w:rFonts w:cstheme="minorHAnsi"/>
                <w:b/>
              </w:rPr>
            </w:pPr>
            <w:r w:rsidRPr="001B78F5">
              <w:rPr>
                <w:rFonts w:cstheme="minorHAnsi"/>
                <w:b/>
              </w:rPr>
              <w:t>Test</w:t>
            </w:r>
          </w:p>
          <w:p w14:paraId="264E51B9" w14:textId="77777777" w:rsidR="001B78F5" w:rsidRPr="001B78F5" w:rsidRDefault="001B78F5" w:rsidP="001B78F5">
            <w:pPr>
              <w:rPr>
                <w:rFonts w:cstheme="minorHAnsi"/>
              </w:rPr>
            </w:pPr>
            <w:r w:rsidRPr="001B78F5">
              <w:rPr>
                <w:rFonts w:cstheme="minorHAnsi"/>
              </w:rPr>
              <w:t xml:space="preserve">No PD-L1 testing.  </w:t>
            </w:r>
          </w:p>
          <w:p w14:paraId="264E51BA" w14:textId="77777777" w:rsidR="00393A04" w:rsidRPr="00393A04" w:rsidRDefault="001B78F5" w:rsidP="00393A04">
            <w:r w:rsidRPr="001B78F5">
              <w:t>Comparisons will also be made between the evidentiary standard (</w:t>
            </w:r>
            <w:r w:rsidR="00306411">
              <w:t xml:space="preserve">PD-L1 IHC 22C3 </w:t>
            </w:r>
            <w:proofErr w:type="spellStart"/>
            <w:r w:rsidR="00306411">
              <w:t>pharmDx</w:t>
            </w:r>
            <w:proofErr w:type="spellEnd"/>
            <w:r w:rsidR="00306411">
              <w:t xml:space="preserve"> Market Ready Assay</w:t>
            </w:r>
            <w:r w:rsidRPr="001B78F5">
              <w:t>) and any alternative PD-L1 test for which there is data in the public dom</w:t>
            </w:r>
            <w:r w:rsidR="00393A04">
              <w:t>ain or available to the sponsor</w:t>
            </w:r>
          </w:p>
          <w:p w14:paraId="43D1F0BF" w14:textId="77777777" w:rsidR="008F2AAC" w:rsidRDefault="001B78F5" w:rsidP="001B78F5">
            <w:pPr>
              <w:rPr>
                <w:rFonts w:cstheme="minorHAnsi"/>
                <w:b/>
              </w:rPr>
            </w:pPr>
            <w:r w:rsidRPr="001B78F5">
              <w:rPr>
                <w:rFonts w:cstheme="minorHAnsi"/>
                <w:b/>
              </w:rPr>
              <w:t>Drug</w:t>
            </w:r>
          </w:p>
          <w:p w14:paraId="1492730D" w14:textId="7146804D" w:rsidR="008F2AAC" w:rsidRDefault="00AD463A" w:rsidP="001B78F5">
            <w:pPr>
              <w:rPr>
                <w:rFonts w:cstheme="minorHAnsi"/>
              </w:rPr>
            </w:pPr>
            <w:r>
              <w:rPr>
                <w:rFonts w:cstheme="minorHAnsi"/>
              </w:rPr>
              <w:t>N</w:t>
            </w:r>
            <w:r w:rsidRPr="00AD463A">
              <w:rPr>
                <w:rFonts w:cstheme="minorHAnsi"/>
              </w:rPr>
              <w:t xml:space="preserve">o standard of care in second line therapy and paclitaxel or </w:t>
            </w:r>
            <w:proofErr w:type="spellStart"/>
            <w:r w:rsidRPr="00AD463A">
              <w:rPr>
                <w:rFonts w:cstheme="minorHAnsi"/>
              </w:rPr>
              <w:t>docetaxel</w:t>
            </w:r>
            <w:proofErr w:type="spellEnd"/>
            <w:r w:rsidRPr="00AD463A">
              <w:rPr>
                <w:rFonts w:cstheme="minorHAnsi"/>
              </w:rPr>
              <w:t xml:space="preserve"> monotherapy are potential </w:t>
            </w:r>
            <w:r w:rsidR="00525487">
              <w:rPr>
                <w:rFonts w:cstheme="minorHAnsi"/>
              </w:rPr>
              <w:t xml:space="preserve">comparator </w:t>
            </w:r>
            <w:r w:rsidRPr="00AD463A">
              <w:rPr>
                <w:rFonts w:cstheme="minorHAnsi"/>
              </w:rPr>
              <w:t xml:space="preserve">treatment options. </w:t>
            </w:r>
          </w:p>
          <w:p w14:paraId="5AA2F32C" w14:textId="77777777" w:rsidR="008F2AAC" w:rsidRDefault="008F2AAC" w:rsidP="001B78F5">
            <w:pPr>
              <w:rPr>
                <w:rFonts w:cstheme="minorHAnsi"/>
              </w:rPr>
            </w:pPr>
          </w:p>
          <w:p w14:paraId="264E51BE" w14:textId="51548360" w:rsidR="001B78F5" w:rsidRPr="001B78F5" w:rsidRDefault="001B78F5" w:rsidP="001B78F5">
            <w:pPr>
              <w:rPr>
                <w:rFonts w:ascii="Calibri" w:hAnsi="Calibri" w:cs="Arial"/>
                <w:b/>
                <w:lang w:val="en-GB" w:eastAsia="ja-JP"/>
              </w:rPr>
            </w:pPr>
            <w:r w:rsidRPr="001B78F5">
              <w:rPr>
                <w:rFonts w:ascii="Calibri" w:hAnsi="Calibri" w:cs="Arial"/>
                <w:b/>
                <w:lang w:val="en-GB" w:eastAsia="ja-JP"/>
              </w:rPr>
              <w:t>Co-dependence</w:t>
            </w:r>
          </w:p>
          <w:p w14:paraId="264E51C0" w14:textId="023F6AA0" w:rsidR="001B78F5" w:rsidRPr="001B78F5" w:rsidRDefault="00AD463A" w:rsidP="001B78F5">
            <w:pPr>
              <w:rPr>
                <w:rFonts w:cstheme="minorHAnsi"/>
              </w:rPr>
            </w:pPr>
            <w:r>
              <w:t>C</w:t>
            </w:r>
            <w:r w:rsidRPr="00AD463A">
              <w:t>omparative outcomes and cost effectiveness comparisons in a PD-L1 tested population treated with pembrolizumab versus standard of care.</w:t>
            </w:r>
          </w:p>
        </w:tc>
      </w:tr>
      <w:tr w:rsidR="001B78F5" w:rsidRPr="001B78F5" w14:paraId="264E51E1" w14:textId="77777777" w:rsidTr="008C751B">
        <w:tc>
          <w:tcPr>
            <w:tcW w:w="1206" w:type="pct"/>
          </w:tcPr>
          <w:p w14:paraId="264E51C2" w14:textId="77777777" w:rsidR="001B78F5" w:rsidRPr="001B78F5" w:rsidRDefault="001B78F5" w:rsidP="001B78F5">
            <w:pPr>
              <w:spacing w:line="480" w:lineRule="auto"/>
              <w:rPr>
                <w:rFonts w:cstheme="minorHAnsi"/>
                <w:color w:val="0070C0"/>
              </w:rPr>
            </w:pPr>
            <w:r w:rsidRPr="001B78F5">
              <w:rPr>
                <w:rFonts w:cstheme="minorHAnsi"/>
              </w:rPr>
              <w:t>Outcomes</w:t>
            </w:r>
          </w:p>
        </w:tc>
        <w:tc>
          <w:tcPr>
            <w:tcW w:w="3794" w:type="pct"/>
          </w:tcPr>
          <w:p w14:paraId="264E51C3" w14:textId="77777777" w:rsidR="001B78F5" w:rsidRPr="001B78F5" w:rsidRDefault="001B78F5" w:rsidP="001B78F5">
            <w:pPr>
              <w:rPr>
                <w:b/>
              </w:rPr>
            </w:pPr>
            <w:r w:rsidRPr="001B78F5">
              <w:rPr>
                <w:b/>
              </w:rPr>
              <w:t xml:space="preserve">Test </w:t>
            </w:r>
          </w:p>
          <w:p w14:paraId="264E51C4" w14:textId="77777777" w:rsidR="001B78F5" w:rsidRPr="0009100E" w:rsidRDefault="001B78F5" w:rsidP="001B78F5">
            <w:pPr>
              <w:rPr>
                <w:spacing w:val="-1"/>
              </w:rPr>
            </w:pPr>
            <w:r w:rsidRPr="0009100E">
              <w:rPr>
                <w:spacing w:val="-1"/>
              </w:rPr>
              <w:t>Outcome measures suitable to assess the analytic performance of PD-L1 IHC testing include:</w:t>
            </w:r>
          </w:p>
          <w:p w14:paraId="264E51C5" w14:textId="77777777" w:rsidR="001B78F5" w:rsidRPr="0009100E" w:rsidRDefault="001B78F5" w:rsidP="00384B12">
            <w:pPr>
              <w:numPr>
                <w:ilvl w:val="0"/>
                <w:numId w:val="3"/>
              </w:numPr>
              <w:contextualSpacing/>
              <w:rPr>
                <w:spacing w:val="-1"/>
              </w:rPr>
            </w:pPr>
            <w:r w:rsidRPr="0009100E">
              <w:rPr>
                <w:spacing w:val="-1"/>
              </w:rPr>
              <w:t>Sensitivity</w:t>
            </w:r>
          </w:p>
          <w:p w14:paraId="47906C88" w14:textId="77777777" w:rsidR="00F52A60" w:rsidRDefault="001B78F5" w:rsidP="00F52A60">
            <w:pPr>
              <w:numPr>
                <w:ilvl w:val="0"/>
                <w:numId w:val="3"/>
              </w:numPr>
              <w:contextualSpacing/>
              <w:rPr>
                <w:spacing w:val="-1"/>
              </w:rPr>
            </w:pPr>
            <w:r w:rsidRPr="0009100E">
              <w:rPr>
                <w:spacing w:val="-1"/>
              </w:rPr>
              <w:t>Specificity</w:t>
            </w:r>
            <w:r w:rsidR="00F52A60" w:rsidRPr="00F52A60">
              <w:rPr>
                <w:spacing w:val="-1"/>
              </w:rPr>
              <w:t xml:space="preserve"> </w:t>
            </w:r>
          </w:p>
          <w:p w14:paraId="35ECE7DA" w14:textId="0AA06CAF" w:rsidR="00F52A60" w:rsidRPr="00F52A60" w:rsidRDefault="00F52A60" w:rsidP="00F52A60">
            <w:pPr>
              <w:numPr>
                <w:ilvl w:val="0"/>
                <w:numId w:val="3"/>
              </w:numPr>
              <w:contextualSpacing/>
              <w:rPr>
                <w:spacing w:val="-1"/>
              </w:rPr>
            </w:pPr>
            <w:r w:rsidRPr="00F52A60">
              <w:rPr>
                <w:spacing w:val="-1"/>
              </w:rPr>
              <w:t>Positive Predictive Value</w:t>
            </w:r>
          </w:p>
          <w:p w14:paraId="264E51C6" w14:textId="77777777" w:rsidR="001B78F5" w:rsidRPr="0009100E" w:rsidRDefault="00F52A60" w:rsidP="00384B12">
            <w:pPr>
              <w:numPr>
                <w:ilvl w:val="0"/>
                <w:numId w:val="3"/>
              </w:numPr>
              <w:contextualSpacing/>
              <w:rPr>
                <w:spacing w:val="-1"/>
              </w:rPr>
            </w:pPr>
            <w:r w:rsidRPr="00F52A60">
              <w:rPr>
                <w:spacing w:val="-1"/>
              </w:rPr>
              <w:t xml:space="preserve">Negative Predictive Value </w:t>
            </w:r>
          </w:p>
          <w:p w14:paraId="264E51C7" w14:textId="77777777" w:rsidR="001B78F5" w:rsidRPr="0009100E" w:rsidRDefault="00D073CE" w:rsidP="00384B12">
            <w:pPr>
              <w:numPr>
                <w:ilvl w:val="0"/>
                <w:numId w:val="4"/>
              </w:numPr>
              <w:contextualSpacing/>
              <w:rPr>
                <w:spacing w:val="-1"/>
              </w:rPr>
            </w:pPr>
            <w:r w:rsidRPr="0009100E">
              <w:rPr>
                <w:spacing w:val="-1"/>
              </w:rPr>
              <w:t>Precision</w:t>
            </w:r>
            <w:r w:rsidR="001B78F5" w:rsidRPr="0009100E">
              <w:rPr>
                <w:spacing w:val="-1"/>
              </w:rPr>
              <w:t xml:space="preserve">  </w:t>
            </w:r>
          </w:p>
          <w:p w14:paraId="42E53902" w14:textId="77777777" w:rsidR="00F52A60" w:rsidRDefault="00F52A60" w:rsidP="00F52A60">
            <w:r>
              <w:t>Measure of Clinical Utility of PD-L1 test</w:t>
            </w:r>
          </w:p>
          <w:p w14:paraId="7227D398" w14:textId="77777777" w:rsidR="00F72E0E" w:rsidRDefault="00FB67E7" w:rsidP="00F72E0E">
            <w:pPr>
              <w:pStyle w:val="ListParagraph"/>
              <w:numPr>
                <w:ilvl w:val="0"/>
                <w:numId w:val="34"/>
              </w:numPr>
            </w:pPr>
            <w:r w:rsidRPr="00FB67E7">
              <w:t xml:space="preserve">Health outcomes with pembrolizumab  in advanced/metastatic bladder cancer population whose tumours express PD-L1 (PD-L1 </w:t>
            </w:r>
            <w:r w:rsidRPr="00FB67E7">
              <w:lastRenderedPageBreak/>
              <w:t>positive) compared to health outcomes with pembrolizumab in advanced/metastatic bladder cancer population (all comers)</w:t>
            </w:r>
          </w:p>
          <w:p w14:paraId="264E51CB" w14:textId="15230697" w:rsidR="001B78F5" w:rsidRPr="0009100E" w:rsidRDefault="001B78F5" w:rsidP="001B78F5">
            <w:pPr>
              <w:rPr>
                <w:spacing w:val="-1"/>
              </w:rPr>
            </w:pPr>
            <w:r w:rsidRPr="0009100E">
              <w:t>Other considerations</w:t>
            </w:r>
          </w:p>
          <w:p w14:paraId="264E51CC" w14:textId="77777777" w:rsidR="001B78F5" w:rsidRPr="0009100E" w:rsidRDefault="001B78F5" w:rsidP="00384B12">
            <w:pPr>
              <w:numPr>
                <w:ilvl w:val="0"/>
                <w:numId w:val="5"/>
              </w:numPr>
              <w:contextualSpacing/>
              <w:rPr>
                <w:spacing w:val="-1"/>
              </w:rPr>
            </w:pPr>
            <w:r w:rsidRPr="0009100E">
              <w:rPr>
                <w:spacing w:val="-1"/>
              </w:rPr>
              <w:t>Rates of re-biopsy</w:t>
            </w:r>
          </w:p>
          <w:p w14:paraId="370B64B4" w14:textId="1B9CB707" w:rsidR="00F52A60" w:rsidRPr="0009100E" w:rsidRDefault="00F52A60" w:rsidP="00384B12">
            <w:pPr>
              <w:numPr>
                <w:ilvl w:val="0"/>
                <w:numId w:val="5"/>
              </w:numPr>
              <w:contextualSpacing/>
              <w:rPr>
                <w:spacing w:val="-1"/>
              </w:rPr>
            </w:pPr>
            <w:r>
              <w:rPr>
                <w:spacing w:val="-1"/>
              </w:rPr>
              <w:t>Rates of re-testing</w:t>
            </w:r>
          </w:p>
          <w:p w14:paraId="264E51CD" w14:textId="77777777" w:rsidR="001B78F5" w:rsidRPr="0009100E" w:rsidRDefault="001B78F5" w:rsidP="00384B12">
            <w:pPr>
              <w:numPr>
                <w:ilvl w:val="0"/>
                <w:numId w:val="5"/>
              </w:numPr>
              <w:contextualSpacing/>
              <w:rPr>
                <w:spacing w:val="-1"/>
              </w:rPr>
            </w:pPr>
            <w:r w:rsidRPr="0009100E">
              <w:rPr>
                <w:spacing w:val="-1"/>
              </w:rPr>
              <w:t>Anticipated test turnaround time.</w:t>
            </w:r>
          </w:p>
          <w:p w14:paraId="264E51CE" w14:textId="77777777" w:rsidR="001B78F5" w:rsidRPr="0009100E" w:rsidRDefault="001B78F5" w:rsidP="00384B12">
            <w:pPr>
              <w:numPr>
                <w:ilvl w:val="0"/>
                <w:numId w:val="6"/>
              </w:numPr>
              <w:contextualSpacing/>
              <w:rPr>
                <w:spacing w:val="-1"/>
              </w:rPr>
            </w:pPr>
            <w:r w:rsidRPr="0009100E">
              <w:rPr>
                <w:spacing w:val="-1"/>
              </w:rPr>
              <w:t>The estimated number of patients being tested</w:t>
            </w:r>
          </w:p>
          <w:p w14:paraId="264E51CF" w14:textId="77777777" w:rsidR="001B78F5" w:rsidRPr="0009100E" w:rsidRDefault="001B78F5" w:rsidP="00384B12">
            <w:pPr>
              <w:numPr>
                <w:ilvl w:val="0"/>
                <w:numId w:val="6"/>
              </w:numPr>
              <w:contextualSpacing/>
              <w:rPr>
                <w:spacing w:val="-1"/>
              </w:rPr>
            </w:pPr>
            <w:r w:rsidRPr="0009100E">
              <w:rPr>
                <w:spacing w:val="-1"/>
              </w:rPr>
              <w:t>The number of patients tested per case of PD-L1 positive result detected</w:t>
            </w:r>
          </w:p>
          <w:p w14:paraId="264E51D0" w14:textId="77777777" w:rsidR="001B78F5" w:rsidRPr="0009100E" w:rsidRDefault="001B78F5" w:rsidP="00384B12">
            <w:pPr>
              <w:numPr>
                <w:ilvl w:val="0"/>
                <w:numId w:val="6"/>
              </w:numPr>
              <w:contextualSpacing/>
              <w:rPr>
                <w:spacing w:val="-1"/>
              </w:rPr>
            </w:pPr>
            <w:r w:rsidRPr="0009100E">
              <w:rPr>
                <w:spacing w:val="-1"/>
              </w:rPr>
              <w:t xml:space="preserve">The number of patients tested per case of PD-L1 positive result treated with pembrolizumab </w:t>
            </w:r>
          </w:p>
          <w:p w14:paraId="264E51D1" w14:textId="77777777" w:rsidR="001B78F5" w:rsidRPr="0009100E" w:rsidRDefault="001B78F5" w:rsidP="00384B12">
            <w:pPr>
              <w:numPr>
                <w:ilvl w:val="0"/>
                <w:numId w:val="6"/>
              </w:numPr>
              <w:contextualSpacing/>
              <w:rPr>
                <w:spacing w:val="-1"/>
              </w:rPr>
            </w:pPr>
            <w:r w:rsidRPr="0009100E">
              <w:rPr>
                <w:spacing w:val="-1"/>
              </w:rPr>
              <w:t xml:space="preserve">The cost of testing per case of PD-L1 positive </w:t>
            </w:r>
            <w:r w:rsidR="0013120A" w:rsidRPr="0009100E">
              <w:rPr>
                <w:spacing w:val="-1"/>
              </w:rPr>
              <w:t>advanced/metastatic bladder cancer</w:t>
            </w:r>
            <w:r w:rsidRPr="0009100E">
              <w:rPr>
                <w:spacing w:val="-1"/>
              </w:rPr>
              <w:t xml:space="preserve"> detected</w:t>
            </w:r>
          </w:p>
          <w:p w14:paraId="264E51D2" w14:textId="77777777" w:rsidR="001B78F5" w:rsidRPr="0009100E" w:rsidRDefault="001B78F5" w:rsidP="00384B12">
            <w:pPr>
              <w:numPr>
                <w:ilvl w:val="0"/>
                <w:numId w:val="6"/>
              </w:numPr>
              <w:contextualSpacing/>
              <w:rPr>
                <w:spacing w:val="-1"/>
              </w:rPr>
            </w:pPr>
            <w:r w:rsidRPr="0009100E">
              <w:rPr>
                <w:spacing w:val="-1"/>
              </w:rPr>
              <w:t xml:space="preserve">The cost of testing per case of PD-L1 positive </w:t>
            </w:r>
            <w:r w:rsidR="0013120A" w:rsidRPr="0009100E">
              <w:rPr>
                <w:spacing w:val="-1"/>
              </w:rPr>
              <w:t xml:space="preserve">advanced/metastatic bladder cancer </w:t>
            </w:r>
            <w:r w:rsidRPr="0009100E">
              <w:rPr>
                <w:spacing w:val="-1"/>
              </w:rPr>
              <w:t>treated with pembrolizumab.</w:t>
            </w:r>
          </w:p>
          <w:p w14:paraId="264E51D3" w14:textId="77777777" w:rsidR="00393A04" w:rsidRDefault="00393A04" w:rsidP="00393A04">
            <w:pPr>
              <w:contextualSpacing/>
              <w:rPr>
                <w:spacing w:val="-1"/>
              </w:rPr>
            </w:pPr>
          </w:p>
          <w:p w14:paraId="264E51D4" w14:textId="77777777" w:rsidR="001B78F5" w:rsidRPr="001B78F5" w:rsidRDefault="001B78F5" w:rsidP="001B78F5">
            <w:pPr>
              <w:rPr>
                <w:b/>
              </w:rPr>
            </w:pPr>
            <w:r w:rsidRPr="001B78F5">
              <w:rPr>
                <w:b/>
              </w:rPr>
              <w:t>Drug Outcomes</w:t>
            </w:r>
          </w:p>
          <w:p w14:paraId="264E51D5" w14:textId="77777777" w:rsidR="001B78F5" w:rsidRPr="001B78F5" w:rsidRDefault="001B78F5" w:rsidP="001B78F5">
            <w:pPr>
              <w:rPr>
                <w:spacing w:val="-1"/>
              </w:rPr>
            </w:pPr>
            <w:r w:rsidRPr="001B78F5">
              <w:rPr>
                <w:spacing w:val="-1"/>
              </w:rPr>
              <w:t>Measures of clinical efficacy for pembrolizumab include:</w:t>
            </w:r>
          </w:p>
          <w:p w14:paraId="264E51D6" w14:textId="77777777" w:rsidR="001B78F5" w:rsidRPr="001B78F5" w:rsidRDefault="001B78F5" w:rsidP="001B78F5">
            <w:pPr>
              <w:rPr>
                <w:spacing w:val="-1"/>
              </w:rPr>
            </w:pPr>
            <w:r w:rsidRPr="001B78F5">
              <w:rPr>
                <w:spacing w:val="-1"/>
              </w:rPr>
              <w:t>Primary outcome:</w:t>
            </w:r>
          </w:p>
          <w:p w14:paraId="264E51D7"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 xml:space="preserve">Overall survival </w:t>
            </w:r>
          </w:p>
          <w:p w14:paraId="264E51D8"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Progression free survival</w:t>
            </w:r>
          </w:p>
          <w:p w14:paraId="264E51D9" w14:textId="77777777" w:rsidR="001B78F5" w:rsidRPr="001B78F5" w:rsidRDefault="001B78F5" w:rsidP="001B78F5">
            <w:pPr>
              <w:rPr>
                <w:rFonts w:cstheme="minorHAnsi"/>
                <w:spacing w:val="-1"/>
              </w:rPr>
            </w:pPr>
            <w:r w:rsidRPr="001B78F5">
              <w:rPr>
                <w:rFonts w:cstheme="minorHAnsi"/>
                <w:spacing w:val="-1"/>
              </w:rPr>
              <w:t>Secondary outcomes</w:t>
            </w:r>
          </w:p>
          <w:p w14:paraId="264E51DA" w14:textId="77777777" w:rsidR="001B78F5" w:rsidRPr="001B78F5" w:rsidRDefault="001B78F5" w:rsidP="00384B12">
            <w:pPr>
              <w:numPr>
                <w:ilvl w:val="0"/>
                <w:numId w:val="7"/>
              </w:numPr>
              <w:contextualSpacing/>
              <w:rPr>
                <w:rFonts w:cstheme="minorHAnsi"/>
                <w:b/>
                <w:spacing w:val="-1"/>
              </w:rPr>
            </w:pPr>
            <w:r w:rsidRPr="001B78F5">
              <w:rPr>
                <w:rFonts w:cstheme="minorHAnsi"/>
                <w:spacing w:val="-1"/>
              </w:rPr>
              <w:t>Objective tumour response rates (</w:t>
            </w:r>
            <w:r w:rsidRPr="001B78F5">
              <w:rPr>
                <w:rFonts w:cstheme="minorHAnsi"/>
              </w:rPr>
              <w:t>complete response or partial response according to RECIST criteria)</w:t>
            </w:r>
          </w:p>
          <w:p w14:paraId="264E51DB"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Quality of life</w:t>
            </w:r>
          </w:p>
          <w:p w14:paraId="264E51DC"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Disease control rate (response rate + rate of stable disease)</w:t>
            </w:r>
          </w:p>
          <w:p w14:paraId="264E51DD"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Duration of response</w:t>
            </w:r>
          </w:p>
          <w:p w14:paraId="264E51DE"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Rate of disease progression</w:t>
            </w:r>
          </w:p>
          <w:p w14:paraId="264E51DF"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Time to progression</w:t>
            </w:r>
          </w:p>
          <w:p w14:paraId="264E51E0" w14:textId="77777777" w:rsidR="001B78F5" w:rsidRPr="001B78F5" w:rsidRDefault="001B78F5" w:rsidP="00384B12">
            <w:pPr>
              <w:numPr>
                <w:ilvl w:val="0"/>
                <w:numId w:val="7"/>
              </w:numPr>
              <w:contextualSpacing/>
              <w:rPr>
                <w:rFonts w:cstheme="minorHAnsi"/>
                <w:spacing w:val="-1"/>
              </w:rPr>
            </w:pPr>
            <w:r w:rsidRPr="001B78F5">
              <w:rPr>
                <w:rFonts w:cstheme="minorHAnsi"/>
                <w:spacing w:val="-1"/>
              </w:rPr>
              <w:t>Safety and tolerability.</w:t>
            </w:r>
          </w:p>
        </w:tc>
      </w:tr>
    </w:tbl>
    <w:p w14:paraId="264E51E2" w14:textId="77777777" w:rsidR="001B78F5" w:rsidRPr="001B78F5" w:rsidRDefault="001B78F5" w:rsidP="001B78F5">
      <w:pPr>
        <w:spacing w:after="0"/>
        <w:rPr>
          <w:b/>
        </w:rPr>
      </w:pPr>
      <w:bookmarkStart w:id="7" w:name="_Ref418501913"/>
    </w:p>
    <w:p w14:paraId="264E51E3" w14:textId="331EE200" w:rsidR="001B78F5" w:rsidRPr="001B78F5" w:rsidRDefault="001B78F5" w:rsidP="001B78F5">
      <w:pPr>
        <w:spacing w:after="0"/>
        <w:rPr>
          <w:b/>
        </w:rPr>
      </w:pPr>
      <w:r w:rsidRPr="001B78F5">
        <w:rPr>
          <w:b/>
        </w:rPr>
        <w:t xml:space="preserve">Table </w:t>
      </w:r>
      <w:bookmarkEnd w:id="7"/>
      <w:r w:rsidR="002712A5">
        <w:rPr>
          <w:b/>
        </w:rPr>
        <w:t>4</w:t>
      </w:r>
      <w:r w:rsidRPr="001B78F5">
        <w:rPr>
          <w:b/>
        </w:rPr>
        <w:t>:  For investigative services</w:t>
      </w:r>
    </w:p>
    <w:tbl>
      <w:tblPr>
        <w:tblStyle w:val="TableGrid"/>
        <w:tblW w:w="5000" w:type="pct"/>
        <w:tblLook w:val="04A0" w:firstRow="1" w:lastRow="0" w:firstColumn="1" w:lastColumn="0" w:noHBand="0" w:noVBand="1"/>
        <w:tblCaption w:val="Table 2 - For investigative services"/>
      </w:tblPr>
      <w:tblGrid>
        <w:gridCol w:w="2234"/>
        <w:gridCol w:w="7030"/>
      </w:tblGrid>
      <w:tr w:rsidR="001B78F5" w:rsidRPr="001B78F5" w14:paraId="264E51E8" w14:textId="77777777" w:rsidTr="008C751B">
        <w:trPr>
          <w:cantSplit/>
          <w:tblHeader/>
        </w:trPr>
        <w:tc>
          <w:tcPr>
            <w:tcW w:w="1206" w:type="pct"/>
          </w:tcPr>
          <w:p w14:paraId="264E51E4" w14:textId="77777777" w:rsidR="001B78F5" w:rsidRPr="001B78F5" w:rsidRDefault="001B78F5" w:rsidP="001B78F5">
            <w:pPr>
              <w:spacing w:line="480" w:lineRule="auto"/>
              <w:rPr>
                <w:rFonts w:cstheme="minorHAnsi"/>
              </w:rPr>
            </w:pPr>
            <w:r w:rsidRPr="001B78F5">
              <w:rPr>
                <w:rFonts w:cstheme="minorHAnsi"/>
              </w:rPr>
              <w:t>Prior tests</w:t>
            </w:r>
          </w:p>
        </w:tc>
        <w:tc>
          <w:tcPr>
            <w:tcW w:w="3794" w:type="pct"/>
          </w:tcPr>
          <w:p w14:paraId="264E51E5" w14:textId="77777777" w:rsidR="001B78F5" w:rsidRPr="00F06878" w:rsidRDefault="001B78F5" w:rsidP="001B78F5">
            <w:r w:rsidRPr="00F06878">
              <w:t xml:space="preserve">Initial biopsy and tests to confirm diagnosis of </w:t>
            </w:r>
            <w:r w:rsidR="00393A04" w:rsidRPr="00F06878">
              <w:t>advanced/metastatic bladder cancer</w:t>
            </w:r>
            <w:r w:rsidRPr="00F06878">
              <w:t>.  Depending on the final clinical algorithm chosen, PD-L1 testing may use:</w:t>
            </w:r>
          </w:p>
          <w:p w14:paraId="13D7BD5F" w14:textId="77777777" w:rsidR="001B78F5" w:rsidRDefault="001B78F5" w:rsidP="00384B12">
            <w:pPr>
              <w:numPr>
                <w:ilvl w:val="0"/>
                <w:numId w:val="12"/>
              </w:numPr>
              <w:contextualSpacing/>
            </w:pPr>
            <w:r w:rsidRPr="00F06878">
              <w:t>newly obtained tissue from a new biopsy performed after failure of platinum-based therapy</w:t>
            </w:r>
          </w:p>
          <w:p w14:paraId="264E51E7" w14:textId="684DF5F6" w:rsidR="00DF72B9" w:rsidRPr="00F06878" w:rsidRDefault="003E47A3" w:rsidP="00DF72B9">
            <w:pPr>
              <w:numPr>
                <w:ilvl w:val="0"/>
                <w:numId w:val="12"/>
              </w:numPr>
              <w:contextualSpacing/>
            </w:pPr>
            <w:r>
              <w:t>a</w:t>
            </w:r>
            <w:r w:rsidR="00DF72B9">
              <w:t xml:space="preserve">rchival tumour tissue sample </w:t>
            </w:r>
            <w:r w:rsidR="00DF72B9" w:rsidRPr="00DF72B9">
              <w:t>after failure of platinum-based therapy</w:t>
            </w:r>
          </w:p>
        </w:tc>
      </w:tr>
      <w:tr w:rsidR="001B78F5" w:rsidRPr="001B78F5" w14:paraId="264E51EB" w14:textId="77777777" w:rsidTr="008C751B">
        <w:trPr>
          <w:cantSplit/>
          <w:tblHeader/>
        </w:trPr>
        <w:tc>
          <w:tcPr>
            <w:tcW w:w="1206" w:type="pct"/>
          </w:tcPr>
          <w:p w14:paraId="264E51E9" w14:textId="77777777" w:rsidR="001B78F5" w:rsidRPr="001B78F5" w:rsidRDefault="001B78F5" w:rsidP="001B78F5">
            <w:pPr>
              <w:spacing w:line="480" w:lineRule="auto"/>
              <w:rPr>
                <w:rFonts w:cstheme="minorHAnsi"/>
              </w:rPr>
            </w:pPr>
            <w:r w:rsidRPr="001B78F5">
              <w:rPr>
                <w:rFonts w:cstheme="minorHAnsi"/>
              </w:rPr>
              <w:t>Reference standard</w:t>
            </w:r>
          </w:p>
        </w:tc>
        <w:tc>
          <w:tcPr>
            <w:tcW w:w="3794" w:type="pct"/>
          </w:tcPr>
          <w:p w14:paraId="264E51EA" w14:textId="77777777" w:rsidR="001B78F5" w:rsidRPr="001B78F5" w:rsidRDefault="001B78F5" w:rsidP="00393A04">
            <w:pPr>
              <w:rPr>
                <w:rFonts w:cstheme="minorHAnsi"/>
                <w:color w:val="0070C0"/>
              </w:rPr>
            </w:pPr>
            <w:r w:rsidRPr="001B78F5">
              <w:rPr>
                <w:rFonts w:cstheme="minorHAnsi"/>
                <w:color w:val="000000" w:themeColor="text1"/>
              </w:rPr>
              <w:t xml:space="preserve">There is no reference standard.  The </w:t>
            </w:r>
            <w:r w:rsidR="00306411">
              <w:rPr>
                <w:rFonts w:cstheme="minorHAnsi"/>
                <w:color w:val="000000" w:themeColor="text1"/>
              </w:rPr>
              <w:t xml:space="preserve">PD-L1 IHC 22C3 </w:t>
            </w:r>
            <w:proofErr w:type="spellStart"/>
            <w:r w:rsidR="00306411">
              <w:rPr>
                <w:rFonts w:cstheme="minorHAnsi"/>
                <w:color w:val="000000" w:themeColor="text1"/>
              </w:rPr>
              <w:t>pharmDx</w:t>
            </w:r>
            <w:proofErr w:type="spellEnd"/>
            <w:r w:rsidR="00306411">
              <w:rPr>
                <w:rFonts w:cstheme="minorHAnsi"/>
                <w:color w:val="000000" w:themeColor="text1"/>
              </w:rPr>
              <w:t xml:space="preserve"> Market Ready Assay</w:t>
            </w:r>
            <w:r w:rsidR="00393A04" w:rsidRPr="00393A04">
              <w:rPr>
                <w:rFonts w:cstheme="minorHAnsi"/>
                <w:color w:val="000000" w:themeColor="text1"/>
              </w:rPr>
              <w:t xml:space="preserve"> </w:t>
            </w:r>
            <w:r w:rsidRPr="001B78F5">
              <w:rPr>
                <w:rFonts w:cstheme="minorHAnsi"/>
                <w:color w:val="000000" w:themeColor="text1"/>
              </w:rPr>
              <w:t>used to determine patient eligibility in KN0</w:t>
            </w:r>
            <w:r w:rsidR="00393A04">
              <w:rPr>
                <w:rFonts w:cstheme="minorHAnsi"/>
                <w:color w:val="000000" w:themeColor="text1"/>
              </w:rPr>
              <w:t>45</w:t>
            </w:r>
            <w:r w:rsidRPr="001B78F5">
              <w:rPr>
                <w:rFonts w:cstheme="minorHAnsi"/>
                <w:color w:val="000000" w:themeColor="text1"/>
              </w:rPr>
              <w:t xml:space="preserve"> is the evidentiary standard</w:t>
            </w:r>
            <w:r w:rsidR="00393A04">
              <w:rPr>
                <w:rFonts w:cstheme="minorHAnsi"/>
                <w:color w:val="000000" w:themeColor="text1"/>
              </w:rPr>
              <w:t xml:space="preserve">. </w:t>
            </w:r>
          </w:p>
        </w:tc>
      </w:tr>
    </w:tbl>
    <w:p w14:paraId="264E51EC" w14:textId="77777777" w:rsidR="001B78F5" w:rsidRPr="001B78F5" w:rsidRDefault="001B78F5" w:rsidP="001B78F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t>Healthcare resources</w:t>
      </w:r>
    </w:p>
    <w:p w14:paraId="264E51ED" w14:textId="11E1DA74" w:rsidR="001B78F5" w:rsidRPr="00561F5F" w:rsidRDefault="001B78F5" w:rsidP="001B78F5">
      <w:pPr>
        <w:rPr>
          <w:lang w:val="en-US"/>
        </w:rPr>
      </w:pPr>
      <w:r w:rsidRPr="00561F5F">
        <w:rPr>
          <w:lang w:val="en-US"/>
        </w:rPr>
        <w:t xml:space="preserve">Healthcare resources that are most likely to be affected, should PD-L1 testing and treatment with </w:t>
      </w:r>
      <w:proofErr w:type="spellStart"/>
      <w:r w:rsidRPr="00561F5F">
        <w:rPr>
          <w:lang w:val="en-US"/>
        </w:rPr>
        <w:t>pembrolizumab</w:t>
      </w:r>
      <w:proofErr w:type="spellEnd"/>
      <w:r w:rsidRPr="00561F5F">
        <w:rPr>
          <w:lang w:val="en-US"/>
        </w:rPr>
        <w:t xml:space="preserve"> become available include (see </w:t>
      </w:r>
      <w:r w:rsidRPr="00561F5F">
        <w:rPr>
          <w:lang w:val="en-US"/>
        </w:rPr>
        <w:fldChar w:fldCharType="begin"/>
      </w:r>
      <w:r w:rsidRPr="00561F5F">
        <w:rPr>
          <w:lang w:val="en-US"/>
        </w:rPr>
        <w:instrText xml:space="preserve"> REF _Ref418501931 \h  \* MERGEFORMAT </w:instrText>
      </w:r>
      <w:r w:rsidRPr="00561F5F">
        <w:rPr>
          <w:lang w:val="en-US"/>
        </w:rPr>
      </w:r>
      <w:r w:rsidRPr="00561F5F">
        <w:rPr>
          <w:lang w:val="en-US"/>
        </w:rPr>
        <w:fldChar w:fldCharType="separate"/>
      </w:r>
      <w:r w:rsidR="00525438" w:rsidRPr="005C5C84">
        <w:t xml:space="preserve">Table </w:t>
      </w:r>
      <w:r w:rsidRPr="00561F5F">
        <w:rPr>
          <w:lang w:val="en-US"/>
        </w:rPr>
        <w:fldChar w:fldCharType="end"/>
      </w:r>
      <w:r w:rsidR="003E47A3">
        <w:rPr>
          <w:lang w:val="en-US"/>
        </w:rPr>
        <w:t>5</w:t>
      </w:r>
      <w:r w:rsidRPr="00561F5F">
        <w:rPr>
          <w:lang w:val="en-US"/>
        </w:rPr>
        <w:t xml:space="preserve">): </w:t>
      </w:r>
    </w:p>
    <w:p w14:paraId="264E51EE" w14:textId="77777777" w:rsidR="001B78F5" w:rsidRPr="00561F5F" w:rsidRDefault="001B78F5" w:rsidP="00384B12">
      <w:pPr>
        <w:numPr>
          <w:ilvl w:val="0"/>
          <w:numId w:val="8"/>
        </w:numPr>
        <w:spacing w:before="100" w:beforeAutospacing="1" w:after="100" w:afterAutospacing="1" w:line="240" w:lineRule="auto"/>
        <w:contextualSpacing/>
        <w:rPr>
          <w:rFonts w:eastAsia="Times New Roman" w:cstheme="minorHAnsi"/>
          <w:lang w:val="en-US"/>
        </w:rPr>
      </w:pPr>
      <w:r w:rsidRPr="00561F5F">
        <w:rPr>
          <w:rFonts w:eastAsia="Times New Roman" w:cstheme="minorHAnsi"/>
          <w:lang w:val="en-US"/>
        </w:rPr>
        <w:lastRenderedPageBreak/>
        <w:t xml:space="preserve">Cost of the PD-L1 antibody and pathologists time in interpreting and reporting the results.  Pathology laboratories are likely to have all the required equipment for IHC as it is routinely performed. </w:t>
      </w:r>
    </w:p>
    <w:p w14:paraId="264E51EF" w14:textId="77777777" w:rsidR="001B78F5" w:rsidRPr="00561F5F" w:rsidRDefault="001B78F5" w:rsidP="00384B12">
      <w:pPr>
        <w:numPr>
          <w:ilvl w:val="0"/>
          <w:numId w:val="8"/>
        </w:numPr>
        <w:spacing w:before="100" w:beforeAutospacing="1" w:after="100" w:afterAutospacing="1" w:line="240" w:lineRule="auto"/>
        <w:contextualSpacing/>
        <w:rPr>
          <w:rFonts w:eastAsia="Times New Roman" w:cstheme="minorHAnsi"/>
          <w:lang w:val="en-US"/>
        </w:rPr>
      </w:pPr>
      <w:r w:rsidRPr="00561F5F">
        <w:rPr>
          <w:rFonts w:eastAsia="Times New Roman" w:cstheme="minorHAnsi"/>
          <w:lang w:val="en-US"/>
        </w:rPr>
        <w:t>Costs of a second biopsy if there is insufficient tissue or it is deemed that PD-L1 testing should be done on newly obtained tissue after failure of platinum-based treatment.</w:t>
      </w:r>
    </w:p>
    <w:p w14:paraId="264E51F0" w14:textId="77777777" w:rsidR="00561F5F" w:rsidRPr="00561F5F" w:rsidRDefault="001B78F5" w:rsidP="00384B12">
      <w:pPr>
        <w:numPr>
          <w:ilvl w:val="0"/>
          <w:numId w:val="8"/>
        </w:numPr>
        <w:spacing w:before="100" w:beforeAutospacing="1" w:after="100" w:afterAutospacing="1" w:line="240" w:lineRule="auto"/>
        <w:contextualSpacing/>
        <w:rPr>
          <w:rFonts w:eastAsia="Times New Roman" w:cstheme="minorHAnsi"/>
          <w:lang w:val="en-US"/>
        </w:rPr>
      </w:pPr>
      <w:r w:rsidRPr="00561F5F">
        <w:rPr>
          <w:rFonts w:eastAsia="Times New Roman" w:cstheme="minorHAnsi"/>
          <w:lang w:val="en-US"/>
        </w:rPr>
        <w:t xml:space="preserve">Costs of retrieving tissue blocks if PD-L1 testing is undertaken on archival tissue. </w:t>
      </w:r>
    </w:p>
    <w:p w14:paraId="264E51F1" w14:textId="77777777" w:rsidR="001B78F5" w:rsidRPr="00561F5F" w:rsidRDefault="001B78F5" w:rsidP="00384B12">
      <w:pPr>
        <w:numPr>
          <w:ilvl w:val="0"/>
          <w:numId w:val="8"/>
        </w:numPr>
        <w:spacing w:before="100" w:beforeAutospacing="1" w:after="100" w:afterAutospacing="1" w:line="240" w:lineRule="auto"/>
        <w:contextualSpacing/>
        <w:rPr>
          <w:rFonts w:eastAsia="Times New Roman" w:cstheme="minorHAnsi"/>
          <w:lang w:val="en-US"/>
        </w:rPr>
      </w:pPr>
      <w:r w:rsidRPr="00561F5F">
        <w:rPr>
          <w:rFonts w:eastAsia="Times New Roman" w:cstheme="minorHAnsi"/>
          <w:lang w:val="en-US"/>
        </w:rPr>
        <w:t xml:space="preserve">Costs of treating PD-L1 positive patients with </w:t>
      </w:r>
      <w:proofErr w:type="spellStart"/>
      <w:r w:rsidRPr="00561F5F">
        <w:rPr>
          <w:rFonts w:eastAsia="Times New Roman" w:cstheme="minorHAnsi"/>
          <w:lang w:val="en-US"/>
        </w:rPr>
        <w:t>pembrolizumab</w:t>
      </w:r>
      <w:proofErr w:type="spellEnd"/>
      <w:r w:rsidRPr="00561F5F">
        <w:rPr>
          <w:rFonts w:eastAsia="Times New Roman" w:cstheme="minorHAnsi"/>
          <w:lang w:val="en-US"/>
        </w:rPr>
        <w:t xml:space="preserve"> </w:t>
      </w:r>
    </w:p>
    <w:p w14:paraId="60D16467" w14:textId="2A9DA5C9" w:rsidR="005178DC" w:rsidRPr="00E66681" w:rsidRDefault="005178DC" w:rsidP="00E66681">
      <w:pPr>
        <w:pStyle w:val="ListParagraph"/>
        <w:numPr>
          <w:ilvl w:val="0"/>
          <w:numId w:val="8"/>
        </w:numPr>
        <w:spacing w:after="0"/>
        <w:rPr>
          <w:rFonts w:eastAsia="Times New Roman" w:cstheme="minorHAnsi"/>
          <w:lang w:val="en-US"/>
        </w:rPr>
      </w:pPr>
      <w:r w:rsidRPr="005178DC">
        <w:rPr>
          <w:rFonts w:eastAsia="Times New Roman" w:cstheme="minorHAnsi"/>
          <w:lang w:val="en-US"/>
        </w:rPr>
        <w:t xml:space="preserve">Costs for treating adverse events from </w:t>
      </w:r>
      <w:r>
        <w:rPr>
          <w:rFonts w:eastAsia="Times New Roman" w:cstheme="minorHAnsi"/>
          <w:lang w:val="en-US"/>
        </w:rPr>
        <w:t>PD-L1 testing such as obtaining tissue sample biopsies</w:t>
      </w:r>
      <w:r w:rsidRPr="005178DC">
        <w:rPr>
          <w:rFonts w:eastAsia="Times New Roman" w:cstheme="minorHAnsi"/>
          <w:lang w:val="en-US"/>
        </w:rPr>
        <w:t xml:space="preserve">. </w:t>
      </w:r>
    </w:p>
    <w:p w14:paraId="264E51F2" w14:textId="77777777" w:rsidR="00561F5F" w:rsidRPr="00561F5F" w:rsidRDefault="001B78F5" w:rsidP="00384B12">
      <w:pPr>
        <w:numPr>
          <w:ilvl w:val="0"/>
          <w:numId w:val="8"/>
        </w:numPr>
        <w:spacing w:before="100" w:beforeAutospacing="1" w:after="100" w:afterAutospacing="1" w:line="240" w:lineRule="auto"/>
        <w:contextualSpacing/>
        <w:rPr>
          <w:rFonts w:eastAsia="Times New Roman" w:cstheme="minorHAnsi"/>
          <w:lang w:val="en-US"/>
        </w:rPr>
      </w:pPr>
      <w:r w:rsidRPr="00561F5F">
        <w:rPr>
          <w:rFonts w:eastAsia="Times New Roman" w:cstheme="minorHAnsi"/>
          <w:lang w:val="en-US"/>
        </w:rPr>
        <w:t xml:space="preserve">Cost offsets from reduced use of displaced treatments. </w:t>
      </w:r>
    </w:p>
    <w:p w14:paraId="264E51F3" w14:textId="77777777" w:rsidR="001B78F5" w:rsidRPr="00561F5F" w:rsidRDefault="001B78F5" w:rsidP="00384B12">
      <w:pPr>
        <w:numPr>
          <w:ilvl w:val="0"/>
          <w:numId w:val="8"/>
        </w:numPr>
        <w:spacing w:before="100" w:beforeAutospacing="1" w:after="100" w:afterAutospacing="1" w:line="240" w:lineRule="auto"/>
        <w:contextualSpacing/>
        <w:rPr>
          <w:rFonts w:eastAsia="Times New Roman" w:cstheme="minorHAnsi"/>
          <w:lang w:val="en-US"/>
        </w:rPr>
      </w:pPr>
      <w:r w:rsidRPr="00561F5F">
        <w:rPr>
          <w:rFonts w:eastAsia="Times New Roman" w:cstheme="minorHAnsi"/>
          <w:lang w:val="en-US"/>
        </w:rPr>
        <w:t xml:space="preserve">Costs for treating adverse events from treatment (with any therapeutic agent). </w:t>
      </w:r>
    </w:p>
    <w:p w14:paraId="264E51F4" w14:textId="77777777" w:rsidR="001B78F5" w:rsidRPr="00561F5F" w:rsidRDefault="001B78F5" w:rsidP="00384B12">
      <w:pPr>
        <w:numPr>
          <w:ilvl w:val="0"/>
          <w:numId w:val="8"/>
        </w:numPr>
        <w:spacing w:before="100" w:beforeAutospacing="1" w:after="100" w:afterAutospacing="1" w:line="240" w:lineRule="auto"/>
        <w:contextualSpacing/>
        <w:rPr>
          <w:rFonts w:eastAsia="Times New Roman" w:cstheme="minorHAnsi"/>
          <w:lang w:val="en-US"/>
        </w:rPr>
      </w:pPr>
      <w:r w:rsidRPr="00561F5F">
        <w:rPr>
          <w:rFonts w:eastAsia="Times New Roman" w:cstheme="minorHAnsi"/>
          <w:lang w:val="en-US"/>
        </w:rPr>
        <w:t xml:space="preserve">Costs associated with ongoing patient monitoring, e.g. physician visits. </w:t>
      </w:r>
    </w:p>
    <w:p w14:paraId="264E51F5" w14:textId="77777777" w:rsidR="001B78F5" w:rsidRPr="00561F5F" w:rsidRDefault="001B78F5" w:rsidP="00384B12">
      <w:pPr>
        <w:numPr>
          <w:ilvl w:val="0"/>
          <w:numId w:val="8"/>
        </w:numPr>
        <w:spacing w:before="120" w:after="100" w:afterAutospacing="1" w:line="240" w:lineRule="auto"/>
        <w:contextualSpacing/>
        <w:rPr>
          <w:rFonts w:eastAsia="Times New Roman" w:cstheme="minorHAnsi"/>
          <w:lang w:val="en-US"/>
        </w:rPr>
      </w:pPr>
      <w:r w:rsidRPr="00561F5F">
        <w:rPr>
          <w:rFonts w:eastAsia="Times New Roman" w:cstheme="minorHAnsi"/>
          <w:lang w:val="en-US"/>
        </w:rPr>
        <w:t xml:space="preserve">Health care resources and associated with initial diagnosis are assumed to remain unchanged and may be excluded from the analysis accordingly. </w:t>
      </w:r>
    </w:p>
    <w:p w14:paraId="264E51F6" w14:textId="77777777" w:rsidR="001B78F5" w:rsidRPr="001B78F5" w:rsidRDefault="001B78F5" w:rsidP="001B78F5">
      <w:pPr>
        <w:keepNext/>
        <w:keepLines/>
        <w:spacing w:before="120"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t>Questions for public funding</w:t>
      </w:r>
    </w:p>
    <w:p w14:paraId="264E51F7" w14:textId="77777777" w:rsidR="001B78F5" w:rsidRPr="001B78F5" w:rsidRDefault="001B78F5" w:rsidP="001B78F5">
      <w:pPr>
        <w:keepNext/>
        <w:keepLines/>
        <w:spacing w:before="200" w:after="0"/>
        <w:outlineLvl w:val="1"/>
        <w:rPr>
          <w:rFonts w:asciiTheme="majorHAnsi" w:eastAsiaTheme="majorEastAsia" w:hAnsiTheme="majorHAnsi" w:cstheme="majorBidi"/>
          <w:b/>
          <w:bCs/>
          <w:color w:val="4F81BD" w:themeColor="accent1"/>
          <w:sz w:val="26"/>
          <w:szCs w:val="26"/>
        </w:rPr>
      </w:pPr>
      <w:r w:rsidRPr="001B78F5">
        <w:rPr>
          <w:rFonts w:asciiTheme="majorHAnsi" w:eastAsiaTheme="majorEastAsia" w:hAnsiTheme="majorHAnsi" w:cstheme="majorBidi"/>
          <w:b/>
          <w:bCs/>
          <w:color w:val="4F81BD" w:themeColor="accent1"/>
          <w:sz w:val="26"/>
          <w:szCs w:val="26"/>
        </w:rPr>
        <w:t>Primary question for public funding</w:t>
      </w:r>
    </w:p>
    <w:p w14:paraId="264E51F8" w14:textId="0700DCE7" w:rsidR="001B78F5" w:rsidRPr="001B78F5" w:rsidRDefault="001B78F5" w:rsidP="001B78F5">
      <w:pPr>
        <w:spacing w:before="120" w:after="120"/>
        <w:rPr>
          <w:rFonts w:cstheme="minorHAnsi"/>
        </w:rPr>
      </w:pPr>
      <w:r w:rsidRPr="001B78F5">
        <w:rPr>
          <w:rFonts w:cstheme="minorHAnsi"/>
        </w:rPr>
        <w:t xml:space="preserve">What is the safety, effectiveness, and cost-effectiveness of PD-L1 testing to determine eligibility for pembrolizumab treatment in patients with </w:t>
      </w:r>
      <w:r w:rsidR="00393A04" w:rsidRPr="00393A04">
        <w:rPr>
          <w:rFonts w:cstheme="minorHAnsi"/>
        </w:rPr>
        <w:t xml:space="preserve">advanced/metastatic bladder cancer </w:t>
      </w:r>
      <w:r w:rsidRPr="001B78F5">
        <w:rPr>
          <w:rFonts w:cstheme="minorHAnsi"/>
        </w:rPr>
        <w:t>who have failed platinum-based chemotherapy compared with current practice (no PD-L1 testing</w:t>
      </w:r>
      <w:r w:rsidR="004F0ED9">
        <w:rPr>
          <w:rFonts w:cstheme="minorHAnsi"/>
        </w:rPr>
        <w:t xml:space="preserve"> </w:t>
      </w:r>
      <w:r w:rsidRPr="001B78F5">
        <w:rPr>
          <w:rFonts w:cstheme="minorHAnsi"/>
        </w:rPr>
        <w:t xml:space="preserve">and </w:t>
      </w:r>
      <w:r w:rsidR="004F0ED9">
        <w:rPr>
          <w:rFonts w:cstheme="minorHAnsi"/>
        </w:rPr>
        <w:t>paclitaxel</w:t>
      </w:r>
      <w:r w:rsidR="008F11D9">
        <w:rPr>
          <w:rFonts w:cstheme="minorHAnsi"/>
        </w:rPr>
        <w:t>/</w:t>
      </w:r>
      <w:proofErr w:type="spellStart"/>
      <w:r w:rsidRPr="001B78F5">
        <w:rPr>
          <w:rFonts w:cstheme="minorHAnsi"/>
        </w:rPr>
        <w:t>docetaxel</w:t>
      </w:r>
      <w:proofErr w:type="spellEnd"/>
      <w:r w:rsidRPr="001B78F5">
        <w:rPr>
          <w:rFonts w:cstheme="minorHAnsi"/>
        </w:rPr>
        <w:t xml:space="preserve"> treatment after failure of platinum-based chemotherapy)?</w:t>
      </w:r>
    </w:p>
    <w:p w14:paraId="03760030" w14:textId="77777777" w:rsidR="001B78F5" w:rsidRDefault="001B78F5" w:rsidP="00E66681">
      <w:pPr>
        <w:spacing w:before="120" w:after="120"/>
        <w:ind w:left="720"/>
        <w:rPr>
          <w:rFonts w:cstheme="minorHAnsi"/>
        </w:rPr>
      </w:pPr>
      <w:r w:rsidRPr="001B78F5">
        <w:rPr>
          <w:rFonts w:cstheme="minorHAnsi"/>
        </w:rPr>
        <w:t xml:space="preserve">This question </w:t>
      </w:r>
      <w:r w:rsidR="001852CF">
        <w:rPr>
          <w:rFonts w:cstheme="minorHAnsi"/>
        </w:rPr>
        <w:t>w</w:t>
      </w:r>
      <w:r w:rsidRPr="001B78F5">
        <w:rPr>
          <w:rFonts w:cstheme="minorHAnsi"/>
        </w:rPr>
        <w:t xml:space="preserve">ould be evaluated in </w:t>
      </w:r>
      <w:r w:rsidR="001852CF">
        <w:rPr>
          <w:rFonts w:cstheme="minorHAnsi"/>
        </w:rPr>
        <w:t>the</w:t>
      </w:r>
      <w:r w:rsidR="001852CF" w:rsidRPr="001B78F5">
        <w:rPr>
          <w:rFonts w:cstheme="minorHAnsi"/>
        </w:rPr>
        <w:t xml:space="preserve"> </w:t>
      </w:r>
      <w:r w:rsidRPr="001B78F5">
        <w:rPr>
          <w:rFonts w:cstheme="minorHAnsi"/>
        </w:rPr>
        <w:t xml:space="preserve">scenario </w:t>
      </w:r>
      <w:r w:rsidR="001852CF">
        <w:rPr>
          <w:rFonts w:cstheme="minorHAnsi"/>
        </w:rPr>
        <w:t xml:space="preserve">where </w:t>
      </w:r>
      <w:r w:rsidR="001852CF" w:rsidRPr="001852CF">
        <w:rPr>
          <w:rFonts w:cstheme="minorHAnsi"/>
        </w:rPr>
        <w:t>PD-L1 test</w:t>
      </w:r>
      <w:r w:rsidR="001852CF">
        <w:rPr>
          <w:rFonts w:cstheme="minorHAnsi"/>
        </w:rPr>
        <w:t>ing is</w:t>
      </w:r>
      <w:r w:rsidR="001852CF" w:rsidRPr="001852CF">
        <w:rPr>
          <w:rFonts w:cstheme="minorHAnsi"/>
        </w:rPr>
        <w:t xml:space="preserve"> performed after failure of platinum-based chemotherapy on newly obtained </w:t>
      </w:r>
      <w:r w:rsidR="008F11D9">
        <w:rPr>
          <w:rFonts w:cstheme="minorHAnsi"/>
        </w:rPr>
        <w:t>or a</w:t>
      </w:r>
      <w:r w:rsidR="008249EF">
        <w:rPr>
          <w:rFonts w:cstheme="minorHAnsi"/>
        </w:rPr>
        <w:t>r</w:t>
      </w:r>
      <w:r w:rsidR="008F11D9">
        <w:rPr>
          <w:rFonts w:cstheme="minorHAnsi"/>
        </w:rPr>
        <w:t xml:space="preserve">chival </w:t>
      </w:r>
      <w:r w:rsidR="001852CF" w:rsidRPr="001852CF">
        <w:rPr>
          <w:rFonts w:cstheme="minorHAnsi"/>
        </w:rPr>
        <w:t>tissue</w:t>
      </w:r>
      <w:r w:rsidR="001852CF">
        <w:rPr>
          <w:rFonts w:cstheme="minorHAnsi"/>
        </w:rPr>
        <w:t>.</w:t>
      </w:r>
      <w:r w:rsidR="001852CF" w:rsidRPr="001852CF" w:rsidDel="001852CF">
        <w:rPr>
          <w:rFonts w:cstheme="minorHAnsi"/>
        </w:rPr>
        <w:t xml:space="preserve"> </w:t>
      </w:r>
    </w:p>
    <w:p w14:paraId="7D07BD49" w14:textId="5D500535" w:rsidR="00FD2FC0" w:rsidRPr="00FD2FC0" w:rsidRDefault="00FD2FC0" w:rsidP="00E66681">
      <w:pPr>
        <w:pStyle w:val="ListParagraph"/>
        <w:numPr>
          <w:ilvl w:val="0"/>
          <w:numId w:val="35"/>
        </w:numPr>
        <w:spacing w:before="120" w:after="120"/>
      </w:pPr>
      <w:r w:rsidRPr="00E66681">
        <w:t xml:space="preserve">What </w:t>
      </w:r>
      <w:proofErr w:type="gramStart"/>
      <w:r w:rsidRPr="00E66681">
        <w:t>is</w:t>
      </w:r>
      <w:proofErr w:type="gramEnd"/>
      <w:r w:rsidRPr="00E66681">
        <w:t xml:space="preserve"> the comparable effectiveness, safety and cost-effectiveness of pembrolizumab in a PD-L1 unselected population compared to management tailored by the test (pembrolizumab for PD-L1 test positive and standard practice for PD-L1 test negative locally advanced or metastatic bladder cancer after failure to platinum-based chemotherapy)?</w:t>
      </w:r>
    </w:p>
    <w:p w14:paraId="264E51F9" w14:textId="190EBAFD" w:rsidR="001B78F5" w:rsidRPr="001B78F5" w:rsidRDefault="001B78F5" w:rsidP="001852CF">
      <w:pPr>
        <w:spacing w:before="120" w:after="120"/>
        <w:sectPr w:rsidR="001B78F5" w:rsidRPr="001B78F5" w:rsidSect="00C12355">
          <w:pgSz w:w="11906" w:h="16838"/>
          <w:pgMar w:top="992" w:right="1440" w:bottom="1276" w:left="1418" w:header="709" w:footer="709" w:gutter="0"/>
          <w:cols w:space="708"/>
          <w:docGrid w:linePitch="360"/>
        </w:sectPr>
      </w:pPr>
    </w:p>
    <w:p w14:paraId="264E51FA" w14:textId="77BB09EB" w:rsidR="001B78F5" w:rsidRPr="001B78F5" w:rsidRDefault="001B78F5" w:rsidP="001B78F5">
      <w:pPr>
        <w:spacing w:after="0"/>
        <w:rPr>
          <w:b/>
        </w:rPr>
      </w:pPr>
      <w:bookmarkStart w:id="8" w:name="_Ref418501931"/>
      <w:r w:rsidRPr="001B78F5">
        <w:rPr>
          <w:b/>
        </w:rPr>
        <w:lastRenderedPageBreak/>
        <w:t xml:space="preserve">Table </w:t>
      </w:r>
      <w:bookmarkEnd w:id="8"/>
      <w:r w:rsidR="002712A5">
        <w:rPr>
          <w:b/>
        </w:rPr>
        <w:t>5</w:t>
      </w:r>
      <w:r w:rsidRPr="001B78F5">
        <w:rPr>
          <w:b/>
        </w:rPr>
        <w:t>:  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95"/>
        <w:gridCol w:w="1413"/>
        <w:gridCol w:w="1766"/>
        <w:gridCol w:w="1208"/>
        <w:gridCol w:w="1205"/>
        <w:gridCol w:w="970"/>
        <w:gridCol w:w="970"/>
        <w:gridCol w:w="1180"/>
        <w:gridCol w:w="973"/>
        <w:gridCol w:w="973"/>
        <w:gridCol w:w="961"/>
      </w:tblGrid>
      <w:tr w:rsidR="001B78F5" w:rsidRPr="001B78F5" w14:paraId="264E5201" w14:textId="77777777" w:rsidTr="008C751B">
        <w:trPr>
          <w:tblHeader/>
        </w:trPr>
        <w:tc>
          <w:tcPr>
            <w:tcW w:w="855" w:type="pct"/>
            <w:vMerge w:val="restart"/>
            <w:shd w:val="clear" w:color="auto" w:fill="auto"/>
          </w:tcPr>
          <w:p w14:paraId="264E51FB" w14:textId="77777777" w:rsidR="001B78F5" w:rsidRPr="001B78F5" w:rsidRDefault="001B78F5" w:rsidP="001B78F5">
            <w:pPr>
              <w:spacing w:after="0" w:line="240" w:lineRule="auto"/>
              <w:rPr>
                <w:rFonts w:ascii="Calibri" w:hAnsi="Calibri" w:cs="Arial"/>
                <w:b/>
                <w:sz w:val="20"/>
                <w:szCs w:val="20"/>
                <w:lang w:val="en-GB" w:eastAsia="ja-JP"/>
              </w:rPr>
            </w:pPr>
          </w:p>
        </w:tc>
        <w:tc>
          <w:tcPr>
            <w:tcW w:w="504" w:type="pct"/>
            <w:vMerge w:val="restart"/>
            <w:shd w:val="clear" w:color="auto" w:fill="E5B8B7" w:themeFill="accent2" w:themeFillTint="66"/>
            <w:vAlign w:val="center"/>
          </w:tcPr>
          <w:p w14:paraId="264E51FC"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Provider of resource</w:t>
            </w:r>
          </w:p>
        </w:tc>
        <w:tc>
          <w:tcPr>
            <w:tcW w:w="630" w:type="pct"/>
            <w:vMerge w:val="restart"/>
            <w:shd w:val="clear" w:color="auto" w:fill="E5B8B7" w:themeFill="accent2" w:themeFillTint="66"/>
            <w:vAlign w:val="center"/>
          </w:tcPr>
          <w:p w14:paraId="264E51FD"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Setting in which resource is provided</w:t>
            </w:r>
          </w:p>
        </w:tc>
        <w:tc>
          <w:tcPr>
            <w:tcW w:w="431" w:type="pct"/>
            <w:vMerge w:val="restart"/>
            <w:shd w:val="clear" w:color="auto" w:fill="D6E3BC" w:themeFill="accent3" w:themeFillTint="66"/>
            <w:vAlign w:val="center"/>
          </w:tcPr>
          <w:p w14:paraId="264E51FE"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Proportion of patients receiving resource</w:t>
            </w:r>
          </w:p>
        </w:tc>
        <w:tc>
          <w:tcPr>
            <w:tcW w:w="430" w:type="pct"/>
            <w:vMerge w:val="restart"/>
            <w:shd w:val="clear" w:color="auto" w:fill="D6E3BC" w:themeFill="accent3" w:themeFillTint="66"/>
            <w:vAlign w:val="center"/>
          </w:tcPr>
          <w:p w14:paraId="264E51FF"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Number of units of resource per relevant time horizon per patient receiving resource</w:t>
            </w:r>
          </w:p>
        </w:tc>
        <w:tc>
          <w:tcPr>
            <w:tcW w:w="2150" w:type="pct"/>
            <w:gridSpan w:val="6"/>
            <w:shd w:val="clear" w:color="auto" w:fill="FBD4B4" w:themeFill="accent6" w:themeFillTint="66"/>
          </w:tcPr>
          <w:p w14:paraId="264E5200"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Disaggregated unit cost</w:t>
            </w:r>
          </w:p>
        </w:tc>
      </w:tr>
      <w:tr w:rsidR="008249EF" w:rsidRPr="001B78F5" w14:paraId="264E520D" w14:textId="77777777" w:rsidTr="008C751B">
        <w:trPr>
          <w:tblHeader/>
        </w:trPr>
        <w:tc>
          <w:tcPr>
            <w:tcW w:w="855" w:type="pct"/>
            <w:vMerge/>
            <w:shd w:val="clear" w:color="auto" w:fill="auto"/>
          </w:tcPr>
          <w:p w14:paraId="264E5202" w14:textId="77777777" w:rsidR="001B78F5" w:rsidRPr="001B78F5" w:rsidRDefault="001B78F5" w:rsidP="001B78F5">
            <w:pPr>
              <w:spacing w:after="0" w:line="240" w:lineRule="auto"/>
              <w:rPr>
                <w:rFonts w:ascii="Calibri" w:hAnsi="Calibri" w:cs="Arial"/>
                <w:b/>
                <w:sz w:val="20"/>
                <w:szCs w:val="20"/>
                <w:lang w:val="en-GB" w:eastAsia="ja-JP"/>
              </w:rPr>
            </w:pPr>
          </w:p>
        </w:tc>
        <w:tc>
          <w:tcPr>
            <w:tcW w:w="504" w:type="pct"/>
            <w:vMerge/>
            <w:shd w:val="clear" w:color="auto" w:fill="E5B8B7" w:themeFill="accent2" w:themeFillTint="66"/>
          </w:tcPr>
          <w:p w14:paraId="264E5203" w14:textId="77777777" w:rsidR="001B78F5" w:rsidRPr="001B78F5" w:rsidRDefault="001B78F5" w:rsidP="001B78F5">
            <w:pPr>
              <w:spacing w:after="0" w:line="240" w:lineRule="auto"/>
              <w:rPr>
                <w:rFonts w:ascii="Calibri" w:hAnsi="Calibri" w:cs="Arial"/>
                <w:b/>
                <w:sz w:val="20"/>
                <w:szCs w:val="20"/>
                <w:lang w:val="en-GB" w:eastAsia="ja-JP"/>
              </w:rPr>
            </w:pPr>
          </w:p>
        </w:tc>
        <w:tc>
          <w:tcPr>
            <w:tcW w:w="630" w:type="pct"/>
            <w:vMerge/>
            <w:shd w:val="clear" w:color="auto" w:fill="E5B8B7" w:themeFill="accent2" w:themeFillTint="66"/>
          </w:tcPr>
          <w:p w14:paraId="264E5204" w14:textId="77777777" w:rsidR="001B78F5" w:rsidRPr="001B78F5" w:rsidRDefault="001B78F5" w:rsidP="001B78F5">
            <w:pPr>
              <w:spacing w:after="0" w:line="240" w:lineRule="auto"/>
              <w:rPr>
                <w:rFonts w:ascii="Calibri" w:hAnsi="Calibri" w:cs="Arial"/>
                <w:b/>
                <w:sz w:val="20"/>
                <w:szCs w:val="20"/>
                <w:lang w:val="en-GB" w:eastAsia="ja-JP"/>
              </w:rPr>
            </w:pPr>
          </w:p>
        </w:tc>
        <w:tc>
          <w:tcPr>
            <w:tcW w:w="431" w:type="pct"/>
            <w:vMerge/>
            <w:shd w:val="clear" w:color="auto" w:fill="D6E3BC" w:themeFill="accent3" w:themeFillTint="66"/>
          </w:tcPr>
          <w:p w14:paraId="264E5205" w14:textId="77777777" w:rsidR="001B78F5" w:rsidRPr="001B78F5" w:rsidRDefault="001B78F5" w:rsidP="001B78F5">
            <w:pPr>
              <w:spacing w:after="0" w:line="240" w:lineRule="auto"/>
              <w:rPr>
                <w:rFonts w:ascii="Calibri" w:hAnsi="Calibri" w:cs="Arial"/>
                <w:b/>
                <w:sz w:val="20"/>
                <w:szCs w:val="20"/>
                <w:lang w:val="en-GB" w:eastAsia="ja-JP"/>
              </w:rPr>
            </w:pPr>
          </w:p>
        </w:tc>
        <w:tc>
          <w:tcPr>
            <w:tcW w:w="430" w:type="pct"/>
            <w:vMerge/>
            <w:shd w:val="clear" w:color="auto" w:fill="D6E3BC" w:themeFill="accent3" w:themeFillTint="66"/>
          </w:tcPr>
          <w:p w14:paraId="264E5206" w14:textId="77777777" w:rsidR="001B78F5" w:rsidRPr="001B78F5" w:rsidRDefault="001B78F5" w:rsidP="001B78F5">
            <w:pPr>
              <w:spacing w:after="0" w:line="240" w:lineRule="auto"/>
              <w:rPr>
                <w:rFonts w:ascii="Calibri" w:hAnsi="Calibri" w:cs="Arial"/>
                <w:b/>
                <w:sz w:val="20"/>
                <w:szCs w:val="20"/>
                <w:lang w:val="en-GB" w:eastAsia="ja-JP"/>
              </w:rPr>
            </w:pPr>
          </w:p>
        </w:tc>
        <w:tc>
          <w:tcPr>
            <w:tcW w:w="346" w:type="pct"/>
            <w:shd w:val="clear" w:color="auto" w:fill="FBD4B4" w:themeFill="accent6" w:themeFillTint="66"/>
            <w:vAlign w:val="center"/>
          </w:tcPr>
          <w:p w14:paraId="264E5207"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MBS</w:t>
            </w:r>
          </w:p>
        </w:tc>
        <w:tc>
          <w:tcPr>
            <w:tcW w:w="346" w:type="pct"/>
            <w:shd w:val="clear" w:color="auto" w:fill="FBD4B4" w:themeFill="accent6" w:themeFillTint="66"/>
            <w:vAlign w:val="center"/>
          </w:tcPr>
          <w:p w14:paraId="264E5208"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Safety nets*</w:t>
            </w:r>
          </w:p>
        </w:tc>
        <w:tc>
          <w:tcPr>
            <w:tcW w:w="421" w:type="pct"/>
            <w:shd w:val="clear" w:color="auto" w:fill="FBD4B4" w:themeFill="accent6" w:themeFillTint="66"/>
            <w:vAlign w:val="center"/>
          </w:tcPr>
          <w:p w14:paraId="264E5209"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Other government budget</w:t>
            </w:r>
          </w:p>
        </w:tc>
        <w:tc>
          <w:tcPr>
            <w:tcW w:w="347" w:type="pct"/>
            <w:shd w:val="clear" w:color="auto" w:fill="FBD4B4" w:themeFill="accent6" w:themeFillTint="66"/>
            <w:vAlign w:val="center"/>
          </w:tcPr>
          <w:p w14:paraId="264E520A"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Private health insurer</w:t>
            </w:r>
          </w:p>
        </w:tc>
        <w:tc>
          <w:tcPr>
            <w:tcW w:w="347" w:type="pct"/>
            <w:shd w:val="clear" w:color="auto" w:fill="FBD4B4" w:themeFill="accent6" w:themeFillTint="66"/>
            <w:vAlign w:val="center"/>
          </w:tcPr>
          <w:p w14:paraId="264E520B"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Patient</w:t>
            </w:r>
          </w:p>
        </w:tc>
        <w:tc>
          <w:tcPr>
            <w:tcW w:w="343" w:type="pct"/>
            <w:shd w:val="clear" w:color="auto" w:fill="FBD4B4" w:themeFill="accent6" w:themeFillTint="66"/>
            <w:vAlign w:val="center"/>
          </w:tcPr>
          <w:p w14:paraId="264E520C"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Total cost</w:t>
            </w:r>
          </w:p>
        </w:tc>
      </w:tr>
      <w:tr w:rsidR="001B78F5" w:rsidRPr="001B78F5" w14:paraId="264E520F" w14:textId="77777777" w:rsidTr="008C751B">
        <w:tc>
          <w:tcPr>
            <w:tcW w:w="5000" w:type="pct"/>
            <w:gridSpan w:val="11"/>
            <w:shd w:val="clear" w:color="auto" w:fill="auto"/>
            <w:vAlign w:val="center"/>
          </w:tcPr>
          <w:p w14:paraId="264E520E"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 xml:space="preserve">Resources provided to identify eligible population </w:t>
            </w:r>
          </w:p>
        </w:tc>
      </w:tr>
      <w:tr w:rsidR="008249EF" w:rsidRPr="001B78F5" w14:paraId="264E521D" w14:textId="77777777" w:rsidTr="008C751B">
        <w:tc>
          <w:tcPr>
            <w:tcW w:w="855" w:type="pct"/>
            <w:shd w:val="clear" w:color="auto" w:fill="auto"/>
          </w:tcPr>
          <w:p w14:paraId="264E5210"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Equivalent to current practice</w:t>
            </w:r>
          </w:p>
        </w:tc>
        <w:tc>
          <w:tcPr>
            <w:tcW w:w="504" w:type="pct"/>
            <w:shd w:val="clear" w:color="auto" w:fill="E5B8B7" w:themeFill="accent2" w:themeFillTint="66"/>
          </w:tcPr>
          <w:p w14:paraId="264E5211" w14:textId="77777777" w:rsidR="001B78F5" w:rsidRPr="001B78F5" w:rsidRDefault="001B78F5" w:rsidP="001B78F5">
            <w:pPr>
              <w:spacing w:after="0" w:line="240" w:lineRule="auto"/>
              <w:rPr>
                <w:rFonts w:ascii="Calibri" w:hAnsi="Calibri" w:cs="Arial"/>
                <w:sz w:val="20"/>
                <w:szCs w:val="20"/>
                <w:lang w:val="en-GB" w:eastAsia="ja-JP"/>
              </w:rPr>
            </w:pPr>
          </w:p>
        </w:tc>
        <w:tc>
          <w:tcPr>
            <w:tcW w:w="630" w:type="pct"/>
            <w:shd w:val="clear" w:color="auto" w:fill="E5B8B7" w:themeFill="accent2" w:themeFillTint="66"/>
          </w:tcPr>
          <w:p w14:paraId="264E5212" w14:textId="77777777" w:rsidR="001B78F5" w:rsidRPr="001B78F5" w:rsidRDefault="001B78F5" w:rsidP="001B78F5">
            <w:pPr>
              <w:spacing w:after="0" w:line="240" w:lineRule="auto"/>
              <w:rPr>
                <w:rFonts w:ascii="Calibri" w:hAnsi="Calibri" w:cs="Arial"/>
                <w:sz w:val="20"/>
                <w:szCs w:val="20"/>
                <w:lang w:val="en-GB" w:eastAsia="ja-JP"/>
              </w:rPr>
            </w:pPr>
          </w:p>
        </w:tc>
        <w:tc>
          <w:tcPr>
            <w:tcW w:w="431" w:type="pct"/>
            <w:shd w:val="clear" w:color="auto" w:fill="D6E3BC" w:themeFill="accent3" w:themeFillTint="66"/>
          </w:tcPr>
          <w:p w14:paraId="264E5213"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14"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15"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16"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17"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18"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19"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1A"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1B"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1C" w14:textId="77777777" w:rsidR="001B78F5" w:rsidRPr="001B78F5" w:rsidRDefault="001B78F5" w:rsidP="001B78F5">
            <w:pPr>
              <w:spacing w:after="0" w:line="240" w:lineRule="auto"/>
              <w:rPr>
                <w:rFonts w:ascii="Calibri" w:hAnsi="Calibri" w:cs="Arial"/>
                <w:sz w:val="20"/>
                <w:szCs w:val="20"/>
                <w:lang w:val="en-GB" w:eastAsia="ja-JP"/>
              </w:rPr>
            </w:pPr>
          </w:p>
        </w:tc>
      </w:tr>
      <w:tr w:rsidR="001B78F5" w:rsidRPr="001B78F5" w14:paraId="264E521F" w14:textId="77777777" w:rsidTr="008C751B">
        <w:tc>
          <w:tcPr>
            <w:tcW w:w="5000" w:type="pct"/>
            <w:gridSpan w:val="11"/>
            <w:shd w:val="clear" w:color="auto" w:fill="auto"/>
            <w:vAlign w:val="center"/>
          </w:tcPr>
          <w:p w14:paraId="264E521E"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Resources provided to deliver proposed intervention (PD-L1 IHC test and pembrolizumab)</w:t>
            </w:r>
          </w:p>
        </w:tc>
      </w:tr>
      <w:tr w:rsidR="008249EF" w:rsidRPr="001B78F5" w14:paraId="264E522D" w14:textId="77777777" w:rsidTr="008C751B">
        <w:tc>
          <w:tcPr>
            <w:tcW w:w="855" w:type="pct"/>
            <w:shd w:val="clear" w:color="auto" w:fill="auto"/>
          </w:tcPr>
          <w:p w14:paraId="264E5220"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PD-L1 IHC testing</w:t>
            </w:r>
          </w:p>
        </w:tc>
        <w:tc>
          <w:tcPr>
            <w:tcW w:w="504" w:type="pct"/>
            <w:shd w:val="clear" w:color="auto" w:fill="E5B8B7" w:themeFill="accent2" w:themeFillTint="66"/>
          </w:tcPr>
          <w:p w14:paraId="264E5221"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MBS</w:t>
            </w:r>
          </w:p>
        </w:tc>
        <w:tc>
          <w:tcPr>
            <w:tcW w:w="630" w:type="pct"/>
            <w:shd w:val="clear" w:color="auto" w:fill="E5B8B7" w:themeFill="accent2" w:themeFillTint="66"/>
          </w:tcPr>
          <w:p w14:paraId="264E5222"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Pathology lab</w:t>
            </w:r>
          </w:p>
        </w:tc>
        <w:tc>
          <w:tcPr>
            <w:tcW w:w="431" w:type="pct"/>
            <w:shd w:val="clear" w:color="auto" w:fill="D6E3BC" w:themeFill="accent3" w:themeFillTint="66"/>
          </w:tcPr>
          <w:p w14:paraId="264E5223"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24"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25"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26"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27"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28"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29"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2A"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2B"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2C"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3B" w14:textId="77777777" w:rsidTr="008C751B">
        <w:tc>
          <w:tcPr>
            <w:tcW w:w="855" w:type="pct"/>
            <w:shd w:val="clear" w:color="auto" w:fill="auto"/>
          </w:tcPr>
          <w:p w14:paraId="264E522E" w14:textId="77777777" w:rsidR="001B78F5" w:rsidRPr="001B78F5" w:rsidRDefault="001B78F5" w:rsidP="004F0ED9">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 xml:space="preserve">Additional </w:t>
            </w:r>
            <w:r w:rsidR="004F0ED9">
              <w:rPr>
                <w:rFonts w:ascii="Calibri" w:hAnsi="Calibri" w:cs="Arial"/>
                <w:sz w:val="20"/>
                <w:szCs w:val="20"/>
                <w:lang w:val="en-GB" w:eastAsia="ja-JP"/>
              </w:rPr>
              <w:t>tumour tissue</w:t>
            </w:r>
            <w:r w:rsidRPr="001B78F5">
              <w:rPr>
                <w:rFonts w:ascii="Calibri" w:hAnsi="Calibri" w:cs="Arial"/>
                <w:sz w:val="20"/>
                <w:szCs w:val="20"/>
                <w:lang w:val="en-GB" w:eastAsia="ja-JP"/>
              </w:rPr>
              <w:t xml:space="preserve"> biopsy (depending on place in therapy of test)</w:t>
            </w:r>
          </w:p>
        </w:tc>
        <w:tc>
          <w:tcPr>
            <w:tcW w:w="504" w:type="pct"/>
            <w:shd w:val="clear" w:color="auto" w:fill="E5B8B7" w:themeFill="accent2" w:themeFillTint="66"/>
          </w:tcPr>
          <w:p w14:paraId="264E522F"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MBS</w:t>
            </w:r>
          </w:p>
        </w:tc>
        <w:tc>
          <w:tcPr>
            <w:tcW w:w="630" w:type="pct"/>
            <w:shd w:val="clear" w:color="auto" w:fill="E5B8B7" w:themeFill="accent2" w:themeFillTint="66"/>
          </w:tcPr>
          <w:p w14:paraId="264E5230"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Public  or private hospital</w:t>
            </w:r>
          </w:p>
        </w:tc>
        <w:tc>
          <w:tcPr>
            <w:tcW w:w="431" w:type="pct"/>
            <w:shd w:val="clear" w:color="auto" w:fill="D6E3BC" w:themeFill="accent3" w:themeFillTint="66"/>
          </w:tcPr>
          <w:p w14:paraId="264E5231"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32"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33"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34"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35"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36"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37"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38"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39"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3A" w14:textId="77777777" w:rsidR="001B78F5" w:rsidRPr="001B78F5" w:rsidRDefault="001B78F5" w:rsidP="001B78F5">
            <w:pPr>
              <w:spacing w:after="0" w:line="240" w:lineRule="auto"/>
              <w:rPr>
                <w:rFonts w:ascii="Calibri" w:hAnsi="Calibri" w:cs="Arial"/>
                <w:sz w:val="20"/>
                <w:szCs w:val="20"/>
                <w:lang w:val="en-GB" w:eastAsia="ja-JP"/>
              </w:rPr>
            </w:pPr>
          </w:p>
        </w:tc>
      </w:tr>
      <w:tr w:rsidR="00F52A60" w:rsidRPr="001B78F5" w14:paraId="661E4882" w14:textId="77777777" w:rsidTr="008C751B">
        <w:tc>
          <w:tcPr>
            <w:tcW w:w="855" w:type="pct"/>
            <w:shd w:val="clear" w:color="auto" w:fill="auto"/>
          </w:tcPr>
          <w:p w14:paraId="6A7E308B" w14:textId="00EB5912" w:rsidR="00F52A60" w:rsidRPr="001B78F5" w:rsidRDefault="00F52A60" w:rsidP="004F0ED9">
            <w:pPr>
              <w:spacing w:after="0" w:line="240" w:lineRule="auto"/>
              <w:rPr>
                <w:rFonts w:ascii="Calibri" w:hAnsi="Calibri" w:cs="Arial"/>
                <w:sz w:val="20"/>
                <w:szCs w:val="20"/>
                <w:lang w:val="en-GB" w:eastAsia="ja-JP"/>
              </w:rPr>
            </w:pPr>
            <w:r>
              <w:rPr>
                <w:rFonts w:ascii="Calibri" w:hAnsi="Calibri" w:cs="Arial"/>
                <w:sz w:val="20"/>
                <w:szCs w:val="20"/>
                <w:lang w:val="en-GB" w:eastAsia="ja-JP"/>
              </w:rPr>
              <w:t>Treatment of adverse events</w:t>
            </w:r>
          </w:p>
        </w:tc>
        <w:tc>
          <w:tcPr>
            <w:tcW w:w="504" w:type="pct"/>
            <w:shd w:val="clear" w:color="auto" w:fill="E5B8B7" w:themeFill="accent2" w:themeFillTint="66"/>
          </w:tcPr>
          <w:p w14:paraId="06194288" w14:textId="5FC4B76B" w:rsidR="00F52A60" w:rsidRPr="001B78F5" w:rsidRDefault="00F52A60" w:rsidP="001B78F5">
            <w:pPr>
              <w:spacing w:after="0" w:line="240" w:lineRule="auto"/>
              <w:rPr>
                <w:rFonts w:ascii="Calibri" w:hAnsi="Calibri" w:cs="Arial"/>
                <w:sz w:val="20"/>
                <w:szCs w:val="20"/>
                <w:lang w:val="en-GB" w:eastAsia="ja-JP"/>
              </w:rPr>
            </w:pPr>
            <w:r>
              <w:rPr>
                <w:rFonts w:ascii="Calibri" w:hAnsi="Calibri" w:cs="Arial"/>
                <w:sz w:val="20"/>
                <w:szCs w:val="20"/>
                <w:lang w:val="en-GB" w:eastAsia="ja-JP"/>
              </w:rPr>
              <w:t>PBS</w:t>
            </w:r>
          </w:p>
        </w:tc>
        <w:tc>
          <w:tcPr>
            <w:tcW w:w="630" w:type="pct"/>
            <w:shd w:val="clear" w:color="auto" w:fill="E5B8B7" w:themeFill="accent2" w:themeFillTint="66"/>
          </w:tcPr>
          <w:p w14:paraId="1219FC74" w14:textId="18BD6056" w:rsidR="00F52A60" w:rsidRPr="001B78F5" w:rsidRDefault="00F52A60" w:rsidP="001B78F5">
            <w:pPr>
              <w:spacing w:after="0" w:line="240" w:lineRule="auto"/>
              <w:rPr>
                <w:rFonts w:ascii="Calibri" w:hAnsi="Calibri" w:cs="Arial"/>
                <w:sz w:val="20"/>
                <w:szCs w:val="20"/>
                <w:lang w:val="en-GB" w:eastAsia="ja-JP"/>
              </w:rPr>
            </w:pPr>
            <w:r>
              <w:rPr>
                <w:rFonts w:ascii="Calibri" w:hAnsi="Calibri" w:cs="Arial"/>
                <w:sz w:val="20"/>
                <w:szCs w:val="20"/>
                <w:lang w:val="en-GB" w:eastAsia="ja-JP"/>
              </w:rPr>
              <w:t>Outpatient</w:t>
            </w:r>
          </w:p>
        </w:tc>
        <w:tc>
          <w:tcPr>
            <w:tcW w:w="431" w:type="pct"/>
            <w:shd w:val="clear" w:color="auto" w:fill="D6E3BC" w:themeFill="accent3" w:themeFillTint="66"/>
          </w:tcPr>
          <w:p w14:paraId="2DB3DED6" w14:textId="77777777" w:rsidR="00F52A60" w:rsidRPr="00F52A60" w:rsidRDefault="00F52A60" w:rsidP="00F52A60">
            <w:pPr>
              <w:spacing w:after="0" w:line="240" w:lineRule="auto"/>
              <w:rPr>
                <w:rFonts w:cstheme="minorHAnsi"/>
                <w:color w:val="000000"/>
                <w:sz w:val="18"/>
                <w:szCs w:val="18"/>
                <w:lang w:val="en-GB" w:eastAsia="ja-JP"/>
              </w:rPr>
            </w:pPr>
            <w:r w:rsidRPr="00F52A60">
              <w:rPr>
                <w:rFonts w:cstheme="minorHAnsi"/>
                <w:color w:val="000000"/>
                <w:sz w:val="18"/>
                <w:szCs w:val="18"/>
                <w:lang w:val="en-GB" w:eastAsia="ja-JP"/>
              </w:rPr>
              <w:t>To be provided in</w:t>
            </w:r>
          </w:p>
          <w:p w14:paraId="09F6A597" w14:textId="68788896" w:rsidR="00F52A60" w:rsidRPr="001B78F5" w:rsidRDefault="00F52A60" w:rsidP="00F52A60">
            <w:pPr>
              <w:spacing w:after="0" w:line="240" w:lineRule="auto"/>
              <w:rPr>
                <w:rFonts w:cstheme="minorHAnsi"/>
                <w:color w:val="000000"/>
                <w:sz w:val="18"/>
                <w:szCs w:val="18"/>
                <w:lang w:val="en-GB" w:eastAsia="ja-JP"/>
              </w:rPr>
            </w:pPr>
            <w:r w:rsidRPr="00F52A60">
              <w:rPr>
                <w:rFonts w:cstheme="minorHAnsi"/>
                <w:color w:val="000000"/>
                <w:sz w:val="18"/>
                <w:szCs w:val="18"/>
                <w:lang w:val="en-GB" w:eastAsia="ja-JP"/>
              </w:rPr>
              <w:t>submission</w:t>
            </w:r>
          </w:p>
        </w:tc>
        <w:tc>
          <w:tcPr>
            <w:tcW w:w="430" w:type="pct"/>
            <w:shd w:val="clear" w:color="auto" w:fill="D6E3BC" w:themeFill="accent3" w:themeFillTint="66"/>
          </w:tcPr>
          <w:p w14:paraId="7F5EEAFB" w14:textId="77777777" w:rsidR="00F52A60" w:rsidRPr="00F52A60" w:rsidRDefault="00F52A60" w:rsidP="00F52A60">
            <w:pPr>
              <w:spacing w:after="0" w:line="240" w:lineRule="auto"/>
              <w:rPr>
                <w:rFonts w:cstheme="minorHAnsi"/>
                <w:color w:val="000000"/>
                <w:sz w:val="18"/>
                <w:szCs w:val="18"/>
                <w:lang w:val="en-GB" w:eastAsia="ja-JP"/>
              </w:rPr>
            </w:pPr>
            <w:r w:rsidRPr="00F52A60">
              <w:rPr>
                <w:rFonts w:cstheme="minorHAnsi"/>
                <w:color w:val="000000"/>
                <w:sz w:val="18"/>
                <w:szCs w:val="18"/>
                <w:lang w:val="en-GB" w:eastAsia="ja-JP"/>
              </w:rPr>
              <w:t>To be provided in</w:t>
            </w:r>
          </w:p>
          <w:p w14:paraId="563B5537" w14:textId="776992A5" w:rsidR="00F52A60" w:rsidRPr="001B78F5" w:rsidRDefault="00F52A60" w:rsidP="00F52A60">
            <w:pPr>
              <w:spacing w:after="0" w:line="240" w:lineRule="auto"/>
              <w:rPr>
                <w:rFonts w:cstheme="minorHAnsi"/>
                <w:color w:val="000000"/>
                <w:sz w:val="18"/>
                <w:szCs w:val="18"/>
                <w:lang w:val="en-GB" w:eastAsia="ja-JP"/>
              </w:rPr>
            </w:pPr>
            <w:r w:rsidRPr="00F52A60">
              <w:rPr>
                <w:rFonts w:cstheme="minorHAnsi"/>
                <w:color w:val="000000"/>
                <w:sz w:val="18"/>
                <w:szCs w:val="18"/>
                <w:lang w:val="en-GB" w:eastAsia="ja-JP"/>
              </w:rPr>
              <w:t>submission</w:t>
            </w:r>
          </w:p>
        </w:tc>
        <w:tc>
          <w:tcPr>
            <w:tcW w:w="346" w:type="pct"/>
            <w:shd w:val="clear" w:color="auto" w:fill="FBD4B4" w:themeFill="accent6" w:themeFillTint="66"/>
          </w:tcPr>
          <w:p w14:paraId="3D410422" w14:textId="77777777" w:rsidR="00F52A60" w:rsidRPr="001B78F5" w:rsidRDefault="00F52A60"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02486E70" w14:textId="77777777" w:rsidR="00F52A60" w:rsidRPr="001B78F5" w:rsidRDefault="00F52A60"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FC16940" w14:textId="77777777" w:rsidR="00F52A60" w:rsidRPr="001B78F5" w:rsidRDefault="00F52A60"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9EF7653" w14:textId="77777777" w:rsidR="00F52A60" w:rsidRPr="001B78F5" w:rsidRDefault="00F52A60"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629B0FDD" w14:textId="77777777" w:rsidR="00F52A60" w:rsidRPr="001B78F5" w:rsidRDefault="00F52A60"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71BC7696" w14:textId="77777777" w:rsidR="00F52A60" w:rsidRPr="001B78F5" w:rsidRDefault="00F52A60" w:rsidP="001B78F5">
            <w:pPr>
              <w:spacing w:after="0" w:line="240" w:lineRule="auto"/>
              <w:rPr>
                <w:rFonts w:ascii="Calibri" w:hAnsi="Calibri" w:cs="Arial"/>
                <w:sz w:val="20"/>
                <w:szCs w:val="20"/>
                <w:lang w:val="en-GB" w:eastAsia="ja-JP"/>
              </w:rPr>
            </w:pPr>
          </w:p>
        </w:tc>
      </w:tr>
      <w:tr w:rsidR="001B78F5" w:rsidRPr="001B78F5" w14:paraId="264E523D" w14:textId="77777777" w:rsidTr="008C751B">
        <w:tc>
          <w:tcPr>
            <w:tcW w:w="5000" w:type="pct"/>
            <w:gridSpan w:val="11"/>
            <w:shd w:val="clear" w:color="auto" w:fill="auto"/>
            <w:vAlign w:val="center"/>
          </w:tcPr>
          <w:p w14:paraId="264E523C" w14:textId="77777777"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Resources provided in association with proposed intervention</w:t>
            </w:r>
          </w:p>
        </w:tc>
      </w:tr>
      <w:tr w:rsidR="008249EF" w:rsidRPr="001B78F5" w14:paraId="264E524B" w14:textId="77777777" w:rsidTr="008C751B">
        <w:tc>
          <w:tcPr>
            <w:tcW w:w="855" w:type="pct"/>
            <w:shd w:val="clear" w:color="auto" w:fill="auto"/>
          </w:tcPr>
          <w:p w14:paraId="264E523E"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Pembrolizumab for patients deemed eligible based on PBS criteria</w:t>
            </w:r>
          </w:p>
        </w:tc>
        <w:tc>
          <w:tcPr>
            <w:tcW w:w="504" w:type="pct"/>
            <w:shd w:val="clear" w:color="auto" w:fill="E5B8B7" w:themeFill="accent2" w:themeFillTint="66"/>
          </w:tcPr>
          <w:p w14:paraId="264E523F"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PBS</w:t>
            </w:r>
          </w:p>
        </w:tc>
        <w:tc>
          <w:tcPr>
            <w:tcW w:w="630" w:type="pct"/>
            <w:shd w:val="clear" w:color="auto" w:fill="E5B8B7" w:themeFill="accent2" w:themeFillTint="66"/>
          </w:tcPr>
          <w:p w14:paraId="264E5240"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Outpatient</w:t>
            </w:r>
          </w:p>
        </w:tc>
        <w:tc>
          <w:tcPr>
            <w:tcW w:w="431" w:type="pct"/>
            <w:shd w:val="clear" w:color="auto" w:fill="D6E3BC" w:themeFill="accent3" w:themeFillTint="66"/>
          </w:tcPr>
          <w:p w14:paraId="264E5241"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42"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43"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44"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45"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46"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47"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48"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49"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4A"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59" w14:textId="77777777" w:rsidTr="008C751B">
        <w:tc>
          <w:tcPr>
            <w:tcW w:w="855" w:type="pct"/>
            <w:shd w:val="clear" w:color="auto" w:fill="auto"/>
          </w:tcPr>
          <w:p w14:paraId="264E524C"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Administration cost for pembrolizumab</w:t>
            </w:r>
          </w:p>
        </w:tc>
        <w:tc>
          <w:tcPr>
            <w:tcW w:w="504" w:type="pct"/>
            <w:shd w:val="clear" w:color="auto" w:fill="E5B8B7" w:themeFill="accent2" w:themeFillTint="66"/>
          </w:tcPr>
          <w:p w14:paraId="264E524D"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Hospitals/MBS</w:t>
            </w:r>
          </w:p>
        </w:tc>
        <w:tc>
          <w:tcPr>
            <w:tcW w:w="630" w:type="pct"/>
            <w:shd w:val="clear" w:color="auto" w:fill="E5B8B7" w:themeFill="accent2" w:themeFillTint="66"/>
          </w:tcPr>
          <w:p w14:paraId="264E524E"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Blend of inpatient/outpatient and public and private hospitals</w:t>
            </w:r>
          </w:p>
        </w:tc>
        <w:tc>
          <w:tcPr>
            <w:tcW w:w="431" w:type="pct"/>
            <w:shd w:val="clear" w:color="auto" w:fill="D6E3BC" w:themeFill="accent3" w:themeFillTint="66"/>
          </w:tcPr>
          <w:p w14:paraId="264E524F"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50"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51"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52"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53"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54"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55"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56"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57"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58"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67" w14:textId="77777777" w:rsidTr="008C751B">
        <w:tc>
          <w:tcPr>
            <w:tcW w:w="855" w:type="pct"/>
            <w:shd w:val="clear" w:color="auto" w:fill="auto"/>
          </w:tcPr>
          <w:p w14:paraId="264E525A"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Physician visits (Oncologist or respiratory physician)</w:t>
            </w:r>
          </w:p>
        </w:tc>
        <w:tc>
          <w:tcPr>
            <w:tcW w:w="504" w:type="pct"/>
            <w:shd w:val="clear" w:color="auto" w:fill="E5B8B7" w:themeFill="accent2" w:themeFillTint="66"/>
          </w:tcPr>
          <w:p w14:paraId="264E525B"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MBS</w:t>
            </w:r>
          </w:p>
        </w:tc>
        <w:tc>
          <w:tcPr>
            <w:tcW w:w="630" w:type="pct"/>
            <w:shd w:val="clear" w:color="auto" w:fill="E5B8B7" w:themeFill="accent2" w:themeFillTint="66"/>
          </w:tcPr>
          <w:p w14:paraId="264E525C"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Outpatient</w:t>
            </w:r>
          </w:p>
        </w:tc>
        <w:tc>
          <w:tcPr>
            <w:tcW w:w="431" w:type="pct"/>
            <w:shd w:val="clear" w:color="auto" w:fill="D6E3BC" w:themeFill="accent3" w:themeFillTint="66"/>
          </w:tcPr>
          <w:p w14:paraId="264E525D"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5E"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5F"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60"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61"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62"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63"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64"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65"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66"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75" w14:textId="77777777" w:rsidTr="008C751B">
        <w:tc>
          <w:tcPr>
            <w:tcW w:w="855" w:type="pct"/>
            <w:shd w:val="clear" w:color="auto" w:fill="auto"/>
          </w:tcPr>
          <w:p w14:paraId="264E5268"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Clinical monitoring (radiological or other imaging, blood counts)</w:t>
            </w:r>
          </w:p>
        </w:tc>
        <w:tc>
          <w:tcPr>
            <w:tcW w:w="504" w:type="pct"/>
            <w:shd w:val="clear" w:color="auto" w:fill="E5B8B7" w:themeFill="accent2" w:themeFillTint="66"/>
          </w:tcPr>
          <w:p w14:paraId="264E5269"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MBS</w:t>
            </w:r>
          </w:p>
        </w:tc>
        <w:tc>
          <w:tcPr>
            <w:tcW w:w="630" w:type="pct"/>
            <w:shd w:val="clear" w:color="auto" w:fill="E5B8B7" w:themeFill="accent2" w:themeFillTint="66"/>
          </w:tcPr>
          <w:p w14:paraId="264E526A"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Outpatient</w:t>
            </w:r>
          </w:p>
        </w:tc>
        <w:tc>
          <w:tcPr>
            <w:tcW w:w="431" w:type="pct"/>
            <w:shd w:val="clear" w:color="auto" w:fill="D6E3BC" w:themeFill="accent3" w:themeFillTint="66"/>
          </w:tcPr>
          <w:p w14:paraId="264E526B"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6C"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6D"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6E"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6F"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70"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71"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72"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73"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74"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83" w14:textId="77777777" w:rsidTr="008C751B">
        <w:tc>
          <w:tcPr>
            <w:tcW w:w="855" w:type="pct"/>
            <w:shd w:val="clear" w:color="auto" w:fill="auto"/>
          </w:tcPr>
          <w:p w14:paraId="264E5276"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lastRenderedPageBreak/>
              <w:t>Treatment of adverse events</w:t>
            </w:r>
          </w:p>
        </w:tc>
        <w:tc>
          <w:tcPr>
            <w:tcW w:w="504" w:type="pct"/>
            <w:shd w:val="clear" w:color="auto" w:fill="E5B8B7" w:themeFill="accent2" w:themeFillTint="66"/>
          </w:tcPr>
          <w:p w14:paraId="264E5277"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PBS</w:t>
            </w:r>
          </w:p>
        </w:tc>
        <w:tc>
          <w:tcPr>
            <w:tcW w:w="630" w:type="pct"/>
            <w:shd w:val="clear" w:color="auto" w:fill="E5B8B7" w:themeFill="accent2" w:themeFillTint="66"/>
          </w:tcPr>
          <w:p w14:paraId="264E5278"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Outpatient</w:t>
            </w:r>
          </w:p>
        </w:tc>
        <w:tc>
          <w:tcPr>
            <w:tcW w:w="431" w:type="pct"/>
            <w:shd w:val="clear" w:color="auto" w:fill="D6E3BC" w:themeFill="accent3" w:themeFillTint="66"/>
          </w:tcPr>
          <w:p w14:paraId="264E5279"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7A"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7B"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7C"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7D"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7E"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7F"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80"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81"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82" w14:textId="77777777" w:rsidR="001B78F5" w:rsidRPr="001B78F5" w:rsidRDefault="001B78F5" w:rsidP="001B78F5">
            <w:pPr>
              <w:spacing w:after="0" w:line="240" w:lineRule="auto"/>
              <w:rPr>
                <w:rFonts w:ascii="Calibri" w:hAnsi="Calibri" w:cs="Arial"/>
                <w:sz w:val="20"/>
                <w:szCs w:val="20"/>
                <w:lang w:val="en-GB" w:eastAsia="ja-JP"/>
              </w:rPr>
            </w:pPr>
          </w:p>
        </w:tc>
      </w:tr>
      <w:tr w:rsidR="001B78F5" w:rsidRPr="001B78F5" w14:paraId="264E5286" w14:textId="77777777" w:rsidTr="008C751B">
        <w:tc>
          <w:tcPr>
            <w:tcW w:w="5000" w:type="pct"/>
            <w:gridSpan w:val="11"/>
            <w:shd w:val="clear" w:color="auto" w:fill="auto"/>
            <w:vAlign w:val="center"/>
          </w:tcPr>
          <w:p w14:paraId="264E5284" w14:textId="6C542E8D" w:rsidR="001B78F5" w:rsidRPr="001B78F5" w:rsidRDefault="001B78F5" w:rsidP="001B78F5">
            <w:pPr>
              <w:spacing w:after="0" w:line="240" w:lineRule="auto"/>
              <w:rPr>
                <w:rFonts w:ascii="Calibri" w:hAnsi="Calibri" w:cs="Arial"/>
                <w:b/>
                <w:sz w:val="20"/>
                <w:szCs w:val="20"/>
                <w:lang w:val="en-GB" w:eastAsia="ja-JP"/>
              </w:rPr>
            </w:pPr>
            <w:r w:rsidRPr="001B78F5">
              <w:rPr>
                <w:rFonts w:ascii="Calibri" w:hAnsi="Calibri" w:cs="Arial"/>
                <w:b/>
                <w:sz w:val="20"/>
                <w:szCs w:val="20"/>
                <w:lang w:val="en-GB" w:eastAsia="ja-JP"/>
              </w:rPr>
              <w:t>Resources provided in association with comparator 1 (</w:t>
            </w:r>
            <w:r w:rsidR="008249EF">
              <w:rPr>
                <w:rFonts w:ascii="Calibri" w:hAnsi="Calibri" w:cs="Arial"/>
                <w:b/>
                <w:sz w:val="20"/>
                <w:szCs w:val="20"/>
                <w:lang w:val="en-GB" w:eastAsia="ja-JP"/>
              </w:rPr>
              <w:t>no standard of care, comparator to be determined</w:t>
            </w:r>
            <w:r w:rsidRPr="001B78F5">
              <w:rPr>
                <w:rFonts w:ascii="Calibri" w:hAnsi="Calibri" w:cs="Arial"/>
                <w:b/>
                <w:sz w:val="20"/>
                <w:szCs w:val="20"/>
                <w:lang w:val="en-GB" w:eastAsia="ja-JP"/>
              </w:rPr>
              <w:t>)</w:t>
            </w:r>
          </w:p>
          <w:p w14:paraId="264E5285"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b/>
                <w:sz w:val="20"/>
                <w:szCs w:val="20"/>
                <w:lang w:val="en-GB" w:eastAsia="ja-JP"/>
              </w:rPr>
              <w:t>(e.g., pre-treatments, co-administered interventions, resources used to monitor or in follow-up, resources used in management of adverse events, resources used for treatment of down-stream conditions)</w:t>
            </w:r>
          </w:p>
        </w:tc>
      </w:tr>
      <w:tr w:rsidR="008249EF" w:rsidRPr="001B78F5" w14:paraId="264E5294" w14:textId="77777777" w:rsidTr="008C751B">
        <w:tc>
          <w:tcPr>
            <w:tcW w:w="855" w:type="pct"/>
            <w:shd w:val="clear" w:color="auto" w:fill="auto"/>
          </w:tcPr>
          <w:p w14:paraId="264E5287" w14:textId="282A2978" w:rsidR="001B78F5" w:rsidRPr="001B78F5" w:rsidRDefault="001B78F5" w:rsidP="008249EF">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 xml:space="preserve">Pharmaceuticals (relevant pre-medications, </w:t>
            </w:r>
            <w:r w:rsidR="008249EF">
              <w:rPr>
                <w:rFonts w:ascii="Calibri" w:hAnsi="Calibri" w:cs="Arial"/>
                <w:sz w:val="20"/>
                <w:szCs w:val="20"/>
                <w:lang w:val="en-GB" w:eastAsia="ja-JP"/>
              </w:rPr>
              <w:t>standard of care</w:t>
            </w:r>
            <w:r w:rsidRPr="001B78F5">
              <w:rPr>
                <w:rFonts w:ascii="Calibri" w:hAnsi="Calibri" w:cs="Arial"/>
                <w:sz w:val="20"/>
                <w:szCs w:val="20"/>
                <w:lang w:val="en-GB" w:eastAsia="ja-JP"/>
              </w:rPr>
              <w:t>)</w:t>
            </w:r>
          </w:p>
        </w:tc>
        <w:tc>
          <w:tcPr>
            <w:tcW w:w="504" w:type="pct"/>
            <w:shd w:val="clear" w:color="auto" w:fill="E5B8B7" w:themeFill="accent2" w:themeFillTint="66"/>
          </w:tcPr>
          <w:p w14:paraId="264E5288"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PBS</w:t>
            </w:r>
          </w:p>
        </w:tc>
        <w:tc>
          <w:tcPr>
            <w:tcW w:w="630" w:type="pct"/>
            <w:shd w:val="clear" w:color="auto" w:fill="E5B8B7" w:themeFill="accent2" w:themeFillTint="66"/>
          </w:tcPr>
          <w:p w14:paraId="264E5289"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Outpatient</w:t>
            </w:r>
          </w:p>
        </w:tc>
        <w:tc>
          <w:tcPr>
            <w:tcW w:w="431" w:type="pct"/>
            <w:shd w:val="clear" w:color="auto" w:fill="D6E3BC" w:themeFill="accent3" w:themeFillTint="66"/>
          </w:tcPr>
          <w:p w14:paraId="264E528A"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8B"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8C"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8D"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8E"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8F"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90"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91"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92"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93"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A2" w14:textId="77777777" w:rsidTr="008C751B">
        <w:tc>
          <w:tcPr>
            <w:tcW w:w="855" w:type="pct"/>
            <w:shd w:val="clear" w:color="auto" w:fill="auto"/>
          </w:tcPr>
          <w:p w14:paraId="264E5295" w14:textId="105ED9A7" w:rsidR="001B78F5" w:rsidRPr="001B78F5" w:rsidRDefault="001B78F5" w:rsidP="008249EF">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 xml:space="preserve">Administration cost for </w:t>
            </w:r>
            <w:r w:rsidR="008249EF">
              <w:rPr>
                <w:rFonts w:ascii="Calibri" w:hAnsi="Calibri" w:cs="Arial"/>
                <w:sz w:val="20"/>
                <w:szCs w:val="20"/>
                <w:lang w:val="en-GB" w:eastAsia="ja-JP"/>
              </w:rPr>
              <w:t>determined comparator</w:t>
            </w:r>
          </w:p>
        </w:tc>
        <w:tc>
          <w:tcPr>
            <w:tcW w:w="504" w:type="pct"/>
            <w:shd w:val="clear" w:color="auto" w:fill="E5B8B7" w:themeFill="accent2" w:themeFillTint="66"/>
          </w:tcPr>
          <w:p w14:paraId="264E5296"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Hospitals/MBS</w:t>
            </w:r>
          </w:p>
        </w:tc>
        <w:tc>
          <w:tcPr>
            <w:tcW w:w="630" w:type="pct"/>
            <w:shd w:val="clear" w:color="auto" w:fill="E5B8B7" w:themeFill="accent2" w:themeFillTint="66"/>
          </w:tcPr>
          <w:p w14:paraId="264E5297"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Blend of inpatient/outpatient and public and private hospitals</w:t>
            </w:r>
          </w:p>
        </w:tc>
        <w:tc>
          <w:tcPr>
            <w:tcW w:w="431" w:type="pct"/>
            <w:shd w:val="clear" w:color="auto" w:fill="D6E3BC" w:themeFill="accent3" w:themeFillTint="66"/>
          </w:tcPr>
          <w:p w14:paraId="264E5298"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99"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9A"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9B"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9C"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9D"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9E"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9F"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A0"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A1"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B0" w14:textId="77777777" w:rsidTr="008C751B">
        <w:tc>
          <w:tcPr>
            <w:tcW w:w="855" w:type="pct"/>
            <w:shd w:val="clear" w:color="auto" w:fill="auto"/>
          </w:tcPr>
          <w:p w14:paraId="264E52A3"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Physician visits (Oncologist or respiratory physician)</w:t>
            </w:r>
          </w:p>
        </w:tc>
        <w:tc>
          <w:tcPr>
            <w:tcW w:w="504" w:type="pct"/>
            <w:shd w:val="clear" w:color="auto" w:fill="E5B8B7" w:themeFill="accent2" w:themeFillTint="66"/>
          </w:tcPr>
          <w:p w14:paraId="264E52A4"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MBS</w:t>
            </w:r>
          </w:p>
        </w:tc>
        <w:tc>
          <w:tcPr>
            <w:tcW w:w="630" w:type="pct"/>
            <w:shd w:val="clear" w:color="auto" w:fill="E5B8B7" w:themeFill="accent2" w:themeFillTint="66"/>
          </w:tcPr>
          <w:p w14:paraId="264E52A5"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Outpatient</w:t>
            </w:r>
          </w:p>
        </w:tc>
        <w:tc>
          <w:tcPr>
            <w:tcW w:w="431" w:type="pct"/>
            <w:shd w:val="clear" w:color="auto" w:fill="D6E3BC" w:themeFill="accent3" w:themeFillTint="66"/>
          </w:tcPr>
          <w:p w14:paraId="264E52A6"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A7"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A8"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A9"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AA"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AB"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AC"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AD"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AE"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AF"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BE" w14:textId="77777777" w:rsidTr="008C751B">
        <w:tc>
          <w:tcPr>
            <w:tcW w:w="855" w:type="pct"/>
            <w:shd w:val="clear" w:color="auto" w:fill="auto"/>
          </w:tcPr>
          <w:p w14:paraId="264E52B1"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Clinical monitoring (radiological or other imaging, blood counts)</w:t>
            </w:r>
          </w:p>
        </w:tc>
        <w:tc>
          <w:tcPr>
            <w:tcW w:w="504" w:type="pct"/>
            <w:shd w:val="clear" w:color="auto" w:fill="E5B8B7" w:themeFill="accent2" w:themeFillTint="66"/>
          </w:tcPr>
          <w:p w14:paraId="264E52B2"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MBS</w:t>
            </w:r>
          </w:p>
        </w:tc>
        <w:tc>
          <w:tcPr>
            <w:tcW w:w="630" w:type="pct"/>
            <w:shd w:val="clear" w:color="auto" w:fill="E5B8B7" w:themeFill="accent2" w:themeFillTint="66"/>
          </w:tcPr>
          <w:p w14:paraId="264E52B3"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Outpatient</w:t>
            </w:r>
          </w:p>
        </w:tc>
        <w:tc>
          <w:tcPr>
            <w:tcW w:w="431" w:type="pct"/>
            <w:shd w:val="clear" w:color="auto" w:fill="D6E3BC" w:themeFill="accent3" w:themeFillTint="66"/>
          </w:tcPr>
          <w:p w14:paraId="264E52B4"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B5"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B6"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B7"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B8"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B9"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BA"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BB"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BC"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BD" w14:textId="77777777" w:rsidR="001B78F5" w:rsidRPr="001B78F5" w:rsidRDefault="001B78F5" w:rsidP="001B78F5">
            <w:pPr>
              <w:spacing w:after="0" w:line="240" w:lineRule="auto"/>
              <w:rPr>
                <w:rFonts w:ascii="Calibri" w:hAnsi="Calibri" w:cs="Arial"/>
                <w:sz w:val="20"/>
                <w:szCs w:val="20"/>
                <w:lang w:val="en-GB" w:eastAsia="ja-JP"/>
              </w:rPr>
            </w:pPr>
          </w:p>
        </w:tc>
      </w:tr>
      <w:tr w:rsidR="008249EF" w:rsidRPr="001B78F5" w14:paraId="264E52CC" w14:textId="77777777" w:rsidTr="008C751B">
        <w:tc>
          <w:tcPr>
            <w:tcW w:w="855" w:type="pct"/>
            <w:shd w:val="clear" w:color="auto" w:fill="auto"/>
          </w:tcPr>
          <w:p w14:paraId="264E52BF"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Treatment of adverse events</w:t>
            </w:r>
          </w:p>
        </w:tc>
        <w:tc>
          <w:tcPr>
            <w:tcW w:w="504" w:type="pct"/>
            <w:shd w:val="clear" w:color="auto" w:fill="E5B8B7" w:themeFill="accent2" w:themeFillTint="66"/>
          </w:tcPr>
          <w:p w14:paraId="264E52C0"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PBS</w:t>
            </w:r>
          </w:p>
        </w:tc>
        <w:tc>
          <w:tcPr>
            <w:tcW w:w="630" w:type="pct"/>
            <w:shd w:val="clear" w:color="auto" w:fill="E5B8B7" w:themeFill="accent2" w:themeFillTint="66"/>
          </w:tcPr>
          <w:p w14:paraId="264E52C1"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ascii="Calibri" w:hAnsi="Calibri" w:cs="Arial"/>
                <w:sz w:val="20"/>
                <w:szCs w:val="20"/>
                <w:lang w:val="en-GB" w:eastAsia="ja-JP"/>
              </w:rPr>
              <w:t>Outpatient</w:t>
            </w:r>
          </w:p>
        </w:tc>
        <w:tc>
          <w:tcPr>
            <w:tcW w:w="431" w:type="pct"/>
            <w:shd w:val="clear" w:color="auto" w:fill="D6E3BC" w:themeFill="accent3" w:themeFillTint="66"/>
          </w:tcPr>
          <w:p w14:paraId="264E52C2"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C3"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430" w:type="pct"/>
            <w:shd w:val="clear" w:color="auto" w:fill="D6E3BC" w:themeFill="accent3" w:themeFillTint="66"/>
          </w:tcPr>
          <w:p w14:paraId="264E52C4" w14:textId="77777777" w:rsidR="001B78F5" w:rsidRPr="001B78F5" w:rsidRDefault="001B78F5" w:rsidP="001B78F5">
            <w:pPr>
              <w:spacing w:after="0" w:line="240" w:lineRule="auto"/>
              <w:rPr>
                <w:rFonts w:cstheme="minorHAnsi"/>
                <w:color w:val="000000"/>
                <w:sz w:val="18"/>
                <w:szCs w:val="18"/>
                <w:lang w:val="en-GB" w:eastAsia="ja-JP"/>
              </w:rPr>
            </w:pPr>
            <w:r w:rsidRPr="001B78F5">
              <w:rPr>
                <w:rFonts w:cstheme="minorHAnsi"/>
                <w:color w:val="000000"/>
                <w:sz w:val="18"/>
                <w:szCs w:val="18"/>
                <w:lang w:val="en-GB" w:eastAsia="ja-JP"/>
              </w:rPr>
              <w:t>To be pro</w:t>
            </w:r>
            <w:r w:rsidRPr="001B78F5">
              <w:rPr>
                <w:rFonts w:cstheme="minorHAnsi"/>
                <w:color w:val="000000"/>
                <w:spacing w:val="1"/>
                <w:sz w:val="18"/>
                <w:szCs w:val="18"/>
                <w:lang w:val="en-GB" w:eastAsia="ja-JP"/>
              </w:rPr>
              <w:t>v</w:t>
            </w:r>
            <w:r w:rsidRPr="001B78F5">
              <w:rPr>
                <w:rFonts w:cstheme="minorHAnsi"/>
                <w:color w:val="000000"/>
                <w:sz w:val="18"/>
                <w:szCs w:val="18"/>
                <w:lang w:val="en-GB" w:eastAsia="ja-JP"/>
              </w:rPr>
              <w:t>id</w:t>
            </w:r>
            <w:r w:rsidRPr="001B78F5">
              <w:rPr>
                <w:rFonts w:cstheme="minorHAnsi"/>
                <w:color w:val="000000"/>
                <w:spacing w:val="1"/>
                <w:sz w:val="18"/>
                <w:szCs w:val="18"/>
                <w:lang w:val="en-GB" w:eastAsia="ja-JP"/>
              </w:rPr>
              <w:t>e</w:t>
            </w:r>
            <w:r w:rsidRPr="001B78F5">
              <w:rPr>
                <w:rFonts w:cstheme="minorHAnsi"/>
                <w:color w:val="000000"/>
                <w:sz w:val="18"/>
                <w:szCs w:val="18"/>
                <w:lang w:val="en-GB" w:eastAsia="ja-JP"/>
              </w:rPr>
              <w:t>d</w:t>
            </w:r>
            <w:r w:rsidRPr="001B78F5">
              <w:rPr>
                <w:rFonts w:cstheme="minorHAnsi"/>
                <w:color w:val="000000"/>
                <w:spacing w:val="-1"/>
                <w:sz w:val="18"/>
                <w:szCs w:val="18"/>
                <w:lang w:val="en-GB" w:eastAsia="ja-JP"/>
              </w:rPr>
              <w:t xml:space="preserve"> </w:t>
            </w:r>
            <w:r w:rsidRPr="001B78F5">
              <w:rPr>
                <w:rFonts w:cstheme="minorHAnsi"/>
                <w:color w:val="000000"/>
                <w:spacing w:val="1"/>
                <w:sz w:val="18"/>
                <w:szCs w:val="18"/>
                <w:lang w:val="en-GB" w:eastAsia="ja-JP"/>
              </w:rPr>
              <w:t>i</w:t>
            </w:r>
            <w:r w:rsidRPr="001B78F5">
              <w:rPr>
                <w:rFonts w:cstheme="minorHAnsi"/>
                <w:color w:val="000000"/>
                <w:sz w:val="18"/>
                <w:szCs w:val="18"/>
                <w:lang w:val="en-GB" w:eastAsia="ja-JP"/>
              </w:rPr>
              <w:t>n</w:t>
            </w:r>
          </w:p>
          <w:p w14:paraId="264E52C5" w14:textId="77777777" w:rsidR="001B78F5" w:rsidRPr="001B78F5" w:rsidRDefault="001B78F5" w:rsidP="001B78F5">
            <w:pPr>
              <w:spacing w:after="0" w:line="240" w:lineRule="auto"/>
              <w:rPr>
                <w:rFonts w:ascii="Calibri" w:hAnsi="Calibri" w:cs="Arial"/>
                <w:sz w:val="20"/>
                <w:szCs w:val="20"/>
                <w:lang w:val="en-GB" w:eastAsia="ja-JP"/>
              </w:rPr>
            </w:pPr>
            <w:r w:rsidRPr="001B78F5">
              <w:rPr>
                <w:rFonts w:cstheme="minorHAnsi"/>
                <w:color w:val="000000"/>
                <w:spacing w:val="1"/>
                <w:position w:val="-1"/>
                <w:sz w:val="18"/>
                <w:szCs w:val="18"/>
                <w:lang w:val="en-GB" w:eastAsia="ja-JP"/>
              </w:rPr>
              <w:t>s</w:t>
            </w:r>
            <w:r w:rsidRPr="001B78F5">
              <w:rPr>
                <w:rFonts w:cstheme="minorHAnsi"/>
                <w:color w:val="000000"/>
                <w:position w:val="-1"/>
                <w:sz w:val="18"/>
                <w:szCs w:val="18"/>
                <w:lang w:val="en-GB" w:eastAsia="ja-JP"/>
              </w:rPr>
              <w:t>ubmi</w:t>
            </w:r>
            <w:r w:rsidRPr="001B78F5">
              <w:rPr>
                <w:rFonts w:cstheme="minorHAnsi"/>
                <w:color w:val="000000"/>
                <w:spacing w:val="1"/>
                <w:position w:val="-1"/>
                <w:sz w:val="18"/>
                <w:szCs w:val="18"/>
                <w:lang w:val="en-GB" w:eastAsia="ja-JP"/>
              </w:rPr>
              <w:t>ss</w:t>
            </w:r>
            <w:r w:rsidRPr="001B78F5">
              <w:rPr>
                <w:rFonts w:cstheme="minorHAnsi"/>
                <w:color w:val="000000"/>
                <w:position w:val="-1"/>
                <w:sz w:val="18"/>
                <w:szCs w:val="18"/>
                <w:lang w:val="en-GB" w:eastAsia="ja-JP"/>
              </w:rPr>
              <w:t>ion</w:t>
            </w:r>
          </w:p>
        </w:tc>
        <w:tc>
          <w:tcPr>
            <w:tcW w:w="346" w:type="pct"/>
            <w:shd w:val="clear" w:color="auto" w:fill="FBD4B4" w:themeFill="accent6" w:themeFillTint="66"/>
          </w:tcPr>
          <w:p w14:paraId="264E52C6" w14:textId="77777777" w:rsidR="001B78F5" w:rsidRPr="001B78F5" w:rsidRDefault="001B78F5" w:rsidP="001B78F5">
            <w:pPr>
              <w:spacing w:after="0" w:line="240" w:lineRule="auto"/>
              <w:rPr>
                <w:rFonts w:ascii="Calibri" w:hAnsi="Calibri" w:cs="Arial"/>
                <w:sz w:val="20"/>
                <w:szCs w:val="20"/>
                <w:lang w:val="en-GB" w:eastAsia="ja-JP"/>
              </w:rPr>
            </w:pPr>
          </w:p>
        </w:tc>
        <w:tc>
          <w:tcPr>
            <w:tcW w:w="346" w:type="pct"/>
            <w:shd w:val="clear" w:color="auto" w:fill="FBD4B4" w:themeFill="accent6" w:themeFillTint="66"/>
          </w:tcPr>
          <w:p w14:paraId="264E52C7" w14:textId="77777777" w:rsidR="001B78F5" w:rsidRPr="001B78F5" w:rsidRDefault="001B78F5" w:rsidP="001B78F5">
            <w:pPr>
              <w:spacing w:after="0" w:line="240" w:lineRule="auto"/>
              <w:rPr>
                <w:rFonts w:ascii="Calibri" w:hAnsi="Calibri" w:cs="Arial"/>
                <w:sz w:val="20"/>
                <w:szCs w:val="20"/>
                <w:lang w:val="en-GB" w:eastAsia="ja-JP"/>
              </w:rPr>
            </w:pPr>
          </w:p>
        </w:tc>
        <w:tc>
          <w:tcPr>
            <w:tcW w:w="421" w:type="pct"/>
            <w:shd w:val="clear" w:color="auto" w:fill="FBD4B4" w:themeFill="accent6" w:themeFillTint="66"/>
          </w:tcPr>
          <w:p w14:paraId="264E52C8"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C9" w14:textId="77777777" w:rsidR="001B78F5" w:rsidRPr="001B78F5" w:rsidRDefault="001B78F5" w:rsidP="001B78F5">
            <w:pPr>
              <w:spacing w:after="0" w:line="240" w:lineRule="auto"/>
              <w:rPr>
                <w:rFonts w:ascii="Calibri" w:hAnsi="Calibri" w:cs="Arial"/>
                <w:sz w:val="20"/>
                <w:szCs w:val="20"/>
                <w:lang w:val="en-GB" w:eastAsia="ja-JP"/>
              </w:rPr>
            </w:pPr>
          </w:p>
        </w:tc>
        <w:tc>
          <w:tcPr>
            <w:tcW w:w="347" w:type="pct"/>
            <w:shd w:val="clear" w:color="auto" w:fill="FBD4B4" w:themeFill="accent6" w:themeFillTint="66"/>
          </w:tcPr>
          <w:p w14:paraId="264E52CA" w14:textId="77777777" w:rsidR="001B78F5" w:rsidRPr="001B78F5" w:rsidRDefault="001B78F5" w:rsidP="001B78F5">
            <w:pPr>
              <w:spacing w:after="0" w:line="240" w:lineRule="auto"/>
              <w:rPr>
                <w:rFonts w:ascii="Calibri" w:hAnsi="Calibri" w:cs="Arial"/>
                <w:sz w:val="20"/>
                <w:szCs w:val="20"/>
                <w:lang w:val="en-GB" w:eastAsia="ja-JP"/>
              </w:rPr>
            </w:pPr>
          </w:p>
        </w:tc>
        <w:tc>
          <w:tcPr>
            <w:tcW w:w="343" w:type="pct"/>
            <w:shd w:val="clear" w:color="auto" w:fill="FBD4B4" w:themeFill="accent6" w:themeFillTint="66"/>
          </w:tcPr>
          <w:p w14:paraId="264E52CB" w14:textId="77777777" w:rsidR="001B78F5" w:rsidRPr="001B78F5" w:rsidRDefault="001B78F5" w:rsidP="001B78F5">
            <w:pPr>
              <w:spacing w:after="0" w:line="240" w:lineRule="auto"/>
              <w:rPr>
                <w:rFonts w:ascii="Calibri" w:hAnsi="Calibri" w:cs="Arial"/>
                <w:sz w:val="20"/>
                <w:szCs w:val="20"/>
                <w:lang w:val="en-GB" w:eastAsia="ja-JP"/>
              </w:rPr>
            </w:pPr>
          </w:p>
        </w:tc>
      </w:tr>
    </w:tbl>
    <w:p w14:paraId="264E52CD" w14:textId="77777777" w:rsidR="001B78F5" w:rsidRPr="001B78F5" w:rsidRDefault="001B78F5" w:rsidP="001B78F5">
      <w:pPr>
        <w:rPr>
          <w:rFonts w:ascii="Arial Narrow" w:hAnsi="Arial Narrow" w:cs="Arial"/>
          <w:sz w:val="18"/>
          <w:szCs w:val="18"/>
        </w:rPr>
      </w:pPr>
      <w:r w:rsidRPr="001B78F5">
        <w:rPr>
          <w:rFonts w:ascii="Arial Narrow" w:hAnsi="Arial Narrow" w:cs="Arial"/>
          <w:sz w:val="18"/>
          <w:szCs w:val="18"/>
        </w:rPr>
        <w:t>* Include costs relating to both the standard and extended safety net.</w:t>
      </w:r>
    </w:p>
    <w:p w14:paraId="264E52CE" w14:textId="77777777" w:rsidR="001B78F5" w:rsidRPr="001B78F5" w:rsidRDefault="001B78F5" w:rsidP="001B78F5">
      <w:pPr>
        <w:rPr>
          <w:sz w:val="24"/>
          <w:szCs w:val="24"/>
        </w:rPr>
      </w:pPr>
      <w:r w:rsidRPr="001B78F5">
        <w:rPr>
          <w:sz w:val="24"/>
          <w:szCs w:val="24"/>
        </w:rPr>
        <w:br w:type="page"/>
      </w:r>
    </w:p>
    <w:p w14:paraId="264E52CF" w14:textId="77777777" w:rsidR="001B78F5" w:rsidRPr="001B78F5" w:rsidRDefault="001B78F5" w:rsidP="001B78F5">
      <w:pPr>
        <w:rPr>
          <w:sz w:val="24"/>
          <w:szCs w:val="24"/>
        </w:rPr>
        <w:sectPr w:rsidR="001B78F5" w:rsidRPr="001B78F5" w:rsidSect="008C751B">
          <w:pgSz w:w="16838" w:h="11906" w:orient="landscape"/>
          <w:pgMar w:top="1418" w:right="1440" w:bottom="1440" w:left="1440" w:header="708" w:footer="708" w:gutter="0"/>
          <w:cols w:space="708"/>
          <w:docGrid w:linePitch="360"/>
        </w:sectPr>
      </w:pPr>
    </w:p>
    <w:p w14:paraId="264E52D0" w14:textId="77777777" w:rsidR="001B78F5" w:rsidRDefault="001B78F5" w:rsidP="001B78F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1B78F5">
        <w:rPr>
          <w:rFonts w:asciiTheme="majorHAnsi" w:eastAsiaTheme="majorEastAsia" w:hAnsiTheme="majorHAnsi" w:cstheme="majorBidi"/>
          <w:b/>
          <w:bCs/>
          <w:color w:val="365F91" w:themeColor="accent1" w:themeShade="BF"/>
          <w:sz w:val="28"/>
          <w:szCs w:val="28"/>
        </w:rPr>
        <w:lastRenderedPageBreak/>
        <w:t>References</w:t>
      </w:r>
    </w:p>
    <w:p w14:paraId="264E52D1" w14:textId="77777777" w:rsidR="00705B56" w:rsidRPr="00FF4203" w:rsidRDefault="00705B56" w:rsidP="00705B56">
      <w:pPr>
        <w:spacing w:after="0"/>
        <w:rPr>
          <w:bCs/>
          <w:color w:val="000000" w:themeColor="text1"/>
          <w:szCs w:val="20"/>
        </w:rPr>
      </w:pPr>
      <w:r w:rsidRPr="00FF4203">
        <w:rPr>
          <w:b/>
          <w:bCs/>
          <w:color w:val="000000" w:themeColor="text1"/>
          <w:szCs w:val="20"/>
        </w:rPr>
        <w:t xml:space="preserve">E R </w:t>
      </w:r>
      <w:proofErr w:type="spellStart"/>
      <w:r w:rsidRPr="00FF4203">
        <w:rPr>
          <w:b/>
          <w:bCs/>
          <w:color w:val="000000" w:themeColor="text1"/>
          <w:szCs w:val="20"/>
        </w:rPr>
        <w:t>Plimack</w:t>
      </w:r>
      <w:proofErr w:type="spellEnd"/>
      <w:r w:rsidRPr="00FF4203">
        <w:rPr>
          <w:bCs/>
          <w:color w:val="000000" w:themeColor="text1"/>
          <w:szCs w:val="20"/>
        </w:rPr>
        <w:t xml:space="preserve">, J </w:t>
      </w:r>
      <w:proofErr w:type="spellStart"/>
      <w:r w:rsidRPr="00FF4203">
        <w:rPr>
          <w:bCs/>
          <w:color w:val="000000" w:themeColor="text1"/>
          <w:szCs w:val="20"/>
        </w:rPr>
        <w:t>Bellmunt</w:t>
      </w:r>
      <w:proofErr w:type="spellEnd"/>
      <w:r w:rsidRPr="00FF4203">
        <w:rPr>
          <w:bCs/>
          <w:color w:val="000000" w:themeColor="text1"/>
          <w:szCs w:val="20"/>
        </w:rPr>
        <w:t xml:space="preserve">, S Gupta, R Berger, R B Montgomery, K Heath, J </w:t>
      </w:r>
      <w:proofErr w:type="spellStart"/>
      <w:r w:rsidRPr="00FF4203">
        <w:rPr>
          <w:bCs/>
          <w:color w:val="000000" w:themeColor="text1"/>
          <w:szCs w:val="20"/>
        </w:rPr>
        <w:t>Juco</w:t>
      </w:r>
      <w:proofErr w:type="spellEnd"/>
      <w:r w:rsidRPr="00FF4203">
        <w:rPr>
          <w:bCs/>
          <w:color w:val="000000" w:themeColor="text1"/>
          <w:szCs w:val="20"/>
        </w:rPr>
        <w:t xml:space="preserve">, K Emancipator, </w:t>
      </w:r>
    </w:p>
    <w:p w14:paraId="264E52D2" w14:textId="77777777" w:rsidR="00705B56" w:rsidRPr="00FF4203" w:rsidRDefault="00705B56" w:rsidP="00705B56">
      <w:pPr>
        <w:spacing w:after="120"/>
        <w:rPr>
          <w:bCs/>
          <w:color w:val="000000" w:themeColor="text1"/>
          <w:szCs w:val="20"/>
        </w:rPr>
      </w:pPr>
      <w:proofErr w:type="gramStart"/>
      <w:r w:rsidRPr="00FF4203">
        <w:rPr>
          <w:bCs/>
          <w:color w:val="000000" w:themeColor="text1"/>
          <w:szCs w:val="20"/>
        </w:rPr>
        <w:t xml:space="preserve">K </w:t>
      </w:r>
      <w:proofErr w:type="spellStart"/>
      <w:r w:rsidRPr="00FF4203">
        <w:rPr>
          <w:bCs/>
          <w:color w:val="000000" w:themeColor="text1"/>
          <w:szCs w:val="20"/>
        </w:rPr>
        <w:t>Pathiraja</w:t>
      </w:r>
      <w:proofErr w:type="spellEnd"/>
      <w:r w:rsidRPr="00FF4203">
        <w:rPr>
          <w:bCs/>
          <w:color w:val="000000" w:themeColor="text1"/>
          <w:szCs w:val="20"/>
        </w:rPr>
        <w:t xml:space="preserve">, J K </w:t>
      </w:r>
      <w:proofErr w:type="spellStart"/>
      <w:r w:rsidRPr="00FF4203">
        <w:rPr>
          <w:bCs/>
          <w:color w:val="000000" w:themeColor="text1"/>
          <w:szCs w:val="20"/>
        </w:rPr>
        <w:t>Lunceford</w:t>
      </w:r>
      <w:proofErr w:type="spellEnd"/>
      <w:r w:rsidRPr="00FF4203">
        <w:rPr>
          <w:bCs/>
          <w:color w:val="000000" w:themeColor="text1"/>
          <w:szCs w:val="20"/>
        </w:rPr>
        <w:t>, R F Perini and P H O'Donnell.</w:t>
      </w:r>
      <w:proofErr w:type="gramEnd"/>
      <w:r w:rsidRPr="00FF4203">
        <w:rPr>
          <w:bCs/>
          <w:color w:val="000000" w:themeColor="text1"/>
          <w:szCs w:val="20"/>
        </w:rPr>
        <w:t xml:space="preserve"> Pembrolizumab (MK-3475) for advanced </w:t>
      </w:r>
      <w:proofErr w:type="spellStart"/>
      <w:r w:rsidRPr="00FF4203">
        <w:rPr>
          <w:bCs/>
          <w:color w:val="000000" w:themeColor="text1"/>
          <w:szCs w:val="20"/>
        </w:rPr>
        <w:t>urothelial</w:t>
      </w:r>
      <w:proofErr w:type="spellEnd"/>
      <w:r w:rsidRPr="00FF4203">
        <w:rPr>
          <w:bCs/>
          <w:color w:val="000000" w:themeColor="text1"/>
          <w:szCs w:val="20"/>
        </w:rPr>
        <w:t xml:space="preserve"> cancer: Updated results and biomarker analysis from KEYNOTE-012. J </w:t>
      </w:r>
      <w:proofErr w:type="spellStart"/>
      <w:r w:rsidRPr="00FF4203">
        <w:rPr>
          <w:bCs/>
          <w:color w:val="000000" w:themeColor="text1"/>
          <w:szCs w:val="20"/>
        </w:rPr>
        <w:t>Clin</w:t>
      </w:r>
      <w:proofErr w:type="spellEnd"/>
      <w:r w:rsidRPr="00FF4203">
        <w:rPr>
          <w:bCs/>
          <w:color w:val="000000" w:themeColor="text1"/>
          <w:szCs w:val="20"/>
        </w:rPr>
        <w:t xml:space="preserve"> </w:t>
      </w:r>
      <w:proofErr w:type="spellStart"/>
      <w:r w:rsidRPr="00FF4203">
        <w:rPr>
          <w:bCs/>
          <w:color w:val="000000" w:themeColor="text1"/>
          <w:szCs w:val="20"/>
        </w:rPr>
        <w:t>Oncol</w:t>
      </w:r>
      <w:proofErr w:type="spellEnd"/>
      <w:r w:rsidRPr="00FF4203">
        <w:rPr>
          <w:bCs/>
          <w:color w:val="000000" w:themeColor="text1"/>
          <w:szCs w:val="20"/>
        </w:rPr>
        <w:t xml:space="preserve"> (Meeting Abstracts) May 2015 vol. 33 no. 15_suppl 4502.</w:t>
      </w:r>
    </w:p>
    <w:p w14:paraId="264E52D3" w14:textId="77777777" w:rsidR="00985E15" w:rsidRPr="00FF4203" w:rsidRDefault="00985E15" w:rsidP="00890FC2">
      <w:pPr>
        <w:spacing w:after="120"/>
        <w:rPr>
          <w:bCs/>
          <w:color w:val="000000" w:themeColor="text1"/>
          <w:szCs w:val="20"/>
        </w:rPr>
      </w:pPr>
      <w:proofErr w:type="gramStart"/>
      <w:r w:rsidRPr="00FF4203">
        <w:rPr>
          <w:b/>
          <w:bCs/>
          <w:color w:val="000000" w:themeColor="text1"/>
          <w:szCs w:val="20"/>
        </w:rPr>
        <w:t>Y Zhang</w:t>
      </w:r>
      <w:r w:rsidRPr="00FF4203">
        <w:rPr>
          <w:bCs/>
          <w:color w:val="000000" w:themeColor="text1"/>
          <w:szCs w:val="20"/>
        </w:rPr>
        <w:t>, S Kang, J Shen, J He, L Jiang,</w:t>
      </w:r>
      <w:r w:rsidR="00890FC2" w:rsidRPr="00FF4203">
        <w:rPr>
          <w:bCs/>
          <w:color w:val="000000" w:themeColor="text1"/>
          <w:szCs w:val="20"/>
        </w:rPr>
        <w:t xml:space="preserve"> </w:t>
      </w:r>
      <w:r w:rsidRPr="00FF4203">
        <w:rPr>
          <w:bCs/>
          <w:color w:val="000000" w:themeColor="text1"/>
          <w:szCs w:val="20"/>
        </w:rPr>
        <w:t xml:space="preserve">W Wang, Z </w:t>
      </w:r>
      <w:proofErr w:type="spellStart"/>
      <w:r w:rsidRPr="00FF4203">
        <w:rPr>
          <w:bCs/>
          <w:color w:val="000000" w:themeColor="text1"/>
          <w:szCs w:val="20"/>
        </w:rPr>
        <w:t>Guo</w:t>
      </w:r>
      <w:proofErr w:type="spellEnd"/>
      <w:r w:rsidRPr="00FF4203">
        <w:rPr>
          <w:bCs/>
          <w:color w:val="000000" w:themeColor="text1"/>
          <w:szCs w:val="20"/>
        </w:rPr>
        <w:t>, G Peng, G Chen, J He,</w:t>
      </w:r>
      <w:r w:rsidR="00890FC2" w:rsidRPr="00FF4203">
        <w:rPr>
          <w:bCs/>
          <w:color w:val="000000" w:themeColor="text1"/>
          <w:szCs w:val="20"/>
        </w:rPr>
        <w:t xml:space="preserve"> </w:t>
      </w:r>
      <w:r w:rsidRPr="00FF4203">
        <w:rPr>
          <w:bCs/>
          <w:color w:val="000000" w:themeColor="text1"/>
          <w:szCs w:val="20"/>
        </w:rPr>
        <w:t>and W Liang</w:t>
      </w:r>
      <w:r w:rsidR="00890FC2" w:rsidRPr="00FF4203">
        <w:rPr>
          <w:bCs/>
          <w:color w:val="000000" w:themeColor="text1"/>
          <w:szCs w:val="20"/>
        </w:rPr>
        <w:t>.</w:t>
      </w:r>
      <w:proofErr w:type="gramEnd"/>
      <w:r w:rsidR="00890FC2" w:rsidRPr="00FF4203">
        <w:rPr>
          <w:bCs/>
          <w:color w:val="000000" w:themeColor="text1"/>
          <w:szCs w:val="20"/>
        </w:rPr>
        <w:t xml:space="preserve"> </w:t>
      </w:r>
      <w:proofErr w:type="gramStart"/>
      <w:r w:rsidR="00890FC2" w:rsidRPr="00FF4203">
        <w:rPr>
          <w:bCs/>
          <w:color w:val="000000" w:themeColor="text1"/>
          <w:szCs w:val="20"/>
        </w:rPr>
        <w:t>Prognostic Significance of Programmed Cell Death 1 (PD-1) or PD-1 Ligand 1 (PD-L1) Expression in Epithelial-Originated Cancer.</w:t>
      </w:r>
      <w:proofErr w:type="gramEnd"/>
      <w:r w:rsidR="00890FC2" w:rsidRPr="00FF4203">
        <w:rPr>
          <w:bCs/>
          <w:color w:val="000000" w:themeColor="text1"/>
          <w:szCs w:val="20"/>
        </w:rPr>
        <w:t xml:space="preserve"> </w:t>
      </w:r>
      <w:proofErr w:type="gramStart"/>
      <w:r w:rsidR="00890FC2" w:rsidRPr="00FF4203">
        <w:rPr>
          <w:bCs/>
          <w:color w:val="000000" w:themeColor="text1"/>
          <w:szCs w:val="20"/>
        </w:rPr>
        <w:t xml:space="preserve">A </w:t>
      </w:r>
      <w:proofErr w:type="spellStart"/>
      <w:r w:rsidR="00890FC2" w:rsidRPr="00FF4203">
        <w:rPr>
          <w:bCs/>
          <w:color w:val="000000" w:themeColor="text1"/>
          <w:szCs w:val="20"/>
        </w:rPr>
        <w:t>Meta Analysis</w:t>
      </w:r>
      <w:proofErr w:type="spellEnd"/>
      <w:r w:rsidR="00890FC2" w:rsidRPr="00FF4203">
        <w:rPr>
          <w:bCs/>
          <w:color w:val="000000" w:themeColor="text1"/>
          <w:szCs w:val="20"/>
        </w:rPr>
        <w:t>.</w:t>
      </w:r>
      <w:proofErr w:type="gramEnd"/>
      <w:r w:rsidR="00890FC2" w:rsidRPr="00FF4203">
        <w:rPr>
          <w:bCs/>
          <w:color w:val="000000" w:themeColor="text1"/>
          <w:szCs w:val="20"/>
        </w:rPr>
        <w:t xml:space="preserve"> Medicine Journal: Volume 94, Number 6, February 2015. Medicine 94(6):e515).</w:t>
      </w:r>
    </w:p>
    <w:p w14:paraId="264E52D4" w14:textId="77777777" w:rsidR="001B78F5" w:rsidRPr="00FF4203" w:rsidRDefault="001B78F5" w:rsidP="001B78F5">
      <w:pPr>
        <w:spacing w:after="120"/>
        <w:rPr>
          <w:color w:val="000000" w:themeColor="text1"/>
        </w:rPr>
      </w:pPr>
      <w:r w:rsidRPr="00FF4203">
        <w:rPr>
          <w:b/>
          <w:color w:val="000000" w:themeColor="text1"/>
        </w:rPr>
        <w:t>Dong H</w:t>
      </w:r>
      <w:r w:rsidRPr="00FF4203">
        <w:rPr>
          <w:color w:val="000000" w:themeColor="text1"/>
        </w:rPr>
        <w:t xml:space="preserve">, </w:t>
      </w:r>
      <w:proofErr w:type="spellStart"/>
      <w:r w:rsidRPr="00FF4203">
        <w:rPr>
          <w:color w:val="000000" w:themeColor="text1"/>
        </w:rPr>
        <w:t>Stome</w:t>
      </w:r>
      <w:proofErr w:type="spellEnd"/>
      <w:r w:rsidRPr="00FF4203">
        <w:rPr>
          <w:color w:val="000000" w:themeColor="text1"/>
        </w:rPr>
        <w:t xml:space="preserve"> SE, </w:t>
      </w:r>
      <w:proofErr w:type="spellStart"/>
      <w:r w:rsidRPr="00FF4203">
        <w:rPr>
          <w:color w:val="000000" w:themeColor="text1"/>
        </w:rPr>
        <w:t>Salomao</w:t>
      </w:r>
      <w:proofErr w:type="spellEnd"/>
      <w:r w:rsidRPr="00FF4203">
        <w:rPr>
          <w:color w:val="000000" w:themeColor="text1"/>
        </w:rPr>
        <w:t xml:space="preserve"> DR, Tamura H, Hirano F, Flies DB. </w:t>
      </w:r>
      <w:r w:rsidR="00705B56" w:rsidRPr="00FF4203">
        <w:rPr>
          <w:color w:val="000000" w:themeColor="text1"/>
        </w:rPr>
        <w:t>Tumour</w:t>
      </w:r>
      <w:r w:rsidRPr="00FF4203">
        <w:rPr>
          <w:color w:val="000000" w:themeColor="text1"/>
        </w:rPr>
        <w:t>-associated B7-H1 promotes T-cell apoptosis: a potential mechanism of immune evasion. Nat Med. 2002</w:t>
      </w:r>
      <w:proofErr w:type="gramStart"/>
      <w:r w:rsidRPr="00FF4203">
        <w:rPr>
          <w:color w:val="000000" w:themeColor="text1"/>
        </w:rPr>
        <w:t>;8:793</w:t>
      </w:r>
      <w:proofErr w:type="gramEnd"/>
      <w:r w:rsidRPr="00FF4203">
        <w:rPr>
          <w:color w:val="000000" w:themeColor="text1"/>
        </w:rPr>
        <w:t xml:space="preserve">. </w:t>
      </w:r>
    </w:p>
    <w:p w14:paraId="264E52D5" w14:textId="77777777" w:rsidR="001B78F5" w:rsidRPr="00FF4203" w:rsidRDefault="001B78F5" w:rsidP="001B78F5">
      <w:pPr>
        <w:spacing w:after="120"/>
        <w:rPr>
          <w:color w:val="000000" w:themeColor="text1"/>
        </w:rPr>
      </w:pPr>
      <w:r w:rsidRPr="00FF4203">
        <w:rPr>
          <w:b/>
          <w:color w:val="000000" w:themeColor="text1"/>
        </w:rPr>
        <w:t>Hino R</w:t>
      </w:r>
      <w:r w:rsidRPr="00FF4203">
        <w:rPr>
          <w:color w:val="000000" w:themeColor="text1"/>
        </w:rPr>
        <w:t xml:space="preserve">, </w:t>
      </w:r>
      <w:proofErr w:type="spellStart"/>
      <w:r w:rsidRPr="00FF4203">
        <w:rPr>
          <w:color w:val="000000" w:themeColor="text1"/>
        </w:rPr>
        <w:t>Kabashima</w:t>
      </w:r>
      <w:proofErr w:type="spellEnd"/>
      <w:r w:rsidRPr="00FF4203">
        <w:rPr>
          <w:color w:val="000000" w:themeColor="text1"/>
        </w:rPr>
        <w:t xml:space="preserve"> K, Kato Y, Yagi H, Nakamura M, </w:t>
      </w:r>
      <w:proofErr w:type="spellStart"/>
      <w:r w:rsidRPr="00FF4203">
        <w:rPr>
          <w:color w:val="000000" w:themeColor="text1"/>
        </w:rPr>
        <w:t>Honjo</w:t>
      </w:r>
      <w:proofErr w:type="spellEnd"/>
      <w:r w:rsidRPr="00FF4203">
        <w:rPr>
          <w:color w:val="000000" w:themeColor="text1"/>
        </w:rPr>
        <w:t xml:space="preserve"> T. </w:t>
      </w:r>
      <w:r w:rsidR="00705B56" w:rsidRPr="00FF4203">
        <w:rPr>
          <w:color w:val="000000" w:themeColor="text1"/>
        </w:rPr>
        <w:t>Tumour</w:t>
      </w:r>
      <w:r w:rsidRPr="00FF4203">
        <w:rPr>
          <w:color w:val="000000" w:themeColor="text1"/>
        </w:rPr>
        <w:t xml:space="preserve"> cell expression of programmed cell death-1 ligand 1 is a prognostic factor for malignant melanoma. </w:t>
      </w:r>
      <w:proofErr w:type="gramStart"/>
      <w:r w:rsidRPr="00FF4203">
        <w:rPr>
          <w:color w:val="000000" w:themeColor="text1"/>
        </w:rPr>
        <w:t>Cancer.</w:t>
      </w:r>
      <w:proofErr w:type="gramEnd"/>
      <w:r w:rsidRPr="00FF4203">
        <w:rPr>
          <w:color w:val="000000" w:themeColor="text1"/>
        </w:rPr>
        <w:t xml:space="preserve"> 2010</w:t>
      </w:r>
      <w:proofErr w:type="gramStart"/>
      <w:r w:rsidRPr="00FF4203">
        <w:rPr>
          <w:color w:val="000000" w:themeColor="text1"/>
        </w:rPr>
        <w:t>;116:1757</w:t>
      </w:r>
      <w:proofErr w:type="gramEnd"/>
      <w:r w:rsidRPr="00FF4203">
        <w:rPr>
          <w:color w:val="000000" w:themeColor="text1"/>
        </w:rPr>
        <w:t xml:space="preserve">.  </w:t>
      </w:r>
    </w:p>
    <w:p w14:paraId="264E52D6" w14:textId="77777777" w:rsidR="001B78F5" w:rsidRPr="00FF4203" w:rsidRDefault="001B78F5" w:rsidP="001B78F5">
      <w:pPr>
        <w:spacing w:after="120"/>
        <w:rPr>
          <w:color w:val="000000" w:themeColor="text1"/>
          <w:szCs w:val="20"/>
        </w:rPr>
      </w:pPr>
      <w:proofErr w:type="spellStart"/>
      <w:r w:rsidRPr="00FF4203">
        <w:rPr>
          <w:b/>
          <w:color w:val="000000" w:themeColor="text1"/>
          <w:szCs w:val="20"/>
        </w:rPr>
        <w:t>Konishi</w:t>
      </w:r>
      <w:proofErr w:type="spellEnd"/>
      <w:r w:rsidRPr="00FF4203">
        <w:rPr>
          <w:b/>
          <w:color w:val="000000" w:themeColor="text1"/>
          <w:szCs w:val="20"/>
        </w:rPr>
        <w:t xml:space="preserve"> J</w:t>
      </w:r>
      <w:r w:rsidRPr="00FF4203">
        <w:rPr>
          <w:color w:val="000000" w:themeColor="text1"/>
          <w:szCs w:val="20"/>
        </w:rPr>
        <w:t xml:space="preserve">, Yamazaki K, Azuma M, et al. B7-H1 expression on non-small cell lung cancer cells and its relationship with </w:t>
      </w:r>
      <w:r w:rsidR="00705B56" w:rsidRPr="00FF4203">
        <w:rPr>
          <w:color w:val="000000" w:themeColor="text1"/>
          <w:szCs w:val="20"/>
        </w:rPr>
        <w:t>tumour</w:t>
      </w:r>
      <w:r w:rsidRPr="00FF4203">
        <w:rPr>
          <w:color w:val="000000" w:themeColor="text1"/>
          <w:szCs w:val="20"/>
        </w:rPr>
        <w:t xml:space="preserve">-infiltrating lymphocytes and their PD-1 expression. </w:t>
      </w:r>
      <w:proofErr w:type="spellStart"/>
      <w:r w:rsidRPr="00FF4203">
        <w:rPr>
          <w:color w:val="000000" w:themeColor="text1"/>
          <w:szCs w:val="20"/>
        </w:rPr>
        <w:t>Clin</w:t>
      </w:r>
      <w:proofErr w:type="spellEnd"/>
      <w:r w:rsidRPr="00FF4203">
        <w:rPr>
          <w:color w:val="000000" w:themeColor="text1"/>
          <w:szCs w:val="20"/>
        </w:rPr>
        <w:t xml:space="preserve"> Cancer Res 2004</w:t>
      </w:r>
      <w:proofErr w:type="gramStart"/>
      <w:r w:rsidRPr="00FF4203">
        <w:rPr>
          <w:color w:val="000000" w:themeColor="text1"/>
          <w:szCs w:val="20"/>
        </w:rPr>
        <w:t>;10</w:t>
      </w:r>
      <w:proofErr w:type="gramEnd"/>
      <w:r w:rsidRPr="00FF4203">
        <w:rPr>
          <w:color w:val="000000" w:themeColor="text1"/>
          <w:szCs w:val="20"/>
        </w:rPr>
        <w:t>: 5094–5100.</w:t>
      </w:r>
    </w:p>
    <w:p w14:paraId="264E52D7" w14:textId="77777777" w:rsidR="001B78F5" w:rsidRPr="00FF4203" w:rsidRDefault="001B78F5" w:rsidP="001B78F5">
      <w:pPr>
        <w:rPr>
          <w:color w:val="000000" w:themeColor="text1"/>
        </w:rPr>
      </w:pPr>
      <w:r w:rsidRPr="00FF4203">
        <w:rPr>
          <w:b/>
          <w:color w:val="000000" w:themeColor="text1"/>
        </w:rPr>
        <w:t>Liu J</w:t>
      </w:r>
      <w:r w:rsidRPr="00FF4203">
        <w:rPr>
          <w:color w:val="000000" w:themeColor="text1"/>
        </w:rPr>
        <w:t xml:space="preserve">, </w:t>
      </w:r>
      <w:proofErr w:type="spellStart"/>
      <w:r w:rsidRPr="00FF4203">
        <w:rPr>
          <w:color w:val="000000" w:themeColor="text1"/>
        </w:rPr>
        <w:t>Hamrouni</w:t>
      </w:r>
      <w:proofErr w:type="spellEnd"/>
      <w:r w:rsidRPr="00FF4203">
        <w:rPr>
          <w:color w:val="000000" w:themeColor="text1"/>
        </w:rPr>
        <w:t xml:space="preserve"> A, </w:t>
      </w:r>
      <w:proofErr w:type="spellStart"/>
      <w:r w:rsidRPr="00FF4203">
        <w:rPr>
          <w:color w:val="000000" w:themeColor="text1"/>
        </w:rPr>
        <w:t>Wolowiec</w:t>
      </w:r>
      <w:proofErr w:type="spellEnd"/>
      <w:r w:rsidRPr="00FF4203">
        <w:rPr>
          <w:color w:val="000000" w:themeColor="text1"/>
        </w:rPr>
        <w:t xml:space="preserve"> D, </w:t>
      </w:r>
      <w:proofErr w:type="spellStart"/>
      <w:r w:rsidRPr="00FF4203">
        <w:rPr>
          <w:color w:val="000000" w:themeColor="text1"/>
        </w:rPr>
        <w:t>Coiteux</w:t>
      </w:r>
      <w:proofErr w:type="spellEnd"/>
      <w:r w:rsidRPr="00FF4203">
        <w:rPr>
          <w:color w:val="000000" w:themeColor="text1"/>
        </w:rPr>
        <w:t xml:space="preserve"> V, </w:t>
      </w:r>
      <w:proofErr w:type="spellStart"/>
      <w:r w:rsidRPr="00FF4203">
        <w:rPr>
          <w:color w:val="000000" w:themeColor="text1"/>
        </w:rPr>
        <w:t>Kuliczkowski</w:t>
      </w:r>
      <w:proofErr w:type="spellEnd"/>
      <w:r w:rsidRPr="00FF4203">
        <w:rPr>
          <w:color w:val="000000" w:themeColor="text1"/>
        </w:rPr>
        <w:t xml:space="preserve"> K, </w:t>
      </w:r>
      <w:proofErr w:type="spellStart"/>
      <w:r w:rsidRPr="00FF4203">
        <w:rPr>
          <w:color w:val="000000" w:themeColor="text1"/>
        </w:rPr>
        <w:t>Hetuin</w:t>
      </w:r>
      <w:proofErr w:type="spellEnd"/>
      <w:r w:rsidRPr="00FF4203">
        <w:rPr>
          <w:color w:val="000000" w:themeColor="text1"/>
        </w:rPr>
        <w:t xml:space="preserve"> D. Plasma cells from multiple myeloma patients express B7-H1 (PD-L1) and increase expression after stimulation with IFN-{gamma} and TLR ligands via a MyD88-, TRAF6-, and MEK-dependent pathway. </w:t>
      </w:r>
      <w:proofErr w:type="gramStart"/>
      <w:r w:rsidRPr="00FF4203">
        <w:rPr>
          <w:color w:val="000000" w:themeColor="text1"/>
        </w:rPr>
        <w:t>Blood.</w:t>
      </w:r>
      <w:proofErr w:type="gramEnd"/>
      <w:r w:rsidRPr="00FF4203">
        <w:rPr>
          <w:color w:val="000000" w:themeColor="text1"/>
        </w:rPr>
        <w:t xml:space="preserve"> 2007</w:t>
      </w:r>
      <w:proofErr w:type="gramStart"/>
      <w:r w:rsidRPr="00FF4203">
        <w:rPr>
          <w:color w:val="000000" w:themeColor="text1"/>
        </w:rPr>
        <w:t>;110:296</w:t>
      </w:r>
      <w:proofErr w:type="gramEnd"/>
      <w:r w:rsidRPr="00FF4203">
        <w:rPr>
          <w:color w:val="000000" w:themeColor="text1"/>
        </w:rPr>
        <w:t xml:space="preserve">. </w:t>
      </w:r>
    </w:p>
    <w:p w14:paraId="264E52D8" w14:textId="77777777" w:rsidR="001B78F5" w:rsidRPr="00FF4203" w:rsidRDefault="001B78F5" w:rsidP="001B78F5">
      <w:pPr>
        <w:rPr>
          <w:color w:val="000000" w:themeColor="text1"/>
          <w:szCs w:val="20"/>
        </w:rPr>
      </w:pPr>
      <w:r w:rsidRPr="00FF4203">
        <w:rPr>
          <w:b/>
          <w:color w:val="000000" w:themeColor="text1"/>
          <w:szCs w:val="20"/>
        </w:rPr>
        <w:t>Patel</w:t>
      </w:r>
      <w:r w:rsidRPr="00FF4203">
        <w:rPr>
          <w:color w:val="000000" w:themeColor="text1"/>
          <w:szCs w:val="20"/>
        </w:rPr>
        <w:t xml:space="preserve"> et al, 2015; PD-L1 Expression as a Predictive Biomarker in Cancer Immunotherapy, </w:t>
      </w:r>
      <w:proofErr w:type="spellStart"/>
      <w:r w:rsidRPr="00FF4203">
        <w:rPr>
          <w:color w:val="000000" w:themeColor="text1"/>
          <w:szCs w:val="20"/>
        </w:rPr>
        <w:t>Mol</w:t>
      </w:r>
      <w:proofErr w:type="spellEnd"/>
      <w:r w:rsidRPr="00FF4203">
        <w:rPr>
          <w:color w:val="000000" w:themeColor="text1"/>
          <w:szCs w:val="20"/>
        </w:rPr>
        <w:t xml:space="preserve"> Cancer </w:t>
      </w:r>
      <w:proofErr w:type="spellStart"/>
      <w:r w:rsidRPr="00FF4203">
        <w:rPr>
          <w:color w:val="000000" w:themeColor="text1"/>
          <w:szCs w:val="20"/>
        </w:rPr>
        <w:t>Ther</w:t>
      </w:r>
      <w:proofErr w:type="spellEnd"/>
      <w:r w:rsidRPr="00FF4203">
        <w:rPr>
          <w:color w:val="000000" w:themeColor="text1"/>
          <w:szCs w:val="20"/>
        </w:rPr>
        <w:t>; 14(4); 847–56, DOI: 10.1158/1535-7163.MCT-14-0983</w:t>
      </w:r>
    </w:p>
    <w:p w14:paraId="264E52D9" w14:textId="77777777" w:rsidR="00F22153" w:rsidRDefault="00F22153"/>
    <w:sectPr w:rsidR="00F221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A1753" w14:textId="77777777" w:rsidR="00434B13" w:rsidRDefault="00434B13" w:rsidP="001B78F5">
      <w:pPr>
        <w:spacing w:after="0" w:line="240" w:lineRule="auto"/>
      </w:pPr>
      <w:r>
        <w:separator/>
      </w:r>
    </w:p>
  </w:endnote>
  <w:endnote w:type="continuationSeparator" w:id="0">
    <w:p w14:paraId="38CC70B7" w14:textId="77777777" w:rsidR="00434B13" w:rsidRDefault="00434B13" w:rsidP="001B78F5">
      <w:pPr>
        <w:spacing w:after="0" w:line="240" w:lineRule="auto"/>
      </w:pPr>
      <w:r>
        <w:continuationSeparator/>
      </w:r>
    </w:p>
  </w:endnote>
  <w:endnote w:type="continuationNotice" w:id="1">
    <w:p w14:paraId="0B9D0A98" w14:textId="77777777" w:rsidR="00434B13" w:rsidRDefault="00434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44D53" w14:textId="77777777" w:rsidR="00434B13" w:rsidRDefault="00434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52F4" w14:textId="77777777" w:rsidR="00434B13" w:rsidRDefault="00434B13" w:rsidP="008C751B">
    <w:pPr>
      <w:pStyle w:val="Footer"/>
      <w:jc w:val="center"/>
    </w:pPr>
    <w:r>
      <w:t xml:space="preserve">MSAC website: </w:t>
    </w:r>
    <w:hyperlink r:id="rId1" w:tooltip="Link to the Department of Health Medical Services Advisory Committee web site." w:history="1">
      <w:r w:rsidRPr="003C77DC">
        <w:rPr>
          <w:rStyle w:val="Hyperlink"/>
        </w:rPr>
        <w:t>www.msac.gov.au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ECF1" w14:textId="77777777" w:rsidR="00434B13" w:rsidRDefault="00434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6DAEE" w14:textId="77777777" w:rsidR="00434B13" w:rsidRDefault="00434B13" w:rsidP="001B78F5">
      <w:pPr>
        <w:spacing w:after="0" w:line="240" w:lineRule="auto"/>
      </w:pPr>
      <w:r>
        <w:separator/>
      </w:r>
    </w:p>
  </w:footnote>
  <w:footnote w:type="continuationSeparator" w:id="0">
    <w:p w14:paraId="39FF64F4" w14:textId="77777777" w:rsidR="00434B13" w:rsidRDefault="00434B13" w:rsidP="001B78F5">
      <w:pPr>
        <w:spacing w:after="0" w:line="240" w:lineRule="auto"/>
      </w:pPr>
      <w:r>
        <w:continuationSeparator/>
      </w:r>
    </w:p>
  </w:footnote>
  <w:footnote w:type="continuationNotice" w:id="1">
    <w:p w14:paraId="0303138D" w14:textId="77777777" w:rsidR="00434B13" w:rsidRDefault="00434B13">
      <w:pPr>
        <w:spacing w:after="0" w:line="240" w:lineRule="auto"/>
      </w:pPr>
    </w:p>
  </w:footnote>
  <w:footnote w:id="2">
    <w:p w14:paraId="264E52F6" w14:textId="77777777" w:rsidR="00434B13" w:rsidRPr="002A089F" w:rsidRDefault="00434B13" w:rsidP="001C4194">
      <w:pPr>
        <w:pStyle w:val="Tablefooter"/>
      </w:pPr>
      <w:r>
        <w:rPr>
          <w:rStyle w:val="FootnoteReference"/>
        </w:rPr>
        <w:footnoteRef/>
      </w:r>
      <w:r w:rsidRPr="00AC1B65">
        <w:t xml:space="preserve">Cancer in Australia:  an overview 2014, AIHW, Table </w:t>
      </w:r>
      <w:r>
        <w:t>B4(a)</w:t>
      </w:r>
      <w:r w:rsidRPr="00AC1B65">
        <w:t xml:space="preserve">, </w:t>
      </w:r>
      <w:proofErr w:type="spellStart"/>
      <w:r w:rsidRPr="00AC1B65">
        <w:t>Pg</w:t>
      </w:r>
      <w:proofErr w:type="spellEnd"/>
      <w:r w:rsidRPr="00AC1B65">
        <w:t xml:space="preserve"> </w:t>
      </w:r>
      <w:r>
        <w:t>92</w:t>
      </w:r>
      <w:r w:rsidRPr="00AC1B65">
        <w:t xml:space="preserve"> of document, </w:t>
      </w:r>
      <w:hyperlink r:id="rId1" w:history="1">
        <w:r w:rsidRPr="00AC1B65">
          <w:rPr>
            <w:rStyle w:val="Hyperlink"/>
          </w:rPr>
          <w:t>AIHW Cancer in Australia an overview</w:t>
        </w:r>
      </w:hyperlink>
      <w:r w:rsidRPr="00AC1B65">
        <w:t xml:space="preserve"> [accessed 7</w:t>
      </w:r>
      <w:r w:rsidRPr="00AC1B65">
        <w:rPr>
          <w:vertAlign w:val="superscript"/>
        </w:rPr>
        <w:t>th</w:t>
      </w:r>
      <w:r w:rsidRPr="00AC1B65">
        <w:t xml:space="preserve"> </w:t>
      </w:r>
      <w:r>
        <w:t>April</w:t>
      </w:r>
      <w:r w:rsidRPr="00AC1B65">
        <w:t xml:space="preserve"> 201</w:t>
      </w:r>
      <w:r>
        <w:t>6</w:t>
      </w:r>
      <w:r w:rsidRPr="00AC1B65">
        <w:t>]</w:t>
      </w:r>
      <w:hyperlink r:id="rId2" w:history="1"/>
    </w:p>
  </w:footnote>
  <w:footnote w:id="3">
    <w:p w14:paraId="264E52F7" w14:textId="77777777" w:rsidR="00434B13" w:rsidRPr="00E13BEA" w:rsidRDefault="00434B13">
      <w:pPr>
        <w:pStyle w:val="FootnoteText"/>
        <w:rPr>
          <w:rFonts w:asciiTheme="minorHAnsi" w:hAnsiTheme="minorHAnsi" w:cstheme="minorHAnsi"/>
          <w:sz w:val="16"/>
          <w:szCs w:val="16"/>
          <w:lang w:val="en-AU"/>
        </w:rPr>
      </w:pPr>
      <w:r w:rsidRPr="00E13BEA">
        <w:rPr>
          <w:rStyle w:val="FootnoteReference"/>
          <w:rFonts w:asciiTheme="minorHAnsi" w:hAnsiTheme="minorHAnsi" w:cstheme="minorHAnsi"/>
          <w:sz w:val="16"/>
          <w:szCs w:val="16"/>
        </w:rPr>
        <w:footnoteRef/>
      </w:r>
      <w:r w:rsidRPr="00E13BEA">
        <w:rPr>
          <w:rFonts w:asciiTheme="minorHAnsi" w:hAnsiTheme="minorHAnsi" w:cstheme="minorHAnsi"/>
          <w:sz w:val="16"/>
          <w:szCs w:val="16"/>
        </w:rPr>
        <w:t xml:space="preserve"> </w:t>
      </w:r>
      <w:r w:rsidRPr="00705B56">
        <w:rPr>
          <w:rFonts w:asciiTheme="minorHAnsi" w:hAnsiTheme="minorHAnsi" w:cstheme="minorHAnsi"/>
          <w:sz w:val="16"/>
          <w:szCs w:val="16"/>
        </w:rPr>
        <w:t xml:space="preserve">Cancer in Australia:  an overview 2014, AIHW, Five-year relative survival; Change over time </w:t>
      </w:r>
      <w:proofErr w:type="spellStart"/>
      <w:r w:rsidRPr="00705B56">
        <w:rPr>
          <w:rFonts w:asciiTheme="minorHAnsi" w:hAnsiTheme="minorHAnsi" w:cstheme="minorHAnsi"/>
          <w:sz w:val="16"/>
          <w:szCs w:val="16"/>
        </w:rPr>
        <w:t>Pg</w:t>
      </w:r>
      <w:proofErr w:type="spellEnd"/>
      <w:r w:rsidRPr="00705B56">
        <w:rPr>
          <w:rFonts w:asciiTheme="minorHAnsi" w:hAnsiTheme="minorHAnsi" w:cstheme="minorHAnsi"/>
          <w:sz w:val="16"/>
          <w:szCs w:val="16"/>
        </w:rPr>
        <w:t xml:space="preserve"> 38 of document, </w:t>
      </w:r>
      <w:hyperlink r:id="rId3" w:history="1">
        <w:r w:rsidRPr="00705B56">
          <w:rPr>
            <w:rStyle w:val="Hyperlink"/>
            <w:rFonts w:asciiTheme="minorHAnsi" w:hAnsiTheme="minorHAnsi" w:cstheme="minorHAnsi"/>
            <w:sz w:val="16"/>
            <w:szCs w:val="16"/>
          </w:rPr>
          <w:t>AIHW Cancer in Australia an overview</w:t>
        </w:r>
      </w:hyperlink>
      <w:r w:rsidRPr="00705B56">
        <w:rPr>
          <w:rFonts w:asciiTheme="minorHAnsi" w:hAnsiTheme="minorHAnsi" w:cstheme="minorHAnsi"/>
          <w:sz w:val="16"/>
          <w:szCs w:val="16"/>
        </w:rPr>
        <w:t xml:space="preserve"> [accessed 10th April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52F2" w14:textId="270DADBA" w:rsidR="00434B13" w:rsidRDefault="00434B13">
    <w:pPr>
      <w:pStyle w:val="Header"/>
    </w:pPr>
    <w:r>
      <w:rPr>
        <w:noProof/>
      </w:rPr>
      <w:pict w14:anchorId="2D761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746407" o:spid="_x0000_s2051" type="#_x0000_t136" style="position:absolute;margin-left:0;margin-top:0;width:510.3pt;height:127.55pt;rotation:315;z-index:-251654656;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Pr>
        <w:noProof/>
      </w:rPr>
      <w:pict w14:anchorId="264E52F5">
        <v:shape id="_x0000_s2049" type="#_x0000_t136" style="position:absolute;margin-left:0;margin-top:0;width:398.65pt;height:239.15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52F3" w14:textId="6CE8A978" w:rsidR="00434B13" w:rsidRDefault="00434B13" w:rsidP="008C751B">
    <w:pPr>
      <w:pStyle w:val="Header"/>
      <w:jc w:val="center"/>
    </w:pPr>
    <w:r>
      <w:rPr>
        <w:noProof/>
      </w:rPr>
      <w:pict w14:anchorId="7183E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746408" o:spid="_x0000_s2052" type="#_x0000_t136" style="position:absolute;left:0;text-align:left;margin-left:0;margin-top:0;width:510.3pt;height:127.55pt;rotation:315;z-index:-25165260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81C4" w14:textId="1274480F" w:rsidR="00434B13" w:rsidRDefault="00434B13">
    <w:pPr>
      <w:pStyle w:val="Header"/>
    </w:pPr>
    <w:r>
      <w:rPr>
        <w:noProof/>
      </w:rPr>
      <w:pict w14:anchorId="17898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746406" o:spid="_x0000_s2050" type="#_x0000_t136" style="position:absolute;margin-left:0;margin-top:0;width:510.3pt;height:127.55pt;rotation:315;z-index:-251656704;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3094"/>
    <w:multiLevelType w:val="hybridMultilevel"/>
    <w:tmpl w:val="C20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95CE6"/>
    <w:multiLevelType w:val="hybridMultilevel"/>
    <w:tmpl w:val="793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D6AD0"/>
    <w:multiLevelType w:val="hybridMultilevel"/>
    <w:tmpl w:val="12F0E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01430"/>
    <w:multiLevelType w:val="hybridMultilevel"/>
    <w:tmpl w:val="5346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F3E85"/>
    <w:multiLevelType w:val="hybridMultilevel"/>
    <w:tmpl w:val="73C23678"/>
    <w:lvl w:ilvl="0" w:tplc="DDB64056">
      <w:start w:val="1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7175B3"/>
    <w:multiLevelType w:val="hybridMultilevel"/>
    <w:tmpl w:val="40044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266051"/>
    <w:multiLevelType w:val="hybridMultilevel"/>
    <w:tmpl w:val="8EF6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1C0C7C"/>
    <w:multiLevelType w:val="hybridMultilevel"/>
    <w:tmpl w:val="6C521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590E86"/>
    <w:multiLevelType w:val="hybridMultilevel"/>
    <w:tmpl w:val="AC9C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202C9"/>
    <w:multiLevelType w:val="hybridMultilevel"/>
    <w:tmpl w:val="556A5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B0F74"/>
    <w:multiLevelType w:val="hybridMultilevel"/>
    <w:tmpl w:val="0C6862F4"/>
    <w:lvl w:ilvl="0" w:tplc="DDB64056">
      <w:start w:val="1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C05DEE"/>
    <w:multiLevelType w:val="hybridMultilevel"/>
    <w:tmpl w:val="5EFE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3492F"/>
    <w:multiLevelType w:val="hybridMultilevel"/>
    <w:tmpl w:val="5EA44A9E"/>
    <w:lvl w:ilvl="0" w:tplc="FEEC64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934186"/>
    <w:multiLevelType w:val="hybridMultilevel"/>
    <w:tmpl w:val="E2464F34"/>
    <w:lvl w:ilvl="0" w:tplc="F9A0F9BC">
      <w:start w:val="1"/>
      <w:numFmt w:val="bullet"/>
      <w:pStyle w:val="Bullets1"/>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0"/>
        </w:tabs>
        <w:ind w:left="0" w:hanging="360"/>
      </w:pPr>
      <w:rPr>
        <w:rFonts w:ascii="Courier New" w:hAnsi="Courier New" w:cs="Courier New" w:hint="default"/>
      </w:rPr>
    </w:lvl>
    <w:lvl w:ilvl="2" w:tplc="2FF670BC">
      <w:start w:val="1"/>
      <w:numFmt w:val="bullet"/>
      <w:lvlText w:val=""/>
      <w:lvlJc w:val="left"/>
      <w:pPr>
        <w:tabs>
          <w:tab w:val="num" w:pos="720"/>
        </w:tabs>
        <w:ind w:left="720" w:hanging="360"/>
      </w:pPr>
      <w:rPr>
        <w:rFonts w:ascii="Symbol" w:hAnsi="Symbol"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14">
    <w:nsid w:val="4A985CAC"/>
    <w:multiLevelType w:val="hybridMultilevel"/>
    <w:tmpl w:val="99364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F148C9"/>
    <w:multiLevelType w:val="hybridMultilevel"/>
    <w:tmpl w:val="0F2E9572"/>
    <w:lvl w:ilvl="0" w:tplc="DDB64056">
      <w:start w:val="1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A36AC1"/>
    <w:multiLevelType w:val="hybridMultilevel"/>
    <w:tmpl w:val="F8D82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6F6A60"/>
    <w:multiLevelType w:val="hybridMultilevel"/>
    <w:tmpl w:val="451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1555D"/>
    <w:multiLevelType w:val="hybridMultilevel"/>
    <w:tmpl w:val="3EF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13060D"/>
    <w:multiLevelType w:val="hybridMultilevel"/>
    <w:tmpl w:val="AB94FA8A"/>
    <w:lvl w:ilvl="0" w:tplc="FEEC64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ED6797"/>
    <w:multiLevelType w:val="hybridMultilevel"/>
    <w:tmpl w:val="EECCC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7C529C"/>
    <w:multiLevelType w:val="hybridMultilevel"/>
    <w:tmpl w:val="EC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E1C91"/>
    <w:multiLevelType w:val="hybridMultilevel"/>
    <w:tmpl w:val="33E2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34DF7"/>
    <w:multiLevelType w:val="hybridMultilevel"/>
    <w:tmpl w:val="AC62A7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523A87"/>
    <w:multiLevelType w:val="multilevel"/>
    <w:tmpl w:val="1D64DE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F0400DA"/>
    <w:multiLevelType w:val="hybridMultilevel"/>
    <w:tmpl w:val="D430C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7"/>
  </w:num>
  <w:num w:numId="4">
    <w:abstractNumId w:val="18"/>
  </w:num>
  <w:num w:numId="5">
    <w:abstractNumId w:val="9"/>
  </w:num>
  <w:num w:numId="6">
    <w:abstractNumId w:val="8"/>
  </w:num>
  <w:num w:numId="7">
    <w:abstractNumId w:val="1"/>
  </w:num>
  <w:num w:numId="8">
    <w:abstractNumId w:val="3"/>
  </w:num>
  <w:num w:numId="9">
    <w:abstractNumId w:val="23"/>
  </w:num>
  <w:num w:numId="10">
    <w:abstractNumId w:val="6"/>
  </w:num>
  <w:num w:numId="11">
    <w:abstractNumId w:val="14"/>
  </w:num>
  <w:num w:numId="12">
    <w:abstractNumId w:val="0"/>
  </w:num>
  <w:num w:numId="13">
    <w:abstractNumId w:val="22"/>
  </w:num>
  <w:num w:numId="14">
    <w:abstractNumId w:val="11"/>
  </w:num>
  <w:num w:numId="15">
    <w:abstractNumId w:val="2"/>
  </w:num>
  <w:num w:numId="16">
    <w:abstractNumId w:val="21"/>
  </w:num>
  <w:num w:numId="17">
    <w:abstractNumId w:val="5"/>
  </w:num>
  <w:num w:numId="18">
    <w:abstractNumId w:val="4"/>
  </w:num>
  <w:num w:numId="19">
    <w:abstractNumId w:val="15"/>
  </w:num>
  <w:num w:numId="20">
    <w:abstractNumId w:val="10"/>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9"/>
  </w:num>
  <w:num w:numId="33">
    <w:abstractNumId w:val="25"/>
  </w:num>
  <w:num w:numId="34">
    <w:abstractNumId w:val="16"/>
  </w:num>
  <w:num w:numId="3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F5"/>
    <w:rsid w:val="000007D7"/>
    <w:rsid w:val="00001582"/>
    <w:rsid w:val="0000161E"/>
    <w:rsid w:val="00002E04"/>
    <w:rsid w:val="00003AAC"/>
    <w:rsid w:val="0000455F"/>
    <w:rsid w:val="00012010"/>
    <w:rsid w:val="0002340B"/>
    <w:rsid w:val="0002444A"/>
    <w:rsid w:val="00024E85"/>
    <w:rsid w:val="00027EB1"/>
    <w:rsid w:val="000318C6"/>
    <w:rsid w:val="00034CB7"/>
    <w:rsid w:val="00035BBF"/>
    <w:rsid w:val="0004275A"/>
    <w:rsid w:val="00042CB7"/>
    <w:rsid w:val="00044F82"/>
    <w:rsid w:val="000452FF"/>
    <w:rsid w:val="00045B4E"/>
    <w:rsid w:val="00047DA7"/>
    <w:rsid w:val="0005179E"/>
    <w:rsid w:val="00051E0D"/>
    <w:rsid w:val="0005259F"/>
    <w:rsid w:val="00053F8F"/>
    <w:rsid w:val="00054AA3"/>
    <w:rsid w:val="0005547D"/>
    <w:rsid w:val="00056B0A"/>
    <w:rsid w:val="00067BF9"/>
    <w:rsid w:val="000708EF"/>
    <w:rsid w:val="00076C32"/>
    <w:rsid w:val="000808AA"/>
    <w:rsid w:val="00086AF6"/>
    <w:rsid w:val="0009100E"/>
    <w:rsid w:val="00093506"/>
    <w:rsid w:val="00093E80"/>
    <w:rsid w:val="000965F8"/>
    <w:rsid w:val="000A0A4E"/>
    <w:rsid w:val="000A10B7"/>
    <w:rsid w:val="000A2B0F"/>
    <w:rsid w:val="000A3948"/>
    <w:rsid w:val="000A6D77"/>
    <w:rsid w:val="000B56B1"/>
    <w:rsid w:val="000C64AF"/>
    <w:rsid w:val="000D2C79"/>
    <w:rsid w:val="000E125E"/>
    <w:rsid w:val="000E44B6"/>
    <w:rsid w:val="000E5F10"/>
    <w:rsid w:val="000F464D"/>
    <w:rsid w:val="000F6DAF"/>
    <w:rsid w:val="000F7BE3"/>
    <w:rsid w:val="001011CF"/>
    <w:rsid w:val="001061C4"/>
    <w:rsid w:val="00107A63"/>
    <w:rsid w:val="00113A0B"/>
    <w:rsid w:val="00114280"/>
    <w:rsid w:val="001165AD"/>
    <w:rsid w:val="0011675A"/>
    <w:rsid w:val="001167A2"/>
    <w:rsid w:val="00122D68"/>
    <w:rsid w:val="001308AC"/>
    <w:rsid w:val="0013120A"/>
    <w:rsid w:val="001360D1"/>
    <w:rsid w:val="00140B57"/>
    <w:rsid w:val="0014117F"/>
    <w:rsid w:val="00143755"/>
    <w:rsid w:val="00145C92"/>
    <w:rsid w:val="00146180"/>
    <w:rsid w:val="0014742D"/>
    <w:rsid w:val="0015016D"/>
    <w:rsid w:val="00155AC8"/>
    <w:rsid w:val="00156B47"/>
    <w:rsid w:val="001634BF"/>
    <w:rsid w:val="00163807"/>
    <w:rsid w:val="001654D9"/>
    <w:rsid w:val="00165A99"/>
    <w:rsid w:val="00167D3F"/>
    <w:rsid w:val="001724C0"/>
    <w:rsid w:val="001735BA"/>
    <w:rsid w:val="00174E34"/>
    <w:rsid w:val="00175CC9"/>
    <w:rsid w:val="00175E05"/>
    <w:rsid w:val="0017673F"/>
    <w:rsid w:val="00177062"/>
    <w:rsid w:val="0018251B"/>
    <w:rsid w:val="00183BBB"/>
    <w:rsid w:val="001852CF"/>
    <w:rsid w:val="00186C12"/>
    <w:rsid w:val="0018747C"/>
    <w:rsid w:val="00191E3F"/>
    <w:rsid w:val="0019291D"/>
    <w:rsid w:val="001938F2"/>
    <w:rsid w:val="00194DD6"/>
    <w:rsid w:val="001A5055"/>
    <w:rsid w:val="001A640E"/>
    <w:rsid w:val="001B5D98"/>
    <w:rsid w:val="001B7198"/>
    <w:rsid w:val="001B76B7"/>
    <w:rsid w:val="001B78F5"/>
    <w:rsid w:val="001C32C3"/>
    <w:rsid w:val="001C379A"/>
    <w:rsid w:val="001C3895"/>
    <w:rsid w:val="001C3D1C"/>
    <w:rsid w:val="001C3DEE"/>
    <w:rsid w:val="001C4194"/>
    <w:rsid w:val="001C5C2E"/>
    <w:rsid w:val="001D1752"/>
    <w:rsid w:val="001D3B34"/>
    <w:rsid w:val="001D6395"/>
    <w:rsid w:val="001D7B04"/>
    <w:rsid w:val="001E0E61"/>
    <w:rsid w:val="001E1530"/>
    <w:rsid w:val="001E46C1"/>
    <w:rsid w:val="001E6EEE"/>
    <w:rsid w:val="001E7BDC"/>
    <w:rsid w:val="001F1290"/>
    <w:rsid w:val="001F1876"/>
    <w:rsid w:val="001F1BB5"/>
    <w:rsid w:val="001F3082"/>
    <w:rsid w:val="002010DF"/>
    <w:rsid w:val="00202087"/>
    <w:rsid w:val="002020DD"/>
    <w:rsid w:val="00203B7A"/>
    <w:rsid w:val="002107C9"/>
    <w:rsid w:val="002138B3"/>
    <w:rsid w:val="002207F3"/>
    <w:rsid w:val="00221D3E"/>
    <w:rsid w:val="00223E10"/>
    <w:rsid w:val="002253A1"/>
    <w:rsid w:val="00225904"/>
    <w:rsid w:val="00231B3E"/>
    <w:rsid w:val="00232CEC"/>
    <w:rsid w:val="00237797"/>
    <w:rsid w:val="00237877"/>
    <w:rsid w:val="00237AB5"/>
    <w:rsid w:val="0025301E"/>
    <w:rsid w:val="00267735"/>
    <w:rsid w:val="002678BA"/>
    <w:rsid w:val="002712A5"/>
    <w:rsid w:val="002733BD"/>
    <w:rsid w:val="002778B2"/>
    <w:rsid w:val="00280971"/>
    <w:rsid w:val="00280D1D"/>
    <w:rsid w:val="002812F2"/>
    <w:rsid w:val="00281AD5"/>
    <w:rsid w:val="00291610"/>
    <w:rsid w:val="0029261B"/>
    <w:rsid w:val="002927C1"/>
    <w:rsid w:val="00295F14"/>
    <w:rsid w:val="002A0099"/>
    <w:rsid w:val="002A4DDD"/>
    <w:rsid w:val="002A6F1A"/>
    <w:rsid w:val="002B37AD"/>
    <w:rsid w:val="002B51AB"/>
    <w:rsid w:val="002B681F"/>
    <w:rsid w:val="002B6FCB"/>
    <w:rsid w:val="002C063C"/>
    <w:rsid w:val="002C59FB"/>
    <w:rsid w:val="002D1259"/>
    <w:rsid w:val="002E14F8"/>
    <w:rsid w:val="002E1F16"/>
    <w:rsid w:val="002E22A4"/>
    <w:rsid w:val="002F34F3"/>
    <w:rsid w:val="002F3587"/>
    <w:rsid w:val="002F3790"/>
    <w:rsid w:val="002F6358"/>
    <w:rsid w:val="002F69BB"/>
    <w:rsid w:val="00300522"/>
    <w:rsid w:val="00306411"/>
    <w:rsid w:val="00306E18"/>
    <w:rsid w:val="00306EA5"/>
    <w:rsid w:val="0031332D"/>
    <w:rsid w:val="0031716E"/>
    <w:rsid w:val="00321703"/>
    <w:rsid w:val="00324C8A"/>
    <w:rsid w:val="00324DE3"/>
    <w:rsid w:val="00326265"/>
    <w:rsid w:val="00327210"/>
    <w:rsid w:val="003272E4"/>
    <w:rsid w:val="003334C4"/>
    <w:rsid w:val="0033753B"/>
    <w:rsid w:val="00341A4E"/>
    <w:rsid w:val="00341A88"/>
    <w:rsid w:val="00344D2F"/>
    <w:rsid w:val="00345141"/>
    <w:rsid w:val="003478F7"/>
    <w:rsid w:val="00363566"/>
    <w:rsid w:val="00365954"/>
    <w:rsid w:val="00367936"/>
    <w:rsid w:val="00367CCC"/>
    <w:rsid w:val="00370EC5"/>
    <w:rsid w:val="003744BF"/>
    <w:rsid w:val="00382F15"/>
    <w:rsid w:val="00383CCE"/>
    <w:rsid w:val="003844E4"/>
    <w:rsid w:val="00384B12"/>
    <w:rsid w:val="003862E3"/>
    <w:rsid w:val="00387493"/>
    <w:rsid w:val="003874A8"/>
    <w:rsid w:val="00387581"/>
    <w:rsid w:val="00387FAF"/>
    <w:rsid w:val="003912A4"/>
    <w:rsid w:val="00392809"/>
    <w:rsid w:val="003938B0"/>
    <w:rsid w:val="00393A04"/>
    <w:rsid w:val="00395615"/>
    <w:rsid w:val="00397E01"/>
    <w:rsid w:val="003A1F7F"/>
    <w:rsid w:val="003A2FF1"/>
    <w:rsid w:val="003A39ED"/>
    <w:rsid w:val="003B17A2"/>
    <w:rsid w:val="003B3740"/>
    <w:rsid w:val="003C063D"/>
    <w:rsid w:val="003C0841"/>
    <w:rsid w:val="003C6600"/>
    <w:rsid w:val="003D0EC0"/>
    <w:rsid w:val="003D1A5D"/>
    <w:rsid w:val="003D2119"/>
    <w:rsid w:val="003D3560"/>
    <w:rsid w:val="003D37C8"/>
    <w:rsid w:val="003D5D41"/>
    <w:rsid w:val="003E0B82"/>
    <w:rsid w:val="003E0F74"/>
    <w:rsid w:val="003E174F"/>
    <w:rsid w:val="003E47A3"/>
    <w:rsid w:val="003E61DE"/>
    <w:rsid w:val="003E7AEE"/>
    <w:rsid w:val="003E7C22"/>
    <w:rsid w:val="003F23B0"/>
    <w:rsid w:val="003F35BF"/>
    <w:rsid w:val="003F4FED"/>
    <w:rsid w:val="004009ED"/>
    <w:rsid w:val="004063F6"/>
    <w:rsid w:val="0041151A"/>
    <w:rsid w:val="00416B70"/>
    <w:rsid w:val="004227B6"/>
    <w:rsid w:val="00423D84"/>
    <w:rsid w:val="00424E1E"/>
    <w:rsid w:val="00427818"/>
    <w:rsid w:val="00427FCA"/>
    <w:rsid w:val="00430FB6"/>
    <w:rsid w:val="004315DF"/>
    <w:rsid w:val="00431DE3"/>
    <w:rsid w:val="0043441A"/>
    <w:rsid w:val="00434B13"/>
    <w:rsid w:val="004361E3"/>
    <w:rsid w:val="00437C1F"/>
    <w:rsid w:val="004417B9"/>
    <w:rsid w:val="004503C1"/>
    <w:rsid w:val="00450A62"/>
    <w:rsid w:val="00451905"/>
    <w:rsid w:val="00456224"/>
    <w:rsid w:val="00462C4E"/>
    <w:rsid w:val="00463B12"/>
    <w:rsid w:val="0046413D"/>
    <w:rsid w:val="00465657"/>
    <w:rsid w:val="00471079"/>
    <w:rsid w:val="00471D42"/>
    <w:rsid w:val="0047332C"/>
    <w:rsid w:val="0047344D"/>
    <w:rsid w:val="00475311"/>
    <w:rsid w:val="00480E74"/>
    <w:rsid w:val="0048435B"/>
    <w:rsid w:val="00486CB2"/>
    <w:rsid w:val="004942EE"/>
    <w:rsid w:val="00496E24"/>
    <w:rsid w:val="00496E71"/>
    <w:rsid w:val="004A0A28"/>
    <w:rsid w:val="004A254C"/>
    <w:rsid w:val="004A4028"/>
    <w:rsid w:val="004A4D78"/>
    <w:rsid w:val="004A5442"/>
    <w:rsid w:val="004A6600"/>
    <w:rsid w:val="004B0E44"/>
    <w:rsid w:val="004B33B3"/>
    <w:rsid w:val="004C2A84"/>
    <w:rsid w:val="004C3BFE"/>
    <w:rsid w:val="004C4E6D"/>
    <w:rsid w:val="004C695B"/>
    <w:rsid w:val="004D24F2"/>
    <w:rsid w:val="004E1439"/>
    <w:rsid w:val="004E7E9C"/>
    <w:rsid w:val="004F0ED9"/>
    <w:rsid w:val="004F127F"/>
    <w:rsid w:val="004F4EB2"/>
    <w:rsid w:val="00503BB6"/>
    <w:rsid w:val="00507408"/>
    <w:rsid w:val="0051713C"/>
    <w:rsid w:val="005178DC"/>
    <w:rsid w:val="005226A5"/>
    <w:rsid w:val="0052414B"/>
    <w:rsid w:val="00525438"/>
    <w:rsid w:val="00525487"/>
    <w:rsid w:val="00530014"/>
    <w:rsid w:val="005303C7"/>
    <w:rsid w:val="005316FF"/>
    <w:rsid w:val="00534256"/>
    <w:rsid w:val="0054050D"/>
    <w:rsid w:val="0054253F"/>
    <w:rsid w:val="00542E4E"/>
    <w:rsid w:val="00542F0A"/>
    <w:rsid w:val="005441A2"/>
    <w:rsid w:val="00547CBB"/>
    <w:rsid w:val="00551156"/>
    <w:rsid w:val="005517BA"/>
    <w:rsid w:val="00552DE0"/>
    <w:rsid w:val="0055692A"/>
    <w:rsid w:val="00561F5F"/>
    <w:rsid w:val="00561FC6"/>
    <w:rsid w:val="005676F0"/>
    <w:rsid w:val="0057519B"/>
    <w:rsid w:val="005763D7"/>
    <w:rsid w:val="005809CD"/>
    <w:rsid w:val="00583261"/>
    <w:rsid w:val="0059139D"/>
    <w:rsid w:val="005928E8"/>
    <w:rsid w:val="005938EA"/>
    <w:rsid w:val="00593DCF"/>
    <w:rsid w:val="005A5405"/>
    <w:rsid w:val="005A5D04"/>
    <w:rsid w:val="005A61BF"/>
    <w:rsid w:val="005B1C04"/>
    <w:rsid w:val="005B46F8"/>
    <w:rsid w:val="005B490B"/>
    <w:rsid w:val="005C15DE"/>
    <w:rsid w:val="005C320A"/>
    <w:rsid w:val="005C33DA"/>
    <w:rsid w:val="005C49A6"/>
    <w:rsid w:val="005C5C84"/>
    <w:rsid w:val="005D255C"/>
    <w:rsid w:val="005D54AE"/>
    <w:rsid w:val="005D56DD"/>
    <w:rsid w:val="005E0DD3"/>
    <w:rsid w:val="005E69EA"/>
    <w:rsid w:val="005E6C37"/>
    <w:rsid w:val="005F02CF"/>
    <w:rsid w:val="005F1D06"/>
    <w:rsid w:val="005F2104"/>
    <w:rsid w:val="005F27DC"/>
    <w:rsid w:val="005F677C"/>
    <w:rsid w:val="00604A7A"/>
    <w:rsid w:val="0060714E"/>
    <w:rsid w:val="006116E9"/>
    <w:rsid w:val="00616C06"/>
    <w:rsid w:val="0062661C"/>
    <w:rsid w:val="0063192F"/>
    <w:rsid w:val="006333C6"/>
    <w:rsid w:val="00635688"/>
    <w:rsid w:val="006357BA"/>
    <w:rsid w:val="006413EA"/>
    <w:rsid w:val="00646CB7"/>
    <w:rsid w:val="00646EE8"/>
    <w:rsid w:val="0064728E"/>
    <w:rsid w:val="006505A3"/>
    <w:rsid w:val="006512E1"/>
    <w:rsid w:val="00653105"/>
    <w:rsid w:val="00655159"/>
    <w:rsid w:val="00660EA1"/>
    <w:rsid w:val="00663A15"/>
    <w:rsid w:val="00663C06"/>
    <w:rsid w:val="006654DC"/>
    <w:rsid w:val="00666E88"/>
    <w:rsid w:val="00672286"/>
    <w:rsid w:val="00683302"/>
    <w:rsid w:val="00684906"/>
    <w:rsid w:val="00692AD7"/>
    <w:rsid w:val="00693FD2"/>
    <w:rsid w:val="00695557"/>
    <w:rsid w:val="006971D6"/>
    <w:rsid w:val="00697EE1"/>
    <w:rsid w:val="006A3EED"/>
    <w:rsid w:val="006A755F"/>
    <w:rsid w:val="006A77AB"/>
    <w:rsid w:val="006B0D0C"/>
    <w:rsid w:val="006B214B"/>
    <w:rsid w:val="006B2642"/>
    <w:rsid w:val="006C1751"/>
    <w:rsid w:val="006C7E8D"/>
    <w:rsid w:val="006D31B2"/>
    <w:rsid w:val="006D53D2"/>
    <w:rsid w:val="006E25C8"/>
    <w:rsid w:val="006E5EFE"/>
    <w:rsid w:val="006F1673"/>
    <w:rsid w:val="006F27D5"/>
    <w:rsid w:val="007001F5"/>
    <w:rsid w:val="00705B56"/>
    <w:rsid w:val="00710CA8"/>
    <w:rsid w:val="00713198"/>
    <w:rsid w:val="00714426"/>
    <w:rsid w:val="00714DD5"/>
    <w:rsid w:val="00716849"/>
    <w:rsid w:val="00716F1F"/>
    <w:rsid w:val="007207BB"/>
    <w:rsid w:val="00720D8C"/>
    <w:rsid w:val="007244BE"/>
    <w:rsid w:val="00731D8E"/>
    <w:rsid w:val="007364F2"/>
    <w:rsid w:val="00737483"/>
    <w:rsid w:val="007414A8"/>
    <w:rsid w:val="00745EDE"/>
    <w:rsid w:val="00760D30"/>
    <w:rsid w:val="00764432"/>
    <w:rsid w:val="00765A7C"/>
    <w:rsid w:val="00765CA4"/>
    <w:rsid w:val="00780C87"/>
    <w:rsid w:val="00782BC3"/>
    <w:rsid w:val="00783E03"/>
    <w:rsid w:val="00790EEA"/>
    <w:rsid w:val="007939FB"/>
    <w:rsid w:val="007970BB"/>
    <w:rsid w:val="007A090B"/>
    <w:rsid w:val="007A3837"/>
    <w:rsid w:val="007A4161"/>
    <w:rsid w:val="007C2F82"/>
    <w:rsid w:val="007C4346"/>
    <w:rsid w:val="007D235E"/>
    <w:rsid w:val="007E2D18"/>
    <w:rsid w:val="007F31A6"/>
    <w:rsid w:val="0080074B"/>
    <w:rsid w:val="0080175C"/>
    <w:rsid w:val="00803AFB"/>
    <w:rsid w:val="00805336"/>
    <w:rsid w:val="00807FB7"/>
    <w:rsid w:val="00815E3C"/>
    <w:rsid w:val="00816DFF"/>
    <w:rsid w:val="00820345"/>
    <w:rsid w:val="008209FC"/>
    <w:rsid w:val="00821C57"/>
    <w:rsid w:val="008249EF"/>
    <w:rsid w:val="00824D91"/>
    <w:rsid w:val="00841E2C"/>
    <w:rsid w:val="008429FE"/>
    <w:rsid w:val="00845196"/>
    <w:rsid w:val="0084684A"/>
    <w:rsid w:val="008541F8"/>
    <w:rsid w:val="0085474E"/>
    <w:rsid w:val="008575F5"/>
    <w:rsid w:val="00862158"/>
    <w:rsid w:val="00867DA2"/>
    <w:rsid w:val="0087110C"/>
    <w:rsid w:val="0087497A"/>
    <w:rsid w:val="00874D36"/>
    <w:rsid w:val="00884F1E"/>
    <w:rsid w:val="00885005"/>
    <w:rsid w:val="008867F8"/>
    <w:rsid w:val="0088681B"/>
    <w:rsid w:val="00890FC2"/>
    <w:rsid w:val="008B55CA"/>
    <w:rsid w:val="008C1058"/>
    <w:rsid w:val="008C30CF"/>
    <w:rsid w:val="008C434F"/>
    <w:rsid w:val="008C7193"/>
    <w:rsid w:val="008C751B"/>
    <w:rsid w:val="008D0F3B"/>
    <w:rsid w:val="008D62EC"/>
    <w:rsid w:val="008E04BD"/>
    <w:rsid w:val="008E2024"/>
    <w:rsid w:val="008F11D9"/>
    <w:rsid w:val="008F1BDB"/>
    <w:rsid w:val="008F2AAC"/>
    <w:rsid w:val="008F35BE"/>
    <w:rsid w:val="00900639"/>
    <w:rsid w:val="00902E2A"/>
    <w:rsid w:val="00905CB2"/>
    <w:rsid w:val="00906239"/>
    <w:rsid w:val="0091139F"/>
    <w:rsid w:val="00911635"/>
    <w:rsid w:val="00912F20"/>
    <w:rsid w:val="00916BA9"/>
    <w:rsid w:val="009201AE"/>
    <w:rsid w:val="00923F63"/>
    <w:rsid w:val="009263D1"/>
    <w:rsid w:val="0093016E"/>
    <w:rsid w:val="009305B1"/>
    <w:rsid w:val="00931F80"/>
    <w:rsid w:val="00933ADB"/>
    <w:rsid w:val="00941D33"/>
    <w:rsid w:val="009443D1"/>
    <w:rsid w:val="009447E1"/>
    <w:rsid w:val="00946804"/>
    <w:rsid w:val="00946C6A"/>
    <w:rsid w:val="00947742"/>
    <w:rsid w:val="00951300"/>
    <w:rsid w:val="00954894"/>
    <w:rsid w:val="00956809"/>
    <w:rsid w:val="00962C7B"/>
    <w:rsid w:val="009824DC"/>
    <w:rsid w:val="00985E15"/>
    <w:rsid w:val="00985E32"/>
    <w:rsid w:val="0098605C"/>
    <w:rsid w:val="00993239"/>
    <w:rsid w:val="009956EB"/>
    <w:rsid w:val="009A38C7"/>
    <w:rsid w:val="009A4379"/>
    <w:rsid w:val="009A4816"/>
    <w:rsid w:val="009A72D0"/>
    <w:rsid w:val="009B1089"/>
    <w:rsid w:val="009B4372"/>
    <w:rsid w:val="009B7596"/>
    <w:rsid w:val="009C26C1"/>
    <w:rsid w:val="009C35FD"/>
    <w:rsid w:val="009C66F8"/>
    <w:rsid w:val="009C7197"/>
    <w:rsid w:val="009D1B4D"/>
    <w:rsid w:val="009D261C"/>
    <w:rsid w:val="009E1520"/>
    <w:rsid w:val="009E63E5"/>
    <w:rsid w:val="009E6826"/>
    <w:rsid w:val="009E74D0"/>
    <w:rsid w:val="009F083C"/>
    <w:rsid w:val="00A01BB7"/>
    <w:rsid w:val="00A06E3E"/>
    <w:rsid w:val="00A07D57"/>
    <w:rsid w:val="00A10A38"/>
    <w:rsid w:val="00A1310B"/>
    <w:rsid w:val="00A1374D"/>
    <w:rsid w:val="00A221D3"/>
    <w:rsid w:val="00A23A8C"/>
    <w:rsid w:val="00A25108"/>
    <w:rsid w:val="00A26DF8"/>
    <w:rsid w:val="00A270D4"/>
    <w:rsid w:val="00A27F66"/>
    <w:rsid w:val="00A327FD"/>
    <w:rsid w:val="00A32834"/>
    <w:rsid w:val="00A34ACF"/>
    <w:rsid w:val="00A34FBD"/>
    <w:rsid w:val="00A359C3"/>
    <w:rsid w:val="00A36378"/>
    <w:rsid w:val="00A44208"/>
    <w:rsid w:val="00A46B0A"/>
    <w:rsid w:val="00A50021"/>
    <w:rsid w:val="00A51D01"/>
    <w:rsid w:val="00A538FC"/>
    <w:rsid w:val="00A54F61"/>
    <w:rsid w:val="00A6017C"/>
    <w:rsid w:val="00A62D20"/>
    <w:rsid w:val="00A66D76"/>
    <w:rsid w:val="00A7689F"/>
    <w:rsid w:val="00A771AD"/>
    <w:rsid w:val="00A800B3"/>
    <w:rsid w:val="00A806E2"/>
    <w:rsid w:val="00A81332"/>
    <w:rsid w:val="00A832DA"/>
    <w:rsid w:val="00A86AA5"/>
    <w:rsid w:val="00A92221"/>
    <w:rsid w:val="00AA1423"/>
    <w:rsid w:val="00AA1AB1"/>
    <w:rsid w:val="00AA4BB8"/>
    <w:rsid w:val="00AA56D3"/>
    <w:rsid w:val="00AB3C52"/>
    <w:rsid w:val="00AB3F19"/>
    <w:rsid w:val="00AB71CB"/>
    <w:rsid w:val="00AC104A"/>
    <w:rsid w:val="00AC1B65"/>
    <w:rsid w:val="00AD463A"/>
    <w:rsid w:val="00AD527D"/>
    <w:rsid w:val="00AE34EC"/>
    <w:rsid w:val="00AF4900"/>
    <w:rsid w:val="00AF535D"/>
    <w:rsid w:val="00AF56AD"/>
    <w:rsid w:val="00AF63BF"/>
    <w:rsid w:val="00B039FD"/>
    <w:rsid w:val="00B03F2E"/>
    <w:rsid w:val="00B05517"/>
    <w:rsid w:val="00B05E96"/>
    <w:rsid w:val="00B06791"/>
    <w:rsid w:val="00B07899"/>
    <w:rsid w:val="00B07DA7"/>
    <w:rsid w:val="00B11ABF"/>
    <w:rsid w:val="00B1250C"/>
    <w:rsid w:val="00B12AFC"/>
    <w:rsid w:val="00B12CE5"/>
    <w:rsid w:val="00B14AEA"/>
    <w:rsid w:val="00B31F38"/>
    <w:rsid w:val="00B33453"/>
    <w:rsid w:val="00B36109"/>
    <w:rsid w:val="00B439C9"/>
    <w:rsid w:val="00B47544"/>
    <w:rsid w:val="00B50BCD"/>
    <w:rsid w:val="00B50F9C"/>
    <w:rsid w:val="00B5390E"/>
    <w:rsid w:val="00B57051"/>
    <w:rsid w:val="00B702FC"/>
    <w:rsid w:val="00B73ABF"/>
    <w:rsid w:val="00B753B4"/>
    <w:rsid w:val="00B753CA"/>
    <w:rsid w:val="00B7702A"/>
    <w:rsid w:val="00B81343"/>
    <w:rsid w:val="00B81F95"/>
    <w:rsid w:val="00B836B3"/>
    <w:rsid w:val="00B8412A"/>
    <w:rsid w:val="00B85141"/>
    <w:rsid w:val="00B855CF"/>
    <w:rsid w:val="00B92802"/>
    <w:rsid w:val="00B928B8"/>
    <w:rsid w:val="00B931BC"/>
    <w:rsid w:val="00B9479A"/>
    <w:rsid w:val="00B96B16"/>
    <w:rsid w:val="00B974C9"/>
    <w:rsid w:val="00BA29DE"/>
    <w:rsid w:val="00BB1968"/>
    <w:rsid w:val="00BB2123"/>
    <w:rsid w:val="00BC2099"/>
    <w:rsid w:val="00BC2D36"/>
    <w:rsid w:val="00BC2F5F"/>
    <w:rsid w:val="00BC530B"/>
    <w:rsid w:val="00BC55B1"/>
    <w:rsid w:val="00BC56F2"/>
    <w:rsid w:val="00BC7787"/>
    <w:rsid w:val="00BD06DA"/>
    <w:rsid w:val="00BD1FDE"/>
    <w:rsid w:val="00BD4232"/>
    <w:rsid w:val="00BD4E95"/>
    <w:rsid w:val="00BE05C4"/>
    <w:rsid w:val="00BE1747"/>
    <w:rsid w:val="00BF0B66"/>
    <w:rsid w:val="00C005A1"/>
    <w:rsid w:val="00C028E8"/>
    <w:rsid w:val="00C03440"/>
    <w:rsid w:val="00C03CC3"/>
    <w:rsid w:val="00C0577C"/>
    <w:rsid w:val="00C12355"/>
    <w:rsid w:val="00C13443"/>
    <w:rsid w:val="00C13C98"/>
    <w:rsid w:val="00C15B1D"/>
    <w:rsid w:val="00C16029"/>
    <w:rsid w:val="00C166BA"/>
    <w:rsid w:val="00C17FA3"/>
    <w:rsid w:val="00C24CD5"/>
    <w:rsid w:val="00C27992"/>
    <w:rsid w:val="00C32C9C"/>
    <w:rsid w:val="00C330B6"/>
    <w:rsid w:val="00C3620A"/>
    <w:rsid w:val="00C4055F"/>
    <w:rsid w:val="00C40F00"/>
    <w:rsid w:val="00C43809"/>
    <w:rsid w:val="00C45B8D"/>
    <w:rsid w:val="00C473DA"/>
    <w:rsid w:val="00C4772F"/>
    <w:rsid w:val="00C506C4"/>
    <w:rsid w:val="00C5198B"/>
    <w:rsid w:val="00C562B1"/>
    <w:rsid w:val="00C6008E"/>
    <w:rsid w:val="00C61C37"/>
    <w:rsid w:val="00C63021"/>
    <w:rsid w:val="00C66FF2"/>
    <w:rsid w:val="00C72FDE"/>
    <w:rsid w:val="00C754E7"/>
    <w:rsid w:val="00C76AE5"/>
    <w:rsid w:val="00C800A6"/>
    <w:rsid w:val="00C87A41"/>
    <w:rsid w:val="00C9296B"/>
    <w:rsid w:val="00CA1AD0"/>
    <w:rsid w:val="00CA1E3B"/>
    <w:rsid w:val="00CB229B"/>
    <w:rsid w:val="00CB252E"/>
    <w:rsid w:val="00CB3EFB"/>
    <w:rsid w:val="00CC0624"/>
    <w:rsid w:val="00CC6FA0"/>
    <w:rsid w:val="00CC7FA8"/>
    <w:rsid w:val="00CD0B80"/>
    <w:rsid w:val="00CD7595"/>
    <w:rsid w:val="00CE02A7"/>
    <w:rsid w:val="00CF2312"/>
    <w:rsid w:val="00CF2887"/>
    <w:rsid w:val="00D073CE"/>
    <w:rsid w:val="00D223FE"/>
    <w:rsid w:val="00D26584"/>
    <w:rsid w:val="00D2786D"/>
    <w:rsid w:val="00D33234"/>
    <w:rsid w:val="00D34DFF"/>
    <w:rsid w:val="00D35603"/>
    <w:rsid w:val="00D36746"/>
    <w:rsid w:val="00D4023D"/>
    <w:rsid w:val="00D418F0"/>
    <w:rsid w:val="00D46ECD"/>
    <w:rsid w:val="00D47F90"/>
    <w:rsid w:val="00D512A2"/>
    <w:rsid w:val="00D566AE"/>
    <w:rsid w:val="00D57A8F"/>
    <w:rsid w:val="00D7164A"/>
    <w:rsid w:val="00D730F5"/>
    <w:rsid w:val="00D73FAB"/>
    <w:rsid w:val="00D73FF4"/>
    <w:rsid w:val="00D7627B"/>
    <w:rsid w:val="00D76700"/>
    <w:rsid w:val="00D82CB6"/>
    <w:rsid w:val="00D8450F"/>
    <w:rsid w:val="00D854A9"/>
    <w:rsid w:val="00D8622E"/>
    <w:rsid w:val="00D90717"/>
    <w:rsid w:val="00D90FE9"/>
    <w:rsid w:val="00D94772"/>
    <w:rsid w:val="00D96277"/>
    <w:rsid w:val="00DA4679"/>
    <w:rsid w:val="00DB1645"/>
    <w:rsid w:val="00DB2FC2"/>
    <w:rsid w:val="00DC0BAF"/>
    <w:rsid w:val="00DC1B7E"/>
    <w:rsid w:val="00DC7143"/>
    <w:rsid w:val="00DD0582"/>
    <w:rsid w:val="00DD29CE"/>
    <w:rsid w:val="00DE5B16"/>
    <w:rsid w:val="00DE64D2"/>
    <w:rsid w:val="00DE6E35"/>
    <w:rsid w:val="00DF0F35"/>
    <w:rsid w:val="00DF59BC"/>
    <w:rsid w:val="00DF6A21"/>
    <w:rsid w:val="00DF72B9"/>
    <w:rsid w:val="00DF76D2"/>
    <w:rsid w:val="00DF77D0"/>
    <w:rsid w:val="00E0199D"/>
    <w:rsid w:val="00E05B0C"/>
    <w:rsid w:val="00E13495"/>
    <w:rsid w:val="00E13BEA"/>
    <w:rsid w:val="00E25378"/>
    <w:rsid w:val="00E331A9"/>
    <w:rsid w:val="00E3484D"/>
    <w:rsid w:val="00E34C03"/>
    <w:rsid w:val="00E356FB"/>
    <w:rsid w:val="00E361BA"/>
    <w:rsid w:val="00E37136"/>
    <w:rsid w:val="00E426E2"/>
    <w:rsid w:val="00E44D9D"/>
    <w:rsid w:val="00E4720D"/>
    <w:rsid w:val="00E47E30"/>
    <w:rsid w:val="00E6158A"/>
    <w:rsid w:val="00E63A2D"/>
    <w:rsid w:val="00E66681"/>
    <w:rsid w:val="00E74B79"/>
    <w:rsid w:val="00E75D5C"/>
    <w:rsid w:val="00E77E01"/>
    <w:rsid w:val="00E83CE5"/>
    <w:rsid w:val="00E84A69"/>
    <w:rsid w:val="00E85882"/>
    <w:rsid w:val="00E85B34"/>
    <w:rsid w:val="00E91164"/>
    <w:rsid w:val="00E91877"/>
    <w:rsid w:val="00E950DD"/>
    <w:rsid w:val="00EA51F0"/>
    <w:rsid w:val="00EA53D8"/>
    <w:rsid w:val="00EB2B3C"/>
    <w:rsid w:val="00EB7198"/>
    <w:rsid w:val="00EB7DA5"/>
    <w:rsid w:val="00EC1F88"/>
    <w:rsid w:val="00EC2ED1"/>
    <w:rsid w:val="00EC5613"/>
    <w:rsid w:val="00EC6920"/>
    <w:rsid w:val="00ED2B35"/>
    <w:rsid w:val="00ED450D"/>
    <w:rsid w:val="00ED50DB"/>
    <w:rsid w:val="00ED73BA"/>
    <w:rsid w:val="00ED7AA6"/>
    <w:rsid w:val="00ED7FB5"/>
    <w:rsid w:val="00EE1ED1"/>
    <w:rsid w:val="00EF0699"/>
    <w:rsid w:val="00EF1F16"/>
    <w:rsid w:val="00EF63F5"/>
    <w:rsid w:val="00EF7297"/>
    <w:rsid w:val="00F06878"/>
    <w:rsid w:val="00F118FA"/>
    <w:rsid w:val="00F21AC5"/>
    <w:rsid w:val="00F22153"/>
    <w:rsid w:val="00F221EE"/>
    <w:rsid w:val="00F23EC3"/>
    <w:rsid w:val="00F278C6"/>
    <w:rsid w:val="00F3054C"/>
    <w:rsid w:val="00F36D62"/>
    <w:rsid w:val="00F40314"/>
    <w:rsid w:val="00F42DE2"/>
    <w:rsid w:val="00F470A2"/>
    <w:rsid w:val="00F50BFE"/>
    <w:rsid w:val="00F52A60"/>
    <w:rsid w:val="00F52F6B"/>
    <w:rsid w:val="00F5409A"/>
    <w:rsid w:val="00F57891"/>
    <w:rsid w:val="00F616FD"/>
    <w:rsid w:val="00F65E80"/>
    <w:rsid w:val="00F71F9E"/>
    <w:rsid w:val="00F7221E"/>
    <w:rsid w:val="00F72E0E"/>
    <w:rsid w:val="00F73076"/>
    <w:rsid w:val="00F74F22"/>
    <w:rsid w:val="00F754E0"/>
    <w:rsid w:val="00F76A9B"/>
    <w:rsid w:val="00F76ED0"/>
    <w:rsid w:val="00FA68BA"/>
    <w:rsid w:val="00FB168F"/>
    <w:rsid w:val="00FB2AE8"/>
    <w:rsid w:val="00FB3347"/>
    <w:rsid w:val="00FB6108"/>
    <w:rsid w:val="00FB67E7"/>
    <w:rsid w:val="00FC034D"/>
    <w:rsid w:val="00FC2806"/>
    <w:rsid w:val="00FC379B"/>
    <w:rsid w:val="00FC4C2E"/>
    <w:rsid w:val="00FC6BA4"/>
    <w:rsid w:val="00FD0BD5"/>
    <w:rsid w:val="00FD10F5"/>
    <w:rsid w:val="00FD11F4"/>
    <w:rsid w:val="00FD1D47"/>
    <w:rsid w:val="00FD2FC0"/>
    <w:rsid w:val="00FD45C0"/>
    <w:rsid w:val="00FD5C1E"/>
    <w:rsid w:val="00FF1DC5"/>
    <w:rsid w:val="00FF2D1F"/>
    <w:rsid w:val="00FF4203"/>
    <w:rsid w:val="00FF7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4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38"/>
  </w:style>
  <w:style w:type="paragraph" w:styleId="Heading1">
    <w:name w:val="heading 1"/>
    <w:basedOn w:val="Normal"/>
    <w:next w:val="Normal"/>
    <w:link w:val="Heading1Char"/>
    <w:uiPriority w:val="9"/>
    <w:qFormat/>
    <w:rsid w:val="001B7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78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78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78F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78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8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78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78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B78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78F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B7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F5"/>
    <w:rPr>
      <w:rFonts w:ascii="Tahoma" w:hAnsi="Tahoma" w:cs="Tahoma"/>
      <w:sz w:val="16"/>
      <w:szCs w:val="16"/>
    </w:rPr>
  </w:style>
  <w:style w:type="character" w:styleId="Hyperlink">
    <w:name w:val="Hyperlink"/>
    <w:basedOn w:val="DefaultParagraphFont"/>
    <w:uiPriority w:val="99"/>
    <w:unhideWhenUsed/>
    <w:rsid w:val="001B78F5"/>
    <w:rPr>
      <w:color w:val="0000FF" w:themeColor="hyperlink"/>
      <w:u w:val="single"/>
    </w:rPr>
  </w:style>
  <w:style w:type="paragraph" w:styleId="Header">
    <w:name w:val="header"/>
    <w:basedOn w:val="Normal"/>
    <w:link w:val="HeaderChar"/>
    <w:uiPriority w:val="99"/>
    <w:unhideWhenUsed/>
    <w:rsid w:val="001B7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F5"/>
  </w:style>
  <w:style w:type="paragraph" w:styleId="Footer">
    <w:name w:val="footer"/>
    <w:basedOn w:val="Normal"/>
    <w:link w:val="FooterChar"/>
    <w:uiPriority w:val="99"/>
    <w:unhideWhenUsed/>
    <w:rsid w:val="001B7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F5"/>
  </w:style>
  <w:style w:type="character" w:customStyle="1" w:styleId="Style6">
    <w:name w:val="Style6"/>
    <w:uiPriority w:val="1"/>
    <w:qFormat/>
    <w:rsid w:val="001B78F5"/>
    <w:rPr>
      <w:rFonts w:ascii="Arial" w:hAnsi="Arial"/>
      <w:b/>
      <w:color w:val="0000FF"/>
      <w:sz w:val="18"/>
    </w:rPr>
  </w:style>
  <w:style w:type="table" w:styleId="TableGrid">
    <w:name w:val="Table Grid"/>
    <w:basedOn w:val="TableNormal"/>
    <w:rsid w:val="001B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8F5"/>
    <w:pPr>
      <w:ind w:left="720"/>
      <w:contextualSpacing/>
    </w:pPr>
  </w:style>
  <w:style w:type="paragraph" w:customStyle="1" w:styleId="TableText">
    <w:name w:val="TableText"/>
    <w:basedOn w:val="Normal"/>
    <w:rsid w:val="001B78F5"/>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1B78F5"/>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Bullets1">
    <w:name w:val="Bullets1"/>
    <w:basedOn w:val="Normal"/>
    <w:rsid w:val="001B78F5"/>
    <w:pPr>
      <w:numPr>
        <w:numId w:val="1"/>
      </w:numPr>
      <w:tabs>
        <w:tab w:val="left" w:pos="360"/>
      </w:tabs>
      <w:spacing w:after="0" w:line="280" w:lineRule="exact"/>
      <w:ind w:left="360"/>
      <w:jc w:val="both"/>
    </w:pPr>
    <w:rPr>
      <w:rFonts w:ascii="Arial" w:eastAsia="Times New Roman" w:hAnsi="Arial" w:cs="Times New Roman"/>
      <w:sz w:val="20"/>
      <w:szCs w:val="24"/>
      <w:lang w:bidi="gu-IN"/>
    </w:rPr>
  </w:style>
  <w:style w:type="paragraph" w:styleId="FootnoteText">
    <w:name w:val="footnote text"/>
    <w:basedOn w:val="Normal"/>
    <w:link w:val="FootnoteTextChar"/>
    <w:rsid w:val="001B78F5"/>
    <w:pPr>
      <w:spacing w:after="0" w:line="280" w:lineRule="exact"/>
      <w:jc w:val="both"/>
    </w:pPr>
    <w:rPr>
      <w:rFonts w:ascii="Arial" w:eastAsia="Times New Roman" w:hAnsi="Arial" w:cs="Times New Roman"/>
      <w:sz w:val="20"/>
      <w:szCs w:val="20"/>
      <w:lang w:val="en-US" w:bidi="gu-IN"/>
    </w:rPr>
  </w:style>
  <w:style w:type="character" w:customStyle="1" w:styleId="FootnoteTextChar">
    <w:name w:val="Footnote Text Char"/>
    <w:basedOn w:val="DefaultParagraphFont"/>
    <w:link w:val="FootnoteText"/>
    <w:rsid w:val="001B78F5"/>
    <w:rPr>
      <w:rFonts w:ascii="Arial" w:eastAsia="Times New Roman" w:hAnsi="Arial" w:cs="Times New Roman"/>
      <w:sz w:val="20"/>
      <w:szCs w:val="20"/>
      <w:lang w:val="en-US" w:bidi="gu-IN"/>
    </w:rPr>
  </w:style>
  <w:style w:type="character" w:styleId="FootnoteReference">
    <w:name w:val="footnote reference"/>
    <w:rsid w:val="001B78F5"/>
    <w:rPr>
      <w:vertAlign w:val="superscript"/>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1B78F5"/>
    <w:rPr>
      <w:rFonts w:ascii="Arial Narrow" w:eastAsia="Times New Roman" w:hAnsi="Arial Narrow" w:cs="Tahoma"/>
      <w:b/>
      <w:sz w:val="20"/>
      <w:szCs w:val="20"/>
      <w:lang w:val="en-GB" w:eastAsia="ja-JP"/>
    </w:rPr>
  </w:style>
  <w:style w:type="paragraph" w:styleId="NormalWeb">
    <w:name w:val="Normal (Web)"/>
    <w:basedOn w:val="Normal"/>
    <w:uiPriority w:val="99"/>
    <w:unhideWhenUsed/>
    <w:rsid w:val="001B78F5"/>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Spacing">
    <w:name w:val="No Spacing"/>
    <w:uiPriority w:val="1"/>
    <w:qFormat/>
    <w:rsid w:val="001B78F5"/>
    <w:pPr>
      <w:spacing w:after="0" w:line="240" w:lineRule="auto"/>
    </w:pPr>
  </w:style>
  <w:style w:type="paragraph" w:customStyle="1" w:styleId="TableText0">
    <w:name w:val="Table Text"/>
    <w:basedOn w:val="Normal"/>
    <w:link w:val="TableTextChar"/>
    <w:qFormat/>
    <w:rsid w:val="001B78F5"/>
    <w:pPr>
      <w:spacing w:after="0" w:line="240" w:lineRule="auto"/>
    </w:pPr>
    <w:rPr>
      <w:rFonts w:ascii="Calibri" w:hAnsi="Calibri" w:cs="Arial"/>
      <w:sz w:val="20"/>
      <w:szCs w:val="20"/>
      <w:lang w:val="en-GB" w:eastAsia="ja-JP"/>
    </w:rPr>
  </w:style>
  <w:style w:type="paragraph" w:customStyle="1" w:styleId="Caption2">
    <w:name w:val="Caption 2"/>
    <w:basedOn w:val="Normal"/>
    <w:next w:val="Normal"/>
    <w:link w:val="Caption2Char"/>
    <w:qFormat/>
    <w:rsid w:val="001B78F5"/>
    <w:pPr>
      <w:spacing w:after="0"/>
    </w:pPr>
    <w:rPr>
      <w:b/>
    </w:rPr>
  </w:style>
  <w:style w:type="character" w:customStyle="1" w:styleId="TableTextChar">
    <w:name w:val="Table Text Char"/>
    <w:basedOn w:val="DefaultParagraphFont"/>
    <w:link w:val="TableText0"/>
    <w:rsid w:val="001B78F5"/>
    <w:rPr>
      <w:rFonts w:ascii="Calibri" w:hAnsi="Calibri" w:cs="Arial"/>
      <w:sz w:val="20"/>
      <w:szCs w:val="20"/>
      <w:lang w:val="en-GB" w:eastAsia="ja-JP"/>
    </w:rPr>
  </w:style>
  <w:style w:type="paragraph" w:customStyle="1" w:styleId="Tablefooter">
    <w:name w:val="Table footer"/>
    <w:basedOn w:val="Normal"/>
    <w:link w:val="TablefooterChar"/>
    <w:qFormat/>
    <w:rsid w:val="001B78F5"/>
    <w:pPr>
      <w:spacing w:after="0"/>
    </w:pPr>
    <w:rPr>
      <w:rFonts w:cs="Arial"/>
      <w:sz w:val="16"/>
      <w:szCs w:val="16"/>
    </w:rPr>
  </w:style>
  <w:style w:type="character" w:customStyle="1" w:styleId="Caption2Char">
    <w:name w:val="Caption 2 Char"/>
    <w:basedOn w:val="DefaultParagraphFont"/>
    <w:link w:val="Caption2"/>
    <w:rsid w:val="001B78F5"/>
    <w:rPr>
      <w:b/>
    </w:rPr>
  </w:style>
  <w:style w:type="character" w:customStyle="1" w:styleId="TablefooterChar">
    <w:name w:val="Table footer Char"/>
    <w:basedOn w:val="DefaultParagraphFont"/>
    <w:link w:val="Tablefooter"/>
    <w:rsid w:val="001B78F5"/>
    <w:rPr>
      <w:rFonts w:cs="Arial"/>
      <w:sz w:val="16"/>
      <w:szCs w:val="16"/>
    </w:rPr>
  </w:style>
  <w:style w:type="character" w:styleId="CommentReference">
    <w:name w:val="annotation reference"/>
    <w:basedOn w:val="DefaultParagraphFont"/>
    <w:uiPriority w:val="99"/>
    <w:semiHidden/>
    <w:unhideWhenUsed/>
    <w:rsid w:val="001B78F5"/>
    <w:rPr>
      <w:sz w:val="16"/>
      <w:szCs w:val="16"/>
    </w:rPr>
  </w:style>
  <w:style w:type="paragraph" w:styleId="CommentText">
    <w:name w:val="annotation text"/>
    <w:basedOn w:val="Normal"/>
    <w:link w:val="CommentTextChar"/>
    <w:uiPriority w:val="99"/>
    <w:unhideWhenUsed/>
    <w:rsid w:val="001B78F5"/>
    <w:pPr>
      <w:spacing w:line="240" w:lineRule="auto"/>
    </w:pPr>
    <w:rPr>
      <w:sz w:val="20"/>
      <w:szCs w:val="20"/>
    </w:rPr>
  </w:style>
  <w:style w:type="character" w:customStyle="1" w:styleId="CommentTextChar">
    <w:name w:val="Comment Text Char"/>
    <w:basedOn w:val="DefaultParagraphFont"/>
    <w:link w:val="CommentText"/>
    <w:uiPriority w:val="99"/>
    <w:rsid w:val="001B78F5"/>
    <w:rPr>
      <w:sz w:val="20"/>
      <w:szCs w:val="20"/>
    </w:rPr>
  </w:style>
  <w:style w:type="paragraph" w:styleId="CommentSubject">
    <w:name w:val="annotation subject"/>
    <w:basedOn w:val="CommentText"/>
    <w:next w:val="CommentText"/>
    <w:link w:val="CommentSubjectChar"/>
    <w:uiPriority w:val="99"/>
    <w:semiHidden/>
    <w:unhideWhenUsed/>
    <w:rsid w:val="001B78F5"/>
    <w:rPr>
      <w:b/>
      <w:bCs/>
    </w:rPr>
  </w:style>
  <w:style w:type="character" w:customStyle="1" w:styleId="CommentSubjectChar">
    <w:name w:val="Comment Subject Char"/>
    <w:basedOn w:val="CommentTextChar"/>
    <w:link w:val="CommentSubject"/>
    <w:uiPriority w:val="99"/>
    <w:semiHidden/>
    <w:rsid w:val="001B78F5"/>
    <w:rPr>
      <w:b/>
      <w:bCs/>
      <w:sz w:val="20"/>
      <w:szCs w:val="20"/>
    </w:rPr>
  </w:style>
  <w:style w:type="paragraph" w:customStyle="1" w:styleId="Style1">
    <w:name w:val="Style1"/>
    <w:basedOn w:val="FootnoteText"/>
    <w:link w:val="Style1Char"/>
    <w:qFormat/>
    <w:rsid w:val="001B78F5"/>
    <w:rPr>
      <w:rFonts w:ascii="Calibri" w:hAnsi="Calibri"/>
      <w:sz w:val="16"/>
    </w:rPr>
  </w:style>
  <w:style w:type="paragraph" w:customStyle="1" w:styleId="Footnote">
    <w:name w:val="Footnote"/>
    <w:basedOn w:val="FootnoteText"/>
    <w:link w:val="FootnoteChar"/>
    <w:qFormat/>
    <w:rsid w:val="001B78F5"/>
    <w:rPr>
      <w:rFonts w:ascii="Calibri" w:hAnsi="Calibri"/>
    </w:rPr>
  </w:style>
  <w:style w:type="character" w:customStyle="1" w:styleId="Style1Char">
    <w:name w:val="Style1 Char"/>
    <w:basedOn w:val="FootnoteTextChar"/>
    <w:link w:val="Style1"/>
    <w:rsid w:val="001B78F5"/>
    <w:rPr>
      <w:rFonts w:ascii="Calibri" w:eastAsia="Times New Roman" w:hAnsi="Calibri" w:cs="Times New Roman"/>
      <w:sz w:val="16"/>
      <w:szCs w:val="20"/>
      <w:lang w:val="en-US" w:bidi="gu-IN"/>
    </w:rPr>
  </w:style>
  <w:style w:type="character" w:customStyle="1" w:styleId="FootnoteChar">
    <w:name w:val="Footnote Char"/>
    <w:basedOn w:val="FootnoteTextChar"/>
    <w:link w:val="Footnote"/>
    <w:rsid w:val="001B78F5"/>
    <w:rPr>
      <w:rFonts w:ascii="Calibri" w:eastAsia="Times New Roman" w:hAnsi="Calibri" w:cs="Times New Roman"/>
      <w:sz w:val="20"/>
      <w:szCs w:val="20"/>
      <w:lang w:val="en-US" w:bidi="gu-IN"/>
    </w:rPr>
  </w:style>
  <w:style w:type="character" w:styleId="FollowedHyperlink">
    <w:name w:val="FollowedHyperlink"/>
    <w:basedOn w:val="DefaultParagraphFont"/>
    <w:uiPriority w:val="99"/>
    <w:semiHidden/>
    <w:unhideWhenUsed/>
    <w:rsid w:val="001B78F5"/>
    <w:rPr>
      <w:color w:val="800080" w:themeColor="followedHyperlink"/>
      <w:u w:val="single"/>
    </w:rPr>
  </w:style>
  <w:style w:type="character" w:styleId="Emphasis">
    <w:name w:val="Emphasis"/>
    <w:basedOn w:val="DefaultParagraphFont"/>
    <w:uiPriority w:val="20"/>
    <w:qFormat/>
    <w:rsid w:val="001B78F5"/>
    <w:rPr>
      <w:i/>
      <w:iCs/>
    </w:rPr>
  </w:style>
  <w:style w:type="paragraph" w:styleId="BodyText">
    <w:name w:val="Body Text"/>
    <w:link w:val="BodyTextChar"/>
    <w:qFormat/>
    <w:rsid w:val="001B78F5"/>
    <w:pPr>
      <w:spacing w:after="360" w:line="36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1B78F5"/>
    <w:rPr>
      <w:rFonts w:ascii="Arial" w:eastAsia="Times New Roman" w:hAnsi="Arial" w:cs="Times New Roman"/>
      <w:sz w:val="20"/>
      <w:szCs w:val="24"/>
      <w:lang w:val="en-US"/>
    </w:rPr>
  </w:style>
  <w:style w:type="paragraph" w:styleId="Revision">
    <w:name w:val="Revision"/>
    <w:hidden/>
    <w:uiPriority w:val="99"/>
    <w:semiHidden/>
    <w:rsid w:val="0018747C"/>
    <w:pPr>
      <w:spacing w:after="0" w:line="240" w:lineRule="auto"/>
    </w:pPr>
  </w:style>
  <w:style w:type="character" w:customStyle="1" w:styleId="apple-converted-space">
    <w:name w:val="apple-converted-space"/>
    <w:basedOn w:val="DefaultParagraphFont"/>
    <w:rsid w:val="003478F7"/>
  </w:style>
  <w:style w:type="paragraph" w:styleId="EndnoteText">
    <w:name w:val="endnote text"/>
    <w:basedOn w:val="Normal"/>
    <w:link w:val="EndnoteTextChar"/>
    <w:uiPriority w:val="99"/>
    <w:semiHidden/>
    <w:unhideWhenUsed/>
    <w:rsid w:val="00E13B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BEA"/>
    <w:rPr>
      <w:sz w:val="20"/>
      <w:szCs w:val="20"/>
    </w:rPr>
  </w:style>
  <w:style w:type="character" w:styleId="EndnoteReference">
    <w:name w:val="endnote reference"/>
    <w:basedOn w:val="DefaultParagraphFont"/>
    <w:uiPriority w:val="99"/>
    <w:semiHidden/>
    <w:unhideWhenUsed/>
    <w:rsid w:val="00E13B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38"/>
  </w:style>
  <w:style w:type="paragraph" w:styleId="Heading1">
    <w:name w:val="heading 1"/>
    <w:basedOn w:val="Normal"/>
    <w:next w:val="Normal"/>
    <w:link w:val="Heading1Char"/>
    <w:uiPriority w:val="9"/>
    <w:qFormat/>
    <w:rsid w:val="001B7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78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78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78F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78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8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78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78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B78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78F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B7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F5"/>
    <w:rPr>
      <w:rFonts w:ascii="Tahoma" w:hAnsi="Tahoma" w:cs="Tahoma"/>
      <w:sz w:val="16"/>
      <w:szCs w:val="16"/>
    </w:rPr>
  </w:style>
  <w:style w:type="character" w:styleId="Hyperlink">
    <w:name w:val="Hyperlink"/>
    <w:basedOn w:val="DefaultParagraphFont"/>
    <w:uiPriority w:val="99"/>
    <w:unhideWhenUsed/>
    <w:rsid w:val="001B78F5"/>
    <w:rPr>
      <w:color w:val="0000FF" w:themeColor="hyperlink"/>
      <w:u w:val="single"/>
    </w:rPr>
  </w:style>
  <w:style w:type="paragraph" w:styleId="Header">
    <w:name w:val="header"/>
    <w:basedOn w:val="Normal"/>
    <w:link w:val="HeaderChar"/>
    <w:uiPriority w:val="99"/>
    <w:unhideWhenUsed/>
    <w:rsid w:val="001B7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F5"/>
  </w:style>
  <w:style w:type="paragraph" w:styleId="Footer">
    <w:name w:val="footer"/>
    <w:basedOn w:val="Normal"/>
    <w:link w:val="FooterChar"/>
    <w:uiPriority w:val="99"/>
    <w:unhideWhenUsed/>
    <w:rsid w:val="001B7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F5"/>
  </w:style>
  <w:style w:type="character" w:customStyle="1" w:styleId="Style6">
    <w:name w:val="Style6"/>
    <w:uiPriority w:val="1"/>
    <w:qFormat/>
    <w:rsid w:val="001B78F5"/>
    <w:rPr>
      <w:rFonts w:ascii="Arial" w:hAnsi="Arial"/>
      <w:b/>
      <w:color w:val="0000FF"/>
      <w:sz w:val="18"/>
    </w:rPr>
  </w:style>
  <w:style w:type="table" w:styleId="TableGrid">
    <w:name w:val="Table Grid"/>
    <w:basedOn w:val="TableNormal"/>
    <w:rsid w:val="001B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8F5"/>
    <w:pPr>
      <w:ind w:left="720"/>
      <w:contextualSpacing/>
    </w:pPr>
  </w:style>
  <w:style w:type="paragraph" w:customStyle="1" w:styleId="TableText">
    <w:name w:val="TableText"/>
    <w:basedOn w:val="Normal"/>
    <w:rsid w:val="001B78F5"/>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1B78F5"/>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Bullets1">
    <w:name w:val="Bullets1"/>
    <w:basedOn w:val="Normal"/>
    <w:rsid w:val="001B78F5"/>
    <w:pPr>
      <w:numPr>
        <w:numId w:val="1"/>
      </w:numPr>
      <w:tabs>
        <w:tab w:val="left" w:pos="360"/>
      </w:tabs>
      <w:spacing w:after="0" w:line="280" w:lineRule="exact"/>
      <w:ind w:left="360"/>
      <w:jc w:val="both"/>
    </w:pPr>
    <w:rPr>
      <w:rFonts w:ascii="Arial" w:eastAsia="Times New Roman" w:hAnsi="Arial" w:cs="Times New Roman"/>
      <w:sz w:val="20"/>
      <w:szCs w:val="24"/>
      <w:lang w:bidi="gu-IN"/>
    </w:rPr>
  </w:style>
  <w:style w:type="paragraph" w:styleId="FootnoteText">
    <w:name w:val="footnote text"/>
    <w:basedOn w:val="Normal"/>
    <w:link w:val="FootnoteTextChar"/>
    <w:rsid w:val="001B78F5"/>
    <w:pPr>
      <w:spacing w:after="0" w:line="280" w:lineRule="exact"/>
      <w:jc w:val="both"/>
    </w:pPr>
    <w:rPr>
      <w:rFonts w:ascii="Arial" w:eastAsia="Times New Roman" w:hAnsi="Arial" w:cs="Times New Roman"/>
      <w:sz w:val="20"/>
      <w:szCs w:val="20"/>
      <w:lang w:val="en-US" w:bidi="gu-IN"/>
    </w:rPr>
  </w:style>
  <w:style w:type="character" w:customStyle="1" w:styleId="FootnoteTextChar">
    <w:name w:val="Footnote Text Char"/>
    <w:basedOn w:val="DefaultParagraphFont"/>
    <w:link w:val="FootnoteText"/>
    <w:rsid w:val="001B78F5"/>
    <w:rPr>
      <w:rFonts w:ascii="Arial" w:eastAsia="Times New Roman" w:hAnsi="Arial" w:cs="Times New Roman"/>
      <w:sz w:val="20"/>
      <w:szCs w:val="20"/>
      <w:lang w:val="en-US" w:bidi="gu-IN"/>
    </w:rPr>
  </w:style>
  <w:style w:type="character" w:styleId="FootnoteReference">
    <w:name w:val="footnote reference"/>
    <w:rsid w:val="001B78F5"/>
    <w:rPr>
      <w:vertAlign w:val="superscript"/>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1B78F5"/>
    <w:rPr>
      <w:rFonts w:ascii="Arial Narrow" w:eastAsia="Times New Roman" w:hAnsi="Arial Narrow" w:cs="Tahoma"/>
      <w:b/>
      <w:sz w:val="20"/>
      <w:szCs w:val="20"/>
      <w:lang w:val="en-GB" w:eastAsia="ja-JP"/>
    </w:rPr>
  </w:style>
  <w:style w:type="paragraph" w:styleId="NormalWeb">
    <w:name w:val="Normal (Web)"/>
    <w:basedOn w:val="Normal"/>
    <w:uiPriority w:val="99"/>
    <w:unhideWhenUsed/>
    <w:rsid w:val="001B78F5"/>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Spacing">
    <w:name w:val="No Spacing"/>
    <w:uiPriority w:val="1"/>
    <w:qFormat/>
    <w:rsid w:val="001B78F5"/>
    <w:pPr>
      <w:spacing w:after="0" w:line="240" w:lineRule="auto"/>
    </w:pPr>
  </w:style>
  <w:style w:type="paragraph" w:customStyle="1" w:styleId="TableText0">
    <w:name w:val="Table Text"/>
    <w:basedOn w:val="Normal"/>
    <w:link w:val="TableTextChar"/>
    <w:qFormat/>
    <w:rsid w:val="001B78F5"/>
    <w:pPr>
      <w:spacing w:after="0" w:line="240" w:lineRule="auto"/>
    </w:pPr>
    <w:rPr>
      <w:rFonts w:ascii="Calibri" w:hAnsi="Calibri" w:cs="Arial"/>
      <w:sz w:val="20"/>
      <w:szCs w:val="20"/>
      <w:lang w:val="en-GB" w:eastAsia="ja-JP"/>
    </w:rPr>
  </w:style>
  <w:style w:type="paragraph" w:customStyle="1" w:styleId="Caption2">
    <w:name w:val="Caption 2"/>
    <w:basedOn w:val="Normal"/>
    <w:next w:val="Normal"/>
    <w:link w:val="Caption2Char"/>
    <w:qFormat/>
    <w:rsid w:val="001B78F5"/>
    <w:pPr>
      <w:spacing w:after="0"/>
    </w:pPr>
    <w:rPr>
      <w:b/>
    </w:rPr>
  </w:style>
  <w:style w:type="character" w:customStyle="1" w:styleId="TableTextChar">
    <w:name w:val="Table Text Char"/>
    <w:basedOn w:val="DefaultParagraphFont"/>
    <w:link w:val="TableText0"/>
    <w:rsid w:val="001B78F5"/>
    <w:rPr>
      <w:rFonts w:ascii="Calibri" w:hAnsi="Calibri" w:cs="Arial"/>
      <w:sz w:val="20"/>
      <w:szCs w:val="20"/>
      <w:lang w:val="en-GB" w:eastAsia="ja-JP"/>
    </w:rPr>
  </w:style>
  <w:style w:type="paragraph" w:customStyle="1" w:styleId="Tablefooter">
    <w:name w:val="Table footer"/>
    <w:basedOn w:val="Normal"/>
    <w:link w:val="TablefooterChar"/>
    <w:qFormat/>
    <w:rsid w:val="001B78F5"/>
    <w:pPr>
      <w:spacing w:after="0"/>
    </w:pPr>
    <w:rPr>
      <w:rFonts w:cs="Arial"/>
      <w:sz w:val="16"/>
      <w:szCs w:val="16"/>
    </w:rPr>
  </w:style>
  <w:style w:type="character" w:customStyle="1" w:styleId="Caption2Char">
    <w:name w:val="Caption 2 Char"/>
    <w:basedOn w:val="DefaultParagraphFont"/>
    <w:link w:val="Caption2"/>
    <w:rsid w:val="001B78F5"/>
    <w:rPr>
      <w:b/>
    </w:rPr>
  </w:style>
  <w:style w:type="character" w:customStyle="1" w:styleId="TablefooterChar">
    <w:name w:val="Table footer Char"/>
    <w:basedOn w:val="DefaultParagraphFont"/>
    <w:link w:val="Tablefooter"/>
    <w:rsid w:val="001B78F5"/>
    <w:rPr>
      <w:rFonts w:cs="Arial"/>
      <w:sz w:val="16"/>
      <w:szCs w:val="16"/>
    </w:rPr>
  </w:style>
  <w:style w:type="character" w:styleId="CommentReference">
    <w:name w:val="annotation reference"/>
    <w:basedOn w:val="DefaultParagraphFont"/>
    <w:uiPriority w:val="99"/>
    <w:semiHidden/>
    <w:unhideWhenUsed/>
    <w:rsid w:val="001B78F5"/>
    <w:rPr>
      <w:sz w:val="16"/>
      <w:szCs w:val="16"/>
    </w:rPr>
  </w:style>
  <w:style w:type="paragraph" w:styleId="CommentText">
    <w:name w:val="annotation text"/>
    <w:basedOn w:val="Normal"/>
    <w:link w:val="CommentTextChar"/>
    <w:uiPriority w:val="99"/>
    <w:unhideWhenUsed/>
    <w:rsid w:val="001B78F5"/>
    <w:pPr>
      <w:spacing w:line="240" w:lineRule="auto"/>
    </w:pPr>
    <w:rPr>
      <w:sz w:val="20"/>
      <w:szCs w:val="20"/>
    </w:rPr>
  </w:style>
  <w:style w:type="character" w:customStyle="1" w:styleId="CommentTextChar">
    <w:name w:val="Comment Text Char"/>
    <w:basedOn w:val="DefaultParagraphFont"/>
    <w:link w:val="CommentText"/>
    <w:uiPriority w:val="99"/>
    <w:rsid w:val="001B78F5"/>
    <w:rPr>
      <w:sz w:val="20"/>
      <w:szCs w:val="20"/>
    </w:rPr>
  </w:style>
  <w:style w:type="paragraph" w:styleId="CommentSubject">
    <w:name w:val="annotation subject"/>
    <w:basedOn w:val="CommentText"/>
    <w:next w:val="CommentText"/>
    <w:link w:val="CommentSubjectChar"/>
    <w:uiPriority w:val="99"/>
    <w:semiHidden/>
    <w:unhideWhenUsed/>
    <w:rsid w:val="001B78F5"/>
    <w:rPr>
      <w:b/>
      <w:bCs/>
    </w:rPr>
  </w:style>
  <w:style w:type="character" w:customStyle="1" w:styleId="CommentSubjectChar">
    <w:name w:val="Comment Subject Char"/>
    <w:basedOn w:val="CommentTextChar"/>
    <w:link w:val="CommentSubject"/>
    <w:uiPriority w:val="99"/>
    <w:semiHidden/>
    <w:rsid w:val="001B78F5"/>
    <w:rPr>
      <w:b/>
      <w:bCs/>
      <w:sz w:val="20"/>
      <w:szCs w:val="20"/>
    </w:rPr>
  </w:style>
  <w:style w:type="paragraph" w:customStyle="1" w:styleId="Style1">
    <w:name w:val="Style1"/>
    <w:basedOn w:val="FootnoteText"/>
    <w:link w:val="Style1Char"/>
    <w:qFormat/>
    <w:rsid w:val="001B78F5"/>
    <w:rPr>
      <w:rFonts w:ascii="Calibri" w:hAnsi="Calibri"/>
      <w:sz w:val="16"/>
    </w:rPr>
  </w:style>
  <w:style w:type="paragraph" w:customStyle="1" w:styleId="Footnote">
    <w:name w:val="Footnote"/>
    <w:basedOn w:val="FootnoteText"/>
    <w:link w:val="FootnoteChar"/>
    <w:qFormat/>
    <w:rsid w:val="001B78F5"/>
    <w:rPr>
      <w:rFonts w:ascii="Calibri" w:hAnsi="Calibri"/>
    </w:rPr>
  </w:style>
  <w:style w:type="character" w:customStyle="1" w:styleId="Style1Char">
    <w:name w:val="Style1 Char"/>
    <w:basedOn w:val="FootnoteTextChar"/>
    <w:link w:val="Style1"/>
    <w:rsid w:val="001B78F5"/>
    <w:rPr>
      <w:rFonts w:ascii="Calibri" w:eastAsia="Times New Roman" w:hAnsi="Calibri" w:cs="Times New Roman"/>
      <w:sz w:val="16"/>
      <w:szCs w:val="20"/>
      <w:lang w:val="en-US" w:bidi="gu-IN"/>
    </w:rPr>
  </w:style>
  <w:style w:type="character" w:customStyle="1" w:styleId="FootnoteChar">
    <w:name w:val="Footnote Char"/>
    <w:basedOn w:val="FootnoteTextChar"/>
    <w:link w:val="Footnote"/>
    <w:rsid w:val="001B78F5"/>
    <w:rPr>
      <w:rFonts w:ascii="Calibri" w:eastAsia="Times New Roman" w:hAnsi="Calibri" w:cs="Times New Roman"/>
      <w:sz w:val="20"/>
      <w:szCs w:val="20"/>
      <w:lang w:val="en-US" w:bidi="gu-IN"/>
    </w:rPr>
  </w:style>
  <w:style w:type="character" w:styleId="FollowedHyperlink">
    <w:name w:val="FollowedHyperlink"/>
    <w:basedOn w:val="DefaultParagraphFont"/>
    <w:uiPriority w:val="99"/>
    <w:semiHidden/>
    <w:unhideWhenUsed/>
    <w:rsid w:val="001B78F5"/>
    <w:rPr>
      <w:color w:val="800080" w:themeColor="followedHyperlink"/>
      <w:u w:val="single"/>
    </w:rPr>
  </w:style>
  <w:style w:type="character" w:styleId="Emphasis">
    <w:name w:val="Emphasis"/>
    <w:basedOn w:val="DefaultParagraphFont"/>
    <w:uiPriority w:val="20"/>
    <w:qFormat/>
    <w:rsid w:val="001B78F5"/>
    <w:rPr>
      <w:i/>
      <w:iCs/>
    </w:rPr>
  </w:style>
  <w:style w:type="paragraph" w:styleId="BodyText">
    <w:name w:val="Body Text"/>
    <w:link w:val="BodyTextChar"/>
    <w:qFormat/>
    <w:rsid w:val="001B78F5"/>
    <w:pPr>
      <w:spacing w:after="360" w:line="36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1B78F5"/>
    <w:rPr>
      <w:rFonts w:ascii="Arial" w:eastAsia="Times New Roman" w:hAnsi="Arial" w:cs="Times New Roman"/>
      <w:sz w:val="20"/>
      <w:szCs w:val="24"/>
      <w:lang w:val="en-US"/>
    </w:rPr>
  </w:style>
  <w:style w:type="paragraph" w:styleId="Revision">
    <w:name w:val="Revision"/>
    <w:hidden/>
    <w:uiPriority w:val="99"/>
    <w:semiHidden/>
    <w:rsid w:val="0018747C"/>
    <w:pPr>
      <w:spacing w:after="0" w:line="240" w:lineRule="auto"/>
    </w:pPr>
  </w:style>
  <w:style w:type="character" w:customStyle="1" w:styleId="apple-converted-space">
    <w:name w:val="apple-converted-space"/>
    <w:basedOn w:val="DefaultParagraphFont"/>
    <w:rsid w:val="003478F7"/>
  </w:style>
  <w:style w:type="paragraph" w:styleId="EndnoteText">
    <w:name w:val="endnote text"/>
    <w:basedOn w:val="Normal"/>
    <w:link w:val="EndnoteTextChar"/>
    <w:uiPriority w:val="99"/>
    <w:semiHidden/>
    <w:unhideWhenUsed/>
    <w:rsid w:val="00E13B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BEA"/>
    <w:rPr>
      <w:sz w:val="20"/>
      <w:szCs w:val="20"/>
    </w:rPr>
  </w:style>
  <w:style w:type="character" w:styleId="EndnoteReference">
    <w:name w:val="endnote reference"/>
    <w:basedOn w:val="DefaultParagraphFont"/>
    <w:uiPriority w:val="99"/>
    <w:semiHidden/>
    <w:unhideWhenUsed/>
    <w:rsid w:val="00E13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7318">
      <w:bodyDiv w:val="1"/>
      <w:marLeft w:val="0"/>
      <w:marRight w:val="0"/>
      <w:marTop w:val="0"/>
      <w:marBottom w:val="0"/>
      <w:divBdr>
        <w:top w:val="none" w:sz="0" w:space="0" w:color="auto"/>
        <w:left w:val="none" w:sz="0" w:space="0" w:color="auto"/>
        <w:bottom w:val="none" w:sz="0" w:space="0" w:color="auto"/>
        <w:right w:val="none" w:sz="0" w:space="0" w:color="auto"/>
      </w:divBdr>
    </w:div>
    <w:div w:id="522327819">
      <w:bodyDiv w:val="1"/>
      <w:marLeft w:val="0"/>
      <w:marRight w:val="0"/>
      <w:marTop w:val="0"/>
      <w:marBottom w:val="0"/>
      <w:divBdr>
        <w:top w:val="none" w:sz="0" w:space="0" w:color="auto"/>
        <w:left w:val="none" w:sz="0" w:space="0" w:color="auto"/>
        <w:bottom w:val="none" w:sz="0" w:space="0" w:color="auto"/>
        <w:right w:val="none" w:sz="0" w:space="0" w:color="auto"/>
      </w:divBdr>
    </w:div>
    <w:div w:id="886181262">
      <w:bodyDiv w:val="1"/>
      <w:marLeft w:val="0"/>
      <w:marRight w:val="0"/>
      <w:marTop w:val="0"/>
      <w:marBottom w:val="0"/>
      <w:divBdr>
        <w:top w:val="none" w:sz="0" w:space="0" w:color="auto"/>
        <w:left w:val="none" w:sz="0" w:space="0" w:color="auto"/>
        <w:bottom w:val="none" w:sz="0" w:space="0" w:color="auto"/>
        <w:right w:val="none" w:sz="0" w:space="0" w:color="auto"/>
      </w:divBdr>
      <w:divsChild>
        <w:div w:id="660277194">
          <w:marLeft w:val="187"/>
          <w:marRight w:val="0"/>
          <w:marTop w:val="120"/>
          <w:marBottom w:val="0"/>
          <w:divBdr>
            <w:top w:val="none" w:sz="0" w:space="0" w:color="auto"/>
            <w:left w:val="none" w:sz="0" w:space="0" w:color="auto"/>
            <w:bottom w:val="none" w:sz="0" w:space="0" w:color="auto"/>
            <w:right w:val="none" w:sz="0" w:space="0" w:color="auto"/>
          </w:divBdr>
        </w:div>
        <w:div w:id="1850824114">
          <w:marLeft w:val="187"/>
          <w:marRight w:val="0"/>
          <w:marTop w:val="120"/>
          <w:marBottom w:val="0"/>
          <w:divBdr>
            <w:top w:val="none" w:sz="0" w:space="0" w:color="auto"/>
            <w:left w:val="none" w:sz="0" w:space="0" w:color="auto"/>
            <w:bottom w:val="none" w:sz="0" w:space="0" w:color="auto"/>
            <w:right w:val="none" w:sz="0" w:space="0" w:color="auto"/>
          </w:divBdr>
        </w:div>
      </w:divsChild>
    </w:div>
    <w:div w:id="1252079123">
      <w:bodyDiv w:val="1"/>
      <w:marLeft w:val="0"/>
      <w:marRight w:val="0"/>
      <w:marTop w:val="0"/>
      <w:marBottom w:val="0"/>
      <w:divBdr>
        <w:top w:val="none" w:sz="0" w:space="0" w:color="auto"/>
        <w:left w:val="none" w:sz="0" w:space="0" w:color="auto"/>
        <w:bottom w:val="none" w:sz="0" w:space="0" w:color="auto"/>
        <w:right w:val="none" w:sz="0" w:space="0" w:color="auto"/>
      </w:divBdr>
      <w:divsChild>
        <w:div w:id="1191796678">
          <w:marLeft w:val="187"/>
          <w:marRight w:val="0"/>
          <w:marTop w:val="120"/>
          <w:marBottom w:val="0"/>
          <w:divBdr>
            <w:top w:val="none" w:sz="0" w:space="0" w:color="auto"/>
            <w:left w:val="none" w:sz="0" w:space="0" w:color="auto"/>
            <w:bottom w:val="none" w:sz="0" w:space="0" w:color="auto"/>
            <w:right w:val="none" w:sz="0" w:space="0" w:color="auto"/>
          </w:divBdr>
        </w:div>
      </w:divsChild>
    </w:div>
    <w:div w:id="21229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ac.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WorkArea/DownloadAsset.aspx?id=60129550202" TargetMode="External"/><Relationship Id="rId2" Type="http://schemas.openxmlformats.org/officeDocument/2006/relationships/hyperlink" Target="http://lungfoundation.com.au/general-information/statistics/" TargetMode="External"/><Relationship Id="rId1" Type="http://schemas.openxmlformats.org/officeDocument/2006/relationships/hyperlink" Target="http://www.aihw.gov.au/WorkArea/DownloadAsset.aspx?id=6012955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69CE-1AA9-48B5-B89E-21CA033B6B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06788B-99E0-4DF5-A1CB-85F1D390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6025</Words>
  <Characters>34343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40288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Faraz Ghazi</cp:lastModifiedBy>
  <cp:revision>11</cp:revision>
  <cp:lastPrinted>2016-04-15T01:20:00Z</cp:lastPrinted>
  <dcterms:created xsi:type="dcterms:W3CDTF">2016-06-07T02:45:00Z</dcterms:created>
  <dcterms:modified xsi:type="dcterms:W3CDTF">2016-06-10T00:00:00Z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d7ff6fe9-6788-4b61-8dea-595378a3b6ad</vt:lpwstr>
  </property>
  <property fmtid="{D5CDD505-2E9C-101B-9397-08002B2CF9AE}" pid="3" name="bjSaver">
    <vt:lpwstr>Ob4SO03aTU/TP7Y/RyMYJ4X4n3IpmHp6</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ies>
</file>