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540A"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47A88638" wp14:editId="2731F939">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F5DBF33" w14:textId="77777777" w:rsidR="0044715D" w:rsidRPr="00323092" w:rsidRDefault="0044715D" w:rsidP="0044715D">
      <w:pPr>
        <w:spacing w:before="120" w:after="120" w:line="312" w:lineRule="auto"/>
        <w:jc w:val="both"/>
      </w:pPr>
    </w:p>
    <w:p w14:paraId="3631AA33" w14:textId="77777777" w:rsidR="00303C94" w:rsidRDefault="00303C94" w:rsidP="00A601AC">
      <w:pPr>
        <w:pStyle w:val="Heading10"/>
        <w:jc w:val="center"/>
        <w:rPr>
          <w:sz w:val="48"/>
          <w:szCs w:val="48"/>
        </w:rPr>
      </w:pPr>
    </w:p>
    <w:p w14:paraId="2A5B44CA" w14:textId="77777777" w:rsidR="0044715D" w:rsidRDefault="005F4D2F" w:rsidP="00A601AC">
      <w:pPr>
        <w:pStyle w:val="Heading10"/>
        <w:jc w:val="center"/>
        <w:rPr>
          <w:sz w:val="48"/>
          <w:szCs w:val="48"/>
        </w:rPr>
      </w:pPr>
      <w:r>
        <w:rPr>
          <w:sz w:val="48"/>
          <w:szCs w:val="48"/>
        </w:rPr>
        <w:t xml:space="preserve">Application </w:t>
      </w:r>
      <w:r w:rsidR="00930085">
        <w:rPr>
          <w:sz w:val="48"/>
          <w:szCs w:val="48"/>
        </w:rPr>
        <w:t>1453</w:t>
      </w:r>
      <w:r w:rsidR="00303C94">
        <w:rPr>
          <w:sz w:val="48"/>
          <w:szCs w:val="48"/>
        </w:rPr>
        <w:t>:</w:t>
      </w:r>
    </w:p>
    <w:p w14:paraId="0A6AC032" w14:textId="0CD8F0FC" w:rsidR="00303C94" w:rsidRPr="00303C94" w:rsidRDefault="004646A1" w:rsidP="00A601AC">
      <w:pPr>
        <w:pStyle w:val="Heading10"/>
        <w:jc w:val="center"/>
        <w:rPr>
          <w:sz w:val="48"/>
          <w:szCs w:val="48"/>
        </w:rPr>
      </w:pPr>
      <w:r w:rsidRPr="008062B0">
        <w:rPr>
          <w:rFonts w:ascii="Arial" w:hAnsi="Arial" w:cs="Arial"/>
          <w:i/>
          <w:iCs/>
          <w:color w:val="4F81BD" w:themeColor="accent1"/>
          <w:sz w:val="32"/>
          <w:szCs w:val="32"/>
        </w:rPr>
        <w:t>PD-L1 (Programmed Death</w:t>
      </w:r>
      <w:r>
        <w:rPr>
          <w:rFonts w:ascii="Arial" w:hAnsi="Arial" w:cs="Arial"/>
          <w:i/>
          <w:iCs/>
          <w:color w:val="4F81BD" w:themeColor="accent1"/>
          <w:sz w:val="32"/>
          <w:szCs w:val="32"/>
        </w:rPr>
        <w:t>-</w:t>
      </w:r>
      <w:r w:rsidRPr="008062B0">
        <w:rPr>
          <w:rFonts w:ascii="Arial" w:hAnsi="Arial" w:cs="Arial"/>
          <w:i/>
          <w:iCs/>
          <w:color w:val="4F81BD" w:themeColor="accent1"/>
          <w:sz w:val="32"/>
          <w:szCs w:val="32"/>
        </w:rPr>
        <w:t>1 Ligand) immunohistochemistry testing for access to pembrolizumab</w:t>
      </w:r>
      <w:r w:rsidRPr="004646A1">
        <w:rPr>
          <w:rFonts w:ascii="Arial" w:hAnsi="Arial" w:cs="Arial"/>
          <w:i/>
          <w:iCs/>
          <w:color w:val="4F81BD" w:themeColor="accent1"/>
          <w:sz w:val="32"/>
          <w:szCs w:val="32"/>
        </w:rPr>
        <w:t xml:space="preserve"> </w:t>
      </w:r>
      <w:r w:rsidR="00930085" w:rsidRPr="004646A1">
        <w:rPr>
          <w:rFonts w:ascii="Arial" w:hAnsi="Arial" w:cs="Arial"/>
          <w:i/>
          <w:iCs/>
          <w:color w:val="4F81BD" w:themeColor="accent1"/>
          <w:sz w:val="32"/>
          <w:szCs w:val="32"/>
        </w:rPr>
        <w:t xml:space="preserve">for patients with </w:t>
      </w:r>
      <w:r w:rsidR="009D6E9B">
        <w:rPr>
          <w:rFonts w:ascii="Arial" w:hAnsi="Arial" w:cs="Arial"/>
          <w:i/>
          <w:iCs/>
          <w:color w:val="4F81BD" w:themeColor="accent1"/>
          <w:sz w:val="32"/>
          <w:szCs w:val="32"/>
        </w:rPr>
        <w:t xml:space="preserve">unresectable </w:t>
      </w:r>
      <w:r w:rsidR="00930085" w:rsidRPr="004646A1">
        <w:rPr>
          <w:rFonts w:ascii="Arial" w:hAnsi="Arial" w:cs="Arial"/>
          <w:i/>
          <w:iCs/>
          <w:color w:val="4F81BD" w:themeColor="accent1"/>
          <w:sz w:val="32"/>
          <w:szCs w:val="32"/>
        </w:rPr>
        <w:t>metastatic mesothelioma.</w:t>
      </w:r>
    </w:p>
    <w:p w14:paraId="3C5BE43A" w14:textId="77777777" w:rsidR="0044715D" w:rsidRPr="009F552F" w:rsidRDefault="0044715D" w:rsidP="00D46C89">
      <w:pPr>
        <w:pStyle w:val="Heading10"/>
        <w:tabs>
          <w:tab w:val="left" w:pos="5613"/>
        </w:tabs>
        <w:rPr>
          <w:sz w:val="44"/>
          <w:szCs w:val="44"/>
        </w:rPr>
      </w:pPr>
    </w:p>
    <w:p w14:paraId="2C4F6967" w14:textId="77777777" w:rsidR="00D46C89" w:rsidRDefault="00D46C89" w:rsidP="003D699E">
      <w:pPr>
        <w:pStyle w:val="Heading10"/>
        <w:jc w:val="center"/>
        <w:rPr>
          <w:sz w:val="72"/>
          <w:szCs w:val="72"/>
        </w:rPr>
      </w:pPr>
      <w:r>
        <w:rPr>
          <w:sz w:val="72"/>
          <w:szCs w:val="72"/>
        </w:rPr>
        <w:t>PICO Confirmation</w:t>
      </w:r>
    </w:p>
    <w:p w14:paraId="7D8B5035"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A84A56">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5FBB8667" w14:textId="77777777" w:rsidR="00334489" w:rsidRDefault="00334489" w:rsidP="00334489">
      <w:pPr>
        <w:spacing w:before="180"/>
        <w:jc w:val="center"/>
        <w:rPr>
          <w:rFonts w:ascii="Arial" w:hAnsi="Arial" w:cs="Arial"/>
          <w:b/>
          <w:sz w:val="32"/>
          <w:szCs w:val="32"/>
        </w:rPr>
      </w:pPr>
      <w:bookmarkStart w:id="2" w:name="_Toc443555803"/>
    </w:p>
    <w:p w14:paraId="38200292" w14:textId="77777777" w:rsidR="00334489" w:rsidRDefault="00334489" w:rsidP="00334489">
      <w:pPr>
        <w:spacing w:before="180"/>
        <w:jc w:val="center"/>
        <w:rPr>
          <w:rFonts w:ascii="Arial" w:hAnsi="Arial" w:cs="Arial"/>
          <w:b/>
          <w:sz w:val="32"/>
          <w:szCs w:val="32"/>
        </w:rPr>
      </w:pPr>
      <w:r w:rsidRPr="00EF6089">
        <w:rPr>
          <w:rFonts w:ascii="Arial" w:hAnsi="Arial" w:cs="Arial"/>
          <w:b/>
          <w:sz w:val="32"/>
          <w:szCs w:val="32"/>
        </w:rPr>
        <w:t>December 2016</w:t>
      </w:r>
    </w:p>
    <w:p w14:paraId="3EC3978F" w14:textId="77777777" w:rsidR="00B1318F" w:rsidRDefault="00B1318F">
      <w:pPr>
        <w:rPr>
          <w:rFonts w:eastAsia="MS Gothic"/>
          <w:b/>
          <w:bCs/>
          <w:i/>
          <w:color w:val="548DD4"/>
          <w:szCs w:val="26"/>
        </w:rPr>
      </w:pPr>
      <w:r>
        <w:rPr>
          <w:color w:val="548DD4"/>
        </w:rPr>
        <w:br w:type="page"/>
      </w:r>
    </w:p>
    <w:bookmarkEnd w:id="2"/>
    <w:p w14:paraId="6EF2EB80" w14:textId="77777777" w:rsidR="00F12E59" w:rsidRPr="00086219" w:rsidRDefault="0044715D" w:rsidP="00086219">
      <w:pPr>
        <w:pStyle w:val="Heading2"/>
      </w:pPr>
      <w:r w:rsidRPr="00086219">
        <w:lastRenderedPageBreak/>
        <w:t>Summary of PICO</w:t>
      </w:r>
      <w:r w:rsidR="00A84A56" w:rsidRPr="00086219">
        <w:t>/PPICO</w:t>
      </w:r>
      <w:r w:rsidRPr="00086219">
        <w:t xml:space="preserve"> criteria</w:t>
      </w:r>
      <w:bookmarkEnd w:id="0"/>
      <w:bookmarkEnd w:id="1"/>
      <w:r w:rsidR="00F12E59" w:rsidRPr="00086219">
        <w:t xml:space="preserve"> to define the question(s) to be addressed in an Assessment Report to the Medical Services Advisory Committee (MSAC)</w:t>
      </w:r>
    </w:p>
    <w:p w14:paraId="11CB96F2" w14:textId="20B11F5C" w:rsidR="00E27B0E" w:rsidRDefault="00E27B0E" w:rsidP="009D6E9B">
      <w:pPr>
        <w:rPr>
          <w:i/>
        </w:rPr>
      </w:pPr>
      <w:r>
        <w:t xml:space="preserve">The PICO criteria have been outlined separately for first and subsequent-line treatments. The outcomes assessed would be the same, and have not been duplicated. </w:t>
      </w:r>
      <w:r w:rsidR="00CE4EC8">
        <w:rPr>
          <w:i/>
        </w:rPr>
        <w:t xml:space="preserve">Suggestions made by the Health Technology Assessment Group, which are not based on the application have been italicised. </w:t>
      </w:r>
      <w:r w:rsidR="00A26D07">
        <w:rPr>
          <w:i/>
        </w:rPr>
        <w:t xml:space="preserve">Although the additional intervention (no testing and non-selective treatment with pembrolizumab) does </w:t>
      </w:r>
      <w:r w:rsidR="0039039C">
        <w:rPr>
          <w:i/>
        </w:rPr>
        <w:t>not include a testing component</w:t>
      </w:r>
      <w:r w:rsidR="00A26D07">
        <w:rPr>
          <w:i/>
        </w:rPr>
        <w:t xml:space="preserve"> and therefore does not need to be assessed by the MSAC, it has been added here, as it can strengthen the argument regarding the optimal combination of testing and treatment. </w:t>
      </w:r>
    </w:p>
    <w:p w14:paraId="7E9BAD52" w14:textId="4E53458F" w:rsidR="00511E1D" w:rsidRPr="00511E1D" w:rsidRDefault="00511E1D" w:rsidP="00511E1D">
      <w:pPr>
        <w:pStyle w:val="Caption"/>
        <w:rPr>
          <w:b w:val="0"/>
        </w:rPr>
      </w:pPr>
      <w:r>
        <w:t xml:space="preserve">Table </w:t>
      </w:r>
      <w:r>
        <w:fldChar w:fldCharType="begin"/>
      </w:r>
      <w:r>
        <w:instrText xml:space="preserve"> SEQ Table \* ARABIC </w:instrText>
      </w:r>
      <w:r>
        <w:fldChar w:fldCharType="separate"/>
      </w:r>
      <w:r w:rsidR="00C47DAF">
        <w:rPr>
          <w:noProof/>
        </w:rPr>
        <w:t>1</w:t>
      </w:r>
      <w:r>
        <w:fldChar w:fldCharType="end"/>
      </w:r>
      <w:r>
        <w:tab/>
        <w:t>Summary of the population, prior tests, intervention and comparator</w:t>
      </w:r>
      <w:r w:rsidR="00D55BE4">
        <w:t xml:space="preserve"> components</w:t>
      </w:r>
      <w:r>
        <w:t xml:space="preserve"> of the PICO</w:t>
      </w:r>
    </w:p>
    <w:tbl>
      <w:tblPr>
        <w:tblW w:w="5583" w:type="pct"/>
        <w:tblInd w:w="-2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Table 1 Summary of the populations, prior tests, intervention and comparator of the PICO"/>
      </w:tblPr>
      <w:tblGrid>
        <w:gridCol w:w="1379"/>
        <w:gridCol w:w="4289"/>
        <w:gridCol w:w="4652"/>
      </w:tblGrid>
      <w:tr w:rsidR="009752A8" w:rsidRPr="00084393" w14:paraId="1B4A59AC" w14:textId="22B94489" w:rsidTr="009752A8">
        <w:trPr>
          <w:tblHeader/>
        </w:trPr>
        <w:tc>
          <w:tcPr>
            <w:tcW w:w="668" w:type="pct"/>
            <w:tcBorders>
              <w:top w:val="single" w:sz="8" w:space="0" w:color="auto"/>
              <w:bottom w:val="single" w:sz="8" w:space="0" w:color="auto"/>
              <w:right w:val="single" w:sz="4" w:space="0" w:color="auto"/>
            </w:tcBorders>
            <w:shd w:val="clear" w:color="auto" w:fill="D9D9D9"/>
          </w:tcPr>
          <w:p w14:paraId="7841902C" w14:textId="77777777" w:rsidR="009752A8" w:rsidRPr="00084393" w:rsidRDefault="009752A8" w:rsidP="007A4633">
            <w:pPr>
              <w:spacing w:before="60" w:after="120" w:line="240" w:lineRule="auto"/>
              <w:rPr>
                <w:b/>
              </w:rPr>
            </w:pPr>
            <w:r>
              <w:rPr>
                <w:b/>
              </w:rPr>
              <w:t>Component</w:t>
            </w:r>
          </w:p>
        </w:tc>
        <w:tc>
          <w:tcPr>
            <w:tcW w:w="2078" w:type="pct"/>
            <w:tcBorders>
              <w:top w:val="single" w:sz="4" w:space="0" w:color="auto"/>
              <w:bottom w:val="single" w:sz="4" w:space="0" w:color="auto"/>
              <w:right w:val="single" w:sz="4" w:space="0" w:color="auto"/>
            </w:tcBorders>
            <w:shd w:val="clear" w:color="auto" w:fill="D9D9D9"/>
          </w:tcPr>
          <w:p w14:paraId="2BA8AC7E" w14:textId="3E1BCC3C" w:rsidR="009752A8" w:rsidRDefault="009752A8" w:rsidP="007A4633">
            <w:pPr>
              <w:spacing w:before="60" w:after="120" w:line="240" w:lineRule="auto"/>
              <w:jc w:val="both"/>
              <w:rPr>
                <w:b/>
              </w:rPr>
            </w:pPr>
            <w:r>
              <w:rPr>
                <w:b/>
              </w:rPr>
              <w:t>Description of population 1</w:t>
            </w:r>
          </w:p>
        </w:tc>
        <w:tc>
          <w:tcPr>
            <w:tcW w:w="2255" w:type="pct"/>
            <w:tcBorders>
              <w:top w:val="single" w:sz="4" w:space="0" w:color="auto"/>
              <w:left w:val="single" w:sz="4" w:space="0" w:color="auto"/>
              <w:bottom w:val="single" w:sz="4" w:space="0" w:color="auto"/>
              <w:right w:val="single" w:sz="4" w:space="0" w:color="auto"/>
            </w:tcBorders>
            <w:shd w:val="clear" w:color="auto" w:fill="D9D9D9"/>
          </w:tcPr>
          <w:p w14:paraId="0644DFCC" w14:textId="4D58FBD7" w:rsidR="009752A8" w:rsidRPr="00084393" w:rsidRDefault="009752A8" w:rsidP="007A4633">
            <w:pPr>
              <w:spacing w:before="60" w:after="120" w:line="240" w:lineRule="auto"/>
              <w:jc w:val="both"/>
              <w:rPr>
                <w:b/>
              </w:rPr>
            </w:pPr>
            <w:r>
              <w:rPr>
                <w:b/>
              </w:rPr>
              <w:t>Description of population 2</w:t>
            </w:r>
          </w:p>
        </w:tc>
      </w:tr>
      <w:tr w:rsidR="009752A8" w:rsidRPr="00084393" w14:paraId="1576E68B" w14:textId="2D2D4332" w:rsidTr="009752A8">
        <w:tc>
          <w:tcPr>
            <w:tcW w:w="668" w:type="pct"/>
            <w:tcBorders>
              <w:top w:val="single" w:sz="8" w:space="0" w:color="auto"/>
              <w:right w:val="single" w:sz="4" w:space="0" w:color="auto"/>
            </w:tcBorders>
          </w:tcPr>
          <w:p w14:paraId="0E5ED6AE" w14:textId="77777777" w:rsidR="009752A8" w:rsidRPr="00084393" w:rsidRDefault="009752A8" w:rsidP="007A4633">
            <w:pPr>
              <w:spacing w:before="60" w:after="120" w:line="240" w:lineRule="auto"/>
              <w:rPr>
                <w:rFonts w:cs="Arial"/>
              </w:rPr>
            </w:pPr>
            <w:r w:rsidRPr="00084393">
              <w:rPr>
                <w:rFonts w:cs="Arial"/>
              </w:rPr>
              <w:t>Patients</w:t>
            </w:r>
          </w:p>
        </w:tc>
        <w:tc>
          <w:tcPr>
            <w:tcW w:w="2078" w:type="pct"/>
            <w:tcBorders>
              <w:top w:val="single" w:sz="4" w:space="0" w:color="auto"/>
              <w:right w:val="single" w:sz="4" w:space="0" w:color="auto"/>
            </w:tcBorders>
          </w:tcPr>
          <w:p w14:paraId="4A3D9D38" w14:textId="42184004" w:rsidR="009752A8" w:rsidRPr="00930085" w:rsidRDefault="009752A8" w:rsidP="00027EBF">
            <w:pPr>
              <w:spacing w:before="60" w:after="120" w:line="240" w:lineRule="auto"/>
              <w:rPr>
                <w:rFonts w:cs="Arial"/>
              </w:rPr>
            </w:pPr>
            <w:r w:rsidRPr="00930085">
              <w:rPr>
                <w:rFonts w:cs="Arial"/>
              </w:rPr>
              <w:t>Patients</w:t>
            </w:r>
            <w:r>
              <w:rPr>
                <w:rFonts w:cs="Arial"/>
              </w:rPr>
              <w:t xml:space="preserve"> diagnosed</w:t>
            </w:r>
            <w:r w:rsidRPr="00930085">
              <w:rPr>
                <w:rFonts w:cs="Arial"/>
              </w:rPr>
              <w:t xml:space="preserve"> with </w:t>
            </w:r>
            <w:r>
              <w:rPr>
                <w:rFonts w:cs="Arial"/>
              </w:rPr>
              <w:t xml:space="preserve">unresectable </w:t>
            </w:r>
            <w:r w:rsidRPr="00930085">
              <w:rPr>
                <w:rFonts w:cs="Arial"/>
              </w:rPr>
              <w:t>mesothelioma</w:t>
            </w:r>
            <w:r>
              <w:rPr>
                <w:rFonts w:cs="Arial"/>
              </w:rPr>
              <w:t xml:space="preserve"> </w:t>
            </w:r>
            <w:r w:rsidRPr="003B1C3A">
              <w:rPr>
                <w:rFonts w:cs="Arial"/>
                <w:i/>
              </w:rPr>
              <w:t xml:space="preserve">who </w:t>
            </w:r>
            <w:r>
              <w:rPr>
                <w:rFonts w:cs="Arial"/>
                <w:i/>
              </w:rPr>
              <w:t>h</w:t>
            </w:r>
            <w:r w:rsidRPr="003B1C3A">
              <w:rPr>
                <w:rFonts w:cs="Arial"/>
                <w:i/>
              </w:rPr>
              <w:t xml:space="preserve">ave </w:t>
            </w:r>
            <w:r>
              <w:rPr>
                <w:rFonts w:cs="Arial"/>
                <w:i/>
              </w:rPr>
              <w:t>failed prior therapy</w:t>
            </w:r>
            <w:r w:rsidR="00146462">
              <w:rPr>
                <w:rFonts w:cs="Arial"/>
                <w:i/>
                <w:vertAlign w:val="superscript"/>
              </w:rPr>
              <w:t>a</w:t>
            </w:r>
            <w:r>
              <w:rPr>
                <w:rFonts w:cs="Arial"/>
                <w:i/>
              </w:rPr>
              <w:t xml:space="preserve"> (second or subsequent-line therapy)</w:t>
            </w:r>
          </w:p>
        </w:tc>
        <w:tc>
          <w:tcPr>
            <w:tcW w:w="2255" w:type="pct"/>
            <w:tcBorders>
              <w:top w:val="single" w:sz="4" w:space="0" w:color="auto"/>
              <w:left w:val="single" w:sz="4" w:space="0" w:color="auto"/>
              <w:bottom w:val="single" w:sz="4" w:space="0" w:color="auto"/>
              <w:right w:val="single" w:sz="4" w:space="0" w:color="auto"/>
            </w:tcBorders>
          </w:tcPr>
          <w:p w14:paraId="202DBB4B" w14:textId="00EE1F91" w:rsidR="009752A8" w:rsidRPr="00B1318F" w:rsidRDefault="009752A8" w:rsidP="00027EBF">
            <w:pPr>
              <w:spacing w:before="60" w:after="120" w:line="240" w:lineRule="auto"/>
              <w:rPr>
                <w:i/>
                <w:vanish/>
              </w:rPr>
            </w:pPr>
            <w:r w:rsidRPr="00930085">
              <w:rPr>
                <w:rFonts w:cs="Arial"/>
              </w:rPr>
              <w:t>Patients</w:t>
            </w:r>
            <w:r>
              <w:rPr>
                <w:rFonts w:cs="Arial"/>
              </w:rPr>
              <w:t xml:space="preserve"> diagnosed</w:t>
            </w:r>
            <w:r w:rsidRPr="00930085">
              <w:rPr>
                <w:rFonts w:cs="Arial"/>
              </w:rPr>
              <w:t xml:space="preserve"> with </w:t>
            </w:r>
            <w:r>
              <w:rPr>
                <w:rFonts w:cs="Arial"/>
              </w:rPr>
              <w:t xml:space="preserve">unresectable  </w:t>
            </w:r>
            <w:r w:rsidRPr="00930085">
              <w:rPr>
                <w:rFonts w:cs="Arial"/>
              </w:rPr>
              <w:t>mesothelioma</w:t>
            </w:r>
            <w:r>
              <w:rPr>
                <w:rFonts w:cs="Arial"/>
              </w:rPr>
              <w:t xml:space="preserve"> </w:t>
            </w:r>
            <w:r>
              <w:rPr>
                <w:rFonts w:cs="Arial"/>
                <w:i/>
              </w:rPr>
              <w:t>in whom standard of care is not appropriate (first-line)</w:t>
            </w:r>
          </w:p>
        </w:tc>
      </w:tr>
      <w:tr w:rsidR="009752A8" w:rsidRPr="00084393" w14:paraId="5DE3A4AA" w14:textId="54FA9C9F" w:rsidTr="009752A8">
        <w:tc>
          <w:tcPr>
            <w:tcW w:w="668" w:type="pct"/>
            <w:tcBorders>
              <w:top w:val="single" w:sz="8" w:space="0" w:color="auto"/>
              <w:right w:val="single" w:sz="4" w:space="0" w:color="auto"/>
            </w:tcBorders>
          </w:tcPr>
          <w:p w14:paraId="0D77221D" w14:textId="53787D48" w:rsidR="009752A8" w:rsidRPr="00084393" w:rsidRDefault="009752A8" w:rsidP="00F36A3E">
            <w:pPr>
              <w:spacing w:before="60" w:after="120" w:line="240" w:lineRule="auto"/>
              <w:rPr>
                <w:rFonts w:cs="Arial"/>
              </w:rPr>
            </w:pPr>
            <w:r>
              <w:rPr>
                <w:rFonts w:cs="Arial"/>
              </w:rPr>
              <w:t xml:space="preserve">Prior tests </w:t>
            </w:r>
          </w:p>
        </w:tc>
        <w:tc>
          <w:tcPr>
            <w:tcW w:w="2078" w:type="pct"/>
            <w:tcBorders>
              <w:top w:val="single" w:sz="4" w:space="0" w:color="auto"/>
              <w:right w:val="single" w:sz="4" w:space="0" w:color="auto"/>
            </w:tcBorders>
          </w:tcPr>
          <w:p w14:paraId="05FD740C" w14:textId="709A0EA1" w:rsidR="009752A8" w:rsidRDefault="009752A8" w:rsidP="00027EBF">
            <w:pPr>
              <w:spacing w:before="60" w:after="120" w:line="240" w:lineRule="auto"/>
              <w:rPr>
                <w:rFonts w:cs="Arial"/>
              </w:rPr>
            </w:pPr>
            <w:r>
              <w:rPr>
                <w:rFonts w:cs="Arial"/>
              </w:rPr>
              <w:t>C</w:t>
            </w:r>
            <w:r w:rsidRPr="00930085">
              <w:rPr>
                <w:rFonts w:cs="Arial"/>
              </w:rPr>
              <w:t xml:space="preserve">onfirmation of </w:t>
            </w:r>
            <w:r>
              <w:rPr>
                <w:rFonts w:cs="Arial"/>
              </w:rPr>
              <w:t xml:space="preserve">unresectable </w:t>
            </w:r>
            <w:r w:rsidRPr="00930085">
              <w:rPr>
                <w:rFonts w:cs="Arial"/>
              </w:rPr>
              <w:t xml:space="preserve">mesothelioma diagnosis through </w:t>
            </w:r>
            <w:r>
              <w:rPr>
                <w:rFonts w:cs="Arial"/>
              </w:rPr>
              <w:t xml:space="preserve">biopsy and subsequent </w:t>
            </w:r>
            <w:r w:rsidRPr="00930085">
              <w:rPr>
                <w:rFonts w:cs="Arial"/>
              </w:rPr>
              <w:t>histology</w:t>
            </w:r>
            <w:r>
              <w:rPr>
                <w:rFonts w:cs="Arial"/>
              </w:rPr>
              <w:t xml:space="preserve">, cytology </w:t>
            </w:r>
            <w:r w:rsidRPr="00A709A3">
              <w:rPr>
                <w:rFonts w:cs="Arial"/>
              </w:rPr>
              <w:t>and IHC testing</w:t>
            </w:r>
            <w:r>
              <w:rPr>
                <w:rFonts w:cs="Arial"/>
              </w:rPr>
              <w:t xml:space="preserve"> for standard markers.</w:t>
            </w:r>
          </w:p>
        </w:tc>
        <w:tc>
          <w:tcPr>
            <w:tcW w:w="2255" w:type="pct"/>
            <w:tcBorders>
              <w:top w:val="single" w:sz="4" w:space="0" w:color="auto"/>
              <w:left w:val="single" w:sz="4" w:space="0" w:color="auto"/>
              <w:bottom w:val="single" w:sz="4" w:space="0" w:color="auto"/>
              <w:right w:val="single" w:sz="4" w:space="0" w:color="auto"/>
            </w:tcBorders>
          </w:tcPr>
          <w:p w14:paraId="2E646E2E" w14:textId="613033D7" w:rsidR="009752A8" w:rsidRPr="00D26848" w:rsidRDefault="009752A8" w:rsidP="00027EBF">
            <w:pPr>
              <w:spacing w:before="60" w:after="120" w:line="240" w:lineRule="auto"/>
              <w:rPr>
                <w:rFonts w:cs="Arial"/>
              </w:rPr>
            </w:pPr>
            <w:r>
              <w:rPr>
                <w:rFonts w:cs="Arial"/>
              </w:rPr>
              <w:t>C</w:t>
            </w:r>
            <w:r w:rsidRPr="00930085">
              <w:rPr>
                <w:rFonts w:cs="Arial"/>
              </w:rPr>
              <w:t xml:space="preserve">onfirmation of </w:t>
            </w:r>
            <w:r>
              <w:rPr>
                <w:rFonts w:cs="Arial"/>
              </w:rPr>
              <w:t xml:space="preserve">unresectable </w:t>
            </w:r>
            <w:r w:rsidRPr="00930085">
              <w:rPr>
                <w:rFonts w:cs="Arial"/>
              </w:rPr>
              <w:t xml:space="preserve">mesothelioma diagnosis through </w:t>
            </w:r>
            <w:r>
              <w:rPr>
                <w:rFonts w:cs="Arial"/>
              </w:rPr>
              <w:t xml:space="preserve">biopsy and subsequent </w:t>
            </w:r>
            <w:r w:rsidRPr="00930085">
              <w:rPr>
                <w:rFonts w:cs="Arial"/>
              </w:rPr>
              <w:t>histology</w:t>
            </w:r>
            <w:r>
              <w:rPr>
                <w:rFonts w:cs="Arial"/>
              </w:rPr>
              <w:t xml:space="preserve">, cytology </w:t>
            </w:r>
            <w:r w:rsidRPr="00A709A3">
              <w:rPr>
                <w:rFonts w:cs="Arial"/>
              </w:rPr>
              <w:t>and IHC testing</w:t>
            </w:r>
            <w:r>
              <w:rPr>
                <w:rFonts w:cs="Arial"/>
              </w:rPr>
              <w:t xml:space="preserve"> for standard markers.</w:t>
            </w:r>
          </w:p>
        </w:tc>
      </w:tr>
      <w:tr w:rsidR="009752A8" w:rsidRPr="00084393" w14:paraId="77CD220C" w14:textId="0E84D30C" w:rsidTr="009752A8">
        <w:tc>
          <w:tcPr>
            <w:tcW w:w="668" w:type="pct"/>
            <w:tcBorders>
              <w:right w:val="single" w:sz="4" w:space="0" w:color="auto"/>
            </w:tcBorders>
          </w:tcPr>
          <w:p w14:paraId="0130F251" w14:textId="77777777" w:rsidR="009752A8" w:rsidRPr="00084393" w:rsidRDefault="009752A8" w:rsidP="007A4633">
            <w:pPr>
              <w:spacing w:before="60" w:after="120" w:line="240" w:lineRule="auto"/>
              <w:rPr>
                <w:rFonts w:cs="Arial"/>
              </w:rPr>
            </w:pPr>
            <w:r w:rsidRPr="00084393">
              <w:rPr>
                <w:rFonts w:cs="Arial"/>
              </w:rPr>
              <w:t>Intervention</w:t>
            </w:r>
          </w:p>
        </w:tc>
        <w:tc>
          <w:tcPr>
            <w:tcW w:w="2078" w:type="pct"/>
            <w:tcBorders>
              <w:right w:val="single" w:sz="4" w:space="0" w:color="auto"/>
            </w:tcBorders>
          </w:tcPr>
          <w:p w14:paraId="369DF0F5" w14:textId="25360D6F" w:rsidR="009752A8" w:rsidRDefault="009752A8" w:rsidP="009752A8">
            <w:pPr>
              <w:spacing w:before="60" w:after="120" w:line="240" w:lineRule="auto"/>
              <w:rPr>
                <w:rFonts w:cs="Arial"/>
              </w:rPr>
            </w:pPr>
            <w:r>
              <w:rPr>
                <w:rFonts w:cs="Arial"/>
              </w:rPr>
              <w:t xml:space="preserve">a. </w:t>
            </w:r>
            <w:r w:rsidRPr="00521374">
              <w:rPr>
                <w:rFonts w:cs="Arial"/>
              </w:rPr>
              <w:t>PD-L1 (programmed cell death – ligand 1</w:t>
            </w:r>
            <w:r>
              <w:rPr>
                <w:rFonts w:cs="Arial"/>
              </w:rPr>
              <w:t>) testing and targeted treatment with pembrolizumab in those who express PD-L1, and vinorelbine, pemetrexed monotherapy, platinum doublet or best supportive care in those who do not express PD-L1.</w:t>
            </w:r>
            <w:r w:rsidRPr="00521374">
              <w:rPr>
                <w:rFonts w:cs="Arial"/>
              </w:rPr>
              <w:t xml:space="preserve"> </w:t>
            </w:r>
          </w:p>
          <w:p w14:paraId="744E21A7" w14:textId="6431B36E" w:rsidR="009752A8" w:rsidRDefault="009752A8" w:rsidP="009752A8">
            <w:pPr>
              <w:spacing w:before="60" w:after="120" w:line="240" w:lineRule="auto"/>
              <w:rPr>
                <w:rFonts w:cs="Arial"/>
              </w:rPr>
            </w:pPr>
            <w:r w:rsidRPr="00B553A1">
              <w:rPr>
                <w:rFonts w:cs="Arial"/>
                <w:i/>
              </w:rPr>
              <w:t xml:space="preserve">b. </w:t>
            </w:r>
            <w:r w:rsidRPr="00C87E35">
              <w:rPr>
                <w:rFonts w:cs="Arial"/>
                <w:i/>
              </w:rPr>
              <w:t>No testing</w:t>
            </w:r>
            <w:r>
              <w:rPr>
                <w:rFonts w:cs="Arial"/>
                <w:i/>
              </w:rPr>
              <w:t>. Non-selective treatment with</w:t>
            </w:r>
            <w:r w:rsidRPr="00C87E35">
              <w:rPr>
                <w:rFonts w:cs="Arial"/>
                <w:i/>
              </w:rPr>
              <w:t xml:space="preserve"> pembrolizumab</w:t>
            </w:r>
            <w:r>
              <w:rPr>
                <w:rFonts w:cs="Arial"/>
                <w:i/>
              </w:rPr>
              <w:t>.</w:t>
            </w:r>
          </w:p>
        </w:tc>
        <w:tc>
          <w:tcPr>
            <w:tcW w:w="2255" w:type="pct"/>
            <w:tcBorders>
              <w:top w:val="single" w:sz="4" w:space="0" w:color="auto"/>
              <w:left w:val="single" w:sz="4" w:space="0" w:color="auto"/>
              <w:bottom w:val="single" w:sz="4" w:space="0" w:color="auto"/>
              <w:right w:val="single" w:sz="4" w:space="0" w:color="auto"/>
            </w:tcBorders>
          </w:tcPr>
          <w:p w14:paraId="27ADDC58" w14:textId="1141BAF7" w:rsidR="009752A8" w:rsidRDefault="009752A8" w:rsidP="005B378F">
            <w:pPr>
              <w:spacing w:before="60" w:after="120" w:line="240" w:lineRule="auto"/>
              <w:rPr>
                <w:rFonts w:cs="Arial"/>
              </w:rPr>
            </w:pPr>
            <w:r>
              <w:rPr>
                <w:rFonts w:cs="Arial"/>
              </w:rPr>
              <w:t xml:space="preserve">a. </w:t>
            </w:r>
            <w:r w:rsidRPr="00521374">
              <w:rPr>
                <w:rFonts w:cs="Arial"/>
              </w:rPr>
              <w:t>PD-L1 (programmed cell death – ligand 1</w:t>
            </w:r>
            <w:r>
              <w:rPr>
                <w:rFonts w:cs="Arial"/>
              </w:rPr>
              <w:t xml:space="preserve">) testing and targeted treatment with pembrolizumab in those who express PD-L1, and second-line therapy options </w:t>
            </w:r>
            <w:r w:rsidR="00050E31">
              <w:rPr>
                <w:rFonts w:cs="Arial"/>
              </w:rPr>
              <w:t xml:space="preserve">of </w:t>
            </w:r>
            <w:r>
              <w:rPr>
                <w:rFonts w:cs="Arial"/>
              </w:rPr>
              <w:t>vinorelbine, pemetrexed monotherapy, platinum doublet</w:t>
            </w:r>
            <w:r w:rsidDel="00B553A1">
              <w:rPr>
                <w:rFonts w:cs="Arial"/>
              </w:rPr>
              <w:t xml:space="preserve"> </w:t>
            </w:r>
            <w:r w:rsidR="009D6E9B">
              <w:rPr>
                <w:rFonts w:cs="Arial"/>
              </w:rPr>
              <w:t xml:space="preserve"> or best supportive care </w:t>
            </w:r>
            <w:r>
              <w:rPr>
                <w:rFonts w:cs="Arial"/>
              </w:rPr>
              <w:t>in those who do not express PD-L1.</w:t>
            </w:r>
          </w:p>
          <w:p w14:paraId="41B27F5E" w14:textId="298A61F1" w:rsidR="009752A8" w:rsidRPr="00B1318F" w:rsidRDefault="009752A8" w:rsidP="005B378F">
            <w:pPr>
              <w:spacing w:before="60" w:after="120" w:line="240" w:lineRule="auto"/>
              <w:rPr>
                <w:i/>
                <w:vanish/>
                <w:color w:val="FF0000"/>
              </w:rPr>
            </w:pPr>
            <w:r w:rsidRPr="00B553A1">
              <w:rPr>
                <w:rFonts w:cs="Arial"/>
                <w:i/>
              </w:rPr>
              <w:t>b. No testing</w:t>
            </w:r>
            <w:r>
              <w:rPr>
                <w:rFonts w:cs="Arial"/>
                <w:i/>
              </w:rPr>
              <w:t>. Non-selective treatment with</w:t>
            </w:r>
            <w:r w:rsidRPr="00B553A1">
              <w:rPr>
                <w:rFonts w:cs="Arial"/>
                <w:i/>
              </w:rPr>
              <w:t xml:space="preserve"> pembrolizumab</w:t>
            </w:r>
            <w:r>
              <w:rPr>
                <w:rFonts w:cs="Arial"/>
                <w:i/>
              </w:rPr>
              <w:t>.</w:t>
            </w:r>
          </w:p>
        </w:tc>
      </w:tr>
      <w:tr w:rsidR="009752A8" w:rsidRPr="00084393" w14:paraId="7E33DD04" w14:textId="7A0829A7" w:rsidTr="009752A8">
        <w:tc>
          <w:tcPr>
            <w:tcW w:w="668" w:type="pct"/>
            <w:tcBorders>
              <w:right w:val="single" w:sz="4" w:space="0" w:color="auto"/>
            </w:tcBorders>
          </w:tcPr>
          <w:p w14:paraId="13A00B97" w14:textId="6F10ACBB" w:rsidR="009752A8" w:rsidRPr="00084393" w:rsidRDefault="009752A8" w:rsidP="007A4633">
            <w:pPr>
              <w:spacing w:before="60" w:after="120" w:line="240" w:lineRule="auto"/>
              <w:rPr>
                <w:rFonts w:cs="Arial"/>
              </w:rPr>
            </w:pPr>
            <w:r w:rsidRPr="00084393">
              <w:rPr>
                <w:rFonts w:cs="Arial"/>
              </w:rPr>
              <w:t>Comparator</w:t>
            </w:r>
          </w:p>
        </w:tc>
        <w:tc>
          <w:tcPr>
            <w:tcW w:w="2078" w:type="pct"/>
            <w:tcBorders>
              <w:right w:val="single" w:sz="4" w:space="0" w:color="auto"/>
            </w:tcBorders>
          </w:tcPr>
          <w:p w14:paraId="3B9D1380" w14:textId="5E6DCCEE" w:rsidR="009752A8" w:rsidRDefault="009752A8" w:rsidP="009D6E9B">
            <w:pPr>
              <w:spacing w:before="60" w:after="120" w:line="240" w:lineRule="auto"/>
              <w:rPr>
                <w:rFonts w:cs="Arial"/>
              </w:rPr>
            </w:pPr>
            <w:r>
              <w:rPr>
                <w:rFonts w:cs="Arial"/>
              </w:rPr>
              <w:t xml:space="preserve">No testing and vinorelbine, pemetrexed monotherapy, platinum doublet or </w:t>
            </w:r>
            <w:r w:rsidR="0002715C">
              <w:rPr>
                <w:rFonts w:cs="Arial"/>
              </w:rPr>
              <w:t>best supportive care</w:t>
            </w:r>
            <w:r>
              <w:rPr>
                <w:rFonts w:cs="Arial"/>
              </w:rPr>
              <w:t>.</w:t>
            </w:r>
          </w:p>
        </w:tc>
        <w:tc>
          <w:tcPr>
            <w:tcW w:w="2255" w:type="pct"/>
            <w:tcBorders>
              <w:top w:val="single" w:sz="4" w:space="0" w:color="auto"/>
              <w:left w:val="single" w:sz="4" w:space="0" w:color="auto"/>
              <w:bottom w:val="single" w:sz="4" w:space="0" w:color="auto"/>
              <w:right w:val="single" w:sz="4" w:space="0" w:color="auto"/>
            </w:tcBorders>
          </w:tcPr>
          <w:p w14:paraId="60BAED70" w14:textId="5742FB5A" w:rsidR="009752A8" w:rsidRPr="00807728" w:rsidRDefault="009752A8" w:rsidP="009431A4">
            <w:pPr>
              <w:spacing w:before="60" w:after="120" w:line="240" w:lineRule="auto"/>
              <w:rPr>
                <w:i/>
                <w:vanish/>
                <w:color w:val="FF0000"/>
              </w:rPr>
            </w:pPr>
            <w:r>
              <w:rPr>
                <w:rFonts w:cs="Arial"/>
              </w:rPr>
              <w:t>N</w:t>
            </w:r>
            <w:r w:rsidRPr="00A94913">
              <w:rPr>
                <w:rFonts w:cs="Arial"/>
              </w:rPr>
              <w:t xml:space="preserve">o testing and </w:t>
            </w:r>
            <w:r>
              <w:rPr>
                <w:rFonts w:cs="Arial"/>
              </w:rPr>
              <w:t>second-line options</w:t>
            </w:r>
            <w:r w:rsidR="00050E31">
              <w:rPr>
                <w:rFonts w:cs="Arial"/>
              </w:rPr>
              <w:t xml:space="preserve"> of</w:t>
            </w:r>
            <w:r>
              <w:rPr>
                <w:rFonts w:cs="Arial"/>
              </w:rPr>
              <w:t xml:space="preserve"> vinorelbine, pemetrexed monotherapy or platinum doublet</w:t>
            </w:r>
            <w:r w:rsidR="009D6E9B">
              <w:rPr>
                <w:rFonts w:cs="Arial"/>
              </w:rPr>
              <w:t xml:space="preserve"> or best supportive care</w:t>
            </w:r>
            <w:r>
              <w:rPr>
                <w:rFonts w:cs="Arial"/>
              </w:rPr>
              <w:t>.</w:t>
            </w:r>
          </w:p>
        </w:tc>
      </w:tr>
      <w:tr w:rsidR="009752A8" w:rsidRPr="00084393" w14:paraId="274713DD" w14:textId="07EEFA06" w:rsidTr="009752A8">
        <w:tc>
          <w:tcPr>
            <w:tcW w:w="668" w:type="pct"/>
            <w:tcBorders>
              <w:right w:val="single" w:sz="4" w:space="0" w:color="auto"/>
            </w:tcBorders>
          </w:tcPr>
          <w:p w14:paraId="36B70A7B" w14:textId="6CD1CDD0" w:rsidR="009752A8" w:rsidRPr="00084393" w:rsidRDefault="009752A8" w:rsidP="007A4633">
            <w:pPr>
              <w:spacing w:before="60" w:after="120" w:line="240" w:lineRule="auto"/>
              <w:rPr>
                <w:rFonts w:cs="Arial"/>
              </w:rPr>
            </w:pPr>
            <w:r>
              <w:rPr>
                <w:rFonts w:cs="Arial"/>
              </w:rPr>
              <w:t>Reference standard</w:t>
            </w:r>
          </w:p>
        </w:tc>
        <w:tc>
          <w:tcPr>
            <w:tcW w:w="2078" w:type="pct"/>
            <w:tcBorders>
              <w:right w:val="single" w:sz="4" w:space="0" w:color="auto"/>
            </w:tcBorders>
          </w:tcPr>
          <w:p w14:paraId="29087120" w14:textId="16345E33" w:rsidR="009752A8" w:rsidRDefault="009752A8" w:rsidP="007A4633">
            <w:pPr>
              <w:spacing w:before="60" w:after="120" w:line="240" w:lineRule="auto"/>
              <w:rPr>
                <w:rFonts w:cs="Arial"/>
              </w:rPr>
            </w:pPr>
            <w:r>
              <w:rPr>
                <w:rFonts w:cs="Arial"/>
              </w:rPr>
              <w:t>None available</w:t>
            </w:r>
          </w:p>
        </w:tc>
        <w:tc>
          <w:tcPr>
            <w:tcW w:w="2255" w:type="pct"/>
            <w:tcBorders>
              <w:top w:val="single" w:sz="4" w:space="0" w:color="auto"/>
              <w:left w:val="single" w:sz="4" w:space="0" w:color="auto"/>
              <w:bottom w:val="single" w:sz="4" w:space="0" w:color="auto"/>
              <w:right w:val="single" w:sz="4" w:space="0" w:color="auto"/>
            </w:tcBorders>
          </w:tcPr>
          <w:p w14:paraId="2719E3DB" w14:textId="1401EDB2" w:rsidR="009752A8" w:rsidRPr="00A94913" w:rsidDel="00D91136" w:rsidRDefault="009752A8" w:rsidP="007A4633">
            <w:pPr>
              <w:spacing w:before="60" w:after="120" w:line="240" w:lineRule="auto"/>
              <w:rPr>
                <w:rFonts w:cs="Arial"/>
              </w:rPr>
            </w:pPr>
            <w:r>
              <w:rPr>
                <w:rFonts w:cs="Arial"/>
              </w:rPr>
              <w:t>None available</w:t>
            </w:r>
          </w:p>
        </w:tc>
      </w:tr>
    </w:tbl>
    <w:p w14:paraId="1C1BC8C4" w14:textId="2CBE8462" w:rsidR="00DC73D6" w:rsidRDefault="00146462">
      <w:pPr>
        <w:rPr>
          <w:rFonts w:ascii="Arial Narrow" w:hAnsi="Arial Narrow"/>
          <w:sz w:val="20"/>
          <w:szCs w:val="20"/>
        </w:rPr>
      </w:pPr>
      <w:r w:rsidRPr="00B1318F">
        <w:rPr>
          <w:rFonts w:ascii="Arial Narrow" w:hAnsi="Arial Narrow"/>
          <w:sz w:val="20"/>
          <w:szCs w:val="20"/>
          <w:vertAlign w:val="superscript"/>
        </w:rPr>
        <w:t>a</w:t>
      </w:r>
      <w:r w:rsidRPr="00B1318F">
        <w:rPr>
          <w:rFonts w:ascii="Arial Narrow" w:hAnsi="Arial Narrow"/>
          <w:sz w:val="20"/>
          <w:szCs w:val="20"/>
        </w:rPr>
        <w:t xml:space="preserve"> Prior therapies </w:t>
      </w:r>
      <w:r w:rsidR="00050E31">
        <w:rPr>
          <w:rFonts w:ascii="Arial Narrow" w:hAnsi="Arial Narrow"/>
          <w:sz w:val="20"/>
          <w:szCs w:val="20"/>
        </w:rPr>
        <w:t>excludes</w:t>
      </w:r>
      <w:r>
        <w:rPr>
          <w:rFonts w:ascii="Arial Narrow" w:hAnsi="Arial Narrow"/>
          <w:sz w:val="20"/>
          <w:szCs w:val="20"/>
        </w:rPr>
        <w:t xml:space="preserve"> surgery or radiation</w:t>
      </w:r>
      <w:r w:rsidRPr="00B1318F">
        <w:rPr>
          <w:rFonts w:ascii="Arial Narrow" w:hAnsi="Arial Narrow"/>
          <w:sz w:val="20"/>
          <w:szCs w:val="20"/>
        </w:rPr>
        <w:t xml:space="preserve">, </w:t>
      </w:r>
      <w:r w:rsidR="009431A4">
        <w:rPr>
          <w:rFonts w:ascii="Arial Narrow" w:hAnsi="Arial Narrow"/>
          <w:sz w:val="20"/>
          <w:szCs w:val="20"/>
        </w:rPr>
        <w:t xml:space="preserve">but </w:t>
      </w:r>
      <w:r w:rsidR="00050E31">
        <w:rPr>
          <w:rFonts w:ascii="Arial Narrow" w:hAnsi="Arial Narrow"/>
          <w:sz w:val="20"/>
          <w:szCs w:val="20"/>
        </w:rPr>
        <w:t>includes</w:t>
      </w:r>
      <w:r w:rsidR="009431A4">
        <w:rPr>
          <w:rFonts w:ascii="Arial Narrow" w:hAnsi="Arial Narrow"/>
          <w:sz w:val="20"/>
          <w:szCs w:val="20"/>
        </w:rPr>
        <w:t xml:space="preserve"> cistplatin (or carboplatin) + pemetrexed, </w:t>
      </w:r>
      <w:r w:rsidRPr="00B1318F">
        <w:rPr>
          <w:rFonts w:ascii="Arial Narrow" w:hAnsi="Arial Narrow"/>
          <w:sz w:val="20"/>
          <w:szCs w:val="20"/>
        </w:rPr>
        <w:t xml:space="preserve">and should be </w:t>
      </w:r>
      <w:r w:rsidR="00556285">
        <w:rPr>
          <w:rFonts w:ascii="Arial Narrow" w:hAnsi="Arial Narrow"/>
          <w:sz w:val="20"/>
          <w:szCs w:val="20"/>
        </w:rPr>
        <w:t>likely to be beneficial</w:t>
      </w:r>
      <w:r w:rsidR="00195188">
        <w:rPr>
          <w:rFonts w:ascii="Arial Narrow" w:hAnsi="Arial Narrow"/>
          <w:sz w:val="20"/>
          <w:szCs w:val="20"/>
        </w:rPr>
        <w:t xml:space="preserve"> (may be </w:t>
      </w:r>
      <w:r w:rsidR="009431A4">
        <w:rPr>
          <w:rFonts w:ascii="Arial Narrow" w:hAnsi="Arial Narrow"/>
          <w:sz w:val="20"/>
          <w:szCs w:val="20"/>
        </w:rPr>
        <w:t xml:space="preserve">more clearly </w:t>
      </w:r>
      <w:r w:rsidRPr="00B1318F">
        <w:rPr>
          <w:rFonts w:ascii="Arial Narrow" w:hAnsi="Arial Narrow"/>
          <w:sz w:val="20"/>
          <w:szCs w:val="20"/>
        </w:rPr>
        <w:t xml:space="preserve">defined by the </w:t>
      </w:r>
      <w:r w:rsidR="009431A4">
        <w:rPr>
          <w:rFonts w:ascii="Arial Narrow" w:hAnsi="Arial Narrow"/>
          <w:sz w:val="20"/>
          <w:szCs w:val="20"/>
        </w:rPr>
        <w:t xml:space="preserve">inclusion criteria of the </w:t>
      </w:r>
      <w:r w:rsidRPr="00B1318F">
        <w:rPr>
          <w:rFonts w:ascii="Arial Narrow" w:hAnsi="Arial Narrow"/>
          <w:sz w:val="20"/>
          <w:szCs w:val="20"/>
        </w:rPr>
        <w:t>relevant clinical trials</w:t>
      </w:r>
      <w:r w:rsidR="00195188">
        <w:rPr>
          <w:rFonts w:ascii="Arial Narrow" w:hAnsi="Arial Narrow"/>
          <w:sz w:val="20"/>
          <w:szCs w:val="20"/>
        </w:rPr>
        <w:t>)</w:t>
      </w:r>
      <w:r>
        <w:rPr>
          <w:rFonts w:ascii="Arial Narrow" w:hAnsi="Arial Narrow"/>
          <w:sz w:val="20"/>
          <w:szCs w:val="20"/>
        </w:rPr>
        <w:t xml:space="preserve">; failure </w:t>
      </w:r>
      <w:r w:rsidR="00960A2C">
        <w:rPr>
          <w:rFonts w:ascii="Arial Narrow" w:hAnsi="Arial Narrow"/>
          <w:sz w:val="20"/>
          <w:szCs w:val="20"/>
        </w:rPr>
        <w:t>of</w:t>
      </w:r>
      <w:r>
        <w:rPr>
          <w:rFonts w:ascii="Arial Narrow" w:hAnsi="Arial Narrow"/>
          <w:sz w:val="20"/>
          <w:szCs w:val="20"/>
        </w:rPr>
        <w:t xml:space="preserve"> therapy</w:t>
      </w:r>
      <w:r w:rsidR="00960A2C">
        <w:rPr>
          <w:rFonts w:ascii="Arial Narrow" w:hAnsi="Arial Narrow"/>
          <w:sz w:val="20"/>
          <w:szCs w:val="20"/>
        </w:rPr>
        <w:t xml:space="preserve"> refers to failure of response or development of intolerance to therapy</w:t>
      </w:r>
    </w:p>
    <w:p w14:paraId="1015CBE7" w14:textId="70B812E9" w:rsidR="00511E1D" w:rsidRPr="00B1318F" w:rsidRDefault="00511E1D" w:rsidP="00511E1D">
      <w:pPr>
        <w:pStyle w:val="Caption"/>
      </w:pPr>
      <w:r>
        <w:t xml:space="preserve">Table </w:t>
      </w:r>
      <w:r>
        <w:fldChar w:fldCharType="begin"/>
      </w:r>
      <w:r>
        <w:instrText xml:space="preserve"> SEQ Table \* ARABIC </w:instrText>
      </w:r>
      <w:r>
        <w:fldChar w:fldCharType="separate"/>
      </w:r>
      <w:r w:rsidR="00C47DAF">
        <w:rPr>
          <w:noProof/>
        </w:rPr>
        <w:t>2</w:t>
      </w:r>
      <w:r>
        <w:fldChar w:fldCharType="end"/>
      </w:r>
      <w:r>
        <w:tab/>
        <w:t xml:space="preserve">Summary of the </w:t>
      </w:r>
      <w:r w:rsidR="00D55BE4">
        <w:t>outcomes component</w:t>
      </w:r>
      <w:r>
        <w:t xml:space="preserve"> of the PICO</w:t>
      </w:r>
    </w:p>
    <w:tbl>
      <w:tblPr>
        <w:tblW w:w="5270" w:type="pct"/>
        <w:tblInd w:w="-2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Table 2 Summary of the outcomes component of the PICO"/>
      </w:tblPr>
      <w:tblGrid>
        <w:gridCol w:w="1323"/>
        <w:gridCol w:w="8418"/>
      </w:tblGrid>
      <w:tr w:rsidR="00E27B0E" w14:paraId="09043B26" w14:textId="77777777" w:rsidTr="00C208F1">
        <w:trPr>
          <w:cantSplit/>
          <w:tblHeader/>
        </w:trPr>
        <w:tc>
          <w:tcPr>
            <w:tcW w:w="679" w:type="pct"/>
            <w:tcBorders>
              <w:top w:val="single" w:sz="8" w:space="0" w:color="auto"/>
              <w:bottom w:val="single" w:sz="8" w:space="0" w:color="auto"/>
              <w:right w:val="single" w:sz="4" w:space="0" w:color="auto"/>
            </w:tcBorders>
            <w:shd w:val="clear" w:color="auto" w:fill="D9D9D9"/>
          </w:tcPr>
          <w:p w14:paraId="3A68DD2E" w14:textId="77777777" w:rsidR="00E27B0E" w:rsidRPr="00084393" w:rsidRDefault="00E27B0E" w:rsidP="007A1161">
            <w:pPr>
              <w:spacing w:before="60" w:after="120" w:line="240" w:lineRule="auto"/>
              <w:rPr>
                <w:b/>
              </w:rPr>
            </w:pPr>
            <w:r>
              <w:rPr>
                <w:b/>
              </w:rPr>
              <w:t>Component</w:t>
            </w:r>
          </w:p>
        </w:tc>
        <w:tc>
          <w:tcPr>
            <w:tcW w:w="4321" w:type="pct"/>
            <w:tcBorders>
              <w:top w:val="single" w:sz="4" w:space="0" w:color="auto"/>
              <w:left w:val="single" w:sz="4" w:space="0" w:color="auto"/>
              <w:bottom w:val="single" w:sz="4" w:space="0" w:color="auto"/>
              <w:right w:val="single" w:sz="4" w:space="0" w:color="auto"/>
            </w:tcBorders>
            <w:shd w:val="clear" w:color="auto" w:fill="D9D9D9"/>
          </w:tcPr>
          <w:p w14:paraId="0A0BFD61" w14:textId="7C843000" w:rsidR="00E27B0E" w:rsidRDefault="00E27B0E" w:rsidP="007A1161">
            <w:pPr>
              <w:spacing w:before="60" w:after="120" w:line="240" w:lineRule="auto"/>
              <w:jc w:val="both"/>
              <w:rPr>
                <w:b/>
              </w:rPr>
            </w:pPr>
            <w:r>
              <w:rPr>
                <w:b/>
              </w:rPr>
              <w:t>Description</w:t>
            </w:r>
          </w:p>
        </w:tc>
      </w:tr>
      <w:tr w:rsidR="00A84A56" w:rsidRPr="00084393" w14:paraId="74F5BA9F" w14:textId="77777777" w:rsidTr="00C208F1">
        <w:trPr>
          <w:cantSplit/>
        </w:trPr>
        <w:tc>
          <w:tcPr>
            <w:tcW w:w="679" w:type="pct"/>
            <w:tcBorders>
              <w:right w:val="single" w:sz="4" w:space="0" w:color="auto"/>
            </w:tcBorders>
          </w:tcPr>
          <w:p w14:paraId="26B2E1E8" w14:textId="77777777" w:rsidR="00A84A56" w:rsidRPr="00084393" w:rsidRDefault="00A84A56" w:rsidP="007A4633">
            <w:pPr>
              <w:spacing w:before="60" w:after="120" w:line="240" w:lineRule="auto"/>
              <w:rPr>
                <w:rFonts w:cs="Arial"/>
              </w:rPr>
            </w:pPr>
            <w:r w:rsidRPr="00084393">
              <w:rPr>
                <w:rFonts w:cs="Arial"/>
              </w:rPr>
              <w:lastRenderedPageBreak/>
              <w:t>Outcomes</w:t>
            </w:r>
          </w:p>
        </w:tc>
        <w:tc>
          <w:tcPr>
            <w:tcW w:w="4321" w:type="pct"/>
            <w:tcBorders>
              <w:top w:val="single" w:sz="4" w:space="0" w:color="auto"/>
              <w:left w:val="single" w:sz="4" w:space="0" w:color="auto"/>
              <w:bottom w:val="single" w:sz="4" w:space="0" w:color="auto"/>
              <w:right w:val="single" w:sz="4" w:space="0" w:color="auto"/>
            </w:tcBorders>
          </w:tcPr>
          <w:p w14:paraId="37915A12" w14:textId="77777777" w:rsidR="00A94913" w:rsidRPr="00A94913" w:rsidRDefault="00A94913" w:rsidP="007A4633">
            <w:pPr>
              <w:spacing w:before="60" w:after="120" w:line="240" w:lineRule="auto"/>
              <w:rPr>
                <w:rFonts w:cs="Arial"/>
              </w:rPr>
            </w:pPr>
            <w:r w:rsidRPr="00A94913">
              <w:rPr>
                <w:rFonts w:cs="Arial"/>
              </w:rPr>
              <w:t xml:space="preserve">Outcomes </w:t>
            </w:r>
            <w:r w:rsidR="002E0982">
              <w:rPr>
                <w:rFonts w:cs="Arial"/>
              </w:rPr>
              <w:t>relevant to the assessment</w:t>
            </w:r>
            <w:r>
              <w:rPr>
                <w:rFonts w:cs="Arial"/>
              </w:rPr>
              <w:t xml:space="preserve"> </w:t>
            </w:r>
            <w:r w:rsidRPr="00A94913">
              <w:rPr>
                <w:rFonts w:cs="Arial"/>
              </w:rPr>
              <w:t>include:</w:t>
            </w:r>
          </w:p>
          <w:p w14:paraId="5E3947BE" w14:textId="77777777" w:rsidR="00A94913" w:rsidRPr="00AB2762" w:rsidRDefault="00A94913" w:rsidP="005F3DAC">
            <w:pPr>
              <w:spacing w:before="60" w:after="60" w:line="240" w:lineRule="auto"/>
              <w:rPr>
                <w:rFonts w:cs="Arial"/>
                <w:b/>
              </w:rPr>
            </w:pPr>
            <w:r w:rsidRPr="00AB2762">
              <w:rPr>
                <w:rFonts w:cs="Arial"/>
                <w:b/>
              </w:rPr>
              <w:t>Safety</w:t>
            </w:r>
          </w:p>
          <w:p w14:paraId="568230BE" w14:textId="77777777" w:rsidR="00A94913" w:rsidRPr="00A94913" w:rsidRDefault="00A94913" w:rsidP="005F3DAC">
            <w:pPr>
              <w:pStyle w:val="ListParagraph"/>
              <w:numPr>
                <w:ilvl w:val="0"/>
                <w:numId w:val="10"/>
              </w:numPr>
              <w:spacing w:before="60" w:after="120" w:line="240" w:lineRule="auto"/>
              <w:ind w:left="601" w:hanging="284"/>
              <w:rPr>
                <w:rFonts w:cs="Arial"/>
              </w:rPr>
            </w:pPr>
            <w:r w:rsidRPr="00A94913">
              <w:rPr>
                <w:rFonts w:cs="Arial"/>
              </w:rPr>
              <w:t>Physical harms from testing</w:t>
            </w:r>
          </w:p>
          <w:p w14:paraId="5B94D85E" w14:textId="77777777" w:rsidR="00A94913" w:rsidRDefault="00A94913" w:rsidP="005F3DAC">
            <w:pPr>
              <w:pStyle w:val="ListParagraph"/>
              <w:numPr>
                <w:ilvl w:val="0"/>
                <w:numId w:val="10"/>
              </w:numPr>
              <w:spacing w:before="60" w:after="120" w:line="240" w:lineRule="auto"/>
              <w:ind w:left="602" w:hanging="284"/>
              <w:rPr>
                <w:rFonts w:cs="Arial"/>
              </w:rPr>
            </w:pPr>
            <w:r w:rsidRPr="00A94913">
              <w:rPr>
                <w:rFonts w:cs="Arial"/>
              </w:rPr>
              <w:t>Adverse events related to a change in treatment associated with testing</w:t>
            </w:r>
          </w:p>
          <w:p w14:paraId="783D64D6" w14:textId="77777777" w:rsidR="00A94913" w:rsidRPr="00AB2762" w:rsidRDefault="00A94913" w:rsidP="005F3DAC">
            <w:pPr>
              <w:spacing w:before="60" w:after="60" w:line="240" w:lineRule="auto"/>
              <w:rPr>
                <w:rFonts w:cs="Arial"/>
                <w:b/>
              </w:rPr>
            </w:pPr>
            <w:r w:rsidRPr="00AB2762">
              <w:rPr>
                <w:rFonts w:cs="Arial"/>
                <w:b/>
              </w:rPr>
              <w:t>Clinical effectiveness</w:t>
            </w:r>
            <w:r w:rsidR="007A4633">
              <w:rPr>
                <w:rFonts w:cs="Arial"/>
                <w:b/>
              </w:rPr>
              <w:t xml:space="preserve"> associated with the test</w:t>
            </w:r>
          </w:p>
          <w:p w14:paraId="66526C03" w14:textId="77777777" w:rsidR="002E0982" w:rsidRPr="00AB2762" w:rsidRDefault="002E0982" w:rsidP="005F3DAC">
            <w:pPr>
              <w:spacing w:before="60" w:after="60" w:line="240" w:lineRule="auto"/>
              <w:ind w:firstLine="175"/>
              <w:rPr>
                <w:rFonts w:cs="Arial"/>
                <w:b/>
                <w:i/>
              </w:rPr>
            </w:pPr>
            <w:r w:rsidRPr="00AB2762">
              <w:rPr>
                <w:rFonts w:cs="Arial"/>
                <w:b/>
                <w:i/>
              </w:rPr>
              <w:t>Direct evidence</w:t>
            </w:r>
          </w:p>
          <w:p w14:paraId="03069C1D" w14:textId="4F3EEC91" w:rsidR="00A94913" w:rsidRPr="00A94913" w:rsidRDefault="00A94913" w:rsidP="005F3DAC">
            <w:pPr>
              <w:pStyle w:val="ListParagraph"/>
              <w:numPr>
                <w:ilvl w:val="0"/>
                <w:numId w:val="10"/>
              </w:numPr>
              <w:spacing w:before="60" w:after="120" w:line="240" w:lineRule="auto"/>
              <w:ind w:left="601" w:hanging="284"/>
              <w:rPr>
                <w:rFonts w:cs="Arial"/>
              </w:rPr>
            </w:pPr>
            <w:r w:rsidRPr="00A94913">
              <w:rPr>
                <w:rFonts w:cs="Arial"/>
              </w:rPr>
              <w:t xml:space="preserve">Primary outcomes – </w:t>
            </w:r>
            <w:r w:rsidR="00225C02" w:rsidRPr="00A94913">
              <w:rPr>
                <w:rFonts w:cs="Arial"/>
              </w:rPr>
              <w:t>progression-free survival, overall survival, quality of life</w:t>
            </w:r>
            <w:r w:rsidR="00225C02" w:rsidRPr="00A94913" w:rsidDel="00225C02">
              <w:rPr>
                <w:rFonts w:cs="Arial"/>
              </w:rPr>
              <w:t xml:space="preserve"> </w:t>
            </w:r>
          </w:p>
          <w:p w14:paraId="2F9FC307" w14:textId="3C065E01" w:rsidR="00A94913" w:rsidRDefault="00A94913" w:rsidP="005F3DAC">
            <w:pPr>
              <w:pStyle w:val="ListParagraph"/>
              <w:numPr>
                <w:ilvl w:val="0"/>
                <w:numId w:val="10"/>
              </w:numPr>
              <w:spacing w:before="60" w:after="60" w:line="240" w:lineRule="auto"/>
              <w:ind w:left="602" w:hanging="284"/>
              <w:rPr>
                <w:rFonts w:cs="Arial"/>
              </w:rPr>
            </w:pPr>
            <w:r w:rsidRPr="00A94913">
              <w:rPr>
                <w:rFonts w:cs="Arial"/>
              </w:rPr>
              <w:t xml:space="preserve">Secondary outcomes – </w:t>
            </w:r>
            <w:r w:rsidR="00225C02" w:rsidRPr="00A94913">
              <w:rPr>
                <w:rFonts w:cs="Arial"/>
              </w:rPr>
              <w:t xml:space="preserve">overall response rate, duration of response </w:t>
            </w:r>
          </w:p>
          <w:p w14:paraId="1F09A9C1" w14:textId="77777777" w:rsidR="002E0982" w:rsidRPr="00AB2762" w:rsidRDefault="002E0982" w:rsidP="005F3DAC">
            <w:pPr>
              <w:spacing w:before="60" w:after="60" w:line="240" w:lineRule="auto"/>
              <w:ind w:firstLine="175"/>
              <w:rPr>
                <w:rFonts w:cs="Arial"/>
                <w:b/>
                <w:i/>
              </w:rPr>
            </w:pPr>
            <w:r w:rsidRPr="00AB2762">
              <w:rPr>
                <w:rFonts w:cs="Arial"/>
                <w:b/>
                <w:i/>
              </w:rPr>
              <w:t>Linked evidence</w:t>
            </w:r>
          </w:p>
          <w:p w14:paraId="50C22329" w14:textId="77777777" w:rsidR="00AB2762" w:rsidRDefault="00AB2762" w:rsidP="005F3DAC">
            <w:pPr>
              <w:pStyle w:val="ListParagraph"/>
              <w:numPr>
                <w:ilvl w:val="0"/>
                <w:numId w:val="10"/>
              </w:numPr>
              <w:spacing w:before="60" w:after="120" w:line="240" w:lineRule="auto"/>
              <w:ind w:left="601" w:hanging="284"/>
              <w:rPr>
                <w:rFonts w:cs="Arial"/>
              </w:rPr>
            </w:pPr>
            <w:r>
              <w:rPr>
                <w:rFonts w:cs="Arial"/>
              </w:rPr>
              <w:t>Analytic validity</w:t>
            </w:r>
            <w:r w:rsidR="007A4633">
              <w:rPr>
                <w:rFonts w:cs="Arial"/>
              </w:rPr>
              <w:t xml:space="preserve">, </w:t>
            </w:r>
            <w:r w:rsidR="005F3DAC">
              <w:rPr>
                <w:rFonts w:cs="Arial"/>
              </w:rPr>
              <w:t>reproducibility (note that there is no reference standard so diagnostic accuracy cannot be measured)</w:t>
            </w:r>
          </w:p>
          <w:p w14:paraId="64B7BAB7" w14:textId="572A1DFF" w:rsidR="00132490" w:rsidRDefault="00132490" w:rsidP="005F3DAC">
            <w:pPr>
              <w:pStyle w:val="ListParagraph"/>
              <w:numPr>
                <w:ilvl w:val="0"/>
                <w:numId w:val="10"/>
              </w:numPr>
              <w:spacing w:before="60" w:after="120" w:line="240" w:lineRule="auto"/>
              <w:ind w:left="601" w:hanging="284"/>
              <w:rPr>
                <w:rFonts w:cs="Arial"/>
              </w:rPr>
            </w:pPr>
            <w:r>
              <w:rPr>
                <w:rFonts w:cs="Arial"/>
              </w:rPr>
              <w:t>Prognostic value of PD-L1 testing</w:t>
            </w:r>
          </w:p>
          <w:p w14:paraId="74FEAD70" w14:textId="51F5A0E4" w:rsidR="00132490" w:rsidRDefault="00132490" w:rsidP="005F3DAC">
            <w:pPr>
              <w:pStyle w:val="ListParagraph"/>
              <w:numPr>
                <w:ilvl w:val="0"/>
                <w:numId w:val="10"/>
              </w:numPr>
              <w:spacing w:before="60" w:after="120" w:line="240" w:lineRule="auto"/>
              <w:ind w:left="601" w:hanging="284"/>
              <w:rPr>
                <w:rFonts w:cs="Arial"/>
              </w:rPr>
            </w:pPr>
            <w:r>
              <w:rPr>
                <w:rFonts w:cs="Arial"/>
              </w:rPr>
              <w:t>Predictive value of PD-L1 testing</w:t>
            </w:r>
          </w:p>
          <w:p w14:paraId="42CBB1C3" w14:textId="77777777" w:rsidR="002E0982" w:rsidRPr="002E0982" w:rsidRDefault="002E0982" w:rsidP="005F3DAC">
            <w:pPr>
              <w:pStyle w:val="ListParagraph"/>
              <w:numPr>
                <w:ilvl w:val="0"/>
                <w:numId w:val="10"/>
              </w:numPr>
              <w:spacing w:before="60" w:after="120" w:line="240" w:lineRule="auto"/>
              <w:ind w:left="601" w:hanging="284"/>
              <w:rPr>
                <w:rFonts w:cs="Arial"/>
              </w:rPr>
            </w:pPr>
            <w:r w:rsidRPr="002E0982">
              <w:rPr>
                <w:rFonts w:cs="Arial"/>
              </w:rPr>
              <w:t>Change in management</w:t>
            </w:r>
          </w:p>
          <w:p w14:paraId="1BA21D48" w14:textId="26B2400B" w:rsidR="002E0982" w:rsidRPr="00D63D64" w:rsidRDefault="002E0982" w:rsidP="00D63D64">
            <w:pPr>
              <w:pStyle w:val="ListParagraph"/>
              <w:numPr>
                <w:ilvl w:val="0"/>
                <w:numId w:val="10"/>
              </w:numPr>
              <w:spacing w:before="60" w:after="120" w:line="240" w:lineRule="auto"/>
              <w:ind w:left="601" w:hanging="284"/>
              <w:rPr>
                <w:rFonts w:cs="Arial"/>
              </w:rPr>
            </w:pPr>
            <w:r w:rsidRPr="00D63D64">
              <w:rPr>
                <w:rFonts w:cs="Arial"/>
              </w:rPr>
              <w:t>Impact of change in management</w:t>
            </w:r>
            <w:r w:rsidR="00773D21" w:rsidRPr="00D63D64">
              <w:rPr>
                <w:rFonts w:cs="Arial"/>
              </w:rPr>
              <w:t xml:space="preserve"> (</w:t>
            </w:r>
            <w:r w:rsidR="00773D21">
              <w:rPr>
                <w:rFonts w:cs="Arial"/>
              </w:rPr>
              <w:t>t</w:t>
            </w:r>
            <w:r w:rsidRPr="00D63D64">
              <w:rPr>
                <w:rFonts w:cs="Arial"/>
              </w:rPr>
              <w:t>reatment effectiveness in the identified population</w:t>
            </w:r>
            <w:r w:rsidR="00773D21">
              <w:rPr>
                <w:rFonts w:cs="Arial"/>
              </w:rPr>
              <w:t xml:space="preserve"> – health outcomes as per direct evidence of effectiveness)</w:t>
            </w:r>
          </w:p>
          <w:p w14:paraId="354A0D87" w14:textId="77777777" w:rsidR="00F355CC" w:rsidRPr="00F355CC" w:rsidRDefault="002E0982" w:rsidP="007A4633">
            <w:pPr>
              <w:spacing w:before="60" w:after="120" w:line="240" w:lineRule="auto"/>
              <w:rPr>
                <w:vanish/>
                <w:color w:val="FF0000"/>
              </w:rPr>
            </w:pPr>
            <w:r w:rsidRPr="00AB2762">
              <w:rPr>
                <w:rFonts w:cs="Arial"/>
                <w:b/>
              </w:rPr>
              <w:t>Cost-effectiveness</w:t>
            </w:r>
          </w:p>
        </w:tc>
      </w:tr>
    </w:tbl>
    <w:p w14:paraId="12056A03" w14:textId="69508B1C" w:rsidR="002A4909" w:rsidRPr="001A339E" w:rsidRDefault="001A339E" w:rsidP="005B378F">
      <w:pPr>
        <w:spacing w:before="60"/>
        <w:rPr>
          <w:rFonts w:ascii="Arial Narrow" w:hAnsi="Arial Narrow"/>
          <w:sz w:val="18"/>
          <w:szCs w:val="18"/>
        </w:rPr>
      </w:pPr>
      <w:r w:rsidRPr="001A339E">
        <w:rPr>
          <w:rFonts w:ascii="Arial Narrow" w:hAnsi="Arial Narrow"/>
          <w:sz w:val="18"/>
          <w:szCs w:val="18"/>
        </w:rPr>
        <w:t>ECOG PS</w:t>
      </w:r>
      <w:r>
        <w:rPr>
          <w:rFonts w:ascii="Arial Narrow" w:hAnsi="Arial Narrow"/>
          <w:sz w:val="18"/>
          <w:szCs w:val="18"/>
        </w:rPr>
        <w:t xml:space="preserve"> =</w:t>
      </w:r>
      <w:r w:rsidR="00276DBE">
        <w:rPr>
          <w:rFonts w:ascii="Arial Narrow" w:hAnsi="Arial Narrow"/>
          <w:sz w:val="18"/>
          <w:szCs w:val="18"/>
        </w:rPr>
        <w:t xml:space="preserve"> European Cooperative Oncology Group; IHC = immunohistochemistry; PD-L1 = programmed cell death ligand 1</w:t>
      </w:r>
      <w:r>
        <w:rPr>
          <w:rFonts w:ascii="Arial Narrow" w:hAnsi="Arial Narrow"/>
          <w:sz w:val="18"/>
          <w:szCs w:val="18"/>
        </w:rPr>
        <w:t xml:space="preserve"> </w:t>
      </w:r>
    </w:p>
    <w:p w14:paraId="74C0BF7E" w14:textId="48E55C6A" w:rsidR="00276DBE" w:rsidRPr="003A5A61" w:rsidRDefault="00276DBE" w:rsidP="00276DBE">
      <w:pPr>
        <w:rPr>
          <w:b/>
        </w:rPr>
      </w:pPr>
      <w:r w:rsidRPr="003A5A61">
        <w:rPr>
          <w:b/>
        </w:rPr>
        <w:t>Research questions</w:t>
      </w:r>
      <w:r w:rsidR="00A72B08">
        <w:rPr>
          <w:b/>
        </w:rPr>
        <w:t xml:space="preserve"> for safety, direct effectiveness and cost-effectiveness</w:t>
      </w:r>
    </w:p>
    <w:p w14:paraId="2BE9D47D" w14:textId="4FA852AD" w:rsidR="006965C1" w:rsidRDefault="001E7B67" w:rsidP="00FA0D15">
      <w:pPr>
        <w:pStyle w:val="ListParagraph"/>
        <w:numPr>
          <w:ilvl w:val="0"/>
          <w:numId w:val="23"/>
        </w:numPr>
      </w:pPr>
      <w:r>
        <w:t xml:space="preserve">What is the safety, effectiveness and cost-effectiveness of PD-L1 testing for access to pembrolizumab compared to no PD-L1 testing </w:t>
      </w:r>
      <w:r w:rsidR="006965C1">
        <w:t xml:space="preserve">treatment with vinorelbine, pemetrexed </w:t>
      </w:r>
      <w:r w:rsidR="006965C1" w:rsidRPr="00A72B08">
        <w:t xml:space="preserve">monotherapy, platinum doublet or </w:t>
      </w:r>
      <w:r w:rsidR="00FA0D15">
        <w:t>best supportive care</w:t>
      </w:r>
      <w:r w:rsidR="006965C1" w:rsidRPr="00A72B08">
        <w:t>,</w:t>
      </w:r>
      <w:r w:rsidRPr="00A72B08">
        <w:t xml:space="preserve"> for </w:t>
      </w:r>
      <w:r w:rsidR="006965C1" w:rsidRPr="00A72B08">
        <w:t xml:space="preserve">patients </w:t>
      </w:r>
      <w:r w:rsidR="006965C1" w:rsidRPr="00D63D64">
        <w:t>with</w:t>
      </w:r>
      <w:r w:rsidR="006965C1" w:rsidRPr="00450861">
        <w:t xml:space="preserve"> </w:t>
      </w:r>
      <w:r w:rsidR="00215A86" w:rsidRPr="00FA0D15">
        <w:t>unresectable</w:t>
      </w:r>
      <w:r w:rsidR="00215A86">
        <w:t xml:space="preserve"> </w:t>
      </w:r>
      <w:r w:rsidR="006965C1" w:rsidRPr="00450861">
        <w:t xml:space="preserve">mesothelioma, </w:t>
      </w:r>
      <w:r w:rsidR="006965C1" w:rsidRPr="00FA0D15">
        <w:t xml:space="preserve">in whom </w:t>
      </w:r>
      <w:r w:rsidR="00215A86">
        <w:t xml:space="preserve">first-line </w:t>
      </w:r>
      <w:r w:rsidR="006965C1" w:rsidRPr="00FA0D15">
        <w:t>standard of care treatment has failed</w:t>
      </w:r>
      <w:r w:rsidR="006965C1" w:rsidRPr="006965C1">
        <w:t>?</w:t>
      </w:r>
    </w:p>
    <w:p w14:paraId="6F738768" w14:textId="390740F0" w:rsidR="006965C1" w:rsidRDefault="006965C1" w:rsidP="00FA0D15">
      <w:pPr>
        <w:pStyle w:val="ListParagraph"/>
        <w:numPr>
          <w:ilvl w:val="0"/>
          <w:numId w:val="23"/>
        </w:numPr>
      </w:pPr>
      <w:r>
        <w:t xml:space="preserve">What </w:t>
      </w:r>
      <w:r w:rsidRPr="00C87E35">
        <w:t xml:space="preserve">is the safety, effectiveness and cost-effectiveness of </w:t>
      </w:r>
      <w:r w:rsidRPr="00FA0D15">
        <w:t>non-selective pembrolizumab treatmen</w:t>
      </w:r>
      <w:r w:rsidRPr="00C87E35">
        <w:t>t compared to vinorelbine, pemetrexed monotherapy, platinum doublet or no treatment, for patients with</w:t>
      </w:r>
      <w:r w:rsidR="00FA0D15">
        <w:t xml:space="preserve"> unresectable </w:t>
      </w:r>
      <w:r w:rsidRPr="00C87E35">
        <w:t xml:space="preserve">mesothelioma, </w:t>
      </w:r>
      <w:r w:rsidRPr="00FA0D15">
        <w:t xml:space="preserve">in whom </w:t>
      </w:r>
      <w:r w:rsidR="00215A86">
        <w:t xml:space="preserve">first-line </w:t>
      </w:r>
      <w:r w:rsidRPr="00FA0D15">
        <w:t>standard of care treatment has failed</w:t>
      </w:r>
      <w:r w:rsidRPr="00C87E35">
        <w:t>?</w:t>
      </w:r>
    </w:p>
    <w:p w14:paraId="132BD654" w14:textId="70E05F96" w:rsidR="00F020EA" w:rsidRDefault="00F020EA" w:rsidP="00F020EA">
      <w:pPr>
        <w:pStyle w:val="ListParagraph"/>
        <w:numPr>
          <w:ilvl w:val="0"/>
          <w:numId w:val="23"/>
        </w:numPr>
      </w:pPr>
      <w:r>
        <w:t xml:space="preserve">What is the safety, effectiveness and cost-effectiveness of PD-L1 testing for access to pembrolizumab compared to no PD-L1 testing and </w:t>
      </w:r>
      <w:r w:rsidR="00FA0D15">
        <w:t xml:space="preserve">best supportive care </w:t>
      </w:r>
      <w:r>
        <w:t xml:space="preserve">or second-line treatment options for patients with </w:t>
      </w:r>
      <w:r w:rsidR="00FA0D15">
        <w:t xml:space="preserve">unresectable </w:t>
      </w:r>
      <w:r>
        <w:t xml:space="preserve">mesothelioma, in whom </w:t>
      </w:r>
      <w:r w:rsidR="00215A86">
        <w:t xml:space="preserve">first-line </w:t>
      </w:r>
      <w:r>
        <w:t>standard of care treatment is not appropriate?</w:t>
      </w:r>
    </w:p>
    <w:p w14:paraId="13CA0E23" w14:textId="3039CAB4" w:rsidR="00F020EA" w:rsidRDefault="00F020EA" w:rsidP="00F020EA">
      <w:pPr>
        <w:pStyle w:val="ListParagraph"/>
        <w:numPr>
          <w:ilvl w:val="0"/>
          <w:numId w:val="23"/>
        </w:numPr>
      </w:pPr>
      <w:r>
        <w:t xml:space="preserve">What is the safety, effectiveness and cost-effectiveness of non-selective pembrolizumab treatment compared to </w:t>
      </w:r>
      <w:r w:rsidR="00215A86">
        <w:t>best supportive care or second-line treatment options</w:t>
      </w:r>
      <w:r>
        <w:t xml:space="preserve"> for patients with</w:t>
      </w:r>
      <w:r w:rsidR="00050E31">
        <w:t xml:space="preserve"> </w:t>
      </w:r>
      <w:r w:rsidR="00215A86">
        <w:t xml:space="preserve">unresectable </w:t>
      </w:r>
      <w:r>
        <w:t xml:space="preserve">mesothelioma, in whom </w:t>
      </w:r>
      <w:r w:rsidR="00215A86">
        <w:t xml:space="preserve">first-line </w:t>
      </w:r>
      <w:r>
        <w:t>standard of care treatment is not appropriate?</w:t>
      </w:r>
    </w:p>
    <w:p w14:paraId="572A260D" w14:textId="77777777" w:rsidR="006965C1" w:rsidRDefault="006965C1" w:rsidP="00463EDF">
      <w:pPr>
        <w:pStyle w:val="ListParagraph"/>
      </w:pPr>
    </w:p>
    <w:p w14:paraId="5451B2FD" w14:textId="01DEA25A" w:rsidR="00276DBE" w:rsidRPr="003A5A61" w:rsidRDefault="00A72B08" w:rsidP="00463EDF">
      <w:pPr>
        <w:keepNext/>
        <w:keepLines/>
        <w:rPr>
          <w:b/>
        </w:rPr>
      </w:pPr>
      <w:r>
        <w:rPr>
          <w:b/>
        </w:rPr>
        <w:lastRenderedPageBreak/>
        <w:t>Research questions for l</w:t>
      </w:r>
      <w:r w:rsidR="00276DBE" w:rsidRPr="003A5A61">
        <w:rPr>
          <w:b/>
        </w:rPr>
        <w:t>inked evidence</w:t>
      </w:r>
    </w:p>
    <w:p w14:paraId="5D4C789D" w14:textId="4C7487CA" w:rsidR="00276DBE" w:rsidRDefault="00276DBE" w:rsidP="00463EDF">
      <w:pPr>
        <w:pStyle w:val="ListParagraph"/>
        <w:keepNext/>
        <w:keepLines/>
        <w:numPr>
          <w:ilvl w:val="0"/>
          <w:numId w:val="23"/>
        </w:numPr>
      </w:pPr>
      <w:r w:rsidRPr="004F0F3B">
        <w:t xml:space="preserve">What is the </w:t>
      </w:r>
      <w:r>
        <w:t>analytic</w:t>
      </w:r>
      <w:r w:rsidR="00A72B08">
        <w:t xml:space="preserve">al validity and reproducibility </w:t>
      </w:r>
      <w:r w:rsidRPr="004F0F3B">
        <w:t xml:space="preserve">of </w:t>
      </w:r>
      <w:r>
        <w:t>PD-L1</w:t>
      </w:r>
      <w:r w:rsidRPr="004F0F3B">
        <w:t xml:space="preserve"> testing in </w:t>
      </w:r>
      <w:r w:rsidR="00A72B08" w:rsidRPr="00BE0E68">
        <w:t xml:space="preserve">patients with </w:t>
      </w:r>
      <w:r w:rsidR="00BE0E68">
        <w:t>unresectable</w:t>
      </w:r>
      <w:r w:rsidR="001E7B67">
        <w:t xml:space="preserve"> mesothelioma</w:t>
      </w:r>
      <w:r w:rsidR="00A72B08">
        <w:t xml:space="preserve"> in whom treatment with </w:t>
      </w:r>
      <w:r w:rsidR="00BE0E68">
        <w:t xml:space="preserve">first-line </w:t>
      </w:r>
      <w:r w:rsidR="00A72B08">
        <w:t>standard of care is not appropriate or has failed</w:t>
      </w:r>
      <w:r w:rsidRPr="004F0F3B">
        <w:t>?</w:t>
      </w:r>
    </w:p>
    <w:p w14:paraId="627745C1" w14:textId="0871968F" w:rsidR="00132490" w:rsidRDefault="00276DBE" w:rsidP="00BE0E68">
      <w:pPr>
        <w:pStyle w:val="ListParagraph"/>
        <w:numPr>
          <w:ilvl w:val="0"/>
          <w:numId w:val="23"/>
        </w:numPr>
      </w:pPr>
      <w:r>
        <w:t xml:space="preserve">Is PD-L1 testing </w:t>
      </w:r>
      <w:r w:rsidRPr="00420363">
        <w:t xml:space="preserve">able to predict </w:t>
      </w:r>
      <w:r w:rsidR="00773D21">
        <w:t>the prognosis of</w:t>
      </w:r>
      <w:r w:rsidRPr="004F0F3B">
        <w:t xml:space="preserve"> </w:t>
      </w:r>
      <w:r w:rsidR="00132490" w:rsidRPr="00C87E35">
        <w:t xml:space="preserve">patients with </w:t>
      </w:r>
      <w:r w:rsidR="00BE0E68">
        <w:t>unresectable</w:t>
      </w:r>
      <w:r w:rsidR="00132490">
        <w:t xml:space="preserve"> mesothelioma in whom treatment with </w:t>
      </w:r>
      <w:r w:rsidR="00BE0E68">
        <w:t xml:space="preserve">first-line </w:t>
      </w:r>
      <w:r w:rsidR="00132490">
        <w:t>standard of care is not appropriate or has failed, irrespective of treatment received</w:t>
      </w:r>
      <w:r w:rsidR="00132490" w:rsidRPr="004F0F3B">
        <w:t>?</w:t>
      </w:r>
      <w:r>
        <w:t xml:space="preserve"> </w:t>
      </w:r>
      <w:r w:rsidR="00BD3551">
        <w:t xml:space="preserve">(i.e. </w:t>
      </w:r>
      <w:r w:rsidR="00132490">
        <w:t>does it have prognostic value</w:t>
      </w:r>
      <w:r w:rsidR="00773D21">
        <w:t>?</w:t>
      </w:r>
      <w:r w:rsidR="00BD3551">
        <w:t>)</w:t>
      </w:r>
      <w:r w:rsidR="00132490">
        <w:t>.</w:t>
      </w:r>
    </w:p>
    <w:p w14:paraId="2F33CEE5" w14:textId="08A9A486" w:rsidR="00132490" w:rsidRDefault="00132490" w:rsidP="00BE0E68">
      <w:pPr>
        <w:pStyle w:val="ListParagraph"/>
        <w:numPr>
          <w:ilvl w:val="0"/>
          <w:numId w:val="23"/>
        </w:numPr>
      </w:pPr>
      <w:r>
        <w:t xml:space="preserve">Does PD-L1 </w:t>
      </w:r>
      <w:r w:rsidR="00773D21">
        <w:t>expression</w:t>
      </w:r>
      <w:r>
        <w:t xml:space="preserve"> predict which patients are going to respond to pembrolizumab, compared to </w:t>
      </w:r>
      <w:r w:rsidR="00BE0E68">
        <w:t>best supportive care or</w:t>
      </w:r>
      <w:r>
        <w:t xml:space="preserve"> treatment with vinorelbine, pemetrexed monotherapy, platinum doublet,</w:t>
      </w:r>
      <w:r w:rsidR="00067B0A">
        <w:t xml:space="preserve"> </w:t>
      </w:r>
      <w:r w:rsidR="00773D21">
        <w:t xml:space="preserve">in whom treatment with </w:t>
      </w:r>
      <w:r w:rsidR="00BE0E68">
        <w:t xml:space="preserve">first-line </w:t>
      </w:r>
      <w:r w:rsidR="00773D21">
        <w:t>standard of care is not appropriate or has failed? (i.e. does it have predictive value?)</w:t>
      </w:r>
    </w:p>
    <w:p w14:paraId="63BE2B75" w14:textId="0790B3E1" w:rsidR="00773D21" w:rsidRDefault="00773D21" w:rsidP="00BE0E68">
      <w:pPr>
        <w:pStyle w:val="ListParagraph"/>
        <w:numPr>
          <w:ilvl w:val="1"/>
          <w:numId w:val="23"/>
        </w:numPr>
      </w:pPr>
      <w:r>
        <w:t xml:space="preserve">Is there a </w:t>
      </w:r>
      <w:r w:rsidRPr="00D552D0">
        <w:t>treatment effect modification (i.e. interaction) as a consequence of biomarker status</w:t>
      </w:r>
      <w:r>
        <w:t>?</w:t>
      </w:r>
    </w:p>
    <w:p w14:paraId="1BFF72C6" w14:textId="6F196179" w:rsidR="00276DBE" w:rsidRDefault="00132490" w:rsidP="00BE0E68">
      <w:pPr>
        <w:pStyle w:val="ListParagraph"/>
        <w:numPr>
          <w:ilvl w:val="0"/>
          <w:numId w:val="23"/>
        </w:numPr>
      </w:pPr>
      <w:r>
        <w:t xml:space="preserve">Does expression of PD-L1 impact the treatment which patients receive, in those with </w:t>
      </w:r>
      <w:r w:rsidR="00BE0E68">
        <w:t>unresectable</w:t>
      </w:r>
      <w:r>
        <w:t xml:space="preserve"> mesothelioma, in whom </w:t>
      </w:r>
      <w:r w:rsidR="00BE0E68">
        <w:t xml:space="preserve">first-line </w:t>
      </w:r>
      <w:r>
        <w:t>standard of care treatment is not appropriate or has failed?</w:t>
      </w:r>
      <w:r w:rsidR="00773D21">
        <w:t xml:space="preserve"> (i.e. does it change management?)</w:t>
      </w:r>
    </w:p>
    <w:p w14:paraId="1CF69665" w14:textId="3A5C8499" w:rsidR="001E7B67" w:rsidRDefault="00276DBE" w:rsidP="00BE0E68">
      <w:pPr>
        <w:pStyle w:val="ListParagraph"/>
        <w:numPr>
          <w:ilvl w:val="0"/>
          <w:numId w:val="23"/>
        </w:numPr>
      </w:pPr>
      <w:r w:rsidRPr="004F0F3B">
        <w:t>Does treatment with pembrolizumab lead to better h</w:t>
      </w:r>
      <w:r>
        <w:t xml:space="preserve">ealth outcomes </w:t>
      </w:r>
      <w:r w:rsidRPr="004F0F3B">
        <w:t xml:space="preserve">in </w:t>
      </w:r>
      <w:r w:rsidR="00773D21" w:rsidRPr="00C87E35">
        <w:t xml:space="preserve">patients with </w:t>
      </w:r>
      <w:r w:rsidR="00BE0E68">
        <w:t>unresectable</w:t>
      </w:r>
      <w:r w:rsidR="00773D21">
        <w:t xml:space="preserve"> mesothelioma in whom treatment with </w:t>
      </w:r>
      <w:r w:rsidR="00BE0E68">
        <w:t xml:space="preserve">first-line </w:t>
      </w:r>
      <w:r w:rsidR="00773D21">
        <w:t>standard of care is not appropriate or has failed,</w:t>
      </w:r>
      <w:r w:rsidR="00773D21" w:rsidRPr="004F0F3B" w:rsidDel="00773D21">
        <w:t xml:space="preserve"> </w:t>
      </w:r>
      <w:r>
        <w:t xml:space="preserve">who express PD-L1 </w:t>
      </w:r>
      <w:r w:rsidRPr="004F0F3B">
        <w:t xml:space="preserve">compared with </w:t>
      </w:r>
      <w:r w:rsidR="00BE0E68">
        <w:t>and best supportive care</w:t>
      </w:r>
      <w:r w:rsidR="00773D21">
        <w:t>, or treatment with vinorelbine, pemetrexed monotherapy, platinum doublet</w:t>
      </w:r>
      <w:r w:rsidRPr="004F0F3B">
        <w:t>?</w:t>
      </w:r>
    </w:p>
    <w:p w14:paraId="6737C8D9" w14:textId="77777777" w:rsidR="00276DBE" w:rsidRDefault="00276DBE" w:rsidP="00276DBE"/>
    <w:p w14:paraId="622113C8" w14:textId="768F05E5" w:rsidR="007F4E20" w:rsidRPr="00E364F7" w:rsidRDefault="00E364F7" w:rsidP="00086219">
      <w:pPr>
        <w:pStyle w:val="Heading2"/>
      </w:pPr>
      <w:r w:rsidRPr="00E364F7">
        <w:t>PICO</w:t>
      </w:r>
      <w:r w:rsidR="00953ED7">
        <w:t xml:space="preserve"> </w:t>
      </w:r>
      <w:r w:rsidRPr="00E364F7">
        <w:t>rationale</w:t>
      </w:r>
      <w:r w:rsidR="006D1643">
        <w:t xml:space="preserve"> </w:t>
      </w:r>
    </w:p>
    <w:p w14:paraId="2A00CF87" w14:textId="77777777" w:rsidR="00896845" w:rsidRPr="00C34809" w:rsidRDefault="00896845" w:rsidP="00463EDF">
      <w:pPr>
        <w:pStyle w:val="Heading3"/>
      </w:pPr>
      <w:r w:rsidRPr="00C34809">
        <w:t>Population</w:t>
      </w:r>
    </w:p>
    <w:p w14:paraId="7C2628C9" w14:textId="4870F838" w:rsidR="00DA7D56" w:rsidRDefault="001A339E" w:rsidP="002B3338">
      <w:r>
        <w:t xml:space="preserve">Mesothelioma is </w:t>
      </w:r>
      <w:r w:rsidR="007F29A8">
        <w:t xml:space="preserve">a </w:t>
      </w:r>
      <w:r>
        <w:t>rare but aggressive cancer that is usually eviden</w:t>
      </w:r>
      <w:r w:rsidR="005B0A80">
        <w:t>t</w:t>
      </w:r>
      <w:r>
        <w:t xml:space="preserve"> 20 to 40 years after exposure. It is caused by exposure to asbestos fibre and </w:t>
      </w:r>
      <w:r w:rsidR="00B55EDE">
        <w:t>has been diagnosed in increasing numbers since 1982, when national data first became available, until its peak in 2011 when</w:t>
      </w:r>
      <w:r w:rsidR="00753DA7">
        <w:t xml:space="preserve"> 690 new cases were diagnosed. </w:t>
      </w:r>
      <w:r w:rsidR="00D57862">
        <w:t>The majority of patients have the pleural form of the disease (93% of cases since 1982) and the peritoneal form account</w:t>
      </w:r>
      <w:r w:rsidR="008028FD">
        <w:t>s</w:t>
      </w:r>
      <w:r w:rsidR="00D57862">
        <w:t xml:space="preserve"> for 6% of cases</w:t>
      </w:r>
      <w:r w:rsidR="00960BE9">
        <w:t xml:space="preserve"> </w:t>
      </w:r>
      <w:r w:rsidR="00960BE9">
        <w:fldChar w:fldCharType="begin"/>
      </w:r>
      <w:r w:rsidR="00960BE9">
        <w:instrText xml:space="preserve"> ADDIN EN.CITE &lt;EndNote&gt;&lt;Cite&gt;&lt;Author&gt;AIHW&lt;/Author&gt;&lt;Year&gt;2015&lt;/Year&gt;&lt;RecNum&gt;10&lt;/RecNum&gt;&lt;DisplayText&gt;(AIHW 2015)&lt;/DisplayText&gt;&lt;record&gt;&lt;rec-number&gt;10&lt;/rec-number&gt;&lt;foreign-keys&gt;&lt;key app="EN" db-id="fferfteelrvx9zez9ptvxz0fsw9pp5wdddsf" timestamp="1471931318"&gt;10&lt;/key&gt;&lt;/foreign-keys&gt;&lt;ref-type name="Report"&gt;27&lt;/ref-type&gt;&lt;contributors&gt;&lt;authors&gt;&lt;author&gt;AIHW&lt;/author&gt;&lt;/authors&gt;&lt;/contributors&gt;&lt;titles&gt;&lt;title&gt;Mesothelioma io Australia: Incidence (1982 to 2013) and Mortality (1997 to 2012)&lt;/title&gt;&lt;/titles&gt;&lt;dates&gt;&lt;year&gt;2015&lt;/year&gt;&lt;/dates&gt;&lt;pub-location&gt;Safe Work Australia&lt;/pub-location&gt;&lt;publisher&gt;Australian Institute of Health and Welfare&lt;/publisher&gt;&lt;urls&gt;&lt;related-urls&gt;&lt;url&gt;http://www.safeworkaustralia.gov.au/sites/SWA/about/Publications/Documents/909/mesothelioma-in-australia-2015.pdf&lt;/url&gt;&lt;/related-urls&gt;&lt;/urls&gt;&lt;/record&gt;&lt;/Cite&gt;&lt;/EndNote&gt;</w:instrText>
      </w:r>
      <w:r w:rsidR="00960BE9">
        <w:fldChar w:fldCharType="separate"/>
      </w:r>
      <w:r w:rsidR="00960BE9">
        <w:rPr>
          <w:noProof/>
        </w:rPr>
        <w:t>(</w:t>
      </w:r>
      <w:hyperlink w:anchor="_ENREF_1" w:tooltip="AIHW, 2015 #10" w:history="1">
        <w:r w:rsidR="00753DA7">
          <w:rPr>
            <w:noProof/>
          </w:rPr>
          <w:t>AIHW 2015</w:t>
        </w:r>
      </w:hyperlink>
      <w:r w:rsidR="00960BE9">
        <w:rPr>
          <w:noProof/>
        </w:rPr>
        <w:t>)</w:t>
      </w:r>
      <w:r w:rsidR="00960BE9">
        <w:fldChar w:fldCharType="end"/>
      </w:r>
      <w:r w:rsidR="00D57862">
        <w:t>.</w:t>
      </w:r>
      <w:r w:rsidR="003B02BA">
        <w:t xml:space="preserve"> </w:t>
      </w:r>
      <w:r w:rsidR="005B0A80">
        <w:t xml:space="preserve">Patients are usually diagnosed with the disease in its advanced forms and there is little effective treatment available, once surgery </w:t>
      </w:r>
      <w:r w:rsidR="00534341">
        <w:t xml:space="preserve">is not </w:t>
      </w:r>
      <w:r w:rsidR="008028FD">
        <w:t>an option</w:t>
      </w:r>
      <w:r w:rsidR="005B0A80">
        <w:t xml:space="preserve">. </w:t>
      </w:r>
    </w:p>
    <w:p w14:paraId="5EF79071" w14:textId="77777777" w:rsidR="00DA7D56" w:rsidRDefault="003B02BA" w:rsidP="002B3338">
      <w:r>
        <w:t xml:space="preserve">Recent discovery of </w:t>
      </w:r>
      <w:r w:rsidR="00DA7D56">
        <w:t xml:space="preserve">the </w:t>
      </w:r>
      <w:r w:rsidR="00534341">
        <w:t>over</w:t>
      </w:r>
      <w:r w:rsidR="00166636">
        <w:t>-</w:t>
      </w:r>
      <w:r w:rsidR="00534341">
        <w:t xml:space="preserve">expression of </w:t>
      </w:r>
      <w:r w:rsidR="004B019F">
        <w:t>the programmed death (</w:t>
      </w:r>
      <w:r w:rsidR="00DA7D56">
        <w:t>PD</w:t>
      </w:r>
      <w:r w:rsidR="004B019F">
        <w:t>)</w:t>
      </w:r>
      <w:r w:rsidR="00DA7D56">
        <w:t xml:space="preserve"> ligands (</w:t>
      </w:r>
      <w:r>
        <w:t>PD-L1 and L2</w:t>
      </w:r>
      <w:r w:rsidR="00DA7D56">
        <w:t>)</w:t>
      </w:r>
      <w:r>
        <w:t xml:space="preserve"> </w:t>
      </w:r>
      <w:r w:rsidR="004B019F">
        <w:t>on the surface of</w:t>
      </w:r>
      <w:r>
        <w:t xml:space="preserve"> tumour cells has led to the analysis of these markers in </w:t>
      </w:r>
      <w:r w:rsidR="005B0A80">
        <w:t>mesothelioma tissue.</w:t>
      </w:r>
      <w:r>
        <w:t xml:space="preserve"> </w:t>
      </w:r>
      <w:r w:rsidR="00DA7D56">
        <w:t xml:space="preserve">PD-1 is a transmembrane receptor protein </w:t>
      </w:r>
      <w:r w:rsidR="004B019F">
        <w:t>expressed</w:t>
      </w:r>
      <w:r w:rsidR="00DA7D56">
        <w:t xml:space="preserve"> on </w:t>
      </w:r>
      <w:r w:rsidR="004B019F">
        <w:t>T cells</w:t>
      </w:r>
      <w:r w:rsidR="00DA7D56">
        <w:t xml:space="preserve"> </w:t>
      </w:r>
      <w:r w:rsidR="00534341">
        <w:t xml:space="preserve">which </w:t>
      </w:r>
      <w:r w:rsidR="00DA7D56">
        <w:t>bind</w:t>
      </w:r>
      <w:r w:rsidR="004B019F">
        <w:t>s</w:t>
      </w:r>
      <w:r w:rsidR="00DA7D56">
        <w:t xml:space="preserve"> to</w:t>
      </w:r>
      <w:r w:rsidR="00534341">
        <w:t xml:space="preserve"> </w:t>
      </w:r>
      <w:r w:rsidR="004B019F">
        <w:t>the</w:t>
      </w:r>
      <w:r w:rsidR="00534341">
        <w:t xml:space="preserve"> paired ligand on the surface of </w:t>
      </w:r>
      <w:r w:rsidR="004B019F">
        <w:t>tumour</w:t>
      </w:r>
      <w:r w:rsidR="00534341">
        <w:t xml:space="preserve"> cells, triggering a process whereby T cells are </w:t>
      </w:r>
      <w:r w:rsidR="004B019F">
        <w:t>inactivated</w:t>
      </w:r>
      <w:r w:rsidR="00534341">
        <w:t xml:space="preserve">, and preventing the </w:t>
      </w:r>
      <w:r w:rsidR="00DF167F">
        <w:t>normal pathway o</w:t>
      </w:r>
      <w:r w:rsidR="004B019F">
        <w:t>f apoptosis in the tumour cell.</w:t>
      </w:r>
    </w:p>
    <w:p w14:paraId="5A6D2EC4" w14:textId="6E814FD8" w:rsidR="00244BA9" w:rsidRDefault="00960BE9" w:rsidP="002B3338">
      <w:r>
        <w:t xml:space="preserve">PD-L1 has </w:t>
      </w:r>
      <w:r w:rsidR="005B0A80">
        <w:t xml:space="preserve">been found expressed in varying proportion of </w:t>
      </w:r>
      <w:r w:rsidR="001A19FE">
        <w:t xml:space="preserve">FFPE </w:t>
      </w:r>
      <w:r w:rsidR="005B0A80">
        <w:t>malignant pleural mesothelioma (MPM) tissue</w:t>
      </w:r>
      <w:r w:rsidR="001A19FE">
        <w:t xml:space="preserve"> samples</w:t>
      </w:r>
      <w:r w:rsidR="005B0A80">
        <w:t xml:space="preserve">, reported between 20.7% </w:t>
      </w:r>
      <w:r w:rsidR="001A19FE">
        <w:t>to 4</w:t>
      </w:r>
      <w:r w:rsidR="00CC1BDE">
        <w:t>5</w:t>
      </w:r>
      <w:r w:rsidR="001A19FE">
        <w:t>% (</w:t>
      </w:r>
      <w:r w:rsidR="001A19FE">
        <w:fldChar w:fldCharType="begin">
          <w:fldData xml:space="preserve">PEVuZE5vdGU+PENpdGU+PEF1dGhvcj5DZWRyZXM8L0F1dGhvcj48WWVhcj4yMDE1PC9ZZWFyPjxS
ZWNOdW0+ODwvUmVjTnVtPjxJRFRleHQ+ZTAxMjEwNzE8L0lEVGV4dD48RGlzcGxheVRleHQ+KENl
ZHJlcyBldCBhbC4gMjAxNSk8L0Rpc3BsYXlUZXh0PjxyZWNvcmQ+PHJlYy1udW1iZXI+ODwvcmVj
LW51bWJlcj48Zm9yZWlnbi1rZXlzPjxrZXkgYXBwPSJFTiIgZGItaWQ9ImZmZXJmdGVlbHJ2eDl6
ZXo5cHR2eHowZnN3OXBwNXdkZGRzZiIgdGltZXN0YW1wPSIxNDcxOTI3NjQxIj44PC9rZXk+PC9m
b3JlaWduLWtleXM+PHJlZi10eXBlIG5hbWU9IkpvdXJuYWwgQXJ0aWNsZSI+MTc8L3JlZi10eXBl
Pjxjb250cmlidXRvcnM+PGF1dGhvcnM+PGF1dGhvcj5DZWRyZXMsIFMuPC9hdXRob3I+PGF1dGhv
cj5Qb25jZS1BaXgsIFMuPC9hdXRob3I+PGF1dGhvcj5adWdhemFnb2l0aWEsIEouPC9hdXRob3I+
PGF1dGhvcj5TYW5zYW5vLCBJLjwvYXV0aG9yPjxhdXRob3I+RW5ndWl0YSwgQS48L2F1dGhvcj48
YXV0aG9yPk5hdmFycm8tTWVuZGl2aWwsIEEuPC9hdXRob3I+PGF1dGhvcj5NYXJ0aW5lei1NYXJ0
aSwgQS48L2F1dGhvcj48YXV0aG9yPk1hcnRpbmV6LCBQLjwvYXV0aG9yPjxhdXRob3I+RmVsaXAs
IEUuPC9hdXRob3I+PC9hdXRob3JzPjwvY29udHJpYnV0b3JzPjxhdXRoLWFkZHJlc3M+TWVkaWNh
bCBPbmNvbG9neSBTZXJ2aWNlL1ZhbGwgZCBIZWJyb24gSW5zdGl0dXRlIE9uY29sb2d5LCBWYWxs
IGQmYXBvcztIZWJyb24gVW5pdmVyc2l0eSBIb3NwaXRhbCwgQmFyY2Vsb25hLCBTcGFpbi4mI3hE
O01lZGljYWwgT25jb2xvZ3kgU2VydmljZS8gMTIgZGUgT2N0dWJyZSBVbml2ZXJzaXR5IEhvc3Bp
dGFsLCBNYWRyaWQsIFNwYWluLiYjeEQ7UGF0aG9sb2d5IERlcGFydG1lbnQvIFZhbGwgZCZhcG9z
O0hlYnJvbiBVbml2ZXJzaXR5IEhvc3BpdGFsLCBCYXJjZWxvbmEsIFNwYWluLiYjeEQ7UGF0aG9s
b2d5IERlcGFydG1lbnQvMTIgZGUgT2N0dWJyZSBVbml2ZXJzaXR5IEhvc3BpdGFsLCBNYWRyaWQs
IFNwYWluLjwvYXV0aC1hZGRyZXNzPjx0aXRsZXM+PHRpdGxlPkFuYWx5c2lzIG9mIGV4cHJlc3Np
b24gb2YgcHJvZ3JhbW1lZCBjZWxsIGRlYXRoIDEgbGlnYW5kIDEgKFBELUwxKSBpbiBtYWxpZ25h
bnQgcGxldXJhbCBtZXNvdGhlbGlvbWEgKE1QTSk8L3RpdGxlPjxzZWNvbmRhcnktdGl0bGU+UExv
UyBPbmU8L3NlY29uZGFyeS10aXRsZT48L3RpdGxlcz48cGVyaW9kaWNhbD48ZnVsbC10aXRsZT5Q
TG9TIE9uZTwvZnVsbC10aXRsZT48L3BlcmlvZGljYWw+PHBhZ2VzPmUwMTIxMDcxPC9wYWdlcz48
dm9sdW1lPjEwPC92b2x1bWU+PG51bWJlcj4zPC9udW1iZXI+PGVkaXRpb24+MjAxNS8wMy8xNzwv
ZWRpdGlvbj48a2V5d29yZHM+PGtleXdvcmQ+QWR1bHQ8L2tleXdvcmQ+PGtleXdvcmQ+QWdlZDwv
a2V5d29yZD48a2V5d29yZD5BZ2VkLCA4MCBhbmQgb3Zlcjwva2V5d29yZD48a2V5d29yZD5BbnRp
Z2VucywgQ0QyNzQvZ2VuZXRpY3MvIG1ldGFib2xpc208L2tleXdvcmQ+PGtleXdvcmQ+RmVtYWxl
PC9rZXl3b3JkPjxrZXl3b3JkPkZvbGxvdy1VcCBTdHVkaWVzPC9rZXl3b3JkPjxrZXl3b3JkPkdl
bmUgRXhwcmVzc2lvbjwva2V5d29yZD48a2V5d29yZD5IdW1hbnM8L2tleXdvcmQ+PGtleXdvcmQ+
SW1tdW5vaGlzdG9jaGVtaXN0cnk8L2tleXdvcmQ+PGtleXdvcmQ+S2FwbGFuLU1laWVyIEVzdGlt
YXRlPC9rZXl3b3JkPjxrZXl3b3JkPkx1bmcgTmVvcGxhc21zL2dlbmV0aWNzLyBtZXRhYm9saXNt
L21vcnRhbGl0eS9wYXRob2xvZ3kvdGhlcmFweTwva2V5d29yZD48a2V5d29yZD5NYWxlPC9rZXl3
b3JkPjxrZXl3b3JkPk1lc290aGVsaW9tYS9nZW5ldGljcy8gbWV0YWJvbGlzbS9tb3J0YWxpdHkv
cGF0aG9sb2d5L3RoZXJhcHk8L2tleXdvcmQ+PGtleXdvcmQ+TWlkZGxlIEFnZWQ8L2tleXdvcmQ+
PGtleXdvcmQ+UGxldXJhbCBOZW9wbGFzbXMvZ2VuZXRpY3MvIG1ldGFib2xpc20vbW9ydGFsaXR5
L3BhdGhvbG9neS90aGVyYXB5PC9rZXl3b3JkPjxrZXl3b3JkPlByb2dub3Npczwva2V5d29yZD48
a2V5d29yZD5SaXNrIEZhY3RvcnM8L2tleXdvcmQ+PC9rZXl3b3Jkcz48ZGF0ZXM+PHllYXI+MjAx
NTwveWVhcj48L2RhdGVzPjxpc2JuPjE5MzItNjIwMyAoRWxlY3Ryb25pYykmI3hEOzE5MzItNjIw
MyAoTGlua2luZyk8L2lzYm4+PGFjY2Vzc2lvbi1udW0+MjU3NzQ5OTI8L2FjY2Vzc2lvbi1udW0+
PHVybHM+PHJlbGF0ZWQtdXJscz48dXJsPmh0dHBzOi8vd3d3Lm5jYmkubmxtLm5paC5nb3YvcG1j
L2FydGljbGVzL1BNQzQzNjE1MzcvcGRmL3BvbmUuMDEyMTA3MS5wZGY8L3VybD48L3JlbGF0ZWQt
dXJscz48L3VybHM+PGN1c3RvbTI+UE1DNDM2MTUzNzwvY3VzdG9tMj48ZWxlY3Ryb25pYy1yZXNv
dXJjZS1udW0+MTAuMTM3MS9qb3VybmFsLnBvbmUuMDEyMTA3MTwvZWxlY3Ryb25pYy1yZXNvdXJj
ZS1udW0+PHJlbW90ZS1kYXRhYmFzZS1wcm92aWRlcj5OTE08L3JlbW90ZS1kYXRhYmFzZS1wcm92
aWRlcj48bGFuZ3VhZ2U+ZW5nPC9sYW5ndWFnZT48L3JlY29yZD48L0NpdGU+PC9FbmROb3RlPgB=
</w:fldData>
        </w:fldChar>
      </w:r>
      <w:r w:rsidR="001A19FE">
        <w:instrText xml:space="preserve"> ADDIN EN.CITE </w:instrText>
      </w:r>
      <w:r w:rsidR="001A19FE">
        <w:fldChar w:fldCharType="begin">
          <w:fldData xml:space="preserve">PEVuZE5vdGU+PENpdGU+PEF1dGhvcj5DZWRyZXM8L0F1dGhvcj48WWVhcj4yMDE1PC9ZZWFyPjxS
ZWNOdW0+ODwvUmVjTnVtPjxJRFRleHQ+ZTAxMjEwNzE8L0lEVGV4dD48RGlzcGxheVRleHQ+KENl
ZHJlcyBldCBhbC4gMjAxNSk8L0Rpc3BsYXlUZXh0PjxyZWNvcmQ+PHJlYy1udW1iZXI+ODwvcmVj
LW51bWJlcj48Zm9yZWlnbi1rZXlzPjxrZXkgYXBwPSJFTiIgZGItaWQ9ImZmZXJmdGVlbHJ2eDl6
ZXo5cHR2eHowZnN3OXBwNXdkZGRzZiIgdGltZXN0YW1wPSIxNDcxOTI3NjQxIj44PC9rZXk+PC9m
b3JlaWduLWtleXM+PHJlZi10eXBlIG5hbWU9IkpvdXJuYWwgQXJ0aWNsZSI+MTc8L3JlZi10eXBl
Pjxjb250cmlidXRvcnM+PGF1dGhvcnM+PGF1dGhvcj5DZWRyZXMsIFMuPC9hdXRob3I+PGF1dGhv
cj5Qb25jZS1BaXgsIFMuPC9hdXRob3I+PGF1dGhvcj5adWdhemFnb2l0aWEsIEouPC9hdXRob3I+
PGF1dGhvcj5TYW5zYW5vLCBJLjwvYXV0aG9yPjxhdXRob3I+RW5ndWl0YSwgQS48L2F1dGhvcj48
YXV0aG9yPk5hdmFycm8tTWVuZGl2aWwsIEEuPC9hdXRob3I+PGF1dGhvcj5NYXJ0aW5lei1NYXJ0
aSwgQS48L2F1dGhvcj48YXV0aG9yPk1hcnRpbmV6LCBQLjwvYXV0aG9yPjxhdXRob3I+RmVsaXAs
IEUuPC9hdXRob3I+PC9hdXRob3JzPjwvY29udHJpYnV0b3JzPjxhdXRoLWFkZHJlc3M+TWVkaWNh
bCBPbmNvbG9neSBTZXJ2aWNlL1ZhbGwgZCBIZWJyb24gSW5zdGl0dXRlIE9uY29sb2d5LCBWYWxs
IGQmYXBvcztIZWJyb24gVW5pdmVyc2l0eSBIb3NwaXRhbCwgQmFyY2Vsb25hLCBTcGFpbi4mI3hE
O01lZGljYWwgT25jb2xvZ3kgU2VydmljZS8gMTIgZGUgT2N0dWJyZSBVbml2ZXJzaXR5IEhvc3Bp
dGFsLCBNYWRyaWQsIFNwYWluLiYjeEQ7UGF0aG9sb2d5IERlcGFydG1lbnQvIFZhbGwgZCZhcG9z
O0hlYnJvbiBVbml2ZXJzaXR5IEhvc3BpdGFsLCBCYXJjZWxvbmEsIFNwYWluLiYjeEQ7UGF0aG9s
b2d5IERlcGFydG1lbnQvMTIgZGUgT2N0dWJyZSBVbml2ZXJzaXR5IEhvc3BpdGFsLCBNYWRyaWQs
IFNwYWluLjwvYXV0aC1hZGRyZXNzPjx0aXRsZXM+PHRpdGxlPkFuYWx5c2lzIG9mIGV4cHJlc3Np
b24gb2YgcHJvZ3JhbW1lZCBjZWxsIGRlYXRoIDEgbGlnYW5kIDEgKFBELUwxKSBpbiBtYWxpZ25h
bnQgcGxldXJhbCBtZXNvdGhlbGlvbWEgKE1QTSk8L3RpdGxlPjxzZWNvbmRhcnktdGl0bGU+UExv
UyBPbmU8L3NlY29uZGFyeS10aXRsZT48L3RpdGxlcz48cGVyaW9kaWNhbD48ZnVsbC10aXRsZT5Q
TG9TIE9uZTwvZnVsbC10aXRsZT48L3BlcmlvZGljYWw+PHBhZ2VzPmUwMTIxMDcxPC9wYWdlcz48
dm9sdW1lPjEwPC92b2x1bWU+PG51bWJlcj4zPC9udW1iZXI+PGVkaXRpb24+MjAxNS8wMy8xNzwv
ZWRpdGlvbj48a2V5d29yZHM+PGtleXdvcmQ+QWR1bHQ8L2tleXdvcmQ+PGtleXdvcmQ+QWdlZDwv
a2V5d29yZD48a2V5d29yZD5BZ2VkLCA4MCBhbmQgb3Zlcjwva2V5d29yZD48a2V5d29yZD5BbnRp
Z2VucywgQ0QyNzQvZ2VuZXRpY3MvIG1ldGFib2xpc208L2tleXdvcmQ+PGtleXdvcmQ+RmVtYWxl
PC9rZXl3b3JkPjxrZXl3b3JkPkZvbGxvdy1VcCBTdHVkaWVzPC9rZXl3b3JkPjxrZXl3b3JkPkdl
bmUgRXhwcmVzc2lvbjwva2V5d29yZD48a2V5d29yZD5IdW1hbnM8L2tleXdvcmQ+PGtleXdvcmQ+
SW1tdW5vaGlzdG9jaGVtaXN0cnk8L2tleXdvcmQ+PGtleXdvcmQ+S2FwbGFuLU1laWVyIEVzdGlt
YXRlPC9rZXl3b3JkPjxrZXl3b3JkPkx1bmcgTmVvcGxhc21zL2dlbmV0aWNzLyBtZXRhYm9saXNt
L21vcnRhbGl0eS9wYXRob2xvZ3kvdGhlcmFweTwva2V5d29yZD48a2V5d29yZD5NYWxlPC9rZXl3
b3JkPjxrZXl3b3JkPk1lc290aGVsaW9tYS9nZW5ldGljcy8gbWV0YWJvbGlzbS9tb3J0YWxpdHkv
cGF0aG9sb2d5L3RoZXJhcHk8L2tleXdvcmQ+PGtleXdvcmQ+TWlkZGxlIEFnZWQ8L2tleXdvcmQ+
PGtleXdvcmQ+UGxldXJhbCBOZW9wbGFzbXMvZ2VuZXRpY3MvIG1ldGFib2xpc20vbW9ydGFsaXR5
L3BhdGhvbG9neS90aGVyYXB5PC9rZXl3b3JkPjxrZXl3b3JkPlByb2dub3Npczwva2V5d29yZD48
a2V5d29yZD5SaXNrIEZhY3RvcnM8L2tleXdvcmQ+PC9rZXl3b3Jkcz48ZGF0ZXM+PHllYXI+MjAx
NTwveWVhcj48L2RhdGVzPjxpc2JuPjE5MzItNjIwMyAoRWxlY3Ryb25pYykmI3hEOzE5MzItNjIw
MyAoTGlua2luZyk8L2lzYm4+PGFjY2Vzc2lvbi1udW0+MjU3NzQ5OTI8L2FjY2Vzc2lvbi1udW0+
PHVybHM+PHJlbGF0ZWQtdXJscz48dXJsPmh0dHBzOi8vd3d3Lm5jYmkubmxtLm5paC5nb3YvcG1j
L2FydGljbGVzL1BNQzQzNjE1MzcvcGRmL3BvbmUuMDEyMTA3MS5wZGY8L3VybD48L3JlbGF0ZWQt
dXJscz48L3VybHM+PGN1c3RvbTI+UE1DNDM2MTUzNzwvY3VzdG9tMj48ZWxlY3Ryb25pYy1yZXNv
dXJjZS1udW0+MTAuMTM3MS9qb3VybmFsLnBvbmUuMDEyMTA3MTwvZWxlY3Ryb25pYy1yZXNvdXJj
ZS1udW0+PHJlbW90ZS1kYXRhYmFzZS1wcm92aWRlcj5OTE08L3JlbW90ZS1kYXRhYmFzZS1wcm92
aWRlcj48bGFuZ3VhZ2U+ZW5nPC9sYW5ndWFnZT48L3JlY29yZD48L0NpdGU+PC9FbmROb3RlPgB=
</w:fldData>
        </w:fldChar>
      </w:r>
      <w:r w:rsidR="001A19FE">
        <w:instrText xml:space="preserve"> ADDIN EN.CITE.DATA </w:instrText>
      </w:r>
      <w:r w:rsidR="001A19FE">
        <w:fldChar w:fldCharType="end"/>
      </w:r>
      <w:r w:rsidR="001A19FE">
        <w:fldChar w:fldCharType="separate"/>
      </w:r>
      <w:r w:rsidR="001A19FE">
        <w:rPr>
          <w:noProof/>
        </w:rPr>
        <w:t>(</w:t>
      </w:r>
      <w:hyperlink w:anchor="_ENREF_5" w:tooltip="Cedres, 2015 #8" w:history="1">
        <w:r w:rsidR="00753DA7">
          <w:rPr>
            <w:noProof/>
          </w:rPr>
          <w:t>Cedres et al. 2015</w:t>
        </w:r>
      </w:hyperlink>
      <w:r w:rsidR="001A19FE">
        <w:rPr>
          <w:noProof/>
        </w:rPr>
        <w:t>)</w:t>
      </w:r>
      <w:r w:rsidR="001A19FE">
        <w:fldChar w:fldCharType="end"/>
      </w:r>
      <w:r w:rsidR="001A19FE">
        <w:t xml:space="preserve"> and </w:t>
      </w:r>
      <w:r w:rsidR="00CC1BDE">
        <w:fldChar w:fldCharType="begin"/>
      </w:r>
      <w:r w:rsidR="00CC1BDE">
        <w:instrText xml:space="preserve"> ADDIN EN.CITE &lt;EndNote&gt;&lt;Cite&gt;&lt;Author&gt;Alley&lt;/Author&gt;&lt;Year&gt;2015&lt;/Year&gt;&lt;RecNum&gt;1&lt;/RecNum&gt;&lt;IDText&gt;CT103-CT103&lt;/IDText&gt;&lt;DisplayText&gt;(Alley et al. 2015)&lt;/DisplayText&gt;&lt;record&gt;&lt;rec-number&gt;1&lt;/rec-number&gt;&lt;foreign-keys&gt;&lt;key app="EN" db-id="fferfteelrvx9zez9ptvxz0fsw9pp5wdddsf" timestamp="1471844028"&gt;1&lt;/key&gt;&lt;/foreign-keys&gt;&lt;ref-type name="Journal Article"&gt;17&lt;/ref-type&gt;&lt;contributors&gt;&lt;authors&gt;&lt;author&gt;Alley, Evan W.&lt;/author&gt;&lt;author&gt;Molife, L. Rhoda&lt;/author&gt;&lt;author&gt;Santoro, Armando&lt;/author&gt;&lt;author&gt;Beckey, Kim&lt;/author&gt;&lt;author&gt;Yuan, Sammy&lt;/author&gt;&lt;author&gt;Cheng, Jonathan D.&lt;/author&gt;&lt;author&gt;Piperdi, Bilal&lt;/author&gt;&lt;author&gt;Schellens, Johannes H.M.&lt;/author&gt;&lt;/authors&gt;&lt;/contributors&gt;&lt;titles&gt;&lt;title&gt;Abstract CT103: Clinical safety and efficacy of pembrolizumab (MK-3475) in patients with malignant pleural mesothelioma: Preliminary results from KEYNOTE-028&lt;/title&gt;&lt;secondary-title&gt;Cancer Research&lt;/secondary-title&gt;&lt;/titles&gt;&lt;periodical&gt;&lt;full-title&gt;Cancer Research&lt;/full-title&gt;&lt;/periodical&gt;&lt;pages&gt;CT103-CT103&lt;/pages&gt;&lt;volume&gt;75&lt;/volume&gt;&lt;number&gt;15 Supplement&lt;/number&gt;&lt;dates&gt;&lt;year&gt;2015&lt;/year&gt;&lt;/dates&gt;&lt;urls&gt;&lt;related-urls&gt;&lt;url&gt;http://cancerres.aacrjournals.org/content/75/15_Supplement/CT103&lt;/url&gt;&lt;/related-urls&gt;&lt;/urls&gt;&lt;electronic-resource-num&gt;10.1158/1538-7445.am2015-ct103&lt;/electronic-resource-num&gt;&lt;research-notes&gt;Proceedings abstract&lt;/research-notes&gt;&lt;/record&gt;&lt;/Cite&gt;&lt;/EndNote&gt;</w:instrText>
      </w:r>
      <w:r w:rsidR="00CC1BDE">
        <w:fldChar w:fldCharType="separate"/>
      </w:r>
      <w:r w:rsidR="00CC1BDE">
        <w:rPr>
          <w:noProof/>
        </w:rPr>
        <w:t>(</w:t>
      </w:r>
      <w:hyperlink w:anchor="_ENREF_2" w:tooltip="Alley, 2015 #1" w:history="1">
        <w:r w:rsidR="00753DA7">
          <w:rPr>
            <w:noProof/>
          </w:rPr>
          <w:t>Alley et al. 2015</w:t>
        </w:r>
      </w:hyperlink>
      <w:r w:rsidR="00CC1BDE">
        <w:rPr>
          <w:noProof/>
        </w:rPr>
        <w:t>)</w:t>
      </w:r>
      <w:r w:rsidR="00CC1BDE">
        <w:fldChar w:fldCharType="end"/>
      </w:r>
      <w:r w:rsidR="00CC1BDE">
        <w:t xml:space="preserve"> </w:t>
      </w:r>
      <w:r w:rsidR="001A19FE">
        <w:t>respectively)</w:t>
      </w:r>
      <w:r>
        <w:t>)</w:t>
      </w:r>
      <w:r w:rsidR="001A19FE">
        <w:t xml:space="preserve"> and as high as 63% in a mixed population of pleural and peritoneal mesothelioma </w:t>
      </w:r>
      <w:r>
        <w:t xml:space="preserve">samples </w:t>
      </w:r>
      <w:r>
        <w:fldChar w:fldCharType="begin">
          <w:fldData xml:space="preserve">PEVuZE5vdGU+PENpdGU+PEF1dGhvcj5LaGFubmE8L0F1dGhvcj48WWVhcj4yMDE2PC9ZZWFyPjxS
ZWNOdW0+MzwvUmVjTnVtPjxEaXNwbGF5VGV4dD4oS2hhbm5hIGV0IGFsLiAyMDE2KTwvRGlzcGxh
eVRleHQ+PHJlY29yZD48cmVjLW51bWJlcj4zPC9yZWMtbnVtYmVyPjxmb3JlaWduLWtleXM+PGtl
eSBhcHA9IkVOIiBkYi1pZD0iZmZlcmZ0ZWVscnZ4OXplejlwdHZ4ejBmc3c5cHA1d2RkZHNmIiB0
aW1lc3RhbXA9IjE0NzE5MjU5MDMiPjM8L2tleT48L2ZvcmVpZ24ta2V5cz48cmVmLXR5cGUgbmFt
ZT0iSm91cm5hbCBBcnRpY2xlIj4xNzwvcmVmLXR5cGU+PGNvbnRyaWJ1dG9ycz48YXV0aG9ycz48
YXV0aG9yPktoYW5uYSwgUy48L2F1dGhvcj48YXV0aG9yPlRob21hcywgQS48L2F1dGhvcj48YXV0
aG9yPkFiYXRlLURhZ2EsIEQuPC9hdXRob3I+PGF1dGhvcj5aaGFuZywgSi48L2F1dGhvcj48YXV0
aG9yPk1vcnJvdywgQi48L2F1dGhvcj48YXV0aG9yPlN0ZWluYmVyZywgUy4gTS48L2F1dGhvcj48
YXV0aG9yPk9ybGFuZGksIEEuPC9hdXRob3I+PGF1dGhvcj5GZXJyb25pLCBQLjwvYXV0aG9yPjxh
dXRob3I+U2NobG9tLCBKLjwvYXV0aG9yPjxhdXRob3I+R3VhZGFnbmksIEYuPC9hdXRob3I+PGF1
dGhvcj5IYXNzYW4sIFIuPC9hdXRob3I+PC9hdXRob3JzPjwvY29udHJpYnV0b3JzPjxhdXRoLWFk
ZHJlc3M+VGhvcmFjaWMgYW5kIEdJIE9uY29sb2d5IEJyYW5jaCwgQ2VudGVyIGZvciBDYW5jZXIg
UmVzZWFyY2gsIE5hdGlvbmFsIENhbmNlciBJbnN0aXR1dGUsIE5hdGlvbmFsIEluc3RpdHV0ZXMg
b2YgSGVhbHRoLCBCZXRoZXNkYSwgTUQuJiN4RDtCaW9zdGF0aXN0aWNzIGFuZCBEYXRhIE1hbmFn
ZW1lbnQgU2VjdGlvbiwgQ2VudGVyIGZvciBDYW5jZXIgUmVzZWFyY2gsIE5hdGlvbmFsIENhbmNl
ciBJbnN0aXR1dGUsIE5hdGlvbmFsIEluc3RpdHV0ZXMgb2YgSGVhbHRoLCBCZXRoZXNkYSwgTUQu
JiN4RDtBbmF0b21pYyBQYXRob2xvZ3ksIERlcGFydG1lbnQgb2YgQmlvbWVkaWNpbmUgYW5kIFBy
ZXZlbnRpb24sIFRvciBWZXJnYXRhIFVuaXZlcnNpdHkgb2YgUm9tZSwgSXRhbHkuJiN4RDtTYW4g
UmFmZmFlbGUgUm9tYSBPcGVuIFVuaXZlcnNpdHkgYW5kIEJpb0JJTSAoSW50ZXJpbnN0aXR1dGlv
bmFsIE11bHRpZGlzY2lwbGluYXJ5IEJpb0JhbmspLCBTUiBSZXNlYXJjaCBDZW50ZXIsIElSQ0NT
IFNhbiBSYWZmYWVsZSBQaXNhbmEsIFJvbWUsIEl0YWx5LiYjeEQ7TGFib3JhdG9yeSBvZiBUdW1v
ciBJbW11bm9sb2d5IGFuZCBCaW9sb2d5LCBDZW50ZXIgZm9yIENhbmNlciBSZXNlYXJjaCwgTmF0
aW9uYWwgQ2FuY2VyIEluc3RpdHV0ZSwgTmF0aW9uYWwgSW5zdGl0dXRlcyBvZiBIZWFsdGgsIEJl
dGhlc2RhLCBNRC4mI3hEO1NhbiBSYWZmYWVsZSBSb21hIE9wZW4gVW5pdmVyc2l0eSBhbmQgQmlv
QklNIChJbnRlcmluc3RpdHV0aW9uYWwgTXVsdGlkaXNjaXBsaW5hcnkgQmlvQmFuayksIFNSIFJl
c2VhcmNoIENlbnRlciwgSVJDQ1MgU2FuIFJhZmZhZWxlIFBpc2FuYSwgUm9tZSwgSXRhbHkuIEVs
ZWN0cm9uaWMgYWRkcmVzczogaGFzc2FuckBtYWlsLm5paC5nb3YuJiN4RDtUaG9yYWNpYyBhbmQg
R0kgT25jb2xvZ3kgQnJhbmNoLCBDZW50ZXIgZm9yIENhbmNlciBSZXNlYXJjaCwgTmF0aW9uYWwg
Q2FuY2VyIEluc3RpdHV0ZSwgTmF0aW9uYWwgSW5zdGl0dXRlcyBvZiBIZWFsdGgsIEJldGhlc2Rh
LCBNRC4gRWxlY3Ryb25pYyBhZGRyZXNzOiBmaW9yZWxsYS5ndWFkYWduaUBzYW5yYWZmYWVsZS5p
dC48L2F1dGgtYWRkcmVzcz48dGl0bGVzPjx0aXRsZT5NYWxpZ25hbnQgbWVzb3RoZWxpb21hIGVm
ZnVzaW9ucyBhcmUgaW5maWx0cmF0ZWQgYnkgQ0QzKyBUIGNlbGxzIGhpZ2hseSBleHByZXNzaW5n
IFBELUwxIGFuZCB0aGUgUEQtTDErIHR1bW9yIGNlbGxzIHdpdGhpbiB0aGVzZSBlZmZ1c2lvbnMg
YXJlIHN1c2NlcHRpYmxlIHRvIEFEQ0MgYnkgdGhlIGFudGktUEQtTDEgYW50aWJvZHkgYXZlbHVt
YWI8L3RpdGxlPjxzZWNvbmRhcnktdGl0bGU+SiBUaG9yYWMgT25jb2w8L3NlY29uZGFyeS10aXRs
ZT48L3RpdGxlcz48cGVyaW9kaWNhbD48ZnVsbC10aXRsZT5KIFRob3JhYyBPbmNvbDwvZnVsbC10
aXRsZT48L3BlcmlvZGljYWw+PGVkaXRpb24+MjAxNi8wOC8yMjwvZWRpdGlvbj48a2V5d29yZHM+
PGtleXdvcmQ+QWRjYzwva2V5d29yZD48a2V5d29yZD5QZC0xLXBkLWwxPC9rZXl3b3JkPjxrZXl3
b3JkPmF2ZWx1bWFiPC9rZXl3b3JkPjxrZXl3b3JkPm1lc290aGVsaW9tYTwva2V5d29yZD48L2tl
eXdvcmRzPjxkYXRlcz48eWVhcj4yMDE2PC95ZWFyPjxwdWItZGF0ZXM+PGRhdGU+QXVnIDE3PC9k
YXRlPjwvcHViLWRhdGVzPjwvZGF0ZXM+PGlzYm4+MTU1Ni0xMzgwIChFbGVjdHJvbmljKSYjeEQ7
MTU1Ni0wODY0IChMaW5raW5nKTwvaXNibj48YWNjZXNzaW9uLW51bT4yNzU0NDA1MzwvYWNjZXNz
aW9uLW51bT48dXJscz48cmVsYXRlZC11cmxzPjx1cmw+aHR0cDovL3d3dy5qdG8ub3JnL2FydGlj
bGUvUzE1NTYtMDg2NCUyODE2JTI5MzA4NDAtMS9mdWxsdGV4dDwvdXJsPjwvcmVsYXRlZC11cmxz
PjwvdXJscz48ZWxlY3Ryb25pYy1yZXNvdXJjZS1udW0+MTAuMTAxNi9qLmp0aG8uMjAxNi4wNy4w
MzM8L2VsZWN0cm9uaWMtcmVzb3VyY2UtbnVtPjxyZW1vdGUtZGF0YWJhc2UtcHJvdmlkZXI+TkxN
PC9yZW1vdGUtZGF0YWJhc2UtcHJvdmlkZXI+PHJlc2VhcmNoLW5vdGVzPmFydGljbGUgaW4gcHJl
c3M8L3Jlc2VhcmNoLW5vdGVzPjxsYW5ndWFnZT5Fbmc8L2xhbmd1YWdlPjwvcmVjb3JkPjwvQ2l0
ZT48L0VuZE5vdGU+AG==
</w:fldData>
        </w:fldChar>
      </w:r>
      <w:r>
        <w:instrText xml:space="preserve"> ADDIN EN.CITE </w:instrText>
      </w:r>
      <w:r>
        <w:fldChar w:fldCharType="begin">
          <w:fldData xml:space="preserve">PEVuZE5vdGU+PENpdGU+PEF1dGhvcj5LaGFubmE8L0F1dGhvcj48WWVhcj4yMDE2PC9ZZWFyPjxS
ZWNOdW0+MzwvUmVjTnVtPjxEaXNwbGF5VGV4dD4oS2hhbm5hIGV0IGFsLiAyMDE2KTwvRGlzcGxh
eVRleHQ+PHJlY29yZD48cmVjLW51bWJlcj4zPC9yZWMtbnVtYmVyPjxmb3JlaWduLWtleXM+PGtl
eSBhcHA9IkVOIiBkYi1pZD0iZmZlcmZ0ZWVscnZ4OXplejlwdHZ4ejBmc3c5cHA1d2RkZHNmIiB0
aW1lc3RhbXA9IjE0NzE5MjU5MDMiPjM8L2tleT48L2ZvcmVpZ24ta2V5cz48cmVmLXR5cGUgbmFt
ZT0iSm91cm5hbCBBcnRpY2xlIj4xNzwvcmVmLXR5cGU+PGNvbnRyaWJ1dG9ycz48YXV0aG9ycz48
YXV0aG9yPktoYW5uYSwgUy48L2F1dGhvcj48YXV0aG9yPlRob21hcywgQS48L2F1dGhvcj48YXV0
aG9yPkFiYXRlLURhZ2EsIEQuPC9hdXRob3I+PGF1dGhvcj5aaGFuZywgSi48L2F1dGhvcj48YXV0
aG9yPk1vcnJvdywgQi48L2F1dGhvcj48YXV0aG9yPlN0ZWluYmVyZywgUy4gTS48L2F1dGhvcj48
YXV0aG9yPk9ybGFuZGksIEEuPC9hdXRob3I+PGF1dGhvcj5GZXJyb25pLCBQLjwvYXV0aG9yPjxh
dXRob3I+U2NobG9tLCBKLjwvYXV0aG9yPjxhdXRob3I+R3VhZGFnbmksIEYuPC9hdXRob3I+PGF1
dGhvcj5IYXNzYW4sIFIuPC9hdXRob3I+PC9hdXRob3JzPjwvY29udHJpYnV0b3JzPjxhdXRoLWFk
ZHJlc3M+VGhvcmFjaWMgYW5kIEdJIE9uY29sb2d5IEJyYW5jaCwgQ2VudGVyIGZvciBDYW5jZXIg
UmVzZWFyY2gsIE5hdGlvbmFsIENhbmNlciBJbnN0aXR1dGUsIE5hdGlvbmFsIEluc3RpdHV0ZXMg
b2YgSGVhbHRoLCBCZXRoZXNkYSwgTUQuJiN4RDtCaW9zdGF0aXN0aWNzIGFuZCBEYXRhIE1hbmFn
ZW1lbnQgU2VjdGlvbiwgQ2VudGVyIGZvciBDYW5jZXIgUmVzZWFyY2gsIE5hdGlvbmFsIENhbmNl
ciBJbnN0aXR1dGUsIE5hdGlvbmFsIEluc3RpdHV0ZXMgb2YgSGVhbHRoLCBCZXRoZXNkYSwgTUQu
JiN4RDtBbmF0b21pYyBQYXRob2xvZ3ksIERlcGFydG1lbnQgb2YgQmlvbWVkaWNpbmUgYW5kIFBy
ZXZlbnRpb24sIFRvciBWZXJnYXRhIFVuaXZlcnNpdHkgb2YgUm9tZSwgSXRhbHkuJiN4RDtTYW4g
UmFmZmFlbGUgUm9tYSBPcGVuIFVuaXZlcnNpdHkgYW5kIEJpb0JJTSAoSW50ZXJpbnN0aXR1dGlv
bmFsIE11bHRpZGlzY2lwbGluYXJ5IEJpb0JhbmspLCBTUiBSZXNlYXJjaCBDZW50ZXIsIElSQ0NT
IFNhbiBSYWZmYWVsZSBQaXNhbmEsIFJvbWUsIEl0YWx5LiYjeEQ7TGFib3JhdG9yeSBvZiBUdW1v
ciBJbW11bm9sb2d5IGFuZCBCaW9sb2d5LCBDZW50ZXIgZm9yIENhbmNlciBSZXNlYXJjaCwgTmF0
aW9uYWwgQ2FuY2VyIEluc3RpdHV0ZSwgTmF0aW9uYWwgSW5zdGl0dXRlcyBvZiBIZWFsdGgsIEJl
dGhlc2RhLCBNRC4mI3hEO1NhbiBSYWZmYWVsZSBSb21hIE9wZW4gVW5pdmVyc2l0eSBhbmQgQmlv
QklNIChJbnRlcmluc3RpdHV0aW9uYWwgTXVsdGlkaXNjaXBsaW5hcnkgQmlvQmFuayksIFNSIFJl
c2VhcmNoIENlbnRlciwgSVJDQ1MgU2FuIFJhZmZhZWxlIFBpc2FuYSwgUm9tZSwgSXRhbHkuIEVs
ZWN0cm9uaWMgYWRkcmVzczogaGFzc2FuckBtYWlsLm5paC5nb3YuJiN4RDtUaG9yYWNpYyBhbmQg
R0kgT25jb2xvZ3kgQnJhbmNoLCBDZW50ZXIgZm9yIENhbmNlciBSZXNlYXJjaCwgTmF0aW9uYWwg
Q2FuY2VyIEluc3RpdHV0ZSwgTmF0aW9uYWwgSW5zdGl0dXRlcyBvZiBIZWFsdGgsIEJldGhlc2Rh
LCBNRC4gRWxlY3Ryb25pYyBhZGRyZXNzOiBmaW9yZWxsYS5ndWFkYWduaUBzYW5yYWZmYWVsZS5p
dC48L2F1dGgtYWRkcmVzcz48dGl0bGVzPjx0aXRsZT5NYWxpZ25hbnQgbWVzb3RoZWxpb21hIGVm
ZnVzaW9ucyBhcmUgaW5maWx0cmF0ZWQgYnkgQ0QzKyBUIGNlbGxzIGhpZ2hseSBleHByZXNzaW5n
IFBELUwxIGFuZCB0aGUgUEQtTDErIHR1bW9yIGNlbGxzIHdpdGhpbiB0aGVzZSBlZmZ1c2lvbnMg
YXJlIHN1c2NlcHRpYmxlIHRvIEFEQ0MgYnkgdGhlIGFudGktUEQtTDEgYW50aWJvZHkgYXZlbHVt
YWI8L3RpdGxlPjxzZWNvbmRhcnktdGl0bGU+SiBUaG9yYWMgT25jb2w8L3NlY29uZGFyeS10aXRs
ZT48L3RpdGxlcz48cGVyaW9kaWNhbD48ZnVsbC10aXRsZT5KIFRob3JhYyBPbmNvbDwvZnVsbC10
aXRsZT48L3BlcmlvZGljYWw+PGVkaXRpb24+MjAxNi8wOC8yMjwvZWRpdGlvbj48a2V5d29yZHM+
PGtleXdvcmQ+QWRjYzwva2V5d29yZD48a2V5d29yZD5QZC0xLXBkLWwxPC9rZXl3b3JkPjxrZXl3
b3JkPmF2ZWx1bWFiPC9rZXl3b3JkPjxrZXl3b3JkPm1lc290aGVsaW9tYTwva2V5d29yZD48L2tl
eXdvcmRzPjxkYXRlcz48eWVhcj4yMDE2PC95ZWFyPjxwdWItZGF0ZXM+PGRhdGU+QXVnIDE3PC9k
YXRlPjwvcHViLWRhdGVzPjwvZGF0ZXM+PGlzYm4+MTU1Ni0xMzgwIChFbGVjdHJvbmljKSYjeEQ7
MTU1Ni0wODY0IChMaW5raW5nKTwvaXNibj48YWNjZXNzaW9uLW51bT4yNzU0NDA1MzwvYWNjZXNz
aW9uLW51bT48dXJscz48cmVsYXRlZC11cmxzPjx1cmw+aHR0cDovL3d3dy5qdG8ub3JnL2FydGlj
bGUvUzE1NTYtMDg2NCUyODE2JTI5MzA4NDAtMS9mdWxsdGV4dDwvdXJsPjwvcmVsYXRlZC11cmxz
PjwvdXJscz48ZWxlY3Ryb25pYy1yZXNvdXJjZS1udW0+MTAuMTAxNi9qLmp0aG8uMjAxNi4wNy4w
MzM8L2VsZWN0cm9uaWMtcmVzb3VyY2UtbnVtPjxyZW1vdGUtZGF0YWJhc2UtcHJvdmlkZXI+TkxN
PC9yZW1vdGUtZGF0YWJhc2UtcHJvdmlkZXI+PHJlc2VhcmNoLW5vdGVzPmFydGljbGUgaW4gcHJl
c3M8L3Jlc2VhcmNoLW5vdGVzPjxsYW5ndWFnZT5Fbmc8L2xhbmd1YWdlPjwvcmVjb3JkPjwvQ2l0
ZT48L0VuZE5vdGU+AG==
</w:fldData>
        </w:fldChar>
      </w:r>
      <w:r>
        <w:instrText xml:space="preserve"> ADDIN EN.CITE.DATA </w:instrText>
      </w:r>
      <w:r>
        <w:fldChar w:fldCharType="end"/>
      </w:r>
      <w:r>
        <w:fldChar w:fldCharType="separate"/>
      </w:r>
      <w:r>
        <w:rPr>
          <w:noProof/>
        </w:rPr>
        <w:t>(</w:t>
      </w:r>
      <w:hyperlink w:anchor="_ENREF_6" w:tooltip="Khanna, 2016 #3" w:history="1">
        <w:r w:rsidR="00753DA7">
          <w:rPr>
            <w:noProof/>
          </w:rPr>
          <w:t>Khanna et al. 2016</w:t>
        </w:r>
      </w:hyperlink>
      <w:r>
        <w:rPr>
          <w:noProof/>
        </w:rPr>
        <w:t>)</w:t>
      </w:r>
      <w:r>
        <w:fldChar w:fldCharType="end"/>
      </w:r>
      <w:r>
        <w:t>. These data have led to the trialling of the monoclonal anti PD-1 drug pem</w:t>
      </w:r>
      <w:r w:rsidR="00B32E22">
        <w:t>broli</w:t>
      </w:r>
      <w:r>
        <w:t xml:space="preserve">zumab in </w:t>
      </w:r>
      <w:r w:rsidR="00DF167F">
        <w:t>advanced mesothelioma</w:t>
      </w:r>
      <w:r>
        <w:t xml:space="preserve"> p</w:t>
      </w:r>
      <w:r w:rsidR="004B019F">
        <w:t>atients</w:t>
      </w:r>
      <w:r>
        <w:t>.</w:t>
      </w:r>
      <w:r w:rsidR="004B019F">
        <w:t xml:space="preserve"> Pembrolizumab has the potential to block </w:t>
      </w:r>
      <w:r w:rsidR="004B019F">
        <w:lastRenderedPageBreak/>
        <w:t>binding via the PD-L1 ligand and thus enable the normal process of immune response and tumour cell destruction</w:t>
      </w:r>
      <w:r w:rsidR="0082748B">
        <w:t xml:space="preserve"> via the T-cells.</w:t>
      </w:r>
      <w:r w:rsidR="004B019F">
        <w:t xml:space="preserve"> </w:t>
      </w:r>
    </w:p>
    <w:p w14:paraId="29A80EBD" w14:textId="5B21A6DD" w:rsidR="00474501" w:rsidRDefault="00B55EDE" w:rsidP="002B3338">
      <w:r>
        <w:t xml:space="preserve">The latest figures </w:t>
      </w:r>
      <w:r w:rsidR="00D57862">
        <w:t xml:space="preserve">from </w:t>
      </w:r>
      <w:r w:rsidR="008B3B16">
        <w:t xml:space="preserve">the Australian </w:t>
      </w:r>
      <w:r w:rsidR="00854FEC">
        <w:t>Mesothelioma Registry</w:t>
      </w:r>
      <w:r w:rsidR="008B3B16">
        <w:t xml:space="preserve"> (</w:t>
      </w:r>
      <w:r w:rsidR="00854FEC">
        <w:t>AMR</w:t>
      </w:r>
      <w:r w:rsidR="008B3B16">
        <w:t>)</w:t>
      </w:r>
      <w:r w:rsidR="00D57862">
        <w:t xml:space="preserve"> </w:t>
      </w:r>
      <w:r>
        <w:t xml:space="preserve">reported </w:t>
      </w:r>
      <w:r w:rsidR="00854FEC">
        <w:t>641</w:t>
      </w:r>
      <w:r>
        <w:t xml:space="preserve"> new cases diagnosed in 201</w:t>
      </w:r>
      <w:r w:rsidR="00854FEC">
        <w:t xml:space="preserve">4 </w:t>
      </w:r>
      <w:r w:rsidR="00854FEC">
        <w:fldChar w:fldCharType="begin"/>
      </w:r>
      <w:r w:rsidR="00854FEC">
        <w:instrText xml:space="preserve"> ADDIN EN.CITE &lt;EndNote&gt;&lt;Cite&gt;&lt;Author&gt;AMR&lt;/Author&gt;&lt;Year&gt;2015&lt;/Year&gt;&lt;RecNum&gt;11&lt;/RecNum&gt;&lt;DisplayText&gt;(AMR 2015)&lt;/DisplayText&gt;&lt;record&gt;&lt;rec-number&gt;11&lt;/rec-number&gt;&lt;foreign-keys&gt;&lt;key app="EN" db-id="fferfteelrvx9zez9ptvxz0fsw9pp5wdddsf" timestamp="1472532322"&gt;11&lt;/key&gt;&lt;key app="ENWeb" db-id=""&gt;0&lt;/key&gt;&lt;/foreign-keys&gt;&lt;ref-type name="Report"&gt;27&lt;/ref-type&gt;&lt;contributors&gt;&lt;authors&gt;&lt;author&gt;AMR&lt;/author&gt;&lt;/authors&gt;&lt;/contributors&gt;&lt;titles&gt;&lt;title&gt;Mesothelioma in Australia 2014, 4th annual report&lt;/title&gt;&lt;/titles&gt;&lt;dates&gt;&lt;year&gt;2015&lt;/year&gt;&lt;/dates&gt;&lt;urls&gt;&lt;related-urls&gt;&lt;url&gt;https://www.mesothelioma-australia.com/media/12174/amr_4thannualdatareport_final.pdf&lt;/url&gt;&lt;/related-urls&gt;&lt;/urls&gt;&lt;/record&gt;&lt;/Cite&gt;&lt;/EndNote&gt;</w:instrText>
      </w:r>
      <w:r w:rsidR="00854FEC">
        <w:fldChar w:fldCharType="separate"/>
      </w:r>
      <w:r w:rsidR="00854FEC">
        <w:rPr>
          <w:noProof/>
        </w:rPr>
        <w:t>(</w:t>
      </w:r>
      <w:hyperlink w:anchor="_ENREF_3" w:tooltip="AMR, 2015 #11" w:history="1">
        <w:r w:rsidR="00753DA7">
          <w:rPr>
            <w:noProof/>
          </w:rPr>
          <w:t>AMR 2015</w:t>
        </w:r>
      </w:hyperlink>
      <w:r w:rsidR="00854FEC">
        <w:rPr>
          <w:noProof/>
        </w:rPr>
        <w:t>)</w:t>
      </w:r>
      <w:r w:rsidR="00854FEC">
        <w:fldChar w:fldCharType="end"/>
      </w:r>
      <w:r>
        <w:t>. Mesothelioma is nearly always fatal hence the number of deaths annually mirror the number of new cases diagnosed. Data from Safe Work Australia indicate a peak in the number of deaths in 2012 when there were 6</w:t>
      </w:r>
      <w:r w:rsidR="00753DA7">
        <w:t>38</w:t>
      </w:r>
      <w:r>
        <w:t xml:space="preserve"> deaths due to mesothelioma</w:t>
      </w:r>
      <w:r w:rsidR="00753DA7">
        <w:t xml:space="preserve"> </w:t>
      </w:r>
      <w:r w:rsidR="00753DA7">
        <w:fldChar w:fldCharType="begin"/>
      </w:r>
      <w:r w:rsidR="00753DA7">
        <w:instrText xml:space="preserve"> ADDIN EN.CITE &lt;EndNote&gt;&lt;Cite&gt;&lt;Author&gt;AIHW&lt;/Author&gt;&lt;Year&gt;2015&lt;/Year&gt;&lt;RecNum&gt;10&lt;/RecNum&gt;&lt;DisplayText&gt;(AIHW 2015)&lt;/DisplayText&gt;&lt;record&gt;&lt;rec-number&gt;10&lt;/rec-number&gt;&lt;foreign-keys&gt;&lt;key app="EN" db-id="fferfteelrvx9zez9ptvxz0fsw9pp5wdddsf" timestamp="1471931318"&gt;10&lt;/key&gt;&lt;/foreign-keys&gt;&lt;ref-type name="Report"&gt;27&lt;/ref-type&gt;&lt;contributors&gt;&lt;authors&gt;&lt;author&gt;AIHW&lt;/author&gt;&lt;/authors&gt;&lt;/contributors&gt;&lt;titles&gt;&lt;title&gt;Mesothelioma io Australia: Incidence (1982 to 2013) and Mortality (1997 to 2012)&lt;/title&gt;&lt;/titles&gt;&lt;dates&gt;&lt;year&gt;2015&lt;/year&gt;&lt;/dates&gt;&lt;pub-location&gt;Safe Work Australia&lt;/pub-location&gt;&lt;publisher&gt;Australian Institute of Health and Welfare&lt;/publisher&gt;&lt;urls&gt;&lt;related-urls&gt;&lt;url&gt;http://www.safeworkaustralia.gov.au/sites/SWA/about/Publications/Documents/909/mesothelioma-in-australia-2015.pdf&lt;/url&gt;&lt;/related-urls&gt;&lt;/urls&gt;&lt;/record&gt;&lt;/Cite&gt;&lt;/EndNote&gt;</w:instrText>
      </w:r>
      <w:r w:rsidR="00753DA7">
        <w:fldChar w:fldCharType="separate"/>
      </w:r>
      <w:r w:rsidR="00753DA7">
        <w:rPr>
          <w:noProof/>
        </w:rPr>
        <w:t>(</w:t>
      </w:r>
      <w:hyperlink w:anchor="_ENREF_1" w:tooltip="AIHW, 2015 #10" w:history="1">
        <w:r w:rsidR="00753DA7">
          <w:rPr>
            <w:noProof/>
          </w:rPr>
          <w:t>AIHW 2015</w:t>
        </w:r>
      </w:hyperlink>
      <w:r w:rsidR="00753DA7">
        <w:rPr>
          <w:noProof/>
        </w:rPr>
        <w:t>)</w:t>
      </w:r>
      <w:r w:rsidR="00753DA7">
        <w:fldChar w:fldCharType="end"/>
      </w:r>
      <w:r>
        <w:t xml:space="preserve">. The majority of mesothelioma cases occur in males, however data </w:t>
      </w:r>
      <w:r w:rsidR="00244BA9">
        <w:t>indicate an increase in the proportion of female cases from 12% in 1982-1986 to 18% in 2007-2011 of all new cases.</w:t>
      </w:r>
      <w:r w:rsidR="00D57862">
        <w:t xml:space="preserve"> This skew towards occurrence in males is likely to reflect the higher proportion of m</w:t>
      </w:r>
      <w:r w:rsidR="0082748B">
        <w:t>e</w:t>
      </w:r>
      <w:r w:rsidR="00D57862">
        <w:t>n working in industries using asbestos products, thereby increasing their exposure. Due to the time lag between exposure and diagnosis, mesothelioma tends to be diagnosed in older people. In 2011 the highest age-specific incidence rate occurred in men aged 85 years or older (49.9 cases per 100,000)</w:t>
      </w:r>
      <w:r w:rsidR="00B35C1A">
        <w:t xml:space="preserve"> </w:t>
      </w:r>
      <w:r w:rsidR="00B35C1A">
        <w:fldChar w:fldCharType="begin"/>
      </w:r>
      <w:r w:rsidR="00B35C1A">
        <w:instrText xml:space="preserve"> ADDIN EN.CITE &lt;EndNote&gt;&lt;Cite&gt;&lt;Author&gt;AIHW&lt;/Author&gt;&lt;Year&gt;2015&lt;/Year&gt;&lt;RecNum&gt;10&lt;/RecNum&gt;&lt;DisplayText&gt;(AIHW 2015)&lt;/DisplayText&gt;&lt;record&gt;&lt;rec-number&gt;10&lt;/rec-number&gt;&lt;foreign-keys&gt;&lt;key app="EN" db-id="fferfteelrvx9zez9ptvxz0fsw9pp5wdddsf" timestamp="1471931318"&gt;10&lt;/key&gt;&lt;/foreign-keys&gt;&lt;ref-type name="Report"&gt;27&lt;/ref-type&gt;&lt;contributors&gt;&lt;authors&gt;&lt;author&gt;AIHW&lt;/author&gt;&lt;/authors&gt;&lt;/contributors&gt;&lt;titles&gt;&lt;title&gt;Mesothelioma io Australia: Incidence (1982 to 2013) and Mortality (1997 to 2012)&lt;/title&gt;&lt;/titles&gt;&lt;dates&gt;&lt;year&gt;2015&lt;/year&gt;&lt;/dates&gt;&lt;pub-location&gt;Safe Work Australia&lt;/pub-location&gt;&lt;publisher&gt;Australian Institute of Health and Welfare&lt;/publisher&gt;&lt;urls&gt;&lt;related-urls&gt;&lt;url&gt;http://www.safeworkaustralia.gov.au/sites/SWA/about/Publications/Documents/909/mesothelioma-in-australia-2015.pdf&lt;/url&gt;&lt;/related-urls&gt;&lt;/urls&gt;&lt;/record&gt;&lt;/Cite&gt;&lt;/EndNote&gt;</w:instrText>
      </w:r>
      <w:r w:rsidR="00B35C1A">
        <w:fldChar w:fldCharType="separate"/>
      </w:r>
      <w:r w:rsidR="00B35C1A">
        <w:rPr>
          <w:noProof/>
        </w:rPr>
        <w:t>(</w:t>
      </w:r>
      <w:hyperlink w:anchor="_ENREF_1" w:tooltip="AIHW, 2015 #10" w:history="1">
        <w:r w:rsidR="00753DA7">
          <w:rPr>
            <w:noProof/>
          </w:rPr>
          <w:t>AIHW 2015</w:t>
        </w:r>
      </w:hyperlink>
      <w:r w:rsidR="00B35C1A">
        <w:rPr>
          <w:noProof/>
        </w:rPr>
        <w:t>)</w:t>
      </w:r>
      <w:r w:rsidR="00B35C1A">
        <w:fldChar w:fldCharType="end"/>
      </w:r>
      <w:r w:rsidR="00D57862">
        <w:t xml:space="preserve">. </w:t>
      </w:r>
      <w:r w:rsidR="0082748B">
        <w:t>T</w:t>
      </w:r>
      <w:r w:rsidR="00B35C1A">
        <w:t xml:space="preserve">he AIHW report that the number of cases reported for a given year is likely to increase into the following year due to delays in notifications. </w:t>
      </w:r>
      <w:r w:rsidR="00D15352">
        <w:fldChar w:fldCharType="begin"/>
      </w:r>
      <w:r w:rsidR="00D15352">
        <w:instrText xml:space="preserve"> REF _Ref460322175 \h </w:instrText>
      </w:r>
      <w:r w:rsidR="00D15352">
        <w:fldChar w:fldCharType="separate"/>
      </w:r>
      <w:r w:rsidR="00C47DAF">
        <w:t xml:space="preserve">Table </w:t>
      </w:r>
      <w:r w:rsidR="00C47DAF">
        <w:rPr>
          <w:noProof/>
        </w:rPr>
        <w:t>3</w:t>
      </w:r>
      <w:r w:rsidR="00D15352">
        <w:fldChar w:fldCharType="end"/>
      </w:r>
      <w:r w:rsidR="00D57862">
        <w:t xml:space="preserve"> </w:t>
      </w:r>
      <w:r w:rsidR="001101A7">
        <w:t>report</w:t>
      </w:r>
      <w:r w:rsidR="003B02BA">
        <w:t>s</w:t>
      </w:r>
      <w:r w:rsidR="001101A7">
        <w:t xml:space="preserve"> the number of new cases notified to the AMR for 2012 </w:t>
      </w:r>
      <w:r w:rsidR="00854FEC">
        <w:t>to</w:t>
      </w:r>
      <w:r w:rsidR="001101A7">
        <w:t xml:space="preserve"> 201</w:t>
      </w:r>
      <w:r w:rsidR="00854FEC">
        <w:t>4</w:t>
      </w:r>
      <w:r w:rsidR="001101A7">
        <w:t xml:space="preserve"> </w:t>
      </w:r>
      <w:r w:rsidR="001101A7">
        <w:fldChar w:fldCharType="begin"/>
      </w:r>
      <w:r w:rsidR="001101A7">
        <w:instrText xml:space="preserve"> ADDIN EN.CITE &lt;EndNote&gt;&lt;Cite&gt;&lt;Author&gt;AIHW&lt;/Author&gt;&lt;Year&gt;2015&lt;/Year&gt;&lt;RecNum&gt;10&lt;/RecNum&gt;&lt;DisplayText&gt;(AIHW 2015)&lt;/DisplayText&gt;&lt;record&gt;&lt;rec-number&gt;10&lt;/rec-number&gt;&lt;foreign-keys&gt;&lt;key app="EN" db-id="fferfteelrvx9zez9ptvxz0fsw9pp5wdddsf" timestamp="1471931318"&gt;10&lt;/key&gt;&lt;/foreign-keys&gt;&lt;ref-type name="Report"&gt;27&lt;/ref-type&gt;&lt;contributors&gt;&lt;authors&gt;&lt;author&gt;AIHW&lt;/author&gt;&lt;/authors&gt;&lt;/contributors&gt;&lt;titles&gt;&lt;title&gt;Mesothelioma io Australia: Incidence (1982 to 2013) and Mortality (1997 to 2012)&lt;/title&gt;&lt;/titles&gt;&lt;dates&gt;&lt;year&gt;2015&lt;/year&gt;&lt;/dates&gt;&lt;pub-location&gt;Safe Work Australia&lt;/pub-location&gt;&lt;publisher&gt;Australian Institute of Health and Welfare&lt;/publisher&gt;&lt;urls&gt;&lt;related-urls&gt;&lt;url&gt;http://www.safeworkaustralia.gov.au/sites/SWA/about/Publications/Documents/909/mesothelioma-in-australia-2015.pdf&lt;/url&gt;&lt;/related-urls&gt;&lt;/urls&gt;&lt;/record&gt;&lt;/Cite&gt;&lt;/EndNote&gt;</w:instrText>
      </w:r>
      <w:r w:rsidR="001101A7">
        <w:fldChar w:fldCharType="separate"/>
      </w:r>
      <w:r w:rsidR="001101A7">
        <w:rPr>
          <w:noProof/>
        </w:rPr>
        <w:t>(</w:t>
      </w:r>
      <w:hyperlink w:anchor="_ENREF_1" w:tooltip="AIHW, 2015 #10" w:history="1">
        <w:r w:rsidR="00753DA7">
          <w:rPr>
            <w:noProof/>
          </w:rPr>
          <w:t>AIHW 2015</w:t>
        </w:r>
      </w:hyperlink>
      <w:r w:rsidR="001101A7">
        <w:rPr>
          <w:noProof/>
        </w:rPr>
        <w:t>)</w:t>
      </w:r>
      <w:r w:rsidR="001101A7">
        <w:fldChar w:fldCharType="end"/>
      </w:r>
      <w:r w:rsidR="001101A7">
        <w:t xml:space="preserve">. </w:t>
      </w:r>
    </w:p>
    <w:p w14:paraId="2F4A33F7" w14:textId="77777777" w:rsidR="001101A7" w:rsidRDefault="001101A7" w:rsidP="001101A7">
      <w:pPr>
        <w:pStyle w:val="Caption"/>
      </w:pPr>
      <w:bookmarkStart w:id="3" w:name="_Ref460322175"/>
      <w:r>
        <w:t xml:space="preserve">Table </w:t>
      </w:r>
      <w:r>
        <w:fldChar w:fldCharType="begin"/>
      </w:r>
      <w:r>
        <w:instrText xml:space="preserve"> SEQ Table \* ARABIC </w:instrText>
      </w:r>
      <w:r>
        <w:fldChar w:fldCharType="separate"/>
      </w:r>
      <w:r w:rsidR="00C47DAF">
        <w:rPr>
          <w:noProof/>
        </w:rPr>
        <w:t>3</w:t>
      </w:r>
      <w:r>
        <w:fldChar w:fldCharType="end"/>
      </w:r>
      <w:bookmarkEnd w:id="3"/>
      <w:r w:rsidR="00AA3CB6">
        <w:tab/>
      </w:r>
      <w:r>
        <w:t xml:space="preserve">Number of new mesothelioma cases notified to the AMR by sex, 2012 </w:t>
      </w:r>
      <w:r w:rsidR="0082748B">
        <w:t>to</w:t>
      </w:r>
      <w:r>
        <w:t xml:space="preserve"> 201</w:t>
      </w:r>
      <w:r w:rsidR="0082748B">
        <w:t>4</w:t>
      </w:r>
    </w:p>
    <w:tbl>
      <w:tblPr>
        <w:tblStyle w:val="TableGrid"/>
        <w:tblW w:w="0" w:type="auto"/>
        <w:jc w:val="center"/>
        <w:tblLook w:val="04A0" w:firstRow="1" w:lastRow="0" w:firstColumn="1" w:lastColumn="0" w:noHBand="0" w:noVBand="1"/>
        <w:tblDescription w:val="Table 3 Number of new mesothelioma cases notified to the AMR by sex, 2012 to 2014"/>
      </w:tblPr>
      <w:tblGrid>
        <w:gridCol w:w="1696"/>
        <w:gridCol w:w="2410"/>
        <w:gridCol w:w="2656"/>
        <w:gridCol w:w="2254"/>
      </w:tblGrid>
      <w:tr w:rsidR="001101A7" w:rsidRPr="00AA3CB6" w14:paraId="0372D1A9" w14:textId="77777777" w:rsidTr="00DB6FC2">
        <w:trPr>
          <w:tblHeader/>
          <w:jc w:val="center"/>
        </w:trPr>
        <w:tc>
          <w:tcPr>
            <w:tcW w:w="1696" w:type="dxa"/>
          </w:tcPr>
          <w:p w14:paraId="4CB85343" w14:textId="77777777" w:rsidR="001101A7" w:rsidRPr="00AA3CB6" w:rsidRDefault="001101A7" w:rsidP="00AA3CB6">
            <w:pPr>
              <w:spacing w:before="60" w:after="60"/>
              <w:rPr>
                <w:rFonts w:ascii="Arial Narrow" w:hAnsi="Arial Narrow"/>
                <w:b/>
                <w:sz w:val="20"/>
                <w:szCs w:val="20"/>
              </w:rPr>
            </w:pPr>
            <w:r w:rsidRPr="00AA3CB6">
              <w:rPr>
                <w:rFonts w:ascii="Arial Narrow" w:hAnsi="Arial Narrow"/>
                <w:b/>
                <w:sz w:val="20"/>
                <w:szCs w:val="20"/>
              </w:rPr>
              <w:t>Year</w:t>
            </w:r>
          </w:p>
        </w:tc>
        <w:tc>
          <w:tcPr>
            <w:tcW w:w="2410" w:type="dxa"/>
          </w:tcPr>
          <w:p w14:paraId="565F0496" w14:textId="77777777" w:rsidR="001101A7" w:rsidRPr="00AA3CB6" w:rsidRDefault="001101A7" w:rsidP="00AA3CB6">
            <w:pPr>
              <w:spacing w:before="60" w:after="60"/>
              <w:rPr>
                <w:rFonts w:ascii="Arial Narrow" w:hAnsi="Arial Narrow"/>
                <w:b/>
                <w:sz w:val="20"/>
                <w:szCs w:val="20"/>
              </w:rPr>
            </w:pPr>
            <w:r w:rsidRPr="00AA3CB6">
              <w:rPr>
                <w:rFonts w:ascii="Arial Narrow" w:hAnsi="Arial Narrow"/>
                <w:b/>
                <w:sz w:val="20"/>
                <w:szCs w:val="20"/>
              </w:rPr>
              <w:t>Male</w:t>
            </w:r>
          </w:p>
        </w:tc>
        <w:tc>
          <w:tcPr>
            <w:tcW w:w="2656" w:type="dxa"/>
          </w:tcPr>
          <w:p w14:paraId="163FC0C4" w14:textId="77777777" w:rsidR="001101A7" w:rsidRPr="00AA3CB6" w:rsidRDefault="001101A7" w:rsidP="00AA3CB6">
            <w:pPr>
              <w:spacing w:before="60" w:after="60"/>
              <w:rPr>
                <w:rFonts w:ascii="Arial Narrow" w:hAnsi="Arial Narrow"/>
                <w:b/>
                <w:sz w:val="20"/>
                <w:szCs w:val="20"/>
              </w:rPr>
            </w:pPr>
            <w:r w:rsidRPr="00AA3CB6">
              <w:rPr>
                <w:rFonts w:ascii="Arial Narrow" w:hAnsi="Arial Narrow"/>
                <w:b/>
                <w:sz w:val="20"/>
                <w:szCs w:val="20"/>
              </w:rPr>
              <w:t>Female</w:t>
            </w:r>
          </w:p>
        </w:tc>
        <w:tc>
          <w:tcPr>
            <w:tcW w:w="2254" w:type="dxa"/>
          </w:tcPr>
          <w:p w14:paraId="26D2E39D" w14:textId="77777777" w:rsidR="001101A7" w:rsidRPr="00AA3CB6" w:rsidRDefault="001101A7" w:rsidP="00AA3CB6">
            <w:pPr>
              <w:spacing w:before="60" w:after="60"/>
              <w:rPr>
                <w:rFonts w:ascii="Arial Narrow" w:hAnsi="Arial Narrow"/>
                <w:b/>
                <w:sz w:val="20"/>
                <w:szCs w:val="20"/>
              </w:rPr>
            </w:pPr>
            <w:r w:rsidRPr="00AA3CB6">
              <w:rPr>
                <w:rFonts w:ascii="Arial Narrow" w:hAnsi="Arial Narrow"/>
                <w:b/>
                <w:sz w:val="20"/>
                <w:szCs w:val="20"/>
              </w:rPr>
              <w:t>Total</w:t>
            </w:r>
          </w:p>
        </w:tc>
      </w:tr>
      <w:tr w:rsidR="001101A7" w:rsidRPr="00AA3CB6" w14:paraId="064E9E26" w14:textId="77777777" w:rsidTr="00B54AA1">
        <w:trPr>
          <w:jc w:val="center"/>
        </w:trPr>
        <w:tc>
          <w:tcPr>
            <w:tcW w:w="1696" w:type="dxa"/>
          </w:tcPr>
          <w:p w14:paraId="66E1E8C7" w14:textId="49976D57" w:rsidR="001101A7" w:rsidRPr="00375128" w:rsidRDefault="001101A7" w:rsidP="00AA3CB6">
            <w:pPr>
              <w:spacing w:before="60" w:after="60"/>
              <w:rPr>
                <w:rFonts w:ascii="Arial Narrow" w:hAnsi="Arial Narrow"/>
                <w:sz w:val="20"/>
                <w:szCs w:val="20"/>
                <w:vertAlign w:val="superscript"/>
              </w:rPr>
            </w:pPr>
            <w:r w:rsidRPr="00AA3CB6">
              <w:rPr>
                <w:rFonts w:ascii="Arial Narrow" w:hAnsi="Arial Narrow"/>
                <w:sz w:val="20"/>
                <w:szCs w:val="20"/>
              </w:rPr>
              <w:t>2012</w:t>
            </w:r>
          </w:p>
        </w:tc>
        <w:tc>
          <w:tcPr>
            <w:tcW w:w="2410" w:type="dxa"/>
          </w:tcPr>
          <w:p w14:paraId="03AC16D4" w14:textId="77777777" w:rsidR="001101A7" w:rsidRPr="00AA3CB6" w:rsidRDefault="00B35C1A" w:rsidP="00AA3CB6">
            <w:pPr>
              <w:spacing w:before="60" w:after="60"/>
              <w:rPr>
                <w:rFonts w:ascii="Arial Narrow" w:hAnsi="Arial Narrow"/>
                <w:sz w:val="20"/>
                <w:szCs w:val="20"/>
              </w:rPr>
            </w:pPr>
            <w:r>
              <w:rPr>
                <w:rFonts w:ascii="Arial Narrow" w:hAnsi="Arial Narrow"/>
                <w:sz w:val="20"/>
                <w:szCs w:val="20"/>
              </w:rPr>
              <w:t>591</w:t>
            </w:r>
          </w:p>
        </w:tc>
        <w:tc>
          <w:tcPr>
            <w:tcW w:w="2656" w:type="dxa"/>
          </w:tcPr>
          <w:p w14:paraId="7BF47224" w14:textId="77777777" w:rsidR="001101A7" w:rsidRPr="00AA3CB6" w:rsidRDefault="00B35C1A" w:rsidP="00AA3CB6">
            <w:pPr>
              <w:spacing w:before="60" w:after="60"/>
              <w:rPr>
                <w:rFonts w:ascii="Arial Narrow" w:hAnsi="Arial Narrow"/>
                <w:sz w:val="20"/>
                <w:szCs w:val="20"/>
              </w:rPr>
            </w:pPr>
            <w:r>
              <w:rPr>
                <w:rFonts w:ascii="Arial Narrow" w:hAnsi="Arial Narrow"/>
                <w:sz w:val="20"/>
                <w:szCs w:val="20"/>
              </w:rPr>
              <w:t>122</w:t>
            </w:r>
          </w:p>
        </w:tc>
        <w:tc>
          <w:tcPr>
            <w:tcW w:w="2254" w:type="dxa"/>
          </w:tcPr>
          <w:p w14:paraId="6BCBD8F2" w14:textId="77777777" w:rsidR="001101A7" w:rsidRPr="00AA3CB6" w:rsidRDefault="00B35C1A" w:rsidP="00AA3CB6">
            <w:pPr>
              <w:spacing w:before="60" w:after="60"/>
              <w:rPr>
                <w:rFonts w:ascii="Arial Narrow" w:hAnsi="Arial Narrow"/>
                <w:sz w:val="20"/>
                <w:szCs w:val="20"/>
              </w:rPr>
            </w:pPr>
            <w:r>
              <w:rPr>
                <w:rFonts w:ascii="Arial Narrow" w:hAnsi="Arial Narrow"/>
                <w:sz w:val="20"/>
                <w:szCs w:val="20"/>
              </w:rPr>
              <w:t>713</w:t>
            </w:r>
          </w:p>
        </w:tc>
      </w:tr>
      <w:tr w:rsidR="001101A7" w:rsidRPr="00AA3CB6" w14:paraId="67A27192" w14:textId="77777777" w:rsidTr="00B54AA1">
        <w:trPr>
          <w:jc w:val="center"/>
        </w:trPr>
        <w:tc>
          <w:tcPr>
            <w:tcW w:w="1696" w:type="dxa"/>
          </w:tcPr>
          <w:p w14:paraId="1115D061" w14:textId="514A7121" w:rsidR="001101A7" w:rsidRPr="00375128" w:rsidRDefault="001101A7" w:rsidP="00753DA7">
            <w:pPr>
              <w:spacing w:before="60" w:after="60"/>
              <w:rPr>
                <w:rFonts w:ascii="Arial Narrow" w:hAnsi="Arial Narrow"/>
                <w:sz w:val="20"/>
                <w:szCs w:val="20"/>
                <w:vertAlign w:val="superscript"/>
              </w:rPr>
            </w:pPr>
            <w:r w:rsidRPr="00AA3CB6">
              <w:rPr>
                <w:rFonts w:ascii="Arial Narrow" w:hAnsi="Arial Narrow"/>
                <w:sz w:val="20"/>
                <w:szCs w:val="20"/>
              </w:rPr>
              <w:t>2013</w:t>
            </w:r>
          </w:p>
        </w:tc>
        <w:tc>
          <w:tcPr>
            <w:tcW w:w="2410" w:type="dxa"/>
          </w:tcPr>
          <w:p w14:paraId="0CE7D20A" w14:textId="77777777" w:rsidR="001101A7" w:rsidRPr="00AA3CB6" w:rsidRDefault="00B35C1A" w:rsidP="00AA3CB6">
            <w:pPr>
              <w:spacing w:before="60" w:after="60"/>
              <w:rPr>
                <w:rFonts w:ascii="Arial Narrow" w:hAnsi="Arial Narrow"/>
                <w:sz w:val="20"/>
                <w:szCs w:val="20"/>
              </w:rPr>
            </w:pPr>
            <w:r>
              <w:rPr>
                <w:rFonts w:ascii="Arial Narrow" w:hAnsi="Arial Narrow"/>
                <w:sz w:val="20"/>
                <w:szCs w:val="20"/>
              </w:rPr>
              <w:t>547</w:t>
            </w:r>
          </w:p>
        </w:tc>
        <w:tc>
          <w:tcPr>
            <w:tcW w:w="2656" w:type="dxa"/>
          </w:tcPr>
          <w:p w14:paraId="347170F9" w14:textId="77777777" w:rsidR="001101A7" w:rsidRPr="00AA3CB6" w:rsidRDefault="00B35C1A" w:rsidP="00AA3CB6">
            <w:pPr>
              <w:spacing w:before="60" w:after="60"/>
              <w:rPr>
                <w:rFonts w:ascii="Arial Narrow" w:hAnsi="Arial Narrow"/>
                <w:sz w:val="20"/>
                <w:szCs w:val="20"/>
              </w:rPr>
            </w:pPr>
            <w:r>
              <w:rPr>
                <w:rFonts w:ascii="Arial Narrow" w:hAnsi="Arial Narrow"/>
                <w:sz w:val="20"/>
                <w:szCs w:val="20"/>
              </w:rPr>
              <w:t>129</w:t>
            </w:r>
          </w:p>
        </w:tc>
        <w:tc>
          <w:tcPr>
            <w:tcW w:w="2254" w:type="dxa"/>
          </w:tcPr>
          <w:p w14:paraId="7F07C1CA" w14:textId="77777777" w:rsidR="001101A7" w:rsidRPr="00AA3CB6" w:rsidRDefault="00B35C1A" w:rsidP="00AA3CB6">
            <w:pPr>
              <w:spacing w:before="60" w:after="60"/>
              <w:rPr>
                <w:rFonts w:ascii="Arial Narrow" w:hAnsi="Arial Narrow"/>
                <w:sz w:val="20"/>
                <w:szCs w:val="20"/>
              </w:rPr>
            </w:pPr>
            <w:r>
              <w:rPr>
                <w:rFonts w:ascii="Arial Narrow" w:hAnsi="Arial Narrow"/>
                <w:sz w:val="20"/>
                <w:szCs w:val="20"/>
              </w:rPr>
              <w:t>676</w:t>
            </w:r>
          </w:p>
        </w:tc>
      </w:tr>
      <w:tr w:rsidR="00375128" w:rsidRPr="00AA3CB6" w14:paraId="3D907E88" w14:textId="77777777" w:rsidTr="00B54AA1">
        <w:trPr>
          <w:jc w:val="center"/>
        </w:trPr>
        <w:tc>
          <w:tcPr>
            <w:tcW w:w="1696" w:type="dxa"/>
          </w:tcPr>
          <w:p w14:paraId="5DEBCC5F" w14:textId="2EB5F6E5" w:rsidR="00375128" w:rsidRPr="00375128" w:rsidRDefault="00375128" w:rsidP="00753DA7">
            <w:pPr>
              <w:spacing w:before="60" w:after="60"/>
              <w:rPr>
                <w:rFonts w:ascii="Arial Narrow" w:hAnsi="Arial Narrow"/>
                <w:sz w:val="20"/>
                <w:szCs w:val="20"/>
                <w:vertAlign w:val="superscript"/>
              </w:rPr>
            </w:pPr>
            <w:r>
              <w:rPr>
                <w:rFonts w:ascii="Arial Narrow" w:hAnsi="Arial Narrow"/>
                <w:sz w:val="20"/>
                <w:szCs w:val="20"/>
              </w:rPr>
              <w:t>2014</w:t>
            </w:r>
            <w:r w:rsidR="00753DA7">
              <w:rPr>
                <w:rFonts w:ascii="Arial Narrow" w:hAnsi="Arial Narrow"/>
                <w:sz w:val="20"/>
                <w:szCs w:val="20"/>
                <w:vertAlign w:val="superscript"/>
              </w:rPr>
              <w:t>a</w:t>
            </w:r>
          </w:p>
        </w:tc>
        <w:tc>
          <w:tcPr>
            <w:tcW w:w="2410" w:type="dxa"/>
          </w:tcPr>
          <w:p w14:paraId="3A0C4CA7" w14:textId="77777777" w:rsidR="00375128" w:rsidRPr="00AA3CB6" w:rsidRDefault="00375128" w:rsidP="00AA3CB6">
            <w:pPr>
              <w:spacing w:before="60" w:after="60"/>
              <w:rPr>
                <w:rFonts w:ascii="Arial Narrow" w:hAnsi="Arial Narrow"/>
                <w:sz w:val="20"/>
                <w:szCs w:val="20"/>
              </w:rPr>
            </w:pPr>
            <w:r>
              <w:rPr>
                <w:rFonts w:ascii="Arial Narrow" w:hAnsi="Arial Narrow"/>
                <w:sz w:val="20"/>
                <w:szCs w:val="20"/>
              </w:rPr>
              <w:t>518</w:t>
            </w:r>
          </w:p>
        </w:tc>
        <w:tc>
          <w:tcPr>
            <w:tcW w:w="2656" w:type="dxa"/>
          </w:tcPr>
          <w:p w14:paraId="04E56AFA" w14:textId="77777777" w:rsidR="00375128" w:rsidRPr="00AA3CB6" w:rsidRDefault="00375128" w:rsidP="00AA3CB6">
            <w:pPr>
              <w:spacing w:before="60" w:after="60"/>
              <w:rPr>
                <w:rFonts w:ascii="Arial Narrow" w:hAnsi="Arial Narrow"/>
                <w:sz w:val="20"/>
                <w:szCs w:val="20"/>
              </w:rPr>
            </w:pPr>
            <w:r>
              <w:rPr>
                <w:rFonts w:ascii="Arial Narrow" w:hAnsi="Arial Narrow"/>
                <w:sz w:val="20"/>
                <w:szCs w:val="20"/>
              </w:rPr>
              <w:t>123</w:t>
            </w:r>
          </w:p>
        </w:tc>
        <w:tc>
          <w:tcPr>
            <w:tcW w:w="2254" w:type="dxa"/>
          </w:tcPr>
          <w:p w14:paraId="7045B728" w14:textId="77777777" w:rsidR="00375128" w:rsidRPr="00AA3CB6" w:rsidRDefault="00375128" w:rsidP="00AA3CB6">
            <w:pPr>
              <w:spacing w:before="60" w:after="60"/>
              <w:rPr>
                <w:rFonts w:ascii="Arial Narrow" w:hAnsi="Arial Narrow"/>
                <w:sz w:val="20"/>
                <w:szCs w:val="20"/>
              </w:rPr>
            </w:pPr>
            <w:r>
              <w:rPr>
                <w:rFonts w:ascii="Arial Narrow" w:hAnsi="Arial Narrow"/>
                <w:sz w:val="20"/>
                <w:szCs w:val="20"/>
              </w:rPr>
              <w:t>641</w:t>
            </w:r>
          </w:p>
        </w:tc>
      </w:tr>
    </w:tbl>
    <w:p w14:paraId="6B52EAC4" w14:textId="4B727655" w:rsidR="001101A7" w:rsidRDefault="00375128" w:rsidP="00375128">
      <w:pPr>
        <w:spacing w:before="60" w:after="0" w:line="240" w:lineRule="auto"/>
        <w:rPr>
          <w:rFonts w:ascii="Arial Narrow" w:hAnsi="Arial Narrow"/>
          <w:sz w:val="18"/>
          <w:szCs w:val="18"/>
        </w:rPr>
      </w:pPr>
      <w:r>
        <w:rPr>
          <w:rFonts w:ascii="Arial Narrow" w:hAnsi="Arial Narrow"/>
          <w:sz w:val="18"/>
          <w:szCs w:val="18"/>
          <w:vertAlign w:val="superscript"/>
        </w:rPr>
        <w:t>a</w:t>
      </w:r>
      <w:r w:rsidR="00753DA7">
        <w:rPr>
          <w:rFonts w:ascii="Arial Narrow" w:hAnsi="Arial Narrow"/>
          <w:sz w:val="18"/>
          <w:szCs w:val="18"/>
          <w:vertAlign w:val="superscript"/>
        </w:rPr>
        <w:t xml:space="preserve"> </w:t>
      </w:r>
      <w:r w:rsidR="00753DA7">
        <w:rPr>
          <w:rFonts w:ascii="Arial Narrow" w:hAnsi="Arial Narrow"/>
          <w:sz w:val="18"/>
          <w:szCs w:val="18"/>
        </w:rPr>
        <w:t>Notified to the AMR at 31 May 2015</w:t>
      </w:r>
    </w:p>
    <w:p w14:paraId="6705465B" w14:textId="01328129" w:rsidR="00375128" w:rsidRDefault="00375128" w:rsidP="002B3338">
      <w:pPr>
        <w:rPr>
          <w:rFonts w:ascii="Arial Narrow" w:hAnsi="Arial Narrow"/>
          <w:sz w:val="18"/>
          <w:szCs w:val="18"/>
        </w:rPr>
      </w:pPr>
      <w:r>
        <w:rPr>
          <w:rFonts w:ascii="Arial Narrow" w:hAnsi="Arial Narrow"/>
          <w:sz w:val="18"/>
          <w:szCs w:val="18"/>
        </w:rPr>
        <w:t xml:space="preserve">Source: AMR 2015 </w:t>
      </w:r>
      <w:r>
        <w:rPr>
          <w:rFonts w:ascii="Arial Narrow" w:hAnsi="Arial Narrow"/>
          <w:sz w:val="18"/>
          <w:szCs w:val="18"/>
        </w:rPr>
        <w:fldChar w:fldCharType="begin"/>
      </w:r>
      <w:r>
        <w:rPr>
          <w:rFonts w:ascii="Arial Narrow" w:hAnsi="Arial Narrow"/>
          <w:sz w:val="18"/>
          <w:szCs w:val="18"/>
        </w:rPr>
        <w:instrText xml:space="preserve"> ADDIN EN.CITE &lt;EndNote&gt;&lt;Cite&gt;&lt;Author&gt;AMR&lt;/Author&gt;&lt;Year&gt;2015&lt;/Year&gt;&lt;RecNum&gt;11&lt;/RecNum&gt;&lt;DisplayText&gt;(AMR 2015)&lt;/DisplayText&gt;&lt;record&gt;&lt;rec-number&gt;11&lt;/rec-number&gt;&lt;foreign-keys&gt;&lt;key app="EN" db-id="fferfteelrvx9zez9ptvxz0fsw9pp5wdddsf" timestamp="1472532322"&gt;11&lt;/key&gt;&lt;key app="ENWeb" db-id=""&gt;0&lt;/key&gt;&lt;/foreign-keys&gt;&lt;ref-type name="Report"&gt;27&lt;/ref-type&gt;&lt;contributors&gt;&lt;authors&gt;&lt;author&gt;AMR&lt;/author&gt;&lt;/authors&gt;&lt;/contributors&gt;&lt;titles&gt;&lt;title&gt;Mesothelioma in Australia 2014, 4th annual report&lt;/title&gt;&lt;/titles&gt;&lt;dates&gt;&lt;year&gt;2015&lt;/year&gt;&lt;/dates&gt;&lt;urls&gt;&lt;related-urls&gt;&lt;url&gt;https://www.mesothelioma-australia.com/media/12174/amr_4thannualdatareport_final.pdf&lt;/url&gt;&lt;/related-urls&gt;&lt;/urls&gt;&lt;/record&gt;&lt;/Cite&gt;&lt;/EndNote&gt;</w:instrText>
      </w:r>
      <w:r>
        <w:rPr>
          <w:rFonts w:ascii="Arial Narrow" w:hAnsi="Arial Narrow"/>
          <w:sz w:val="18"/>
          <w:szCs w:val="18"/>
        </w:rPr>
        <w:fldChar w:fldCharType="separate"/>
      </w:r>
      <w:r>
        <w:rPr>
          <w:rFonts w:ascii="Arial Narrow" w:hAnsi="Arial Narrow"/>
          <w:noProof/>
          <w:sz w:val="18"/>
          <w:szCs w:val="18"/>
        </w:rPr>
        <w:t>(</w:t>
      </w:r>
      <w:hyperlink w:anchor="_ENREF_3" w:tooltip="AMR, 2015 #11" w:history="1">
        <w:r w:rsidR="00753DA7">
          <w:rPr>
            <w:rFonts w:ascii="Arial Narrow" w:hAnsi="Arial Narrow"/>
            <w:noProof/>
            <w:sz w:val="18"/>
            <w:szCs w:val="18"/>
          </w:rPr>
          <w:t>AMR 2015</w:t>
        </w:r>
      </w:hyperlink>
      <w:r>
        <w:rPr>
          <w:rFonts w:ascii="Arial Narrow" w:hAnsi="Arial Narrow"/>
          <w:noProof/>
          <w:sz w:val="18"/>
          <w:szCs w:val="18"/>
        </w:rPr>
        <w:t>)</w:t>
      </w:r>
      <w:r>
        <w:rPr>
          <w:rFonts w:ascii="Arial Narrow" w:hAnsi="Arial Narrow"/>
          <w:sz w:val="18"/>
          <w:szCs w:val="18"/>
        </w:rPr>
        <w:fldChar w:fldCharType="end"/>
      </w:r>
    </w:p>
    <w:p w14:paraId="7BBA81DB" w14:textId="042238A6" w:rsidR="007B48A4" w:rsidRDefault="007B48A4" w:rsidP="002B3338">
      <w:r>
        <w:t xml:space="preserve">PD-L1 testing is proposed as a means of determining which patients would be eligible for receiving the co-dependent drug pembrolizumab. The application proposed that access to pembrolizumab would be </w:t>
      </w:r>
      <w:r w:rsidR="00960A2C">
        <w:t xml:space="preserve">for </w:t>
      </w:r>
      <w:r>
        <w:t xml:space="preserve">those with </w:t>
      </w:r>
      <w:r w:rsidR="00BA3772">
        <w:t xml:space="preserve">unresectable </w:t>
      </w:r>
      <w:r>
        <w:t xml:space="preserve">mesothelioma, </w:t>
      </w:r>
      <w:r w:rsidR="00C34809">
        <w:t xml:space="preserve">either pleural or peritoneal, </w:t>
      </w:r>
      <w:r>
        <w:t xml:space="preserve">who express PD-L1. </w:t>
      </w:r>
      <w:r w:rsidRPr="00BA3772">
        <w:t>The key trials are only in patients who cannot tolerate, are not eligible for, or have failed standard</w:t>
      </w:r>
      <w:r w:rsidR="00BA3772" w:rsidRPr="00BA3772">
        <w:t xml:space="preserve"> first-line</w:t>
      </w:r>
      <w:r w:rsidRPr="00BA3772">
        <w:t xml:space="preserve"> therapies. </w:t>
      </w:r>
      <w:r w:rsidR="00BA3772" w:rsidRPr="00BA3772">
        <w:t xml:space="preserve">It is proposed that </w:t>
      </w:r>
      <w:r w:rsidRPr="00BA3772">
        <w:t xml:space="preserve">PD-L1 testing should occur only in those who meet </w:t>
      </w:r>
      <w:r w:rsidR="00BA3772" w:rsidRPr="00BA3772">
        <w:t xml:space="preserve">these </w:t>
      </w:r>
      <w:r w:rsidRPr="00BA3772">
        <w:t>criteria</w:t>
      </w:r>
      <w:r>
        <w:rPr>
          <w:i/>
        </w:rPr>
        <w:t xml:space="preserve">. </w:t>
      </w:r>
    </w:p>
    <w:p w14:paraId="540B6A9C" w14:textId="2FE3E50A" w:rsidR="00520D74" w:rsidRPr="00520D74" w:rsidRDefault="00520D74" w:rsidP="002B3338">
      <w:r>
        <w:t xml:space="preserve">For the purpose of Medicare subsidy, failed prior therapies include only those that are given </w:t>
      </w:r>
      <w:r w:rsidR="00050E31">
        <w:t>which</w:t>
      </w:r>
      <w:r>
        <w:t xml:space="preserve"> are likely to be of benefit to the patient. They do not include surgical resection or radiotherapy. Failure of therapy may be defined as progression of disease following therapy, loss of response to or development of intolerance therapy.</w:t>
      </w:r>
    </w:p>
    <w:p w14:paraId="0F242B65" w14:textId="4D06A7E5" w:rsidR="004C4449" w:rsidRPr="00375128" w:rsidRDefault="004C4449" w:rsidP="002B3338">
      <w:pPr>
        <w:rPr>
          <w:rFonts w:ascii="Arial Narrow" w:hAnsi="Arial Narrow"/>
          <w:sz w:val="18"/>
          <w:szCs w:val="18"/>
        </w:rPr>
      </w:pPr>
      <w:r>
        <w:fldChar w:fldCharType="begin"/>
      </w:r>
      <w:r>
        <w:instrText xml:space="preserve"> REF _Ref460322472 \h </w:instrText>
      </w:r>
      <w:r>
        <w:fldChar w:fldCharType="separate"/>
      </w:r>
      <w:r w:rsidR="00C47DAF">
        <w:t xml:space="preserve">Table </w:t>
      </w:r>
      <w:r w:rsidR="00C47DAF">
        <w:rPr>
          <w:noProof/>
        </w:rPr>
        <w:t>4</w:t>
      </w:r>
      <w:r>
        <w:fldChar w:fldCharType="end"/>
      </w:r>
      <w:r>
        <w:t xml:space="preserve"> gives an estimate of the number of patients likely to be eligible for pembrolizumab, based on the number of new cases of mesothelioma diagnosed and the proportion of patients testing positive for PD-L1 in the KEYNOTE-028 trial (45%). No adjustment in the eligible number has been made for patients with comorbidities, those who refuse treatment or have other circumstances that render them unsuitable for treatment.</w:t>
      </w:r>
    </w:p>
    <w:p w14:paraId="5068F34A" w14:textId="77777777" w:rsidR="00AA3CB6" w:rsidRDefault="00AA3CB6" w:rsidP="00AA3CB6">
      <w:pPr>
        <w:pStyle w:val="Caption"/>
      </w:pPr>
      <w:bookmarkStart w:id="4" w:name="_Ref460322472"/>
      <w:r>
        <w:t xml:space="preserve">Table </w:t>
      </w:r>
      <w:r>
        <w:fldChar w:fldCharType="begin"/>
      </w:r>
      <w:r>
        <w:instrText xml:space="preserve"> SEQ Table \* ARABIC </w:instrText>
      </w:r>
      <w:r>
        <w:fldChar w:fldCharType="separate"/>
      </w:r>
      <w:r w:rsidR="00C47DAF">
        <w:rPr>
          <w:noProof/>
        </w:rPr>
        <w:t>4</w:t>
      </w:r>
      <w:r>
        <w:fldChar w:fldCharType="end"/>
      </w:r>
      <w:bookmarkEnd w:id="4"/>
      <w:r>
        <w:tab/>
        <w:t xml:space="preserve">Estimate of </w:t>
      </w:r>
      <w:r w:rsidR="001C3AD0">
        <w:t xml:space="preserve">newly diagnosed </w:t>
      </w:r>
      <w:r>
        <w:t>advanced mesothelioma patients eligible for pembrolizumab</w:t>
      </w:r>
    </w:p>
    <w:tbl>
      <w:tblPr>
        <w:tblStyle w:val="TableGrid"/>
        <w:tblW w:w="5000" w:type="pct"/>
        <w:tblLook w:val="04A0" w:firstRow="1" w:lastRow="0" w:firstColumn="1" w:lastColumn="0" w:noHBand="0" w:noVBand="1"/>
        <w:tblDescription w:val="Table 4 Estimate of newly diagnosed advanced mesothelioma patients eligible for pembrolizumab"/>
      </w:tblPr>
      <w:tblGrid>
        <w:gridCol w:w="2259"/>
        <w:gridCol w:w="3397"/>
        <w:gridCol w:w="3586"/>
      </w:tblGrid>
      <w:tr w:rsidR="00AA3CB6" w:rsidRPr="00AA3CB6" w14:paraId="429CD7CD" w14:textId="77777777" w:rsidTr="00DB6FC2">
        <w:trPr>
          <w:cantSplit/>
          <w:tblHeader/>
        </w:trPr>
        <w:tc>
          <w:tcPr>
            <w:tcW w:w="1222" w:type="pct"/>
          </w:tcPr>
          <w:p w14:paraId="654A3CBD" w14:textId="77777777" w:rsidR="00AA3CB6" w:rsidRPr="00AA3CB6" w:rsidRDefault="00AA3CB6" w:rsidP="00AA3CB6">
            <w:pPr>
              <w:spacing w:before="60" w:after="60"/>
              <w:rPr>
                <w:rFonts w:ascii="Arial Narrow" w:hAnsi="Arial Narrow"/>
                <w:b/>
                <w:sz w:val="20"/>
                <w:szCs w:val="20"/>
              </w:rPr>
            </w:pPr>
            <w:r w:rsidRPr="00AA3CB6">
              <w:rPr>
                <w:rFonts w:ascii="Arial Narrow" w:hAnsi="Arial Narrow"/>
                <w:b/>
                <w:sz w:val="20"/>
                <w:szCs w:val="20"/>
              </w:rPr>
              <w:t>Year</w:t>
            </w:r>
          </w:p>
        </w:tc>
        <w:tc>
          <w:tcPr>
            <w:tcW w:w="1838" w:type="pct"/>
          </w:tcPr>
          <w:p w14:paraId="6C091D36" w14:textId="20EE29E3" w:rsidR="00AA3CB6" w:rsidRPr="008500DD" w:rsidRDefault="00DF3A70" w:rsidP="00DF3A70">
            <w:pPr>
              <w:spacing w:before="60" w:after="60"/>
              <w:rPr>
                <w:rFonts w:ascii="Arial Narrow" w:hAnsi="Arial Narrow"/>
                <w:b/>
                <w:sz w:val="20"/>
                <w:szCs w:val="20"/>
                <w:vertAlign w:val="superscript"/>
              </w:rPr>
            </w:pPr>
            <w:r>
              <w:rPr>
                <w:rFonts w:ascii="Arial Narrow" w:hAnsi="Arial Narrow"/>
                <w:b/>
                <w:sz w:val="20"/>
                <w:szCs w:val="20"/>
              </w:rPr>
              <w:t>New advanced cases/n</w:t>
            </w:r>
            <w:r w:rsidR="00B54AA1">
              <w:rPr>
                <w:rFonts w:ascii="Arial Narrow" w:hAnsi="Arial Narrow"/>
                <w:b/>
                <w:sz w:val="20"/>
                <w:szCs w:val="20"/>
              </w:rPr>
              <w:t>umber of PD-L1 tests</w:t>
            </w:r>
            <w:r w:rsidR="0082748B">
              <w:rPr>
                <w:rFonts w:ascii="Arial Narrow" w:hAnsi="Arial Narrow"/>
                <w:b/>
                <w:sz w:val="20"/>
                <w:szCs w:val="20"/>
              </w:rPr>
              <w:t xml:space="preserve"> </w:t>
            </w:r>
            <w:r w:rsidR="00AA3CB6" w:rsidRPr="00AA3CB6">
              <w:rPr>
                <w:rFonts w:ascii="Arial Narrow" w:hAnsi="Arial Narrow"/>
                <w:b/>
                <w:sz w:val="20"/>
                <w:szCs w:val="20"/>
              </w:rPr>
              <w:t>(n)</w:t>
            </w:r>
            <w:r w:rsidR="008500DD">
              <w:rPr>
                <w:rFonts w:ascii="Arial Narrow" w:hAnsi="Arial Narrow"/>
                <w:b/>
                <w:sz w:val="20"/>
                <w:szCs w:val="20"/>
                <w:vertAlign w:val="superscript"/>
              </w:rPr>
              <w:t>a</w:t>
            </w:r>
          </w:p>
        </w:tc>
        <w:tc>
          <w:tcPr>
            <w:tcW w:w="1940" w:type="pct"/>
          </w:tcPr>
          <w:p w14:paraId="34B298CE" w14:textId="195B208B" w:rsidR="00AA3CB6" w:rsidRPr="00AA3CB6" w:rsidRDefault="001C3AD0" w:rsidP="008500DD">
            <w:pPr>
              <w:spacing w:before="60" w:after="60"/>
              <w:rPr>
                <w:rFonts w:ascii="Arial Narrow" w:hAnsi="Arial Narrow"/>
                <w:b/>
                <w:sz w:val="20"/>
                <w:szCs w:val="20"/>
              </w:rPr>
            </w:pPr>
            <w:r>
              <w:rPr>
                <w:rFonts w:ascii="Arial Narrow" w:hAnsi="Arial Narrow"/>
                <w:b/>
                <w:sz w:val="20"/>
                <w:szCs w:val="20"/>
              </w:rPr>
              <w:t>Newly diagnosed p</w:t>
            </w:r>
            <w:r w:rsidR="00AA3CB6" w:rsidRPr="00AA3CB6">
              <w:rPr>
                <w:rFonts w:ascii="Arial Narrow" w:hAnsi="Arial Narrow"/>
                <w:b/>
                <w:sz w:val="20"/>
                <w:szCs w:val="20"/>
              </w:rPr>
              <w:t xml:space="preserve">atients </w:t>
            </w:r>
            <w:r w:rsidR="000E5F48">
              <w:rPr>
                <w:rFonts w:ascii="Arial Narrow" w:hAnsi="Arial Narrow"/>
                <w:b/>
                <w:sz w:val="20"/>
                <w:szCs w:val="20"/>
              </w:rPr>
              <w:t>eligible for pembrolizumab</w:t>
            </w:r>
            <w:r w:rsidR="008500DD">
              <w:rPr>
                <w:rFonts w:ascii="Arial Narrow" w:hAnsi="Arial Narrow"/>
                <w:b/>
                <w:sz w:val="20"/>
                <w:szCs w:val="20"/>
                <w:vertAlign w:val="superscript"/>
              </w:rPr>
              <w:t>b</w:t>
            </w:r>
            <w:r w:rsidR="000E5F48">
              <w:rPr>
                <w:rFonts w:ascii="Arial Narrow" w:hAnsi="Arial Narrow"/>
                <w:b/>
                <w:sz w:val="20"/>
                <w:szCs w:val="20"/>
              </w:rPr>
              <w:t xml:space="preserve"> </w:t>
            </w:r>
            <w:r w:rsidR="00D15352">
              <w:rPr>
                <w:rFonts w:ascii="Arial Narrow" w:hAnsi="Arial Narrow"/>
                <w:b/>
                <w:sz w:val="20"/>
                <w:szCs w:val="20"/>
              </w:rPr>
              <w:t>(n)</w:t>
            </w:r>
          </w:p>
        </w:tc>
      </w:tr>
      <w:tr w:rsidR="00AA3CB6" w:rsidRPr="00AA3CB6" w14:paraId="32D3186E" w14:textId="77777777" w:rsidTr="00DB6FC2">
        <w:trPr>
          <w:cantSplit/>
          <w:tblHeader/>
        </w:trPr>
        <w:tc>
          <w:tcPr>
            <w:tcW w:w="1222" w:type="pct"/>
          </w:tcPr>
          <w:p w14:paraId="160F9975" w14:textId="77777777" w:rsidR="00AA3CB6" w:rsidRPr="00AA3CB6" w:rsidRDefault="000E5F48" w:rsidP="00AA3CB6">
            <w:pPr>
              <w:spacing w:before="60" w:after="60"/>
              <w:rPr>
                <w:rFonts w:ascii="Arial Narrow" w:hAnsi="Arial Narrow"/>
                <w:sz w:val="20"/>
                <w:szCs w:val="20"/>
              </w:rPr>
            </w:pPr>
            <w:r>
              <w:rPr>
                <w:rFonts w:ascii="Arial Narrow" w:hAnsi="Arial Narrow"/>
                <w:sz w:val="20"/>
                <w:szCs w:val="20"/>
              </w:rPr>
              <w:t>2012</w:t>
            </w:r>
          </w:p>
        </w:tc>
        <w:tc>
          <w:tcPr>
            <w:tcW w:w="1838" w:type="pct"/>
          </w:tcPr>
          <w:p w14:paraId="6F7EEA01" w14:textId="4CE8CA55" w:rsidR="00AA3CB6" w:rsidRPr="008500DD" w:rsidRDefault="008500DD" w:rsidP="00AA3CB6">
            <w:pPr>
              <w:spacing w:before="60" w:after="60"/>
              <w:rPr>
                <w:rFonts w:ascii="Arial Narrow" w:hAnsi="Arial Narrow"/>
                <w:sz w:val="20"/>
                <w:szCs w:val="20"/>
              </w:rPr>
            </w:pPr>
            <w:r w:rsidRPr="008500DD">
              <w:rPr>
                <w:rFonts w:ascii="Arial Narrow" w:hAnsi="Arial Narrow"/>
                <w:sz w:val="20"/>
                <w:szCs w:val="20"/>
              </w:rPr>
              <w:t>713</w:t>
            </w:r>
          </w:p>
        </w:tc>
        <w:tc>
          <w:tcPr>
            <w:tcW w:w="1940" w:type="pct"/>
          </w:tcPr>
          <w:p w14:paraId="72E413A8" w14:textId="77777777" w:rsidR="00AA3CB6" w:rsidRPr="00AA3CB6" w:rsidRDefault="00D15352" w:rsidP="00AA3CB6">
            <w:pPr>
              <w:spacing w:before="60" w:after="60"/>
              <w:rPr>
                <w:rFonts w:ascii="Arial Narrow" w:hAnsi="Arial Narrow"/>
                <w:sz w:val="20"/>
                <w:szCs w:val="20"/>
              </w:rPr>
            </w:pPr>
            <w:r>
              <w:rPr>
                <w:rFonts w:ascii="Arial Narrow" w:hAnsi="Arial Narrow"/>
                <w:sz w:val="20"/>
                <w:szCs w:val="20"/>
              </w:rPr>
              <w:t>293</w:t>
            </w:r>
          </w:p>
        </w:tc>
      </w:tr>
      <w:tr w:rsidR="00AA3CB6" w:rsidRPr="00AA3CB6" w14:paraId="47C764A0" w14:textId="77777777" w:rsidTr="00DB6FC2">
        <w:trPr>
          <w:cantSplit/>
          <w:tblHeader/>
        </w:trPr>
        <w:tc>
          <w:tcPr>
            <w:tcW w:w="1222" w:type="pct"/>
          </w:tcPr>
          <w:p w14:paraId="675D0C4D" w14:textId="57FC3BC0" w:rsidR="00AA3CB6" w:rsidRPr="00D15352" w:rsidRDefault="000E5F48" w:rsidP="00AA3CB6">
            <w:pPr>
              <w:spacing w:before="60" w:after="60"/>
              <w:rPr>
                <w:rFonts w:ascii="Arial Narrow" w:hAnsi="Arial Narrow"/>
                <w:sz w:val="20"/>
                <w:szCs w:val="20"/>
              </w:rPr>
            </w:pPr>
            <w:r>
              <w:rPr>
                <w:rFonts w:ascii="Arial Narrow" w:hAnsi="Arial Narrow"/>
                <w:sz w:val="20"/>
                <w:szCs w:val="20"/>
              </w:rPr>
              <w:lastRenderedPageBreak/>
              <w:t>2013</w:t>
            </w:r>
          </w:p>
        </w:tc>
        <w:tc>
          <w:tcPr>
            <w:tcW w:w="1838" w:type="pct"/>
          </w:tcPr>
          <w:p w14:paraId="77ADC5BA" w14:textId="19991603" w:rsidR="00AA3CB6" w:rsidRPr="008500DD" w:rsidRDefault="008500DD" w:rsidP="00AA3CB6">
            <w:pPr>
              <w:spacing w:before="60" w:after="60"/>
              <w:rPr>
                <w:rFonts w:ascii="Arial Narrow" w:hAnsi="Arial Narrow"/>
                <w:sz w:val="20"/>
                <w:szCs w:val="20"/>
              </w:rPr>
            </w:pPr>
            <w:r w:rsidRPr="008500DD">
              <w:rPr>
                <w:rFonts w:ascii="Arial Narrow" w:hAnsi="Arial Narrow"/>
                <w:sz w:val="20"/>
                <w:szCs w:val="20"/>
              </w:rPr>
              <w:t>676</w:t>
            </w:r>
          </w:p>
        </w:tc>
        <w:tc>
          <w:tcPr>
            <w:tcW w:w="1940" w:type="pct"/>
          </w:tcPr>
          <w:p w14:paraId="60877604" w14:textId="77777777" w:rsidR="00AA3CB6" w:rsidRPr="00AA3CB6" w:rsidRDefault="00D15352" w:rsidP="00AA3CB6">
            <w:pPr>
              <w:spacing w:before="60" w:after="60"/>
              <w:rPr>
                <w:rFonts w:ascii="Arial Narrow" w:hAnsi="Arial Narrow"/>
                <w:sz w:val="20"/>
                <w:szCs w:val="20"/>
              </w:rPr>
            </w:pPr>
            <w:r>
              <w:rPr>
                <w:rFonts w:ascii="Arial Narrow" w:hAnsi="Arial Narrow"/>
                <w:sz w:val="20"/>
                <w:szCs w:val="20"/>
              </w:rPr>
              <w:t>259</w:t>
            </w:r>
          </w:p>
        </w:tc>
      </w:tr>
      <w:tr w:rsidR="00AA3CB6" w:rsidRPr="00AA3CB6" w14:paraId="70BBE720" w14:textId="77777777" w:rsidTr="00DB6FC2">
        <w:trPr>
          <w:cantSplit/>
          <w:tblHeader/>
        </w:trPr>
        <w:tc>
          <w:tcPr>
            <w:tcW w:w="1222" w:type="pct"/>
          </w:tcPr>
          <w:p w14:paraId="476C1A8D" w14:textId="77777777" w:rsidR="00AA3CB6" w:rsidRPr="00AA3CB6" w:rsidRDefault="00D15352" w:rsidP="00AA3CB6">
            <w:pPr>
              <w:spacing w:before="60" w:after="60"/>
              <w:rPr>
                <w:rFonts w:ascii="Arial Narrow" w:hAnsi="Arial Narrow"/>
                <w:sz w:val="20"/>
                <w:szCs w:val="20"/>
              </w:rPr>
            </w:pPr>
            <w:r>
              <w:rPr>
                <w:rFonts w:ascii="Arial Narrow" w:hAnsi="Arial Narrow"/>
                <w:sz w:val="20"/>
                <w:szCs w:val="20"/>
              </w:rPr>
              <w:t>2014</w:t>
            </w:r>
          </w:p>
        </w:tc>
        <w:tc>
          <w:tcPr>
            <w:tcW w:w="1838" w:type="pct"/>
          </w:tcPr>
          <w:p w14:paraId="1943778E" w14:textId="77777777" w:rsidR="00AA3CB6" w:rsidRPr="008500DD" w:rsidRDefault="00375128" w:rsidP="00AA3CB6">
            <w:pPr>
              <w:spacing w:before="60" w:after="60"/>
              <w:rPr>
                <w:rFonts w:ascii="Arial Narrow" w:hAnsi="Arial Narrow"/>
                <w:sz w:val="20"/>
                <w:szCs w:val="20"/>
              </w:rPr>
            </w:pPr>
            <w:r w:rsidRPr="008500DD">
              <w:rPr>
                <w:rFonts w:ascii="Arial Narrow" w:hAnsi="Arial Narrow"/>
                <w:sz w:val="20"/>
                <w:szCs w:val="20"/>
              </w:rPr>
              <w:t>641</w:t>
            </w:r>
          </w:p>
        </w:tc>
        <w:tc>
          <w:tcPr>
            <w:tcW w:w="1940" w:type="pct"/>
          </w:tcPr>
          <w:p w14:paraId="4C4E3E61" w14:textId="77777777" w:rsidR="00AA3CB6" w:rsidRPr="00AA3CB6" w:rsidRDefault="00B54AA1" w:rsidP="00AA3CB6">
            <w:pPr>
              <w:spacing w:before="60" w:after="60"/>
              <w:rPr>
                <w:rFonts w:ascii="Arial Narrow" w:hAnsi="Arial Narrow"/>
                <w:sz w:val="20"/>
                <w:szCs w:val="20"/>
              </w:rPr>
            </w:pPr>
            <w:r>
              <w:rPr>
                <w:rFonts w:ascii="Arial Narrow" w:hAnsi="Arial Narrow"/>
                <w:sz w:val="20"/>
                <w:szCs w:val="20"/>
              </w:rPr>
              <w:t>288</w:t>
            </w:r>
          </w:p>
        </w:tc>
      </w:tr>
    </w:tbl>
    <w:p w14:paraId="6BC9B72A" w14:textId="12C4507B" w:rsidR="008500DD" w:rsidRPr="008500DD" w:rsidRDefault="008500DD" w:rsidP="00D15352">
      <w:pPr>
        <w:spacing w:before="60" w:after="0"/>
        <w:rPr>
          <w:rFonts w:ascii="Arial Narrow" w:hAnsi="Arial Narrow"/>
          <w:sz w:val="18"/>
          <w:szCs w:val="18"/>
        </w:rPr>
      </w:pPr>
      <w:r>
        <w:rPr>
          <w:rFonts w:ascii="Arial Narrow" w:hAnsi="Arial Narrow"/>
          <w:sz w:val="18"/>
          <w:szCs w:val="18"/>
          <w:vertAlign w:val="superscript"/>
        </w:rPr>
        <w:t xml:space="preserve">a </w:t>
      </w:r>
      <w:r>
        <w:rPr>
          <w:rFonts w:ascii="Arial Narrow" w:hAnsi="Arial Narrow"/>
          <w:sz w:val="18"/>
          <w:szCs w:val="18"/>
        </w:rPr>
        <w:t xml:space="preserve">Based on </w:t>
      </w:r>
      <w:r w:rsidRPr="008500DD">
        <w:rPr>
          <w:rFonts w:ascii="Arial Narrow" w:hAnsi="Arial Narrow"/>
          <w:sz w:val="18"/>
          <w:szCs w:val="18"/>
        </w:rPr>
        <w:t>A</w:t>
      </w:r>
      <w:r>
        <w:rPr>
          <w:rFonts w:ascii="Arial Narrow" w:hAnsi="Arial Narrow"/>
          <w:sz w:val="18"/>
          <w:szCs w:val="18"/>
        </w:rPr>
        <w:t>MR 2015 data (Table 1), and assuming that patients are diagnosed in the advanced state</w:t>
      </w:r>
    </w:p>
    <w:p w14:paraId="739EB94C" w14:textId="7CB6F782" w:rsidR="00AA3CB6" w:rsidRDefault="008500DD" w:rsidP="00D15352">
      <w:pPr>
        <w:spacing w:before="60" w:after="0"/>
        <w:rPr>
          <w:rFonts w:ascii="Arial Narrow" w:hAnsi="Arial Narrow"/>
          <w:sz w:val="18"/>
          <w:szCs w:val="18"/>
        </w:rPr>
      </w:pPr>
      <w:r>
        <w:rPr>
          <w:rFonts w:ascii="Arial Narrow" w:hAnsi="Arial Narrow"/>
          <w:sz w:val="18"/>
          <w:szCs w:val="18"/>
          <w:vertAlign w:val="superscript"/>
        </w:rPr>
        <w:t>b</w:t>
      </w:r>
      <w:r w:rsidR="000E5F48" w:rsidRPr="000E5F48">
        <w:rPr>
          <w:rFonts w:ascii="Arial Narrow" w:hAnsi="Arial Narrow"/>
          <w:sz w:val="18"/>
          <w:szCs w:val="18"/>
          <w:vertAlign w:val="superscript"/>
        </w:rPr>
        <w:t xml:space="preserve"> </w:t>
      </w:r>
      <w:r>
        <w:rPr>
          <w:rFonts w:ascii="Arial Narrow" w:hAnsi="Arial Narrow"/>
          <w:sz w:val="18"/>
          <w:szCs w:val="18"/>
        </w:rPr>
        <w:t>B</w:t>
      </w:r>
      <w:r w:rsidR="000E5F48" w:rsidRPr="000E5F48">
        <w:rPr>
          <w:rFonts w:ascii="Arial Narrow" w:hAnsi="Arial Narrow"/>
          <w:sz w:val="18"/>
          <w:szCs w:val="18"/>
        </w:rPr>
        <w:t xml:space="preserve">ased on a positive PD-L1 test </w:t>
      </w:r>
      <w:r w:rsidR="00D15352">
        <w:rPr>
          <w:rFonts w:ascii="Arial Narrow" w:hAnsi="Arial Narrow"/>
          <w:sz w:val="18"/>
          <w:szCs w:val="18"/>
        </w:rPr>
        <w:t>in which</w:t>
      </w:r>
      <w:r w:rsidR="000E5F48" w:rsidRPr="000E5F48">
        <w:rPr>
          <w:rFonts w:ascii="Arial Narrow" w:hAnsi="Arial Narrow"/>
          <w:sz w:val="18"/>
          <w:szCs w:val="18"/>
        </w:rPr>
        <w:t xml:space="preserve"> ≥1% of cells in the tumour sample test positive </w:t>
      </w:r>
      <w:r w:rsidR="00D15352">
        <w:rPr>
          <w:rFonts w:ascii="Arial Narrow" w:hAnsi="Arial Narrow"/>
          <w:sz w:val="18"/>
          <w:szCs w:val="18"/>
        </w:rPr>
        <w:t>and using</w:t>
      </w:r>
      <w:r w:rsidR="000E5F48" w:rsidRPr="000E5F48">
        <w:rPr>
          <w:rFonts w:ascii="Arial Narrow" w:hAnsi="Arial Narrow"/>
          <w:sz w:val="18"/>
          <w:szCs w:val="18"/>
        </w:rPr>
        <w:t xml:space="preserve"> KEYNOTE-028 trial </w:t>
      </w:r>
      <w:r w:rsidR="00D15352">
        <w:rPr>
          <w:rFonts w:ascii="Arial Narrow" w:hAnsi="Arial Narrow"/>
          <w:sz w:val="18"/>
          <w:szCs w:val="18"/>
        </w:rPr>
        <w:t xml:space="preserve">data </w:t>
      </w:r>
      <w:r w:rsidR="000E5F48" w:rsidRPr="000E5F48">
        <w:rPr>
          <w:rFonts w:ascii="Arial Narrow" w:hAnsi="Arial Narrow"/>
          <w:sz w:val="18"/>
          <w:szCs w:val="18"/>
        </w:rPr>
        <w:t>in which 45% of patients with malignant pleural mesothelioma tested positive</w:t>
      </w:r>
    </w:p>
    <w:p w14:paraId="47A69B7D" w14:textId="567452DF" w:rsidR="007B48A4" w:rsidRDefault="007B48A4" w:rsidP="009F2C16">
      <w:pPr>
        <w:spacing w:before="160"/>
      </w:pPr>
      <w:r w:rsidRPr="009F2C16">
        <w:t xml:space="preserve">This is likely to be an over-estimate, if access to pembrolizumab is restricted to those </w:t>
      </w:r>
      <w:r w:rsidR="00463EDF">
        <w:t xml:space="preserve">with unresectable mesothelioma </w:t>
      </w:r>
      <w:r w:rsidRPr="009F2C16">
        <w:t xml:space="preserve">in whom standard treatment is inappropriate or has failed, to be consistent with the trial populations. </w:t>
      </w:r>
    </w:p>
    <w:p w14:paraId="24B1A44E" w14:textId="6627CF95" w:rsidR="00E364F7" w:rsidRDefault="002B3338" w:rsidP="002B3338">
      <w:pPr>
        <w:rPr>
          <w:i/>
        </w:rPr>
      </w:pPr>
      <w:r>
        <w:rPr>
          <w:i/>
          <w:u w:val="single"/>
        </w:rPr>
        <w:t>Rationale</w:t>
      </w:r>
    </w:p>
    <w:p w14:paraId="4DF90AD8" w14:textId="29AB4649" w:rsidR="00791D0D" w:rsidRPr="007A4633" w:rsidRDefault="00586E75">
      <w:pPr>
        <w:rPr>
          <w:i/>
        </w:rPr>
      </w:pPr>
      <w:r w:rsidRPr="007A4633">
        <w:rPr>
          <w:i/>
        </w:rPr>
        <w:t xml:space="preserve">Two trials, one </w:t>
      </w:r>
      <w:r w:rsidR="00791D0D" w:rsidRPr="007A4633">
        <w:rPr>
          <w:i/>
        </w:rPr>
        <w:t>with preliminary results</w:t>
      </w:r>
      <w:r w:rsidRPr="007A4633">
        <w:rPr>
          <w:i/>
        </w:rPr>
        <w:t xml:space="preserve"> </w:t>
      </w:r>
      <w:r w:rsidR="00791D0D" w:rsidRPr="007A4633">
        <w:rPr>
          <w:i/>
        </w:rPr>
        <w:t xml:space="preserve">(KEYNOTE-028) </w:t>
      </w:r>
      <w:r w:rsidR="00791D0D" w:rsidRPr="007A4633">
        <w:rPr>
          <w:i/>
        </w:rPr>
        <w:fldChar w:fldCharType="begin"/>
      </w:r>
      <w:r w:rsidR="00791D0D" w:rsidRPr="007A4633">
        <w:rPr>
          <w:i/>
        </w:rPr>
        <w:instrText xml:space="preserve"> ADDIN EN.CITE &lt;EndNote&gt;&lt;Cite&gt;&lt;Author&gt;Alley&lt;/Author&gt;&lt;Year&gt;2015&lt;/Year&gt;&lt;RecNum&gt;1&lt;/RecNum&gt;&lt;IDText&gt;CT103-CT103&lt;/IDText&gt;&lt;DisplayText&gt;(Alley et al. 2015)&lt;/DisplayText&gt;&lt;record&gt;&lt;rec-number&gt;1&lt;/rec-number&gt;&lt;foreign-keys&gt;&lt;key app="EN" db-id="fferfteelrvx9zez9ptvxz0fsw9pp5wdddsf" timestamp="1471844028"&gt;1&lt;/key&gt;&lt;/foreign-keys&gt;&lt;ref-type name="Journal Article"&gt;17&lt;/ref-type&gt;&lt;contributors&gt;&lt;authors&gt;&lt;author&gt;Alley, Evan W.&lt;/author&gt;&lt;author&gt;Molife, L. Rhoda&lt;/author&gt;&lt;author&gt;Santoro, Armando&lt;/author&gt;&lt;author&gt;Beckey, Kim&lt;/author&gt;&lt;author&gt;Yuan, Sammy&lt;/author&gt;&lt;author&gt;Cheng, Jonathan D.&lt;/author&gt;&lt;author&gt;Piperdi, Bilal&lt;/author&gt;&lt;author&gt;Schellens, Johannes H.M.&lt;/author&gt;&lt;/authors&gt;&lt;/contributors&gt;&lt;titles&gt;&lt;title&gt;Abstract CT103: Clinical safety and efficacy of pembrolizumab (MK-3475) in patients with malignant pleural mesothelioma: Preliminary results from KEYNOTE-028&lt;/title&gt;&lt;secondary-title&gt;Cancer Research&lt;/secondary-title&gt;&lt;/titles&gt;&lt;periodical&gt;&lt;full-title&gt;Cancer Research&lt;/full-title&gt;&lt;/periodical&gt;&lt;pages&gt;CT103-CT103&lt;/pages&gt;&lt;volume&gt;75&lt;/volume&gt;&lt;number&gt;15 Supplement&lt;/number&gt;&lt;dates&gt;&lt;year&gt;2015&lt;/year&gt;&lt;/dates&gt;&lt;urls&gt;&lt;related-urls&gt;&lt;url&gt;http://cancerres.aacrjournals.org/content/75/15_Supplement/CT103&lt;/url&gt;&lt;/related-urls&gt;&lt;/urls&gt;&lt;electronic-resource-num&gt;10.1158/1538-7445.am2015-ct103&lt;/electronic-resource-num&gt;&lt;research-notes&gt;Proceedings abstract&lt;/research-notes&gt;&lt;/record&gt;&lt;/Cite&gt;&lt;/EndNote&gt;</w:instrText>
      </w:r>
      <w:r w:rsidR="00791D0D" w:rsidRPr="007A4633">
        <w:rPr>
          <w:i/>
        </w:rPr>
        <w:fldChar w:fldCharType="separate"/>
      </w:r>
      <w:r w:rsidR="00791D0D" w:rsidRPr="007A4633">
        <w:rPr>
          <w:i/>
          <w:noProof/>
        </w:rPr>
        <w:t>(</w:t>
      </w:r>
      <w:hyperlink w:anchor="_ENREF_2" w:tooltip="Alley, 2015 #1" w:history="1">
        <w:r w:rsidR="00753DA7" w:rsidRPr="007A4633">
          <w:rPr>
            <w:i/>
            <w:noProof/>
          </w:rPr>
          <w:t>Alley et al. 2015</w:t>
        </w:r>
      </w:hyperlink>
      <w:r w:rsidR="00791D0D" w:rsidRPr="007A4633">
        <w:rPr>
          <w:i/>
          <w:noProof/>
        </w:rPr>
        <w:t>)</w:t>
      </w:r>
      <w:r w:rsidR="00791D0D" w:rsidRPr="007A4633">
        <w:rPr>
          <w:i/>
        </w:rPr>
        <w:fldChar w:fldCharType="end"/>
      </w:r>
      <w:r w:rsidR="00791D0D" w:rsidRPr="007A4633">
        <w:rPr>
          <w:i/>
        </w:rPr>
        <w:t xml:space="preserve"> </w:t>
      </w:r>
      <w:r w:rsidRPr="007A4633">
        <w:rPr>
          <w:i/>
        </w:rPr>
        <w:t>and one currently underway</w:t>
      </w:r>
      <w:r w:rsidR="00791D0D" w:rsidRPr="007A4633">
        <w:rPr>
          <w:i/>
        </w:rPr>
        <w:t xml:space="preserve"> (KEYNOTE-158) </w:t>
      </w:r>
      <w:r w:rsidR="00791D0D" w:rsidRPr="007A4633">
        <w:rPr>
          <w:i/>
        </w:rPr>
        <w:fldChar w:fldCharType="begin"/>
      </w:r>
      <w:r w:rsidR="00791D0D" w:rsidRPr="007A4633">
        <w:rPr>
          <w:i/>
        </w:rPr>
        <w:instrText xml:space="preserve"> ADDIN EN.CITE &lt;EndNote&gt;&lt;Cite&gt;&lt;Author&gt;Merck Sharp &amp;amp; Dohme Corp&lt;/Author&gt;&lt;Year&gt;2015&lt;/Year&gt;&lt;RecNum&gt;2&lt;/RecNum&gt;&lt;IDText&gt;NCT02628067&lt;/IDText&gt;&lt;DisplayText&gt;(Merck Sharp &amp;amp; Dohme Corp 2015)&lt;/DisplayText&gt;&lt;record&gt;&lt;rec-number&gt;2&lt;/rec-number&gt;&lt;foreign-keys&gt;&lt;key app="EN" db-id="fferfteelrvx9zez9ptvxz0fsw9pp5wdddsf" timestamp="1471844651"&gt;2&lt;/key&gt;&lt;/foreign-keys&gt;&lt;ref-type name="Online Database"&gt;45&lt;/ref-type&gt;&lt;contributors&gt;&lt;authors&gt;&lt;author&gt;Merck Sharp &amp;amp; Dohme Corp, &lt;/author&gt;&lt;/authors&gt;&lt;/contributors&gt;&lt;titles&gt;&lt;title&gt;KEYNOTE-158 - Study of pembrolizumab (MK-3475) in participants with advanced solide tumours&lt;/title&gt;&lt;/titles&gt;&lt;pages&gt;NCT02628067&lt;/pages&gt;&lt;edition&gt;last verified  August 2016&lt;/edition&gt;&lt;dates&gt;&lt;year&gt;2015&lt;/year&gt;&lt;/dates&gt;&lt;pub-location&gt;ClinicalTrials.gov&lt;/pub-location&gt;&lt;publisher&gt;US National Institutes of Health&lt;/publisher&gt;&lt;urls&gt;&lt;related-urls&gt;&lt;url&gt;https://clinicaltrials.gov/ct2/show/study/NCT02628067?term=Keynote+158&amp;amp;rank=1&lt;/url&gt;&lt;/related-urls&gt;&lt;/urls&gt;&lt;research-notes&gt;No publications to date&lt;/research-notes&gt;&lt;/record&gt;&lt;/Cite&gt;&lt;Cite&gt;&lt;Author&gt;Merck Sharp &amp;amp; Dohme Corp&lt;/Author&gt;&lt;Year&gt;2015&lt;/Year&gt;&lt;RecNum&gt;2&lt;/RecNum&gt;&lt;IDText&gt;NCT02628067&lt;/IDText&gt;&lt;record&gt;&lt;rec-number&gt;2&lt;/rec-number&gt;&lt;foreign-keys&gt;&lt;key app="EN" db-id="fferfteelrvx9zez9ptvxz0fsw9pp5wdddsf" timestamp="1471844651"&gt;2&lt;/key&gt;&lt;/foreign-keys&gt;&lt;ref-type name="Online Database"&gt;45&lt;/ref-type&gt;&lt;contributors&gt;&lt;authors&gt;&lt;author&gt;Merck Sharp &amp;amp; Dohme Corp, &lt;/author&gt;&lt;/authors&gt;&lt;/contributors&gt;&lt;titles&gt;&lt;title&gt;KEYNOTE-158 - Study of pembrolizumab (MK-3475) in participants with advanced solide tumours&lt;/title&gt;&lt;/titles&gt;&lt;pages&gt;NCT02628067&lt;/pages&gt;&lt;edition&gt;last verified  August 2016&lt;/edition&gt;&lt;dates&gt;&lt;year&gt;2015&lt;/year&gt;&lt;/dates&gt;&lt;pub-location&gt;ClinicalTrials.gov&lt;/pub-location&gt;&lt;publisher&gt;US National Institutes of Health&lt;/publisher&gt;&lt;urls&gt;&lt;related-urls&gt;&lt;url&gt;https://clinicaltrials.gov/ct2/show/study/NCT02628067?term=Keynote+158&amp;amp;rank=1&lt;/url&gt;&lt;/related-urls&gt;&lt;/urls&gt;&lt;research-notes&gt;No publications to date&lt;/research-notes&gt;&lt;/record&gt;&lt;/Cite&gt;&lt;/EndNote&gt;</w:instrText>
      </w:r>
      <w:r w:rsidR="00791D0D" w:rsidRPr="007A4633">
        <w:rPr>
          <w:i/>
        </w:rPr>
        <w:fldChar w:fldCharType="separate"/>
      </w:r>
      <w:r w:rsidR="00791D0D" w:rsidRPr="007A4633">
        <w:rPr>
          <w:i/>
          <w:noProof/>
        </w:rPr>
        <w:t>(</w:t>
      </w:r>
      <w:hyperlink w:anchor="_ENREF_7" w:tooltip="Merck Sharp &amp; Dohme Corp, 2015 #2" w:history="1">
        <w:r w:rsidR="00753DA7" w:rsidRPr="007A4633">
          <w:rPr>
            <w:i/>
            <w:noProof/>
          </w:rPr>
          <w:t>Merck Sharp &amp; Dohme Corp 2015</w:t>
        </w:r>
      </w:hyperlink>
      <w:r w:rsidR="00791D0D" w:rsidRPr="007A4633">
        <w:rPr>
          <w:i/>
          <w:noProof/>
        </w:rPr>
        <w:t>)</w:t>
      </w:r>
      <w:r w:rsidR="00791D0D" w:rsidRPr="007A4633">
        <w:rPr>
          <w:i/>
        </w:rPr>
        <w:fldChar w:fldCharType="end"/>
      </w:r>
      <w:r w:rsidRPr="007A4633">
        <w:rPr>
          <w:i/>
        </w:rPr>
        <w:t xml:space="preserve"> have treated PD-L1 positive mesothelioma patients with </w:t>
      </w:r>
      <w:r w:rsidR="00791D0D" w:rsidRPr="007A4633">
        <w:rPr>
          <w:i/>
        </w:rPr>
        <w:t>pembrolizumab</w:t>
      </w:r>
      <w:r w:rsidR="00CF1378" w:rsidRPr="007A4633">
        <w:rPr>
          <w:i/>
        </w:rPr>
        <w:t xml:space="preserve"> </w:t>
      </w:r>
      <w:r w:rsidRPr="007A4633">
        <w:rPr>
          <w:i/>
        </w:rPr>
        <w:t xml:space="preserve">under different inclusion criteria. </w:t>
      </w:r>
    </w:p>
    <w:p w14:paraId="6621D762" w14:textId="52224EDB" w:rsidR="00791D0D" w:rsidRPr="007A4633" w:rsidRDefault="00586E75">
      <w:pPr>
        <w:rPr>
          <w:i/>
        </w:rPr>
      </w:pPr>
      <w:r w:rsidRPr="007A4633">
        <w:rPr>
          <w:i/>
        </w:rPr>
        <w:t xml:space="preserve">The KEYNOTE trial-028 </w:t>
      </w:r>
      <w:r w:rsidR="00A16D14" w:rsidRPr="007A4633">
        <w:rPr>
          <w:i/>
        </w:rPr>
        <w:t xml:space="preserve">tested pembrolizumab </w:t>
      </w:r>
      <w:r w:rsidRPr="007A4633">
        <w:rPr>
          <w:i/>
        </w:rPr>
        <w:t xml:space="preserve">in patients with MPM who were unable to receive standard therapy and </w:t>
      </w:r>
      <w:r w:rsidR="00A16D14" w:rsidRPr="007A4633">
        <w:rPr>
          <w:i/>
        </w:rPr>
        <w:t xml:space="preserve">those </w:t>
      </w:r>
      <w:r w:rsidRPr="007A4633">
        <w:rPr>
          <w:i/>
        </w:rPr>
        <w:t xml:space="preserve">who no longer responded to it. </w:t>
      </w:r>
      <w:r w:rsidR="00A16D14" w:rsidRPr="007A4633">
        <w:rPr>
          <w:i/>
        </w:rPr>
        <w:t xml:space="preserve">(Further eligibility criteria included </w:t>
      </w:r>
      <w:r w:rsidR="00A16D14" w:rsidRPr="007A4633">
        <w:rPr>
          <w:rFonts w:cs="Arial"/>
          <w:i/>
        </w:rPr>
        <w:t>PD-L1 expression in ≥1% of cells in tumour nests or PD-L1 positive bands in stroma as determined by a prototype IHC assay at a central laboratory, failure of standard therapy, ECOG PS 0-1</w:t>
      </w:r>
      <w:r w:rsidR="00570D5D" w:rsidRPr="007A4633">
        <w:rPr>
          <w:rStyle w:val="FootnoteReference"/>
          <w:rFonts w:cs="Arial"/>
          <w:i/>
        </w:rPr>
        <w:footnoteReference w:id="1"/>
      </w:r>
      <w:r w:rsidR="00A16D14" w:rsidRPr="007A4633">
        <w:rPr>
          <w:rFonts w:cs="Arial"/>
          <w:i/>
        </w:rPr>
        <w:t>, adequate organ function, and no autoimmune disease or interstitial lung disease)</w:t>
      </w:r>
      <w:r w:rsidR="00D948D0">
        <w:rPr>
          <w:rFonts w:cs="Arial"/>
          <w:i/>
        </w:rPr>
        <w:t>.</w:t>
      </w:r>
    </w:p>
    <w:p w14:paraId="3B50BF6A" w14:textId="77777777" w:rsidR="00A16D14" w:rsidRPr="007A4633" w:rsidRDefault="00586E75">
      <w:pPr>
        <w:rPr>
          <w:i/>
        </w:rPr>
      </w:pPr>
      <w:r w:rsidRPr="007A4633">
        <w:rPr>
          <w:i/>
        </w:rPr>
        <w:t>The KEYNOTE-158 trial did not specify pleural or peritoneal mesothelioma</w:t>
      </w:r>
      <w:r w:rsidR="001C3AD0" w:rsidRPr="007A4633">
        <w:rPr>
          <w:i/>
        </w:rPr>
        <w:t xml:space="preserve"> for eligibility. Patients with</w:t>
      </w:r>
      <w:r w:rsidRPr="007A4633">
        <w:rPr>
          <w:i/>
        </w:rPr>
        <w:t xml:space="preserve"> advanced solid tumour where there was progression or intolerance to other therapies </w:t>
      </w:r>
      <w:r w:rsidR="008E67DF" w:rsidRPr="007A4633">
        <w:rPr>
          <w:i/>
        </w:rPr>
        <w:t xml:space="preserve">were eligible </w:t>
      </w:r>
      <w:r w:rsidRPr="007A4633">
        <w:rPr>
          <w:i/>
        </w:rPr>
        <w:t xml:space="preserve">(no limit to the number of therapies). </w:t>
      </w:r>
    </w:p>
    <w:p w14:paraId="23CC262B" w14:textId="125A28B5" w:rsidR="00DA7D56" w:rsidRPr="007A4633" w:rsidRDefault="00463EDF">
      <w:pPr>
        <w:rPr>
          <w:i/>
        </w:rPr>
      </w:pPr>
      <w:r w:rsidRPr="007A4633">
        <w:rPr>
          <w:i/>
        </w:rPr>
        <w:t>Th</w:t>
      </w:r>
      <w:r>
        <w:rPr>
          <w:i/>
        </w:rPr>
        <w:t>e</w:t>
      </w:r>
      <w:r w:rsidRPr="007A4633">
        <w:rPr>
          <w:i/>
        </w:rPr>
        <w:t xml:space="preserve"> </w:t>
      </w:r>
      <w:r w:rsidR="009F2C16">
        <w:rPr>
          <w:i/>
        </w:rPr>
        <w:t>criteria for population eligibility</w:t>
      </w:r>
      <w:r w:rsidR="009F2C16" w:rsidRPr="007A4633">
        <w:rPr>
          <w:i/>
        </w:rPr>
        <w:t xml:space="preserve"> </w:t>
      </w:r>
      <w:r w:rsidR="00B32E22" w:rsidRPr="007A4633">
        <w:rPr>
          <w:i/>
        </w:rPr>
        <w:t>may be dependent on the trial outcomes.</w:t>
      </w:r>
      <w:r w:rsidR="00A16D14" w:rsidRPr="007A4633">
        <w:rPr>
          <w:i/>
        </w:rPr>
        <w:t xml:space="preserve"> It should be noted that as both the KEYNOTE trials included patients who were intolerant to other therapies, the </w:t>
      </w:r>
      <w:r w:rsidR="008E67DF" w:rsidRPr="007A4633">
        <w:rPr>
          <w:i/>
        </w:rPr>
        <w:t>proportion of</w:t>
      </w:r>
      <w:r w:rsidR="00A16D14" w:rsidRPr="007A4633">
        <w:rPr>
          <w:i/>
        </w:rPr>
        <w:t xml:space="preserve"> patients testing positive for PD-L1 may be higher </w:t>
      </w:r>
      <w:r w:rsidR="0053539C">
        <w:rPr>
          <w:i/>
        </w:rPr>
        <w:t xml:space="preserve">in the trials </w:t>
      </w:r>
      <w:r w:rsidR="00A16D14" w:rsidRPr="007A4633">
        <w:rPr>
          <w:i/>
        </w:rPr>
        <w:t>than the newly diagnosed or general mesothelioma population</w:t>
      </w:r>
      <w:r w:rsidR="0053539C">
        <w:rPr>
          <w:i/>
        </w:rPr>
        <w:t xml:space="preserve"> in Australia</w:t>
      </w:r>
      <w:r w:rsidR="00A16D14" w:rsidRPr="007A4633">
        <w:rPr>
          <w:i/>
        </w:rPr>
        <w:t>.</w:t>
      </w:r>
    </w:p>
    <w:p w14:paraId="69E0FF3C" w14:textId="4628654B" w:rsidR="00953ED7" w:rsidRPr="00E364F7" w:rsidRDefault="00953ED7" w:rsidP="00552DE7">
      <w:pPr>
        <w:keepNext/>
        <w:keepLines/>
        <w:rPr>
          <w:b/>
        </w:rPr>
      </w:pPr>
      <w:r>
        <w:rPr>
          <w:b/>
        </w:rPr>
        <w:t>Prior test (if prior tests are to be included)</w:t>
      </w:r>
    </w:p>
    <w:p w14:paraId="0C82F65D" w14:textId="2986EDB6" w:rsidR="00981706" w:rsidRDefault="00360C9B" w:rsidP="00552DE7">
      <w:pPr>
        <w:keepNext/>
        <w:keepLines/>
      </w:pPr>
      <w:r w:rsidRPr="00360C9B">
        <w:t xml:space="preserve">Prior to </w:t>
      </w:r>
      <w:r>
        <w:t xml:space="preserve">PD-L1 testing all patients suspected of mesothelioma would undergo </w:t>
      </w:r>
      <w:r w:rsidR="00F36A3E">
        <w:t xml:space="preserve">a </w:t>
      </w:r>
      <w:r>
        <w:t>biopsy followed by histology and cytology assessment</w:t>
      </w:r>
      <w:r w:rsidR="007A4633">
        <w:t>, and IHC analysis</w:t>
      </w:r>
      <w:r>
        <w:t xml:space="preserve"> </w:t>
      </w:r>
      <w:r w:rsidR="0053539C">
        <w:t xml:space="preserve">of standard markers </w:t>
      </w:r>
      <w:r>
        <w:t>to confirm the diagnosis</w:t>
      </w:r>
      <w:r w:rsidR="007A4633">
        <w:t xml:space="preserve"> and sup-type of the disease </w:t>
      </w:r>
      <w:r w:rsidR="007A4633">
        <w:fldChar w:fldCharType="begin">
          <w:fldData xml:space="preserve">PEVuZE5vdGU+PENpdGU+PEF1dGhvcj5CYWFzPC9BdXRob3I+PFllYXI+MjAxNTwvWWVhcj48UmVj
TnVtPjEyPC9SZWNOdW0+PElEVGV4dD52MzEtOTwvSURUZXh0PjxEaXNwbGF5VGV4dD4oQmFhcyBl
dCBhbC4gMjAxNSk8L0Rpc3BsYXlUZXh0PjxyZWNvcmQ+PHJlYy1udW1iZXI+MTI8L3JlYy1udW1i
ZXI+PGZvcmVpZ24ta2V5cz48a2V5IGFwcD0iRU4iIGRiLWlkPSJmZmVyZnRlZWxydng5emV6OXB0
dnh6MGZzdzlwcDV3ZGRkc2YiIHRpbWVzdGFtcD0iMTQ3MjYyOTU5NSI+MTI8L2tleT48a2V5IGFw
cD0iRU5XZWIiIGRiLWlkPSIiPjA8L2tleT48L2ZvcmVpZ24ta2V5cz48cmVmLXR5cGUgbmFtZT0i
Sm91cm5hbCBBcnRpY2xlIj4xNzwvcmVmLXR5cGU+PGNvbnRyaWJ1dG9ycz48YXV0aG9ycz48YXV0
aG9yPkJhYXMsIFAuPC9hdXRob3I+PGF1dGhvcj5GZW5uZWxsLCBELjwvYXV0aG9yPjxhdXRob3I+
S2VyciwgSy4gTS48L2F1dGhvcj48YXV0aG9yPlZhbiBTY2hpbCwgUC4gRS48L2F1dGhvcj48YXV0
aG9yPkhhYXMsIFIuIEwuPC9hdXRob3I+PGF1dGhvcj5QZXRlcnMsIFMuPC9hdXRob3I+PGF1dGhv
cj5Fc21vIEd1aWRlbGluZXMgQ29tbWl0dGVlPC9hdXRob3I+PC9hdXRob3JzPjwvY29udHJpYnV0
b3JzPjxhdXRoLWFkZHJlc3M+RGVwYXJ0bWVudCBvZiBUaG9yYWNpYyBPbmNvbG9neSwgVGhlIE5l
dGhlcmxhbmRzIENhbmNlciBJbnN0aXR1dGUsIEFtc3RlcmRhbSBUaGUgQWNhZGVtaWMgTWVkaWNh
bCBDZW50ZXIsIEFtc3RlcmRhbSwgVGhlIE5ldGhlcmxhbmRzLiYjeEQ7RGVwYXJ0bWVudCBvZiBN
ZWRpY2FsIE9uY29sb2d5LCBVbml2ZXJzaXR5IG9mIExlaWNlc3RlciwgTGVpY2VzdGVyLiYjeEQ7
RGVwYXJ0bWVudCBvZiBQYXRob2xvZ3ksIFVuaXZlcnNpdHkgb2YgQWJlcmRlZW4sIEFiZXJkZWVu
LCBVSy4mI3hEO0RlcGFydG1lbnQgb2YgVGhvcmFjaWMgYW5kIFZhc2N1bGFyIFN1cmdlcnksIFVu
aXZlcnNpdHkgb2YgQW50d2VycCwgQW50d2VycCwgQmVsZ2l1bS4mI3hEO0RlcGFydG1lbnQgb2Yg
UmFkaWF0aW9uIE9uY29sb2d5LCBUaGUgTmV0aGVybGFuZHMgQ2FuY2VyIEluc3RpdHV0ZSwgQW1z
dGVyZGFtLCBUaGUgTmV0aGVybGFuZHMuJiN4RDtEZXBhcnRtZW50IG9mIE1lZGljYWwgT25jb2xv
Z3ksIENlbnRyZSBIb3NwaXRhbGllciBVbml2ZXJzaXRhaXJlIFZhdWRvaXMgKENIVVYpLCBMYXVz
YW5uZSwgU3dpdHplcmxhbmQuPC9hdXRoLWFkZHJlc3M+PHRpdGxlcz48dGl0bGU+TWFsaWduYW50
IHBsZXVyYWwgbWVzb3RoZWxpb21hOiBFU01PIENsaW5pY2FsIFByYWN0aWNlIEd1aWRlbGluZXMg
Zm9yIGRpYWdub3NpcywgdHJlYXRtZW50IGFuZCBmb2xsb3ctdXA8L3RpdGxlPjxzZWNvbmRhcnkt
dGl0bGU+QW5uIE9uY29sPC9zZWNvbmRhcnktdGl0bGU+PC90aXRsZXM+PHBlcmlvZGljYWw+PGZ1
bGwtdGl0bGU+QW5uIE9uY29sPC9mdWxsLXRpdGxlPjwvcGVyaW9kaWNhbD48cGFnZXM+djMxLTk8
L3BhZ2VzPjx2b2x1bWU+MjYgU3VwcGwgNTwvdm9sdW1lPjxrZXl3b3Jkcz48a2V5d29yZD5IdW1h
bnM8L2tleXdvcmQ+PGtleXdvcmQ+THVuZyBOZW9wbGFzbXMvKmRpYWdub3Npcy9wYXRob2xvZ3kv
KnRoZXJhcHk8L2tleXdvcmQ+PGtleXdvcmQ+TWVzb3RoZWxpb21hLypkaWFnbm9zaXMvcGF0aG9s
b2d5Lyp0aGVyYXB5PC9rZXl3b3JkPjxrZXl3b3JkPlBsZXVyYWwgTmVvcGxhc21zLypkaWFnbm9z
aXMvcGF0aG9sb2d5Lyp0aGVyYXB5PC9rZXl3b3JkPjwva2V5d29yZHM+PGRhdGVzPjx5ZWFyPjIw
MTU8L3llYXI+PHB1Yi1kYXRlcz48ZGF0ZT5TZXA8L2RhdGU+PC9wdWItZGF0ZXM+PC9kYXRlcz48
aXNibj4xNTY5LTgwNDEgKEVsZWN0cm9uaWMpJiN4RDswOTIzLTc1MzQgKExpbmtpbmcpPC9pc2Ju
PjxhY2Nlc3Npb24tbnVtPjI2MjIzMjQ3PC9hY2Nlc3Npb24tbnVtPjx1cmxzPjxyZWxhdGVkLXVy
bHM+PHVybD5odHRwOi8vd3d3Lm5jYmkubmxtLm5paC5nb3YvcHVibWVkLzI2MjIzMjQ3PC91cmw+
PC9yZWxhdGVkLXVybHM+PC91cmxzPjxlbGVjdHJvbmljLXJlc291cmNlLW51bT4xMC4xMDkzL2Fu
bm9uYy9tZHYxOTk8L2VsZWN0cm9uaWMtcmVzb3VyY2UtbnVtPjwvcmVjb3JkPjwvQ2l0ZT48L0Vu
ZE5vdGU+AG==
</w:fldData>
        </w:fldChar>
      </w:r>
      <w:r w:rsidR="007A4633">
        <w:instrText xml:space="preserve"> ADDIN EN.CITE </w:instrText>
      </w:r>
      <w:r w:rsidR="007A4633">
        <w:fldChar w:fldCharType="begin">
          <w:fldData xml:space="preserve">PEVuZE5vdGU+PENpdGU+PEF1dGhvcj5CYWFzPC9BdXRob3I+PFllYXI+MjAxNTwvWWVhcj48UmVj
TnVtPjEyPC9SZWNOdW0+PElEVGV4dD52MzEtOTwvSURUZXh0PjxEaXNwbGF5VGV4dD4oQmFhcyBl
dCBhbC4gMjAxNSk8L0Rpc3BsYXlUZXh0PjxyZWNvcmQ+PHJlYy1udW1iZXI+MTI8L3JlYy1udW1i
ZXI+PGZvcmVpZ24ta2V5cz48a2V5IGFwcD0iRU4iIGRiLWlkPSJmZmVyZnRlZWxydng5emV6OXB0
dnh6MGZzdzlwcDV3ZGRkc2YiIHRpbWVzdGFtcD0iMTQ3MjYyOTU5NSI+MTI8L2tleT48a2V5IGFw
cD0iRU5XZWIiIGRiLWlkPSIiPjA8L2tleT48L2ZvcmVpZ24ta2V5cz48cmVmLXR5cGUgbmFtZT0i
Sm91cm5hbCBBcnRpY2xlIj4xNzwvcmVmLXR5cGU+PGNvbnRyaWJ1dG9ycz48YXV0aG9ycz48YXV0
aG9yPkJhYXMsIFAuPC9hdXRob3I+PGF1dGhvcj5GZW5uZWxsLCBELjwvYXV0aG9yPjxhdXRob3I+
S2VyciwgSy4gTS48L2F1dGhvcj48YXV0aG9yPlZhbiBTY2hpbCwgUC4gRS48L2F1dGhvcj48YXV0
aG9yPkhhYXMsIFIuIEwuPC9hdXRob3I+PGF1dGhvcj5QZXRlcnMsIFMuPC9hdXRob3I+PGF1dGhv
cj5Fc21vIEd1aWRlbGluZXMgQ29tbWl0dGVlPC9hdXRob3I+PC9hdXRob3JzPjwvY29udHJpYnV0
b3JzPjxhdXRoLWFkZHJlc3M+RGVwYXJ0bWVudCBvZiBUaG9yYWNpYyBPbmNvbG9neSwgVGhlIE5l
dGhlcmxhbmRzIENhbmNlciBJbnN0aXR1dGUsIEFtc3RlcmRhbSBUaGUgQWNhZGVtaWMgTWVkaWNh
bCBDZW50ZXIsIEFtc3RlcmRhbSwgVGhlIE5ldGhlcmxhbmRzLiYjeEQ7RGVwYXJ0bWVudCBvZiBN
ZWRpY2FsIE9uY29sb2d5LCBVbml2ZXJzaXR5IG9mIExlaWNlc3RlciwgTGVpY2VzdGVyLiYjeEQ7
RGVwYXJ0bWVudCBvZiBQYXRob2xvZ3ksIFVuaXZlcnNpdHkgb2YgQWJlcmRlZW4sIEFiZXJkZWVu
LCBVSy4mI3hEO0RlcGFydG1lbnQgb2YgVGhvcmFjaWMgYW5kIFZhc2N1bGFyIFN1cmdlcnksIFVu
aXZlcnNpdHkgb2YgQW50d2VycCwgQW50d2VycCwgQmVsZ2l1bS4mI3hEO0RlcGFydG1lbnQgb2Yg
UmFkaWF0aW9uIE9uY29sb2d5LCBUaGUgTmV0aGVybGFuZHMgQ2FuY2VyIEluc3RpdHV0ZSwgQW1z
dGVyZGFtLCBUaGUgTmV0aGVybGFuZHMuJiN4RDtEZXBhcnRtZW50IG9mIE1lZGljYWwgT25jb2xv
Z3ksIENlbnRyZSBIb3NwaXRhbGllciBVbml2ZXJzaXRhaXJlIFZhdWRvaXMgKENIVVYpLCBMYXVz
YW5uZSwgU3dpdHplcmxhbmQuPC9hdXRoLWFkZHJlc3M+PHRpdGxlcz48dGl0bGU+TWFsaWduYW50
IHBsZXVyYWwgbWVzb3RoZWxpb21hOiBFU01PIENsaW5pY2FsIFByYWN0aWNlIEd1aWRlbGluZXMg
Zm9yIGRpYWdub3NpcywgdHJlYXRtZW50IGFuZCBmb2xsb3ctdXA8L3RpdGxlPjxzZWNvbmRhcnkt
dGl0bGU+QW5uIE9uY29sPC9zZWNvbmRhcnktdGl0bGU+PC90aXRsZXM+PHBlcmlvZGljYWw+PGZ1
bGwtdGl0bGU+QW5uIE9uY29sPC9mdWxsLXRpdGxlPjwvcGVyaW9kaWNhbD48cGFnZXM+djMxLTk8
L3BhZ2VzPjx2b2x1bWU+MjYgU3VwcGwgNTwvdm9sdW1lPjxrZXl3b3Jkcz48a2V5d29yZD5IdW1h
bnM8L2tleXdvcmQ+PGtleXdvcmQ+THVuZyBOZW9wbGFzbXMvKmRpYWdub3Npcy9wYXRob2xvZ3kv
KnRoZXJhcHk8L2tleXdvcmQ+PGtleXdvcmQ+TWVzb3RoZWxpb21hLypkaWFnbm9zaXMvcGF0aG9s
b2d5Lyp0aGVyYXB5PC9rZXl3b3JkPjxrZXl3b3JkPlBsZXVyYWwgTmVvcGxhc21zLypkaWFnbm9z
aXMvcGF0aG9sb2d5Lyp0aGVyYXB5PC9rZXl3b3JkPjwva2V5d29yZHM+PGRhdGVzPjx5ZWFyPjIw
MTU8L3llYXI+PHB1Yi1kYXRlcz48ZGF0ZT5TZXA8L2RhdGU+PC9wdWItZGF0ZXM+PC9kYXRlcz48
aXNibj4xNTY5LTgwNDEgKEVsZWN0cm9uaWMpJiN4RDswOTIzLTc1MzQgKExpbmtpbmcpPC9pc2Ju
PjxhY2Nlc3Npb24tbnVtPjI2MjIzMjQ3PC9hY2Nlc3Npb24tbnVtPjx1cmxzPjxyZWxhdGVkLXVy
bHM+PHVybD5odHRwOi8vd3d3Lm5jYmkubmxtLm5paC5nb3YvcHVibWVkLzI2MjIzMjQ3PC91cmw+
PC9yZWxhdGVkLXVybHM+PC91cmxzPjxlbGVjdHJvbmljLXJlc291cmNlLW51bT4xMC4xMDkzL2Fu
bm9uYy9tZHYxOTk8L2VsZWN0cm9uaWMtcmVzb3VyY2UtbnVtPjwvcmVjb3JkPjwvQ2l0ZT48L0Vu
ZE5vdGU+AG==
</w:fldData>
        </w:fldChar>
      </w:r>
      <w:r w:rsidR="007A4633">
        <w:instrText xml:space="preserve"> ADDIN EN.CITE.DATA </w:instrText>
      </w:r>
      <w:r w:rsidR="007A4633">
        <w:fldChar w:fldCharType="end"/>
      </w:r>
      <w:r w:rsidR="007A4633">
        <w:fldChar w:fldCharType="separate"/>
      </w:r>
      <w:r w:rsidR="007A4633">
        <w:rPr>
          <w:noProof/>
        </w:rPr>
        <w:t>(</w:t>
      </w:r>
      <w:hyperlink w:anchor="_ENREF_4" w:tooltip="Baas, 2015 #12" w:history="1">
        <w:r w:rsidR="00753DA7">
          <w:rPr>
            <w:noProof/>
          </w:rPr>
          <w:t>Baas et al. 2015</w:t>
        </w:r>
      </w:hyperlink>
      <w:r w:rsidR="007A4633">
        <w:rPr>
          <w:noProof/>
        </w:rPr>
        <w:t>)</w:t>
      </w:r>
      <w:r w:rsidR="007A4633">
        <w:fldChar w:fldCharType="end"/>
      </w:r>
      <w:r>
        <w:t xml:space="preserve">. </w:t>
      </w:r>
      <w:r w:rsidR="009F2C16">
        <w:t xml:space="preserve">Those patients who are considered unresectable, and </w:t>
      </w:r>
      <w:r w:rsidR="00645309">
        <w:t xml:space="preserve">for whom </w:t>
      </w:r>
      <w:r w:rsidR="009F2C16">
        <w:t>first-line standard therapies</w:t>
      </w:r>
      <w:r w:rsidR="00645309">
        <w:t xml:space="preserve"> have failed or inappropriate</w:t>
      </w:r>
      <w:r w:rsidR="009F2C16">
        <w:t>, would be eligible to then undergo PD-L1 testing.</w:t>
      </w:r>
    </w:p>
    <w:p w14:paraId="45634403" w14:textId="77777777" w:rsidR="00896845" w:rsidRPr="00C34809" w:rsidRDefault="00896845" w:rsidP="00552DE7">
      <w:pPr>
        <w:pStyle w:val="Heading3"/>
      </w:pPr>
      <w:r w:rsidRPr="00C34809">
        <w:t>Intervention</w:t>
      </w:r>
    </w:p>
    <w:p w14:paraId="43B3E7C5" w14:textId="260070E8" w:rsidR="00F36A3E" w:rsidRDefault="006B4086" w:rsidP="006B4086">
      <w:r>
        <w:t>The proposed co</w:t>
      </w:r>
      <w:r w:rsidR="00F36A3E">
        <w:t>-</w:t>
      </w:r>
      <w:r>
        <w:t xml:space="preserve">dependent </w:t>
      </w:r>
      <w:r w:rsidR="00F36A3E">
        <w:t xml:space="preserve">intervention </w:t>
      </w:r>
      <w:r>
        <w:t xml:space="preserve">is </w:t>
      </w:r>
      <w:r w:rsidRPr="006B4086">
        <w:t xml:space="preserve">PD-L1 </w:t>
      </w:r>
      <w:r>
        <w:t xml:space="preserve">testing for </w:t>
      </w:r>
      <w:r w:rsidR="00F36A3E">
        <w:t xml:space="preserve">patients with </w:t>
      </w:r>
      <w:r w:rsidR="00645309">
        <w:t>unresectable</w:t>
      </w:r>
      <w:r w:rsidR="00F36A3E">
        <w:t xml:space="preserve"> mesothelioma</w:t>
      </w:r>
      <w:r w:rsidR="003F4D4B">
        <w:t xml:space="preserve">, </w:t>
      </w:r>
      <w:r w:rsidR="003F4D4B">
        <w:rPr>
          <w:i/>
        </w:rPr>
        <w:t xml:space="preserve">who have failed or are ineligible for </w:t>
      </w:r>
      <w:r w:rsidR="00645309">
        <w:rPr>
          <w:i/>
        </w:rPr>
        <w:t xml:space="preserve">first-line </w:t>
      </w:r>
      <w:r w:rsidR="003F4D4B">
        <w:rPr>
          <w:i/>
        </w:rPr>
        <w:t>standard care</w:t>
      </w:r>
      <w:r w:rsidR="00F36A3E">
        <w:t xml:space="preserve">, and selective treatment with pembrolizumab in those </w:t>
      </w:r>
      <w:r w:rsidR="00B83BFC">
        <w:t>who express PD-L1</w:t>
      </w:r>
      <w:r w:rsidR="00F36A3E">
        <w:t xml:space="preserve">, and </w:t>
      </w:r>
      <w:r w:rsidR="00645309">
        <w:t xml:space="preserve">no treatment and best supportive care or </w:t>
      </w:r>
      <w:r w:rsidR="00645309">
        <w:lastRenderedPageBreak/>
        <w:t xml:space="preserve">treatment </w:t>
      </w:r>
      <w:r w:rsidR="00B83BFC">
        <w:t xml:space="preserve">with vinorelbine, pemetrexed monotherapy, </w:t>
      </w:r>
      <w:r w:rsidR="00645309">
        <w:t xml:space="preserve">or </w:t>
      </w:r>
      <w:r w:rsidR="00B83BFC">
        <w:t xml:space="preserve">platinum doublet </w:t>
      </w:r>
      <w:r w:rsidR="00F36A3E">
        <w:t xml:space="preserve">for </w:t>
      </w:r>
      <w:r w:rsidR="00B83BFC">
        <w:t>those without PD-L1 expression</w:t>
      </w:r>
      <w:r w:rsidR="00172B64">
        <w:t>.</w:t>
      </w:r>
    </w:p>
    <w:p w14:paraId="3CF49A38" w14:textId="1513F303" w:rsidR="00F527A3" w:rsidRPr="00645309" w:rsidRDefault="00F527A3" w:rsidP="006B4086">
      <w:pPr>
        <w:rPr>
          <w:i/>
        </w:rPr>
      </w:pPr>
      <w:r>
        <w:rPr>
          <w:i/>
        </w:rPr>
        <w:t xml:space="preserve">An alternative intervention is no PD-L1 testing and pembrolizumab. </w:t>
      </w:r>
    </w:p>
    <w:p w14:paraId="681E1FE2" w14:textId="77777777" w:rsidR="00963DEE" w:rsidRPr="00963DEE" w:rsidRDefault="00963DEE" w:rsidP="00963DEE">
      <w:pPr>
        <w:keepNext/>
        <w:rPr>
          <w:u w:val="single"/>
        </w:rPr>
      </w:pPr>
      <w:r w:rsidRPr="00963DEE">
        <w:rPr>
          <w:u w:val="single"/>
        </w:rPr>
        <w:t>PD-L1 testing</w:t>
      </w:r>
    </w:p>
    <w:p w14:paraId="66B9FEE9" w14:textId="79F84414" w:rsidR="00043BAD" w:rsidRDefault="00963DEE" w:rsidP="00963DEE">
      <w:pPr>
        <w:keepNext/>
      </w:pPr>
      <w:r>
        <w:t>Testing would be performed once for all patients diagnosed with mesothelioma</w:t>
      </w:r>
      <w:r w:rsidR="00043BAD">
        <w:t>, and would be performed in accredited laboratories</w:t>
      </w:r>
      <w:r>
        <w:t xml:space="preserve">. </w:t>
      </w:r>
      <w:r w:rsidR="00D63D64">
        <w:t>I</w:t>
      </w:r>
      <w:r w:rsidR="00D63D64" w:rsidRPr="006B4086">
        <w:t>mmunohistochemi</w:t>
      </w:r>
      <w:r w:rsidR="00D63D64">
        <w:t>stry</w:t>
      </w:r>
      <w:r w:rsidR="00D63D64" w:rsidRPr="006B4086">
        <w:t xml:space="preserve"> (IHC)</w:t>
      </w:r>
      <w:r w:rsidR="00043BAD">
        <w:t xml:space="preserve"> is a technique commonly performed for numerous tests</w:t>
      </w:r>
      <w:r w:rsidR="00645309">
        <w:t>.</w:t>
      </w:r>
      <w:r w:rsidR="00043BAD">
        <w:t xml:space="preserve"> </w:t>
      </w:r>
      <w:r w:rsidR="00645309">
        <w:t xml:space="preserve">The Applicant </w:t>
      </w:r>
      <w:r w:rsidR="00043BAD" w:rsidRPr="00645309">
        <w:t xml:space="preserve">therefore </w:t>
      </w:r>
      <w:r w:rsidR="00645309">
        <w:t xml:space="preserve">claims that </w:t>
      </w:r>
      <w:r w:rsidR="00043BAD" w:rsidRPr="00645309">
        <w:t xml:space="preserve">hardware or equipment </w:t>
      </w:r>
      <w:r w:rsidR="00E227D8" w:rsidRPr="00645309">
        <w:t xml:space="preserve">other than the kit associated with this application, </w:t>
      </w:r>
      <w:r w:rsidR="00043BAD" w:rsidRPr="00645309">
        <w:t>should not be required.</w:t>
      </w:r>
      <w:r w:rsidR="00043BAD">
        <w:t xml:space="preserve"> </w:t>
      </w:r>
    </w:p>
    <w:p w14:paraId="08751A5F" w14:textId="16BC58DE" w:rsidR="00CB5F55" w:rsidRDefault="00CB5F55" w:rsidP="00963DEE">
      <w:pPr>
        <w:keepNext/>
      </w:pPr>
      <w:r>
        <w:t xml:space="preserve">Patients suspected of mesothelioma would </w:t>
      </w:r>
      <w:r w:rsidR="00D63D64">
        <w:t xml:space="preserve">have their tumour tissue biopsied, on which </w:t>
      </w:r>
      <w:r>
        <w:t xml:space="preserve">histology and cytology </w:t>
      </w:r>
      <w:r w:rsidR="00D63D64">
        <w:t xml:space="preserve">would be performed, </w:t>
      </w:r>
      <w:r>
        <w:t xml:space="preserve">to confirm diagnosis. </w:t>
      </w:r>
      <w:r w:rsidR="00CC1BDE">
        <w:t xml:space="preserve">The tumour specimen would be </w:t>
      </w:r>
      <w:r w:rsidR="00963DEE">
        <w:t>preserved</w:t>
      </w:r>
      <w:r w:rsidR="00CC1BDE">
        <w:t xml:space="preserve"> as a formalin fixed paraffin embedded (FFPE) sample. </w:t>
      </w:r>
      <w:r w:rsidR="006B4086" w:rsidRPr="006B4086">
        <w:t>PD-L1</w:t>
      </w:r>
      <w:r w:rsidR="00D63D64">
        <w:t xml:space="preserve"> IHC</w:t>
      </w:r>
      <w:r w:rsidR="006B4086" w:rsidRPr="006B4086">
        <w:t xml:space="preserve"> assay </w:t>
      </w:r>
      <w:r w:rsidR="00963DEE">
        <w:t>would be</w:t>
      </w:r>
      <w:r w:rsidR="006B4086" w:rsidRPr="006B4086">
        <w:t xml:space="preserve"> performed </w:t>
      </w:r>
      <w:r w:rsidR="00154B1F" w:rsidRPr="003A27CB">
        <w:t>fresh or</w:t>
      </w:r>
      <w:r w:rsidR="00154B1F">
        <w:t xml:space="preserve"> </w:t>
      </w:r>
      <w:r w:rsidR="00CC1BDE">
        <w:t xml:space="preserve">FFPE </w:t>
      </w:r>
      <w:r w:rsidR="006B4086" w:rsidRPr="006B4086">
        <w:t>tumour biopsy material</w:t>
      </w:r>
      <w:r>
        <w:t xml:space="preserve"> retrieved </w:t>
      </w:r>
      <w:r w:rsidR="00552DE7">
        <w:t>when required</w:t>
      </w:r>
      <w:r w:rsidR="006B4086" w:rsidRPr="006B4086">
        <w:t xml:space="preserve">. The assay </w:t>
      </w:r>
      <w:r>
        <w:t>assess</w:t>
      </w:r>
      <w:r w:rsidR="00D63D64">
        <w:t>es</w:t>
      </w:r>
      <w:r>
        <w:t xml:space="preserve"> the level of expression of the PD-L1 ligand through staining and visualisation mediated by a labelled antibody which specifically binds to the ligand. The specific antibody is the major component supplied in the commercial test kit (PD-L1 22C3 PharmDx™</w:t>
      </w:r>
      <w:r w:rsidR="00EC2A43">
        <w:t xml:space="preserve"> kit</w:t>
      </w:r>
      <w:r>
        <w:t>). The kit can be used for 50 single tests.</w:t>
      </w:r>
      <w:r w:rsidR="00154B1F">
        <w:t xml:space="preserve"> </w:t>
      </w:r>
    </w:p>
    <w:p w14:paraId="18B6057D" w14:textId="31CA4494" w:rsidR="009431A4" w:rsidRDefault="00EC2A43" w:rsidP="006B4086">
      <w:r>
        <w:t xml:space="preserve">The level of expression of PD-L1 in a tumour sample is determined by the proportion of cells that appear stained at visualisation. </w:t>
      </w:r>
      <w:r w:rsidR="007C11B7">
        <w:t>T</w:t>
      </w:r>
      <w:r>
        <w:t xml:space="preserve">here is some variation in the cut-off point between positive and negative </w:t>
      </w:r>
      <w:r w:rsidR="007C11B7">
        <w:t>in the literature on PD-L1 testing, however the</w:t>
      </w:r>
      <w:r>
        <w:t xml:space="preserve"> </w:t>
      </w:r>
      <w:r w:rsidR="007C11B7">
        <w:t>t</w:t>
      </w:r>
      <w:r>
        <w:t xml:space="preserve">rials cited in this application use </w:t>
      </w:r>
      <w:r w:rsidR="007C11B7">
        <w:t xml:space="preserve">a cut-off of ≥1% of cells stained. </w:t>
      </w:r>
      <w:r w:rsidR="00C34809">
        <w:t>In this case p</w:t>
      </w:r>
      <w:r w:rsidR="007C11B7">
        <w:t>atients who have ≥1% staining in their biopsy tissue would be eligible for pembrolizumab.</w:t>
      </w:r>
      <w:r w:rsidR="00E92300">
        <w:t xml:space="preserve"> Patients who have &lt;1% staining would be classed as negative for PD-L1 expression and would be offered </w:t>
      </w:r>
      <w:r w:rsidR="00BA674D">
        <w:t>supportive care or second-line treatment options</w:t>
      </w:r>
      <w:r w:rsidR="00E92300">
        <w:t>.</w:t>
      </w:r>
      <w:r w:rsidR="009431A4">
        <w:t xml:space="preserve"> </w:t>
      </w:r>
    </w:p>
    <w:p w14:paraId="7D62CFAC" w14:textId="0A2040BA" w:rsidR="00552DE7" w:rsidRDefault="009E58D2" w:rsidP="006B4086">
      <w:r>
        <w:t xml:space="preserve">If other cut-offs are used in the literature, these should also be examined in the submission. </w:t>
      </w:r>
    </w:p>
    <w:p w14:paraId="734B050D" w14:textId="6AFC691E" w:rsidR="00963DEE" w:rsidRPr="00963DEE" w:rsidRDefault="00E92300" w:rsidP="00BE6A8C">
      <w:pPr>
        <w:keepNext/>
        <w:rPr>
          <w:u w:val="single"/>
        </w:rPr>
      </w:pPr>
      <w:r w:rsidRPr="00963DEE">
        <w:rPr>
          <w:u w:val="single"/>
        </w:rPr>
        <w:t xml:space="preserve">Pembrolizumab </w:t>
      </w:r>
      <w:r w:rsidR="00A35450" w:rsidRPr="00963DEE">
        <w:rPr>
          <w:u w:val="single"/>
        </w:rPr>
        <w:t>as a</w:t>
      </w:r>
      <w:r w:rsidR="00BA674D">
        <w:rPr>
          <w:u w:val="single"/>
        </w:rPr>
        <w:t>n alternative</w:t>
      </w:r>
      <w:r w:rsidR="00A35450" w:rsidRPr="00963DEE">
        <w:rPr>
          <w:u w:val="single"/>
        </w:rPr>
        <w:t xml:space="preserve"> first</w:t>
      </w:r>
      <w:r w:rsidR="00BA674D">
        <w:rPr>
          <w:u w:val="single"/>
        </w:rPr>
        <w:t xml:space="preserve"> or second</w:t>
      </w:r>
      <w:r w:rsidR="00963DEE" w:rsidRPr="00963DEE">
        <w:rPr>
          <w:u w:val="single"/>
        </w:rPr>
        <w:t>-</w:t>
      </w:r>
      <w:r w:rsidR="00A35450" w:rsidRPr="00963DEE">
        <w:rPr>
          <w:u w:val="single"/>
        </w:rPr>
        <w:t xml:space="preserve">line therapy </w:t>
      </w:r>
    </w:p>
    <w:p w14:paraId="200DBB03" w14:textId="3B55AEA1" w:rsidR="00E92300" w:rsidRDefault="00A35450" w:rsidP="00BE6A8C">
      <w:pPr>
        <w:keepNext/>
      </w:pPr>
      <w:r>
        <w:t>Pe</w:t>
      </w:r>
      <w:r w:rsidR="00E92300">
        <w:t xml:space="preserve">mbrolizumab is a monoclonal antibody treatment targeted at the PD-1 receptor found on the T-cells elicited in a normal immune response against the tumour cells. By interfering with T-cell binding to the tumour cell PD-L1 ligand (this bond results in destruction of the T-cell), pembrolizumab </w:t>
      </w:r>
      <w:r w:rsidR="002E5327">
        <w:t>enables</w:t>
      </w:r>
      <w:r w:rsidR="00E92300">
        <w:t xml:space="preserve"> the T-cell to perform its usual surveillance and invasive cell destruction. The restoration of normal T-cell function results in tumour reduction in some patients.</w:t>
      </w:r>
      <w:r w:rsidR="00BB3D96">
        <w:t xml:space="preserve"> Patients who test positive for PD-L1 would be offered pembrolizumab as a first line therapy</w:t>
      </w:r>
      <w:r w:rsidR="007C770B">
        <w:t xml:space="preserve"> </w:t>
      </w:r>
      <w:r w:rsidR="007C770B" w:rsidRPr="00BA674D">
        <w:t xml:space="preserve">if </w:t>
      </w:r>
      <w:r w:rsidR="00BA674D" w:rsidRPr="00BA674D">
        <w:t xml:space="preserve">first-line </w:t>
      </w:r>
      <w:r w:rsidR="007C770B" w:rsidRPr="00BA674D">
        <w:t>standard therapy is not appropriate</w:t>
      </w:r>
      <w:r w:rsidR="00BA674D" w:rsidRPr="00BA674D">
        <w:t xml:space="preserve"> or as a second-line treatment if first-line therapies have failed.</w:t>
      </w:r>
    </w:p>
    <w:p w14:paraId="49CC1C29" w14:textId="5FFFA663" w:rsidR="002B3338" w:rsidRDefault="002B3338" w:rsidP="002B3338">
      <w:pPr>
        <w:spacing w:before="120" w:after="120"/>
        <w:rPr>
          <w:i/>
        </w:rPr>
      </w:pPr>
      <w:r>
        <w:rPr>
          <w:i/>
          <w:u w:val="single"/>
        </w:rPr>
        <w:t>Rationale</w:t>
      </w:r>
    </w:p>
    <w:p w14:paraId="6CC18146" w14:textId="58A1FD08" w:rsidR="00963DEE" w:rsidRPr="00BE6A8C" w:rsidRDefault="00963DEE" w:rsidP="00963DEE">
      <w:pPr>
        <w:rPr>
          <w:i/>
          <w:u w:val="single"/>
        </w:rPr>
      </w:pPr>
      <w:r w:rsidRPr="00BE6A8C">
        <w:rPr>
          <w:i/>
          <w:u w:val="single"/>
        </w:rPr>
        <w:t xml:space="preserve">Pembrolizumab as a second-line </w:t>
      </w:r>
      <w:r w:rsidR="00820955">
        <w:rPr>
          <w:i/>
          <w:u w:val="single"/>
        </w:rPr>
        <w:t xml:space="preserve">(or subsequent) </w:t>
      </w:r>
      <w:r w:rsidRPr="00BE6A8C">
        <w:rPr>
          <w:i/>
          <w:u w:val="single"/>
        </w:rPr>
        <w:t>therapy</w:t>
      </w:r>
    </w:p>
    <w:p w14:paraId="2DAA3244" w14:textId="77777777" w:rsidR="000A18C8" w:rsidRDefault="00043BAD" w:rsidP="005640CC">
      <w:pPr>
        <w:rPr>
          <w:i/>
        </w:rPr>
      </w:pPr>
      <w:r w:rsidRPr="00BE6A8C">
        <w:rPr>
          <w:i/>
        </w:rPr>
        <w:t>Pebrolizumab may be effective as a second</w:t>
      </w:r>
      <w:r w:rsidR="00BB3D96" w:rsidRPr="00BE6A8C">
        <w:rPr>
          <w:i/>
        </w:rPr>
        <w:t>-line or</w:t>
      </w:r>
      <w:r w:rsidRPr="00BE6A8C">
        <w:rPr>
          <w:i/>
        </w:rPr>
        <w:t xml:space="preserve"> subsequent therapy. Participants included in both the KEYNOTE-028 and KEYNOTE-158 had undergone previous therapies.</w:t>
      </w:r>
      <w:r w:rsidR="00BA674D">
        <w:rPr>
          <w:i/>
        </w:rPr>
        <w:t xml:space="preserve"> </w:t>
      </w:r>
    </w:p>
    <w:p w14:paraId="6BD76815" w14:textId="7D50BAF8" w:rsidR="00963DEE" w:rsidRDefault="00963DEE" w:rsidP="005640CC">
      <w:pPr>
        <w:rPr>
          <w:i/>
        </w:rPr>
      </w:pPr>
      <w:r w:rsidRPr="00BE6A8C">
        <w:rPr>
          <w:i/>
        </w:rPr>
        <w:t xml:space="preserve">Patients who have not undergone PD-L1 testing would be offered the standard </w:t>
      </w:r>
      <w:r w:rsidR="000A18C8">
        <w:rPr>
          <w:i/>
        </w:rPr>
        <w:t xml:space="preserve">first-line </w:t>
      </w:r>
      <w:r w:rsidRPr="00BE6A8C">
        <w:rPr>
          <w:i/>
        </w:rPr>
        <w:t>therap</w:t>
      </w:r>
      <w:r w:rsidR="000A18C8">
        <w:rPr>
          <w:i/>
        </w:rPr>
        <w:t>ies</w:t>
      </w:r>
      <w:r w:rsidRPr="00BE6A8C">
        <w:rPr>
          <w:i/>
        </w:rPr>
        <w:t xml:space="preserve"> of cisplatin </w:t>
      </w:r>
      <w:r w:rsidR="000A18C8">
        <w:rPr>
          <w:i/>
        </w:rPr>
        <w:t xml:space="preserve">(or carboplatin) </w:t>
      </w:r>
      <w:r w:rsidRPr="00BE6A8C">
        <w:rPr>
          <w:i/>
        </w:rPr>
        <w:t xml:space="preserve">and pemetrexed. Should a patient’s disease progress following this therapy they may be offered PD-L1 testing on their original FFPE tumour sample </w:t>
      </w:r>
      <w:r w:rsidR="00043BAD" w:rsidRPr="00BE6A8C">
        <w:rPr>
          <w:i/>
        </w:rPr>
        <w:t xml:space="preserve">retrieved from pathology </w:t>
      </w:r>
      <w:r w:rsidR="00043BAD" w:rsidRPr="00BE6A8C">
        <w:rPr>
          <w:i/>
        </w:rPr>
        <w:lastRenderedPageBreak/>
        <w:t>storage. I</w:t>
      </w:r>
      <w:r w:rsidRPr="00BE6A8C">
        <w:rPr>
          <w:i/>
        </w:rPr>
        <w:t xml:space="preserve">f found positive, </w:t>
      </w:r>
      <w:r w:rsidR="00043BAD" w:rsidRPr="00BE6A8C">
        <w:rPr>
          <w:i/>
        </w:rPr>
        <w:t xml:space="preserve">they </w:t>
      </w:r>
      <w:r w:rsidRPr="00BE6A8C">
        <w:rPr>
          <w:i/>
        </w:rPr>
        <w:t xml:space="preserve">could be offered pembrolizumab as a second-line therapy. If found negative, there are no standard therapies but a patient would be offered available treatments such as vinorelbine or pemetrexed monotherapy. </w:t>
      </w:r>
    </w:p>
    <w:p w14:paraId="41C0E0DE" w14:textId="18645C20" w:rsidR="00043BAD" w:rsidRDefault="00043BAD" w:rsidP="005640CC">
      <w:pPr>
        <w:rPr>
          <w:i/>
        </w:rPr>
      </w:pPr>
      <w:r w:rsidRPr="00BE6A8C">
        <w:rPr>
          <w:i/>
        </w:rPr>
        <w:t xml:space="preserve">Patients who have undergone first and second-line therapies and have progressed disease may also be offered PD-L1 testing followed by pembrolizumab if found to be positive. If they are found </w:t>
      </w:r>
      <w:r w:rsidR="00C00509">
        <w:rPr>
          <w:i/>
        </w:rPr>
        <w:t xml:space="preserve">not to express PD-L1, </w:t>
      </w:r>
      <w:r w:rsidRPr="00BE6A8C">
        <w:rPr>
          <w:i/>
        </w:rPr>
        <w:t xml:space="preserve">alternative treatment </w:t>
      </w:r>
      <w:r w:rsidR="00C00509">
        <w:rPr>
          <w:i/>
        </w:rPr>
        <w:t>would</w:t>
      </w:r>
      <w:r w:rsidR="00C00509" w:rsidRPr="00BE6A8C">
        <w:rPr>
          <w:i/>
        </w:rPr>
        <w:t xml:space="preserve"> </w:t>
      </w:r>
      <w:r w:rsidRPr="00BE6A8C">
        <w:rPr>
          <w:i/>
        </w:rPr>
        <w:t>be offered.</w:t>
      </w:r>
    </w:p>
    <w:p w14:paraId="10FEEF8D" w14:textId="44B97903" w:rsidR="000A18C8" w:rsidRPr="00C208F1" w:rsidRDefault="000A18C8" w:rsidP="00C208F1">
      <w:pPr>
        <w:keepNext/>
        <w:keepLines/>
        <w:rPr>
          <w:i/>
          <w:u w:val="single"/>
        </w:rPr>
      </w:pPr>
      <w:r w:rsidRPr="00C208F1">
        <w:rPr>
          <w:i/>
          <w:u w:val="single"/>
        </w:rPr>
        <w:t>Pembrolizumab as a first-line therapy</w:t>
      </w:r>
    </w:p>
    <w:p w14:paraId="5BC58CDA" w14:textId="77777777" w:rsidR="000A18C8" w:rsidRPr="00BE6A8C" w:rsidRDefault="000A18C8" w:rsidP="00C208F1">
      <w:pPr>
        <w:keepNext/>
        <w:keepLines/>
        <w:rPr>
          <w:i/>
        </w:rPr>
      </w:pPr>
      <w:r>
        <w:rPr>
          <w:i/>
        </w:rPr>
        <w:t>In KEYNOTE-028 PD-L1 pembrolizumab is also being trialled as a first-line therapy in those for whom standard therapies were not appropriate (and who test positive for PD-L1).</w:t>
      </w:r>
    </w:p>
    <w:p w14:paraId="1F7F8C94" w14:textId="77777777" w:rsidR="00126FC5" w:rsidRPr="00BE6A8C" w:rsidRDefault="00126FC5" w:rsidP="005640CC">
      <w:pPr>
        <w:rPr>
          <w:i/>
          <w:u w:val="single"/>
        </w:rPr>
      </w:pPr>
      <w:r w:rsidRPr="00BE6A8C">
        <w:rPr>
          <w:i/>
          <w:u w:val="single"/>
        </w:rPr>
        <w:t>Quality assurance issues</w:t>
      </w:r>
    </w:p>
    <w:p w14:paraId="7B40BAC4" w14:textId="1C436998" w:rsidR="00BB3D96" w:rsidRPr="00BE6A8C" w:rsidRDefault="00BE6A8C" w:rsidP="00BB3D96">
      <w:pPr>
        <w:rPr>
          <w:i/>
        </w:rPr>
      </w:pPr>
      <w:r>
        <w:rPr>
          <w:i/>
        </w:rPr>
        <w:t>T</w:t>
      </w:r>
      <w:r w:rsidR="00BB3D96" w:rsidRPr="00BE6A8C">
        <w:rPr>
          <w:i/>
        </w:rPr>
        <w:t xml:space="preserve">he proposed MBS item will not specify a particular brand of kit, rather the </w:t>
      </w:r>
      <w:r w:rsidR="002E5327">
        <w:rPr>
          <w:i/>
        </w:rPr>
        <w:t>item</w:t>
      </w:r>
      <w:r w:rsidR="00BB3D96" w:rsidRPr="00BE6A8C">
        <w:rPr>
          <w:i/>
        </w:rPr>
        <w:t xml:space="preserve"> </w:t>
      </w:r>
      <w:r>
        <w:rPr>
          <w:i/>
        </w:rPr>
        <w:t>would be</w:t>
      </w:r>
      <w:r w:rsidR="00BB3D96" w:rsidRPr="00BE6A8C">
        <w:rPr>
          <w:i/>
        </w:rPr>
        <w:t xml:space="preserve"> based on a specific monoclonal antibody</w:t>
      </w:r>
      <w:r w:rsidR="002E5327">
        <w:rPr>
          <w:i/>
        </w:rPr>
        <w:t xml:space="preserve"> test</w:t>
      </w:r>
      <w:r w:rsidR="00BB3D96" w:rsidRPr="00BE6A8C">
        <w:rPr>
          <w:i/>
        </w:rPr>
        <w:t xml:space="preserve">. The intensity of staining can be assessed as weak through to strong, although a positive result is based on any amount of staining visualised, for the listed KEYNOTE trials. Laboratories would need to participate in quality assurance measures to ensure the visualisation and measurement of degree of staining </w:t>
      </w:r>
      <w:r w:rsidR="002E5327">
        <w:rPr>
          <w:i/>
        </w:rPr>
        <w:t>are</w:t>
      </w:r>
      <w:r w:rsidR="00BB3D96" w:rsidRPr="00BE6A8C">
        <w:rPr>
          <w:i/>
        </w:rPr>
        <w:t xml:space="preserve"> consistent between different branded kits and between laboratories. In addition, there should be quality assurance measures in place to ensure that all kits </w:t>
      </w:r>
      <w:r>
        <w:rPr>
          <w:i/>
        </w:rPr>
        <w:t xml:space="preserve">or manufacturers </w:t>
      </w:r>
      <w:r w:rsidR="00BB3D96" w:rsidRPr="00BE6A8C">
        <w:rPr>
          <w:i/>
        </w:rPr>
        <w:t xml:space="preserve">of </w:t>
      </w:r>
      <w:r>
        <w:rPr>
          <w:i/>
        </w:rPr>
        <w:t>the antibody</w:t>
      </w:r>
      <w:r w:rsidR="00BB3D96" w:rsidRPr="00BE6A8C">
        <w:rPr>
          <w:i/>
        </w:rPr>
        <w:t xml:space="preserve"> provide a consistently performing </w:t>
      </w:r>
      <w:r>
        <w:rPr>
          <w:i/>
        </w:rPr>
        <w:t>product that</w:t>
      </w:r>
      <w:r w:rsidR="00BB3D96" w:rsidRPr="00BE6A8C">
        <w:rPr>
          <w:i/>
        </w:rPr>
        <w:t xml:space="preserve"> would produce the same results.</w:t>
      </w:r>
    </w:p>
    <w:p w14:paraId="7D49E976" w14:textId="77777777" w:rsidR="00126FC5" w:rsidRPr="00BE6A8C" w:rsidRDefault="00043BAD" w:rsidP="005640CC">
      <w:pPr>
        <w:rPr>
          <w:i/>
        </w:rPr>
      </w:pPr>
      <w:r w:rsidRPr="00BE6A8C">
        <w:rPr>
          <w:i/>
        </w:rPr>
        <w:t xml:space="preserve">The integrity of the FFPE tumour sample taken at diagnosis should be considered, and in particular the status of PD-L1 expression, as this may change with the progression of the disease. Additional tumour biopsy material may be required for testing. </w:t>
      </w:r>
      <w:r w:rsidR="00BE6A8C">
        <w:rPr>
          <w:i/>
        </w:rPr>
        <w:t>The rate of rebiopsy should be considered as an additional safety outcome.</w:t>
      </w:r>
    </w:p>
    <w:p w14:paraId="178E423D" w14:textId="4C913201" w:rsidR="00126FC5" w:rsidRPr="00BE6A8C" w:rsidRDefault="00126FC5" w:rsidP="005640CC">
      <w:pPr>
        <w:rPr>
          <w:i/>
        </w:rPr>
      </w:pPr>
      <w:r w:rsidRPr="00BE6A8C">
        <w:rPr>
          <w:i/>
        </w:rPr>
        <w:t xml:space="preserve">Heterogeneity of the tumour tissue may lead to inaccurate results, </w:t>
      </w:r>
      <w:r w:rsidR="00A370F3">
        <w:rPr>
          <w:i/>
        </w:rPr>
        <w:t>in addition to</w:t>
      </w:r>
      <w:r w:rsidRPr="00BE6A8C">
        <w:rPr>
          <w:i/>
        </w:rPr>
        <w:t xml:space="preserve"> PD-L1 testing </w:t>
      </w:r>
      <w:r w:rsidR="00A370F3">
        <w:rPr>
          <w:i/>
        </w:rPr>
        <w:t>being</w:t>
      </w:r>
      <w:r w:rsidRPr="00BE6A8C">
        <w:rPr>
          <w:i/>
        </w:rPr>
        <w:t xml:space="preserve"> performed across multiple laboratories.</w:t>
      </w:r>
      <w:r w:rsidRPr="00BE6A8C">
        <w:rPr>
          <w:i/>
          <w:szCs w:val="24"/>
        </w:rPr>
        <w:t xml:space="preserve"> A quality assurance program would be required to ensure diagnostic laboratories maintain a high level of accuracy and reproducibility of results.</w:t>
      </w:r>
    </w:p>
    <w:p w14:paraId="478FE711" w14:textId="77777777" w:rsidR="00896845" w:rsidRPr="00E364F7" w:rsidRDefault="00896845" w:rsidP="00255078">
      <w:pPr>
        <w:pStyle w:val="Heading3"/>
      </w:pPr>
      <w:r w:rsidRPr="00E364F7">
        <w:t>Comparator</w:t>
      </w:r>
    </w:p>
    <w:p w14:paraId="76A046E5" w14:textId="78AE6210" w:rsidR="00963DEE" w:rsidRPr="008E69F1" w:rsidRDefault="00DE01FF" w:rsidP="002B3338">
      <w:pPr>
        <w:rPr>
          <w:u w:val="single"/>
        </w:rPr>
      </w:pPr>
      <w:r w:rsidRPr="008E69F1">
        <w:rPr>
          <w:u w:val="single"/>
        </w:rPr>
        <w:t>PD-L1 testing</w:t>
      </w:r>
    </w:p>
    <w:p w14:paraId="7DCCC995" w14:textId="338FDA10" w:rsidR="00DE01FF" w:rsidRDefault="00DE01FF" w:rsidP="002B3338">
      <w:r>
        <w:t xml:space="preserve">The comparator for </w:t>
      </w:r>
      <w:r w:rsidR="00450861">
        <w:t xml:space="preserve">PD-L1 testing component </w:t>
      </w:r>
      <w:r>
        <w:t>would be ‘no testing’.</w:t>
      </w:r>
    </w:p>
    <w:p w14:paraId="43A3576F" w14:textId="2E74F9DA" w:rsidR="008E69F1" w:rsidRPr="00255078" w:rsidRDefault="008E69F1" w:rsidP="008E69F1">
      <w:pPr>
        <w:rPr>
          <w:u w:val="single"/>
        </w:rPr>
      </w:pPr>
      <w:r w:rsidRPr="00255078">
        <w:rPr>
          <w:u w:val="single"/>
        </w:rPr>
        <w:t xml:space="preserve">Pembrolizumab as a second-line </w:t>
      </w:r>
      <w:r w:rsidR="00820955" w:rsidRPr="00255078">
        <w:rPr>
          <w:u w:val="single"/>
        </w:rPr>
        <w:t xml:space="preserve">(or subsequent) </w:t>
      </w:r>
      <w:r w:rsidRPr="00255078">
        <w:rPr>
          <w:u w:val="single"/>
        </w:rPr>
        <w:t>therapy</w:t>
      </w:r>
    </w:p>
    <w:p w14:paraId="6C5E046E" w14:textId="7E29DECD" w:rsidR="008E69F1" w:rsidRPr="00255078" w:rsidRDefault="008E69F1" w:rsidP="00AA3459">
      <w:r w:rsidRPr="00255078">
        <w:t>There is no standard second-line therapy for mesothelioma patients, however they may be offered various treatment options such a</w:t>
      </w:r>
      <w:r w:rsidR="00E916E5" w:rsidRPr="00255078">
        <w:t>s</w:t>
      </w:r>
      <w:r w:rsidRPr="00255078">
        <w:t xml:space="preserve"> vinorelbine, pemetrexed monotherapy or platinum doublet. No treatment</w:t>
      </w:r>
      <w:r w:rsidR="00255078">
        <w:t xml:space="preserve"> with best supportive care</w:t>
      </w:r>
      <w:r w:rsidRPr="00255078">
        <w:t xml:space="preserve"> is also an option in advanced cases. </w:t>
      </w:r>
    </w:p>
    <w:p w14:paraId="0705A925" w14:textId="77777777" w:rsidR="00255078" w:rsidRPr="008E69F1" w:rsidRDefault="00255078" w:rsidP="00255078">
      <w:pPr>
        <w:rPr>
          <w:u w:val="single"/>
        </w:rPr>
      </w:pPr>
      <w:r w:rsidRPr="008E69F1">
        <w:rPr>
          <w:u w:val="single"/>
        </w:rPr>
        <w:t>Pembrolizumab as a first-line therapy</w:t>
      </w:r>
    </w:p>
    <w:p w14:paraId="7F369215" w14:textId="7A7F94FB" w:rsidR="00255078" w:rsidRDefault="00255078" w:rsidP="00255078">
      <w:r>
        <w:t>When standard first-line care is not appropriate, patients may be offered no treatment and best supportive care, or second-line treatment options</w:t>
      </w:r>
      <w:r w:rsidRPr="00255078">
        <w:rPr>
          <w:i/>
        </w:rPr>
        <w:t xml:space="preserve"> </w:t>
      </w:r>
      <w:r w:rsidRPr="00255078">
        <w:t>such as vinorelbine, pemetrexed monotherapy or platinum doublet</w:t>
      </w:r>
      <w:r>
        <w:t>.</w:t>
      </w:r>
    </w:p>
    <w:p w14:paraId="6DDCD842" w14:textId="77777777" w:rsidR="00896845" w:rsidRPr="00E364F7" w:rsidRDefault="00896845" w:rsidP="00255078">
      <w:pPr>
        <w:pStyle w:val="Heading3"/>
      </w:pPr>
      <w:r w:rsidRPr="00E364F7">
        <w:lastRenderedPageBreak/>
        <w:t>Outcomes</w:t>
      </w:r>
    </w:p>
    <w:p w14:paraId="4C61562F" w14:textId="77777777" w:rsidR="002A66BD" w:rsidRPr="002A66BD" w:rsidRDefault="002A66BD">
      <w:pPr>
        <w:rPr>
          <w:i/>
          <w:u w:val="single"/>
        </w:rPr>
      </w:pPr>
      <w:r w:rsidRPr="002A66BD">
        <w:rPr>
          <w:i/>
          <w:u w:val="single"/>
        </w:rPr>
        <w:t>Patient relevant</w:t>
      </w:r>
    </w:p>
    <w:p w14:paraId="4D342CCE" w14:textId="06F0F56A" w:rsidR="001B4459" w:rsidRDefault="00AD1AF6" w:rsidP="00440228">
      <w:r>
        <w:t>Direct s</w:t>
      </w:r>
      <w:r w:rsidR="001B4459">
        <w:t>afety and effectiveness outcomes relevant to the proposed population are listed.</w:t>
      </w:r>
    </w:p>
    <w:p w14:paraId="65A7AB9B" w14:textId="77777777" w:rsidR="00F11C6C" w:rsidRDefault="001B4459" w:rsidP="00440228">
      <w:r>
        <w:t>S</w:t>
      </w:r>
      <w:r w:rsidR="00F11C6C">
        <w:t>afety</w:t>
      </w:r>
      <w:r>
        <w:t xml:space="preserve">: </w:t>
      </w:r>
    </w:p>
    <w:p w14:paraId="6C6F522A" w14:textId="7136A2B9" w:rsidR="00F11C6C" w:rsidRDefault="003201B2" w:rsidP="002B1567">
      <w:pPr>
        <w:pStyle w:val="ListParagraph"/>
        <w:numPr>
          <w:ilvl w:val="0"/>
          <w:numId w:val="13"/>
        </w:numPr>
        <w:spacing w:after="0"/>
      </w:pPr>
      <w:r>
        <w:t>p</w:t>
      </w:r>
      <w:r w:rsidR="002B1567">
        <w:t>hysical and psychological h</w:t>
      </w:r>
      <w:r w:rsidR="00F11C6C">
        <w:t>arms associated with testing</w:t>
      </w:r>
    </w:p>
    <w:p w14:paraId="05B014F1" w14:textId="18AF796B" w:rsidR="00F11C6C" w:rsidRDefault="003201B2" w:rsidP="002B1567">
      <w:pPr>
        <w:pStyle w:val="ListParagraph"/>
        <w:numPr>
          <w:ilvl w:val="0"/>
          <w:numId w:val="13"/>
        </w:numPr>
        <w:spacing w:after="0"/>
      </w:pPr>
      <w:r>
        <w:t>h</w:t>
      </w:r>
      <w:r w:rsidR="00F11C6C">
        <w:t>arms associated with treatment change as a result of testing</w:t>
      </w:r>
    </w:p>
    <w:p w14:paraId="4F200272" w14:textId="6FC97B44" w:rsidR="00F11C6C" w:rsidRDefault="003201B2" w:rsidP="002B1567">
      <w:pPr>
        <w:pStyle w:val="ListParagraph"/>
        <w:numPr>
          <w:ilvl w:val="0"/>
          <w:numId w:val="13"/>
        </w:numPr>
        <w:spacing w:after="0"/>
      </w:pPr>
      <w:r>
        <w:t>h</w:t>
      </w:r>
      <w:r w:rsidR="00F11C6C">
        <w:t>arms associated with rebiopsy</w:t>
      </w:r>
    </w:p>
    <w:p w14:paraId="1A0A9F4A" w14:textId="2B8092B1" w:rsidR="002B1567" w:rsidRDefault="003201B2" w:rsidP="003201B2">
      <w:pPr>
        <w:pStyle w:val="ListParagraph"/>
        <w:numPr>
          <w:ilvl w:val="0"/>
          <w:numId w:val="13"/>
        </w:numPr>
        <w:ind w:left="714" w:hanging="357"/>
      </w:pPr>
      <w:r>
        <w:t>r</w:t>
      </w:r>
      <w:r w:rsidR="002B1567">
        <w:t>ate of rebiopsy</w:t>
      </w:r>
    </w:p>
    <w:p w14:paraId="248DA57D" w14:textId="77777777" w:rsidR="00F11C6C" w:rsidRDefault="00F11C6C" w:rsidP="00440228">
      <w:r>
        <w:t xml:space="preserve">Clinical </w:t>
      </w:r>
      <w:r w:rsidR="002B1567">
        <w:t>effectiveness</w:t>
      </w:r>
      <w:r w:rsidR="001B4459">
        <w:t xml:space="preserve">: </w:t>
      </w:r>
    </w:p>
    <w:p w14:paraId="69126A73" w14:textId="77777777" w:rsidR="002B1567" w:rsidRDefault="002B1567" w:rsidP="002B1567">
      <w:pPr>
        <w:spacing w:before="20" w:after="20" w:line="240" w:lineRule="auto"/>
        <w:ind w:left="360"/>
        <w:rPr>
          <w:rFonts w:cs="Arial"/>
        </w:rPr>
      </w:pPr>
      <w:r>
        <w:rPr>
          <w:rFonts w:cs="Arial"/>
        </w:rPr>
        <w:t>Primary outcomes</w:t>
      </w:r>
    </w:p>
    <w:p w14:paraId="028AA6E8" w14:textId="77777777" w:rsidR="002B1567" w:rsidRPr="002B1567" w:rsidRDefault="002B1567" w:rsidP="003201B2">
      <w:pPr>
        <w:pStyle w:val="ListParagraph"/>
        <w:keepNext/>
        <w:numPr>
          <w:ilvl w:val="0"/>
          <w:numId w:val="17"/>
        </w:numPr>
        <w:spacing w:before="20" w:after="20" w:line="240" w:lineRule="auto"/>
        <w:ind w:left="1077" w:hanging="357"/>
        <w:rPr>
          <w:rFonts w:cs="Arial"/>
        </w:rPr>
      </w:pPr>
      <w:r w:rsidRPr="002B1567">
        <w:rPr>
          <w:rFonts w:cs="Arial"/>
        </w:rPr>
        <w:t>progression-free survival</w:t>
      </w:r>
    </w:p>
    <w:p w14:paraId="1C31BFB1" w14:textId="77777777" w:rsidR="002B1567" w:rsidRPr="002B1567" w:rsidRDefault="002B1567" w:rsidP="002B1567">
      <w:pPr>
        <w:pStyle w:val="ListParagraph"/>
        <w:numPr>
          <w:ilvl w:val="0"/>
          <w:numId w:val="16"/>
        </w:numPr>
        <w:spacing w:before="20" w:after="20" w:line="240" w:lineRule="auto"/>
        <w:rPr>
          <w:rFonts w:cs="Arial"/>
        </w:rPr>
      </w:pPr>
      <w:r w:rsidRPr="002B1567">
        <w:rPr>
          <w:rFonts w:cs="Arial"/>
        </w:rPr>
        <w:t>overall survival</w:t>
      </w:r>
    </w:p>
    <w:p w14:paraId="3B939FA0" w14:textId="77777777" w:rsidR="002B1567" w:rsidRPr="002B1567" w:rsidRDefault="002B1567" w:rsidP="001B4459">
      <w:pPr>
        <w:pStyle w:val="ListParagraph"/>
        <w:numPr>
          <w:ilvl w:val="0"/>
          <w:numId w:val="16"/>
        </w:numPr>
        <w:spacing w:before="20" w:after="120" w:line="240" w:lineRule="auto"/>
        <w:ind w:left="1077" w:hanging="357"/>
        <w:rPr>
          <w:rFonts w:cs="Arial"/>
        </w:rPr>
      </w:pPr>
      <w:r w:rsidRPr="002B1567">
        <w:rPr>
          <w:rFonts w:cs="Arial"/>
        </w:rPr>
        <w:t xml:space="preserve">quality of life </w:t>
      </w:r>
    </w:p>
    <w:p w14:paraId="295FA20E" w14:textId="77777777" w:rsidR="002B1567" w:rsidRDefault="002B1567" w:rsidP="002B1567">
      <w:pPr>
        <w:spacing w:before="20" w:after="20" w:line="240" w:lineRule="auto"/>
        <w:ind w:left="360"/>
        <w:rPr>
          <w:rFonts w:cs="Arial"/>
        </w:rPr>
      </w:pPr>
      <w:r>
        <w:rPr>
          <w:rFonts w:cs="Arial"/>
        </w:rPr>
        <w:t>Second</w:t>
      </w:r>
      <w:r w:rsidRPr="002B1567">
        <w:rPr>
          <w:rFonts w:cs="Arial"/>
        </w:rPr>
        <w:t>ary outcomes</w:t>
      </w:r>
    </w:p>
    <w:p w14:paraId="54D8C043" w14:textId="77777777" w:rsidR="002B1567" w:rsidRPr="002B1567" w:rsidRDefault="002B1567" w:rsidP="002B1567">
      <w:pPr>
        <w:pStyle w:val="ListParagraph"/>
        <w:numPr>
          <w:ilvl w:val="0"/>
          <w:numId w:val="15"/>
        </w:numPr>
        <w:spacing w:before="20" w:after="20" w:line="240" w:lineRule="auto"/>
        <w:rPr>
          <w:rFonts w:cs="Arial"/>
        </w:rPr>
      </w:pPr>
      <w:r w:rsidRPr="002B1567">
        <w:rPr>
          <w:rFonts w:cs="Arial"/>
        </w:rPr>
        <w:t>overall response rate</w:t>
      </w:r>
    </w:p>
    <w:p w14:paraId="1A54A7A1" w14:textId="77777777" w:rsidR="002B1567" w:rsidRPr="003201B2" w:rsidRDefault="002B1567" w:rsidP="003201B2">
      <w:pPr>
        <w:pStyle w:val="ListParagraph"/>
        <w:numPr>
          <w:ilvl w:val="0"/>
          <w:numId w:val="15"/>
        </w:numPr>
        <w:spacing w:line="240" w:lineRule="auto"/>
        <w:ind w:left="1077" w:hanging="357"/>
        <w:rPr>
          <w:rFonts w:cs="Arial"/>
        </w:rPr>
      </w:pPr>
      <w:r w:rsidRPr="003201B2">
        <w:rPr>
          <w:rFonts w:cs="Arial"/>
        </w:rPr>
        <w:t>duration of response</w:t>
      </w:r>
    </w:p>
    <w:p w14:paraId="7CD4D2B6" w14:textId="4035120D" w:rsidR="003201B2" w:rsidRPr="003201B2" w:rsidRDefault="00AD1AF6" w:rsidP="003201B2">
      <w:pPr>
        <w:rPr>
          <w:rFonts w:cs="Arial"/>
        </w:rPr>
      </w:pPr>
      <w:r>
        <w:rPr>
          <w:rFonts w:cs="Arial"/>
        </w:rPr>
        <w:t>Linked evidence (if required)</w:t>
      </w:r>
      <w:r w:rsidR="003201B2" w:rsidRPr="003201B2">
        <w:rPr>
          <w:rFonts w:cs="Arial"/>
        </w:rPr>
        <w:t>:</w:t>
      </w:r>
    </w:p>
    <w:p w14:paraId="6E93D5BA" w14:textId="0E5ACDB7" w:rsidR="002523BE" w:rsidRDefault="00AD1AF6" w:rsidP="002523BE">
      <w:pPr>
        <w:pStyle w:val="ListParagraph"/>
        <w:numPr>
          <w:ilvl w:val="0"/>
          <w:numId w:val="15"/>
        </w:numPr>
        <w:rPr>
          <w:rFonts w:cs="Arial"/>
        </w:rPr>
      </w:pPr>
      <w:r>
        <w:rPr>
          <w:rFonts w:cs="Arial"/>
        </w:rPr>
        <w:t xml:space="preserve">analytic validity, reproducibility (including </w:t>
      </w:r>
      <w:r w:rsidR="003201B2">
        <w:rPr>
          <w:rFonts w:cs="Arial"/>
        </w:rPr>
        <w:t>a</w:t>
      </w:r>
      <w:r w:rsidR="002523BE" w:rsidRPr="002523BE">
        <w:rPr>
          <w:rFonts w:cs="Arial"/>
        </w:rPr>
        <w:t>nalytic comparison of available PD-L1 IHC tests</w:t>
      </w:r>
      <w:r>
        <w:rPr>
          <w:rFonts w:cs="Arial"/>
        </w:rPr>
        <w:t>)</w:t>
      </w:r>
    </w:p>
    <w:p w14:paraId="4C92B14F" w14:textId="650386CC" w:rsidR="00AD1AF6" w:rsidRDefault="009E58D2" w:rsidP="002523BE">
      <w:pPr>
        <w:pStyle w:val="ListParagraph"/>
        <w:numPr>
          <w:ilvl w:val="0"/>
          <w:numId w:val="15"/>
        </w:numPr>
        <w:rPr>
          <w:rFonts w:cs="Arial"/>
        </w:rPr>
      </w:pPr>
      <w:r>
        <w:rPr>
          <w:rFonts w:cs="Arial"/>
        </w:rPr>
        <w:t>p</w:t>
      </w:r>
      <w:r w:rsidR="00AD1AF6">
        <w:rPr>
          <w:rFonts w:cs="Arial"/>
        </w:rPr>
        <w:t>redictive value of PD-L1 testing</w:t>
      </w:r>
    </w:p>
    <w:p w14:paraId="32A8F6A5" w14:textId="53572F27" w:rsidR="00AD1AF6" w:rsidRDefault="009E58D2" w:rsidP="002523BE">
      <w:pPr>
        <w:pStyle w:val="ListParagraph"/>
        <w:numPr>
          <w:ilvl w:val="0"/>
          <w:numId w:val="15"/>
        </w:numPr>
        <w:rPr>
          <w:rFonts w:cs="Arial"/>
        </w:rPr>
      </w:pPr>
      <w:r>
        <w:rPr>
          <w:rFonts w:cs="Arial"/>
        </w:rPr>
        <w:t>c</w:t>
      </w:r>
      <w:r w:rsidR="00AD1AF6">
        <w:rPr>
          <w:rFonts w:cs="Arial"/>
        </w:rPr>
        <w:t>hange in management</w:t>
      </w:r>
    </w:p>
    <w:p w14:paraId="1A5A7249" w14:textId="52B8CC59" w:rsidR="00AD1AF6" w:rsidRPr="002523BE" w:rsidRDefault="009E58D2" w:rsidP="002523BE">
      <w:pPr>
        <w:pStyle w:val="ListParagraph"/>
        <w:numPr>
          <w:ilvl w:val="0"/>
          <w:numId w:val="15"/>
        </w:numPr>
        <w:rPr>
          <w:rFonts w:cs="Arial"/>
        </w:rPr>
      </w:pPr>
      <w:r>
        <w:rPr>
          <w:rFonts w:cs="Arial"/>
        </w:rPr>
        <w:t>i</w:t>
      </w:r>
      <w:r w:rsidR="00AD1AF6">
        <w:rPr>
          <w:rFonts w:cs="Arial"/>
        </w:rPr>
        <w:t>mpact of change in management (treatment effectiveness in the identified population – health outcomes as per direct evidence of effectiveness)</w:t>
      </w:r>
    </w:p>
    <w:p w14:paraId="347871F6" w14:textId="77777777"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14:paraId="0BB8C9D4" w14:textId="12030AEB" w:rsidR="001B4459" w:rsidRDefault="001B4459" w:rsidP="001B4459">
      <w:r w:rsidRPr="001B4459">
        <w:t>Should the proposed co</w:t>
      </w:r>
      <w:r w:rsidR="00450861">
        <w:t>-</w:t>
      </w:r>
      <w:r w:rsidRPr="001B4459">
        <w:t>dependent test be approved there will be financial implications for the healthcare system.</w:t>
      </w:r>
      <w:r>
        <w:t xml:space="preserve"> The following </w:t>
      </w:r>
      <w:r w:rsidR="00BE6A8C">
        <w:t>outcomes</w:t>
      </w:r>
      <w:r>
        <w:t xml:space="preserve"> should be assessed:</w:t>
      </w:r>
    </w:p>
    <w:p w14:paraId="4B238D3A" w14:textId="77777777" w:rsidR="001B4459" w:rsidRDefault="001B4459" w:rsidP="001B4459">
      <w:pPr>
        <w:pStyle w:val="ListParagraph"/>
        <w:numPr>
          <w:ilvl w:val="0"/>
          <w:numId w:val="18"/>
        </w:numPr>
        <w:ind w:left="339" w:hanging="283"/>
      </w:pPr>
      <w:r>
        <w:t>Number of patients tested</w:t>
      </w:r>
    </w:p>
    <w:p w14:paraId="2DEDC14A" w14:textId="77777777" w:rsidR="001B4459" w:rsidRDefault="001B4459" w:rsidP="001B4459">
      <w:pPr>
        <w:pStyle w:val="ListParagraph"/>
        <w:numPr>
          <w:ilvl w:val="0"/>
          <w:numId w:val="18"/>
        </w:numPr>
        <w:ind w:left="339" w:hanging="283"/>
      </w:pPr>
      <w:r>
        <w:t>Number of patients tested per PD-L1 positive result</w:t>
      </w:r>
    </w:p>
    <w:p w14:paraId="151CF7D9" w14:textId="77777777" w:rsidR="001B4459" w:rsidRDefault="001B4459" w:rsidP="001B4459">
      <w:pPr>
        <w:pStyle w:val="ListParagraph"/>
        <w:numPr>
          <w:ilvl w:val="0"/>
          <w:numId w:val="18"/>
        </w:numPr>
        <w:ind w:left="339" w:hanging="283"/>
      </w:pPr>
      <w:r>
        <w:t>Number of patients tested per PD-L1 positive result treated with pembrolizumab</w:t>
      </w:r>
    </w:p>
    <w:p w14:paraId="135CE9A5" w14:textId="77777777" w:rsidR="001B4459" w:rsidRDefault="001B4459" w:rsidP="001B4459">
      <w:pPr>
        <w:pStyle w:val="ListParagraph"/>
        <w:numPr>
          <w:ilvl w:val="0"/>
          <w:numId w:val="18"/>
        </w:numPr>
        <w:ind w:left="339" w:hanging="283"/>
      </w:pPr>
      <w:r>
        <w:t>Cost of testing per PD-L1 positive case detected</w:t>
      </w:r>
    </w:p>
    <w:p w14:paraId="6E7C200D" w14:textId="77777777" w:rsidR="001B4459" w:rsidRDefault="001B4459" w:rsidP="001B4459">
      <w:pPr>
        <w:pStyle w:val="ListParagraph"/>
        <w:numPr>
          <w:ilvl w:val="0"/>
          <w:numId w:val="18"/>
        </w:numPr>
        <w:ind w:left="339" w:hanging="283"/>
      </w:pPr>
      <w:r>
        <w:t>Cost of testing per PD-L1 positive case detected and treated with pembrolizumab</w:t>
      </w:r>
    </w:p>
    <w:p w14:paraId="2AE68D02" w14:textId="77777777" w:rsidR="001B4459" w:rsidRPr="001B4459" w:rsidRDefault="001B4459" w:rsidP="002B3338"/>
    <w:p w14:paraId="1988BBD1" w14:textId="77777777" w:rsidR="00D55BE4" w:rsidRDefault="00D55BE4">
      <w:pPr>
        <w:rPr>
          <w:rFonts w:eastAsia="MS Gothic"/>
          <w:b/>
          <w:bCs/>
          <w:i/>
          <w:color w:val="548DD4"/>
          <w:szCs w:val="26"/>
          <w:u w:val="single"/>
        </w:rPr>
      </w:pPr>
      <w:r>
        <w:rPr>
          <w:color w:val="548DD4"/>
        </w:rPr>
        <w:br w:type="page"/>
      </w:r>
    </w:p>
    <w:p w14:paraId="69BC49FC" w14:textId="4169F92B" w:rsidR="00896845" w:rsidRPr="00086219" w:rsidRDefault="00896845" w:rsidP="00086219">
      <w:pPr>
        <w:pStyle w:val="Heading2"/>
      </w:pPr>
      <w:r w:rsidRPr="00086219">
        <w:lastRenderedPageBreak/>
        <w:t>Current clinical management algorithm</w:t>
      </w:r>
      <w:r w:rsidR="002B3338" w:rsidRPr="00086219">
        <w:t xml:space="preserve"> for </w:t>
      </w:r>
      <w:r w:rsidR="00CF2EC6" w:rsidRPr="00086219">
        <w:t xml:space="preserve">patients </w:t>
      </w:r>
      <w:r w:rsidR="00B47988" w:rsidRPr="00086219">
        <w:t>suspected of</w:t>
      </w:r>
      <w:r w:rsidR="00CF2EC6" w:rsidRPr="00086219">
        <w:t xml:space="preserve"> mesothelioma</w:t>
      </w:r>
    </w:p>
    <w:p w14:paraId="776F3497" w14:textId="76FC019B" w:rsidR="00DD11B6" w:rsidRDefault="0008700B" w:rsidP="00AA3459">
      <w:pPr>
        <w:spacing w:before="20"/>
        <w:rPr>
          <w:rFonts w:cs="Arial"/>
        </w:rPr>
      </w:pPr>
      <w:r w:rsidRPr="0008700B">
        <w:rPr>
          <w:rFonts w:cs="Arial"/>
        </w:rPr>
        <w:t xml:space="preserve">The current clinical management of patients with mesothelioma is described in </w:t>
      </w:r>
      <w:r w:rsidR="00C208F1">
        <w:rPr>
          <w:rFonts w:cs="Arial"/>
        </w:rPr>
        <w:fldChar w:fldCharType="begin"/>
      </w:r>
      <w:r w:rsidR="00C208F1">
        <w:rPr>
          <w:rFonts w:cs="Arial"/>
        </w:rPr>
        <w:instrText xml:space="preserve"> REF _Ref465943297 \h </w:instrText>
      </w:r>
      <w:r w:rsidR="00C208F1">
        <w:rPr>
          <w:rFonts w:cs="Arial"/>
        </w:rPr>
      </w:r>
      <w:r w:rsidR="00C208F1">
        <w:rPr>
          <w:rFonts w:cs="Arial"/>
        </w:rPr>
        <w:fldChar w:fldCharType="separate"/>
      </w:r>
      <w:r w:rsidR="00C47DAF">
        <w:t xml:space="preserve">Figure </w:t>
      </w:r>
      <w:r w:rsidR="00C47DAF">
        <w:rPr>
          <w:noProof/>
        </w:rPr>
        <w:t>1</w:t>
      </w:r>
      <w:r w:rsidR="00C208F1">
        <w:rPr>
          <w:rFonts w:cs="Arial"/>
        </w:rPr>
        <w:fldChar w:fldCharType="end"/>
      </w:r>
      <w:r w:rsidRPr="0008700B">
        <w:rPr>
          <w:rFonts w:cs="Arial"/>
        </w:rPr>
        <w:t>. When suspect</w:t>
      </w:r>
      <w:r w:rsidR="001B4459">
        <w:rPr>
          <w:rFonts w:cs="Arial"/>
        </w:rPr>
        <w:t>ed with mesothelioma, a patient</w:t>
      </w:r>
      <w:r w:rsidRPr="0008700B">
        <w:rPr>
          <w:rFonts w:cs="Arial"/>
        </w:rPr>
        <w:t xml:space="preserve"> will undergo biopsy on request of the consultant physician. </w:t>
      </w:r>
      <w:r>
        <w:rPr>
          <w:rFonts w:cs="Arial"/>
        </w:rPr>
        <w:t xml:space="preserve">The biopsy sample would be sent to pathology where it would undergo standard laboratory investigations such as histology and cytology, and IHC testing </w:t>
      </w:r>
      <w:r w:rsidR="001B4459">
        <w:rPr>
          <w:rFonts w:cs="Arial"/>
        </w:rPr>
        <w:t>for</w:t>
      </w:r>
      <w:r>
        <w:rPr>
          <w:rFonts w:cs="Arial"/>
        </w:rPr>
        <w:t xml:space="preserve"> confirm</w:t>
      </w:r>
      <w:r w:rsidR="001B4459">
        <w:rPr>
          <w:rFonts w:cs="Arial"/>
        </w:rPr>
        <w:t>ation of</w:t>
      </w:r>
      <w:r>
        <w:rPr>
          <w:rFonts w:cs="Arial"/>
        </w:rPr>
        <w:t xml:space="preserve"> diagnosis </w:t>
      </w:r>
      <w:r w:rsidR="001B4459">
        <w:rPr>
          <w:rFonts w:cs="Arial"/>
        </w:rPr>
        <w:t xml:space="preserve">and sub-type analysis </w:t>
      </w:r>
      <w:r>
        <w:rPr>
          <w:rFonts w:cs="Arial"/>
        </w:rPr>
        <w:t>of mesothelioma. Most patients are diagnosed with the disease at a relatively advanced stage, and that being confirmed, patients would be offered the standard first</w:t>
      </w:r>
      <w:r w:rsidR="002728F4">
        <w:rPr>
          <w:rFonts w:cs="Arial"/>
        </w:rPr>
        <w:t>-</w:t>
      </w:r>
      <w:r>
        <w:rPr>
          <w:rFonts w:cs="Arial"/>
        </w:rPr>
        <w:t xml:space="preserve">line therapy of cisplatin (or carboplatin) plus pemetrexed. </w:t>
      </w:r>
      <w:r w:rsidR="002728F4">
        <w:rPr>
          <w:rFonts w:cs="Arial"/>
        </w:rPr>
        <w:t>Once the patient’s disease progresses there is no standard care for second-line therapy. Options available to the patient would be vinorelbine, pemetrexed monotherapy, platinum doublet or no treatment.</w:t>
      </w:r>
    </w:p>
    <w:p w14:paraId="4F592592" w14:textId="77777777" w:rsidR="00521F16" w:rsidRDefault="00521F16" w:rsidP="00AA3459">
      <w:pPr>
        <w:spacing w:before="20"/>
        <w:rPr>
          <w:rFonts w:cs="Arial"/>
        </w:rPr>
      </w:pPr>
    </w:p>
    <w:p w14:paraId="03AF3618" w14:textId="1357C3C7" w:rsidR="00556285" w:rsidRDefault="00556285" w:rsidP="002728F4">
      <w:pPr>
        <w:pStyle w:val="Caption"/>
      </w:pPr>
      <w:r>
        <w:rPr>
          <w:noProof/>
          <w:lang w:val="en-AU" w:eastAsia="en-AU"/>
        </w:rPr>
        <w:drawing>
          <wp:inline distT="0" distB="0" distL="0" distR="0" wp14:anchorId="638C5F49" wp14:editId="5D091A40">
            <wp:extent cx="4712335" cy="4133215"/>
            <wp:effectExtent l="0" t="0" r="0" b="635"/>
            <wp:docPr id="13" name="Picture 13" descr="Clinical Algorithm describing the current clinical pathway for patients diagnosed with mesothelioma  Please refer to above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2335" cy="4133215"/>
                    </a:xfrm>
                    <a:prstGeom prst="rect">
                      <a:avLst/>
                    </a:prstGeom>
                    <a:noFill/>
                  </pic:spPr>
                </pic:pic>
              </a:graphicData>
            </a:graphic>
          </wp:inline>
        </w:drawing>
      </w:r>
    </w:p>
    <w:p w14:paraId="6FCC3EBA" w14:textId="77777777" w:rsidR="00C208F1" w:rsidRDefault="00C208F1" w:rsidP="002728F4">
      <w:pPr>
        <w:pStyle w:val="Caption"/>
      </w:pPr>
    </w:p>
    <w:p w14:paraId="57B81D77" w14:textId="77777777" w:rsidR="002728F4" w:rsidRDefault="002728F4" w:rsidP="002728F4">
      <w:pPr>
        <w:pStyle w:val="Caption"/>
        <w:rPr>
          <w:rFonts w:cs="Arial"/>
        </w:rPr>
      </w:pPr>
      <w:bookmarkStart w:id="5" w:name="_Ref465943297"/>
      <w:r>
        <w:t xml:space="preserve">Figure </w:t>
      </w:r>
      <w:r>
        <w:fldChar w:fldCharType="begin"/>
      </w:r>
      <w:r>
        <w:instrText xml:space="preserve"> SEQ Figure \* ARABIC </w:instrText>
      </w:r>
      <w:r>
        <w:fldChar w:fldCharType="separate"/>
      </w:r>
      <w:r w:rsidR="00C47DAF">
        <w:rPr>
          <w:noProof/>
        </w:rPr>
        <w:t>1</w:t>
      </w:r>
      <w:r>
        <w:fldChar w:fldCharType="end"/>
      </w:r>
      <w:bookmarkEnd w:id="5"/>
      <w:r>
        <w:tab/>
        <w:t xml:space="preserve">Algorithm describing the current clinical pathway for patients diagnosed with mesothelioma </w:t>
      </w:r>
    </w:p>
    <w:p w14:paraId="4D4F384B" w14:textId="77777777" w:rsidR="002728F4" w:rsidRPr="00E66CA3" w:rsidRDefault="00E66CA3" w:rsidP="0008700B">
      <w:pPr>
        <w:spacing w:before="20" w:after="20" w:line="240" w:lineRule="auto"/>
        <w:rPr>
          <w:rFonts w:ascii="Arial Narrow" w:hAnsi="Arial Narrow" w:cs="Arial"/>
          <w:sz w:val="18"/>
          <w:szCs w:val="18"/>
        </w:rPr>
      </w:pPr>
      <w:r w:rsidRPr="00E66CA3">
        <w:rPr>
          <w:rFonts w:ascii="Arial Narrow" w:hAnsi="Arial Narrow" w:cs="Arial"/>
          <w:sz w:val="18"/>
          <w:szCs w:val="18"/>
        </w:rPr>
        <w:t>IHC = immunohistochemistry</w:t>
      </w:r>
    </w:p>
    <w:p w14:paraId="732F7BD2" w14:textId="77777777" w:rsidR="002728F4" w:rsidRPr="0008700B" w:rsidRDefault="002728F4" w:rsidP="0008700B">
      <w:pPr>
        <w:spacing w:before="20" w:after="20" w:line="240" w:lineRule="auto"/>
        <w:rPr>
          <w:rFonts w:cs="Arial"/>
        </w:rPr>
      </w:pPr>
    </w:p>
    <w:p w14:paraId="64BF4AA1" w14:textId="4A013D89" w:rsidR="00CF2EC6" w:rsidRPr="00B47988" w:rsidRDefault="00CF2EC6" w:rsidP="00B47988">
      <w:pPr>
        <w:pStyle w:val="Heading2"/>
      </w:pPr>
      <w:r w:rsidRPr="00B47988">
        <w:t>Proposed clinical management pathway for treatment patients who have undergone prior therapy</w:t>
      </w:r>
    </w:p>
    <w:p w14:paraId="41B1746F" w14:textId="04273DCD" w:rsidR="00CF2EC6" w:rsidRPr="00C208F1" w:rsidRDefault="00CF2EC6" w:rsidP="00CF2EC6">
      <w:pPr>
        <w:spacing w:before="20"/>
        <w:rPr>
          <w:rFonts w:cs="Arial"/>
          <w:color w:val="000000" w:themeColor="text1"/>
        </w:rPr>
      </w:pPr>
      <w:r w:rsidRPr="00C208F1">
        <w:rPr>
          <w:color w:val="000000" w:themeColor="text1"/>
        </w:rPr>
        <w:t>In the proposed clinical pathway (</w:t>
      </w:r>
      <w:r w:rsidR="00C208F1">
        <w:rPr>
          <w:color w:val="000000" w:themeColor="text1"/>
        </w:rPr>
        <w:fldChar w:fldCharType="begin"/>
      </w:r>
      <w:r w:rsidR="00C208F1">
        <w:rPr>
          <w:color w:val="000000" w:themeColor="text1"/>
        </w:rPr>
        <w:instrText xml:space="preserve"> REF _Ref465943389 \h </w:instrText>
      </w:r>
      <w:r w:rsidR="00C208F1">
        <w:rPr>
          <w:color w:val="000000" w:themeColor="text1"/>
        </w:rPr>
      </w:r>
      <w:r w:rsidR="00C208F1">
        <w:rPr>
          <w:color w:val="000000" w:themeColor="text1"/>
        </w:rPr>
        <w:fldChar w:fldCharType="separate"/>
      </w:r>
      <w:r w:rsidR="00C47DAF">
        <w:t xml:space="preserve">Figure </w:t>
      </w:r>
      <w:r w:rsidR="00C47DAF">
        <w:rPr>
          <w:noProof/>
        </w:rPr>
        <w:t>2</w:t>
      </w:r>
      <w:r w:rsidR="00C208F1">
        <w:rPr>
          <w:color w:val="000000" w:themeColor="text1"/>
        </w:rPr>
        <w:fldChar w:fldCharType="end"/>
      </w:r>
      <w:r w:rsidRPr="00C208F1">
        <w:rPr>
          <w:color w:val="000000" w:themeColor="text1"/>
        </w:rPr>
        <w:t>), patients suspected with mesothelioma would undergo biopsy as in the current pathway.</w:t>
      </w:r>
      <w:r w:rsidR="007F2EA9" w:rsidRPr="00C208F1">
        <w:rPr>
          <w:color w:val="000000" w:themeColor="text1"/>
        </w:rPr>
        <w:t xml:space="preserve"> </w:t>
      </w:r>
      <w:r w:rsidRPr="00C208F1">
        <w:rPr>
          <w:color w:val="000000" w:themeColor="text1"/>
        </w:rPr>
        <w:t xml:space="preserve"> </w:t>
      </w:r>
      <w:r w:rsidR="007F2EA9" w:rsidRPr="00C208F1">
        <w:rPr>
          <w:rFonts w:cs="Arial"/>
          <w:color w:val="000000" w:themeColor="text1"/>
        </w:rPr>
        <w:t xml:space="preserve">The biopsy sample would be sent to pathology where for histology and cytology, and IHC testing for confirmation of diagnosis and sub-type analysis of mesothelioma. Patients with unresectable disease and able to tolerate standard first-line therapy will be offered cistplatin (or carbolplatin) plus pemetrexed. </w:t>
      </w:r>
      <w:r w:rsidRPr="00C208F1">
        <w:rPr>
          <w:color w:val="000000" w:themeColor="text1"/>
        </w:rPr>
        <w:t xml:space="preserve">Once their disease </w:t>
      </w:r>
      <w:r w:rsidR="007F2EA9" w:rsidRPr="00C208F1">
        <w:rPr>
          <w:color w:val="000000" w:themeColor="text1"/>
        </w:rPr>
        <w:t xml:space="preserve">no longer respondes to therapy and </w:t>
      </w:r>
      <w:r w:rsidRPr="00C208F1">
        <w:rPr>
          <w:color w:val="000000" w:themeColor="text1"/>
        </w:rPr>
        <w:t>progresses</w:t>
      </w:r>
      <w:r w:rsidR="007F2EA9" w:rsidRPr="00C208F1">
        <w:rPr>
          <w:color w:val="000000" w:themeColor="text1"/>
        </w:rPr>
        <w:t>,</w:t>
      </w:r>
      <w:r w:rsidRPr="00C208F1">
        <w:rPr>
          <w:color w:val="000000" w:themeColor="text1"/>
        </w:rPr>
        <w:t xml:space="preserve"> patients could undergo PD-L1 testing on a FFPE biopsy sample retrieved from store, or </w:t>
      </w:r>
      <w:r w:rsidRPr="00C208F1">
        <w:rPr>
          <w:color w:val="000000" w:themeColor="text1"/>
        </w:rPr>
        <w:lastRenderedPageBreak/>
        <w:t>alternatively undergo rebiopsy. If a patient tests positive for the PD-L1 ligand (that is ≥1% TPS) they would be eligible for pembrolizumab as a second-line therapy. Patients testing negative for PD-L1 would not be offered pembrolizumab and may be</w:t>
      </w:r>
      <w:r w:rsidRPr="00C208F1">
        <w:rPr>
          <w:rFonts w:cs="Arial"/>
          <w:color w:val="000000" w:themeColor="text1"/>
        </w:rPr>
        <w:t xml:space="preserve"> offered the one of various options for second-line therapy such as vinorelbine, pemetrexed monotherapy, or platinum doublet therapy. No treatment may also be an option. Patients whose disease progressed after undergoing pembrolizumab treatment may be offered cisplatin plus pemetrexed as second-line therapy. </w:t>
      </w:r>
    </w:p>
    <w:p w14:paraId="4FCC979F" w14:textId="77777777" w:rsidR="00CF2EC6" w:rsidRPr="002728F4" w:rsidRDefault="00CF2EC6" w:rsidP="00CF2EC6">
      <w:pPr>
        <w:spacing w:before="20"/>
        <w:rPr>
          <w:rFonts w:cs="Arial"/>
        </w:rPr>
      </w:pPr>
      <w:r>
        <w:rPr>
          <w:rFonts w:cs="Arial"/>
        </w:rPr>
        <w:t>Patients who have undergone current first and second-line therapies may undergo PD-L1 testing for access to pembrolizumab. Those who test positive would be eligible for pembrolizumab, and those who test negative may be offered an additional second-line therapy options.</w:t>
      </w:r>
    </w:p>
    <w:p w14:paraId="0D2D265C" w14:textId="199EE9BE" w:rsidR="00CF2EC6" w:rsidRDefault="00CF2EC6" w:rsidP="00086219"/>
    <w:p w14:paraId="21C88004" w14:textId="77777777" w:rsidR="00CF2EC6" w:rsidRPr="00C208F1" w:rsidRDefault="00CF2EC6" w:rsidP="00C208F1">
      <w:pPr>
        <w:rPr>
          <w:color w:val="548DD4"/>
        </w:rPr>
      </w:pPr>
    </w:p>
    <w:p w14:paraId="1F1E9777" w14:textId="539087D8" w:rsidR="00521F16" w:rsidRDefault="00B1318F" w:rsidP="001947DC">
      <w:pPr>
        <w:pStyle w:val="Caption"/>
      </w:pPr>
      <w:r>
        <w:rPr>
          <w:noProof/>
          <w:lang w:val="en-AU" w:eastAsia="en-AU"/>
        </w:rPr>
        <w:drawing>
          <wp:inline distT="0" distB="0" distL="0" distR="0" wp14:anchorId="57593B30" wp14:editId="31B6727B">
            <wp:extent cx="5370830" cy="4139565"/>
            <wp:effectExtent l="0" t="0" r="0" b="0"/>
            <wp:docPr id="3" name="Picture 3" descr="Figure 2 Algorithm describing the proposed treatment pathway for patients who have failed prior therapies. Clinical Algorithm describing the proposed clinical pathway for patients who have failed prior therapies.  Please refer to above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830" cy="4139565"/>
                    </a:xfrm>
                    <a:prstGeom prst="rect">
                      <a:avLst/>
                    </a:prstGeom>
                    <a:noFill/>
                  </pic:spPr>
                </pic:pic>
              </a:graphicData>
            </a:graphic>
          </wp:inline>
        </w:drawing>
      </w:r>
    </w:p>
    <w:p w14:paraId="6AB85AD5" w14:textId="77777777" w:rsidR="00B1318F" w:rsidRDefault="00B1318F" w:rsidP="001947DC">
      <w:pPr>
        <w:pStyle w:val="Caption"/>
      </w:pPr>
      <w:bookmarkStart w:id="6" w:name="_Ref465865142"/>
    </w:p>
    <w:p w14:paraId="6EFCCC81" w14:textId="67AD90AE" w:rsidR="001947DC" w:rsidRDefault="001947DC" w:rsidP="001947DC">
      <w:pPr>
        <w:pStyle w:val="Caption"/>
      </w:pPr>
      <w:bookmarkStart w:id="7" w:name="_Ref465943389"/>
      <w:r>
        <w:t xml:space="preserve">Figure </w:t>
      </w:r>
      <w:r>
        <w:fldChar w:fldCharType="begin"/>
      </w:r>
      <w:r>
        <w:instrText xml:space="preserve"> SEQ Figure \* ARABIC </w:instrText>
      </w:r>
      <w:r>
        <w:fldChar w:fldCharType="separate"/>
      </w:r>
      <w:r w:rsidR="00C47DAF">
        <w:rPr>
          <w:noProof/>
        </w:rPr>
        <w:t>2</w:t>
      </w:r>
      <w:r>
        <w:fldChar w:fldCharType="end"/>
      </w:r>
      <w:bookmarkEnd w:id="6"/>
      <w:bookmarkEnd w:id="7"/>
      <w:r w:rsidR="0090057F">
        <w:tab/>
        <w:t xml:space="preserve">Algorithm describing the proposed treatment </w:t>
      </w:r>
      <w:r w:rsidR="0022008E">
        <w:t xml:space="preserve">pathway for </w:t>
      </w:r>
      <w:r w:rsidR="00521F16">
        <w:t xml:space="preserve">patients who have failed </w:t>
      </w:r>
      <w:r w:rsidR="00556285">
        <w:t>prior</w:t>
      </w:r>
      <w:r w:rsidR="00521F16">
        <w:t xml:space="preserve"> therapies</w:t>
      </w:r>
    </w:p>
    <w:p w14:paraId="733E6B98" w14:textId="50EECDD5" w:rsidR="0090057F" w:rsidRPr="00B9450E" w:rsidRDefault="00B9450E" w:rsidP="0090057F">
      <w:pPr>
        <w:rPr>
          <w:rFonts w:ascii="Arial Narrow" w:hAnsi="Arial Narrow"/>
          <w:sz w:val="18"/>
          <w:szCs w:val="18"/>
          <w:lang w:val="en-GB" w:eastAsia="ja-JP"/>
        </w:rPr>
      </w:pPr>
      <w:r>
        <w:rPr>
          <w:rFonts w:ascii="Arial Narrow" w:hAnsi="Arial Narrow"/>
          <w:sz w:val="18"/>
          <w:szCs w:val="18"/>
          <w:lang w:val="en-GB" w:eastAsia="ja-JP"/>
        </w:rPr>
        <w:t>IHC = immunohistochemistry; PD-L1 = programmed cell death ligand 1</w:t>
      </w:r>
    </w:p>
    <w:p w14:paraId="7F260883" w14:textId="21645AB5" w:rsidR="002728F4" w:rsidRPr="00AA3459" w:rsidRDefault="002728F4" w:rsidP="00AA3459">
      <w:pPr>
        <w:spacing w:before="20" w:after="20" w:line="240" w:lineRule="auto"/>
        <w:rPr>
          <w:rFonts w:cs="Arial"/>
        </w:rPr>
      </w:pPr>
    </w:p>
    <w:p w14:paraId="0DA97CE3" w14:textId="77777777" w:rsidR="00556285" w:rsidRPr="00B47988" w:rsidRDefault="00556285" w:rsidP="00556285">
      <w:pPr>
        <w:pStyle w:val="Heading2"/>
      </w:pPr>
      <w:r w:rsidRPr="00C208F1">
        <w:t xml:space="preserve">Proposed clinical management </w:t>
      </w:r>
      <w:r w:rsidRPr="00B47988">
        <w:t>pathway for patients unsuitable for standard first-line therapies</w:t>
      </w:r>
    </w:p>
    <w:p w14:paraId="3A28D45A" w14:textId="229782A3" w:rsidR="00556285" w:rsidRDefault="00556285" w:rsidP="00556285">
      <w:pPr>
        <w:spacing w:before="20"/>
        <w:rPr>
          <w:rFonts w:cs="Arial"/>
        </w:rPr>
      </w:pPr>
      <w:r w:rsidRPr="002728F4">
        <w:rPr>
          <w:rFonts w:cs="Arial"/>
        </w:rPr>
        <w:t>In the proposed clinical pathway</w:t>
      </w:r>
      <w:r>
        <w:rPr>
          <w:rFonts w:cs="Arial"/>
        </w:rPr>
        <w:t xml:space="preserve"> (</w:t>
      </w:r>
      <w:r w:rsidR="00D55BE4">
        <w:rPr>
          <w:rFonts w:cs="Arial"/>
        </w:rPr>
        <w:fldChar w:fldCharType="begin"/>
      </w:r>
      <w:r w:rsidR="00D55BE4">
        <w:rPr>
          <w:rFonts w:cs="Arial"/>
        </w:rPr>
        <w:instrText xml:space="preserve"> REF _Ref465944665 \h </w:instrText>
      </w:r>
      <w:r w:rsidR="00D55BE4">
        <w:rPr>
          <w:rFonts w:cs="Arial"/>
        </w:rPr>
      </w:r>
      <w:r w:rsidR="00D55BE4">
        <w:rPr>
          <w:rFonts w:cs="Arial"/>
        </w:rPr>
        <w:fldChar w:fldCharType="separate"/>
      </w:r>
      <w:r w:rsidR="00C47DAF">
        <w:t xml:space="preserve">Figure </w:t>
      </w:r>
      <w:r w:rsidR="00C47DAF">
        <w:rPr>
          <w:noProof/>
        </w:rPr>
        <w:t>3</w:t>
      </w:r>
      <w:r w:rsidR="00D55BE4">
        <w:rPr>
          <w:rFonts w:cs="Arial"/>
        </w:rPr>
        <w:fldChar w:fldCharType="end"/>
      </w:r>
      <w:r>
        <w:rPr>
          <w:rFonts w:cs="Arial"/>
        </w:rPr>
        <w:t>)</w:t>
      </w:r>
      <w:r w:rsidRPr="002728F4">
        <w:rPr>
          <w:rFonts w:cs="Arial"/>
        </w:rPr>
        <w:t xml:space="preserve">, patients suspected </w:t>
      </w:r>
      <w:r w:rsidR="009E58D2">
        <w:rPr>
          <w:rFonts w:cs="Arial"/>
        </w:rPr>
        <w:t>of having</w:t>
      </w:r>
      <w:r w:rsidR="009E58D2" w:rsidRPr="002728F4">
        <w:rPr>
          <w:rFonts w:cs="Arial"/>
        </w:rPr>
        <w:t xml:space="preserve"> </w:t>
      </w:r>
      <w:r w:rsidRPr="002728F4">
        <w:rPr>
          <w:rFonts w:cs="Arial"/>
        </w:rPr>
        <w:t xml:space="preserve">mesothelioma </w:t>
      </w:r>
      <w:r>
        <w:rPr>
          <w:rFonts w:cs="Arial"/>
        </w:rPr>
        <w:t xml:space="preserve">(and treatment naïve) </w:t>
      </w:r>
      <w:r w:rsidRPr="002728F4">
        <w:rPr>
          <w:rFonts w:cs="Arial"/>
        </w:rPr>
        <w:t xml:space="preserve">would undergo biopsy as in the current pathway. </w:t>
      </w:r>
      <w:r>
        <w:rPr>
          <w:rFonts w:cs="Arial"/>
        </w:rPr>
        <w:t>The</w:t>
      </w:r>
      <w:r w:rsidRPr="002728F4">
        <w:rPr>
          <w:rFonts w:cs="Arial"/>
        </w:rPr>
        <w:t xml:space="preserve"> usual histology, cytology and IHC testing conducted on the biopsy sample</w:t>
      </w:r>
      <w:r>
        <w:rPr>
          <w:rFonts w:cs="Arial"/>
        </w:rPr>
        <w:t xml:space="preserve">, and all patients will be assessed for their suitability for tumour resection. Patients considered unresectable, and who are able to tolerate standard first-line </w:t>
      </w:r>
      <w:r>
        <w:rPr>
          <w:rFonts w:cs="Arial"/>
        </w:rPr>
        <w:lastRenderedPageBreak/>
        <w:t>therapies will continue in the current pathway, and be offered cisplatin (or carboplatin) and pemetrexed. Patients who are unresectable and also unsuitable for standard first-line therapies would be eligible for</w:t>
      </w:r>
      <w:r w:rsidRPr="002728F4">
        <w:rPr>
          <w:rFonts w:cs="Arial"/>
        </w:rPr>
        <w:t xml:space="preserve"> PD-L1 </w:t>
      </w:r>
      <w:r>
        <w:rPr>
          <w:rFonts w:cs="Arial"/>
        </w:rPr>
        <w:t xml:space="preserve">IHC </w:t>
      </w:r>
      <w:r w:rsidRPr="002728F4">
        <w:rPr>
          <w:rFonts w:cs="Arial"/>
        </w:rPr>
        <w:t>testing</w:t>
      </w:r>
      <w:r>
        <w:rPr>
          <w:rFonts w:cs="Arial"/>
        </w:rPr>
        <w:t>.</w:t>
      </w:r>
      <w:r w:rsidRPr="002728F4">
        <w:rPr>
          <w:rFonts w:cs="Arial"/>
        </w:rPr>
        <w:t xml:space="preserve"> </w:t>
      </w:r>
      <w:r>
        <w:rPr>
          <w:rFonts w:cs="Arial"/>
        </w:rPr>
        <w:t xml:space="preserve">If a patient tests positive for the PD-L1 ligand (≥1% TPS) they would be eligible for pembrolizumab treatment. For patients testing negative for PD-L1, there are no other standard therapies available. They may be offered no treatment and best supportive care or second-line therapy options.  </w:t>
      </w:r>
    </w:p>
    <w:p w14:paraId="2DDCF513" w14:textId="6A11C746" w:rsidR="00556285" w:rsidRDefault="00556285" w:rsidP="00556285">
      <w:pPr>
        <w:spacing w:before="20"/>
        <w:rPr>
          <w:rFonts w:cs="Arial"/>
        </w:rPr>
      </w:pPr>
      <w:r>
        <w:rPr>
          <w:rFonts w:cs="Arial"/>
          <w:noProof/>
          <w:lang w:eastAsia="en-AU"/>
        </w:rPr>
        <w:drawing>
          <wp:inline distT="0" distB="0" distL="0" distR="0" wp14:anchorId="0CE44B74" wp14:editId="0A630FDF">
            <wp:extent cx="5365115" cy="4645660"/>
            <wp:effectExtent l="0" t="0" r="6985" b="2540"/>
            <wp:docPr id="11" name="Picture 11" descr="Figure 3 Algorithm describing the proposed treatment pathway for patients unsuitable for first-line standard therapy. Clinical Algorithm describing the proposed clinical pathway for patients unsuitable for first-line standard therapy.  Please refer to above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115" cy="4645660"/>
                    </a:xfrm>
                    <a:prstGeom prst="rect">
                      <a:avLst/>
                    </a:prstGeom>
                    <a:noFill/>
                  </pic:spPr>
                </pic:pic>
              </a:graphicData>
            </a:graphic>
          </wp:inline>
        </w:drawing>
      </w:r>
    </w:p>
    <w:p w14:paraId="3BCF7C8F" w14:textId="4CBD1462" w:rsidR="00556285" w:rsidRDefault="00556285" w:rsidP="00556285">
      <w:pPr>
        <w:pStyle w:val="Caption"/>
      </w:pPr>
      <w:bookmarkStart w:id="8" w:name="_Ref465944665"/>
      <w:r>
        <w:t xml:space="preserve">Figure </w:t>
      </w:r>
      <w:r>
        <w:fldChar w:fldCharType="begin"/>
      </w:r>
      <w:r>
        <w:instrText xml:space="preserve"> SEQ Figure \* ARABIC </w:instrText>
      </w:r>
      <w:r>
        <w:fldChar w:fldCharType="separate"/>
      </w:r>
      <w:r w:rsidR="00C47DAF">
        <w:rPr>
          <w:noProof/>
        </w:rPr>
        <w:t>3</w:t>
      </w:r>
      <w:r>
        <w:fldChar w:fldCharType="end"/>
      </w:r>
      <w:bookmarkEnd w:id="8"/>
      <w:r>
        <w:tab/>
        <w:t>Algorithm describing the proposed treatment pathway for patients unsuitable for first-line standard therapy</w:t>
      </w:r>
    </w:p>
    <w:p w14:paraId="20678B39" w14:textId="77777777" w:rsidR="00D55BE4" w:rsidRPr="00B9450E" w:rsidRDefault="00D55BE4" w:rsidP="00D55BE4">
      <w:pPr>
        <w:rPr>
          <w:rFonts w:ascii="Arial Narrow" w:hAnsi="Arial Narrow"/>
          <w:sz w:val="18"/>
          <w:szCs w:val="18"/>
          <w:lang w:val="en-GB" w:eastAsia="ja-JP"/>
        </w:rPr>
      </w:pPr>
      <w:r>
        <w:rPr>
          <w:rFonts w:ascii="Arial Narrow" w:hAnsi="Arial Narrow"/>
          <w:sz w:val="18"/>
          <w:szCs w:val="18"/>
          <w:lang w:val="en-GB" w:eastAsia="ja-JP"/>
        </w:rPr>
        <w:t>IHC = immunohistochemistry; PD-L1 = programmed cell death ligand 1</w:t>
      </w:r>
    </w:p>
    <w:p w14:paraId="10B29CE4" w14:textId="3B3478E2" w:rsidR="00556285" w:rsidRPr="002728F4" w:rsidRDefault="00556285" w:rsidP="00556285">
      <w:pPr>
        <w:pStyle w:val="Caption"/>
        <w:rPr>
          <w:rFonts w:cs="Arial"/>
        </w:rPr>
      </w:pPr>
    </w:p>
    <w:p w14:paraId="1458AAD3" w14:textId="1DAC5CD3" w:rsidR="008013B5" w:rsidRDefault="008013B5" w:rsidP="008013B5">
      <w:pPr>
        <w:rPr>
          <w:lang w:val="en-GB" w:eastAsia="ja-JP"/>
        </w:rPr>
      </w:pPr>
    </w:p>
    <w:p w14:paraId="5390AF1E" w14:textId="77777777" w:rsidR="0022008E" w:rsidRDefault="0022008E">
      <w:pPr>
        <w:rPr>
          <w:rFonts w:eastAsia="MS Gothic"/>
          <w:b/>
          <w:bCs/>
          <w:i/>
          <w:color w:val="548DD4"/>
          <w:szCs w:val="26"/>
          <w:u w:val="single"/>
        </w:rPr>
      </w:pPr>
      <w:r>
        <w:rPr>
          <w:color w:val="548DD4"/>
        </w:rPr>
        <w:br w:type="page"/>
      </w:r>
    </w:p>
    <w:p w14:paraId="289E158E" w14:textId="5BF7FC23" w:rsidR="00E968F6" w:rsidRPr="00086219" w:rsidRDefault="003E0382" w:rsidP="00086219">
      <w:pPr>
        <w:pStyle w:val="Heading2"/>
      </w:pPr>
      <w:r w:rsidRPr="00086219">
        <w:lastRenderedPageBreak/>
        <w:t xml:space="preserve">Proposed </w:t>
      </w:r>
      <w:r w:rsidR="002B226C" w:rsidRPr="00086219">
        <w:t xml:space="preserve">economic </w:t>
      </w:r>
      <w:r w:rsidR="009E5295" w:rsidRPr="00086219">
        <w:t>evaluation</w:t>
      </w:r>
    </w:p>
    <w:p w14:paraId="47A793B5" w14:textId="1CE7345F" w:rsidR="00807728" w:rsidRDefault="00F40FB3" w:rsidP="00F40FB3">
      <w:r w:rsidRPr="00F40FB3">
        <w:t xml:space="preserve">The Applicant </w:t>
      </w:r>
      <w:r>
        <w:t xml:space="preserve">claims </w:t>
      </w:r>
      <w:r w:rsidR="00D128F5">
        <w:t>superiority for the proposed co</w:t>
      </w:r>
      <w:r w:rsidR="003C68C8">
        <w:t>-</w:t>
      </w:r>
      <w:r w:rsidR="00D128F5">
        <w:t>dependent service. This claim is based on</w:t>
      </w:r>
    </w:p>
    <w:p w14:paraId="02DA5C1A" w14:textId="77777777" w:rsidR="00D128F5" w:rsidRDefault="00D128F5" w:rsidP="00D128F5">
      <w:pPr>
        <w:pStyle w:val="ListParagraph"/>
        <w:numPr>
          <w:ilvl w:val="0"/>
          <w:numId w:val="19"/>
        </w:numPr>
      </w:pPr>
      <w:r>
        <w:t>Acceptable safety and analytical performance of the PD-L1 test (to be assessed by MSAC) and</w:t>
      </w:r>
    </w:p>
    <w:p w14:paraId="0E0C00A7" w14:textId="77777777" w:rsidR="00D128F5" w:rsidRDefault="00D128F5" w:rsidP="00D128F5">
      <w:pPr>
        <w:pStyle w:val="ListParagraph"/>
        <w:numPr>
          <w:ilvl w:val="0"/>
          <w:numId w:val="19"/>
        </w:numPr>
      </w:pPr>
      <w:r>
        <w:t>Superior effectiveness with acceptable safety of treating PD-L1 positive patients with pembrolizumab relative to standard of care without testing (to be assessed by PBAC).</w:t>
      </w:r>
    </w:p>
    <w:p w14:paraId="7D81CAC7" w14:textId="77777777" w:rsidR="00D128F5" w:rsidRPr="00F40FB3" w:rsidRDefault="00D128F5" w:rsidP="00D128F5">
      <w:pPr>
        <w:ind w:left="360"/>
      </w:pPr>
      <w:r>
        <w:t xml:space="preserve">The appropriate economic evaluation for a claim of superiority would be a cost-utility analysis. </w:t>
      </w:r>
    </w:p>
    <w:p w14:paraId="774D2967" w14:textId="77777777" w:rsidR="00F40FB3" w:rsidRPr="00F40FB3" w:rsidRDefault="00D128F5" w:rsidP="00F40FB3">
      <w:r>
        <w:rPr>
          <w:i/>
        </w:rPr>
        <w:t>Comparative evidence of PD-L1 testing or pembrolizumab treatment is not included in the preliminary supporting evidence identified in Part 4 of the Application Form. Additional evidence will need to be presented in order to substantiate these claims.</w:t>
      </w:r>
    </w:p>
    <w:p w14:paraId="663A5106" w14:textId="77777777" w:rsidR="00752491" w:rsidRPr="00086219" w:rsidRDefault="00752491" w:rsidP="00086219">
      <w:pPr>
        <w:pStyle w:val="Heading2"/>
      </w:pPr>
      <w:r w:rsidRPr="00086219">
        <w:t>Proposed item descriptor</w:t>
      </w:r>
    </w:p>
    <w:p w14:paraId="66432FB7" w14:textId="77777777" w:rsidR="000E56DC" w:rsidRDefault="000E56DC" w:rsidP="000E56DC">
      <w:pPr>
        <w:spacing w:before="20" w:after="20" w:line="240" w:lineRule="auto"/>
        <w:rPr>
          <w:rFonts w:cs="Arial"/>
        </w:rPr>
      </w:pPr>
      <w:r w:rsidRPr="000E56DC">
        <w:rPr>
          <w:rFonts w:cs="Arial"/>
        </w:rPr>
        <w:t>The Applicant has proposed the following item descriptor (</w:t>
      </w:r>
      <w:r>
        <w:rPr>
          <w:rFonts w:cs="Arial"/>
        </w:rPr>
        <w:fldChar w:fldCharType="begin"/>
      </w:r>
      <w:r>
        <w:rPr>
          <w:rFonts w:cs="Arial"/>
        </w:rPr>
        <w:instrText xml:space="preserve"> REF _Ref459717768 \h </w:instrText>
      </w:r>
      <w:r>
        <w:rPr>
          <w:rFonts w:cs="Arial"/>
        </w:rPr>
      </w:r>
      <w:r>
        <w:rPr>
          <w:rFonts w:cs="Arial"/>
        </w:rPr>
        <w:fldChar w:fldCharType="separate"/>
      </w:r>
      <w:r w:rsidR="00C47DAF">
        <w:t xml:space="preserve">Table </w:t>
      </w:r>
      <w:r w:rsidR="00C47DAF">
        <w:rPr>
          <w:noProof/>
        </w:rPr>
        <w:t>5</w:t>
      </w:r>
      <w:r>
        <w:rPr>
          <w:rFonts w:cs="Arial"/>
        </w:rPr>
        <w:fldChar w:fldCharType="end"/>
      </w:r>
      <w:r>
        <w:rPr>
          <w:rFonts w:cs="Arial"/>
        </w:rPr>
        <w:t>).</w:t>
      </w:r>
    </w:p>
    <w:p w14:paraId="3A8A65D5" w14:textId="77777777" w:rsidR="000E56DC" w:rsidRDefault="000E56DC" w:rsidP="000E56DC">
      <w:pPr>
        <w:spacing w:before="20" w:after="20" w:line="240" w:lineRule="auto"/>
        <w:rPr>
          <w:rFonts w:cs="Arial"/>
        </w:rPr>
      </w:pPr>
    </w:p>
    <w:p w14:paraId="6A717ADC" w14:textId="77777777" w:rsidR="000E56DC" w:rsidRPr="000E56DC" w:rsidRDefault="000E56DC" w:rsidP="000E56DC">
      <w:pPr>
        <w:pStyle w:val="Caption"/>
        <w:rPr>
          <w:rFonts w:cs="Arial"/>
        </w:rPr>
      </w:pPr>
      <w:bookmarkStart w:id="9" w:name="_Ref459717768"/>
      <w:r>
        <w:t xml:space="preserve">Table </w:t>
      </w:r>
      <w:r>
        <w:fldChar w:fldCharType="begin"/>
      </w:r>
      <w:r>
        <w:instrText xml:space="preserve"> SEQ Table \* ARABIC </w:instrText>
      </w:r>
      <w:r>
        <w:fldChar w:fldCharType="separate"/>
      </w:r>
      <w:r w:rsidR="00C47DAF">
        <w:rPr>
          <w:noProof/>
        </w:rPr>
        <w:t>5</w:t>
      </w:r>
      <w:r>
        <w:fldChar w:fldCharType="end"/>
      </w:r>
      <w:bookmarkEnd w:id="9"/>
      <w:r>
        <w:tab/>
        <w:t>Item descriptor for the proposed new MBS service</w:t>
      </w:r>
    </w:p>
    <w:tbl>
      <w:tblPr>
        <w:tblStyle w:val="TableGrid"/>
        <w:tblW w:w="0" w:type="auto"/>
        <w:tblLook w:val="04A0" w:firstRow="1" w:lastRow="0" w:firstColumn="1" w:lastColumn="0" w:noHBand="0" w:noVBand="1"/>
        <w:tblDescription w:val="Table 5 Item descriptor for the proposed new MBS service"/>
      </w:tblPr>
      <w:tblGrid>
        <w:gridCol w:w="9242"/>
      </w:tblGrid>
      <w:tr w:rsidR="008C3E5E" w:rsidRPr="00DE3D6C" w14:paraId="2E075C11" w14:textId="77777777" w:rsidTr="00DB6FC2">
        <w:trPr>
          <w:tblHeader/>
        </w:trPr>
        <w:tc>
          <w:tcPr>
            <w:tcW w:w="9242" w:type="dxa"/>
          </w:tcPr>
          <w:p w14:paraId="1E834C00" w14:textId="07A4373C" w:rsidR="008C3E5E" w:rsidRPr="00DE3D6C" w:rsidRDefault="008C3E5E" w:rsidP="007279AC">
            <w:pPr>
              <w:jc w:val="right"/>
            </w:pPr>
            <w:r w:rsidRPr="00DE3D6C">
              <w:t xml:space="preserve">Category </w:t>
            </w:r>
            <w:r w:rsidR="00500824">
              <w:t>6 – PATHOLOGY SERVICES</w:t>
            </w:r>
            <w:r w:rsidRPr="00DE3D6C">
              <w:t xml:space="preserve"> </w:t>
            </w:r>
          </w:p>
        </w:tc>
      </w:tr>
      <w:tr w:rsidR="008C3E5E" w:rsidRPr="00DE3D6C" w14:paraId="54AFBF33" w14:textId="77777777" w:rsidTr="008C3E5E">
        <w:tc>
          <w:tcPr>
            <w:tcW w:w="9242" w:type="dxa"/>
          </w:tcPr>
          <w:p w14:paraId="6B63B743" w14:textId="3DCD4A32" w:rsidR="000E56DC" w:rsidRDefault="000E56DC" w:rsidP="000E56DC">
            <w:pPr>
              <w:tabs>
                <w:tab w:val="right" w:pos="8800"/>
              </w:tabs>
              <w:rPr>
                <w:rFonts w:asciiTheme="minorHAnsi" w:eastAsiaTheme="minorHAnsi" w:hAnsiTheme="minorHAnsi" w:cstheme="minorBidi"/>
                <w:sz w:val="20"/>
                <w:szCs w:val="20"/>
              </w:rPr>
            </w:pPr>
            <w:r>
              <w:rPr>
                <w:rFonts w:asciiTheme="minorHAnsi" w:eastAsiaTheme="minorHAnsi" w:hAnsiTheme="minorHAnsi" w:cstheme="minorBidi"/>
                <w:sz w:val="20"/>
                <w:szCs w:val="20"/>
              </w:rPr>
              <w:t>Item XXXXX</w:t>
            </w:r>
            <w:r>
              <w:rPr>
                <w:rFonts w:asciiTheme="minorHAnsi" w:eastAsiaTheme="minorHAnsi" w:hAnsiTheme="minorHAnsi" w:cstheme="minorBidi"/>
                <w:sz w:val="20"/>
                <w:szCs w:val="20"/>
              </w:rPr>
              <w:tab/>
            </w:r>
          </w:p>
          <w:p w14:paraId="6B7A834B" w14:textId="77777777" w:rsidR="000E56DC" w:rsidRDefault="000E56DC" w:rsidP="000E56DC">
            <w:pPr>
              <w:rPr>
                <w:rFonts w:asciiTheme="minorHAnsi" w:eastAsiaTheme="minorHAnsi" w:hAnsiTheme="minorHAnsi" w:cstheme="minorBidi"/>
                <w:sz w:val="20"/>
                <w:szCs w:val="20"/>
              </w:rPr>
            </w:pPr>
          </w:p>
          <w:p w14:paraId="0EE7213A" w14:textId="77777777" w:rsidR="007279AC" w:rsidRPr="007279AC" w:rsidRDefault="007279AC" w:rsidP="007279AC">
            <w:pPr>
              <w:rPr>
                <w:rFonts w:asciiTheme="minorHAnsi" w:eastAsiaTheme="minorHAnsi" w:hAnsiTheme="minorHAnsi" w:cstheme="minorBidi"/>
                <w:sz w:val="20"/>
                <w:szCs w:val="20"/>
              </w:rPr>
            </w:pPr>
            <w:r w:rsidRPr="007279AC">
              <w:rPr>
                <w:rFonts w:asciiTheme="minorHAnsi" w:eastAsiaTheme="minorHAnsi" w:hAnsiTheme="minorHAnsi" w:cstheme="minorBidi"/>
                <w:sz w:val="20"/>
                <w:szCs w:val="20"/>
              </w:rPr>
              <w:t>Immunohistochemical examination of biopsy material by immunoperoxidase or other labelled antibody</w:t>
            </w:r>
          </w:p>
          <w:p w14:paraId="53F2751A" w14:textId="77777777" w:rsidR="007279AC" w:rsidRPr="007279AC" w:rsidRDefault="007279AC" w:rsidP="007279AC">
            <w:pPr>
              <w:rPr>
                <w:rFonts w:asciiTheme="minorHAnsi" w:eastAsiaTheme="minorHAnsi" w:hAnsiTheme="minorHAnsi" w:cstheme="minorBidi"/>
                <w:sz w:val="20"/>
                <w:szCs w:val="20"/>
              </w:rPr>
            </w:pPr>
            <w:r w:rsidRPr="007279AC">
              <w:rPr>
                <w:rFonts w:asciiTheme="minorHAnsi" w:eastAsiaTheme="minorHAnsi" w:hAnsiTheme="minorHAnsi" w:cstheme="minorBidi"/>
                <w:sz w:val="20"/>
                <w:szCs w:val="20"/>
              </w:rPr>
              <w:t>techniques using the PD-L1 antibody to determine if the requirements relating to programmed cell death</w:t>
            </w:r>
          </w:p>
          <w:p w14:paraId="1B167D3D" w14:textId="178347C8" w:rsidR="008C3E5E" w:rsidRDefault="007279AC" w:rsidP="007279AC">
            <w:pPr>
              <w:rPr>
                <w:rFonts w:asciiTheme="minorHAnsi" w:eastAsiaTheme="minorHAnsi" w:hAnsiTheme="minorHAnsi" w:cstheme="minorBidi"/>
                <w:sz w:val="20"/>
                <w:szCs w:val="20"/>
              </w:rPr>
            </w:pPr>
            <w:r w:rsidRPr="007279AC">
              <w:rPr>
                <w:rFonts w:asciiTheme="minorHAnsi" w:eastAsiaTheme="minorHAnsi" w:hAnsiTheme="minorHAnsi" w:cstheme="minorBidi"/>
                <w:sz w:val="20"/>
                <w:szCs w:val="20"/>
              </w:rPr>
              <w:t>ligand 1 (PD-L1) status for access pembrolizumab under the Pharmaceutical Benefits Scheme (PBS) are fulfilled.</w:t>
            </w:r>
          </w:p>
          <w:p w14:paraId="29504842" w14:textId="77777777" w:rsidR="007279AC" w:rsidRDefault="007279AC" w:rsidP="007279AC">
            <w:pPr>
              <w:rPr>
                <w:rFonts w:asciiTheme="minorHAnsi" w:eastAsiaTheme="minorHAnsi" w:hAnsiTheme="minorHAnsi" w:cstheme="minorBidi"/>
                <w:sz w:val="20"/>
                <w:szCs w:val="20"/>
              </w:rPr>
            </w:pPr>
          </w:p>
          <w:p w14:paraId="07F0D94E" w14:textId="77777777" w:rsidR="007279AC" w:rsidRDefault="007279AC" w:rsidP="007279AC"/>
          <w:p w14:paraId="48CF52FE" w14:textId="77777777" w:rsidR="000E56DC" w:rsidRPr="00DE3D6C" w:rsidRDefault="000E56DC" w:rsidP="00E364F7">
            <w:r w:rsidRPr="00031F6F">
              <w:rPr>
                <w:rFonts w:asciiTheme="minorHAnsi" w:hAnsiTheme="minorHAnsi"/>
                <w:sz w:val="20"/>
                <w:szCs w:val="20"/>
              </w:rPr>
              <w:t>Fee:  $(proposed fee)</w:t>
            </w:r>
            <w:r>
              <w:rPr>
                <w:rFonts w:asciiTheme="minorHAnsi" w:hAnsiTheme="minorHAnsi"/>
                <w:sz w:val="20"/>
                <w:szCs w:val="20"/>
              </w:rPr>
              <w:t xml:space="preserve"> To be determined</w:t>
            </w:r>
          </w:p>
        </w:tc>
      </w:tr>
    </w:tbl>
    <w:p w14:paraId="7546FB10" w14:textId="77777777" w:rsidR="008C3E5E" w:rsidRPr="00DE3D6C" w:rsidRDefault="008C3E5E" w:rsidP="00E364F7"/>
    <w:p w14:paraId="715BC2B9" w14:textId="65FD392B" w:rsidR="003C68C8" w:rsidRDefault="003C68C8" w:rsidP="003C68C8">
      <w:pPr>
        <w:rPr>
          <w:i/>
        </w:rPr>
      </w:pPr>
      <w:r>
        <w:rPr>
          <w:i/>
        </w:rPr>
        <w:t>PASC may wish to consider whether the proposed item descriptor should specify the proposed population eligible for PD-L1 testing (i.e. patients with locally advanced or metastatic mesothelioma who are ineligible for or have failed standard therapy) in order to prevent utilisation in other indications.</w:t>
      </w:r>
    </w:p>
    <w:p w14:paraId="3F1A9876" w14:textId="77777777" w:rsidR="00DE7839" w:rsidRDefault="00DE7839" w:rsidP="00E364F7"/>
    <w:p w14:paraId="446FDE40" w14:textId="77777777" w:rsidR="00556285" w:rsidRDefault="00556285">
      <w:pPr>
        <w:rPr>
          <w:b/>
          <w:highlight w:val="cyan"/>
          <w:u w:val="single"/>
        </w:rPr>
      </w:pPr>
      <w:r>
        <w:rPr>
          <w:b/>
          <w:highlight w:val="cyan"/>
          <w:u w:val="single"/>
        </w:rPr>
        <w:br w:type="page"/>
      </w:r>
    </w:p>
    <w:p w14:paraId="7EC00A47" w14:textId="58CDB586" w:rsidR="00C208F1" w:rsidRDefault="00000BFC" w:rsidP="00F417E4">
      <w:pPr>
        <w:pStyle w:val="Heading1"/>
      </w:pPr>
      <w:bookmarkStart w:id="10" w:name="_GoBack"/>
      <w:bookmarkEnd w:id="10"/>
      <w:r w:rsidRPr="00000BFC">
        <w:lastRenderedPageBreak/>
        <w:t>References</w:t>
      </w:r>
    </w:p>
    <w:p w14:paraId="3757E5C8" w14:textId="675392E6" w:rsidR="00753DA7" w:rsidRPr="00753DA7" w:rsidRDefault="001101A7" w:rsidP="00F417E4">
      <w:pPr>
        <w:pStyle w:val="EndNoteBibliography"/>
      </w:pPr>
      <w:r>
        <w:fldChar w:fldCharType="begin"/>
      </w:r>
      <w:r>
        <w:instrText xml:space="preserve"> ADDIN EN.REFLIST </w:instrText>
      </w:r>
      <w:r>
        <w:fldChar w:fldCharType="separate"/>
      </w:r>
      <w:bookmarkStart w:id="11" w:name="_ENREF_1"/>
      <w:r w:rsidR="00753DA7" w:rsidRPr="00753DA7">
        <w:t xml:space="preserve">AIHW 2015, </w:t>
      </w:r>
      <w:r w:rsidR="00753DA7" w:rsidRPr="00753DA7">
        <w:rPr>
          <w:i/>
        </w:rPr>
        <w:t>Mesothelioma io Australia: Incidence (1982 to 2013) and Mortality (1997 to 2012)</w:t>
      </w:r>
      <w:r w:rsidR="00753DA7" w:rsidRPr="00753DA7">
        <w:t>, Australian Institute of Health and Welfare, Safe Work Australia.</w:t>
      </w:r>
      <w:bookmarkEnd w:id="11"/>
    </w:p>
    <w:p w14:paraId="7DC729C7" w14:textId="15AEA098" w:rsidR="00753DA7" w:rsidRPr="00753DA7" w:rsidRDefault="00753DA7" w:rsidP="00F417E4">
      <w:pPr>
        <w:pStyle w:val="EndNoteBibliography"/>
      </w:pPr>
      <w:bookmarkStart w:id="12" w:name="_ENREF_2"/>
      <w:r w:rsidRPr="00753DA7">
        <w:t xml:space="preserve">Alley, EW, Molife, LR, Santoro, A, Beckey, K, Yuan, S, Cheng, JD, Piperdi, B &amp; Schellens, JHM 2015, 'Abstract CT103: Clinical safety and efficacy of pembrolizumab (MK-3475) in patients with malignant pleural mesothelioma: Preliminary results from KEYNOTE-028', </w:t>
      </w:r>
      <w:r w:rsidRPr="00753DA7">
        <w:rPr>
          <w:i/>
        </w:rPr>
        <w:t>Cancer Research</w:t>
      </w:r>
      <w:r w:rsidRPr="00753DA7">
        <w:t>, vol. 75, no. 15 Supplement, pp. CT103-CT103.</w:t>
      </w:r>
      <w:bookmarkEnd w:id="12"/>
    </w:p>
    <w:p w14:paraId="7B11F482" w14:textId="23F8AA6B" w:rsidR="00753DA7" w:rsidRPr="00753DA7" w:rsidRDefault="00753DA7" w:rsidP="00F417E4">
      <w:pPr>
        <w:pStyle w:val="EndNoteBibliography"/>
      </w:pPr>
      <w:bookmarkStart w:id="13" w:name="_ENREF_3"/>
      <w:r w:rsidRPr="00753DA7">
        <w:t xml:space="preserve">AMR 2015, </w:t>
      </w:r>
      <w:r w:rsidRPr="00753DA7">
        <w:rPr>
          <w:i/>
        </w:rPr>
        <w:t>Mesothelioma in Australia 2014, 4th annual report</w:t>
      </w:r>
      <w:r w:rsidRPr="00753DA7">
        <w:t>.</w:t>
      </w:r>
      <w:bookmarkEnd w:id="13"/>
    </w:p>
    <w:p w14:paraId="259F1741" w14:textId="55AB340D" w:rsidR="00753DA7" w:rsidRPr="00753DA7" w:rsidRDefault="00753DA7" w:rsidP="00F417E4">
      <w:pPr>
        <w:pStyle w:val="EndNoteBibliography"/>
      </w:pPr>
      <w:bookmarkStart w:id="14" w:name="_ENREF_4"/>
      <w:r w:rsidRPr="00753DA7">
        <w:t xml:space="preserve">Baas, P, Fennell, D, Kerr, KM, Van Schil, PE, Haas, RL, Peters, S &amp; Committee, EG 2015, 'Malignant pleural mesothelioma: ESMO Clinical Practice Guidelines for diagnosis, treatment and follow-up', </w:t>
      </w:r>
      <w:r w:rsidRPr="00753DA7">
        <w:rPr>
          <w:i/>
        </w:rPr>
        <w:t>Ann Oncol</w:t>
      </w:r>
      <w:r w:rsidRPr="00753DA7">
        <w:t>, vol. 26 Suppl 5, Sep, pp. v31-39.</w:t>
      </w:r>
      <w:bookmarkEnd w:id="14"/>
    </w:p>
    <w:p w14:paraId="15FAA8F0" w14:textId="4E4F5CE2" w:rsidR="00753DA7" w:rsidRPr="00753DA7" w:rsidRDefault="00753DA7" w:rsidP="00F417E4">
      <w:pPr>
        <w:pStyle w:val="EndNoteBibliography"/>
      </w:pPr>
      <w:bookmarkStart w:id="15" w:name="_ENREF_5"/>
      <w:r w:rsidRPr="00753DA7">
        <w:t xml:space="preserve">Cedres, S, Ponce-Aix, S, Zugazagoitia, J, Sansano, I, Enguita, A, Navarro-Mendivil, A, Martinez-Marti, A, Martinez, P &amp; Felip, E 2015, 'Analysis of expression of programmed cell death 1 ligand 1 (PD-L1) in malignant pleural mesothelioma (MPM)', </w:t>
      </w:r>
      <w:r w:rsidRPr="00753DA7">
        <w:rPr>
          <w:i/>
        </w:rPr>
        <w:t>PLoS One</w:t>
      </w:r>
      <w:r w:rsidRPr="00753DA7">
        <w:t>, vol. 10, no. 3, p. e0121071.</w:t>
      </w:r>
      <w:bookmarkEnd w:id="15"/>
    </w:p>
    <w:p w14:paraId="238D254A" w14:textId="3887D6FC" w:rsidR="00753DA7" w:rsidRPr="00753DA7" w:rsidRDefault="00753DA7" w:rsidP="00F417E4">
      <w:pPr>
        <w:pStyle w:val="EndNoteBibliography"/>
      </w:pPr>
      <w:bookmarkStart w:id="16" w:name="_ENREF_6"/>
      <w:r w:rsidRPr="00753DA7">
        <w:t xml:space="preserve">Khanna, S, Thomas, A, Abate-Daga, D, Zhang, J, Morrow, B, Steinberg, SM, Orlandi, A, Ferroni, P, Schlom, J, Guadagni, F &amp; Hassan, R 2016, 'Malignant mesothelioma effusions are infiltrated by CD3+ T cells highly expressing PD-L1 and the PD-L1+ tumor cells within these effusions are susceptible to ADCC by the anti-PD-L1 antibody avelumab', </w:t>
      </w:r>
      <w:r w:rsidRPr="00753DA7">
        <w:rPr>
          <w:i/>
        </w:rPr>
        <w:t>J Thorac Oncol</w:t>
      </w:r>
      <w:r w:rsidRPr="00753DA7">
        <w:t>, Aug 17.</w:t>
      </w:r>
      <w:bookmarkEnd w:id="16"/>
    </w:p>
    <w:p w14:paraId="59AEB497" w14:textId="77777777" w:rsidR="00753DA7" w:rsidRPr="00753DA7" w:rsidRDefault="00753DA7" w:rsidP="00753DA7">
      <w:pPr>
        <w:pStyle w:val="EndNoteBibliography"/>
      </w:pPr>
      <w:bookmarkStart w:id="17" w:name="_ENREF_7"/>
      <w:r w:rsidRPr="00753DA7">
        <w:t>Merck Sharp &amp; Dohme Corp 2015, 'KEYNOTE-158 - Study of pembrolizumab (MK-3475) in participants with advanced solide tumours', last verified  August 2016 edn, US National Institutes of Health, ClinicalTrials.gov, p. NCT02628067&lt;https://clinicaltrials.gov/ct2/show/study/NCT02628067?term=Keynote+158&amp;rank=1&gt;.</w:t>
      </w:r>
    </w:p>
    <w:bookmarkEnd w:id="17"/>
    <w:p w14:paraId="686A0E03" w14:textId="6583BEA2" w:rsidR="00B9450E" w:rsidRPr="00E364F7" w:rsidRDefault="001101A7" w:rsidP="00E364F7">
      <w:r>
        <w:fldChar w:fldCharType="end"/>
      </w:r>
    </w:p>
    <w:sectPr w:rsidR="00B9450E" w:rsidRPr="00E364F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FFB4F" w14:textId="77777777" w:rsidR="00430569" w:rsidRDefault="00430569" w:rsidP="003D699E">
      <w:pPr>
        <w:spacing w:after="0" w:line="240" w:lineRule="auto"/>
      </w:pPr>
      <w:r>
        <w:separator/>
      </w:r>
    </w:p>
  </w:endnote>
  <w:endnote w:type="continuationSeparator" w:id="0">
    <w:p w14:paraId="2A69EB9A" w14:textId="77777777" w:rsidR="00430569" w:rsidRDefault="00430569"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58958" w14:textId="77777777" w:rsidR="00690840" w:rsidRDefault="00690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55025CEF" w14:textId="77777777" w:rsidR="00B47988" w:rsidRDefault="00B47988"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47DAF" w:rsidRPr="00C47DAF">
          <w:rPr>
            <w:b/>
            <w:bCs/>
            <w:noProof/>
            <w:sz w:val="18"/>
            <w:szCs w:val="18"/>
          </w:rPr>
          <w:t>14</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329D7525" w14:textId="15066AF8" w:rsidR="00B47988" w:rsidRDefault="00B47988" w:rsidP="00C569A8">
        <w:pPr>
          <w:pStyle w:val="Footer"/>
          <w:pBdr>
            <w:top w:val="single" w:sz="4" w:space="1" w:color="D9D9D9" w:themeColor="background1" w:themeShade="D9"/>
          </w:pBdr>
        </w:pPr>
        <w:r>
          <w:rPr>
            <w:color w:val="808080" w:themeColor="background1" w:themeShade="80"/>
            <w:spacing w:val="60"/>
            <w:sz w:val="18"/>
            <w:szCs w:val="18"/>
          </w:rPr>
          <w:t>Application 1453:  PD-L1 testing for access to pembrolizumab for patients with locally advanced and metastatic melanoma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C34B8" w14:textId="77777777" w:rsidR="00690840" w:rsidRDefault="00690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6433D" w14:textId="77777777" w:rsidR="00430569" w:rsidRDefault="00430569" w:rsidP="003D699E">
      <w:pPr>
        <w:spacing w:after="0" w:line="240" w:lineRule="auto"/>
      </w:pPr>
      <w:r>
        <w:separator/>
      </w:r>
    </w:p>
  </w:footnote>
  <w:footnote w:type="continuationSeparator" w:id="0">
    <w:p w14:paraId="66C1A42F" w14:textId="77777777" w:rsidR="00430569" w:rsidRDefault="00430569" w:rsidP="003D699E">
      <w:pPr>
        <w:spacing w:after="0" w:line="240" w:lineRule="auto"/>
      </w:pPr>
      <w:r>
        <w:continuationSeparator/>
      </w:r>
    </w:p>
  </w:footnote>
  <w:footnote w:id="1">
    <w:p w14:paraId="4A8D5738" w14:textId="77777777" w:rsidR="00B47988" w:rsidRDefault="00B47988">
      <w:pPr>
        <w:pStyle w:val="FootnoteText"/>
      </w:pPr>
      <w:r>
        <w:rPr>
          <w:rStyle w:val="FootnoteReference"/>
        </w:rPr>
        <w:footnoteRef/>
      </w:r>
      <w:r>
        <w:t xml:space="preserve"> Eastern Cooperative Oncology group performance status: a scale of 0 to 5 which measures a patient’s performance status based on their ability to care for themselves, daily activity and physical activity. At Level 0 a patient is fully active and at Level 5 a patients is dead.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F85DA" w14:textId="77777777" w:rsidR="00B47988" w:rsidRDefault="00B47988">
    <w:pPr>
      <w:pStyle w:val="Header"/>
    </w:pPr>
    <w:r>
      <w:rPr>
        <w:noProof/>
        <w:lang w:eastAsia="en-AU"/>
      </w:rPr>
      <mc:AlternateContent>
        <mc:Choice Requires="wps">
          <w:drawing>
            <wp:anchor distT="0" distB="0" distL="114300" distR="114300" simplePos="0" relativeHeight="251657728" behindDoc="1" locked="0" layoutInCell="0" allowOverlap="1" wp14:anchorId="5D893455" wp14:editId="73A98CD9">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7FEE8C" w14:textId="77777777" w:rsidR="00B47988" w:rsidRDefault="00B47988"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D7FEE8C" w14:textId="77777777" w:rsidR="00B47988" w:rsidRDefault="00B47988"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4AFC" w14:textId="77777777" w:rsidR="00690840" w:rsidRDefault="00690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3290" w14:textId="77777777" w:rsidR="00690840" w:rsidRDefault="00690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80F"/>
    <w:multiLevelType w:val="hybridMultilevel"/>
    <w:tmpl w:val="8FC87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166F43"/>
    <w:multiLevelType w:val="hybridMultilevel"/>
    <w:tmpl w:val="68AC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682B9D"/>
    <w:multiLevelType w:val="hybridMultilevel"/>
    <w:tmpl w:val="BFCED63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20A2E5E"/>
    <w:multiLevelType w:val="hybridMultilevel"/>
    <w:tmpl w:val="110EABD2"/>
    <w:lvl w:ilvl="0" w:tplc="0C090001">
      <w:start w:val="1"/>
      <w:numFmt w:val="bullet"/>
      <w:lvlText w:val=""/>
      <w:lvlJc w:val="left"/>
      <w:pPr>
        <w:ind w:left="608" w:hanging="360"/>
      </w:pPr>
      <w:rPr>
        <w:rFonts w:ascii="Symbol" w:hAnsi="Symbol" w:hint="default"/>
      </w:rPr>
    </w:lvl>
    <w:lvl w:ilvl="1" w:tplc="0C090003">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7">
    <w:nsid w:val="136540B8"/>
    <w:multiLevelType w:val="hybridMultilevel"/>
    <w:tmpl w:val="98B61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0A3452"/>
    <w:multiLevelType w:val="hybridMultilevel"/>
    <w:tmpl w:val="DDF6A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FE35C2"/>
    <w:multiLevelType w:val="hybridMultilevel"/>
    <w:tmpl w:val="5F0227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0C4FE0"/>
    <w:multiLevelType w:val="hybridMultilevel"/>
    <w:tmpl w:val="736A0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1E4CF8"/>
    <w:multiLevelType w:val="hybridMultilevel"/>
    <w:tmpl w:val="98B61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595845"/>
    <w:multiLevelType w:val="hybridMultilevel"/>
    <w:tmpl w:val="112AEE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8A10862"/>
    <w:multiLevelType w:val="hybridMultilevel"/>
    <w:tmpl w:val="B0CC31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8B1FE7"/>
    <w:multiLevelType w:val="hybridMultilevel"/>
    <w:tmpl w:val="50FC3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A416B8"/>
    <w:multiLevelType w:val="hybridMultilevel"/>
    <w:tmpl w:val="94949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75C01510"/>
    <w:multiLevelType w:val="hybridMultilevel"/>
    <w:tmpl w:val="CA049D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8"/>
  </w:num>
  <w:num w:numId="4">
    <w:abstractNumId w:val="20"/>
  </w:num>
  <w:num w:numId="5">
    <w:abstractNumId w:val="21"/>
  </w:num>
  <w:num w:numId="6">
    <w:abstractNumId w:val="15"/>
  </w:num>
  <w:num w:numId="7">
    <w:abstractNumId w:val="5"/>
  </w:num>
  <w:num w:numId="8">
    <w:abstractNumId w:val="4"/>
  </w:num>
  <w:num w:numId="9">
    <w:abstractNumId w:val="16"/>
  </w:num>
  <w:num w:numId="10">
    <w:abstractNumId w:val="18"/>
  </w:num>
  <w:num w:numId="11">
    <w:abstractNumId w:val="1"/>
  </w:num>
  <w:num w:numId="12">
    <w:abstractNumId w:val="11"/>
  </w:num>
  <w:num w:numId="13">
    <w:abstractNumId w:val="9"/>
  </w:num>
  <w:num w:numId="14">
    <w:abstractNumId w:val="19"/>
  </w:num>
  <w:num w:numId="15">
    <w:abstractNumId w:val="13"/>
  </w:num>
  <w:num w:numId="16">
    <w:abstractNumId w:val="22"/>
  </w:num>
  <w:num w:numId="17">
    <w:abstractNumId w:val="14"/>
  </w:num>
  <w:num w:numId="18">
    <w:abstractNumId w:val="6"/>
  </w:num>
  <w:num w:numId="19">
    <w:abstractNumId w:val="0"/>
  </w:num>
  <w:num w:numId="20">
    <w:abstractNumId w:val="10"/>
  </w:num>
  <w:num w:numId="21">
    <w:abstractNumId w:val="7"/>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erfteelrvx9zez9ptvxz0fsw9pp5wdddsf&quot;&gt;PICO Confirmation 1453&lt;record-ids&gt;&lt;item&gt;1&lt;/item&gt;&lt;item&gt;2&lt;/item&gt;&lt;item&gt;3&lt;/item&gt;&lt;item&gt;8&lt;/item&gt;&lt;item&gt;10&lt;/item&gt;&lt;item&gt;11&lt;/item&gt;&lt;item&gt;12&lt;/item&gt;&lt;/record-ids&gt;&lt;/item&gt;&lt;/Libraries&gt;"/>
  </w:docVars>
  <w:rsids>
    <w:rsidRoot w:val="0044715D"/>
    <w:rsid w:val="00000BFC"/>
    <w:rsid w:val="00002118"/>
    <w:rsid w:val="00004548"/>
    <w:rsid w:val="00005C7B"/>
    <w:rsid w:val="00014375"/>
    <w:rsid w:val="00015144"/>
    <w:rsid w:val="0002715C"/>
    <w:rsid w:val="00027EBF"/>
    <w:rsid w:val="00032F32"/>
    <w:rsid w:val="00043BAD"/>
    <w:rsid w:val="00050E31"/>
    <w:rsid w:val="00063AC8"/>
    <w:rsid w:val="00067B0A"/>
    <w:rsid w:val="00086219"/>
    <w:rsid w:val="0008700B"/>
    <w:rsid w:val="000A0FBA"/>
    <w:rsid w:val="000A18C8"/>
    <w:rsid w:val="000B3259"/>
    <w:rsid w:val="000B519A"/>
    <w:rsid w:val="000C1AE1"/>
    <w:rsid w:val="000E56DC"/>
    <w:rsid w:val="000E5F48"/>
    <w:rsid w:val="000E7E5C"/>
    <w:rsid w:val="000F603C"/>
    <w:rsid w:val="00103EF6"/>
    <w:rsid w:val="001101A7"/>
    <w:rsid w:val="001134A6"/>
    <w:rsid w:val="00126FC5"/>
    <w:rsid w:val="00131A63"/>
    <w:rsid w:val="00132490"/>
    <w:rsid w:val="001455EC"/>
    <w:rsid w:val="00146462"/>
    <w:rsid w:val="00154B1F"/>
    <w:rsid w:val="00166636"/>
    <w:rsid w:val="00172B64"/>
    <w:rsid w:val="00185A78"/>
    <w:rsid w:val="00191E53"/>
    <w:rsid w:val="001947DC"/>
    <w:rsid w:val="00195188"/>
    <w:rsid w:val="00197879"/>
    <w:rsid w:val="001A19FE"/>
    <w:rsid w:val="001A339E"/>
    <w:rsid w:val="001B4459"/>
    <w:rsid w:val="001B4779"/>
    <w:rsid w:val="001C3AD0"/>
    <w:rsid w:val="001E7040"/>
    <w:rsid w:val="001E7B67"/>
    <w:rsid w:val="00211AD4"/>
    <w:rsid w:val="00215A86"/>
    <w:rsid w:val="0022008E"/>
    <w:rsid w:val="00225C02"/>
    <w:rsid w:val="002328CA"/>
    <w:rsid w:val="00244BA9"/>
    <w:rsid w:val="002523BE"/>
    <w:rsid w:val="00255078"/>
    <w:rsid w:val="00265950"/>
    <w:rsid w:val="002728F4"/>
    <w:rsid w:val="00276CAC"/>
    <w:rsid w:val="00276DBE"/>
    <w:rsid w:val="002777DE"/>
    <w:rsid w:val="00284DB0"/>
    <w:rsid w:val="00292DE9"/>
    <w:rsid w:val="002A03CE"/>
    <w:rsid w:val="002A4909"/>
    <w:rsid w:val="002A66BD"/>
    <w:rsid w:val="002B1567"/>
    <w:rsid w:val="002B226C"/>
    <w:rsid w:val="002B3338"/>
    <w:rsid w:val="002E0982"/>
    <w:rsid w:val="002E5327"/>
    <w:rsid w:val="002F41D4"/>
    <w:rsid w:val="00303C94"/>
    <w:rsid w:val="00316256"/>
    <w:rsid w:val="003201B2"/>
    <w:rsid w:val="00334489"/>
    <w:rsid w:val="00352A9E"/>
    <w:rsid w:val="00360C9B"/>
    <w:rsid w:val="00362776"/>
    <w:rsid w:val="003670BB"/>
    <w:rsid w:val="00375128"/>
    <w:rsid w:val="00382875"/>
    <w:rsid w:val="0039039C"/>
    <w:rsid w:val="003978B2"/>
    <w:rsid w:val="003A27CB"/>
    <w:rsid w:val="003A5A61"/>
    <w:rsid w:val="003B02BA"/>
    <w:rsid w:val="003B2C62"/>
    <w:rsid w:val="003C51CF"/>
    <w:rsid w:val="003C68C8"/>
    <w:rsid w:val="003D066D"/>
    <w:rsid w:val="003D699E"/>
    <w:rsid w:val="003E0382"/>
    <w:rsid w:val="003E7AAC"/>
    <w:rsid w:val="003F4D4B"/>
    <w:rsid w:val="00402B5E"/>
    <w:rsid w:val="00411511"/>
    <w:rsid w:val="00413EFA"/>
    <w:rsid w:val="0042483F"/>
    <w:rsid w:val="00430569"/>
    <w:rsid w:val="00440228"/>
    <w:rsid w:val="00443A28"/>
    <w:rsid w:val="0044715D"/>
    <w:rsid w:val="00450861"/>
    <w:rsid w:val="004546B5"/>
    <w:rsid w:val="00463EDF"/>
    <w:rsid w:val="004646A1"/>
    <w:rsid w:val="00474501"/>
    <w:rsid w:val="004A187C"/>
    <w:rsid w:val="004A79E7"/>
    <w:rsid w:val="004B019F"/>
    <w:rsid w:val="004B2DF4"/>
    <w:rsid w:val="004C1FA9"/>
    <w:rsid w:val="004C4449"/>
    <w:rsid w:val="004D1D41"/>
    <w:rsid w:val="00500824"/>
    <w:rsid w:val="005108F3"/>
    <w:rsid w:val="00511E1D"/>
    <w:rsid w:val="00520D74"/>
    <w:rsid w:val="00521374"/>
    <w:rsid w:val="00521F16"/>
    <w:rsid w:val="00532FA9"/>
    <w:rsid w:val="00533B53"/>
    <w:rsid w:val="00534341"/>
    <w:rsid w:val="0053539C"/>
    <w:rsid w:val="005414A4"/>
    <w:rsid w:val="00543A25"/>
    <w:rsid w:val="00552DE7"/>
    <w:rsid w:val="00552FD5"/>
    <w:rsid w:val="00556285"/>
    <w:rsid w:val="005640CC"/>
    <w:rsid w:val="00570D5D"/>
    <w:rsid w:val="00576CCD"/>
    <w:rsid w:val="00586E75"/>
    <w:rsid w:val="005B0A80"/>
    <w:rsid w:val="005B378F"/>
    <w:rsid w:val="005E5FFE"/>
    <w:rsid w:val="005F3DAC"/>
    <w:rsid w:val="005F4D2F"/>
    <w:rsid w:val="00627B5C"/>
    <w:rsid w:val="00644920"/>
    <w:rsid w:val="00645309"/>
    <w:rsid w:val="00645CBA"/>
    <w:rsid w:val="00655327"/>
    <w:rsid w:val="0067329D"/>
    <w:rsid w:val="006771EF"/>
    <w:rsid w:val="00681785"/>
    <w:rsid w:val="00690840"/>
    <w:rsid w:val="006965C1"/>
    <w:rsid w:val="006B4086"/>
    <w:rsid w:val="006B6204"/>
    <w:rsid w:val="006D1643"/>
    <w:rsid w:val="006F361B"/>
    <w:rsid w:val="00701B16"/>
    <w:rsid w:val="007279AC"/>
    <w:rsid w:val="00734F81"/>
    <w:rsid w:val="0073757B"/>
    <w:rsid w:val="00751006"/>
    <w:rsid w:val="00752491"/>
    <w:rsid w:val="00753DA7"/>
    <w:rsid w:val="00761A45"/>
    <w:rsid w:val="00773D21"/>
    <w:rsid w:val="0078189D"/>
    <w:rsid w:val="00791D0D"/>
    <w:rsid w:val="007A1161"/>
    <w:rsid w:val="007A4633"/>
    <w:rsid w:val="007A77E8"/>
    <w:rsid w:val="007B0194"/>
    <w:rsid w:val="007B48A4"/>
    <w:rsid w:val="007C11B7"/>
    <w:rsid w:val="007C770B"/>
    <w:rsid w:val="007E71A9"/>
    <w:rsid w:val="007E7E23"/>
    <w:rsid w:val="007F29A8"/>
    <w:rsid w:val="007F2EA9"/>
    <w:rsid w:val="007F4E20"/>
    <w:rsid w:val="008013B5"/>
    <w:rsid w:val="008028FD"/>
    <w:rsid w:val="00805351"/>
    <w:rsid w:val="00807244"/>
    <w:rsid w:val="00807728"/>
    <w:rsid w:val="00820955"/>
    <w:rsid w:val="00825943"/>
    <w:rsid w:val="0082748B"/>
    <w:rsid w:val="00831CA9"/>
    <w:rsid w:val="00843B0E"/>
    <w:rsid w:val="008500DD"/>
    <w:rsid w:val="00854FEC"/>
    <w:rsid w:val="00870120"/>
    <w:rsid w:val="00870245"/>
    <w:rsid w:val="008706D6"/>
    <w:rsid w:val="00873A85"/>
    <w:rsid w:val="00874BA7"/>
    <w:rsid w:val="008757BF"/>
    <w:rsid w:val="00886BFB"/>
    <w:rsid w:val="00894AAB"/>
    <w:rsid w:val="00896845"/>
    <w:rsid w:val="008B3B16"/>
    <w:rsid w:val="008C3E5E"/>
    <w:rsid w:val="008C6699"/>
    <w:rsid w:val="008E67DF"/>
    <w:rsid w:val="008E69F1"/>
    <w:rsid w:val="0090057F"/>
    <w:rsid w:val="00915AAE"/>
    <w:rsid w:val="00930085"/>
    <w:rsid w:val="009431A4"/>
    <w:rsid w:val="00953ED7"/>
    <w:rsid w:val="009551FF"/>
    <w:rsid w:val="00960A2C"/>
    <w:rsid w:val="00960BE9"/>
    <w:rsid w:val="00963DEE"/>
    <w:rsid w:val="009752A8"/>
    <w:rsid w:val="009805A2"/>
    <w:rsid w:val="00981706"/>
    <w:rsid w:val="009D6E9B"/>
    <w:rsid w:val="009E3AA6"/>
    <w:rsid w:val="009E5295"/>
    <w:rsid w:val="009E58D2"/>
    <w:rsid w:val="009F2C16"/>
    <w:rsid w:val="009F552F"/>
    <w:rsid w:val="00A02B56"/>
    <w:rsid w:val="00A16D14"/>
    <w:rsid w:val="00A26D07"/>
    <w:rsid w:val="00A32CCD"/>
    <w:rsid w:val="00A35450"/>
    <w:rsid w:val="00A370F3"/>
    <w:rsid w:val="00A401E5"/>
    <w:rsid w:val="00A42401"/>
    <w:rsid w:val="00A601AC"/>
    <w:rsid w:val="00A709A3"/>
    <w:rsid w:val="00A72B08"/>
    <w:rsid w:val="00A84A56"/>
    <w:rsid w:val="00A94913"/>
    <w:rsid w:val="00AA3459"/>
    <w:rsid w:val="00AA3CB6"/>
    <w:rsid w:val="00AB1F47"/>
    <w:rsid w:val="00AB2762"/>
    <w:rsid w:val="00AB39A7"/>
    <w:rsid w:val="00AD1AF6"/>
    <w:rsid w:val="00AD1D20"/>
    <w:rsid w:val="00B1318F"/>
    <w:rsid w:val="00B13BEA"/>
    <w:rsid w:val="00B32E22"/>
    <w:rsid w:val="00B33103"/>
    <w:rsid w:val="00B35C1A"/>
    <w:rsid w:val="00B45971"/>
    <w:rsid w:val="00B46A0A"/>
    <w:rsid w:val="00B47988"/>
    <w:rsid w:val="00B54AA1"/>
    <w:rsid w:val="00B553A1"/>
    <w:rsid w:val="00B55EDE"/>
    <w:rsid w:val="00B67169"/>
    <w:rsid w:val="00B74B4D"/>
    <w:rsid w:val="00B83BFC"/>
    <w:rsid w:val="00B83C0D"/>
    <w:rsid w:val="00B85D39"/>
    <w:rsid w:val="00B9450E"/>
    <w:rsid w:val="00BA2D7A"/>
    <w:rsid w:val="00BA3772"/>
    <w:rsid w:val="00BA63AA"/>
    <w:rsid w:val="00BA674D"/>
    <w:rsid w:val="00BB3D96"/>
    <w:rsid w:val="00BD3551"/>
    <w:rsid w:val="00BE0E68"/>
    <w:rsid w:val="00BE6A8C"/>
    <w:rsid w:val="00C00509"/>
    <w:rsid w:val="00C15C79"/>
    <w:rsid w:val="00C208F1"/>
    <w:rsid w:val="00C33F65"/>
    <w:rsid w:val="00C34809"/>
    <w:rsid w:val="00C42FDC"/>
    <w:rsid w:val="00C47DAF"/>
    <w:rsid w:val="00C504CD"/>
    <w:rsid w:val="00C569A8"/>
    <w:rsid w:val="00C61965"/>
    <w:rsid w:val="00C63A94"/>
    <w:rsid w:val="00C852E8"/>
    <w:rsid w:val="00C9630A"/>
    <w:rsid w:val="00CB5F55"/>
    <w:rsid w:val="00CC1BDE"/>
    <w:rsid w:val="00CC60B0"/>
    <w:rsid w:val="00CE26B7"/>
    <w:rsid w:val="00CE4EC8"/>
    <w:rsid w:val="00CF1378"/>
    <w:rsid w:val="00CF2EC6"/>
    <w:rsid w:val="00D128F5"/>
    <w:rsid w:val="00D15352"/>
    <w:rsid w:val="00D26848"/>
    <w:rsid w:val="00D3673D"/>
    <w:rsid w:val="00D46C89"/>
    <w:rsid w:val="00D55BE4"/>
    <w:rsid w:val="00D57862"/>
    <w:rsid w:val="00D63D64"/>
    <w:rsid w:val="00D64A29"/>
    <w:rsid w:val="00D7351C"/>
    <w:rsid w:val="00D9050A"/>
    <w:rsid w:val="00D91136"/>
    <w:rsid w:val="00D948D0"/>
    <w:rsid w:val="00DA4B08"/>
    <w:rsid w:val="00DA7D56"/>
    <w:rsid w:val="00DB0BA9"/>
    <w:rsid w:val="00DB3CD9"/>
    <w:rsid w:val="00DB6FC2"/>
    <w:rsid w:val="00DC73D6"/>
    <w:rsid w:val="00DD11B6"/>
    <w:rsid w:val="00DE01FF"/>
    <w:rsid w:val="00DE3D6C"/>
    <w:rsid w:val="00DE7839"/>
    <w:rsid w:val="00DF167F"/>
    <w:rsid w:val="00DF3A70"/>
    <w:rsid w:val="00E21119"/>
    <w:rsid w:val="00E227D8"/>
    <w:rsid w:val="00E27B0E"/>
    <w:rsid w:val="00E364F7"/>
    <w:rsid w:val="00E417AE"/>
    <w:rsid w:val="00E46B27"/>
    <w:rsid w:val="00E46C0B"/>
    <w:rsid w:val="00E56F94"/>
    <w:rsid w:val="00E66CA3"/>
    <w:rsid w:val="00E77F5A"/>
    <w:rsid w:val="00E82BAA"/>
    <w:rsid w:val="00E83EA4"/>
    <w:rsid w:val="00E916E5"/>
    <w:rsid w:val="00E91CEB"/>
    <w:rsid w:val="00E92300"/>
    <w:rsid w:val="00E968F6"/>
    <w:rsid w:val="00EA47D0"/>
    <w:rsid w:val="00EB1131"/>
    <w:rsid w:val="00EC0DC2"/>
    <w:rsid w:val="00EC2A43"/>
    <w:rsid w:val="00ED65FB"/>
    <w:rsid w:val="00EE7A1F"/>
    <w:rsid w:val="00EF47AD"/>
    <w:rsid w:val="00EF6479"/>
    <w:rsid w:val="00F0186F"/>
    <w:rsid w:val="00F020EA"/>
    <w:rsid w:val="00F0736B"/>
    <w:rsid w:val="00F11C6C"/>
    <w:rsid w:val="00F12E59"/>
    <w:rsid w:val="00F30A35"/>
    <w:rsid w:val="00F355CC"/>
    <w:rsid w:val="00F36A3E"/>
    <w:rsid w:val="00F40FB3"/>
    <w:rsid w:val="00F417E4"/>
    <w:rsid w:val="00F527A3"/>
    <w:rsid w:val="00F54222"/>
    <w:rsid w:val="00F64E40"/>
    <w:rsid w:val="00F66C65"/>
    <w:rsid w:val="00F73131"/>
    <w:rsid w:val="00F75FB0"/>
    <w:rsid w:val="00FA0D15"/>
    <w:rsid w:val="00FA522E"/>
    <w:rsid w:val="00FC1F71"/>
    <w:rsid w:val="00FC3F20"/>
    <w:rsid w:val="00FC752E"/>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0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B5"/>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86219"/>
    <w:pPr>
      <w:keepNext/>
      <w:keepLines/>
      <w:spacing w:before="120" w:after="120"/>
      <w:outlineLvl w:val="1"/>
    </w:pPr>
    <w:rPr>
      <w:rFonts w:eastAsia="MS Gothic"/>
      <w:b/>
      <w:bCs/>
      <w:i/>
      <w:color w:val="1F497D" w:themeColor="text2"/>
      <w:szCs w:val="26"/>
      <w:u w:val="single"/>
    </w:rPr>
  </w:style>
  <w:style w:type="paragraph" w:styleId="Heading3">
    <w:name w:val="heading 3"/>
    <w:basedOn w:val="Normal"/>
    <w:next w:val="Normal"/>
    <w:link w:val="Heading3Char"/>
    <w:uiPriority w:val="9"/>
    <w:unhideWhenUsed/>
    <w:qFormat/>
    <w:rsid w:val="00C34809"/>
    <w:pPr>
      <w:keepNext/>
      <w:keepLines/>
      <w:spacing w:before="160" w:after="1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219"/>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1101A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101A7"/>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1101A7"/>
    <w:pPr>
      <w:spacing w:line="240" w:lineRule="auto"/>
    </w:pPr>
    <w:rPr>
      <w:noProof/>
      <w:lang w:val="en-US"/>
    </w:rPr>
  </w:style>
  <w:style w:type="character" w:customStyle="1" w:styleId="EndNoteBibliographyChar">
    <w:name w:val="EndNote Bibliography Char"/>
    <w:basedOn w:val="DefaultParagraphFont"/>
    <w:link w:val="EndNoteBibliography"/>
    <w:rsid w:val="001101A7"/>
    <w:rPr>
      <w:rFonts w:ascii="Calibri" w:eastAsia="Calibri" w:hAnsi="Calibri" w:cs="Times New Roman"/>
      <w:noProof/>
      <w:sz w:val="22"/>
      <w:lang w:val="en-US"/>
    </w:rPr>
  </w:style>
  <w:style w:type="paragraph" w:styleId="FootnoteText">
    <w:name w:val="footnote text"/>
    <w:basedOn w:val="Normal"/>
    <w:link w:val="FootnoteTextChar"/>
    <w:uiPriority w:val="99"/>
    <w:semiHidden/>
    <w:unhideWhenUsed/>
    <w:rsid w:val="00570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D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0D5D"/>
    <w:rPr>
      <w:vertAlign w:val="superscript"/>
    </w:rPr>
  </w:style>
  <w:style w:type="character" w:customStyle="1" w:styleId="Heading3Char">
    <w:name w:val="Heading 3 Char"/>
    <w:basedOn w:val="DefaultParagraphFont"/>
    <w:link w:val="Heading3"/>
    <w:uiPriority w:val="9"/>
    <w:rsid w:val="00C34809"/>
    <w:rPr>
      <w:rFonts w:asciiTheme="majorHAnsi" w:eastAsiaTheme="majorEastAsia" w:hAnsiTheme="majorHAnsi" w:cstheme="majorBidi"/>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B5"/>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86219"/>
    <w:pPr>
      <w:keepNext/>
      <w:keepLines/>
      <w:spacing w:before="120" w:after="120"/>
      <w:outlineLvl w:val="1"/>
    </w:pPr>
    <w:rPr>
      <w:rFonts w:eastAsia="MS Gothic"/>
      <w:b/>
      <w:bCs/>
      <w:i/>
      <w:color w:val="1F497D" w:themeColor="text2"/>
      <w:szCs w:val="26"/>
      <w:u w:val="single"/>
    </w:rPr>
  </w:style>
  <w:style w:type="paragraph" w:styleId="Heading3">
    <w:name w:val="heading 3"/>
    <w:basedOn w:val="Normal"/>
    <w:next w:val="Normal"/>
    <w:link w:val="Heading3Char"/>
    <w:uiPriority w:val="9"/>
    <w:unhideWhenUsed/>
    <w:qFormat/>
    <w:rsid w:val="00C34809"/>
    <w:pPr>
      <w:keepNext/>
      <w:keepLines/>
      <w:spacing w:before="160" w:after="1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219"/>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1101A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101A7"/>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1101A7"/>
    <w:pPr>
      <w:spacing w:line="240" w:lineRule="auto"/>
    </w:pPr>
    <w:rPr>
      <w:noProof/>
      <w:lang w:val="en-US"/>
    </w:rPr>
  </w:style>
  <w:style w:type="character" w:customStyle="1" w:styleId="EndNoteBibliographyChar">
    <w:name w:val="EndNote Bibliography Char"/>
    <w:basedOn w:val="DefaultParagraphFont"/>
    <w:link w:val="EndNoteBibliography"/>
    <w:rsid w:val="001101A7"/>
    <w:rPr>
      <w:rFonts w:ascii="Calibri" w:eastAsia="Calibri" w:hAnsi="Calibri" w:cs="Times New Roman"/>
      <w:noProof/>
      <w:sz w:val="22"/>
      <w:lang w:val="en-US"/>
    </w:rPr>
  </w:style>
  <w:style w:type="paragraph" w:styleId="FootnoteText">
    <w:name w:val="footnote text"/>
    <w:basedOn w:val="Normal"/>
    <w:link w:val="FootnoteTextChar"/>
    <w:uiPriority w:val="99"/>
    <w:semiHidden/>
    <w:unhideWhenUsed/>
    <w:rsid w:val="00570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D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0D5D"/>
    <w:rPr>
      <w:vertAlign w:val="superscript"/>
    </w:rPr>
  </w:style>
  <w:style w:type="character" w:customStyle="1" w:styleId="Heading3Char">
    <w:name w:val="Heading 3 Char"/>
    <w:basedOn w:val="DefaultParagraphFont"/>
    <w:link w:val="Heading3"/>
    <w:uiPriority w:val="9"/>
    <w:rsid w:val="00C34809"/>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0B5F-E0B6-4E7D-904D-2CB86FF6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1453 PICO Confirmation</vt:lpstr>
    </vt:vector>
  </TitlesOfParts>
  <LinksUpToDate>false</LinksUpToDate>
  <CharactersWithSpaces>38591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1453 PICO Confirmation</dc:title>
  <dc:creator/>
  <cp:lastModifiedBy/>
  <cp:revision>1</cp:revision>
  <dcterms:created xsi:type="dcterms:W3CDTF">2016-11-24T04:28:00Z</dcterms:created>
  <dcterms:modified xsi:type="dcterms:W3CDTF">2016-11-24T04:28:00Z</dcterms:modified>
</cp:coreProperties>
</file>